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591E8B">
      <w:pPr>
        <w:bidi w:val="0"/>
        <w:spacing w:line="360" w:lineRule="auto"/>
        <w:jc w:val="center"/>
        <w:rPr>
          <w:rFonts w:hint="eastAsia" w:asciiTheme="minorEastAsia" w:hAnsiTheme="minorEastAsia" w:eastAsiaTheme="minorEastAsia" w:cstheme="minorEastAsia"/>
          <w:b/>
          <w:bCs/>
          <w:sz w:val="48"/>
          <w:szCs w:val="48"/>
          <w:lang w:eastAsia="zh-CN"/>
        </w:rPr>
      </w:pPr>
      <w:bookmarkStart w:id="0" w:name="_Toc10588"/>
      <w:bookmarkStart w:id="1" w:name="_Toc13414"/>
      <w:bookmarkStart w:id="2" w:name="_Toc14829"/>
    </w:p>
    <w:p w14:paraId="44525E54">
      <w:pPr>
        <w:bidi w:val="0"/>
        <w:spacing w:line="360" w:lineRule="auto"/>
        <w:jc w:val="center"/>
        <w:rPr>
          <w:rFonts w:hint="eastAsia" w:asciiTheme="minorEastAsia" w:hAnsiTheme="minorEastAsia" w:eastAsiaTheme="minorEastAsia" w:cstheme="minorEastAsia"/>
          <w:b/>
          <w:bCs/>
          <w:sz w:val="48"/>
          <w:szCs w:val="48"/>
          <w:lang w:eastAsia="zh-CN"/>
        </w:rPr>
      </w:pPr>
      <w:r>
        <w:rPr>
          <w:rFonts w:hint="eastAsia" w:asciiTheme="minorEastAsia" w:hAnsiTheme="minorEastAsia" w:eastAsiaTheme="minorEastAsia" w:cstheme="minorEastAsia"/>
          <w:b/>
          <w:bCs/>
          <w:sz w:val="48"/>
          <w:szCs w:val="48"/>
          <w:lang w:eastAsia="zh-CN"/>
        </w:rPr>
        <w:t>联珠镇愧竜村咖啡加工仓储车间</w:t>
      </w:r>
    </w:p>
    <w:p w14:paraId="7E4066DA">
      <w:pPr>
        <w:bidi w:val="0"/>
        <w:spacing w:line="360" w:lineRule="auto"/>
        <w:jc w:val="center"/>
        <w:rPr>
          <w:rFonts w:hint="eastAsia" w:asciiTheme="minorEastAsia" w:hAnsiTheme="minorEastAsia" w:eastAsiaTheme="minorEastAsia" w:cstheme="minorEastAsia"/>
          <w:b/>
          <w:bCs/>
          <w:sz w:val="48"/>
          <w:szCs w:val="48"/>
        </w:rPr>
      </w:pPr>
      <w:r>
        <w:rPr>
          <w:rFonts w:hint="eastAsia" w:asciiTheme="minorEastAsia" w:hAnsiTheme="minorEastAsia" w:eastAsiaTheme="minorEastAsia" w:cstheme="minorEastAsia"/>
          <w:b/>
          <w:bCs/>
          <w:sz w:val="48"/>
          <w:szCs w:val="48"/>
          <w:lang w:eastAsia="zh-CN"/>
        </w:rPr>
        <w:t>设施项目EPC</w:t>
      </w:r>
    </w:p>
    <w:p w14:paraId="23D64473">
      <w:pPr>
        <w:pStyle w:val="20"/>
        <w:pageBreakBefore w:val="0"/>
        <w:kinsoku/>
        <w:wordWrap/>
        <w:overflowPunct/>
        <w:bidi w:val="0"/>
        <w:spacing w:line="360" w:lineRule="auto"/>
        <w:rPr>
          <w:rFonts w:hint="eastAsia" w:asciiTheme="minorEastAsia" w:hAnsiTheme="minorEastAsia" w:eastAsiaTheme="minorEastAsia" w:cstheme="minorEastAsia"/>
          <w:color w:val="000000" w:themeColor="text1"/>
          <w:sz w:val="48"/>
          <w:szCs w:val="48"/>
          <w14:textFill>
            <w14:solidFill>
              <w14:schemeClr w14:val="tx1"/>
            </w14:solidFill>
          </w14:textFill>
        </w:rPr>
      </w:pPr>
    </w:p>
    <w:p w14:paraId="7D7B5F01">
      <w:pPr>
        <w:pStyle w:val="20"/>
        <w:pageBreakBefore w:val="0"/>
        <w:kinsoku/>
        <w:wordWrap/>
        <w:overflowPunct/>
        <w:bidi w:val="0"/>
        <w:spacing w:line="360" w:lineRule="auto"/>
        <w:rPr>
          <w:rFonts w:hint="eastAsia" w:asciiTheme="minorEastAsia" w:hAnsiTheme="minorEastAsia" w:eastAsiaTheme="minorEastAsia" w:cstheme="minorEastAsia"/>
          <w:color w:val="000000" w:themeColor="text1"/>
          <w:sz w:val="48"/>
          <w:szCs w:val="48"/>
          <w14:textFill>
            <w14:solidFill>
              <w14:schemeClr w14:val="tx1"/>
            </w14:solidFill>
          </w14:textFill>
        </w:rPr>
      </w:pPr>
    </w:p>
    <w:p w14:paraId="592F02B4">
      <w:pPr>
        <w:pStyle w:val="20"/>
        <w:pageBreakBefore w:val="0"/>
        <w:kinsoku/>
        <w:wordWrap/>
        <w:overflowPunct/>
        <w:bidi w:val="0"/>
        <w:spacing w:line="360" w:lineRule="auto"/>
        <w:rPr>
          <w:rFonts w:hint="eastAsia" w:asciiTheme="minorEastAsia" w:hAnsiTheme="minorEastAsia" w:eastAsiaTheme="minorEastAsia" w:cstheme="minorEastAsia"/>
          <w:color w:val="000000" w:themeColor="text1"/>
          <w:sz w:val="48"/>
          <w:szCs w:val="48"/>
          <w14:textFill>
            <w14:solidFill>
              <w14:schemeClr w14:val="tx1"/>
            </w14:solidFill>
          </w14:textFill>
        </w:rPr>
      </w:pPr>
    </w:p>
    <w:p w14:paraId="57956B87">
      <w:pPr>
        <w:pageBreakBefore w:val="0"/>
        <w:kinsoku/>
        <w:wordWrap/>
        <w:overflowPunct/>
        <w:bidi w:val="0"/>
        <w:spacing w:line="360" w:lineRule="auto"/>
        <w:jc w:val="center"/>
        <w:rPr>
          <w:rFonts w:hint="eastAsia" w:asciiTheme="minorEastAsia" w:hAnsiTheme="minorEastAsia" w:eastAsiaTheme="minorEastAsia" w:cstheme="minorEastAsia"/>
          <w:b/>
          <w:color w:val="000000" w:themeColor="text1"/>
          <w:sz w:val="48"/>
          <w:szCs w:val="48"/>
          <w14:textFill>
            <w14:solidFill>
              <w14:schemeClr w14:val="tx1"/>
            </w14:solidFill>
          </w14:textFill>
        </w:rPr>
      </w:pPr>
      <w:r>
        <w:rPr>
          <w:rFonts w:hint="eastAsia" w:asciiTheme="minorEastAsia" w:hAnsiTheme="minorEastAsia" w:eastAsiaTheme="minorEastAsia" w:cstheme="minorEastAsia"/>
          <w:b/>
          <w:color w:val="000000" w:themeColor="text1"/>
          <w:sz w:val="48"/>
          <w:szCs w:val="48"/>
          <w14:textFill>
            <w14:solidFill>
              <w14:schemeClr w14:val="tx1"/>
            </w14:solidFill>
          </w14:textFill>
        </w:rPr>
        <w:t>招 标 文 件</w:t>
      </w:r>
    </w:p>
    <w:p w14:paraId="5863B041">
      <w:pPr>
        <w:pageBreakBefore w:val="0"/>
        <w:kinsoku/>
        <w:wordWrap/>
        <w:overflowPunct/>
        <w:bidi w:val="0"/>
        <w:spacing w:line="360" w:lineRule="auto"/>
        <w:jc w:val="cente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bookmarkStart w:id="3" w:name="_Toc25917"/>
      <w:bookmarkStart w:id="4" w:name="_Toc29572"/>
      <w:bookmarkStart w:id="5" w:name="_Toc24338"/>
      <w:r>
        <w:rPr>
          <w:rFonts w:hint="eastAsia" w:asciiTheme="minorEastAsia" w:hAnsiTheme="minorEastAsia" w:eastAsiaTheme="minorEastAsia" w:cstheme="minorEastAsia"/>
          <w:sz w:val="30"/>
          <w:szCs w:val="30"/>
          <w:highlight w:val="none"/>
        </w:rPr>
        <w:t>招标编号</w:t>
      </w:r>
      <w:bookmarkEnd w:id="3"/>
      <w:bookmarkEnd w:id="4"/>
      <w:bookmarkEnd w:id="5"/>
      <w:r>
        <w:rPr>
          <w:rFonts w:hint="eastAsia" w:asciiTheme="minorEastAsia" w:hAnsiTheme="minorEastAsia" w:eastAsiaTheme="minorEastAsia" w:cstheme="minorEastAsia"/>
          <w:sz w:val="30"/>
          <w:szCs w:val="30"/>
          <w:highlight w:val="none"/>
          <w:lang w:eastAsia="zh-CN"/>
        </w:rPr>
        <w:t>：</w:t>
      </w:r>
    </w:p>
    <w:p w14:paraId="3A849A09">
      <w:pPr>
        <w:pageBreakBefore w:val="0"/>
        <w:kinsoku/>
        <w:wordWrap/>
        <w:overflowPunct/>
        <w:bidi w:val="0"/>
        <w:spacing w:line="360" w:lineRule="auto"/>
        <w:jc w:val="center"/>
        <w:rPr>
          <w:rFonts w:hint="eastAsia" w:asciiTheme="minorEastAsia" w:hAnsiTheme="minorEastAsia" w:eastAsiaTheme="minorEastAsia" w:cstheme="minorEastAsia"/>
          <w:b/>
          <w:color w:val="000000" w:themeColor="text1"/>
          <w:sz w:val="48"/>
          <w:szCs w:val="48"/>
          <w14:textFill>
            <w14:solidFill>
              <w14:schemeClr w14:val="tx1"/>
            </w14:solidFill>
          </w14:textFill>
        </w:rPr>
      </w:pPr>
    </w:p>
    <w:p w14:paraId="49728967">
      <w:pPr>
        <w:pageBreakBefore w:val="0"/>
        <w:kinsoku/>
        <w:wordWrap/>
        <w:overflowPunct/>
        <w:bidi w:val="0"/>
        <w:spacing w:line="360" w:lineRule="auto"/>
        <w:rPr>
          <w:rFonts w:hint="eastAsia" w:asciiTheme="minorEastAsia" w:hAnsiTheme="minorEastAsia" w:eastAsiaTheme="minorEastAsia" w:cstheme="minorEastAsia"/>
          <w:b/>
          <w:color w:val="000000" w:themeColor="text1"/>
          <w:sz w:val="48"/>
          <w:szCs w:val="48"/>
          <w14:textFill>
            <w14:solidFill>
              <w14:schemeClr w14:val="tx1"/>
            </w14:solidFill>
          </w14:textFill>
        </w:rPr>
      </w:pPr>
    </w:p>
    <w:p w14:paraId="51DE9BEA">
      <w:pPr>
        <w:bidi w:val="0"/>
        <w:rPr>
          <w:rFonts w:hint="eastAsia" w:asciiTheme="minorEastAsia" w:hAnsiTheme="minorEastAsia" w:eastAsiaTheme="minorEastAsia" w:cstheme="minorEastAsia"/>
          <w:sz w:val="48"/>
          <w:szCs w:val="48"/>
          <w:lang w:val="en-US" w:eastAsia="zh-CN"/>
        </w:rPr>
      </w:pPr>
    </w:p>
    <w:p w14:paraId="43AFE708">
      <w:pPr>
        <w:pageBreakBefore w:val="0"/>
        <w:kinsoku/>
        <w:wordWrap/>
        <w:overflowPunct/>
        <w:bidi w:val="0"/>
        <w:spacing w:line="360" w:lineRule="auto"/>
        <w:ind w:leftChars="500"/>
        <w:jc w:val="left"/>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pPr>
      <w:bookmarkStart w:id="6" w:name="_Toc20509"/>
      <w:bookmarkStart w:id="7" w:name="_Toc19432"/>
      <w:bookmarkStart w:id="8" w:name="_Toc8530"/>
    </w:p>
    <w:p w14:paraId="7F8E8455">
      <w:pPr>
        <w:pageBreakBefore w:val="0"/>
        <w:kinsoku/>
        <w:wordWrap/>
        <w:overflowPunct/>
        <w:bidi w:val="0"/>
        <w:spacing w:line="360" w:lineRule="auto"/>
        <w:ind w:leftChars="500"/>
        <w:jc w:val="left"/>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pPr>
    </w:p>
    <w:p w14:paraId="6A58E3C4">
      <w:pPr>
        <w:pageBreakBefore w:val="0"/>
        <w:kinsoku/>
        <w:wordWrap/>
        <w:overflowPunct/>
        <w:bidi w:val="0"/>
        <w:spacing w:line="360" w:lineRule="auto"/>
        <w:ind w:leftChars="500"/>
        <w:jc w:val="left"/>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pPr>
    </w:p>
    <w:p w14:paraId="4118EBF8">
      <w:pPr>
        <w:pageBreakBefore w:val="0"/>
        <w:kinsoku/>
        <w:wordWrap/>
        <w:overflowPunct/>
        <w:bidi w:val="0"/>
        <w:spacing w:line="360" w:lineRule="auto"/>
        <w:ind w:leftChars="500"/>
        <w:jc w:val="left"/>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t>招  标  人：</w:t>
      </w:r>
      <w:bookmarkEnd w:id="6"/>
      <w:bookmarkEnd w:id="7"/>
      <w:bookmarkEnd w:id="8"/>
      <w:r>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t>墨江哈尼族自治县联珠镇人民政府</w:t>
      </w:r>
    </w:p>
    <w:p w14:paraId="1D958474">
      <w:pPr>
        <w:pageBreakBefore w:val="0"/>
        <w:kinsoku/>
        <w:wordWrap/>
        <w:overflowPunct/>
        <w:bidi w:val="0"/>
        <w:spacing w:line="360" w:lineRule="auto"/>
        <w:ind w:leftChars="500"/>
        <w:jc w:val="left"/>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pPr>
      <w:bookmarkStart w:id="9" w:name="_Toc5798"/>
      <w:bookmarkStart w:id="10" w:name="_Toc20068"/>
      <w:bookmarkStart w:id="11" w:name="_Toc10537"/>
      <w:r>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t>招标代理机构：</w:t>
      </w:r>
      <w:bookmarkEnd w:id="9"/>
      <w:bookmarkEnd w:id="10"/>
      <w:bookmarkEnd w:id="11"/>
      <w:r>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t>云南玮赢工程咨询管理有限公司</w:t>
      </w:r>
    </w:p>
    <w:p w14:paraId="1A4753BE">
      <w:pPr>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b/>
          <w:color w:val="000000" w:themeColor="text1"/>
          <w:kern w:val="2"/>
          <w:position w:val="-6"/>
          <w:sz w:val="32"/>
          <w:szCs w:val="32"/>
          <w:lang w:val="en-US" w:eastAsia="zh-CN" w:bidi="ar-SA"/>
          <w14:textFill>
            <w14:solidFill>
              <w14:schemeClr w14:val="tx1"/>
            </w14:solidFill>
          </w14:textFill>
        </w:rPr>
        <w:t>日期：2026年5月</w:t>
      </w:r>
      <w:r>
        <w:rPr>
          <w:rFonts w:hint="eastAsia" w:asciiTheme="minorEastAsia" w:hAnsiTheme="minorEastAsia" w:eastAsiaTheme="minorEastAsia" w:cstheme="minorEastAsia"/>
          <w:sz w:val="36"/>
          <w:szCs w:val="36"/>
        </w:rPr>
        <w:br w:type="page"/>
      </w:r>
    </w:p>
    <w:p w14:paraId="03356B88">
      <w:pPr>
        <w:bidi w:val="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招标文件补充、细化说明</w:t>
      </w:r>
      <w:bookmarkEnd w:id="0"/>
      <w:bookmarkEnd w:id="1"/>
      <w:bookmarkEnd w:id="2"/>
    </w:p>
    <w:p w14:paraId="49D79B15">
      <w:pPr>
        <w:pageBreakBefore w:val="0"/>
        <w:widowControl/>
        <w:kinsoku/>
        <w:wordWrap/>
        <w:overflowPunct/>
        <w:bidi w:val="0"/>
        <w:adjustRightInd w:val="0"/>
        <w:snapToGrid w:val="0"/>
        <w:spacing w:line="360" w:lineRule="auto"/>
        <w:jc w:val="both"/>
        <w:rPr>
          <w:rFonts w:hint="eastAsia" w:asciiTheme="minorEastAsia" w:hAnsiTheme="minorEastAsia" w:eastAsiaTheme="minorEastAsia" w:cstheme="minorEastAsia"/>
          <w:color w:val="auto"/>
          <w:sz w:val="36"/>
          <w:szCs w:val="36"/>
          <w:highlight w:val="none"/>
        </w:rPr>
      </w:pPr>
    </w:p>
    <w:p w14:paraId="0704FD23">
      <w:pPr>
        <w:pageBreakBefore w:val="0"/>
        <w:kinsoku/>
        <w:wordWrap/>
        <w:overflowPunct/>
        <w:bidi w:val="0"/>
        <w:spacing w:line="360" w:lineRule="auto"/>
        <w:ind w:firstLine="480" w:firstLineChars="200"/>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一、本次“</w:t>
      </w:r>
      <w:r>
        <w:rPr>
          <w:rFonts w:hint="eastAsia" w:asciiTheme="minorEastAsia" w:hAnsiTheme="minorEastAsia" w:eastAsiaTheme="minorEastAsia" w:cstheme="minorEastAsia"/>
          <w:color w:val="auto"/>
          <w:sz w:val="24"/>
          <w:highlight w:val="none"/>
          <w:lang w:eastAsia="zh-CN"/>
        </w:rPr>
        <w:t>联珠镇愧竜村咖啡加工仓储车间设施项目 EPC</w:t>
      </w:r>
      <w:r>
        <w:rPr>
          <w:rFonts w:hint="eastAsia" w:asciiTheme="minorEastAsia" w:hAnsiTheme="minorEastAsia" w:eastAsiaTheme="minorEastAsia" w:cstheme="minorEastAsia"/>
          <w:color w:val="auto"/>
          <w:sz w:val="24"/>
          <w:highlight w:val="none"/>
        </w:rPr>
        <w:t>”招标文件根据《中华人民共和国招标投标法</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中华人民共和国招标投标法实施条例》并结合《标准设计施工总承包招标文件》（国家发展和改革委员会发改法规</w:t>
      </w:r>
      <w:r>
        <w:rPr>
          <w:rFonts w:hint="eastAsia" w:asciiTheme="minorEastAsia" w:hAnsiTheme="minorEastAsia" w:eastAsiaTheme="minorEastAsia" w:cstheme="minorEastAsia"/>
          <w:color w:val="auto"/>
          <w:sz w:val="24"/>
          <w:highlight w:val="none"/>
          <w:lang w:eastAsia="zh-CN"/>
        </w:rPr>
        <w:t>〔2011〕3018号</w:t>
      </w:r>
      <w:r>
        <w:rPr>
          <w:rFonts w:hint="eastAsia" w:asciiTheme="minorEastAsia" w:hAnsiTheme="minorEastAsia" w:eastAsiaTheme="minorEastAsia" w:cstheme="minorEastAsia"/>
          <w:color w:val="auto"/>
          <w:sz w:val="24"/>
          <w:highlight w:val="none"/>
        </w:rPr>
        <w:t>）、云南省电子招标的要求编制而成。</w:t>
      </w:r>
    </w:p>
    <w:p w14:paraId="5C7B41FE">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二、电子招标文件以云南省公共资源交易信息网下载为准，格式为*.BZBJ。投标人需及时关注网站并下载招标文件或招标文件的补遗澄清。投标文件需以云南省公共资源交易信息网上提供的招标文件（格式为</w:t>
      </w:r>
      <w:r>
        <w:rPr>
          <w:rFonts w:hint="eastAsia" w:asciiTheme="minorEastAsia" w:hAnsiTheme="minorEastAsia" w:eastAsiaTheme="minorEastAsia" w:cstheme="minorEastAsia"/>
          <w:bCs/>
          <w:color w:val="auto"/>
          <w:sz w:val="24"/>
          <w:highlight w:val="none"/>
          <w:lang w:eastAsia="zh-CN"/>
        </w:rPr>
        <w:t>*.BZBJ</w:t>
      </w:r>
      <w:r>
        <w:rPr>
          <w:rFonts w:hint="eastAsia" w:asciiTheme="minorEastAsia" w:hAnsiTheme="minorEastAsia" w:eastAsiaTheme="minorEastAsia" w:cstheme="minorEastAsia"/>
          <w:bCs/>
          <w:color w:val="auto"/>
          <w:sz w:val="24"/>
          <w:highlight w:val="none"/>
        </w:rPr>
        <w:t>）最新版本为准，并使用最新版“云南省工程建设模块化投标文件编制系统”制作。</w:t>
      </w:r>
    </w:p>
    <w:p w14:paraId="52E74C19">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招标文件有修改或补遗澄清的将同时修改“云南省工程建设模块化招标文件编制系统”制作完成的招标文件（格式为</w:t>
      </w:r>
      <w:r>
        <w:rPr>
          <w:rFonts w:hint="eastAsia" w:asciiTheme="minorEastAsia" w:hAnsiTheme="minorEastAsia" w:eastAsiaTheme="minorEastAsia" w:cstheme="minorEastAsia"/>
          <w:bCs/>
          <w:color w:val="auto"/>
          <w:sz w:val="24"/>
          <w:highlight w:val="none"/>
          <w:lang w:eastAsia="zh-CN"/>
        </w:rPr>
        <w:t>*.BZBJ</w:t>
      </w:r>
      <w:r>
        <w:rPr>
          <w:rFonts w:hint="eastAsia" w:asciiTheme="minorEastAsia" w:hAnsiTheme="minorEastAsia" w:eastAsiaTheme="minorEastAsia" w:cstheme="minorEastAsia"/>
          <w:bCs/>
          <w:color w:val="auto"/>
          <w:sz w:val="24"/>
          <w:highlight w:val="none"/>
        </w:rPr>
        <w:t>），投标人必须重新下载最新的电子招标文件（格式为</w:t>
      </w:r>
      <w:r>
        <w:rPr>
          <w:rFonts w:hint="eastAsia" w:asciiTheme="minorEastAsia" w:hAnsiTheme="minorEastAsia" w:eastAsiaTheme="minorEastAsia" w:cstheme="minorEastAsia"/>
          <w:bCs/>
          <w:color w:val="auto"/>
          <w:sz w:val="24"/>
          <w:highlight w:val="none"/>
          <w:lang w:eastAsia="zh-CN"/>
        </w:rPr>
        <w:t>*.BZBJ</w:t>
      </w:r>
      <w:r>
        <w:rPr>
          <w:rFonts w:hint="eastAsia" w:asciiTheme="minorEastAsia" w:hAnsiTheme="minorEastAsia" w:eastAsiaTheme="minorEastAsia" w:cstheme="minorEastAsia"/>
          <w:bCs/>
          <w:color w:val="auto"/>
          <w:sz w:val="24"/>
          <w:highlight w:val="none"/>
        </w:rPr>
        <w:t>）用于编制电子投标文件。</w:t>
      </w:r>
    </w:p>
    <w:p w14:paraId="093A1C49">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云南省公共资源交易信息网技术支持：北京筑龙信息技术有限责任公司，服务热线：010-86483801。</w:t>
      </w:r>
    </w:p>
    <w:p w14:paraId="0C6A6B21">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三、本招标文件中所提到的所有复印件均指</w:t>
      </w:r>
      <w:r>
        <w:rPr>
          <w:rFonts w:hint="eastAsia" w:asciiTheme="minorEastAsia" w:hAnsiTheme="minorEastAsia" w:eastAsiaTheme="minorEastAsia" w:cstheme="minorEastAsia"/>
          <w:bCs/>
          <w:color w:val="auto"/>
          <w:sz w:val="24"/>
          <w:highlight w:val="none"/>
          <w:lang w:val="en-US" w:eastAsia="zh-CN"/>
        </w:rPr>
        <w:t>原件</w:t>
      </w:r>
      <w:r>
        <w:rPr>
          <w:rFonts w:hint="eastAsia" w:asciiTheme="minorEastAsia" w:hAnsiTheme="minorEastAsia" w:eastAsiaTheme="minorEastAsia" w:cstheme="minorEastAsia"/>
          <w:bCs/>
          <w:color w:val="auto"/>
          <w:sz w:val="24"/>
          <w:highlight w:val="none"/>
        </w:rPr>
        <w:t>扫描件。</w:t>
      </w:r>
    </w:p>
    <w:p w14:paraId="41A98468">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四、本招标文件中所提到的时间除有特别说明外，均为北京时间。</w:t>
      </w:r>
    </w:p>
    <w:p w14:paraId="795ED88B">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五</w:t>
      </w:r>
      <w:r>
        <w:rPr>
          <w:rFonts w:hint="eastAsia" w:asciiTheme="minorEastAsia" w:hAnsiTheme="minorEastAsia" w:eastAsiaTheme="minorEastAsia" w:cstheme="minorEastAsia"/>
          <w:bCs/>
          <w:color w:val="auto"/>
          <w:sz w:val="24"/>
          <w:highlight w:val="none"/>
        </w:rPr>
        <w:t>、其他事项</w:t>
      </w:r>
    </w:p>
    <w:p w14:paraId="71DB041B">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招标文件中提到的时间除有特别说明外均指北京时间，招标文件中提到的货币单位除特别说明外均指人民币元。</w:t>
      </w:r>
    </w:p>
    <w:p w14:paraId="67FDFA38">
      <w:pPr>
        <w:pageBreakBefore w:val="0"/>
        <w:kinsoku/>
        <w:wordWrap/>
        <w:overflowPunct/>
        <w:autoSpaceDE w:val="0"/>
        <w:autoSpaceDN w:val="0"/>
        <w:bidi w:val="0"/>
        <w:spacing w:before="60" w:beforeLines="25" w:after="60" w:afterLines="25" w:line="360" w:lineRule="auto"/>
        <w:ind w:firstLine="480" w:firstLineChars="200"/>
        <w:jc w:val="both"/>
        <w:rPr>
          <w:rFonts w:hint="eastAsia" w:asciiTheme="minorEastAsia" w:hAnsiTheme="minorEastAsia" w:eastAsiaTheme="minorEastAsia" w:cstheme="minorEastAsia"/>
          <w:bCs/>
          <w:color w:val="auto"/>
          <w:sz w:val="24"/>
          <w:highlight w:val="none"/>
        </w:rPr>
      </w:pPr>
      <w:bookmarkStart w:id="12" w:name="_Toc2777"/>
      <w:bookmarkStart w:id="13" w:name="_Toc18610"/>
      <w:r>
        <w:rPr>
          <w:rFonts w:hint="eastAsia" w:asciiTheme="minorEastAsia" w:hAnsiTheme="minorEastAsia" w:eastAsiaTheme="minorEastAsia" w:cstheme="minorEastAsia"/>
          <w:bCs/>
          <w:color w:val="auto"/>
          <w:sz w:val="24"/>
          <w:highlight w:val="none"/>
        </w:rPr>
        <w:t>本招标文件中的“注</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rPr>
        <w:t>注意</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rPr>
        <w:t>注意事项</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rPr>
        <w:t>备注”等与正文具有同等效力。</w:t>
      </w:r>
    </w:p>
    <w:bookmarkEnd w:id="12"/>
    <w:bookmarkEnd w:id="13"/>
    <w:p w14:paraId="01CC46F2">
      <w:pPr>
        <w:rPr>
          <w:rFonts w:hint="eastAsia" w:asciiTheme="minorEastAsia" w:hAnsiTheme="minorEastAsia" w:eastAsiaTheme="minorEastAsia" w:cstheme="minorEastAsia"/>
          <w:i w:val="0"/>
          <w:iCs w:val="0"/>
          <w:color w:val="auto"/>
          <w:position w:val="0"/>
          <w:sz w:val="32"/>
          <w:szCs w:val="32"/>
          <w:highlight w:val="none"/>
        </w:rPr>
      </w:pPr>
      <w:r>
        <w:rPr>
          <w:rFonts w:hint="eastAsia" w:asciiTheme="minorEastAsia" w:hAnsiTheme="minorEastAsia" w:eastAsiaTheme="minorEastAsia" w:cstheme="minorEastAsia"/>
          <w:i w:val="0"/>
          <w:iCs w:val="0"/>
          <w:color w:val="auto"/>
          <w:position w:val="0"/>
          <w:sz w:val="32"/>
          <w:szCs w:val="32"/>
          <w:highlight w:val="none"/>
        </w:rPr>
        <w:br w:type="page"/>
      </w:r>
    </w:p>
    <w:p w14:paraId="4E0367B7">
      <w:pPr>
        <w:pageBreakBefore w:val="0"/>
        <w:kinsoku/>
        <w:wordWrap/>
        <w:overflowPunct/>
        <w:bidi w:val="0"/>
        <w:spacing w:before="120" w:beforeLines="50" w:after="120" w:afterLines="50" w:line="360" w:lineRule="auto"/>
        <w:jc w:val="center"/>
        <w:rPr>
          <w:rFonts w:hint="eastAsia" w:asciiTheme="minorEastAsia" w:hAnsiTheme="minorEastAsia" w:eastAsiaTheme="minorEastAsia" w:cstheme="minorEastAsia"/>
          <w:b/>
          <w:bCs/>
          <w:i w:val="0"/>
          <w:iCs w:val="0"/>
          <w:color w:val="auto"/>
          <w:position w:val="0"/>
          <w:sz w:val="48"/>
          <w:szCs w:val="48"/>
          <w:highlight w:val="none"/>
        </w:rPr>
      </w:pPr>
      <w:r>
        <w:rPr>
          <w:rFonts w:hint="eastAsia" w:asciiTheme="minorEastAsia" w:hAnsiTheme="minorEastAsia" w:eastAsiaTheme="minorEastAsia" w:cstheme="minorEastAsia"/>
          <w:b/>
          <w:bCs/>
          <w:i w:val="0"/>
          <w:iCs w:val="0"/>
          <w:color w:val="auto"/>
          <w:position w:val="0"/>
          <w:sz w:val="48"/>
          <w:szCs w:val="48"/>
          <w:highlight w:val="none"/>
        </w:rPr>
        <w:t>目  录</w:t>
      </w:r>
    </w:p>
    <w:p w14:paraId="593AF909">
      <w:pPr>
        <w:rPr>
          <w:rFonts w:hint="eastAsia" w:asciiTheme="minorEastAsia" w:hAnsiTheme="minorEastAsia" w:eastAsiaTheme="minorEastAsia" w:cstheme="minorEastAsia"/>
        </w:rPr>
      </w:pPr>
    </w:p>
    <w:p w14:paraId="3E561EE4">
      <w:pPr>
        <w:pStyle w:val="33"/>
        <w:tabs>
          <w:tab w:val="right" w:leader="dot" w:pos="9746"/>
        </w:tabs>
        <w:spacing w:line="360" w:lineRule="auto"/>
        <w:rPr>
          <w:rFonts w:hint="eastAsia" w:ascii="黑体" w:hAnsi="黑体" w:eastAsia="黑体" w:cs="黑体"/>
          <w:sz w:val="32"/>
          <w:szCs w:val="32"/>
        </w:rPr>
      </w:pPr>
      <w:bookmarkStart w:id="14" w:name="_Toc2969"/>
      <w:bookmarkStart w:id="15" w:name="_Toc19480"/>
      <w:r>
        <w:rPr>
          <w:rFonts w:hint="eastAsia" w:ascii="黑体" w:hAnsi="黑体" w:eastAsia="黑体" w:cs="黑体"/>
          <w:bCs/>
          <w:i w:val="0"/>
          <w:iCs w:val="0"/>
          <w:caps/>
          <w:color w:val="auto"/>
          <w:position w:val="0"/>
          <w:sz w:val="32"/>
          <w:szCs w:val="36"/>
          <w:highlight w:val="none"/>
        </w:rPr>
        <w:fldChar w:fldCharType="begin"/>
      </w:r>
      <w:r>
        <w:rPr>
          <w:rFonts w:hint="eastAsia" w:ascii="黑体" w:hAnsi="黑体" w:eastAsia="黑体" w:cs="黑体"/>
          <w:bCs/>
          <w:i w:val="0"/>
          <w:iCs w:val="0"/>
          <w:caps/>
          <w:color w:val="auto"/>
          <w:position w:val="0"/>
          <w:sz w:val="32"/>
          <w:szCs w:val="36"/>
          <w:highlight w:val="none"/>
        </w:rPr>
        <w:instrText xml:space="preserve">TOC \o "1-1" \h \u </w:instrText>
      </w:r>
      <w:r>
        <w:rPr>
          <w:rFonts w:hint="eastAsia" w:ascii="黑体" w:hAnsi="黑体" w:eastAsia="黑体" w:cs="黑体"/>
          <w:bCs/>
          <w:i w:val="0"/>
          <w:iCs w:val="0"/>
          <w:caps/>
          <w:color w:val="auto"/>
          <w:position w:val="0"/>
          <w:sz w:val="32"/>
          <w:szCs w:val="36"/>
          <w:highlight w:val="none"/>
        </w:rPr>
        <w:fldChar w:fldCharType="separate"/>
      </w:r>
      <w:r>
        <w:rPr>
          <w:rFonts w:hint="eastAsia" w:ascii="黑体" w:hAnsi="黑体" w:eastAsia="黑体" w:cs="黑体"/>
          <w:bCs/>
          <w:i w:val="0"/>
          <w:iCs w:val="0"/>
          <w:caps/>
          <w:color w:val="auto"/>
          <w:position w:val="0"/>
          <w:sz w:val="32"/>
          <w:szCs w:val="36"/>
          <w:highlight w:val="none"/>
        </w:rPr>
        <w:fldChar w:fldCharType="begin"/>
      </w:r>
      <w:r>
        <w:rPr>
          <w:rFonts w:hint="eastAsia" w:ascii="黑体" w:hAnsi="黑体" w:eastAsia="黑体" w:cs="黑体"/>
          <w:bCs/>
          <w:i w:val="0"/>
          <w:iCs w:val="0"/>
          <w:caps/>
          <w:position w:val="0"/>
          <w:sz w:val="32"/>
          <w:szCs w:val="36"/>
          <w:highlight w:val="none"/>
        </w:rPr>
        <w:instrText xml:space="preserve"> HYPERLINK \l _Toc7938 </w:instrText>
      </w:r>
      <w:r>
        <w:rPr>
          <w:rFonts w:hint="eastAsia" w:ascii="黑体" w:hAnsi="黑体" w:eastAsia="黑体" w:cs="黑体"/>
          <w:bCs/>
          <w:i w:val="0"/>
          <w:iCs w:val="0"/>
          <w:caps/>
          <w:position w:val="0"/>
          <w:sz w:val="32"/>
          <w:szCs w:val="36"/>
          <w:highlight w:val="none"/>
        </w:rPr>
        <w:fldChar w:fldCharType="separate"/>
      </w:r>
      <w:r>
        <w:rPr>
          <w:rFonts w:hint="eastAsia" w:ascii="黑体" w:hAnsi="黑体" w:eastAsia="黑体" w:cs="黑体"/>
          <w:bCs w:val="0"/>
          <w:kern w:val="2"/>
          <w:sz w:val="32"/>
          <w:szCs w:val="52"/>
          <w:highlight w:val="none"/>
          <w:lang w:val="en-US" w:eastAsia="zh-CN"/>
        </w:rPr>
        <w:t>第一章  招标公告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_Toc7938 \h </w:instrText>
      </w:r>
      <w:r>
        <w:rPr>
          <w:rFonts w:hint="eastAsia" w:ascii="黑体" w:hAnsi="黑体" w:eastAsia="黑体" w:cs="黑体"/>
          <w:sz w:val="32"/>
          <w:szCs w:val="32"/>
        </w:rPr>
        <w:fldChar w:fldCharType="separate"/>
      </w:r>
      <w:r>
        <w:rPr>
          <w:rFonts w:hint="eastAsia" w:ascii="黑体" w:hAnsi="黑体" w:eastAsia="黑体" w:cs="黑体"/>
          <w:sz w:val="32"/>
          <w:szCs w:val="32"/>
        </w:rPr>
        <w:t>4</w:t>
      </w:r>
      <w:r>
        <w:rPr>
          <w:rFonts w:hint="eastAsia" w:ascii="黑体" w:hAnsi="黑体" w:eastAsia="黑体" w:cs="黑体"/>
          <w:sz w:val="32"/>
          <w:szCs w:val="32"/>
        </w:rPr>
        <w:fldChar w:fldCharType="end"/>
      </w:r>
      <w:r>
        <w:rPr>
          <w:rFonts w:hint="eastAsia" w:ascii="黑体" w:hAnsi="黑体" w:eastAsia="黑体" w:cs="黑体"/>
          <w:bCs/>
          <w:i w:val="0"/>
          <w:iCs w:val="0"/>
          <w:caps/>
          <w:color w:val="auto"/>
          <w:position w:val="0"/>
          <w:sz w:val="32"/>
          <w:szCs w:val="36"/>
          <w:highlight w:val="none"/>
        </w:rPr>
        <w:fldChar w:fldCharType="end"/>
      </w:r>
    </w:p>
    <w:p w14:paraId="0D91642C">
      <w:pPr>
        <w:pStyle w:val="33"/>
        <w:tabs>
          <w:tab w:val="right" w:leader="dot" w:pos="9746"/>
        </w:tabs>
        <w:spacing w:line="360" w:lineRule="auto"/>
        <w:rPr>
          <w:rFonts w:hint="eastAsia" w:ascii="黑体" w:hAnsi="黑体" w:eastAsia="黑体" w:cs="黑体"/>
          <w:sz w:val="32"/>
          <w:szCs w:val="32"/>
        </w:rPr>
      </w:pPr>
      <w:r>
        <w:rPr>
          <w:rFonts w:hint="eastAsia" w:ascii="黑体" w:hAnsi="黑体" w:eastAsia="黑体" w:cs="黑体"/>
          <w:bCs/>
          <w:i w:val="0"/>
          <w:iCs w:val="0"/>
          <w:caps/>
          <w:color w:val="auto"/>
          <w:position w:val="0"/>
          <w:sz w:val="32"/>
          <w:szCs w:val="36"/>
          <w:highlight w:val="none"/>
        </w:rPr>
        <w:fldChar w:fldCharType="begin"/>
      </w:r>
      <w:r>
        <w:rPr>
          <w:rFonts w:hint="eastAsia" w:ascii="黑体" w:hAnsi="黑体" w:eastAsia="黑体" w:cs="黑体"/>
          <w:bCs/>
          <w:i w:val="0"/>
          <w:iCs w:val="0"/>
          <w:caps/>
          <w:position w:val="0"/>
          <w:sz w:val="32"/>
          <w:szCs w:val="36"/>
          <w:highlight w:val="none"/>
        </w:rPr>
        <w:instrText xml:space="preserve"> HYPERLINK \l _Toc14194 </w:instrText>
      </w:r>
      <w:r>
        <w:rPr>
          <w:rFonts w:hint="eastAsia" w:ascii="黑体" w:hAnsi="黑体" w:eastAsia="黑体" w:cs="黑体"/>
          <w:bCs/>
          <w:i w:val="0"/>
          <w:iCs w:val="0"/>
          <w:caps/>
          <w:position w:val="0"/>
          <w:sz w:val="32"/>
          <w:szCs w:val="36"/>
          <w:highlight w:val="none"/>
        </w:rPr>
        <w:fldChar w:fldCharType="separate"/>
      </w:r>
      <w:r>
        <w:rPr>
          <w:rFonts w:hint="eastAsia" w:ascii="黑体" w:hAnsi="黑体" w:eastAsia="黑体" w:cs="黑体"/>
          <w:bCs w:val="0"/>
          <w:kern w:val="2"/>
          <w:sz w:val="32"/>
          <w:szCs w:val="52"/>
          <w:highlight w:val="none"/>
          <w:lang w:val="en-US" w:eastAsia="zh-CN"/>
        </w:rPr>
        <w:t>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_Toc14194 \h </w:instrText>
      </w:r>
      <w:r>
        <w:rPr>
          <w:rFonts w:hint="eastAsia" w:ascii="黑体" w:hAnsi="黑体" w:eastAsia="黑体" w:cs="黑体"/>
          <w:sz w:val="32"/>
          <w:szCs w:val="32"/>
        </w:rPr>
        <w:fldChar w:fldCharType="separate"/>
      </w:r>
      <w:r>
        <w:rPr>
          <w:rFonts w:hint="eastAsia" w:ascii="黑体" w:hAnsi="黑体" w:eastAsia="黑体" w:cs="黑体"/>
          <w:sz w:val="32"/>
          <w:szCs w:val="32"/>
        </w:rPr>
        <w:t>9</w:t>
      </w:r>
      <w:r>
        <w:rPr>
          <w:rFonts w:hint="eastAsia" w:ascii="黑体" w:hAnsi="黑体" w:eastAsia="黑体" w:cs="黑体"/>
          <w:sz w:val="32"/>
          <w:szCs w:val="32"/>
        </w:rPr>
        <w:fldChar w:fldCharType="end"/>
      </w:r>
      <w:r>
        <w:rPr>
          <w:rFonts w:hint="eastAsia" w:ascii="黑体" w:hAnsi="黑体" w:eastAsia="黑体" w:cs="黑体"/>
          <w:bCs/>
          <w:i w:val="0"/>
          <w:iCs w:val="0"/>
          <w:caps/>
          <w:color w:val="auto"/>
          <w:position w:val="0"/>
          <w:sz w:val="32"/>
          <w:szCs w:val="36"/>
          <w:highlight w:val="none"/>
        </w:rPr>
        <w:fldChar w:fldCharType="end"/>
      </w:r>
    </w:p>
    <w:p w14:paraId="30FD6055">
      <w:pPr>
        <w:pStyle w:val="33"/>
        <w:tabs>
          <w:tab w:val="right" w:leader="dot" w:pos="9746"/>
        </w:tabs>
        <w:spacing w:line="360" w:lineRule="auto"/>
        <w:rPr>
          <w:rFonts w:hint="eastAsia" w:ascii="黑体" w:hAnsi="黑体" w:eastAsia="黑体" w:cs="黑体"/>
          <w:sz w:val="32"/>
          <w:szCs w:val="32"/>
        </w:rPr>
      </w:pPr>
      <w:r>
        <w:rPr>
          <w:rFonts w:hint="eastAsia" w:ascii="黑体" w:hAnsi="黑体" w:eastAsia="黑体" w:cs="黑体"/>
          <w:bCs/>
          <w:i w:val="0"/>
          <w:iCs w:val="0"/>
          <w:caps/>
          <w:color w:val="auto"/>
          <w:position w:val="0"/>
          <w:sz w:val="32"/>
          <w:szCs w:val="36"/>
          <w:highlight w:val="none"/>
        </w:rPr>
        <w:fldChar w:fldCharType="begin"/>
      </w:r>
      <w:r>
        <w:rPr>
          <w:rFonts w:hint="eastAsia" w:ascii="黑体" w:hAnsi="黑体" w:eastAsia="黑体" w:cs="黑体"/>
          <w:bCs/>
          <w:i w:val="0"/>
          <w:iCs w:val="0"/>
          <w:caps/>
          <w:position w:val="0"/>
          <w:sz w:val="32"/>
          <w:szCs w:val="36"/>
          <w:highlight w:val="none"/>
        </w:rPr>
        <w:instrText xml:space="preserve"> HYPERLINK \l _Toc12933 </w:instrText>
      </w:r>
      <w:r>
        <w:rPr>
          <w:rFonts w:hint="eastAsia" w:ascii="黑体" w:hAnsi="黑体" w:eastAsia="黑体" w:cs="黑体"/>
          <w:bCs/>
          <w:i w:val="0"/>
          <w:iCs w:val="0"/>
          <w:caps/>
          <w:position w:val="0"/>
          <w:sz w:val="32"/>
          <w:szCs w:val="36"/>
          <w:highlight w:val="none"/>
        </w:rPr>
        <w:fldChar w:fldCharType="separate"/>
      </w:r>
      <w:r>
        <w:rPr>
          <w:rFonts w:hint="eastAsia" w:ascii="黑体" w:hAnsi="黑体" w:eastAsia="黑体" w:cs="黑体"/>
          <w:bCs w:val="0"/>
          <w:kern w:val="2"/>
          <w:sz w:val="32"/>
          <w:szCs w:val="52"/>
          <w:highlight w:val="none"/>
          <w:lang w:val="en-US" w:eastAsia="zh-CN"/>
        </w:rPr>
        <w:t xml:space="preserve">第三章  </w:t>
      </w:r>
      <w:r>
        <w:rPr>
          <w:rFonts w:hint="eastAsia" w:ascii="黑体" w:hAnsi="黑体" w:eastAsia="黑体" w:cs="黑体"/>
          <w:bCs/>
          <w:position w:val="0"/>
          <w:sz w:val="32"/>
          <w:szCs w:val="48"/>
          <w:highlight w:val="none"/>
        </w:rPr>
        <w:t>评标办法（综合评估法）</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_Toc12933 \h </w:instrText>
      </w:r>
      <w:r>
        <w:rPr>
          <w:rFonts w:hint="eastAsia" w:ascii="黑体" w:hAnsi="黑体" w:eastAsia="黑体" w:cs="黑体"/>
          <w:sz w:val="32"/>
          <w:szCs w:val="32"/>
        </w:rPr>
        <w:fldChar w:fldCharType="separate"/>
      </w:r>
      <w:r>
        <w:rPr>
          <w:rFonts w:hint="eastAsia" w:ascii="黑体" w:hAnsi="黑体" w:eastAsia="黑体" w:cs="黑体"/>
          <w:sz w:val="32"/>
          <w:szCs w:val="32"/>
        </w:rPr>
        <w:t>30</w:t>
      </w:r>
      <w:r>
        <w:rPr>
          <w:rFonts w:hint="eastAsia" w:ascii="黑体" w:hAnsi="黑体" w:eastAsia="黑体" w:cs="黑体"/>
          <w:sz w:val="32"/>
          <w:szCs w:val="32"/>
        </w:rPr>
        <w:fldChar w:fldCharType="end"/>
      </w:r>
      <w:r>
        <w:rPr>
          <w:rFonts w:hint="eastAsia" w:ascii="黑体" w:hAnsi="黑体" w:eastAsia="黑体" w:cs="黑体"/>
          <w:bCs/>
          <w:i w:val="0"/>
          <w:iCs w:val="0"/>
          <w:caps/>
          <w:color w:val="auto"/>
          <w:position w:val="0"/>
          <w:sz w:val="32"/>
          <w:szCs w:val="36"/>
          <w:highlight w:val="none"/>
        </w:rPr>
        <w:fldChar w:fldCharType="end"/>
      </w:r>
    </w:p>
    <w:p w14:paraId="20156C4E">
      <w:pPr>
        <w:pStyle w:val="33"/>
        <w:tabs>
          <w:tab w:val="right" w:leader="dot" w:pos="9746"/>
        </w:tabs>
        <w:spacing w:line="360" w:lineRule="auto"/>
        <w:rPr>
          <w:rFonts w:hint="eastAsia" w:ascii="黑体" w:hAnsi="黑体" w:eastAsia="黑体" w:cs="黑体"/>
          <w:sz w:val="32"/>
          <w:szCs w:val="32"/>
        </w:rPr>
      </w:pPr>
      <w:r>
        <w:rPr>
          <w:rFonts w:hint="eastAsia" w:ascii="黑体" w:hAnsi="黑体" w:eastAsia="黑体" w:cs="黑体"/>
          <w:bCs/>
          <w:i w:val="0"/>
          <w:iCs w:val="0"/>
          <w:caps/>
          <w:color w:val="auto"/>
          <w:position w:val="0"/>
          <w:sz w:val="32"/>
          <w:szCs w:val="36"/>
          <w:highlight w:val="none"/>
        </w:rPr>
        <w:fldChar w:fldCharType="begin"/>
      </w:r>
      <w:r>
        <w:rPr>
          <w:rFonts w:hint="eastAsia" w:ascii="黑体" w:hAnsi="黑体" w:eastAsia="黑体" w:cs="黑体"/>
          <w:bCs/>
          <w:i w:val="0"/>
          <w:iCs w:val="0"/>
          <w:caps/>
          <w:position w:val="0"/>
          <w:sz w:val="32"/>
          <w:szCs w:val="36"/>
          <w:highlight w:val="none"/>
        </w:rPr>
        <w:instrText xml:space="preserve"> HYPERLINK \l _Toc345 </w:instrText>
      </w:r>
      <w:r>
        <w:rPr>
          <w:rFonts w:hint="eastAsia" w:ascii="黑体" w:hAnsi="黑体" w:eastAsia="黑体" w:cs="黑体"/>
          <w:bCs/>
          <w:i w:val="0"/>
          <w:iCs w:val="0"/>
          <w:caps/>
          <w:position w:val="0"/>
          <w:sz w:val="32"/>
          <w:szCs w:val="36"/>
          <w:highlight w:val="none"/>
        </w:rPr>
        <w:fldChar w:fldCharType="separate"/>
      </w:r>
      <w:r>
        <w:rPr>
          <w:rFonts w:hint="eastAsia" w:ascii="黑体" w:hAnsi="黑体" w:eastAsia="黑体" w:cs="黑体"/>
          <w:bCs w:val="0"/>
          <w:kern w:val="2"/>
          <w:sz w:val="32"/>
          <w:szCs w:val="52"/>
          <w:highlight w:val="none"/>
          <w:lang w:val="en-US" w:eastAsia="zh-CN"/>
        </w:rPr>
        <w:t>第四章  合同条款及格式（该合同条款仅供参考）</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_Toc345 \h </w:instrText>
      </w:r>
      <w:r>
        <w:rPr>
          <w:rFonts w:hint="eastAsia" w:ascii="黑体" w:hAnsi="黑体" w:eastAsia="黑体" w:cs="黑体"/>
          <w:sz w:val="32"/>
          <w:szCs w:val="32"/>
        </w:rPr>
        <w:fldChar w:fldCharType="separate"/>
      </w:r>
      <w:r>
        <w:rPr>
          <w:rFonts w:hint="eastAsia" w:ascii="黑体" w:hAnsi="黑体" w:eastAsia="黑体" w:cs="黑体"/>
          <w:sz w:val="32"/>
          <w:szCs w:val="32"/>
        </w:rPr>
        <w:t>39</w:t>
      </w:r>
      <w:r>
        <w:rPr>
          <w:rFonts w:hint="eastAsia" w:ascii="黑体" w:hAnsi="黑体" w:eastAsia="黑体" w:cs="黑体"/>
          <w:sz w:val="32"/>
          <w:szCs w:val="32"/>
        </w:rPr>
        <w:fldChar w:fldCharType="end"/>
      </w:r>
      <w:r>
        <w:rPr>
          <w:rFonts w:hint="eastAsia" w:ascii="黑体" w:hAnsi="黑体" w:eastAsia="黑体" w:cs="黑体"/>
          <w:bCs/>
          <w:i w:val="0"/>
          <w:iCs w:val="0"/>
          <w:caps/>
          <w:color w:val="auto"/>
          <w:position w:val="0"/>
          <w:sz w:val="32"/>
          <w:szCs w:val="36"/>
          <w:highlight w:val="none"/>
        </w:rPr>
        <w:fldChar w:fldCharType="end"/>
      </w:r>
    </w:p>
    <w:p w14:paraId="1549A78B">
      <w:pPr>
        <w:pStyle w:val="33"/>
        <w:tabs>
          <w:tab w:val="right" w:leader="dot" w:pos="9746"/>
        </w:tabs>
        <w:spacing w:line="360" w:lineRule="auto"/>
        <w:rPr>
          <w:rFonts w:hint="eastAsia" w:ascii="黑体" w:hAnsi="黑体" w:eastAsia="黑体" w:cs="黑体"/>
          <w:sz w:val="32"/>
          <w:szCs w:val="32"/>
        </w:rPr>
      </w:pPr>
      <w:r>
        <w:rPr>
          <w:rFonts w:hint="eastAsia" w:ascii="黑体" w:hAnsi="黑体" w:eastAsia="黑体" w:cs="黑体"/>
          <w:bCs/>
          <w:i w:val="0"/>
          <w:iCs w:val="0"/>
          <w:caps/>
          <w:color w:val="auto"/>
          <w:position w:val="0"/>
          <w:sz w:val="32"/>
          <w:szCs w:val="36"/>
          <w:highlight w:val="none"/>
        </w:rPr>
        <w:fldChar w:fldCharType="begin"/>
      </w:r>
      <w:r>
        <w:rPr>
          <w:rFonts w:hint="eastAsia" w:ascii="黑体" w:hAnsi="黑体" w:eastAsia="黑体" w:cs="黑体"/>
          <w:bCs/>
          <w:i w:val="0"/>
          <w:iCs w:val="0"/>
          <w:caps/>
          <w:position w:val="0"/>
          <w:sz w:val="32"/>
          <w:szCs w:val="36"/>
          <w:highlight w:val="none"/>
        </w:rPr>
        <w:instrText xml:space="preserve"> HYPERLINK \l _Toc27946 </w:instrText>
      </w:r>
      <w:r>
        <w:rPr>
          <w:rFonts w:hint="eastAsia" w:ascii="黑体" w:hAnsi="黑体" w:eastAsia="黑体" w:cs="黑体"/>
          <w:bCs/>
          <w:i w:val="0"/>
          <w:iCs w:val="0"/>
          <w:caps/>
          <w:position w:val="0"/>
          <w:sz w:val="32"/>
          <w:szCs w:val="36"/>
          <w:highlight w:val="none"/>
        </w:rPr>
        <w:fldChar w:fldCharType="separate"/>
      </w:r>
      <w:r>
        <w:rPr>
          <w:rFonts w:hint="eastAsia" w:ascii="黑体" w:hAnsi="黑体" w:eastAsia="黑体" w:cs="黑体"/>
          <w:bCs w:val="0"/>
          <w:kern w:val="2"/>
          <w:sz w:val="32"/>
          <w:szCs w:val="52"/>
          <w:highlight w:val="none"/>
          <w:lang w:val="en-US" w:eastAsia="zh-CN"/>
        </w:rPr>
        <w:t>第五章  发包人要求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_Toc27946 \h </w:instrText>
      </w:r>
      <w:r>
        <w:rPr>
          <w:rFonts w:hint="eastAsia" w:ascii="黑体" w:hAnsi="黑体" w:eastAsia="黑体" w:cs="黑体"/>
          <w:sz w:val="32"/>
          <w:szCs w:val="32"/>
        </w:rPr>
        <w:fldChar w:fldCharType="separate"/>
      </w:r>
      <w:r>
        <w:rPr>
          <w:rFonts w:hint="eastAsia" w:ascii="黑体" w:hAnsi="黑体" w:eastAsia="黑体" w:cs="黑体"/>
          <w:sz w:val="32"/>
          <w:szCs w:val="32"/>
        </w:rPr>
        <w:t>167</w:t>
      </w:r>
      <w:r>
        <w:rPr>
          <w:rFonts w:hint="eastAsia" w:ascii="黑体" w:hAnsi="黑体" w:eastAsia="黑体" w:cs="黑体"/>
          <w:sz w:val="32"/>
          <w:szCs w:val="32"/>
        </w:rPr>
        <w:fldChar w:fldCharType="end"/>
      </w:r>
      <w:r>
        <w:rPr>
          <w:rFonts w:hint="eastAsia" w:ascii="黑体" w:hAnsi="黑体" w:eastAsia="黑体" w:cs="黑体"/>
          <w:bCs/>
          <w:i w:val="0"/>
          <w:iCs w:val="0"/>
          <w:caps/>
          <w:color w:val="auto"/>
          <w:position w:val="0"/>
          <w:sz w:val="32"/>
          <w:szCs w:val="36"/>
          <w:highlight w:val="none"/>
        </w:rPr>
        <w:fldChar w:fldCharType="end"/>
      </w:r>
    </w:p>
    <w:p w14:paraId="446DCEF8">
      <w:pPr>
        <w:pStyle w:val="33"/>
        <w:tabs>
          <w:tab w:val="right" w:leader="dot" w:pos="9746"/>
        </w:tabs>
        <w:spacing w:line="360" w:lineRule="auto"/>
        <w:rPr>
          <w:rFonts w:hint="default" w:ascii="黑体" w:hAnsi="黑体" w:eastAsia="黑体" w:cs="黑体"/>
          <w:bCs/>
          <w:i w:val="0"/>
          <w:iCs w:val="0"/>
          <w:caps/>
          <w:color w:val="auto"/>
          <w:position w:val="0"/>
          <w:sz w:val="32"/>
          <w:szCs w:val="36"/>
          <w:highlight w:val="none"/>
          <w:lang w:val="en-US" w:eastAsia="zh-CN"/>
        </w:rPr>
      </w:pPr>
      <w:r>
        <w:rPr>
          <w:rFonts w:hint="eastAsia" w:ascii="黑体" w:hAnsi="黑体" w:eastAsia="黑体" w:cs="黑体"/>
          <w:bCs/>
          <w:i w:val="0"/>
          <w:iCs w:val="0"/>
          <w:caps/>
          <w:color w:val="auto"/>
          <w:position w:val="0"/>
          <w:sz w:val="32"/>
          <w:szCs w:val="36"/>
          <w:highlight w:val="none"/>
        </w:rPr>
        <w:fldChar w:fldCharType="begin"/>
      </w:r>
      <w:r>
        <w:rPr>
          <w:rFonts w:hint="eastAsia" w:ascii="黑体" w:hAnsi="黑体" w:eastAsia="黑体" w:cs="黑体"/>
          <w:bCs/>
          <w:i w:val="0"/>
          <w:iCs w:val="0"/>
          <w:caps/>
          <w:color w:val="auto"/>
          <w:position w:val="0"/>
          <w:sz w:val="32"/>
          <w:szCs w:val="36"/>
          <w:highlight w:val="none"/>
        </w:rPr>
        <w:instrText xml:space="preserve"> HYPERLINK \l _Toc6011 </w:instrText>
      </w:r>
      <w:r>
        <w:rPr>
          <w:rFonts w:hint="eastAsia" w:ascii="黑体" w:hAnsi="黑体" w:eastAsia="黑体" w:cs="黑体"/>
          <w:bCs/>
          <w:i w:val="0"/>
          <w:iCs w:val="0"/>
          <w:caps/>
          <w:color w:val="auto"/>
          <w:position w:val="0"/>
          <w:sz w:val="32"/>
          <w:szCs w:val="36"/>
          <w:highlight w:val="none"/>
        </w:rPr>
        <w:fldChar w:fldCharType="separate"/>
      </w:r>
      <w:r>
        <w:rPr>
          <w:rFonts w:hint="eastAsia" w:ascii="黑体" w:hAnsi="黑体" w:eastAsia="黑体" w:cs="黑体"/>
          <w:bCs/>
          <w:i w:val="0"/>
          <w:iCs w:val="0"/>
          <w:caps/>
          <w:color w:val="auto"/>
          <w:position w:val="0"/>
          <w:sz w:val="32"/>
          <w:szCs w:val="36"/>
          <w:highlight w:val="none"/>
          <w:lang w:val="en-US" w:eastAsia="zh-CN"/>
        </w:rPr>
        <w:t>第六章  投标文件格式</w:t>
      </w:r>
      <w:r>
        <w:rPr>
          <w:rFonts w:hint="eastAsia" w:ascii="黑体" w:hAnsi="黑体" w:eastAsia="黑体" w:cs="黑体"/>
          <w:bCs/>
          <w:i w:val="0"/>
          <w:iCs w:val="0"/>
          <w:caps/>
          <w:color w:val="auto"/>
          <w:position w:val="0"/>
          <w:sz w:val="32"/>
          <w:szCs w:val="36"/>
          <w:highlight w:val="none"/>
        </w:rPr>
        <w:tab/>
      </w:r>
      <w:r>
        <w:rPr>
          <w:rFonts w:hint="eastAsia" w:ascii="黑体" w:hAnsi="黑体" w:eastAsia="黑体" w:cs="黑体"/>
          <w:bCs/>
          <w:i w:val="0"/>
          <w:iCs w:val="0"/>
          <w:caps/>
          <w:color w:val="auto"/>
          <w:position w:val="0"/>
          <w:sz w:val="32"/>
          <w:szCs w:val="36"/>
          <w:highlight w:val="none"/>
          <w:lang w:val="en-US" w:eastAsia="zh-CN"/>
        </w:rPr>
        <w:t>1</w:t>
      </w:r>
      <w:r>
        <w:rPr>
          <w:rFonts w:hint="eastAsia" w:ascii="黑体" w:hAnsi="黑体" w:eastAsia="黑体" w:cs="黑体"/>
          <w:bCs/>
          <w:i w:val="0"/>
          <w:iCs w:val="0"/>
          <w:caps/>
          <w:color w:val="auto"/>
          <w:position w:val="0"/>
          <w:sz w:val="32"/>
          <w:szCs w:val="36"/>
          <w:highlight w:val="none"/>
        </w:rPr>
        <w:fldChar w:fldCharType="end"/>
      </w:r>
      <w:r>
        <w:rPr>
          <w:rFonts w:hint="eastAsia" w:ascii="黑体" w:hAnsi="黑体" w:eastAsia="黑体" w:cs="黑体"/>
          <w:bCs/>
          <w:i w:val="0"/>
          <w:iCs w:val="0"/>
          <w:caps/>
          <w:color w:val="auto"/>
          <w:position w:val="0"/>
          <w:sz w:val="32"/>
          <w:szCs w:val="36"/>
          <w:highlight w:val="none"/>
          <w:lang w:val="en-US" w:eastAsia="zh-CN"/>
        </w:rPr>
        <w:t>69</w:t>
      </w:r>
    </w:p>
    <w:p w14:paraId="0D5BAB36">
      <w:pPr>
        <w:pStyle w:val="2"/>
        <w:pageBreakBefore w:val="0"/>
        <w:widowControl w:val="0"/>
        <w:tabs>
          <w:tab w:val="center" w:pos="4213"/>
          <w:tab w:val="left" w:pos="6584"/>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Cs/>
          <w:i w:val="0"/>
          <w:iCs w:val="0"/>
          <w:caps/>
          <w:color w:val="auto"/>
          <w:position w:val="0"/>
          <w:szCs w:val="21"/>
          <w:highlight w:val="none"/>
        </w:rPr>
      </w:pPr>
      <w:r>
        <w:rPr>
          <w:rFonts w:hint="eastAsia" w:ascii="黑体" w:hAnsi="黑体" w:eastAsia="黑体" w:cs="黑体"/>
          <w:bCs/>
          <w:i w:val="0"/>
          <w:iCs w:val="0"/>
          <w:caps/>
          <w:color w:val="auto"/>
          <w:position w:val="0"/>
          <w:sz w:val="72"/>
          <w:szCs w:val="36"/>
          <w:highlight w:val="none"/>
        </w:rPr>
        <w:fldChar w:fldCharType="end"/>
      </w:r>
    </w:p>
    <w:p w14:paraId="1C3ACD19">
      <w:pPr>
        <w:rPr>
          <w:rFonts w:hint="eastAsia" w:asciiTheme="minorEastAsia" w:hAnsiTheme="minorEastAsia" w:eastAsiaTheme="minorEastAsia" w:cstheme="minorEastAsia"/>
          <w:b/>
          <w:bCs w:val="0"/>
          <w:color w:val="auto"/>
          <w:kern w:val="2"/>
          <w:sz w:val="32"/>
          <w:szCs w:val="32"/>
          <w:highlight w:val="none"/>
          <w:lang w:val="en-US" w:eastAsia="zh-CN"/>
        </w:rPr>
      </w:pPr>
      <w:r>
        <w:rPr>
          <w:rFonts w:hint="eastAsia" w:asciiTheme="minorEastAsia" w:hAnsiTheme="minorEastAsia" w:eastAsiaTheme="minorEastAsia" w:cstheme="minorEastAsia"/>
          <w:b/>
          <w:bCs w:val="0"/>
          <w:color w:val="auto"/>
          <w:kern w:val="2"/>
          <w:sz w:val="32"/>
          <w:szCs w:val="32"/>
          <w:highlight w:val="none"/>
          <w:lang w:val="en-US" w:eastAsia="zh-CN"/>
        </w:rPr>
        <w:br w:type="page"/>
      </w:r>
    </w:p>
    <w:p w14:paraId="482B38E8">
      <w:pPr>
        <w:pStyle w:val="2"/>
        <w:pageBreakBefore w:val="0"/>
        <w:kinsoku/>
        <w:wordWrap/>
        <w:overflowPunct/>
        <w:bidi w:val="0"/>
        <w:spacing w:line="360" w:lineRule="auto"/>
        <w:jc w:val="center"/>
        <w:rPr>
          <w:rFonts w:hint="eastAsia" w:asciiTheme="minorEastAsia" w:hAnsiTheme="minorEastAsia" w:eastAsiaTheme="minorEastAsia" w:cstheme="minorEastAsia"/>
          <w:b/>
          <w:bCs w:val="0"/>
          <w:color w:val="auto"/>
          <w:kern w:val="2"/>
          <w:sz w:val="32"/>
          <w:szCs w:val="32"/>
          <w:highlight w:val="none"/>
          <w:lang w:val="en-US" w:eastAsia="zh-CN"/>
        </w:rPr>
      </w:pPr>
      <w:bookmarkStart w:id="16" w:name="_Toc7938"/>
      <w:r>
        <w:rPr>
          <w:rFonts w:hint="eastAsia" w:asciiTheme="minorEastAsia" w:hAnsiTheme="minorEastAsia" w:eastAsiaTheme="minorEastAsia" w:cstheme="minorEastAsia"/>
          <w:b/>
          <w:bCs w:val="0"/>
          <w:color w:val="auto"/>
          <w:kern w:val="2"/>
          <w:sz w:val="32"/>
          <w:szCs w:val="32"/>
          <w:highlight w:val="none"/>
          <w:lang w:val="en-US" w:eastAsia="zh-CN"/>
        </w:rPr>
        <w:t>第一章  招标公告</w:t>
      </w:r>
      <w:bookmarkEnd w:id="14"/>
      <w:bookmarkEnd w:id="15"/>
      <w:bookmarkEnd w:id="16"/>
    </w:p>
    <w:p w14:paraId="4D0D265A">
      <w:pPr>
        <w:pageBreakBefore w:val="0"/>
        <w:numPr>
          <w:ilvl w:val="0"/>
          <w:numId w:val="0"/>
        </w:numPr>
        <w:kinsoku/>
        <w:wordWrap/>
        <w:overflowPunct/>
        <w:bidi w:val="0"/>
        <w:spacing w:line="360" w:lineRule="auto"/>
        <w:jc w:val="center"/>
        <w:outlineLvl w:val="9"/>
        <w:rPr>
          <w:rFonts w:hint="eastAsia" w:asciiTheme="minorEastAsia" w:hAnsiTheme="minorEastAsia" w:eastAsiaTheme="minorEastAsia" w:cstheme="minorEastAsia"/>
          <w:b/>
          <w:bCs w:val="0"/>
          <w:color w:val="auto"/>
          <w:position w:val="0"/>
          <w:sz w:val="32"/>
          <w:szCs w:val="32"/>
          <w:highlight w:val="none"/>
          <w:lang w:eastAsia="zh-CN"/>
        </w:rPr>
      </w:pPr>
    </w:p>
    <w:p w14:paraId="5DEBDB99">
      <w:pPr>
        <w:pageBreakBefore w:val="0"/>
        <w:numPr>
          <w:ilvl w:val="0"/>
          <w:numId w:val="0"/>
        </w:numPr>
        <w:kinsoku/>
        <w:wordWrap/>
        <w:overflowPunct/>
        <w:bidi w:val="0"/>
        <w:spacing w:line="360" w:lineRule="auto"/>
        <w:jc w:val="center"/>
        <w:outlineLvl w:val="9"/>
        <w:rPr>
          <w:rFonts w:hint="eastAsia" w:asciiTheme="minorEastAsia" w:hAnsiTheme="minorEastAsia" w:eastAsiaTheme="minorEastAsia" w:cstheme="minorEastAsia"/>
          <w:b w:val="0"/>
          <w:color w:val="auto"/>
          <w:position w:val="0"/>
          <w:sz w:val="28"/>
          <w:szCs w:val="28"/>
          <w:highlight w:val="none"/>
        </w:rPr>
      </w:pPr>
      <w:r>
        <w:rPr>
          <w:rFonts w:hint="eastAsia" w:asciiTheme="minorEastAsia" w:hAnsiTheme="minorEastAsia" w:eastAsiaTheme="minorEastAsia" w:cstheme="minorEastAsia"/>
          <w:b/>
          <w:bCs w:val="0"/>
          <w:color w:val="auto"/>
          <w:position w:val="0"/>
          <w:sz w:val="32"/>
          <w:szCs w:val="32"/>
          <w:highlight w:val="none"/>
          <w:lang w:eastAsia="zh-CN"/>
        </w:rPr>
        <w:t>联珠镇愧竜村咖啡加工仓储车间设施项目EPC</w:t>
      </w:r>
      <w:r>
        <w:rPr>
          <w:rFonts w:hint="eastAsia" w:asciiTheme="minorEastAsia" w:hAnsiTheme="minorEastAsia" w:eastAsiaTheme="minorEastAsia" w:cstheme="minorEastAsia"/>
          <w:b/>
          <w:bCs w:val="0"/>
          <w:color w:val="auto"/>
          <w:position w:val="0"/>
          <w:sz w:val="32"/>
          <w:szCs w:val="32"/>
          <w:highlight w:val="none"/>
        </w:rPr>
        <w:t>招标公告</w:t>
      </w:r>
      <w:bookmarkStart w:id="17" w:name="_Toc247527535"/>
      <w:bookmarkStart w:id="18" w:name="_Toc144974480"/>
      <w:bookmarkStart w:id="19" w:name="_Toc300834929"/>
      <w:bookmarkStart w:id="20" w:name="_Toc128571925"/>
      <w:bookmarkStart w:id="21" w:name="_Toc128577740"/>
      <w:bookmarkStart w:id="22" w:name="_Toc152042288"/>
      <w:bookmarkStart w:id="23" w:name="_Toc247513934"/>
      <w:bookmarkStart w:id="24" w:name="_Toc152045512"/>
      <w:bookmarkStart w:id="25" w:name="_Toc237763091"/>
      <w:bookmarkStart w:id="26" w:name="_Toc237754290"/>
      <w:bookmarkStart w:id="27" w:name="_Toc445300878"/>
      <w:bookmarkStart w:id="28" w:name="_Hlk517168856"/>
      <w:bookmarkStart w:id="29" w:name="_Toc237761413"/>
      <w:bookmarkStart w:id="30" w:name="_Toc237754706"/>
      <w:bookmarkStart w:id="31" w:name="_Toc237754498"/>
      <w:bookmarkStart w:id="32" w:name="_Toc237759124"/>
      <w:bookmarkStart w:id="33" w:name="_Toc457987407"/>
      <w:bookmarkStart w:id="34" w:name="_Toc445303752"/>
      <w:bookmarkStart w:id="35" w:name="_Toc485895041"/>
    </w:p>
    <w:p w14:paraId="069AC9BE">
      <w:pPr>
        <w:pageBreakBefore w:val="0"/>
        <w:widowControl w:val="0"/>
        <w:kinsoku/>
        <w:wordWrap/>
        <w:overflowPunct/>
        <w:autoSpaceDE/>
        <w:autoSpaceDN/>
        <w:bidi w:val="0"/>
        <w:spacing w:line="360" w:lineRule="auto"/>
        <w:ind w:firstLine="482" w:firstLineChars="200"/>
        <w:jc w:val="both"/>
        <w:outlineLvl w:val="9"/>
        <w:rPr>
          <w:rFonts w:hint="eastAsia" w:asciiTheme="minorEastAsia" w:hAnsiTheme="minorEastAsia" w:eastAsiaTheme="minorEastAsia" w:cstheme="minorEastAsia"/>
          <w:b/>
          <w:bCs w:val="0"/>
          <w:color w:val="auto"/>
          <w:position w:val="0"/>
          <w:sz w:val="24"/>
          <w:szCs w:val="24"/>
          <w:highlight w:val="none"/>
        </w:rPr>
      </w:pPr>
      <w:bookmarkStart w:id="36" w:name="_Toc17671"/>
    </w:p>
    <w:p w14:paraId="75858F56">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rPr>
      </w:pPr>
      <w:r>
        <w:rPr>
          <w:rFonts w:hint="eastAsia" w:asciiTheme="minorEastAsia" w:hAnsiTheme="minorEastAsia" w:eastAsiaTheme="minorEastAsia" w:cstheme="minorEastAsia"/>
          <w:b/>
          <w:bCs w:val="0"/>
          <w:color w:val="auto"/>
          <w:position w:val="0"/>
          <w:sz w:val="24"/>
          <w:szCs w:val="24"/>
          <w:highlight w:val="none"/>
          <w:lang w:val="en-US" w:eastAsia="zh-CN"/>
        </w:rPr>
        <w:t>一、</w:t>
      </w:r>
      <w:r>
        <w:rPr>
          <w:rFonts w:hint="eastAsia" w:asciiTheme="minorEastAsia" w:hAnsiTheme="minorEastAsia" w:eastAsiaTheme="minorEastAsia" w:cstheme="minorEastAsia"/>
          <w:b/>
          <w:bCs w:val="0"/>
          <w:color w:val="auto"/>
          <w:position w:val="0"/>
          <w:sz w:val="24"/>
          <w:szCs w:val="24"/>
          <w:highlight w:val="none"/>
        </w:rPr>
        <w:t>招标条件</w:t>
      </w:r>
      <w:bookmarkEnd w:id="17"/>
      <w:bookmarkEnd w:id="18"/>
      <w:bookmarkEnd w:id="19"/>
      <w:bookmarkEnd w:id="20"/>
      <w:bookmarkEnd w:id="21"/>
      <w:bookmarkEnd w:id="22"/>
      <w:bookmarkEnd w:id="23"/>
      <w:bookmarkEnd w:id="24"/>
      <w:bookmarkEnd w:id="36"/>
    </w:p>
    <w:p w14:paraId="1301EFA2">
      <w:pPr>
        <w:pageBreakBefore w:val="0"/>
        <w:widowControl w:val="0"/>
        <w:kinsoku/>
        <w:wordWrap/>
        <w:overflowPunct/>
        <w:autoSpaceDE/>
        <w:autoSpaceDN/>
        <w:bidi w:val="0"/>
        <w:spacing w:line="360" w:lineRule="auto"/>
        <w:ind w:firstLine="480" w:firstLineChars="200"/>
        <w:jc w:val="both"/>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本招标项目</w:t>
      </w:r>
      <w:r>
        <w:rPr>
          <w:rFonts w:hint="eastAsia" w:asciiTheme="minorEastAsia" w:hAnsiTheme="minorEastAsia" w:eastAsiaTheme="minorEastAsia" w:cstheme="minorEastAsia"/>
          <w:b/>
          <w:bCs w:val="0"/>
          <w:color w:val="auto"/>
          <w:sz w:val="24"/>
          <w:szCs w:val="24"/>
          <w:highlight w:val="none"/>
          <w:u w:val="single"/>
          <w:lang w:eastAsia="zh-CN"/>
        </w:rPr>
        <w:t>联珠镇愧竜村咖啡加工仓储车间设施项目</w:t>
      </w:r>
      <w:r>
        <w:rPr>
          <w:rFonts w:hint="eastAsia" w:asciiTheme="minorEastAsia" w:hAnsiTheme="minorEastAsia" w:eastAsiaTheme="minorEastAsia" w:cstheme="minorEastAsia"/>
          <w:bCs/>
          <w:color w:val="auto"/>
          <w:sz w:val="24"/>
          <w:szCs w:val="24"/>
          <w:highlight w:val="none"/>
        </w:rPr>
        <w:t>已由</w:t>
      </w:r>
      <w:r>
        <w:rPr>
          <w:rFonts w:hint="eastAsia" w:asciiTheme="minorEastAsia" w:hAnsiTheme="minorEastAsia" w:eastAsiaTheme="minorEastAsia" w:cstheme="minorEastAsia"/>
          <w:b/>
          <w:bCs w:val="0"/>
          <w:color w:val="auto"/>
          <w:sz w:val="24"/>
          <w:szCs w:val="24"/>
          <w:highlight w:val="none"/>
          <w:u w:val="single"/>
          <w:lang w:val="en-US" w:eastAsia="zh-CN"/>
        </w:rPr>
        <w:t>中共墨江哈尼族自治县委农村工作领导小组办公室</w:t>
      </w:r>
      <w:r>
        <w:rPr>
          <w:rFonts w:hint="eastAsia" w:asciiTheme="minorEastAsia" w:hAnsiTheme="minorEastAsia" w:eastAsiaTheme="minorEastAsia" w:cstheme="minorEastAsia"/>
          <w:bCs/>
          <w:color w:val="auto"/>
          <w:sz w:val="24"/>
          <w:szCs w:val="24"/>
          <w:highlight w:val="none"/>
        </w:rPr>
        <w:t>以</w:t>
      </w:r>
      <w:r>
        <w:rPr>
          <w:rFonts w:hint="eastAsia" w:asciiTheme="minorEastAsia" w:hAnsiTheme="minorEastAsia" w:eastAsiaTheme="minorEastAsia" w:cstheme="minorEastAsia"/>
          <w:b/>
          <w:bCs w:val="0"/>
          <w:color w:val="auto"/>
          <w:sz w:val="24"/>
          <w:szCs w:val="24"/>
          <w:highlight w:val="none"/>
          <w:u w:val="single"/>
          <w:lang w:val="en-US" w:eastAsia="zh-CN"/>
        </w:rPr>
        <w:t>墨农领办复〔2026〕8号</w:t>
      </w:r>
      <w:r>
        <w:rPr>
          <w:rFonts w:hint="eastAsia" w:asciiTheme="minorEastAsia" w:hAnsiTheme="minorEastAsia" w:eastAsiaTheme="minorEastAsia" w:cstheme="minorEastAsia"/>
          <w:b w:val="0"/>
          <w:bCs/>
          <w:color w:val="auto"/>
          <w:sz w:val="24"/>
          <w:szCs w:val="24"/>
          <w:highlight w:val="none"/>
          <w:u w:val="none"/>
          <w:lang w:val="en-US" w:eastAsia="zh-CN"/>
        </w:rPr>
        <w:t>文</w:t>
      </w:r>
      <w:r>
        <w:rPr>
          <w:rFonts w:hint="eastAsia" w:asciiTheme="minorEastAsia" w:hAnsiTheme="minorEastAsia" w:eastAsiaTheme="minorEastAsia" w:cstheme="minorEastAsia"/>
          <w:bCs/>
          <w:color w:val="auto"/>
          <w:sz w:val="24"/>
          <w:szCs w:val="24"/>
          <w:highlight w:val="none"/>
        </w:rPr>
        <w:t>批准建设，项目业主为</w:t>
      </w:r>
      <w:r>
        <w:rPr>
          <w:rFonts w:hint="eastAsia" w:asciiTheme="minorEastAsia" w:hAnsiTheme="minorEastAsia" w:eastAsiaTheme="minorEastAsia" w:cstheme="minorEastAsia"/>
          <w:b/>
          <w:bCs w:val="0"/>
          <w:color w:val="auto"/>
          <w:sz w:val="24"/>
          <w:szCs w:val="24"/>
          <w:highlight w:val="none"/>
          <w:u w:val="single"/>
          <w:lang w:eastAsia="zh-CN"/>
        </w:rPr>
        <w:t>墨江哈尼族自治县联珠镇人民政府</w:t>
      </w:r>
      <w:r>
        <w:rPr>
          <w:rFonts w:hint="eastAsia" w:asciiTheme="minorEastAsia" w:hAnsiTheme="minorEastAsia" w:eastAsiaTheme="minorEastAsia" w:cstheme="minorEastAsia"/>
          <w:bCs/>
          <w:color w:val="auto"/>
          <w:sz w:val="24"/>
          <w:szCs w:val="24"/>
          <w:highlight w:val="none"/>
        </w:rPr>
        <w:t>，建设资金来自</w:t>
      </w:r>
      <w:r>
        <w:rPr>
          <w:rFonts w:hint="eastAsia" w:asciiTheme="minorEastAsia" w:hAnsiTheme="minorEastAsia" w:eastAsiaTheme="minorEastAsia" w:cstheme="minorEastAsia"/>
          <w:b/>
          <w:bCs w:val="0"/>
          <w:color w:val="auto"/>
          <w:sz w:val="24"/>
          <w:szCs w:val="24"/>
          <w:highlight w:val="none"/>
          <w:u w:val="single"/>
          <w:lang w:val="en-US" w:eastAsia="zh-CN"/>
        </w:rPr>
        <w:t>上海市对口帮扶项目资金及自筹</w:t>
      </w:r>
      <w:r>
        <w:rPr>
          <w:rFonts w:hint="eastAsia" w:asciiTheme="minorEastAsia" w:hAnsiTheme="minorEastAsia" w:eastAsiaTheme="minorEastAsia" w:cstheme="minorEastAsia"/>
          <w:bCs/>
          <w:color w:val="auto"/>
          <w:sz w:val="24"/>
          <w:szCs w:val="24"/>
          <w:highlight w:val="none"/>
        </w:rPr>
        <w:t>，项目出资比例为</w:t>
      </w:r>
      <w:r>
        <w:rPr>
          <w:rFonts w:hint="eastAsia" w:asciiTheme="minorEastAsia" w:hAnsiTheme="minorEastAsia" w:eastAsiaTheme="minorEastAsia" w:cstheme="minorEastAsia"/>
          <w:bCs/>
          <w:color w:val="auto"/>
          <w:sz w:val="24"/>
          <w:szCs w:val="24"/>
          <w:highlight w:val="none"/>
          <w:u w:val="single"/>
        </w:rPr>
        <w:t>100%</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lang w:val="en-US" w:eastAsia="zh-CN"/>
        </w:rPr>
        <w:t>招标代理机构为</w:t>
      </w:r>
      <w:r>
        <w:rPr>
          <w:rFonts w:hint="eastAsia" w:asciiTheme="minorEastAsia" w:hAnsiTheme="minorEastAsia" w:eastAsiaTheme="minorEastAsia" w:cstheme="minorEastAsia"/>
          <w:b/>
          <w:bCs w:val="0"/>
          <w:color w:val="auto"/>
          <w:sz w:val="24"/>
          <w:szCs w:val="24"/>
          <w:highlight w:val="none"/>
          <w:u w:val="single"/>
          <w:lang w:val="en-US" w:eastAsia="zh-CN"/>
        </w:rPr>
        <w:t>云南玮赢工程咨询管理有限公司</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该</w:t>
      </w:r>
      <w:r>
        <w:rPr>
          <w:rFonts w:hint="eastAsia" w:asciiTheme="minorEastAsia" w:hAnsiTheme="minorEastAsia" w:eastAsiaTheme="minorEastAsia" w:cstheme="minorEastAsia"/>
          <w:bCs/>
          <w:color w:val="auto"/>
          <w:sz w:val="24"/>
          <w:szCs w:val="24"/>
          <w:highlight w:val="none"/>
        </w:rPr>
        <w:t>项目已具备招标条件，现对该项目的</w:t>
      </w:r>
      <w:r>
        <w:rPr>
          <w:rFonts w:hint="eastAsia" w:asciiTheme="minorEastAsia" w:hAnsiTheme="minorEastAsia" w:eastAsiaTheme="minorEastAsia" w:cstheme="minorEastAsia"/>
          <w:b/>
          <w:bCs w:val="0"/>
          <w:color w:val="auto"/>
          <w:sz w:val="24"/>
          <w:szCs w:val="24"/>
          <w:highlight w:val="none"/>
          <w:u w:val="single"/>
          <w:lang w:val="en-US" w:eastAsia="zh-CN"/>
        </w:rPr>
        <w:t>设计施工总承包</w:t>
      </w:r>
      <w:r>
        <w:rPr>
          <w:rFonts w:hint="eastAsia" w:asciiTheme="minorEastAsia" w:hAnsiTheme="minorEastAsia" w:eastAsiaTheme="minorEastAsia" w:cstheme="minorEastAsia"/>
          <w:bCs/>
          <w:color w:val="auto"/>
          <w:sz w:val="24"/>
          <w:szCs w:val="24"/>
          <w:highlight w:val="none"/>
        </w:rPr>
        <w:t>进行公开招标。</w:t>
      </w:r>
    </w:p>
    <w:bookmarkEnd w:id="25"/>
    <w:bookmarkEnd w:id="26"/>
    <w:bookmarkEnd w:id="27"/>
    <w:bookmarkEnd w:id="28"/>
    <w:bookmarkEnd w:id="29"/>
    <w:bookmarkEnd w:id="30"/>
    <w:bookmarkEnd w:id="31"/>
    <w:bookmarkEnd w:id="32"/>
    <w:bookmarkEnd w:id="33"/>
    <w:bookmarkEnd w:id="34"/>
    <w:bookmarkEnd w:id="35"/>
    <w:p w14:paraId="602E28B3">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bookmarkStart w:id="37" w:name="_Toc300834930"/>
      <w:bookmarkStart w:id="38" w:name="_Toc144974481"/>
      <w:bookmarkStart w:id="39" w:name="_Toc247527536"/>
      <w:bookmarkStart w:id="40" w:name="_Toc152042289"/>
      <w:bookmarkStart w:id="41" w:name="_Toc128571926"/>
      <w:bookmarkStart w:id="42" w:name="_Toc152045513"/>
      <w:bookmarkStart w:id="43" w:name="_Toc128577741"/>
      <w:bookmarkStart w:id="44" w:name="_Toc247513935"/>
      <w:bookmarkStart w:id="45" w:name="_Toc14387"/>
      <w:r>
        <w:rPr>
          <w:rFonts w:hint="eastAsia" w:asciiTheme="minorEastAsia" w:hAnsiTheme="minorEastAsia" w:eastAsiaTheme="minorEastAsia" w:cstheme="minorEastAsia"/>
          <w:b/>
          <w:bCs w:val="0"/>
          <w:color w:val="auto"/>
          <w:position w:val="0"/>
          <w:sz w:val="24"/>
          <w:szCs w:val="24"/>
          <w:highlight w:val="none"/>
          <w:lang w:val="en-US" w:eastAsia="zh-CN"/>
        </w:rPr>
        <w:t>二、项目概况与招标范围</w:t>
      </w:r>
      <w:bookmarkEnd w:id="37"/>
      <w:bookmarkEnd w:id="38"/>
      <w:bookmarkEnd w:id="39"/>
      <w:bookmarkEnd w:id="40"/>
      <w:bookmarkEnd w:id="41"/>
      <w:bookmarkEnd w:id="42"/>
      <w:bookmarkEnd w:id="43"/>
      <w:bookmarkEnd w:id="44"/>
      <w:bookmarkEnd w:id="45"/>
    </w:p>
    <w:p w14:paraId="5693E11D">
      <w:pPr>
        <w:pageBreakBefore w:val="0"/>
        <w:widowControl w:val="0"/>
        <w:kinsoku/>
        <w:wordWrap/>
        <w:overflowPunct/>
        <w:topLinePunct/>
        <w:autoSpaceDE/>
        <w:autoSpaceDN/>
        <w:bidi w:val="0"/>
        <w:spacing w:line="360" w:lineRule="auto"/>
        <w:ind w:firstLine="482" w:firstLineChars="200"/>
        <w:jc w:val="both"/>
        <w:rPr>
          <w:rFonts w:hint="eastAsia" w:asciiTheme="minorEastAsia" w:hAnsiTheme="minorEastAsia" w:eastAsiaTheme="minorEastAsia" w:cstheme="minorEastAsia"/>
          <w:b/>
          <w:bCs w:val="0"/>
          <w:snapToGrid w:val="0"/>
          <w:color w:val="auto"/>
          <w:kern w:val="0"/>
          <w:sz w:val="24"/>
          <w:szCs w:val="24"/>
          <w:highlight w:val="none"/>
          <w:shd w:val="clear" w:color="auto" w:fill="FFFFFF"/>
        </w:rPr>
      </w:pP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val="en-US" w:eastAsia="zh-CN"/>
        </w:rPr>
        <w:t>1、项目</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概况：</w:t>
      </w:r>
    </w:p>
    <w:p w14:paraId="3E420645">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snapToGrid w:val="0"/>
          <w:color w:val="auto"/>
          <w:kern w:val="0"/>
          <w:sz w:val="24"/>
          <w:szCs w:val="24"/>
          <w:highlight w:val="none"/>
          <w:shd w:val="clear" w:color="auto" w:fill="FFFFFF"/>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1</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项目名称：</w:t>
      </w:r>
      <w:r>
        <w:rPr>
          <w:rFonts w:hint="eastAsia" w:asciiTheme="minorEastAsia" w:hAnsiTheme="minorEastAsia" w:eastAsiaTheme="minorEastAsia" w:cstheme="minorEastAsia"/>
          <w:bCs/>
          <w:snapToGrid w:val="0"/>
          <w:color w:val="auto"/>
          <w:kern w:val="0"/>
          <w:position w:val="0"/>
          <w:sz w:val="24"/>
          <w:szCs w:val="24"/>
          <w:highlight w:val="none"/>
          <w:shd w:val="clear" w:color="auto" w:fill="FFFFFF"/>
          <w:lang w:eastAsia="zh-CN"/>
        </w:rPr>
        <w:t>联珠镇愧竜村咖啡加工仓储车间设施项目EPC</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w:t>
      </w:r>
    </w:p>
    <w:p w14:paraId="666E9A40">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项目概算总投资：</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计划总投资为1650万元，此次招标金额</w:t>
      </w:r>
      <w:r>
        <w:rPr>
          <w:rFonts w:hint="eastAsia" w:asciiTheme="minorEastAsia" w:hAnsiTheme="minorEastAsia" w:eastAsiaTheme="minorEastAsia" w:cstheme="minorEastAsia"/>
          <w:b w:val="0"/>
          <w:color w:val="auto"/>
          <w:position w:val="0"/>
          <w:sz w:val="24"/>
          <w:szCs w:val="24"/>
          <w:highlight w:val="none"/>
          <w:lang w:val="en-US" w:eastAsia="zh-CN"/>
        </w:rPr>
        <w:t>为836万元</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（其中建筑安装工程费820万元，工程设计费16万元)</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w:t>
      </w:r>
    </w:p>
    <w:p w14:paraId="6D13C6BF">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snapToGrid w:val="0"/>
          <w:color w:val="auto"/>
          <w:kern w:val="0"/>
          <w:sz w:val="24"/>
          <w:szCs w:val="24"/>
          <w:highlight w:val="none"/>
          <w:shd w:val="clear" w:color="auto" w:fill="FFFFFF"/>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3</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项目建设地点：</w:t>
      </w:r>
      <w:r>
        <w:rPr>
          <w:rFonts w:hint="eastAsia" w:asciiTheme="minorEastAsia" w:hAnsiTheme="minorEastAsia" w:eastAsiaTheme="minorEastAsia" w:cstheme="minorEastAsia"/>
          <w:b w:val="0"/>
          <w:bCs/>
          <w:color w:val="auto"/>
          <w:kern w:val="2"/>
          <w:position w:val="0"/>
          <w:sz w:val="24"/>
          <w:szCs w:val="24"/>
          <w:highlight w:val="none"/>
          <w:lang w:val="en-US" w:eastAsia="zh-CN" w:bidi="ar-SA"/>
        </w:rPr>
        <w:t>墨江县联珠镇愧竜村</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w:t>
      </w:r>
    </w:p>
    <w:p w14:paraId="7E5CF356">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b/>
          <w:bCs/>
          <w:snapToGrid w:val="0"/>
          <w:color w:val="auto"/>
          <w:kern w:val="0"/>
          <w:sz w:val="24"/>
          <w:szCs w:val="24"/>
          <w:highlight w:val="none"/>
          <w:shd w:val="clear" w:color="auto" w:fill="FFFFFF"/>
          <w:lang w:eastAsia="zh-CN"/>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4</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发包模式：</w:t>
      </w:r>
      <w:r>
        <w:rPr>
          <w:rFonts w:hint="eastAsia" w:asciiTheme="minorEastAsia" w:hAnsiTheme="minorEastAsia" w:eastAsiaTheme="minorEastAsia" w:cstheme="minorEastAsia"/>
          <w:bCs/>
          <w:snapToGrid w:val="0"/>
          <w:color w:val="auto"/>
          <w:kern w:val="0"/>
          <w:position w:val="0"/>
          <w:sz w:val="24"/>
          <w:szCs w:val="24"/>
          <w:highlight w:val="none"/>
          <w:shd w:val="clear" w:color="auto" w:fill="FFFFFF"/>
          <w:lang w:val="en-US" w:eastAsia="zh-CN"/>
        </w:rPr>
        <w:t>工程总承包</w:t>
      </w:r>
      <w:r>
        <w:rPr>
          <w:rFonts w:hint="eastAsia" w:asciiTheme="minorEastAsia" w:hAnsiTheme="minorEastAsia" w:eastAsiaTheme="minorEastAsia" w:cstheme="minorEastAsia"/>
          <w:bCs/>
          <w:snapToGrid w:val="0"/>
          <w:color w:val="auto"/>
          <w:kern w:val="0"/>
          <w:position w:val="0"/>
          <w:sz w:val="24"/>
          <w:szCs w:val="24"/>
          <w:highlight w:val="none"/>
          <w:shd w:val="clear" w:color="auto" w:fill="FFFFFF"/>
        </w:rPr>
        <w:t>模式</w:t>
      </w:r>
      <w:r>
        <w:rPr>
          <w:rFonts w:hint="eastAsia" w:asciiTheme="minorEastAsia" w:hAnsiTheme="minorEastAsia" w:eastAsiaTheme="minorEastAsia" w:cstheme="minorEastAsia"/>
          <w:bCs/>
          <w:snapToGrid w:val="0"/>
          <w:color w:val="auto"/>
          <w:kern w:val="0"/>
          <w:position w:val="0"/>
          <w:sz w:val="24"/>
          <w:szCs w:val="24"/>
          <w:highlight w:val="none"/>
          <w:shd w:val="clear" w:color="auto" w:fill="FFFFFF"/>
          <w:lang w:eastAsia="zh-CN"/>
        </w:rPr>
        <w:t>（EPC）。</w:t>
      </w:r>
    </w:p>
    <w:p w14:paraId="3E85B6E0">
      <w:pPr>
        <w:keepNext w:val="0"/>
        <w:keepLines w:val="0"/>
        <w:pageBreakBefore w:val="0"/>
        <w:widowControl w:val="0"/>
        <w:kinsoku/>
        <w:wordWrap/>
        <w:overflowPunct/>
        <w:topLinePunct/>
        <w:autoSpaceDE/>
        <w:autoSpaceDN/>
        <w:bidi w:val="0"/>
        <w:adjustRightInd/>
        <w:snapToGrid/>
        <w:spacing w:line="360" w:lineRule="auto"/>
        <w:ind w:firstLine="482" w:firstLineChars="200"/>
        <w:jc w:val="both"/>
        <w:textAlignment w:val="auto"/>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pP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2</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建设</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val="en-US" w:eastAsia="zh-CN"/>
        </w:rPr>
        <w:t>内容</w:t>
      </w:r>
      <w:r>
        <w:rPr>
          <w:rFonts w:hint="eastAsia" w:asciiTheme="minorEastAsia" w:hAnsiTheme="minorEastAsia" w:eastAsiaTheme="minorEastAsia" w:cstheme="minorEastAsia"/>
          <w:bCs/>
          <w:snapToGrid w:val="0"/>
          <w:color w:val="auto"/>
          <w:kern w:val="0"/>
          <w:position w:val="0"/>
          <w:sz w:val="24"/>
          <w:szCs w:val="24"/>
          <w:highlight w:val="none"/>
          <w:shd w:val="clear" w:color="auto" w:fill="FFFFFF"/>
        </w:rPr>
        <w:t>：</w:t>
      </w:r>
    </w:p>
    <w:p w14:paraId="14492CAC">
      <w:pPr>
        <w:keepNext w:val="0"/>
        <w:keepLines w:val="0"/>
        <w:pageBreakBefore w:val="0"/>
        <w:widowControl w:val="0"/>
        <w:kinsoku/>
        <w:wordWrap/>
        <w:overflowPunct/>
        <w:topLinePunct/>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b w:val="0"/>
          <w:bCs/>
          <w:color w:val="auto"/>
          <w:kern w:val="2"/>
          <w:position w:val="0"/>
          <w:sz w:val="24"/>
          <w:szCs w:val="24"/>
          <w:highlight w:val="none"/>
          <w:lang w:val="en-US" w:eastAsia="zh-CN" w:bidi="ar-SA"/>
        </w:rPr>
      </w:pPr>
      <w:r>
        <w:rPr>
          <w:rFonts w:hint="eastAsia" w:asciiTheme="minorEastAsia" w:hAnsiTheme="minorEastAsia" w:eastAsiaTheme="minorEastAsia" w:cstheme="minorEastAsia"/>
          <w:b w:val="0"/>
          <w:bCs/>
          <w:color w:val="auto"/>
          <w:kern w:val="2"/>
          <w:position w:val="0"/>
          <w:sz w:val="24"/>
          <w:szCs w:val="24"/>
          <w:highlight w:val="none"/>
          <w:lang w:val="en-US" w:eastAsia="zh-CN" w:bidi="ar-SA"/>
        </w:rPr>
        <w:t>联珠镇愧竜村咖啡加工仓储车间设施项目位于墨江县联珠镇愧竜村，项目建设总用地面积1833平方米（约2.75亩），拟建设1栋咖啡精加工、体验销售、仓储、研发为一体的咖啡中心，总建筑面积1968平方米，其中咖啡精加工车间600平方米，咖啡加工体验、销售和仓储区1068平方米，拼配、杯测、研发车间300平方米，室内外给排水、电力配套等附属设施1项，场地平整1900平方米。</w:t>
      </w:r>
    </w:p>
    <w:p w14:paraId="6409C9C6">
      <w:pPr>
        <w:keepNext w:val="0"/>
        <w:keepLines w:val="0"/>
        <w:pageBreakBefore w:val="0"/>
        <w:widowControl w:val="0"/>
        <w:kinsoku/>
        <w:wordWrap/>
        <w:overflowPunct/>
        <w:topLinePunct/>
        <w:autoSpaceDE/>
        <w:autoSpaceDN/>
        <w:bidi w:val="0"/>
        <w:adjustRightInd/>
        <w:snapToGrid/>
        <w:spacing w:line="360" w:lineRule="auto"/>
        <w:ind w:firstLine="482" w:firstLineChars="200"/>
        <w:jc w:val="both"/>
        <w:textAlignment w:val="auto"/>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pPr>
      <w:r>
        <w:rPr>
          <w:rFonts w:hint="eastAsia" w:asciiTheme="minorEastAsia" w:hAnsiTheme="minorEastAsia" w:eastAsiaTheme="minorEastAsia" w:cstheme="minorEastAsia"/>
          <w:b/>
          <w:bCs w:val="0"/>
          <w:color w:val="auto"/>
          <w:kern w:val="2"/>
          <w:position w:val="0"/>
          <w:sz w:val="24"/>
          <w:szCs w:val="24"/>
          <w:highlight w:val="none"/>
          <w:lang w:val="en-US" w:eastAsia="zh-CN" w:bidi="ar-SA"/>
        </w:rPr>
        <w:t>3、建设工期：</w:t>
      </w:r>
      <w:r>
        <w:rPr>
          <w:rFonts w:hint="eastAsia" w:asciiTheme="minorEastAsia" w:hAnsiTheme="minorEastAsia" w:eastAsiaTheme="minorEastAsia" w:cstheme="minorEastAsia"/>
          <w:b w:val="0"/>
          <w:bCs/>
          <w:color w:val="auto"/>
          <w:kern w:val="2"/>
          <w:position w:val="0"/>
          <w:sz w:val="24"/>
          <w:szCs w:val="24"/>
          <w:highlight w:val="none"/>
          <w:lang w:val="en-US" w:eastAsia="zh-CN" w:bidi="ar-SA"/>
        </w:rPr>
        <w:t>180</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日历天</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，其中</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施工图</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自签订合同之日起</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30日</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历天内完成</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施工工期</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150日历天</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具体开工日期以合同约定时间为准。</w:t>
      </w:r>
    </w:p>
    <w:p w14:paraId="41C0A126">
      <w:pPr>
        <w:keepNext w:val="0"/>
        <w:keepLines w:val="0"/>
        <w:pageBreakBefore w:val="0"/>
        <w:widowControl w:val="0"/>
        <w:kinsoku/>
        <w:wordWrap/>
        <w:overflowPunct/>
        <w:topLinePunct/>
        <w:autoSpaceDE/>
        <w:autoSpaceDN/>
        <w:bidi w:val="0"/>
        <w:adjustRightInd/>
        <w:snapToGrid/>
        <w:spacing w:line="360" w:lineRule="auto"/>
        <w:ind w:firstLine="482" w:firstLineChars="200"/>
        <w:jc w:val="both"/>
        <w:textAlignment w:val="auto"/>
        <w:rPr>
          <w:rFonts w:hint="eastAsia" w:asciiTheme="minorEastAsia" w:hAnsiTheme="minorEastAsia" w:eastAsiaTheme="minorEastAsia" w:cstheme="minorEastAsia"/>
          <w:bCs/>
          <w:snapToGrid w:val="0"/>
          <w:color w:val="auto"/>
          <w:kern w:val="0"/>
          <w:position w:val="0"/>
          <w:sz w:val="24"/>
          <w:szCs w:val="24"/>
          <w:highlight w:val="none"/>
          <w:shd w:val="clear" w:color="auto" w:fill="FFFFFF"/>
        </w:rPr>
      </w:pP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4</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招标范围</w:t>
      </w:r>
      <w:r>
        <w:rPr>
          <w:rFonts w:hint="eastAsia" w:asciiTheme="minorEastAsia" w:hAnsiTheme="minorEastAsia" w:eastAsiaTheme="minorEastAsia" w:cstheme="minorEastAsia"/>
          <w:bCs/>
          <w:snapToGrid w:val="0"/>
          <w:color w:val="auto"/>
          <w:kern w:val="0"/>
          <w:position w:val="0"/>
          <w:sz w:val="24"/>
          <w:szCs w:val="24"/>
          <w:highlight w:val="none"/>
          <w:shd w:val="clear" w:color="auto" w:fill="FFFFFF"/>
        </w:rPr>
        <w:t>：</w:t>
      </w:r>
    </w:p>
    <w:p w14:paraId="206B06C5">
      <w:pPr>
        <w:keepNext w:val="0"/>
        <w:keepLines w:val="0"/>
        <w:pageBreakBefore w:val="0"/>
        <w:widowControl w:val="0"/>
        <w:kinsoku/>
        <w:wordWrap/>
        <w:overflowPunct/>
        <w:topLinePunct/>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1）</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设计范围：包括但不限于完成本项目施工图设计全部工作及</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施工过程中的全过程设计服务及协调工作，施工图设计成果</w:t>
      </w:r>
      <w:r>
        <w:rPr>
          <w:rFonts w:hint="eastAsia" w:cs="宋体" w:asciiTheme="majorEastAsia" w:hAnsiTheme="majorEastAsia" w:eastAsiaTheme="majorEastAsia"/>
          <w:color w:val="auto"/>
          <w:position w:val="0"/>
          <w:sz w:val="24"/>
          <w:szCs w:val="24"/>
          <w:highlight w:val="none"/>
          <w:shd w:val="clear" w:color="auto" w:fill="FFFFFF"/>
        </w:rPr>
        <w:t>通过施工图审查机构的审查，取得相关行政许可</w:t>
      </w:r>
      <w:r>
        <w:rPr>
          <w:rFonts w:hint="eastAsia" w:cs="宋体" w:asciiTheme="majorEastAsia" w:hAnsiTheme="majorEastAsia" w:eastAsiaTheme="majorEastAsia"/>
          <w:color w:val="auto"/>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设计后期的跟踪服务，配合招标人报批报建、专家咨询、资料收集等相关工作。具体工程范围以合同签订为准（工作内容根据招标人的工作实际需要可进行调整）。</w:t>
      </w:r>
    </w:p>
    <w:p w14:paraId="55A348EF">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施工范围：完成经审核通过的设计施工图定稿中所包括的全部工程施工任务，施工工程所需各项设备的采购、安装。并配合</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招标</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rPr>
        <w:t>人完成项目工程结算、竣工决算及采购等相关资料移交工作</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(具体施工工作内容及要求以招标人实际委托为准)。</w:t>
      </w:r>
    </w:p>
    <w:p w14:paraId="1C581899">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3）其他服务：包含但不限于项目实施管理过程中协助招标人办理工程总承包各阶段的报建、审查、审批、办证、备案等相关手续，协调配合及必要的安全评估和检查、综合调试、试运行考核、竣工验收、工程保修期内的工程缺陷修复、保修等。</w:t>
      </w:r>
    </w:p>
    <w:p w14:paraId="65C8F29E">
      <w:pPr>
        <w:pageBreakBefore w:val="0"/>
        <w:widowControl w:val="0"/>
        <w:kinsoku/>
        <w:wordWrap/>
        <w:overflowPunct/>
        <w:topLinePunct/>
        <w:autoSpaceDE/>
        <w:autoSpaceDN/>
        <w:bidi w:val="0"/>
        <w:spacing w:line="360" w:lineRule="auto"/>
        <w:ind w:firstLine="482" w:firstLineChars="200"/>
        <w:jc w:val="both"/>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pP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val="en-US" w:eastAsia="zh-CN"/>
        </w:rPr>
        <w:t>5、</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eastAsia="zh-CN"/>
        </w:rPr>
        <w:t>质量标准</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w:t>
      </w:r>
    </w:p>
    <w:p w14:paraId="5947B678">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符合</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val="en-US" w:eastAsia="zh-CN"/>
        </w:rPr>
        <w:t>《房屋建筑和市政基础设施项目工程总承包管理办法》（建市规〔2019〕12号）相关要求，执行《建设项目工程总承包管理规范》（GB/T50358-2017）及国家、省、市现行法规、规范的相关规定。</w:t>
      </w:r>
      <w:r>
        <w:rPr>
          <w:rFonts w:hint="eastAsia" w:asciiTheme="minorEastAsia" w:hAnsiTheme="minorEastAsia" w:eastAsiaTheme="minorEastAsia" w:cstheme="minorEastAsia"/>
          <w:snapToGrid w:val="0"/>
          <w:color w:val="auto"/>
          <w:kern w:val="0"/>
          <w:position w:val="0"/>
          <w:sz w:val="24"/>
          <w:szCs w:val="24"/>
          <w:highlight w:val="none"/>
          <w:shd w:val="clear" w:color="auto" w:fill="FFFFFF"/>
          <w:lang w:eastAsia="zh-CN"/>
        </w:rPr>
        <w:t>其中，设计部分：设计成果（范围、内容、数量、深度等）符合国家及地方现行的相关设计规范要求并通过相关部门审查审核。</w:t>
      </w:r>
      <w:r>
        <w:rPr>
          <w:rFonts w:hint="eastAsia" w:asciiTheme="minorEastAsia" w:hAnsiTheme="minorEastAsia" w:eastAsiaTheme="minorEastAsia" w:cstheme="minorEastAsia"/>
          <w:snapToGrid w:val="0"/>
          <w:color w:val="auto"/>
          <w:kern w:val="0"/>
          <w:position w:val="0"/>
          <w:sz w:val="24"/>
          <w:szCs w:val="24"/>
          <w:highlight w:val="none"/>
        </w:rPr>
        <w:t>施工质量标准：符合国家、行业及地方现行的相关标准及规范，并通过相关部门的验收，确保一次性验收合格。</w:t>
      </w:r>
    </w:p>
    <w:p w14:paraId="7D7E2BFD">
      <w:pPr>
        <w:pageBreakBefore w:val="0"/>
        <w:widowControl w:val="0"/>
        <w:kinsoku/>
        <w:wordWrap/>
        <w:overflowPunct/>
        <w:topLinePunct/>
        <w:autoSpaceDE/>
        <w:autoSpaceDN/>
        <w:bidi w:val="0"/>
        <w:spacing w:line="360" w:lineRule="auto"/>
        <w:ind w:firstLine="482" w:firstLineChars="200"/>
        <w:jc w:val="both"/>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b/>
          <w:bCs/>
          <w:snapToGrid w:val="0"/>
          <w:color w:val="auto"/>
          <w:kern w:val="0"/>
          <w:position w:val="0"/>
          <w:sz w:val="24"/>
          <w:szCs w:val="24"/>
          <w:highlight w:val="none"/>
          <w:lang w:val="en-US" w:eastAsia="zh-CN"/>
        </w:rPr>
        <w:t>6、投资控制要求：</w:t>
      </w:r>
      <w:r>
        <w:rPr>
          <w:rFonts w:hint="eastAsia" w:asciiTheme="minorEastAsia" w:hAnsiTheme="minorEastAsia" w:eastAsiaTheme="minorEastAsia" w:cstheme="minorEastAsia"/>
          <w:snapToGrid w:val="0"/>
          <w:color w:val="auto"/>
          <w:kern w:val="0"/>
          <w:position w:val="0"/>
          <w:sz w:val="24"/>
          <w:szCs w:val="24"/>
          <w:highlight w:val="none"/>
          <w:lang w:val="en-US" w:eastAsia="zh-CN"/>
        </w:rPr>
        <w:t>对本项目进行限额设计和施工总投资控制，不得超过经批准的投资概算。</w:t>
      </w:r>
    </w:p>
    <w:p w14:paraId="430685DE">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bookmarkStart w:id="46" w:name="_Toc128571927"/>
      <w:bookmarkStart w:id="47" w:name="_Toc24894"/>
      <w:bookmarkStart w:id="48" w:name="_Toc128577742"/>
      <w:r>
        <w:rPr>
          <w:rFonts w:hint="eastAsia" w:asciiTheme="minorEastAsia" w:hAnsiTheme="minorEastAsia" w:eastAsiaTheme="minorEastAsia" w:cstheme="minorEastAsia"/>
          <w:b/>
          <w:bCs w:val="0"/>
          <w:color w:val="auto"/>
          <w:position w:val="0"/>
          <w:sz w:val="24"/>
          <w:szCs w:val="24"/>
          <w:highlight w:val="none"/>
          <w:lang w:val="en-US" w:eastAsia="zh-CN"/>
        </w:rPr>
        <w:t>三、投标人资格要求</w:t>
      </w:r>
      <w:bookmarkEnd w:id="46"/>
      <w:bookmarkEnd w:id="47"/>
      <w:bookmarkEnd w:id="48"/>
    </w:p>
    <w:p w14:paraId="2DADD57F">
      <w:pPr>
        <w:pageBreakBefore w:val="0"/>
        <w:widowControl w:val="0"/>
        <w:kinsoku/>
        <w:wordWrap/>
        <w:overflowPunct/>
        <w:autoSpaceDE/>
        <w:autoSpaceDN/>
        <w:bidi w:val="0"/>
        <w:spacing w:line="360" w:lineRule="auto"/>
        <w:ind w:firstLine="482" w:firstLineChars="200"/>
        <w:jc w:val="both"/>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val="en-US" w:eastAsia="zh-CN"/>
        </w:rPr>
        <w:t>1、</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资质要求：</w:t>
      </w:r>
    </w:p>
    <w:p w14:paraId="534B218E">
      <w:pPr>
        <w:pageBreakBefore w:val="0"/>
        <w:widowControl w:val="0"/>
        <w:kinsoku/>
        <w:wordWrap/>
        <w:overflow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zh-CN"/>
        </w:rPr>
        <w:t>投标人须</w:t>
      </w:r>
      <w:r>
        <w:rPr>
          <w:rFonts w:hint="eastAsia" w:asciiTheme="minorEastAsia" w:hAnsiTheme="minorEastAsia" w:eastAsiaTheme="minorEastAsia" w:cstheme="minorEastAsia"/>
          <w:color w:val="auto"/>
          <w:sz w:val="24"/>
          <w:szCs w:val="24"/>
          <w:highlight w:val="none"/>
          <w:lang w:val="en-US" w:eastAsia="zh-CN"/>
        </w:rPr>
        <w:t>为具有独立</w:t>
      </w:r>
      <w:r>
        <w:rPr>
          <w:rFonts w:hint="eastAsia" w:asciiTheme="minorEastAsia" w:hAnsiTheme="minorEastAsia" w:eastAsiaTheme="minorEastAsia" w:cstheme="minorEastAsia"/>
          <w:color w:val="auto"/>
          <w:sz w:val="24"/>
          <w:szCs w:val="24"/>
          <w:highlight w:val="none"/>
          <w:lang w:val="zh-CN"/>
        </w:rPr>
        <w:t>承担民事责任能力的法人或其他组织，具备有效的营业执照或其他类似的法定证明文件；</w:t>
      </w:r>
      <w:r>
        <w:rPr>
          <w:rFonts w:hint="eastAsia" w:asciiTheme="minorEastAsia" w:hAnsiTheme="minorEastAsia" w:eastAsiaTheme="minorEastAsia" w:cstheme="minorEastAsia"/>
          <w:color w:val="auto"/>
          <w:sz w:val="24"/>
          <w:szCs w:val="24"/>
          <w:highlight w:val="none"/>
        </w:rPr>
        <w:t>在人员、设备、资金等方面具备相应的设计</w:t>
      </w:r>
      <w:r>
        <w:rPr>
          <w:rFonts w:hint="eastAsia" w:asciiTheme="minorEastAsia" w:hAnsiTheme="minorEastAsia" w:eastAsiaTheme="minorEastAsia" w:cstheme="minorEastAsia"/>
          <w:color w:val="auto"/>
          <w:sz w:val="24"/>
          <w:szCs w:val="24"/>
          <w:highlight w:val="none"/>
          <w:lang w:val="en-US" w:eastAsia="zh-CN"/>
        </w:rPr>
        <w:t>及</w:t>
      </w:r>
      <w:r>
        <w:rPr>
          <w:rFonts w:hint="eastAsia" w:asciiTheme="minorEastAsia" w:hAnsiTheme="minorEastAsia" w:eastAsiaTheme="minorEastAsia" w:cstheme="minorEastAsia"/>
          <w:color w:val="auto"/>
          <w:sz w:val="24"/>
          <w:szCs w:val="24"/>
          <w:highlight w:val="none"/>
        </w:rPr>
        <w:t>施工能力</w:t>
      </w:r>
      <w:r>
        <w:rPr>
          <w:rFonts w:hint="eastAsia" w:asciiTheme="minorEastAsia" w:hAnsiTheme="minorEastAsia" w:eastAsiaTheme="minorEastAsia" w:cstheme="minorEastAsia"/>
          <w:color w:val="auto"/>
          <w:sz w:val="24"/>
          <w:szCs w:val="24"/>
          <w:highlight w:val="none"/>
          <w:lang w:eastAsia="zh-CN"/>
        </w:rPr>
        <w:t>。</w:t>
      </w:r>
    </w:p>
    <w:p w14:paraId="1EBA5F1D">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 xml:space="preserve">设计资质：具备工程设计建筑行业（建筑工程）乙级以上（含乙级）资质或具备工程设计综合甲级资质（注：若为联合体投标，联合体中负责具体设计任务的成员单位须具备）。 </w:t>
      </w:r>
    </w:p>
    <w:p w14:paraId="1311B832">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施工资质：具备建设行政主管部门核发的建筑工程施工总承包三级（含三级）及以上资质（注：若为联合体投标，联合体中负责具体施工任务的成员单位须具备）。</w:t>
      </w:r>
    </w:p>
    <w:p w14:paraId="5B46EEE4">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 xml:space="preserve">安全生产许可证要求：投标人须具备有效的安全生产许可证（注：若为联合体投标，联合体中负责具体施工任务的成员单位须具备）。 </w:t>
      </w:r>
    </w:p>
    <w:p w14:paraId="36AB40D3">
      <w:pPr>
        <w:pageBreakBefore w:val="0"/>
        <w:widowControl w:val="0"/>
        <w:kinsoku/>
        <w:wordWrap/>
        <w:overflowPunct/>
        <w:topLinePunct/>
        <w:autoSpaceDE/>
        <w:autoSpaceDN/>
        <w:bidi w:val="0"/>
        <w:spacing w:line="360" w:lineRule="auto"/>
        <w:ind w:firstLine="482" w:firstLineChars="200"/>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rPr>
        <w:t>财务要求：</w:t>
      </w:r>
    </w:p>
    <w:p w14:paraId="0DC54C45">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b w:val="0"/>
          <w:bCs/>
          <w:caps w:val="0"/>
          <w:color w:val="000000"/>
          <w:spacing w:val="4"/>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投标人应财务状况良好，</w:t>
      </w:r>
      <w:r>
        <w:rPr>
          <w:rFonts w:hint="eastAsia" w:asciiTheme="minorEastAsia" w:hAnsiTheme="minorEastAsia" w:eastAsiaTheme="minorEastAsia" w:cstheme="minorEastAsia"/>
          <w:color w:val="auto"/>
          <w:sz w:val="24"/>
          <w:szCs w:val="24"/>
          <w:highlight w:val="none"/>
          <w:lang w:val="en-US" w:eastAsia="zh-CN"/>
        </w:rPr>
        <w:t>经审计的公司可提供2023年至今任意一年度投标人经会计师事务所审计的年度财务审计报告（</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应</w:t>
      </w:r>
      <w:r>
        <w:rPr>
          <w:rFonts w:hint="eastAsia" w:asciiTheme="minorEastAsia" w:hAnsiTheme="minorEastAsia" w:eastAsiaTheme="minorEastAsia" w:cstheme="minorEastAsia"/>
          <w:b w:val="0"/>
          <w:bCs/>
          <w:color w:val="auto"/>
          <w:sz w:val="24"/>
          <w:szCs w:val="24"/>
          <w:highlight w:val="none"/>
          <w:lang w:val="en-US" w:eastAsia="zh-CN"/>
        </w:rPr>
        <w:t>包括但不限于资产负债表、利润表（损益表）、现金流量表）</w:t>
      </w:r>
      <w:r>
        <w:rPr>
          <w:rFonts w:hint="eastAsia" w:asciiTheme="minorEastAsia" w:hAnsiTheme="minorEastAsia" w:eastAsiaTheme="minorEastAsia" w:cstheme="minorEastAsia"/>
          <w:color w:val="auto"/>
          <w:sz w:val="24"/>
          <w:szCs w:val="24"/>
          <w:highlight w:val="none"/>
          <w:lang w:val="en-US" w:eastAsia="zh-CN"/>
        </w:rPr>
        <w:t>；未经审计的公司可提供2023年至今任意一年度公司内部自行编制的财务报表（</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应</w:t>
      </w:r>
      <w:r>
        <w:rPr>
          <w:rFonts w:hint="eastAsia" w:asciiTheme="minorEastAsia" w:hAnsiTheme="minorEastAsia" w:eastAsiaTheme="minorEastAsia" w:cstheme="minorEastAsia"/>
          <w:b w:val="0"/>
          <w:bCs/>
          <w:color w:val="auto"/>
          <w:sz w:val="24"/>
          <w:szCs w:val="24"/>
          <w:highlight w:val="none"/>
          <w:lang w:val="en-US" w:eastAsia="zh-CN"/>
        </w:rPr>
        <w:t>包括但不限于资产负债表、利润表（损益表）、现金流量表）</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成立未满</w:t>
      </w:r>
      <w:r>
        <w:rPr>
          <w:rFonts w:hint="eastAsia" w:asciiTheme="minorEastAsia" w:hAnsiTheme="minorEastAsia" w:eastAsiaTheme="minorEastAsia" w:cstheme="minorEastAsia"/>
          <w:color w:val="auto"/>
          <w:sz w:val="24"/>
          <w:szCs w:val="24"/>
          <w:highlight w:val="none"/>
          <w:lang w:val="en-US" w:eastAsia="zh-CN"/>
        </w:rPr>
        <w:t>一年的公司可提供成立以来公司内部自行编制的年度财务报表（</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应</w:t>
      </w:r>
      <w:r>
        <w:rPr>
          <w:rFonts w:hint="eastAsia" w:asciiTheme="minorEastAsia" w:hAnsiTheme="minorEastAsia" w:eastAsiaTheme="minorEastAsia" w:cstheme="minorEastAsia"/>
          <w:b w:val="0"/>
          <w:bCs/>
          <w:color w:val="auto"/>
          <w:sz w:val="24"/>
          <w:szCs w:val="24"/>
          <w:highlight w:val="none"/>
          <w:lang w:val="en-US" w:eastAsia="zh-CN"/>
        </w:rPr>
        <w:t>包括但不限于资产负债表、利润表（损益表）、现金流量表）</w:t>
      </w:r>
      <w:r>
        <w:rPr>
          <w:rFonts w:hint="eastAsia" w:asciiTheme="minorEastAsia" w:hAnsiTheme="minorEastAsia" w:eastAsiaTheme="minorEastAsia" w:cstheme="minorEastAsia"/>
          <w:color w:val="auto"/>
          <w:sz w:val="24"/>
          <w:szCs w:val="24"/>
          <w:highlight w:val="none"/>
          <w:lang w:val="en-US" w:eastAsia="zh-CN"/>
        </w:rPr>
        <w:t>或开户</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银行出具的有效资信证明或资金证明。</w:t>
      </w:r>
    </w:p>
    <w:p w14:paraId="701F6BE4">
      <w:pPr>
        <w:pageBreakBefore w:val="0"/>
        <w:widowControl w:val="0"/>
        <w:kinsoku/>
        <w:wordWrap/>
        <w:overflowPunct/>
        <w:topLinePunct/>
        <w:autoSpaceDE/>
        <w:autoSpaceDN/>
        <w:bidi w:val="0"/>
        <w:spacing w:line="360" w:lineRule="auto"/>
        <w:ind w:firstLine="482" w:firstLineChars="20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3、人员要求：</w:t>
      </w:r>
    </w:p>
    <w:p w14:paraId="330D3E16">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总承包项目经理（可由施工负责人兼任）：投标人拟派往本项目的总承包项目经理须具备二级及以上注册建造师（专业为建筑工程）</w:t>
      </w:r>
      <w:r>
        <w:rPr>
          <w:rFonts w:hint="eastAsia" w:asciiTheme="minorEastAsia" w:hAnsiTheme="minorEastAsia" w:eastAsiaTheme="minorEastAsia" w:cstheme="minorEastAsia"/>
          <w:color w:val="auto"/>
          <w:sz w:val="24"/>
          <w:szCs w:val="24"/>
          <w:highlight w:val="none"/>
          <w:lang w:val="en-US" w:eastAsia="zh-CN"/>
        </w:rPr>
        <w:t>执业</w:t>
      </w:r>
      <w:r>
        <w:rPr>
          <w:rFonts w:hint="eastAsia" w:asciiTheme="minorEastAsia" w:hAnsiTheme="minorEastAsia" w:eastAsiaTheme="minorEastAsia" w:cstheme="minorEastAsia"/>
          <w:color w:val="auto"/>
          <w:sz w:val="24"/>
          <w:szCs w:val="24"/>
          <w:highlight w:val="none"/>
        </w:rPr>
        <w:t xml:space="preserve">资格、安全生产考核合格证书（B证），无其他在建工程项目（注：若为联合体投标，联合体中负责具体施工任务的成员单位进行拟派）。 </w:t>
      </w:r>
    </w:p>
    <w:p w14:paraId="01B7C14F">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（2）设计负责人：投标人拟派往本项目的设计负责人须具备二级注册建筑师（或二级注册结构师）执业资格（注：若为联合体投标，联合体中负责具体设计任务的成员单位进行拟派）。 </w:t>
      </w:r>
    </w:p>
    <w:p w14:paraId="07B03446">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（3）施工负责人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项目经理）</w:t>
      </w:r>
      <w:r>
        <w:rPr>
          <w:rFonts w:hint="eastAsia" w:asciiTheme="minorEastAsia" w:hAnsiTheme="minorEastAsia" w:eastAsiaTheme="minorEastAsia" w:cstheme="minorEastAsia"/>
          <w:color w:val="auto"/>
          <w:sz w:val="24"/>
          <w:szCs w:val="24"/>
          <w:highlight w:val="none"/>
        </w:rPr>
        <w:t>：投标人拟派往本项目的施工负责人须具备二级及以上注册建造师（专业为建筑工程）</w:t>
      </w:r>
      <w:r>
        <w:rPr>
          <w:rFonts w:hint="eastAsia" w:asciiTheme="minorEastAsia" w:hAnsiTheme="minorEastAsia" w:eastAsiaTheme="minorEastAsia" w:cstheme="minorEastAsia"/>
          <w:color w:val="auto"/>
          <w:sz w:val="24"/>
          <w:szCs w:val="24"/>
          <w:highlight w:val="none"/>
          <w:lang w:val="en-US" w:eastAsia="zh-CN"/>
        </w:rPr>
        <w:t>执业</w:t>
      </w:r>
      <w:r>
        <w:rPr>
          <w:rFonts w:hint="eastAsia" w:asciiTheme="minorEastAsia" w:hAnsiTheme="minorEastAsia" w:eastAsiaTheme="minorEastAsia" w:cstheme="minorEastAsia"/>
          <w:color w:val="auto"/>
          <w:sz w:val="24"/>
          <w:szCs w:val="24"/>
          <w:highlight w:val="none"/>
        </w:rPr>
        <w:t xml:space="preserve">资格、安全生产考核合格证书（B证），无其他在建工程项目（注：可兼任总承包项目经理，若为联合体投标，联合体中负责具体施工任务的成员单位进行拟派）。 </w:t>
      </w:r>
    </w:p>
    <w:p w14:paraId="55C0FF2A">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（4）施工技术负责人：投标人拟派往本项目的施工技术负责人须具备建筑工程相关专业中级（含中级）及其以上技术职称（注：若为联合体投标，联合体中负责具体施工任务的成员单位进行拟派）。</w:t>
      </w:r>
    </w:p>
    <w:p w14:paraId="456A8CB5">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lang w:val="en-US" w:eastAsia="zh-CN"/>
        </w:rPr>
      </w:pPr>
      <w:r>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lang w:eastAsia="zh-CN"/>
        </w:rPr>
        <w:t>（</w:t>
      </w:r>
      <w:r>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lang w:val="en-US" w:eastAsia="zh-CN"/>
        </w:rPr>
        <w:t>5）其他人员要求</w:t>
      </w:r>
    </w:p>
    <w:p w14:paraId="30BFA85E">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设计其他主要技术管理人员满足工程设计要求，由投标人根据项目实际情况以及自身实力进行拟派（联合体投标的，由联合体设计单位委派）；</w:t>
      </w:r>
    </w:p>
    <w:p w14:paraId="1D993392">
      <w:pPr>
        <w:pageBreakBefore w:val="0"/>
        <w:widowControl w:val="0"/>
        <w:kinsoku/>
        <w:wordWrap/>
        <w:overflowPunct/>
        <w:topLinePunct/>
        <w:autoSpaceDE/>
        <w:autoSpaceDN/>
        <w:bidi w:val="0"/>
        <w:spacing w:line="360" w:lineRule="auto"/>
        <w:ind w:firstLine="480" w:firstLineChars="200"/>
        <w:jc w:val="both"/>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rPr>
      </w:pPr>
      <w:r>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rPr>
        <w:t>拟派施工人员要求：按云建标</w:t>
      </w:r>
      <w:r>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lang w:eastAsia="zh-CN"/>
        </w:rPr>
        <w:t>〔2014〕678号</w:t>
      </w:r>
      <w:r>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rPr>
        <w:t>文、DBJ53/T-69-2014《建筑与市政基础设施工程施工现场专业（管理）人员配备标准》进行配备项目组成员，以上人员</w:t>
      </w:r>
      <w:r>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lang w:val="en-US" w:eastAsia="zh-CN"/>
        </w:rPr>
        <w:t>应</w:t>
      </w:r>
      <w:r>
        <w:rPr>
          <w:rFonts w:hint="eastAsia" w:asciiTheme="minorEastAsia" w:hAnsiTheme="minorEastAsia" w:eastAsiaTheme="minorEastAsia" w:cstheme="minorEastAsia"/>
          <w:b w:val="0"/>
          <w:bCs/>
          <w:snapToGrid w:val="0"/>
          <w:color w:val="auto"/>
          <w:kern w:val="0"/>
          <w:position w:val="0"/>
          <w:sz w:val="24"/>
          <w:szCs w:val="24"/>
          <w:highlight w:val="none"/>
          <w:shd w:val="clear" w:color="auto" w:fill="FFFFFF"/>
        </w:rPr>
        <w:t>提供上岗证或资格证（注：若为联合体投标，联合体中负责具体施工任务的成员单位进行拟派）。</w:t>
      </w:r>
    </w:p>
    <w:p w14:paraId="603B5AD6">
      <w:pPr>
        <w:pageBreakBefore w:val="0"/>
        <w:widowControl w:val="0"/>
        <w:kinsoku/>
        <w:wordWrap/>
        <w:overflowPunct/>
        <w:topLinePunct/>
        <w:autoSpaceDE/>
        <w:autoSpaceDN/>
        <w:bidi w:val="0"/>
        <w:spacing w:line="360" w:lineRule="auto"/>
        <w:ind w:firstLine="482" w:firstLineChars="200"/>
        <w:jc w:val="both"/>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pP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lang w:val="en-US" w:eastAsia="zh-CN"/>
        </w:rPr>
        <w:t>4、</w:t>
      </w:r>
      <w:r>
        <w:rPr>
          <w:rFonts w:hint="eastAsia" w:asciiTheme="minorEastAsia" w:hAnsiTheme="minorEastAsia" w:eastAsiaTheme="minorEastAsia" w:cstheme="minorEastAsia"/>
          <w:b/>
          <w:bCs w:val="0"/>
          <w:snapToGrid w:val="0"/>
          <w:color w:val="auto"/>
          <w:kern w:val="0"/>
          <w:position w:val="0"/>
          <w:sz w:val="24"/>
          <w:szCs w:val="24"/>
          <w:highlight w:val="none"/>
          <w:shd w:val="clear" w:color="auto" w:fill="FFFFFF"/>
        </w:rPr>
        <w:t>信誉要求：</w:t>
      </w:r>
    </w:p>
    <w:p w14:paraId="69620035">
      <w:pPr>
        <w:pageBreakBefore w:val="0"/>
        <w:widowControl w:val="0"/>
        <w:kinsoku/>
        <w:wordWrap/>
        <w:overflowPunct/>
        <w:autoSpaceDE/>
        <w:autoSpaceDN/>
        <w:bidi w:val="0"/>
        <w:spacing w:line="360" w:lineRule="auto"/>
        <w:ind w:firstLine="480" w:firstLineChars="200"/>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投标人信誉良好，无不良行为记录，没有被处于被责令停业，投标资格未被取消，财产未被接管、冻结、破产状态，未处于责令停业阶段，近三年（2023年01月1日至今）没有骗取中标和严重违约的记录（附承诺书）。投标人企业、法人、施工项目负责人/设计负责人不得被“中国执行信息公开网（http://zxgk.court.gov.cn/shixin/）</w:t>
      </w:r>
      <w:r>
        <w:rPr>
          <w:rFonts w:hint="eastAsia" w:asciiTheme="minorEastAsia" w:hAnsiTheme="minorEastAsia" w:eastAsiaTheme="minorEastAsia" w:cstheme="minorEastAsia"/>
          <w:color w:val="auto"/>
          <w:sz w:val="24"/>
          <w:szCs w:val="24"/>
          <w:highlight w:val="none"/>
        </w:rPr>
        <w:t>列入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失信被执行人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名单，提供相关承诺。（联合体投标的，联合体各方均须提供）</w:t>
      </w:r>
    </w:p>
    <w:p w14:paraId="474BFA55">
      <w:pPr>
        <w:pageBreakBefore w:val="0"/>
        <w:widowControl w:val="0"/>
        <w:kinsoku/>
        <w:wordWrap/>
        <w:overflowPunct/>
        <w:autoSpaceDE/>
        <w:autoSpaceDN/>
        <w:bidi w:val="0"/>
        <w:spacing w:line="360" w:lineRule="auto"/>
        <w:ind w:firstLine="480" w:firstLineChars="20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提供近三年内（</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年1月1日至今）无拖欠农民工工资行为、未因拖欠农民工工资被评为不良信用单位或不良评级施工企业承诺，提供虚假承诺的，取消中标资格，新公司根据成立年份提供</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（联合体投标的，由联合体牵头人提供）</w:t>
      </w:r>
    </w:p>
    <w:p w14:paraId="118D6704">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rPr>
        <w:t>本项目</w:t>
      </w:r>
      <w:r>
        <w:rPr>
          <w:rFonts w:hint="eastAsia" w:asciiTheme="minorEastAsia" w:hAnsiTheme="minorEastAsia" w:eastAsiaTheme="minorEastAsia" w:cstheme="minorEastAsia"/>
          <w:b/>
          <w:bCs/>
          <w:color w:val="auto"/>
          <w:sz w:val="24"/>
          <w:szCs w:val="24"/>
          <w:highlight w:val="none"/>
          <w:u w:val="none"/>
        </w:rPr>
        <w:t>接受</w:t>
      </w:r>
      <w:r>
        <w:rPr>
          <w:rFonts w:hint="eastAsia" w:asciiTheme="minorEastAsia" w:hAnsiTheme="minorEastAsia" w:eastAsiaTheme="minorEastAsia" w:cstheme="minorEastAsia"/>
          <w:b/>
          <w:bCs/>
          <w:color w:val="auto"/>
          <w:sz w:val="24"/>
          <w:szCs w:val="24"/>
          <w:highlight w:val="none"/>
        </w:rPr>
        <w:t>联合体投标。若为联合体投标</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施工总承包企业作为牵头人</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应</w:t>
      </w:r>
      <w:r>
        <w:rPr>
          <w:rFonts w:hint="eastAsia" w:asciiTheme="minorEastAsia" w:hAnsiTheme="minorEastAsia" w:eastAsiaTheme="minorEastAsia" w:cstheme="minorEastAsia"/>
          <w:b/>
          <w:bCs/>
          <w:color w:val="auto"/>
          <w:sz w:val="24"/>
          <w:szCs w:val="24"/>
          <w:highlight w:val="none"/>
        </w:rPr>
        <w:t>满足下列要求：</w:t>
      </w:r>
    </w:p>
    <w:p w14:paraId="657B44DF">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联合体各方应签订联合体协议书，须有联合体各方的法定代表人或其授权委托代理人签字和加盖法人印章；明确联合体牵头人和各</w:t>
      </w:r>
      <w:r>
        <w:rPr>
          <w:rFonts w:hint="eastAsia" w:asciiTheme="minorEastAsia" w:hAnsiTheme="minorEastAsia" w:eastAsiaTheme="minorEastAsia" w:cstheme="minorEastAsia"/>
          <w:color w:val="auto"/>
          <w:sz w:val="24"/>
          <w:szCs w:val="24"/>
          <w:highlight w:val="none"/>
          <w:lang w:eastAsia="zh-CN"/>
        </w:rPr>
        <w:t>方的</w:t>
      </w:r>
      <w:r>
        <w:rPr>
          <w:rFonts w:hint="eastAsia" w:asciiTheme="minorEastAsia" w:hAnsiTheme="minorEastAsia" w:eastAsiaTheme="minorEastAsia" w:cstheme="minorEastAsia"/>
          <w:color w:val="auto"/>
          <w:sz w:val="24"/>
          <w:szCs w:val="24"/>
          <w:highlight w:val="none"/>
        </w:rPr>
        <w:t>权利义务；保证将按招标文件的要求提交投标文件和中标后与招标人签订合同。联合体牵头人代表联合体各成员负责本项目投标报名、投标文件编制、投标文件递交、开标和合同谈判等活动，并代表联合体提交和接收相关的资料、信息及指示，并处理与之有关的一切事务，负责合同实施阶段的主办、组织和协调工作。</w:t>
      </w:r>
    </w:p>
    <w:p w14:paraId="122E2571">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联合体各方均应订立联合体协议</w:t>
      </w:r>
      <w:r>
        <w:rPr>
          <w:rFonts w:hint="eastAsia" w:asciiTheme="minorEastAsia" w:hAnsiTheme="minorEastAsia" w:eastAsiaTheme="minorEastAsia" w:cstheme="minorEastAsia"/>
          <w:color w:val="auto"/>
          <w:sz w:val="24"/>
          <w:szCs w:val="24"/>
          <w:highlight w:val="none"/>
          <w:lang w:val="en-US" w:eastAsia="zh-CN"/>
        </w:rPr>
        <w:t>书</w:t>
      </w:r>
      <w:r>
        <w:rPr>
          <w:rFonts w:hint="eastAsia" w:asciiTheme="minorEastAsia" w:hAnsiTheme="minorEastAsia" w:eastAsiaTheme="minorEastAsia" w:cstheme="minorEastAsia"/>
          <w:color w:val="auto"/>
          <w:sz w:val="24"/>
          <w:szCs w:val="24"/>
          <w:highlight w:val="none"/>
        </w:rPr>
        <w:t>，联合体各方应匹配职责分工并明确承包工作范围内容，联合体中的各成员应具备所承包工作范围相应的资质，联合体家数不得超过（含）</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家；联合体投标的各成员资质应分别满足</w:t>
      </w:r>
      <w:r>
        <w:rPr>
          <w:rFonts w:hint="eastAsia" w:asciiTheme="minorEastAsia" w:hAnsiTheme="minorEastAsia" w:eastAsiaTheme="minorEastAsia" w:cstheme="minorEastAsia"/>
          <w:color w:val="auto"/>
          <w:sz w:val="24"/>
          <w:szCs w:val="24"/>
          <w:highlight w:val="none"/>
          <w:lang w:val="en-US" w:eastAsia="zh-CN"/>
        </w:rPr>
        <w:t>本项目资质要求</w:t>
      </w:r>
      <w:r>
        <w:rPr>
          <w:rFonts w:hint="eastAsia" w:asciiTheme="minorEastAsia" w:hAnsiTheme="minorEastAsia" w:eastAsiaTheme="minorEastAsia" w:cstheme="minorEastAsia"/>
          <w:color w:val="auto"/>
          <w:sz w:val="24"/>
          <w:szCs w:val="24"/>
          <w:highlight w:val="none"/>
        </w:rPr>
        <w:t>。</w:t>
      </w:r>
    </w:p>
    <w:p w14:paraId="0AB6B9A3">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由同一专业的单位组成的联合体，按照资质等级较低的单位确定资质等级</w:t>
      </w:r>
      <w:r>
        <w:rPr>
          <w:rFonts w:hint="eastAsia" w:asciiTheme="minorEastAsia" w:hAnsiTheme="minorEastAsia" w:eastAsiaTheme="minorEastAsia" w:cstheme="minorEastAsia"/>
          <w:color w:val="auto"/>
          <w:sz w:val="24"/>
          <w:szCs w:val="24"/>
          <w:highlight w:val="none"/>
          <w:lang w:eastAsia="zh-CN"/>
        </w:rPr>
        <w:t>。</w:t>
      </w:r>
    </w:p>
    <w:p w14:paraId="45474AB6">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联合体各方以联合体参与本项目投标后，不得再以自己名义单独对本项目投标，也不得组成新的联合体或参加其他联合体在本项目中投标，否则，其所有投标均无效。</w:t>
      </w:r>
    </w:p>
    <w:p w14:paraId="3DCC2015">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含联合体各方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单位负责人为同一人或者存在控股、管理关系，不得参加同一标段投标或者未划分标段的同一招标项目投标。</w:t>
      </w:r>
    </w:p>
    <w:p w14:paraId="40C5C49B">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bookmarkStart w:id="49" w:name="_Toc24031"/>
      <w:bookmarkStart w:id="50" w:name="_Toc128571928"/>
      <w:bookmarkStart w:id="51" w:name="_Toc128577743"/>
      <w:r>
        <w:rPr>
          <w:rFonts w:hint="eastAsia" w:asciiTheme="minorEastAsia" w:hAnsiTheme="minorEastAsia" w:eastAsiaTheme="minorEastAsia" w:cstheme="minorEastAsia"/>
          <w:b/>
          <w:bCs w:val="0"/>
          <w:color w:val="auto"/>
          <w:position w:val="0"/>
          <w:sz w:val="24"/>
          <w:szCs w:val="24"/>
          <w:highlight w:val="none"/>
          <w:lang w:val="en-US" w:eastAsia="zh-CN"/>
        </w:rPr>
        <w:t>四、资格审查方式</w:t>
      </w:r>
      <w:bookmarkEnd w:id="49"/>
      <w:bookmarkEnd w:id="50"/>
      <w:bookmarkEnd w:id="51"/>
    </w:p>
    <w:p w14:paraId="690AAC2B">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本次招标采用资格后审方式</w:t>
      </w:r>
      <w:r>
        <w:rPr>
          <w:rFonts w:hint="eastAsia" w:asciiTheme="minorEastAsia" w:hAnsiTheme="minorEastAsia" w:eastAsiaTheme="minorEastAsia" w:cstheme="minorEastAsia"/>
          <w:color w:val="auto"/>
          <w:sz w:val="24"/>
          <w:szCs w:val="24"/>
          <w:highlight w:val="none"/>
          <w:lang w:eastAsia="zh-CN"/>
        </w:rPr>
        <w:t>。</w:t>
      </w:r>
    </w:p>
    <w:p w14:paraId="072D78DB">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bookmarkStart w:id="52" w:name="_Toc128577744"/>
      <w:bookmarkStart w:id="53" w:name="_Toc26644"/>
      <w:bookmarkStart w:id="54" w:name="_Toc128571929"/>
      <w:r>
        <w:rPr>
          <w:rFonts w:hint="eastAsia" w:asciiTheme="minorEastAsia" w:hAnsiTheme="minorEastAsia" w:eastAsiaTheme="minorEastAsia" w:cstheme="minorEastAsia"/>
          <w:b/>
          <w:bCs w:val="0"/>
          <w:color w:val="auto"/>
          <w:position w:val="0"/>
          <w:sz w:val="24"/>
          <w:szCs w:val="24"/>
          <w:highlight w:val="none"/>
          <w:lang w:val="en-US" w:eastAsia="zh-CN"/>
        </w:rPr>
        <w:t>五、招标文件的获取</w:t>
      </w:r>
      <w:bookmarkEnd w:id="52"/>
      <w:bookmarkEnd w:id="53"/>
      <w:bookmarkEnd w:id="54"/>
    </w:p>
    <w:p w14:paraId="6427E1ED">
      <w:pPr>
        <w:pStyle w:val="135"/>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凡有意参加本项目的投标单位，请于</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分至</w:t>
      </w:r>
      <w:r>
        <w:rPr>
          <w:rFonts w:hint="eastAsia" w:asciiTheme="minorEastAsia" w:hAnsiTheme="minorEastAsia" w:eastAsiaTheme="minorEastAsia" w:cstheme="minorEastAsia"/>
          <w:color w:val="auto"/>
          <w:sz w:val="24"/>
          <w:szCs w:val="24"/>
          <w:highlight w:val="none"/>
          <w:lang w:val="en-US" w:eastAsia="zh-CN"/>
        </w:rPr>
        <w:t>2026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分（北京时间），登录云南省公共资源交易信息网（</w:t>
      </w:r>
      <w:r>
        <w:rPr>
          <w:rFonts w:hint="eastAsia" w:asciiTheme="minorEastAsia" w:hAnsiTheme="minorEastAsia" w:eastAsiaTheme="minorEastAsia" w:cstheme="minorEastAsia"/>
          <w:color w:val="auto"/>
          <w:sz w:val="24"/>
          <w:szCs w:val="24"/>
          <w:highlight w:val="none"/>
          <w:lang w:eastAsia="zh-CN"/>
        </w:rPr>
        <w:t>https://ggzy.yn.gov.cn/homePage#/homePage</w:t>
      </w:r>
      <w:r>
        <w:rPr>
          <w:rFonts w:hint="eastAsia" w:asciiTheme="minorEastAsia" w:hAnsiTheme="minorEastAsia" w:eastAsiaTheme="minorEastAsia" w:cstheme="minorEastAsia"/>
          <w:color w:val="auto"/>
          <w:sz w:val="24"/>
          <w:szCs w:val="24"/>
          <w:highlight w:val="none"/>
        </w:rPr>
        <w:t>），进入后切换地区至</w:t>
      </w:r>
      <w:r>
        <w:rPr>
          <w:rFonts w:hint="eastAsia" w:asciiTheme="minorEastAsia" w:hAnsiTheme="minorEastAsia" w:eastAsiaTheme="minorEastAsia" w:cstheme="minorEastAsia"/>
          <w:color w:val="auto"/>
          <w:sz w:val="24"/>
          <w:szCs w:val="24"/>
          <w:highlight w:val="none"/>
          <w:lang w:val="en-US" w:eastAsia="zh-CN"/>
        </w:rPr>
        <w:t>普洱市</w:t>
      </w:r>
      <w:r>
        <w:rPr>
          <w:rFonts w:hint="eastAsia" w:asciiTheme="minorEastAsia" w:hAnsiTheme="minorEastAsia" w:eastAsiaTheme="minorEastAsia" w:cstheme="minorEastAsia"/>
          <w:color w:val="auto"/>
          <w:sz w:val="24"/>
          <w:szCs w:val="24"/>
          <w:highlight w:val="none"/>
        </w:rPr>
        <w:t>，凭企业数字证书（CA）获取电子招标文件，未办理企业数字证书（CA）的企业需要按照云南省公共资源交易电子认证的要求，办理企业数字证书（CA），并在云南省公共资源交易信息网完成注册通过后，便可获取招标文件，此为获取招标文件的唯一途径。</w:t>
      </w:r>
    </w:p>
    <w:p w14:paraId="23A8647C">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bookmarkStart w:id="55" w:name="_Toc128577745"/>
      <w:bookmarkStart w:id="56" w:name="_Toc128571930"/>
      <w:bookmarkStart w:id="57" w:name="_Toc21915"/>
      <w:r>
        <w:rPr>
          <w:rFonts w:hint="eastAsia" w:asciiTheme="minorEastAsia" w:hAnsiTheme="minorEastAsia" w:eastAsiaTheme="minorEastAsia" w:cstheme="minorEastAsia"/>
          <w:b/>
          <w:bCs w:val="0"/>
          <w:color w:val="auto"/>
          <w:position w:val="0"/>
          <w:sz w:val="24"/>
          <w:szCs w:val="24"/>
          <w:highlight w:val="none"/>
          <w:lang w:val="en-US" w:eastAsia="zh-CN"/>
        </w:rPr>
        <w:t>六、投标文件的递交</w:t>
      </w:r>
      <w:bookmarkEnd w:id="55"/>
      <w:bookmarkEnd w:id="56"/>
      <w:bookmarkEnd w:id="57"/>
    </w:p>
    <w:p w14:paraId="0A50D9D5">
      <w:pPr>
        <w:pStyle w:val="21"/>
        <w:pageBreakBefore w:val="0"/>
        <w:widowControl w:val="0"/>
        <w:kinsoku/>
        <w:wordWrap/>
        <w:overflowPunct/>
        <w:autoSpaceDE/>
        <w:autoSpaceDN/>
        <w:bidi w:val="0"/>
        <w:spacing w:after="0" w:line="360" w:lineRule="auto"/>
        <w:ind w:left="0" w:leftChars="0" w:firstLine="480"/>
        <w:jc w:val="both"/>
        <w:rPr>
          <w:rFonts w:hint="eastAsia" w:asciiTheme="minorEastAsia" w:hAnsiTheme="minorEastAsia" w:eastAsiaTheme="minorEastAsia" w:cstheme="minorEastAsia"/>
          <w:color w:val="auto"/>
          <w:sz w:val="24"/>
          <w:szCs w:val="24"/>
          <w:highlight w:val="none"/>
        </w:rPr>
      </w:pPr>
      <w:bookmarkStart w:id="58" w:name="_Toc100908077"/>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投标文件递交的截止时间（投标截止时间，下同）为</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分</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AUTOTEXT  input224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w:t>
      </w:r>
      <w:bookmarkEnd w:id="58"/>
    </w:p>
    <w:p w14:paraId="70EDC346">
      <w:pPr>
        <w:pStyle w:val="21"/>
        <w:keepNext w:val="0"/>
        <w:keepLines w:val="0"/>
        <w:pageBreakBefore w:val="0"/>
        <w:widowControl w:val="0"/>
        <w:kinsoku w:val="0"/>
        <w:wordWrap/>
        <w:overflowPunct w:val="0"/>
        <w:topLinePunct w:val="0"/>
        <w:autoSpaceDE w:val="0"/>
        <w:autoSpaceDN w:val="0"/>
        <w:bidi w:val="0"/>
        <w:adjustRightInd/>
        <w:snapToGrid/>
        <w:spacing w:after="0" w:line="360" w:lineRule="auto"/>
        <w:ind w:left="0" w:leftChars="0"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网上递交：登录云南省公共资源交易信息网（</w:t>
      </w:r>
      <w:r>
        <w:rPr>
          <w:rFonts w:hint="eastAsia" w:asciiTheme="minorEastAsia" w:hAnsiTheme="minorEastAsia" w:eastAsiaTheme="minorEastAsia" w:cstheme="minorEastAsia"/>
          <w:color w:val="auto"/>
          <w:sz w:val="24"/>
          <w:szCs w:val="24"/>
          <w:highlight w:val="none"/>
          <w:lang w:eastAsia="zh-CN"/>
        </w:rPr>
        <w:t>https://ggzy.yn.gov.cn/homePage#/homePage</w:t>
      </w:r>
      <w:r>
        <w:rPr>
          <w:rFonts w:hint="eastAsia" w:asciiTheme="minorEastAsia" w:hAnsiTheme="minorEastAsia" w:eastAsiaTheme="minorEastAsia" w:cstheme="minorEastAsia"/>
          <w:color w:val="auto"/>
          <w:sz w:val="24"/>
          <w:szCs w:val="24"/>
          <w:highlight w:val="none"/>
        </w:rPr>
        <w:t>），进入后切换地区至普洱市</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AUTOTEXT  input222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AUTOTEXT  input225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，投标人须在投标截止时间前完成所有投标文件的上传，网上确认电子签名，并打印“上传投标文件回执”，投标截止时间前未完成投标文件传输的，视为撤回投标文件</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逾期送达的或者未送达指定地点的投标文件，招标人不予受理。</w:t>
      </w:r>
    </w:p>
    <w:p w14:paraId="6914034A">
      <w:pPr>
        <w:pStyle w:val="21"/>
        <w:keepNext w:val="0"/>
        <w:keepLines w:val="0"/>
        <w:pageBreakBefore w:val="0"/>
        <w:widowControl w:val="0"/>
        <w:kinsoku w:val="0"/>
        <w:wordWrap/>
        <w:overflowPunct w:val="0"/>
        <w:topLinePunct w:val="0"/>
        <w:autoSpaceDE w:val="0"/>
        <w:autoSpaceDN w:val="0"/>
        <w:bidi w:val="0"/>
        <w:adjustRightInd/>
        <w:snapToGrid/>
        <w:spacing w:after="0" w:line="360" w:lineRule="auto"/>
        <w:ind w:left="0" w:leftChars="0"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开标方式：</w:t>
      </w:r>
      <w:r>
        <w:rPr>
          <w:rFonts w:hint="eastAsia" w:asciiTheme="minorEastAsia" w:hAnsiTheme="minorEastAsia" w:eastAsiaTheme="minorEastAsia" w:cstheme="minorEastAsia"/>
          <w:b/>
          <w:bCs/>
          <w:color w:val="auto"/>
          <w:sz w:val="24"/>
          <w:szCs w:val="24"/>
          <w:highlight w:val="none"/>
          <w:u w:val="none"/>
          <w:lang w:val="en-US" w:eastAsia="zh-CN"/>
        </w:rPr>
        <w:t>本项目开标方式采用网上智能开标远程解密方式，投标人无需亲临开标现场参与开标和解密投标文件。</w:t>
      </w:r>
      <w:r>
        <w:rPr>
          <w:rFonts w:hint="eastAsia" w:asciiTheme="minorEastAsia" w:hAnsiTheme="minorEastAsia" w:eastAsiaTheme="minorEastAsia" w:cstheme="minorEastAsia"/>
          <w:color w:val="auto"/>
          <w:sz w:val="24"/>
          <w:szCs w:val="24"/>
          <w:highlight w:val="none"/>
          <w:lang w:val="en-US" w:eastAsia="zh-CN"/>
        </w:rPr>
        <w:t>请各投标人自行查阅“云南省公共资源交易信息网（网址：</w:t>
      </w:r>
      <w:r>
        <w:rPr>
          <w:rFonts w:hint="eastAsia" w:asciiTheme="minorEastAsia" w:hAnsiTheme="minorEastAsia" w:eastAsiaTheme="minorEastAsia" w:cstheme="minorEastAsia"/>
          <w:color w:val="auto"/>
          <w:sz w:val="24"/>
          <w:szCs w:val="24"/>
          <w:highlight w:val="none"/>
          <w:lang w:eastAsia="zh-CN"/>
        </w:rPr>
        <w:t>https://ggzy.yn.gov.cn/homePage#/homePage</w:t>
      </w:r>
      <w:r>
        <w:rPr>
          <w:rFonts w:hint="eastAsia" w:asciiTheme="minorEastAsia" w:hAnsiTheme="minorEastAsia" w:eastAsiaTheme="minorEastAsia" w:cstheme="minorEastAsia"/>
          <w:color w:val="auto"/>
          <w:sz w:val="24"/>
          <w:szCs w:val="24"/>
          <w:highlight w:val="none"/>
          <w:lang w:val="en-US" w:eastAsia="zh-CN"/>
        </w:rPr>
        <w:t>）”选择普洱市【办事指南】→【云南省公共资源交易电子化平台智能开标系统培训教材（适用投标人和供应商）】</w:t>
      </w:r>
      <w:r>
        <w:rPr>
          <w:rFonts w:hint="eastAsia" w:asciiTheme="minorEastAsia" w:hAnsiTheme="minorEastAsia" w:eastAsiaTheme="minorEastAsia" w:cstheme="minorEastAsia"/>
          <w:color w:val="auto"/>
          <w:sz w:val="24"/>
          <w:szCs w:val="24"/>
          <w:highlight w:val="none"/>
        </w:rPr>
        <w:t>。本项目解密时间为</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钟（时间可根据项目大小自由设定），若投标人未在规定时间完成以上解密，则视为撤销其投标文件，不再进入评标阶段。开标过程中如有问题，可以在线提出异议，由代理机构给予对应的回复。本项目签名确认时间为10分钟（时间可根据项目大小自由设定），在规定的签名确认时间内不进行开标一览表确认的，则视为对开标结果无异议。</w:t>
      </w:r>
    </w:p>
    <w:p w14:paraId="2B71EDF3">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bookmarkStart w:id="59" w:name="_Toc128571932"/>
      <w:bookmarkStart w:id="60" w:name="_Toc1936"/>
      <w:bookmarkStart w:id="61" w:name="_Toc128577747"/>
      <w:r>
        <w:rPr>
          <w:rFonts w:hint="eastAsia" w:asciiTheme="minorEastAsia" w:hAnsiTheme="minorEastAsia" w:eastAsiaTheme="minorEastAsia" w:cstheme="minorEastAsia"/>
          <w:b/>
          <w:bCs w:val="0"/>
          <w:color w:val="auto"/>
          <w:position w:val="0"/>
          <w:sz w:val="24"/>
          <w:szCs w:val="24"/>
          <w:highlight w:val="none"/>
          <w:lang w:val="en-US" w:eastAsia="zh-CN"/>
        </w:rPr>
        <w:t>七、投标保证金</w:t>
      </w:r>
    </w:p>
    <w:p w14:paraId="3B2F266C">
      <w:pPr>
        <w:keepNext w:val="0"/>
        <w:keepLines w:val="0"/>
        <w:pageBreakBefore w:val="0"/>
        <w:widowControl w:val="0"/>
        <w:kinsoku/>
        <w:wordWrap/>
        <w:overflowPunct/>
        <w:topLinePunct w:val="0"/>
        <w:bidi w:val="0"/>
        <w:snapToGrid/>
        <w:spacing w:line="360" w:lineRule="auto"/>
        <w:ind w:firstLine="496" w:firstLineChars="200"/>
        <w:jc w:val="left"/>
        <w:textAlignment w:val="auto"/>
        <w:rPr>
          <w:rFonts w:hint="eastAsia" w:asciiTheme="minorEastAsia" w:hAnsiTheme="minorEastAsia" w:eastAsiaTheme="minorEastAsia" w:cstheme="minorEastAsia"/>
          <w:b w:val="0"/>
          <w:bCs/>
          <w:caps w:val="0"/>
          <w:color w:val="000000"/>
          <w:spacing w:val="4"/>
          <w:sz w:val="24"/>
          <w:szCs w:val="24"/>
          <w:highlight w:val="none"/>
          <w:lang w:val="en-US" w:eastAsia="zh-CN" w:bidi="ar-SA"/>
        </w:rPr>
      </w:pPr>
      <w:bookmarkStart w:id="62" w:name="_Toc11852"/>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本项目招标金额为836万元，按照投标保证金不得超过招标项目估算价的2%的规定，本项目应收取投标保证金金额为16.72万元。</w:t>
      </w:r>
      <w:r>
        <w:rPr>
          <w:rFonts w:hint="eastAsia" w:asciiTheme="minorEastAsia" w:hAnsiTheme="minorEastAsia" w:eastAsiaTheme="minorEastAsia" w:cstheme="minorEastAsia"/>
          <w:b w:val="0"/>
          <w:bCs/>
          <w:caps w:val="0"/>
          <w:color w:val="auto"/>
          <w:spacing w:val="4"/>
          <w:sz w:val="24"/>
          <w:szCs w:val="24"/>
          <w:highlight w:val="none"/>
          <w:lang w:val="en-US" w:eastAsia="zh-CN" w:bidi="ar-SA"/>
        </w:rPr>
        <w:t>招标人决定该项目免收投标保证金</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，投标人无需缴纳投标保证金。如出现投标人违反法律法规规定情形的，招标人将依法追究投标人相关责任。</w:t>
      </w:r>
    </w:p>
    <w:p w14:paraId="0B52B174">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r>
        <w:rPr>
          <w:rFonts w:hint="eastAsia" w:asciiTheme="minorEastAsia" w:hAnsiTheme="minorEastAsia" w:eastAsiaTheme="minorEastAsia" w:cstheme="minorEastAsia"/>
          <w:b/>
          <w:bCs w:val="0"/>
          <w:color w:val="auto"/>
          <w:position w:val="0"/>
          <w:sz w:val="24"/>
          <w:szCs w:val="24"/>
          <w:highlight w:val="none"/>
          <w:lang w:val="en-US" w:eastAsia="zh-CN"/>
        </w:rPr>
        <w:t>八、发布公告的媒介</w:t>
      </w:r>
      <w:bookmarkEnd w:id="62"/>
    </w:p>
    <w:p w14:paraId="160A7528">
      <w:pPr>
        <w:pStyle w:val="21"/>
        <w:keepNext w:val="0"/>
        <w:keepLines w:val="0"/>
        <w:pageBreakBefore w:val="0"/>
        <w:widowControl w:val="0"/>
        <w:kinsoku w:val="0"/>
        <w:wordWrap/>
        <w:overflowPunct w:val="0"/>
        <w:topLinePunct w:val="0"/>
        <w:autoSpaceDE w:val="0"/>
        <w:autoSpaceDN w:val="0"/>
        <w:bidi w:val="0"/>
        <w:adjustRightInd/>
        <w:snapToGrid/>
        <w:spacing w:after="0" w:line="360" w:lineRule="auto"/>
        <w:ind w:left="0" w:leftChars="0" w:firstLine="480"/>
        <w:jc w:val="left"/>
        <w:textAlignment w:val="auto"/>
        <w:rPr>
          <w:rFonts w:hint="eastAsia" w:asciiTheme="minorEastAsia" w:hAnsiTheme="minorEastAsia" w:eastAsiaTheme="minorEastAsia" w:cstheme="minorEastAsia"/>
          <w:b w:val="0"/>
          <w:color w:val="auto"/>
          <w:position w:val="0"/>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本次招标公告在云南省公共资源交易信息网（</w:t>
      </w:r>
      <w:r>
        <w:rPr>
          <w:rFonts w:hint="eastAsia" w:asciiTheme="minorEastAsia" w:hAnsiTheme="minorEastAsia" w:eastAsiaTheme="minorEastAsia" w:cstheme="minorEastAsia"/>
          <w:color w:val="auto"/>
          <w:sz w:val="24"/>
          <w:szCs w:val="24"/>
          <w:highlight w:val="none"/>
          <w:lang w:eastAsia="zh-CN"/>
        </w:rPr>
        <w:t>https://ggzy.yn.gov.cn/homePage#/homePage</w:t>
      </w:r>
      <w:r>
        <w:rPr>
          <w:rFonts w:hint="eastAsia" w:asciiTheme="minorEastAsia" w:hAnsiTheme="minorEastAsia" w:eastAsiaTheme="minorEastAsia" w:cstheme="minorEastAsia"/>
          <w:color w:val="auto"/>
          <w:sz w:val="24"/>
          <w:szCs w:val="24"/>
          <w:highlight w:val="none"/>
        </w:rPr>
        <w:t>）上发布。招标人及招标代理机构对其他网站或媒体转载的招标公告及其内容不承担任何责任。</w:t>
      </w:r>
    </w:p>
    <w:p w14:paraId="67D74923">
      <w:pPr>
        <w:pStyle w:val="3"/>
        <w:pageBreakBefore w:val="0"/>
        <w:widowControl w:val="0"/>
        <w:kinsoku/>
        <w:wordWrap/>
        <w:overflowPunct/>
        <w:autoSpaceDE/>
        <w:autoSpaceDN/>
        <w:bidi w:val="0"/>
        <w:spacing w:line="360" w:lineRule="auto"/>
        <w:jc w:val="both"/>
        <w:outlineLvl w:val="1"/>
        <w:rPr>
          <w:rFonts w:hint="eastAsia" w:asciiTheme="minorEastAsia" w:hAnsiTheme="minorEastAsia" w:eastAsiaTheme="minorEastAsia" w:cstheme="minorEastAsia"/>
          <w:b/>
          <w:bCs w:val="0"/>
          <w:color w:val="auto"/>
          <w:position w:val="0"/>
          <w:sz w:val="24"/>
          <w:szCs w:val="24"/>
          <w:highlight w:val="none"/>
          <w:lang w:val="en-US" w:eastAsia="zh-CN"/>
        </w:rPr>
      </w:pPr>
      <w:r>
        <w:rPr>
          <w:rFonts w:hint="eastAsia" w:asciiTheme="minorEastAsia" w:hAnsiTheme="minorEastAsia" w:eastAsiaTheme="minorEastAsia" w:cstheme="minorEastAsia"/>
          <w:b/>
          <w:bCs w:val="0"/>
          <w:color w:val="auto"/>
          <w:position w:val="0"/>
          <w:sz w:val="24"/>
          <w:szCs w:val="24"/>
          <w:highlight w:val="none"/>
          <w:lang w:val="en-US" w:eastAsia="zh-CN"/>
        </w:rPr>
        <w:t>九、联系方式</w:t>
      </w:r>
      <w:bookmarkEnd w:id="59"/>
      <w:bookmarkEnd w:id="60"/>
      <w:bookmarkEnd w:id="61"/>
    </w:p>
    <w:p w14:paraId="58F05F72">
      <w:pPr>
        <w:pageBreakBefore w:val="0"/>
        <w:widowControl w:val="0"/>
        <w:kinsoku/>
        <w:wordWrap/>
        <w:overflowPunct/>
        <w:topLinePunct/>
        <w:autoSpaceDE/>
        <w:autoSpaceDN/>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eastAsia="zh-CN"/>
        </w:rPr>
      </w:pPr>
      <w:bookmarkStart w:id="63" w:name="_Toc27576"/>
      <w:bookmarkStart w:id="64" w:name="_Toc15113"/>
      <w:bookmarkStart w:id="65" w:name="_Toc14585"/>
      <w:r>
        <w:rPr>
          <w:rFonts w:hint="eastAsia" w:asciiTheme="minorEastAsia" w:hAnsiTheme="minorEastAsia" w:eastAsiaTheme="minorEastAsia" w:cstheme="minorEastAsia"/>
          <w:color w:val="auto"/>
          <w:sz w:val="24"/>
          <w:szCs w:val="24"/>
          <w:highlight w:val="none"/>
        </w:rPr>
        <w:t>招</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人：</w:t>
      </w:r>
      <w:bookmarkEnd w:id="63"/>
      <w:bookmarkEnd w:id="64"/>
      <w:bookmarkEnd w:id="65"/>
      <w:r>
        <w:rPr>
          <w:rFonts w:hint="eastAsia" w:asciiTheme="minorEastAsia" w:hAnsiTheme="minorEastAsia" w:eastAsiaTheme="minorEastAsia" w:cstheme="minorEastAsia"/>
          <w:color w:val="auto"/>
          <w:sz w:val="24"/>
          <w:szCs w:val="24"/>
          <w:highlight w:val="none"/>
          <w:lang w:eastAsia="zh-CN"/>
        </w:rPr>
        <w:t>墨江哈尼族自治县联珠镇人民政府</w:t>
      </w:r>
    </w:p>
    <w:p w14:paraId="2D4B1752">
      <w:pPr>
        <w:pageBreakBefore w:val="0"/>
        <w:widowControl w:val="0"/>
        <w:kinsoku/>
        <w:wordWrap/>
        <w:overflowPunct/>
        <w:topLinePunct/>
        <w:autoSpaceDE/>
        <w:autoSpaceDN/>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地    址：</w:t>
      </w:r>
      <w:r>
        <w:rPr>
          <w:rFonts w:ascii="宋体" w:hAnsi="宋体" w:eastAsia="宋体" w:cs="宋体"/>
          <w:sz w:val="24"/>
          <w:szCs w:val="24"/>
        </w:rPr>
        <w:t>云南省普洱市墨江县联珠镇回归大道7号</w:t>
      </w:r>
    </w:p>
    <w:p w14:paraId="47A8DCDD">
      <w:pPr>
        <w:pageBreakBefore w:val="0"/>
        <w:widowControl w:val="0"/>
        <w:kinsoku/>
        <w:wordWrap/>
        <w:overflowPunct/>
        <w:topLinePunct/>
        <w:autoSpaceDE/>
        <w:autoSpaceDN/>
        <w:bidi w:val="0"/>
        <w:spacing w:line="360" w:lineRule="auto"/>
        <w:ind w:firstLine="480" w:firstLineChars="200"/>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联 系 人：</w:t>
      </w:r>
      <w:r>
        <w:rPr>
          <w:rFonts w:hint="eastAsia" w:asciiTheme="minorEastAsia" w:hAnsiTheme="minorEastAsia" w:eastAsiaTheme="minorEastAsia" w:cstheme="minorEastAsia"/>
          <w:sz w:val="24"/>
          <w:szCs w:val="24"/>
          <w:highlight w:val="none"/>
          <w:lang w:val="en-US" w:eastAsia="zh-CN"/>
        </w:rPr>
        <w:t>李茂伟</w:t>
      </w:r>
    </w:p>
    <w:p w14:paraId="41E68B5F">
      <w:pPr>
        <w:pageBreakBefore w:val="0"/>
        <w:widowControl w:val="0"/>
        <w:kinsoku/>
        <w:wordWrap/>
        <w:overflowPunct/>
        <w:topLinePunct/>
        <w:autoSpaceDE/>
        <w:autoSpaceDN/>
        <w:bidi w:val="0"/>
        <w:spacing w:line="360" w:lineRule="auto"/>
        <w:ind w:firstLine="480" w:firstLineChars="200"/>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    话：</w:t>
      </w:r>
      <w:r>
        <w:rPr>
          <w:rFonts w:hint="eastAsia" w:asciiTheme="minorEastAsia" w:hAnsiTheme="minorEastAsia" w:eastAsiaTheme="minorEastAsia" w:cstheme="minorEastAsia"/>
          <w:sz w:val="24"/>
          <w:szCs w:val="24"/>
          <w:highlight w:val="none"/>
          <w:lang w:val="en-US" w:eastAsia="zh-CN"/>
        </w:rPr>
        <w:t>15125508698</w:t>
      </w:r>
    </w:p>
    <w:p w14:paraId="5FAC607D">
      <w:pPr>
        <w:pStyle w:val="18"/>
        <w:rPr>
          <w:rFonts w:hint="eastAsia"/>
        </w:rPr>
      </w:pPr>
    </w:p>
    <w:p w14:paraId="32520FA9">
      <w:pPr>
        <w:pageBreakBefore w:val="0"/>
        <w:widowControl w:val="0"/>
        <w:kinsoku/>
        <w:wordWrap/>
        <w:overflowPunct/>
        <w:topLinePunct/>
        <w:autoSpaceDE/>
        <w:autoSpaceDN/>
        <w:bidi w:val="0"/>
        <w:spacing w:line="360" w:lineRule="auto"/>
        <w:ind w:firstLine="480" w:firstLineChars="200"/>
        <w:jc w:val="left"/>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招标代理机构：</w:t>
      </w:r>
      <w:r>
        <w:rPr>
          <w:rFonts w:hint="eastAsia" w:asciiTheme="minorEastAsia" w:hAnsiTheme="minorEastAsia" w:eastAsiaTheme="minorEastAsia" w:cstheme="minorEastAsia"/>
          <w:color w:val="auto"/>
          <w:sz w:val="24"/>
          <w:szCs w:val="24"/>
          <w:highlight w:val="none"/>
          <w:lang w:eastAsia="zh-CN"/>
        </w:rPr>
        <w:t>云南玮赢工程咨询管理有限公司</w:t>
      </w:r>
    </w:p>
    <w:p w14:paraId="6983B627">
      <w:pPr>
        <w:pageBreakBefore w:val="0"/>
        <w:widowControl w:val="0"/>
        <w:kinsoku/>
        <w:wordWrap/>
        <w:overflowPunct/>
        <w:topLinePunct/>
        <w:autoSpaceDE/>
        <w:autoSpaceDN/>
        <w:bidi w:val="0"/>
        <w:spacing w:line="360" w:lineRule="auto"/>
        <w:ind w:firstLine="480" w:firstLineChars="200"/>
        <w:jc w:val="left"/>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地址：</w:t>
      </w:r>
      <w:r>
        <w:rPr>
          <w:rFonts w:ascii="宋体" w:hAnsi="宋体" w:eastAsia="宋体" w:cs="宋体"/>
          <w:sz w:val="24"/>
          <w:szCs w:val="24"/>
        </w:rPr>
        <w:t>云南省普洱市墨江县</w:t>
      </w:r>
      <w:r>
        <w:rPr>
          <w:rFonts w:hint="eastAsia" w:ascii="宋体" w:hAnsi="宋体" w:eastAsia="宋体" w:cs="宋体"/>
          <w:sz w:val="24"/>
          <w:szCs w:val="24"/>
          <w:lang w:val="en-US" w:eastAsia="zh-CN"/>
        </w:rPr>
        <w:t>八十商务酒店五楼</w:t>
      </w:r>
    </w:p>
    <w:p w14:paraId="0E40984F">
      <w:pPr>
        <w:topLinePunct/>
        <w:spacing w:line="360" w:lineRule="auto"/>
        <w:ind w:firstLine="480" w:firstLineChars="200"/>
        <w:jc w:val="left"/>
        <w:rPr>
          <w:rFonts w:hint="default" w:asciiTheme="minorEastAsia" w:hAnsiTheme="minorEastAsia" w:eastAsiaTheme="minorEastAsia" w:cstheme="minorEastAsia"/>
          <w:bCs/>
          <w:position w:val="0"/>
          <w:sz w:val="24"/>
          <w:szCs w:val="24"/>
          <w:lang w:val="en-US" w:eastAsia="zh-CN"/>
        </w:rPr>
      </w:pPr>
      <w:r>
        <w:rPr>
          <w:rFonts w:hint="eastAsia" w:asciiTheme="minorEastAsia" w:hAnsiTheme="minorEastAsia" w:eastAsiaTheme="minorEastAsia" w:cstheme="minorEastAsia"/>
          <w:bCs/>
          <w:position w:val="0"/>
          <w:sz w:val="24"/>
          <w:szCs w:val="24"/>
        </w:rPr>
        <w:t>联 系 人：</w:t>
      </w:r>
      <w:r>
        <w:rPr>
          <w:rFonts w:hint="eastAsia" w:asciiTheme="minorEastAsia" w:hAnsiTheme="minorEastAsia" w:eastAsiaTheme="minorEastAsia" w:cstheme="minorEastAsia"/>
          <w:bCs/>
          <w:position w:val="0"/>
          <w:sz w:val="24"/>
          <w:szCs w:val="24"/>
          <w:lang w:val="en-US" w:eastAsia="zh-CN"/>
        </w:rPr>
        <w:t>杨尚思  周芷亦</w:t>
      </w:r>
    </w:p>
    <w:p w14:paraId="1544D91D">
      <w:pPr>
        <w:pageBreakBefore w:val="0"/>
        <w:widowControl w:val="0"/>
        <w:kinsoku/>
        <w:wordWrap/>
        <w:overflowPunct/>
        <w:topLinePunct/>
        <w:autoSpaceDE/>
        <w:autoSpaceDN/>
        <w:bidi w:val="0"/>
        <w:spacing w:line="360" w:lineRule="auto"/>
        <w:ind w:firstLine="480" w:firstLineChars="200"/>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position w:val="0"/>
          <w:sz w:val="24"/>
          <w:szCs w:val="24"/>
        </w:rPr>
        <w:t>电    话：</w:t>
      </w:r>
      <w:r>
        <w:rPr>
          <w:rFonts w:hint="eastAsia" w:asciiTheme="minorEastAsia" w:hAnsiTheme="minorEastAsia" w:eastAsiaTheme="minorEastAsia" w:cstheme="minorEastAsia"/>
          <w:b w:val="0"/>
          <w:position w:val="0"/>
          <w:sz w:val="24"/>
          <w:szCs w:val="24"/>
          <w:lang w:val="en-US" w:eastAsia="zh-CN"/>
        </w:rPr>
        <w:t>13887944044  17787261808</w:t>
      </w:r>
      <w:bookmarkStart w:id="2798" w:name="_GoBack"/>
    </w:p>
    <w:bookmarkEnd w:id="2798"/>
    <w:p w14:paraId="11728389">
      <w:pPr>
        <w:pageBreakBefore w:val="0"/>
        <w:widowControl w:val="0"/>
        <w:kinsoku/>
        <w:wordWrap/>
        <w:overflowPunct/>
        <w:topLinePunct/>
        <w:autoSpaceDE/>
        <w:autoSpaceDN/>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p>
    <w:p w14:paraId="090AE061">
      <w:pPr>
        <w:keepNext w:val="0"/>
        <w:keepLines w:val="0"/>
        <w:pageBreakBefore w:val="0"/>
        <w:widowControl w:val="0"/>
        <w:kinsoku/>
        <w:wordWrap/>
        <w:overflowPunct/>
        <w:topLinePunct w:val="0"/>
        <w:bidi w:val="0"/>
        <w:snapToGrid/>
        <w:spacing w:line="360" w:lineRule="auto"/>
        <w:ind w:firstLine="496" w:firstLineChars="200"/>
        <w:jc w:val="left"/>
        <w:textAlignment w:val="auto"/>
        <w:rPr>
          <w:rFonts w:hint="eastAsia" w:asciiTheme="minorEastAsia" w:hAnsiTheme="minorEastAsia" w:eastAsiaTheme="minorEastAsia" w:cstheme="minorEastAsia"/>
          <w:b w:val="0"/>
          <w:bCs/>
          <w:caps w:val="0"/>
          <w:color w:val="000000"/>
          <w:spacing w:val="4"/>
          <w:sz w:val="24"/>
          <w:szCs w:val="24"/>
          <w:highlight w:val="none"/>
          <w:lang w:val="en-US" w:eastAsia="zh-CN" w:bidi="ar-SA"/>
        </w:rPr>
      </w:pP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监督部门名称：</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fldChar w:fldCharType="begin"/>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instrText xml:space="preserve"> AUTOTEXT  input23 \* MERGEFORMAT </w:instrTex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fldChar w:fldCharType="separate"/>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墨江哈尼族自治县农业农村和科学技术局</w: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fldChar w:fldCharType="end"/>
      </w:r>
    </w:p>
    <w:p w14:paraId="0E41E393">
      <w:pPr>
        <w:keepNext w:val="0"/>
        <w:keepLines w:val="0"/>
        <w:pageBreakBefore w:val="0"/>
        <w:widowControl w:val="0"/>
        <w:kinsoku/>
        <w:wordWrap/>
        <w:overflowPunct/>
        <w:topLinePunct w:val="0"/>
        <w:bidi w:val="0"/>
        <w:snapToGrid/>
        <w:spacing w:line="360" w:lineRule="auto"/>
        <w:ind w:firstLine="496" w:firstLineChars="200"/>
        <w:jc w:val="left"/>
        <w:textAlignment w:val="auto"/>
        <w:rPr>
          <w:rFonts w:hint="default" w:asciiTheme="minorEastAsia" w:hAnsiTheme="minorEastAsia" w:eastAsiaTheme="minorEastAsia" w:cstheme="minorEastAsia"/>
          <w:b w:val="0"/>
          <w:bCs/>
          <w:caps w:val="0"/>
          <w:color w:val="000000"/>
          <w:spacing w:val="4"/>
          <w:sz w:val="24"/>
          <w:szCs w:val="24"/>
          <w:highlight w:val="none"/>
          <w:lang w:val="en-US" w:eastAsia="zh-CN" w:bidi="ar-SA"/>
        </w:rPr>
      </w:pP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fldChar w:fldCharType="begin"/>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instrText xml:space="preserve"> AUTOTEXT  input427 \* MERGEFORMAT </w:instrText>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fldChar w:fldCharType="separate"/>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fldChar w:fldCharType="end"/>
      </w:r>
      <w:r>
        <w:rPr>
          <w:rFonts w:hint="eastAsia" w:asciiTheme="minorEastAsia" w:hAnsiTheme="minorEastAsia" w:eastAsiaTheme="minorEastAsia" w:cstheme="minorEastAsia"/>
          <w:b w:val="0"/>
          <w:bCs/>
          <w:caps w:val="0"/>
          <w:color w:val="000000"/>
          <w:spacing w:val="4"/>
          <w:sz w:val="24"/>
          <w:szCs w:val="24"/>
          <w:highlight w:val="none"/>
          <w:lang w:val="en-US" w:eastAsia="zh-CN" w:bidi="ar-SA"/>
        </w:rPr>
        <w:t>联系电话：0879-4230365</w:t>
      </w:r>
    </w:p>
    <w:p w14:paraId="5E6D5557">
      <w:pPr>
        <w:pageBreakBefore w:val="0"/>
        <w:widowControl w:val="0"/>
        <w:kinsoku/>
        <w:wordWrap/>
        <w:overflowPunct/>
        <w:topLinePunct/>
        <w:autoSpaceDE/>
        <w:autoSpaceDN/>
        <w:bidi w:val="0"/>
        <w:spacing w:line="360" w:lineRule="auto"/>
        <w:ind w:firstLine="643" w:firstLineChars="200"/>
        <w:jc w:val="center"/>
        <w:outlineLvl w:val="0"/>
        <w:rPr>
          <w:rFonts w:hint="eastAsia" w:asciiTheme="minorEastAsia" w:hAnsiTheme="minorEastAsia" w:eastAsiaTheme="minorEastAsia" w:cstheme="minorEastAsia"/>
          <w:b/>
          <w:bCs w:val="0"/>
          <w:color w:val="auto"/>
          <w:kern w:val="2"/>
          <w:sz w:val="32"/>
          <w:szCs w:val="32"/>
          <w:highlight w:val="none"/>
          <w:lang w:val="en-US" w:eastAsia="zh-CN"/>
        </w:rPr>
      </w:pPr>
      <w:bookmarkStart w:id="66" w:name="_Toc17173"/>
      <w:bookmarkStart w:id="67" w:name="_Toc485895042"/>
      <w:bookmarkStart w:id="68" w:name="_Toc11645"/>
      <w:bookmarkStart w:id="69" w:name="_Toc445300879"/>
      <w:bookmarkStart w:id="70" w:name="_Toc237060977"/>
      <w:bookmarkStart w:id="71" w:name="_Toc14194"/>
      <w:r>
        <w:rPr>
          <w:rFonts w:hint="eastAsia" w:asciiTheme="minorEastAsia" w:hAnsiTheme="minorEastAsia" w:eastAsiaTheme="minorEastAsia" w:cstheme="minorEastAsia"/>
          <w:b/>
          <w:bCs w:val="0"/>
          <w:color w:val="auto"/>
          <w:kern w:val="2"/>
          <w:sz w:val="32"/>
          <w:szCs w:val="32"/>
          <w:highlight w:val="none"/>
          <w:lang w:val="en-US" w:eastAsia="zh-CN"/>
        </w:rPr>
        <w:t>第二章  投标人须知</w:t>
      </w:r>
      <w:bookmarkEnd w:id="66"/>
      <w:bookmarkEnd w:id="67"/>
      <w:bookmarkEnd w:id="68"/>
      <w:bookmarkEnd w:id="69"/>
      <w:bookmarkEnd w:id="70"/>
      <w:bookmarkEnd w:id="71"/>
      <w:bookmarkStart w:id="72" w:name="_Toc237060978"/>
    </w:p>
    <w:p w14:paraId="21214F8A">
      <w:pPr>
        <w:pStyle w:val="3"/>
        <w:pageBreakBefore w:val="0"/>
        <w:widowControl/>
        <w:kinsoku/>
        <w:wordWrap/>
        <w:overflowPunct/>
        <w:autoSpaceDE/>
        <w:autoSpaceDN/>
        <w:bidi w:val="0"/>
        <w:spacing w:line="360" w:lineRule="auto"/>
        <w:ind w:firstLine="560" w:firstLineChars="200"/>
        <w:jc w:val="center"/>
        <w:textAlignment w:val="auto"/>
        <w:outlineLvl w:val="1"/>
        <w:rPr>
          <w:rFonts w:hint="eastAsia" w:asciiTheme="minorEastAsia" w:hAnsiTheme="minorEastAsia" w:eastAsiaTheme="minorEastAsia" w:cstheme="minorEastAsia"/>
          <w:b w:val="0"/>
          <w:color w:val="auto"/>
          <w:sz w:val="28"/>
          <w:szCs w:val="28"/>
          <w:highlight w:val="none"/>
        </w:rPr>
      </w:pPr>
      <w:bookmarkStart w:id="73" w:name="_Toc9879"/>
      <w:bookmarkStart w:id="74" w:name="_Toc485895043"/>
      <w:r>
        <w:rPr>
          <w:rFonts w:hint="eastAsia" w:asciiTheme="minorEastAsia" w:hAnsiTheme="minorEastAsia" w:eastAsiaTheme="minorEastAsia" w:cstheme="minorEastAsia"/>
          <w:b w:val="0"/>
          <w:color w:val="auto"/>
          <w:position w:val="0"/>
          <w:sz w:val="28"/>
          <w:szCs w:val="28"/>
          <w:highlight w:val="none"/>
        </w:rPr>
        <w:t>投标人须知前附表</w:t>
      </w:r>
      <w:bookmarkEnd w:id="72"/>
      <w:bookmarkEnd w:id="73"/>
      <w:bookmarkEnd w:id="74"/>
      <w:bookmarkStart w:id="75" w:name="_Toc237060979"/>
    </w:p>
    <w:tbl>
      <w:tblPr>
        <w:tblStyle w:val="45"/>
        <w:tblW w:w="10197"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71"/>
        <w:gridCol w:w="2061"/>
        <w:gridCol w:w="6965"/>
      </w:tblGrid>
      <w:tr w14:paraId="208DB9A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1171" w:type="dxa"/>
            <w:vAlign w:val="center"/>
          </w:tcPr>
          <w:p w14:paraId="51CBFA1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position w:val="0"/>
                <w:sz w:val="24"/>
                <w:szCs w:val="24"/>
                <w:highlight w:val="none"/>
              </w:rPr>
            </w:pPr>
            <w:r>
              <w:rPr>
                <w:rFonts w:hint="eastAsia" w:asciiTheme="minorEastAsia" w:hAnsiTheme="minorEastAsia" w:eastAsiaTheme="minorEastAsia" w:cstheme="minorEastAsia"/>
                <w:b/>
                <w:bCs/>
                <w:color w:val="auto"/>
                <w:position w:val="0"/>
                <w:sz w:val="24"/>
                <w:szCs w:val="24"/>
                <w:highlight w:val="none"/>
              </w:rPr>
              <w:t>条款号</w:t>
            </w:r>
          </w:p>
        </w:tc>
        <w:tc>
          <w:tcPr>
            <w:tcW w:w="2061" w:type="dxa"/>
            <w:vAlign w:val="center"/>
          </w:tcPr>
          <w:p w14:paraId="5B97903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position w:val="0"/>
                <w:sz w:val="24"/>
                <w:szCs w:val="24"/>
                <w:highlight w:val="none"/>
              </w:rPr>
            </w:pPr>
            <w:r>
              <w:rPr>
                <w:rFonts w:hint="eastAsia" w:asciiTheme="minorEastAsia" w:hAnsiTheme="minorEastAsia" w:eastAsiaTheme="minorEastAsia" w:cstheme="minorEastAsia"/>
                <w:b/>
                <w:bCs/>
                <w:color w:val="auto"/>
                <w:position w:val="0"/>
                <w:sz w:val="24"/>
                <w:szCs w:val="24"/>
                <w:highlight w:val="none"/>
              </w:rPr>
              <w:t>条款名称</w:t>
            </w:r>
          </w:p>
        </w:tc>
        <w:tc>
          <w:tcPr>
            <w:tcW w:w="6965" w:type="dxa"/>
            <w:vAlign w:val="center"/>
          </w:tcPr>
          <w:p w14:paraId="7DB018D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position w:val="0"/>
                <w:sz w:val="24"/>
                <w:szCs w:val="24"/>
                <w:highlight w:val="none"/>
              </w:rPr>
            </w:pPr>
            <w:r>
              <w:rPr>
                <w:rFonts w:hint="eastAsia" w:asciiTheme="minorEastAsia" w:hAnsiTheme="minorEastAsia" w:eastAsiaTheme="minorEastAsia" w:cstheme="minorEastAsia"/>
                <w:b/>
                <w:bCs/>
                <w:color w:val="auto"/>
                <w:position w:val="0"/>
                <w:sz w:val="24"/>
                <w:szCs w:val="24"/>
                <w:highlight w:val="none"/>
              </w:rPr>
              <w:t>编列内容</w:t>
            </w:r>
          </w:p>
        </w:tc>
      </w:tr>
      <w:tr w14:paraId="776FC44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983A23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1.1.2</w:t>
            </w:r>
          </w:p>
        </w:tc>
        <w:tc>
          <w:tcPr>
            <w:tcW w:w="2061" w:type="dxa"/>
            <w:vAlign w:val="center"/>
          </w:tcPr>
          <w:p w14:paraId="58C816A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招标人</w:t>
            </w:r>
          </w:p>
        </w:tc>
        <w:tc>
          <w:tcPr>
            <w:tcW w:w="6965" w:type="dxa"/>
            <w:vAlign w:val="center"/>
          </w:tcPr>
          <w:p w14:paraId="077D2080">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招 标 人：</w:t>
            </w:r>
            <w:r>
              <w:rPr>
                <w:rFonts w:hint="eastAsia" w:asciiTheme="minorEastAsia" w:hAnsiTheme="minorEastAsia" w:eastAsiaTheme="minorEastAsia" w:cstheme="minorEastAsia"/>
                <w:color w:val="auto"/>
                <w:sz w:val="24"/>
                <w:szCs w:val="24"/>
                <w:highlight w:val="none"/>
                <w:lang w:eastAsia="zh-CN"/>
              </w:rPr>
              <w:t>墨江哈尼族自治县联珠镇人民政府</w:t>
            </w:r>
          </w:p>
          <w:p w14:paraId="2AE49FD1">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highlight w:val="none"/>
              </w:rPr>
              <w:t>地    址：云南省普洱市墨江县联珠镇回归大道7号</w:t>
            </w:r>
          </w:p>
          <w:p w14:paraId="37BEDCEC">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 系 人：</w:t>
            </w:r>
            <w:r>
              <w:rPr>
                <w:rFonts w:hint="eastAsia" w:asciiTheme="minorEastAsia" w:hAnsiTheme="minorEastAsia" w:eastAsiaTheme="minorEastAsia" w:cstheme="minorEastAsia"/>
                <w:color w:val="auto"/>
                <w:sz w:val="24"/>
                <w:szCs w:val="24"/>
                <w:highlight w:val="none"/>
                <w:lang w:val="en-US" w:eastAsia="zh-CN"/>
              </w:rPr>
              <w:t>李茂伟</w:t>
            </w:r>
          </w:p>
          <w:p w14:paraId="19C42A5A">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r>
              <w:rPr>
                <w:rFonts w:hint="eastAsia" w:asciiTheme="minorEastAsia" w:hAnsiTheme="minorEastAsia" w:eastAsiaTheme="minorEastAsia" w:cstheme="minorEastAsia"/>
                <w:sz w:val="24"/>
                <w:szCs w:val="24"/>
                <w:highlight w:val="none"/>
                <w:lang w:val="en-US" w:eastAsia="zh-CN"/>
              </w:rPr>
              <w:t>15125508698</w:t>
            </w:r>
          </w:p>
        </w:tc>
      </w:tr>
      <w:tr w14:paraId="3BEF28C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B24EBF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1.1.3</w:t>
            </w:r>
          </w:p>
        </w:tc>
        <w:tc>
          <w:tcPr>
            <w:tcW w:w="2061" w:type="dxa"/>
            <w:vAlign w:val="center"/>
          </w:tcPr>
          <w:p w14:paraId="6541EE3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招标代理机构</w:t>
            </w:r>
          </w:p>
        </w:tc>
        <w:tc>
          <w:tcPr>
            <w:tcW w:w="6965" w:type="dxa"/>
            <w:vAlign w:val="center"/>
          </w:tcPr>
          <w:p w14:paraId="7743A49D">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招标代理机构：</w:t>
            </w:r>
            <w:r>
              <w:rPr>
                <w:rFonts w:hint="eastAsia" w:asciiTheme="minorEastAsia" w:hAnsiTheme="minorEastAsia" w:eastAsiaTheme="minorEastAsia" w:cstheme="minorEastAsia"/>
                <w:color w:val="auto"/>
                <w:position w:val="0"/>
                <w:sz w:val="24"/>
                <w:szCs w:val="24"/>
                <w:highlight w:val="none"/>
                <w:lang w:eastAsia="zh-CN"/>
              </w:rPr>
              <w:t>云南玮赢工程咨询管理有限公司</w:t>
            </w:r>
          </w:p>
          <w:p w14:paraId="25B15BAB">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地址：云南省普洱市墨江县</w:t>
            </w:r>
            <w:r>
              <w:rPr>
                <w:rFonts w:hint="eastAsia" w:asciiTheme="minorEastAsia" w:hAnsiTheme="minorEastAsia" w:eastAsiaTheme="minorEastAsia" w:cstheme="minorEastAsia"/>
                <w:color w:val="auto"/>
                <w:position w:val="0"/>
                <w:sz w:val="24"/>
                <w:szCs w:val="24"/>
                <w:highlight w:val="none"/>
                <w:lang w:val="en-US" w:eastAsia="zh-CN"/>
              </w:rPr>
              <w:t>八十商务酒店五楼</w:t>
            </w:r>
          </w:p>
          <w:p w14:paraId="118DBE57">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联 系 人：</w:t>
            </w:r>
            <w:r>
              <w:rPr>
                <w:rFonts w:hint="eastAsia" w:asciiTheme="minorEastAsia" w:hAnsiTheme="minorEastAsia" w:eastAsiaTheme="minorEastAsia" w:cstheme="minorEastAsia"/>
                <w:color w:val="auto"/>
                <w:position w:val="0"/>
                <w:sz w:val="24"/>
                <w:szCs w:val="24"/>
                <w:highlight w:val="none"/>
                <w:lang w:val="en-US" w:eastAsia="zh-CN"/>
              </w:rPr>
              <w:t xml:space="preserve">杨尚思 </w:t>
            </w:r>
          </w:p>
          <w:p w14:paraId="6B02C88E">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电    话：</w:t>
            </w:r>
            <w:r>
              <w:rPr>
                <w:rFonts w:hint="eastAsia" w:asciiTheme="minorEastAsia" w:hAnsiTheme="minorEastAsia" w:eastAsiaTheme="minorEastAsia" w:cstheme="minorEastAsia"/>
                <w:color w:val="auto"/>
                <w:position w:val="0"/>
                <w:sz w:val="24"/>
                <w:szCs w:val="24"/>
                <w:highlight w:val="none"/>
                <w:lang w:val="en-US" w:eastAsia="zh-CN"/>
              </w:rPr>
              <w:t>13887944044</w:t>
            </w:r>
          </w:p>
        </w:tc>
      </w:tr>
      <w:tr w14:paraId="27C7F38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7D1BC7F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1.1.4</w:t>
            </w:r>
          </w:p>
        </w:tc>
        <w:tc>
          <w:tcPr>
            <w:tcW w:w="2061" w:type="dxa"/>
            <w:vAlign w:val="center"/>
          </w:tcPr>
          <w:p w14:paraId="07548BB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项目名称</w:t>
            </w:r>
          </w:p>
        </w:tc>
        <w:tc>
          <w:tcPr>
            <w:tcW w:w="6965" w:type="dxa"/>
            <w:vAlign w:val="center"/>
          </w:tcPr>
          <w:p w14:paraId="298F5C2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Cs/>
                <w:color w:val="auto"/>
                <w:position w:val="0"/>
                <w:sz w:val="24"/>
                <w:szCs w:val="24"/>
                <w:highlight w:val="none"/>
                <w:lang w:val="en-US"/>
              </w:rPr>
            </w:pPr>
            <w:r>
              <w:rPr>
                <w:rFonts w:hint="eastAsia" w:asciiTheme="minorEastAsia" w:hAnsiTheme="minorEastAsia" w:eastAsiaTheme="minorEastAsia" w:cstheme="minorEastAsia"/>
                <w:bCs/>
                <w:color w:val="auto"/>
                <w:position w:val="0"/>
                <w:sz w:val="24"/>
                <w:szCs w:val="24"/>
                <w:highlight w:val="none"/>
                <w:lang w:eastAsia="zh-CN"/>
              </w:rPr>
              <w:t>联珠镇愧竜村咖啡加工仓储车间设施项目EPC</w:t>
            </w:r>
          </w:p>
        </w:tc>
      </w:tr>
      <w:tr w14:paraId="43013AD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33BDFA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1.1.5</w:t>
            </w:r>
          </w:p>
        </w:tc>
        <w:tc>
          <w:tcPr>
            <w:tcW w:w="2061" w:type="dxa"/>
            <w:vAlign w:val="center"/>
          </w:tcPr>
          <w:p w14:paraId="693C7289">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建设地点</w:t>
            </w:r>
          </w:p>
        </w:tc>
        <w:tc>
          <w:tcPr>
            <w:tcW w:w="6965" w:type="dxa"/>
            <w:vAlign w:val="center"/>
          </w:tcPr>
          <w:p w14:paraId="6984C14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lang w:val="en-US" w:eastAsia="zh-CN"/>
              </w:rPr>
              <w:t>墨江县联珠镇愧竜村</w:t>
            </w:r>
          </w:p>
        </w:tc>
      </w:tr>
      <w:tr w14:paraId="4BF504B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50006B5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1.2.1</w:t>
            </w:r>
          </w:p>
        </w:tc>
        <w:tc>
          <w:tcPr>
            <w:tcW w:w="2061" w:type="dxa"/>
            <w:vAlign w:val="center"/>
          </w:tcPr>
          <w:p w14:paraId="1D4E200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u w:val="none"/>
              </w:rPr>
            </w:pPr>
            <w:r>
              <w:rPr>
                <w:rFonts w:hint="eastAsia" w:asciiTheme="minorEastAsia" w:hAnsiTheme="minorEastAsia" w:eastAsiaTheme="minorEastAsia" w:cstheme="minorEastAsia"/>
                <w:color w:val="auto"/>
                <w:position w:val="0"/>
                <w:sz w:val="24"/>
                <w:szCs w:val="24"/>
                <w:highlight w:val="none"/>
                <w:u w:val="none"/>
              </w:rPr>
              <w:t>资金来源</w:t>
            </w:r>
          </w:p>
        </w:tc>
        <w:tc>
          <w:tcPr>
            <w:tcW w:w="6965" w:type="dxa"/>
            <w:shd w:val="clear" w:color="auto" w:fill="auto"/>
            <w:vAlign w:val="center"/>
          </w:tcPr>
          <w:p w14:paraId="5722A16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u w:val="none"/>
                <w:lang w:eastAsia="zh-CN"/>
              </w:rPr>
            </w:pPr>
            <w:r>
              <w:rPr>
                <w:rFonts w:hint="eastAsia" w:asciiTheme="minorEastAsia" w:hAnsiTheme="minorEastAsia" w:eastAsiaTheme="minorEastAsia" w:cstheme="minorEastAsia"/>
                <w:color w:val="auto"/>
                <w:position w:val="0"/>
                <w:sz w:val="24"/>
                <w:szCs w:val="24"/>
                <w:highlight w:val="none"/>
                <w:u w:val="none"/>
                <w:lang w:val="en-US" w:eastAsia="zh-CN"/>
              </w:rPr>
              <w:t>上海市对口帮扶项目资金及自筹</w:t>
            </w:r>
          </w:p>
        </w:tc>
      </w:tr>
      <w:tr w14:paraId="59E221B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A8A1FE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1.2.2</w:t>
            </w:r>
          </w:p>
        </w:tc>
        <w:tc>
          <w:tcPr>
            <w:tcW w:w="2061" w:type="dxa"/>
            <w:vAlign w:val="center"/>
          </w:tcPr>
          <w:p w14:paraId="37341A1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资金落实情况</w:t>
            </w:r>
          </w:p>
        </w:tc>
        <w:tc>
          <w:tcPr>
            <w:tcW w:w="6965" w:type="dxa"/>
            <w:vAlign w:val="center"/>
          </w:tcPr>
          <w:p w14:paraId="30F6186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已落实</w:t>
            </w:r>
          </w:p>
        </w:tc>
      </w:tr>
      <w:tr w14:paraId="1695E16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6AE0774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1.3.1</w:t>
            </w:r>
          </w:p>
        </w:tc>
        <w:tc>
          <w:tcPr>
            <w:tcW w:w="2061" w:type="dxa"/>
            <w:vAlign w:val="center"/>
          </w:tcPr>
          <w:p w14:paraId="50C3C16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招标范围</w:t>
            </w:r>
          </w:p>
        </w:tc>
        <w:tc>
          <w:tcPr>
            <w:tcW w:w="6965" w:type="dxa"/>
            <w:vAlign w:val="center"/>
          </w:tcPr>
          <w:p w14:paraId="28D7C57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详见招标公告第2.4项</w:t>
            </w:r>
            <w:r>
              <w:rPr>
                <w:rFonts w:hint="eastAsia" w:asciiTheme="minorEastAsia" w:hAnsiTheme="minorEastAsia" w:eastAsiaTheme="minorEastAsia" w:cstheme="minorEastAsia"/>
                <w:color w:val="auto"/>
                <w:position w:val="0"/>
                <w:sz w:val="24"/>
                <w:szCs w:val="24"/>
                <w:highlight w:val="none"/>
                <w:lang w:eastAsia="zh-CN"/>
              </w:rPr>
              <w:t>。</w:t>
            </w:r>
          </w:p>
        </w:tc>
      </w:tr>
      <w:tr w14:paraId="28E127C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47E3694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1.3.2</w:t>
            </w:r>
          </w:p>
        </w:tc>
        <w:tc>
          <w:tcPr>
            <w:tcW w:w="2061" w:type="dxa"/>
            <w:vAlign w:val="center"/>
          </w:tcPr>
          <w:p w14:paraId="2067F26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val="en-US" w:eastAsia="zh-CN"/>
              </w:rPr>
              <w:t>建设</w:t>
            </w:r>
            <w:r>
              <w:rPr>
                <w:rFonts w:hint="eastAsia" w:asciiTheme="minorEastAsia" w:hAnsiTheme="minorEastAsia" w:eastAsiaTheme="minorEastAsia" w:cstheme="minorEastAsia"/>
                <w:color w:val="auto"/>
                <w:position w:val="0"/>
                <w:sz w:val="24"/>
                <w:szCs w:val="24"/>
                <w:highlight w:val="none"/>
              </w:rPr>
              <w:t>工期</w:t>
            </w:r>
          </w:p>
        </w:tc>
        <w:tc>
          <w:tcPr>
            <w:tcW w:w="6965" w:type="dxa"/>
            <w:shd w:val="clear" w:color="auto" w:fill="auto"/>
            <w:vAlign w:val="center"/>
          </w:tcPr>
          <w:p w14:paraId="7E90EA9C">
            <w:pPr>
              <w:keepNext w:val="0"/>
              <w:keepLines w:val="0"/>
              <w:pageBreakBefore w:val="0"/>
              <w:widowControl w:val="0"/>
              <w:kinsoku/>
              <w:wordWrap/>
              <w:overflowPunct/>
              <w:topLinePunct/>
              <w:autoSpaceDE/>
              <w:autoSpaceDN/>
              <w:bidi w:val="0"/>
              <w:adjustRightInd/>
              <w:snapToGrid w:val="0"/>
              <w:spacing w:line="360" w:lineRule="auto"/>
              <w:ind w:left="0" w:leftChars="0" w:right="0" w:rightChars="0" w:firstLine="0" w:firstLineChars="0"/>
              <w:jc w:val="left"/>
              <w:textAlignment w:val="auto"/>
              <w:rPr>
                <w:rFonts w:hint="default" w:asciiTheme="minorEastAsia" w:hAnsiTheme="minorEastAsia" w:eastAsiaTheme="minorEastAsia" w:cstheme="minorEastAsia"/>
                <w:color w:val="auto"/>
                <w:position w:val="0"/>
                <w:sz w:val="24"/>
                <w:szCs w:val="24"/>
                <w:highlight w:val="none"/>
                <w:lang w:val="en-US"/>
              </w:rPr>
            </w:pPr>
            <w:r>
              <w:rPr>
                <w:rFonts w:hint="eastAsia" w:asciiTheme="minorEastAsia" w:hAnsiTheme="minorEastAsia" w:eastAsiaTheme="minorEastAsia" w:cstheme="minorEastAsia"/>
                <w:color w:val="auto"/>
                <w:position w:val="0"/>
                <w:sz w:val="24"/>
                <w:szCs w:val="24"/>
                <w:highlight w:val="none"/>
                <w:lang w:val="en-US" w:eastAsia="zh-CN"/>
              </w:rPr>
              <w:t>详见招标公告</w:t>
            </w:r>
          </w:p>
        </w:tc>
      </w:tr>
      <w:tr w14:paraId="6CB167E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75A82E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1.3.3</w:t>
            </w:r>
          </w:p>
        </w:tc>
        <w:tc>
          <w:tcPr>
            <w:tcW w:w="2061" w:type="dxa"/>
            <w:vAlign w:val="center"/>
          </w:tcPr>
          <w:p w14:paraId="64117B5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eastAsia="zh-CN"/>
              </w:rPr>
              <w:t>质量标准</w:t>
            </w:r>
          </w:p>
        </w:tc>
        <w:tc>
          <w:tcPr>
            <w:tcW w:w="6965" w:type="dxa"/>
            <w:vAlign w:val="center"/>
          </w:tcPr>
          <w:p w14:paraId="3C9D19A4">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default" w:asciiTheme="minorEastAsia" w:hAnsiTheme="minorEastAsia" w:eastAsiaTheme="minorEastAsia" w:cstheme="minorEastAsia"/>
                <w:color w:val="auto"/>
                <w:position w:val="0"/>
                <w:sz w:val="24"/>
                <w:szCs w:val="24"/>
                <w:highlight w:val="none"/>
                <w:lang w:val="en-US"/>
              </w:rPr>
            </w:pPr>
            <w:r>
              <w:rPr>
                <w:rFonts w:hint="eastAsia" w:asciiTheme="minorEastAsia" w:hAnsiTheme="minorEastAsia" w:eastAsiaTheme="minorEastAsia" w:cstheme="minorEastAsia"/>
                <w:color w:val="auto"/>
                <w:position w:val="0"/>
                <w:sz w:val="24"/>
                <w:szCs w:val="24"/>
                <w:highlight w:val="none"/>
                <w:lang w:val="en-US" w:eastAsia="zh-CN"/>
              </w:rPr>
              <w:t>详见招标公告</w:t>
            </w:r>
          </w:p>
        </w:tc>
      </w:tr>
      <w:tr w14:paraId="18F3203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1336F10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1.4.1</w:t>
            </w:r>
          </w:p>
        </w:tc>
        <w:tc>
          <w:tcPr>
            <w:tcW w:w="2061" w:type="dxa"/>
            <w:vAlign w:val="center"/>
          </w:tcPr>
          <w:p w14:paraId="3EB86DF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投标人资质条件、能力和信誉</w:t>
            </w:r>
          </w:p>
        </w:tc>
        <w:tc>
          <w:tcPr>
            <w:tcW w:w="6965" w:type="dxa"/>
            <w:vAlign w:val="center"/>
          </w:tcPr>
          <w:p w14:paraId="4D24F2C4">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default"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详见招标公告“投标人资格要求”</w:t>
            </w:r>
          </w:p>
        </w:tc>
      </w:tr>
      <w:tr w14:paraId="49D30D1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3C05399">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1.4.2</w:t>
            </w:r>
          </w:p>
        </w:tc>
        <w:tc>
          <w:tcPr>
            <w:tcW w:w="2061" w:type="dxa"/>
            <w:vAlign w:val="center"/>
          </w:tcPr>
          <w:p w14:paraId="1C2B18C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是否接受联合体投标</w:t>
            </w:r>
          </w:p>
        </w:tc>
        <w:tc>
          <w:tcPr>
            <w:tcW w:w="6965" w:type="dxa"/>
            <w:vAlign w:val="center"/>
          </w:tcPr>
          <w:p w14:paraId="2659525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A3"/>
            </w:r>
            <w:r>
              <w:rPr>
                <w:rFonts w:hint="eastAsia" w:asciiTheme="minorEastAsia" w:hAnsiTheme="minorEastAsia" w:eastAsiaTheme="minorEastAsia" w:cstheme="minorEastAsia"/>
                <w:color w:val="auto"/>
                <w:position w:val="0"/>
                <w:sz w:val="24"/>
                <w:szCs w:val="24"/>
                <w:highlight w:val="none"/>
              </w:rPr>
              <w:t>不接受</w:t>
            </w:r>
          </w:p>
          <w:p w14:paraId="1417DD6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52"/>
            </w:r>
            <w:r>
              <w:rPr>
                <w:rFonts w:hint="eastAsia" w:asciiTheme="minorEastAsia" w:hAnsiTheme="minorEastAsia" w:eastAsiaTheme="minorEastAsia" w:cstheme="minorEastAsia"/>
                <w:color w:val="auto"/>
                <w:position w:val="0"/>
                <w:sz w:val="24"/>
                <w:szCs w:val="24"/>
                <w:highlight w:val="none"/>
              </w:rPr>
              <w:t>接受，详见招标公告</w:t>
            </w:r>
          </w:p>
        </w:tc>
      </w:tr>
      <w:tr w14:paraId="7A286A4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FF4AEA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1.5</w:t>
            </w:r>
          </w:p>
        </w:tc>
        <w:tc>
          <w:tcPr>
            <w:tcW w:w="2061" w:type="dxa"/>
            <w:vAlign w:val="center"/>
          </w:tcPr>
          <w:p w14:paraId="50E8181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费用承担和设计成果补偿</w:t>
            </w:r>
          </w:p>
        </w:tc>
        <w:tc>
          <w:tcPr>
            <w:tcW w:w="6965" w:type="dxa"/>
            <w:vAlign w:val="center"/>
          </w:tcPr>
          <w:p w14:paraId="7C0EB6D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52"/>
            </w:r>
            <w:r>
              <w:rPr>
                <w:rFonts w:hint="eastAsia" w:asciiTheme="minorEastAsia" w:hAnsiTheme="minorEastAsia" w:eastAsiaTheme="minorEastAsia" w:cstheme="minorEastAsia"/>
                <w:color w:val="auto"/>
                <w:position w:val="0"/>
                <w:sz w:val="24"/>
                <w:szCs w:val="24"/>
                <w:highlight w:val="none"/>
              </w:rPr>
              <w:t>不补偿</w:t>
            </w:r>
          </w:p>
          <w:p w14:paraId="3D79BDC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A3"/>
            </w:r>
            <w:r>
              <w:rPr>
                <w:rFonts w:hint="eastAsia" w:asciiTheme="minorEastAsia" w:hAnsiTheme="minorEastAsia" w:eastAsiaTheme="minorEastAsia" w:cstheme="minorEastAsia"/>
                <w:color w:val="auto"/>
                <w:position w:val="0"/>
                <w:sz w:val="24"/>
                <w:szCs w:val="24"/>
                <w:highlight w:val="none"/>
              </w:rPr>
              <w:t>补偿，补偿标准：</w:t>
            </w:r>
          </w:p>
        </w:tc>
      </w:tr>
      <w:tr w14:paraId="56805CF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878D35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1.9.1</w:t>
            </w:r>
          </w:p>
        </w:tc>
        <w:tc>
          <w:tcPr>
            <w:tcW w:w="2061" w:type="dxa"/>
            <w:vAlign w:val="center"/>
          </w:tcPr>
          <w:p w14:paraId="7D2BC44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踏勘</w:t>
            </w:r>
          </w:p>
        </w:tc>
        <w:tc>
          <w:tcPr>
            <w:tcW w:w="6965" w:type="dxa"/>
            <w:vAlign w:val="center"/>
          </w:tcPr>
          <w:p w14:paraId="2385A3E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52"/>
            </w:r>
            <w:r>
              <w:rPr>
                <w:rFonts w:hint="eastAsia" w:asciiTheme="minorEastAsia" w:hAnsiTheme="minorEastAsia" w:eastAsiaTheme="minorEastAsia" w:cstheme="minorEastAsia"/>
                <w:color w:val="auto"/>
                <w:position w:val="0"/>
                <w:sz w:val="24"/>
                <w:szCs w:val="24"/>
                <w:highlight w:val="none"/>
              </w:rPr>
              <w:t>不组织</w:t>
            </w:r>
          </w:p>
          <w:p w14:paraId="6A6556E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A3"/>
            </w:r>
            <w:r>
              <w:rPr>
                <w:rFonts w:hint="eastAsia" w:asciiTheme="minorEastAsia" w:hAnsiTheme="minorEastAsia" w:eastAsiaTheme="minorEastAsia" w:cstheme="minorEastAsia"/>
                <w:color w:val="auto"/>
                <w:position w:val="0"/>
                <w:sz w:val="24"/>
                <w:szCs w:val="24"/>
                <w:highlight w:val="none"/>
              </w:rPr>
              <w:t>组织，踏勘时间：</w:t>
            </w:r>
          </w:p>
          <w:p w14:paraId="049AA26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踏勘集中地点：</w:t>
            </w:r>
          </w:p>
        </w:tc>
      </w:tr>
      <w:tr w14:paraId="7721413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6303C0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1.10.1</w:t>
            </w:r>
          </w:p>
        </w:tc>
        <w:tc>
          <w:tcPr>
            <w:tcW w:w="2061" w:type="dxa"/>
            <w:vAlign w:val="center"/>
          </w:tcPr>
          <w:p w14:paraId="6421A98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投标预备会</w:t>
            </w:r>
          </w:p>
        </w:tc>
        <w:tc>
          <w:tcPr>
            <w:tcW w:w="6965" w:type="dxa"/>
            <w:vAlign w:val="center"/>
          </w:tcPr>
          <w:p w14:paraId="2753B607">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52"/>
            </w:r>
            <w:r>
              <w:rPr>
                <w:rFonts w:hint="eastAsia" w:asciiTheme="minorEastAsia" w:hAnsiTheme="minorEastAsia" w:eastAsiaTheme="minorEastAsia" w:cstheme="minorEastAsia"/>
                <w:color w:val="auto"/>
                <w:position w:val="0"/>
                <w:sz w:val="24"/>
                <w:szCs w:val="24"/>
                <w:highlight w:val="none"/>
              </w:rPr>
              <w:t>不召开</w:t>
            </w:r>
          </w:p>
          <w:p w14:paraId="7E0CF0A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sym w:font="Wingdings 2" w:char="F0A3"/>
            </w:r>
            <w:r>
              <w:rPr>
                <w:rFonts w:hint="eastAsia" w:asciiTheme="minorEastAsia" w:hAnsiTheme="minorEastAsia" w:eastAsiaTheme="minorEastAsia" w:cstheme="minorEastAsia"/>
                <w:color w:val="auto"/>
                <w:position w:val="0"/>
                <w:sz w:val="24"/>
                <w:szCs w:val="24"/>
                <w:highlight w:val="none"/>
              </w:rPr>
              <w:t>召开，召开时间：</w:t>
            </w:r>
          </w:p>
          <w:p w14:paraId="2A68E6A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召开地点：</w:t>
            </w:r>
          </w:p>
        </w:tc>
      </w:tr>
      <w:tr w14:paraId="3B46F41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6259C35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1.10.2</w:t>
            </w:r>
          </w:p>
        </w:tc>
        <w:tc>
          <w:tcPr>
            <w:tcW w:w="2061" w:type="dxa"/>
            <w:vAlign w:val="center"/>
          </w:tcPr>
          <w:p w14:paraId="4738423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投标人提出问题的截止时间</w:t>
            </w:r>
          </w:p>
        </w:tc>
        <w:tc>
          <w:tcPr>
            <w:tcW w:w="6965" w:type="dxa"/>
            <w:vAlign w:val="center"/>
          </w:tcPr>
          <w:p w14:paraId="0B07D61B">
            <w:pPr>
              <w:keepNext w:val="0"/>
              <w:keepLines w:val="0"/>
              <w:pageBreakBefore w:val="0"/>
              <w:widowControl w:val="0"/>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position w:val="0"/>
                <w:sz w:val="24"/>
                <w:szCs w:val="24"/>
                <w:highlight w:val="none"/>
              </w:rPr>
              <w:t>投标截止时间前</w:t>
            </w:r>
            <w:r>
              <w:rPr>
                <w:rFonts w:hint="eastAsia" w:asciiTheme="minorEastAsia" w:hAnsiTheme="minorEastAsia" w:eastAsiaTheme="minorEastAsia" w:cstheme="minorEastAsia"/>
                <w:color w:val="auto"/>
                <w:position w:val="0"/>
                <w:sz w:val="24"/>
                <w:szCs w:val="24"/>
                <w:highlight w:val="none"/>
                <w:u w:val="single"/>
              </w:rPr>
              <w:t>10</w:t>
            </w:r>
            <w:r>
              <w:rPr>
                <w:rFonts w:hint="eastAsia" w:asciiTheme="minorEastAsia" w:hAnsiTheme="minorEastAsia" w:eastAsiaTheme="minorEastAsia" w:cstheme="minorEastAsia"/>
                <w:color w:val="auto"/>
                <w:position w:val="0"/>
                <w:sz w:val="24"/>
                <w:szCs w:val="24"/>
                <w:highlight w:val="none"/>
              </w:rPr>
              <w:t>日，所有获取了招标文件的潜在投标人凭企业数字证书（USBKEY）登录云南省公共资源交易信息网（</w:t>
            </w:r>
            <w:r>
              <w:rPr>
                <w:rFonts w:hint="eastAsia" w:asciiTheme="minorEastAsia" w:hAnsiTheme="minorEastAsia" w:eastAsiaTheme="minorEastAsia" w:cstheme="minorEastAsia"/>
                <w:color w:val="auto"/>
                <w:position w:val="0"/>
                <w:sz w:val="24"/>
                <w:szCs w:val="24"/>
                <w:highlight w:val="none"/>
                <w:lang w:eastAsia="zh-CN"/>
              </w:rPr>
              <w:t>https://ggzy.yn.gov.cn/homePage#/homePage</w:t>
            </w:r>
            <w:r>
              <w:rPr>
                <w:rFonts w:hint="eastAsia" w:asciiTheme="minorEastAsia" w:hAnsiTheme="minorEastAsia" w:eastAsiaTheme="minorEastAsia" w:cstheme="minorEastAsia"/>
                <w:color w:val="auto"/>
                <w:position w:val="0"/>
                <w:sz w:val="24"/>
                <w:szCs w:val="24"/>
                <w:highlight w:val="none"/>
              </w:rPr>
              <w:t>），进入后切换地区至普洱市，通过网络在线方式进行不署名提问。</w:t>
            </w:r>
          </w:p>
        </w:tc>
      </w:tr>
      <w:tr w14:paraId="64B54BB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153C369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1.10.3</w:t>
            </w:r>
          </w:p>
        </w:tc>
        <w:tc>
          <w:tcPr>
            <w:tcW w:w="2061" w:type="dxa"/>
            <w:vAlign w:val="center"/>
          </w:tcPr>
          <w:p w14:paraId="6827B04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招标人书面澄清的时间</w:t>
            </w:r>
          </w:p>
        </w:tc>
        <w:tc>
          <w:tcPr>
            <w:tcW w:w="6965" w:type="dxa"/>
            <w:vAlign w:val="center"/>
          </w:tcPr>
          <w:p w14:paraId="25FD5EF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投标截止时间前</w:t>
            </w:r>
            <w:r>
              <w:rPr>
                <w:rFonts w:hint="eastAsia" w:asciiTheme="minorEastAsia" w:hAnsiTheme="minorEastAsia" w:eastAsiaTheme="minorEastAsia" w:cstheme="minorEastAsia"/>
                <w:color w:val="auto"/>
                <w:position w:val="0"/>
                <w:sz w:val="24"/>
                <w:szCs w:val="24"/>
                <w:highlight w:val="none"/>
                <w:u w:val="single"/>
              </w:rPr>
              <w:t>15</w:t>
            </w:r>
            <w:r>
              <w:rPr>
                <w:rFonts w:hint="eastAsia" w:asciiTheme="minorEastAsia" w:hAnsiTheme="minorEastAsia" w:eastAsiaTheme="minorEastAsia" w:cstheme="minorEastAsia"/>
                <w:color w:val="auto"/>
                <w:position w:val="0"/>
                <w:sz w:val="24"/>
                <w:szCs w:val="24"/>
                <w:highlight w:val="none"/>
              </w:rPr>
              <w:t>日，通过云南省公共资源交易信息网（</w:t>
            </w:r>
            <w:r>
              <w:rPr>
                <w:rFonts w:hint="eastAsia" w:asciiTheme="minorEastAsia" w:hAnsiTheme="minorEastAsia" w:eastAsiaTheme="minorEastAsia" w:cstheme="minorEastAsia"/>
                <w:color w:val="auto"/>
                <w:position w:val="0"/>
                <w:sz w:val="24"/>
                <w:szCs w:val="24"/>
                <w:highlight w:val="none"/>
                <w:lang w:eastAsia="zh-CN"/>
              </w:rPr>
              <w:t>https://ggzy.yn.gov.cn/homePage#/homePage</w:t>
            </w:r>
            <w:r>
              <w:rPr>
                <w:rFonts w:hint="eastAsia" w:asciiTheme="minorEastAsia" w:hAnsiTheme="minorEastAsia" w:eastAsiaTheme="minorEastAsia" w:cstheme="minorEastAsia"/>
                <w:color w:val="auto"/>
                <w:position w:val="0"/>
                <w:sz w:val="24"/>
                <w:szCs w:val="24"/>
                <w:highlight w:val="none"/>
              </w:rPr>
              <w:t>），进入后切换地区至普洱市</w:t>
            </w: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rPr>
              <w:t>统一向潜在投标人发布。投标人不须回函确认，所有获取了招标文件的潜在投标人凭企业身份认证数字证书（CA）查看澄清内容。</w:t>
            </w:r>
          </w:p>
        </w:tc>
      </w:tr>
      <w:tr w14:paraId="6C6674D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076DE9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1.11.1</w:t>
            </w:r>
          </w:p>
        </w:tc>
        <w:tc>
          <w:tcPr>
            <w:tcW w:w="2061" w:type="dxa"/>
            <w:vAlign w:val="center"/>
          </w:tcPr>
          <w:p w14:paraId="6559B23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招标人规定由分包人承担的工作</w:t>
            </w:r>
          </w:p>
        </w:tc>
        <w:tc>
          <w:tcPr>
            <w:tcW w:w="6965" w:type="dxa"/>
            <w:vAlign w:val="center"/>
          </w:tcPr>
          <w:p w14:paraId="78149A9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无</w:t>
            </w:r>
          </w:p>
        </w:tc>
      </w:tr>
      <w:tr w14:paraId="430B3B9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6D13B03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1.11.2</w:t>
            </w:r>
          </w:p>
        </w:tc>
        <w:tc>
          <w:tcPr>
            <w:tcW w:w="2061" w:type="dxa"/>
            <w:vAlign w:val="center"/>
          </w:tcPr>
          <w:p w14:paraId="263F029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投标人拟分包的工作</w:t>
            </w:r>
          </w:p>
        </w:tc>
        <w:tc>
          <w:tcPr>
            <w:tcW w:w="6965" w:type="dxa"/>
            <w:vAlign w:val="center"/>
          </w:tcPr>
          <w:p w14:paraId="63D9549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不得对合同约定的主体工程、关键性工作进行分包，其他专项工程满足分包条件的，可在国家法律法规允许的范围内进行分包。</w:t>
            </w:r>
          </w:p>
        </w:tc>
      </w:tr>
      <w:tr w14:paraId="3608A27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551E965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1.12</w:t>
            </w:r>
          </w:p>
        </w:tc>
        <w:tc>
          <w:tcPr>
            <w:tcW w:w="2061" w:type="dxa"/>
            <w:vAlign w:val="center"/>
          </w:tcPr>
          <w:p w14:paraId="285846C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偏离</w:t>
            </w:r>
          </w:p>
        </w:tc>
        <w:tc>
          <w:tcPr>
            <w:tcW w:w="6965" w:type="dxa"/>
            <w:vAlign w:val="center"/>
          </w:tcPr>
          <w:p w14:paraId="7CB2B44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□不允许</w:t>
            </w:r>
          </w:p>
          <w:p w14:paraId="67B1E28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fldChar w:fldCharType="begin"/>
            </w:r>
            <w:r>
              <w:rPr>
                <w:rFonts w:hint="eastAsia" w:asciiTheme="minorEastAsia" w:hAnsiTheme="minorEastAsia" w:eastAsiaTheme="minorEastAsia" w:cstheme="minorEastAsia"/>
                <w:color w:val="auto"/>
                <w:position w:val="0"/>
                <w:sz w:val="24"/>
                <w:szCs w:val="24"/>
                <w:highlight w:val="none"/>
              </w:rPr>
              <w:instrText xml:space="preserve"> eq \o\ac(□,√)</w:instrText>
            </w:r>
            <w:r>
              <w:rPr>
                <w:rFonts w:hint="eastAsia" w:asciiTheme="minorEastAsia" w:hAnsiTheme="minorEastAsia" w:eastAsiaTheme="minorEastAsia" w:cstheme="minorEastAsia"/>
                <w:color w:val="auto"/>
                <w:position w:val="0"/>
                <w:sz w:val="24"/>
                <w:szCs w:val="24"/>
                <w:highlight w:val="none"/>
              </w:rPr>
              <w:fldChar w:fldCharType="end"/>
            </w:r>
            <w:r>
              <w:rPr>
                <w:rFonts w:hint="eastAsia" w:asciiTheme="minorEastAsia" w:hAnsiTheme="minorEastAsia" w:eastAsiaTheme="minorEastAsia" w:cstheme="minorEastAsia"/>
                <w:color w:val="auto"/>
                <w:position w:val="0"/>
                <w:sz w:val="24"/>
                <w:szCs w:val="24"/>
                <w:highlight w:val="none"/>
              </w:rPr>
              <w:t>允许，允许偏离的内容、偏离范围和幅度：允许</w:t>
            </w:r>
            <w:r>
              <w:rPr>
                <w:rFonts w:hint="eastAsia" w:asciiTheme="minorEastAsia" w:hAnsiTheme="minorEastAsia" w:eastAsiaTheme="minorEastAsia" w:cstheme="minorEastAsia"/>
                <w:color w:val="auto"/>
                <w:position w:val="0"/>
                <w:sz w:val="24"/>
                <w:szCs w:val="24"/>
                <w:highlight w:val="none"/>
                <w:lang w:val="en-US" w:eastAsia="zh-CN"/>
              </w:rPr>
              <w:t>正偏离</w:t>
            </w:r>
          </w:p>
        </w:tc>
      </w:tr>
      <w:tr w14:paraId="72B8047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66BAD6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2.1</w:t>
            </w:r>
          </w:p>
        </w:tc>
        <w:tc>
          <w:tcPr>
            <w:tcW w:w="2061" w:type="dxa"/>
            <w:vAlign w:val="center"/>
          </w:tcPr>
          <w:p w14:paraId="7B9E4F1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构成招标文件的其他资料</w:t>
            </w:r>
          </w:p>
        </w:tc>
        <w:tc>
          <w:tcPr>
            <w:tcW w:w="6965" w:type="dxa"/>
            <w:vAlign w:val="center"/>
          </w:tcPr>
          <w:p w14:paraId="1C6A01F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招标过程中所发出的补遗、答疑（若有）</w:t>
            </w:r>
            <w:r>
              <w:rPr>
                <w:rFonts w:hint="eastAsia" w:asciiTheme="minorEastAsia" w:hAnsiTheme="minorEastAsia" w:eastAsiaTheme="minorEastAsia" w:cstheme="minorEastAsia"/>
                <w:color w:val="auto"/>
                <w:position w:val="0"/>
                <w:sz w:val="24"/>
                <w:szCs w:val="24"/>
                <w:highlight w:val="none"/>
                <w:lang w:eastAsia="zh-CN"/>
              </w:rPr>
              <w:t>。</w:t>
            </w:r>
          </w:p>
        </w:tc>
      </w:tr>
      <w:tr w14:paraId="539170A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Merge w:val="restart"/>
            <w:vAlign w:val="center"/>
          </w:tcPr>
          <w:p w14:paraId="734AA50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2.2.1</w:t>
            </w:r>
          </w:p>
        </w:tc>
        <w:tc>
          <w:tcPr>
            <w:tcW w:w="2061" w:type="dxa"/>
            <w:vMerge w:val="restart"/>
            <w:vAlign w:val="center"/>
          </w:tcPr>
          <w:p w14:paraId="54E3AE0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投标人要求澄清招标文件</w:t>
            </w:r>
          </w:p>
        </w:tc>
        <w:tc>
          <w:tcPr>
            <w:tcW w:w="6965" w:type="dxa"/>
            <w:vAlign w:val="center"/>
          </w:tcPr>
          <w:p w14:paraId="3263422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val="en-US" w:eastAsia="zh-CN"/>
              </w:rPr>
              <w:t>投标人</w:t>
            </w:r>
            <w:r>
              <w:rPr>
                <w:rFonts w:hint="eastAsia" w:asciiTheme="minorEastAsia" w:hAnsiTheme="minorEastAsia" w:eastAsiaTheme="minorEastAsia" w:cstheme="minorEastAsia"/>
                <w:color w:val="auto"/>
                <w:position w:val="0"/>
                <w:sz w:val="24"/>
                <w:szCs w:val="24"/>
                <w:highlight w:val="none"/>
              </w:rPr>
              <w:t>对招标文件有异议的，应当在投标截止时间10日前提出。招标人应当自收到异议之日起3日内作出答复；作出答复前，应当暂停招标投标活动。</w:t>
            </w:r>
          </w:p>
        </w:tc>
      </w:tr>
      <w:tr w14:paraId="6BE933F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Merge w:val="continue"/>
            <w:vAlign w:val="center"/>
          </w:tcPr>
          <w:p w14:paraId="32BAAEB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p>
        </w:tc>
        <w:tc>
          <w:tcPr>
            <w:tcW w:w="2061" w:type="dxa"/>
            <w:vMerge w:val="continue"/>
            <w:vAlign w:val="center"/>
          </w:tcPr>
          <w:p w14:paraId="0D463BE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p>
        </w:tc>
        <w:tc>
          <w:tcPr>
            <w:tcW w:w="6965" w:type="dxa"/>
            <w:vAlign w:val="center"/>
          </w:tcPr>
          <w:p w14:paraId="1AD33E32">
            <w:pPr>
              <w:keepNext w:val="0"/>
              <w:keepLines w:val="0"/>
              <w:pageBreakBefore w:val="0"/>
              <w:widowControl w:val="0"/>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形式：网上澄清，投标人应仔细阅读和检查招标文件的全部内容。如发现缺页或附件不全，应及时向招标人提出，以便补齐。如有疑问，应在投标人须知前附表规定的时间前以在线不署名提交方式登录云南省公共资源交易信息网（</w:t>
            </w:r>
            <w:r>
              <w:rPr>
                <w:rFonts w:hint="eastAsia" w:asciiTheme="minorEastAsia" w:hAnsiTheme="minorEastAsia" w:eastAsiaTheme="minorEastAsia" w:cstheme="minorEastAsia"/>
                <w:color w:val="auto"/>
                <w:position w:val="0"/>
                <w:sz w:val="24"/>
                <w:szCs w:val="24"/>
                <w:highlight w:val="none"/>
                <w:lang w:eastAsia="zh-CN"/>
              </w:rPr>
              <w:t>https://ggzy.yn.gov.cn/homePage#/homePage</w:t>
            </w:r>
            <w:r>
              <w:rPr>
                <w:rFonts w:hint="eastAsia" w:asciiTheme="minorEastAsia" w:hAnsiTheme="minorEastAsia" w:eastAsiaTheme="minorEastAsia" w:cstheme="minorEastAsia"/>
                <w:color w:val="auto"/>
                <w:position w:val="0"/>
                <w:sz w:val="24"/>
                <w:szCs w:val="24"/>
                <w:highlight w:val="none"/>
              </w:rPr>
              <w:t>），进入后切换地区至普洱市，要求招标人对招标文件予以澄清。</w:t>
            </w:r>
          </w:p>
        </w:tc>
      </w:tr>
      <w:tr w14:paraId="4A61D25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8594367">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2.2.2</w:t>
            </w:r>
          </w:p>
        </w:tc>
        <w:tc>
          <w:tcPr>
            <w:tcW w:w="2061" w:type="dxa"/>
            <w:vAlign w:val="center"/>
          </w:tcPr>
          <w:p w14:paraId="27794FF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投标截止时间</w:t>
            </w:r>
          </w:p>
        </w:tc>
        <w:tc>
          <w:tcPr>
            <w:tcW w:w="6965" w:type="dxa"/>
            <w:vAlign w:val="center"/>
          </w:tcPr>
          <w:p w14:paraId="3C534CFD">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详见招标公告</w:t>
            </w:r>
            <w:r>
              <w:rPr>
                <w:rFonts w:hint="eastAsia" w:asciiTheme="minorEastAsia" w:hAnsiTheme="minorEastAsia" w:eastAsiaTheme="minorEastAsia" w:cstheme="minorEastAsia"/>
                <w:color w:val="auto"/>
                <w:position w:val="0"/>
                <w:sz w:val="24"/>
                <w:szCs w:val="24"/>
                <w:highlight w:val="none"/>
                <w:lang w:eastAsia="zh-CN"/>
              </w:rPr>
              <w:t>。</w:t>
            </w:r>
          </w:p>
        </w:tc>
      </w:tr>
      <w:tr w14:paraId="16EDB21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7E66B50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2.2.3</w:t>
            </w:r>
          </w:p>
        </w:tc>
        <w:tc>
          <w:tcPr>
            <w:tcW w:w="2061" w:type="dxa"/>
            <w:vAlign w:val="center"/>
          </w:tcPr>
          <w:p w14:paraId="3989E73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投标人确认收到招标文件澄清的时间</w:t>
            </w:r>
          </w:p>
        </w:tc>
        <w:tc>
          <w:tcPr>
            <w:tcW w:w="6965" w:type="dxa"/>
            <w:vAlign w:val="center"/>
          </w:tcPr>
          <w:p w14:paraId="600DFAA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投标人自行登录云南省公共资源交易信息网（</w:t>
            </w:r>
            <w:r>
              <w:rPr>
                <w:rFonts w:hint="eastAsia" w:asciiTheme="minorEastAsia" w:hAnsiTheme="minorEastAsia" w:eastAsiaTheme="minorEastAsia" w:cstheme="minorEastAsia"/>
                <w:color w:val="auto"/>
                <w:position w:val="0"/>
                <w:sz w:val="24"/>
                <w:szCs w:val="24"/>
                <w:highlight w:val="none"/>
                <w:lang w:eastAsia="zh-CN"/>
              </w:rPr>
              <w:t>https://ggzy.yn.gov.cn/homePage#/homePage</w:t>
            </w:r>
            <w:r>
              <w:rPr>
                <w:rFonts w:hint="eastAsia" w:asciiTheme="minorEastAsia" w:hAnsiTheme="minorEastAsia" w:eastAsiaTheme="minorEastAsia" w:cstheme="minorEastAsia"/>
                <w:color w:val="auto"/>
                <w:position w:val="0"/>
                <w:sz w:val="24"/>
                <w:szCs w:val="24"/>
                <w:highlight w:val="none"/>
              </w:rPr>
              <w:t>），进入后切换地区至普洱市获取澄清，无须回复确认已收到该澄清。</w:t>
            </w:r>
          </w:p>
        </w:tc>
      </w:tr>
      <w:tr w14:paraId="4127579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F4EFAE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2.3.2</w:t>
            </w:r>
          </w:p>
        </w:tc>
        <w:tc>
          <w:tcPr>
            <w:tcW w:w="2061" w:type="dxa"/>
            <w:vAlign w:val="center"/>
          </w:tcPr>
          <w:p w14:paraId="015E83C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投标人确认收到招标文件修改的时间</w:t>
            </w:r>
          </w:p>
        </w:tc>
        <w:tc>
          <w:tcPr>
            <w:tcW w:w="6965" w:type="dxa"/>
            <w:vAlign w:val="center"/>
          </w:tcPr>
          <w:p w14:paraId="0BE03AC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投标人自行登录云南省公共资源交易信息网（</w:t>
            </w:r>
            <w:r>
              <w:rPr>
                <w:rFonts w:hint="eastAsia" w:asciiTheme="minorEastAsia" w:hAnsiTheme="minorEastAsia" w:eastAsiaTheme="minorEastAsia" w:cstheme="minorEastAsia"/>
                <w:color w:val="auto"/>
                <w:position w:val="0"/>
                <w:sz w:val="24"/>
                <w:szCs w:val="24"/>
                <w:highlight w:val="none"/>
                <w:lang w:eastAsia="zh-CN"/>
              </w:rPr>
              <w:t>https://ggzy.yn.gov.cn/homePage#/homePage</w:t>
            </w:r>
            <w:r>
              <w:rPr>
                <w:rFonts w:hint="eastAsia" w:asciiTheme="minorEastAsia" w:hAnsiTheme="minorEastAsia" w:eastAsiaTheme="minorEastAsia" w:cstheme="minorEastAsia"/>
                <w:color w:val="auto"/>
                <w:position w:val="0"/>
                <w:sz w:val="24"/>
                <w:szCs w:val="24"/>
                <w:highlight w:val="none"/>
              </w:rPr>
              <w:t>），进入后切换地区至普洱市获取澄清，无须回复确认已收到该修改。</w:t>
            </w:r>
          </w:p>
        </w:tc>
      </w:tr>
      <w:tr w14:paraId="35C1CCA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7BE4D66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3.1.1</w:t>
            </w:r>
          </w:p>
        </w:tc>
        <w:tc>
          <w:tcPr>
            <w:tcW w:w="2061" w:type="dxa"/>
            <w:vAlign w:val="center"/>
          </w:tcPr>
          <w:p w14:paraId="63A63D1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构成投标文件的其他资料</w:t>
            </w:r>
          </w:p>
        </w:tc>
        <w:tc>
          <w:tcPr>
            <w:tcW w:w="6965" w:type="dxa"/>
            <w:vAlign w:val="center"/>
          </w:tcPr>
          <w:p w14:paraId="08A48CC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除本招标文件要求的投标文件组成外，无其他材料要求。</w:t>
            </w:r>
          </w:p>
        </w:tc>
      </w:tr>
      <w:tr w14:paraId="3DCD288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shd w:val="clear" w:color="auto" w:fill="auto"/>
            <w:vAlign w:val="center"/>
          </w:tcPr>
          <w:p w14:paraId="7C9A5E19">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position w:val="0"/>
                <w:sz w:val="24"/>
                <w:szCs w:val="24"/>
                <w:highlight w:val="none"/>
                <w:lang w:val="en-US" w:eastAsia="zh-CN" w:bidi="ar-SA"/>
              </w:rPr>
            </w:pPr>
            <w:r>
              <w:rPr>
                <w:rFonts w:hint="eastAsia" w:asciiTheme="minorEastAsia" w:hAnsiTheme="minorEastAsia" w:eastAsiaTheme="minorEastAsia" w:cstheme="minorEastAsia"/>
                <w:color w:val="auto"/>
                <w:position w:val="0"/>
                <w:sz w:val="24"/>
                <w:szCs w:val="24"/>
                <w:highlight w:val="none"/>
                <w:lang w:val="en-US" w:eastAsia="zh-CN"/>
              </w:rPr>
              <w:t>3.2.4</w:t>
            </w:r>
          </w:p>
        </w:tc>
        <w:tc>
          <w:tcPr>
            <w:tcW w:w="2061" w:type="dxa"/>
            <w:shd w:val="clear" w:color="auto" w:fill="auto"/>
            <w:vAlign w:val="center"/>
          </w:tcPr>
          <w:p w14:paraId="077ACA9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position w:val="0"/>
                <w:sz w:val="24"/>
                <w:szCs w:val="24"/>
                <w:highlight w:val="none"/>
                <w:lang w:val="en-US" w:eastAsia="zh-CN" w:bidi="ar-SA"/>
              </w:rPr>
            </w:pPr>
            <w:r>
              <w:rPr>
                <w:rFonts w:hint="eastAsia" w:asciiTheme="minorEastAsia" w:hAnsiTheme="minorEastAsia" w:eastAsiaTheme="minorEastAsia" w:cstheme="minorEastAsia"/>
                <w:b/>
                <w:bCs/>
                <w:color w:val="auto"/>
                <w:position w:val="0"/>
                <w:sz w:val="24"/>
                <w:szCs w:val="24"/>
                <w:highlight w:val="none"/>
                <w:lang w:val="en-US" w:eastAsia="zh-CN"/>
              </w:rPr>
              <w:t>招标控制价</w:t>
            </w:r>
          </w:p>
        </w:tc>
        <w:tc>
          <w:tcPr>
            <w:tcW w:w="6965" w:type="dxa"/>
            <w:shd w:val="clear" w:color="auto" w:fill="auto"/>
            <w:vAlign w:val="center"/>
          </w:tcPr>
          <w:p w14:paraId="6300C338">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□无</w:t>
            </w:r>
          </w:p>
          <w:p w14:paraId="5A604DE2">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☑有，控制价：</w:t>
            </w:r>
          </w:p>
          <w:p w14:paraId="65A9FA22">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（1）设计部分：</w:t>
            </w:r>
          </w:p>
          <w:p w14:paraId="77745E8D">
            <w:pPr>
              <w:keepNext w:val="0"/>
              <w:keepLines w:val="0"/>
              <w:pageBreakBefore w:val="0"/>
              <w:widowControl w:val="0"/>
              <w:numPr>
                <w:ilvl w:val="0"/>
                <w:numId w:val="0"/>
              </w:numPr>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设计费控制价：</w:t>
            </w:r>
            <w:r>
              <w:rPr>
                <w:rFonts w:hint="eastAsia" w:asciiTheme="minorEastAsia" w:hAnsiTheme="minorEastAsia" w:eastAsiaTheme="minorEastAsia" w:cstheme="minorEastAsia"/>
                <w:b/>
                <w:bCs/>
                <w:color w:val="auto"/>
                <w:sz w:val="24"/>
                <w:szCs w:val="24"/>
                <w:highlight w:val="none"/>
                <w:lang w:val="en-US" w:eastAsia="zh-CN"/>
              </w:rPr>
              <w:t>160000.00元</w:t>
            </w:r>
            <w:r>
              <w:rPr>
                <w:rFonts w:hint="eastAsia" w:asciiTheme="minorEastAsia" w:hAnsiTheme="minorEastAsia" w:eastAsiaTheme="minorEastAsia" w:cstheme="minorEastAsia"/>
                <w:color w:val="auto"/>
                <w:sz w:val="24"/>
                <w:szCs w:val="24"/>
                <w:highlight w:val="none"/>
              </w:rPr>
              <w:t>，投标人设计</w:t>
            </w:r>
            <w:r>
              <w:rPr>
                <w:rFonts w:hint="eastAsia" w:asciiTheme="minorEastAsia" w:hAnsiTheme="minorEastAsia" w:eastAsiaTheme="minorEastAsia" w:cstheme="minorEastAsia"/>
                <w:color w:val="auto"/>
                <w:sz w:val="24"/>
                <w:szCs w:val="24"/>
                <w:highlight w:val="none"/>
                <w:lang w:val="en-US" w:eastAsia="zh-CN"/>
              </w:rPr>
              <w:t>费报价</w:t>
            </w:r>
            <w:r>
              <w:rPr>
                <w:rFonts w:hint="eastAsia" w:asciiTheme="minorEastAsia" w:hAnsiTheme="minorEastAsia" w:eastAsiaTheme="minorEastAsia" w:cstheme="minorEastAsia"/>
                <w:color w:val="auto"/>
                <w:sz w:val="24"/>
                <w:szCs w:val="24"/>
                <w:highlight w:val="none"/>
              </w:rPr>
              <w:t>不得</w:t>
            </w:r>
            <w:r>
              <w:rPr>
                <w:rFonts w:hint="eastAsia" w:asciiTheme="minorEastAsia" w:hAnsiTheme="minorEastAsia" w:eastAsiaTheme="minorEastAsia" w:cstheme="minorEastAsia"/>
                <w:color w:val="auto"/>
                <w:sz w:val="24"/>
                <w:szCs w:val="24"/>
                <w:highlight w:val="none"/>
                <w:lang w:val="en-US" w:eastAsia="zh-CN"/>
              </w:rPr>
              <w:t>高于</w:t>
            </w:r>
            <w:r>
              <w:rPr>
                <w:rFonts w:hint="eastAsia" w:asciiTheme="minorEastAsia" w:hAnsiTheme="minorEastAsia" w:eastAsiaTheme="minorEastAsia" w:cstheme="minorEastAsia"/>
                <w:b/>
                <w:bCs/>
                <w:color w:val="auto"/>
                <w:sz w:val="24"/>
                <w:szCs w:val="24"/>
                <w:highlight w:val="none"/>
                <w:lang w:val="en-US" w:eastAsia="zh-CN"/>
              </w:rPr>
              <w:t>160000.00</w:t>
            </w:r>
            <w:r>
              <w:rPr>
                <w:rFonts w:hint="eastAsia" w:asciiTheme="minorEastAsia" w:hAnsiTheme="minorEastAsia" w:eastAsiaTheme="minorEastAsia" w:cstheme="minorEastAsia"/>
                <w:color w:val="auto"/>
                <w:sz w:val="24"/>
                <w:szCs w:val="24"/>
                <w:highlight w:val="none"/>
                <w:lang w:val="en-US" w:eastAsia="zh-CN"/>
              </w:rPr>
              <w:t>元</w:t>
            </w:r>
            <w:r>
              <w:rPr>
                <w:rFonts w:hint="eastAsia" w:asciiTheme="minorEastAsia" w:hAnsiTheme="minorEastAsia" w:eastAsiaTheme="minorEastAsia" w:cstheme="minorEastAsia"/>
                <w:color w:val="auto"/>
                <w:sz w:val="24"/>
                <w:szCs w:val="24"/>
                <w:highlight w:val="none"/>
              </w:rPr>
              <w:t>。</w:t>
            </w:r>
          </w:p>
          <w:p w14:paraId="42E8553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napToGrid/>
                <w:color w:val="auto"/>
                <w:kern w:val="2"/>
                <w:sz w:val="24"/>
                <w:szCs w:val="24"/>
                <w:highlight w:val="none"/>
                <w:lang w:eastAsia="zh-CN"/>
              </w:rPr>
              <w:t>（</w:t>
            </w:r>
            <w:r>
              <w:rPr>
                <w:rFonts w:hint="eastAsia" w:asciiTheme="minorEastAsia" w:hAnsiTheme="minorEastAsia" w:eastAsiaTheme="minorEastAsia" w:cstheme="minorEastAsia"/>
                <w:b w:val="0"/>
                <w:bCs w:val="0"/>
                <w:snapToGrid/>
                <w:color w:val="auto"/>
                <w:kern w:val="2"/>
                <w:sz w:val="24"/>
                <w:szCs w:val="24"/>
                <w:highlight w:val="none"/>
                <w:lang w:val="en-US" w:eastAsia="zh-CN"/>
              </w:rPr>
              <w:t>2）施工部分：</w:t>
            </w:r>
          </w:p>
          <w:p w14:paraId="04DD1EC0">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施工费控制价：控制</w:t>
            </w:r>
            <w:r>
              <w:rPr>
                <w:rFonts w:hint="eastAsia" w:asciiTheme="minorEastAsia" w:hAnsiTheme="minorEastAsia" w:eastAsiaTheme="minorEastAsia" w:cstheme="minorEastAsia"/>
                <w:b/>
                <w:bCs/>
                <w:color w:val="auto"/>
                <w:sz w:val="24"/>
                <w:szCs w:val="24"/>
                <w:highlight w:val="none"/>
                <w:lang w:val="en-US" w:eastAsia="zh-CN"/>
              </w:rPr>
              <w:t>下浮率</w:t>
            </w:r>
            <w:r>
              <w:rPr>
                <w:rFonts w:hint="eastAsia" w:asciiTheme="minorEastAsia" w:hAnsiTheme="minorEastAsia" w:eastAsiaTheme="minorEastAsia" w:cstheme="minorEastAsia"/>
                <w:b/>
                <w:bCs/>
                <w:snapToGrid/>
                <w:color w:val="auto"/>
                <w:kern w:val="2"/>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lang w:val="en-US" w:eastAsia="zh-CN"/>
              </w:rPr>
              <w:t>0.50</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color w:val="auto"/>
                <w:sz w:val="24"/>
                <w:szCs w:val="24"/>
                <w:highlight w:val="none"/>
              </w:rPr>
              <w:t>投标人施工费下浮率不得低于</w:t>
            </w:r>
            <w:r>
              <w:rPr>
                <w:rFonts w:hint="eastAsia" w:asciiTheme="minorEastAsia" w:hAnsiTheme="minorEastAsia" w:eastAsiaTheme="minorEastAsia" w:cstheme="minorEastAsia"/>
                <w:color w:val="auto"/>
                <w:sz w:val="24"/>
                <w:szCs w:val="24"/>
                <w:highlight w:val="none"/>
                <w:lang w:val="en-US" w:eastAsia="zh-CN"/>
              </w:rPr>
              <w:t>0.50</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投标报价=1-下浮率</w:t>
            </w:r>
            <w:r>
              <w:rPr>
                <w:rFonts w:hint="eastAsia" w:asciiTheme="minorEastAsia" w:hAnsiTheme="minorEastAsia" w:eastAsiaTheme="minorEastAsia" w:cstheme="minorEastAsia"/>
                <w:b/>
                <w:bCs/>
                <w:color w:val="auto"/>
                <w:sz w:val="24"/>
                <w:szCs w:val="24"/>
                <w:highlight w:val="none"/>
              </w:rPr>
              <w:t>。</w:t>
            </w:r>
          </w:p>
          <w:p w14:paraId="7308ED84">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说明：</w:t>
            </w:r>
          </w:p>
          <w:p w14:paraId="2BB901BB">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①本招标文件公布的“控制价”为含税价；</w:t>
            </w:r>
          </w:p>
          <w:p w14:paraId="104F6FAF">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kern w:val="2"/>
                <w:position w:val="-6"/>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②结算时，中标人需向招标人开具合法合规的发票。</w:t>
            </w:r>
          </w:p>
        </w:tc>
      </w:tr>
      <w:tr w14:paraId="0FC9FF3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6FFC55B2">
            <w:pPr>
              <w:keepNext w:val="0"/>
              <w:keepLines w:val="0"/>
              <w:pageBreakBefore w:val="0"/>
              <w:widowControl w:val="0"/>
              <w:kinsoku w:val="0"/>
              <w:wordWrap/>
              <w:overflowPunct w:val="0"/>
              <w:topLinePunct w:val="0"/>
              <w:autoSpaceDE w:val="0"/>
              <w:autoSpaceDN w:val="0"/>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3.2.</w:t>
            </w:r>
            <w:r>
              <w:rPr>
                <w:rFonts w:hint="eastAsia" w:asciiTheme="minorEastAsia" w:hAnsiTheme="minorEastAsia" w:eastAsiaTheme="minorEastAsia" w:cstheme="minorEastAsia"/>
                <w:color w:val="auto"/>
                <w:position w:val="0"/>
                <w:sz w:val="24"/>
                <w:szCs w:val="24"/>
                <w:highlight w:val="none"/>
                <w:lang w:val="en-US" w:eastAsia="zh-CN"/>
              </w:rPr>
              <w:t>5</w:t>
            </w:r>
          </w:p>
        </w:tc>
        <w:tc>
          <w:tcPr>
            <w:tcW w:w="2061" w:type="dxa"/>
            <w:vAlign w:val="center"/>
          </w:tcPr>
          <w:p w14:paraId="32395E6E">
            <w:pPr>
              <w:keepNext w:val="0"/>
              <w:keepLines w:val="0"/>
              <w:pageBreakBefore w:val="0"/>
              <w:widowControl w:val="0"/>
              <w:kinsoku w:val="0"/>
              <w:wordWrap/>
              <w:overflowPunct w:val="0"/>
              <w:topLinePunct w:val="0"/>
              <w:autoSpaceDE w:val="0"/>
              <w:autoSpaceDN w:val="0"/>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b/>
                <w:bCs/>
                <w:color w:val="auto"/>
                <w:position w:val="0"/>
                <w:sz w:val="24"/>
                <w:szCs w:val="24"/>
                <w:highlight w:val="none"/>
                <w:lang w:val="en-US" w:eastAsia="zh-CN"/>
              </w:rPr>
              <w:t>投标报价</w:t>
            </w:r>
          </w:p>
        </w:tc>
        <w:tc>
          <w:tcPr>
            <w:tcW w:w="6965" w:type="dxa"/>
            <w:vAlign w:val="center"/>
          </w:tcPr>
          <w:p w14:paraId="60359737">
            <w:pPr>
              <w:keepNext w:val="0"/>
              <w:keepLines w:val="0"/>
              <w:pageBreakBefore w:val="0"/>
              <w:widowControl w:val="0"/>
              <w:numPr>
                <w:ilvl w:val="0"/>
                <w:numId w:val="7"/>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本项目设计费采用</w:t>
            </w:r>
            <w:r>
              <w:rPr>
                <w:rFonts w:hint="eastAsia" w:asciiTheme="minorEastAsia" w:hAnsiTheme="minorEastAsia" w:eastAsiaTheme="minorEastAsia" w:cstheme="minorEastAsia"/>
                <w:b/>
                <w:bCs/>
                <w:color w:val="auto"/>
                <w:sz w:val="24"/>
                <w:szCs w:val="24"/>
                <w:highlight w:val="none"/>
                <w:lang w:val="en-US" w:eastAsia="zh-CN"/>
              </w:rPr>
              <w:t>包干方式进行报价，设计费最高投标限价：160000.00元</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投标报价高于最高投标限价的作为否决投标处理</w:t>
            </w:r>
            <w:r>
              <w:rPr>
                <w:rFonts w:hint="eastAsia" w:asciiTheme="minorEastAsia" w:hAnsiTheme="minorEastAsia" w:eastAsiaTheme="minorEastAsia" w:cstheme="minorEastAsia"/>
                <w:b/>
                <w:bCs/>
                <w:color w:val="auto"/>
                <w:sz w:val="24"/>
                <w:szCs w:val="24"/>
                <w:highlight w:val="none"/>
                <w:lang w:eastAsia="zh-CN"/>
              </w:rPr>
              <w:t>）</w:t>
            </w:r>
          </w:p>
          <w:p w14:paraId="52627D51">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rPr>
              <w:t>投标人应参照国家计委、建设部关于发布</w:t>
            </w:r>
            <w:r>
              <w:rPr>
                <w:rFonts w:hint="eastAsia" w:asciiTheme="minorEastAsia" w:hAnsiTheme="minorEastAsia" w:eastAsiaTheme="minorEastAsia" w:cstheme="minorEastAsia"/>
                <w:b/>
                <w:bCs/>
                <w:color w:val="auto"/>
                <w:sz w:val="24"/>
                <w:szCs w:val="24"/>
                <w:highlight w:val="none"/>
              </w:rPr>
              <w:t>《工程勘察设计收费标准》（计价格</w:t>
            </w:r>
            <w:r>
              <w:rPr>
                <w:rFonts w:hint="eastAsia" w:asciiTheme="minorEastAsia" w:hAnsiTheme="minorEastAsia" w:eastAsiaTheme="minorEastAsia" w:cstheme="minorEastAsia"/>
                <w:b/>
                <w:bCs/>
                <w:color w:val="auto"/>
                <w:sz w:val="24"/>
                <w:szCs w:val="24"/>
                <w:highlight w:val="none"/>
                <w:lang w:eastAsia="zh-CN"/>
              </w:rPr>
              <w:t>〔2002〕10号</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rPr>
              <w:t>并结合国家发展改革委关于进一步放开建设项目专业服</w:t>
            </w:r>
            <w:r>
              <w:rPr>
                <w:rFonts w:hint="eastAsia" w:asciiTheme="minorEastAsia" w:hAnsiTheme="minorEastAsia" w:eastAsiaTheme="minorEastAsia" w:cstheme="minorEastAsia"/>
                <w:color w:val="auto"/>
                <w:sz w:val="24"/>
                <w:szCs w:val="24"/>
                <w:highlight w:val="none"/>
              </w:rPr>
              <w:t>务价格的通知</w:t>
            </w:r>
            <w:r>
              <w:rPr>
                <w:rFonts w:hint="eastAsia" w:asciiTheme="minorEastAsia" w:hAnsiTheme="minorEastAsia" w:eastAsiaTheme="minorEastAsia" w:cstheme="minorEastAsia"/>
                <w:b/>
                <w:bCs/>
                <w:color w:val="auto"/>
                <w:sz w:val="24"/>
                <w:szCs w:val="24"/>
                <w:highlight w:val="none"/>
              </w:rPr>
              <w:t>（发改价格</w:t>
            </w:r>
            <w:r>
              <w:rPr>
                <w:rFonts w:hint="eastAsia" w:asciiTheme="minorEastAsia" w:hAnsiTheme="minorEastAsia" w:eastAsiaTheme="minorEastAsia" w:cstheme="minorEastAsia"/>
                <w:b/>
                <w:bCs/>
                <w:color w:val="auto"/>
                <w:sz w:val="24"/>
                <w:szCs w:val="24"/>
                <w:highlight w:val="none"/>
                <w:lang w:eastAsia="zh-CN"/>
              </w:rPr>
              <w:t>〔2015〕299号</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自行合理填报。</w:t>
            </w:r>
          </w:p>
          <w:p w14:paraId="50BA2ACD">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w:t>
            </w:r>
            <w:r>
              <w:rPr>
                <w:rFonts w:hint="eastAsia" w:asciiTheme="minorEastAsia" w:hAnsiTheme="minorEastAsia" w:eastAsiaTheme="minorEastAsia" w:cstheme="minorEastAsia"/>
                <w:b w:val="0"/>
                <w:bCs w:val="0"/>
                <w:color w:val="auto"/>
                <w:sz w:val="24"/>
                <w:szCs w:val="24"/>
                <w:highlight w:val="none"/>
                <w:lang w:val="en-US" w:eastAsia="zh-CN"/>
              </w:rPr>
              <w:t>投标人结合自身的技术水平及实力和目前社会平均水平，根据招标人提供的建设规模编制科学合理的投标报价。设计投标报价包含但不限于：中标后的现状调查分析、专题研究、外业作业费、工程设计费、人工费、管理费、措施费、审核评审费、组织专家论证费、专家评审费、专家咨询费、成果资料的编制费、保险费、税费、投标人的合理利润、交通费（差旅费）、缺陷修复费以及合同明示或暗示的所有责任、施工图设计、配合竣工图编制等全部基础资料、施工现场的配合及后续服务等一切费用；投标报价应考虑实施过程中的各种不确定因素，除双方合同中约定由招标人承担的费用外，招标人不再支付其他费用，投标人不得以任何理由予以重复，作为投标人投标报价的依据。投标人为完成本次设计所需的一切费用均由中标人承担。在合同实施期间，中标价不因国家政策或法规、标准及市场因素的变化而调整，也不因具体承担服务内容和工作量的调整而调整。</w:t>
            </w:r>
          </w:p>
          <w:p w14:paraId="6577EE6C">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val="0"/>
                <w:bCs w:val="0"/>
                <w:color w:val="auto"/>
                <w:kern w:val="2"/>
                <w:position w:val="-6"/>
                <w:sz w:val="24"/>
                <w:szCs w:val="24"/>
                <w:highlight w:val="none"/>
                <w:lang w:val="en-US" w:eastAsia="zh-CN" w:bidi="ar-SA"/>
              </w:rPr>
            </w:pPr>
            <w:r>
              <w:rPr>
                <w:rFonts w:hint="eastAsia" w:asciiTheme="minorEastAsia" w:hAnsiTheme="minorEastAsia" w:eastAsiaTheme="minorEastAsia" w:cstheme="minorEastAsia"/>
                <w:b w:val="0"/>
                <w:bCs w:val="0"/>
                <w:color w:val="auto"/>
                <w:kern w:val="2"/>
                <w:position w:val="-6"/>
                <w:sz w:val="24"/>
                <w:szCs w:val="24"/>
                <w:highlight w:val="none"/>
                <w:lang w:val="en-US" w:eastAsia="zh-CN" w:bidi="ar-SA"/>
              </w:rPr>
              <w:t>③投标人根据招标文件规定的设计内容，充分考虑复杂设计因素，依据市场竞争原则，自行计算设计工作、编写设计及相关文件的所有费用，并承担任何设计缺陷责任。</w:t>
            </w:r>
          </w:p>
          <w:p w14:paraId="28A75AA5">
            <w:pPr>
              <w:keepNext w:val="0"/>
              <w:keepLines w:val="0"/>
              <w:pageBreakBefore w:val="0"/>
              <w:widowControl w:val="0"/>
              <w:numPr>
                <w:ilvl w:val="0"/>
                <w:numId w:val="7"/>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本项目</w:t>
            </w:r>
            <w:r>
              <w:rPr>
                <w:rFonts w:hint="eastAsia" w:asciiTheme="minorEastAsia" w:hAnsiTheme="minorEastAsia" w:eastAsiaTheme="minorEastAsia" w:cstheme="minorEastAsia"/>
                <w:b/>
                <w:bCs/>
                <w:color w:val="auto"/>
                <w:sz w:val="24"/>
                <w:szCs w:val="24"/>
                <w:highlight w:val="none"/>
                <w:lang w:val="en-US" w:eastAsia="zh-CN"/>
              </w:rPr>
              <w:t>施工</w:t>
            </w:r>
            <w:r>
              <w:rPr>
                <w:rFonts w:hint="eastAsia" w:asciiTheme="minorEastAsia" w:hAnsiTheme="minorEastAsia" w:eastAsiaTheme="minorEastAsia" w:cstheme="minorEastAsia"/>
                <w:b/>
                <w:bCs/>
                <w:color w:val="auto"/>
                <w:sz w:val="24"/>
                <w:szCs w:val="24"/>
                <w:highlight w:val="none"/>
                <w:lang w:eastAsia="zh-CN"/>
              </w:rPr>
              <w:t>费采用</w:t>
            </w:r>
            <w:r>
              <w:rPr>
                <w:rFonts w:hint="eastAsia" w:asciiTheme="minorEastAsia" w:hAnsiTheme="minorEastAsia" w:eastAsiaTheme="minorEastAsia" w:cstheme="minorEastAsia"/>
                <w:b/>
                <w:bCs/>
                <w:color w:val="auto"/>
                <w:sz w:val="24"/>
                <w:szCs w:val="24"/>
                <w:highlight w:val="none"/>
                <w:lang w:val="en-US" w:eastAsia="zh-CN"/>
              </w:rPr>
              <w:t>下浮率报价</w:t>
            </w:r>
            <w:r>
              <w:rPr>
                <w:rFonts w:hint="eastAsia" w:asciiTheme="minorEastAsia" w:hAnsiTheme="minorEastAsia" w:eastAsiaTheme="minorEastAsia" w:cstheme="minorEastAsia"/>
                <w:b/>
                <w:bCs/>
                <w:color w:val="auto"/>
                <w:sz w:val="24"/>
                <w:szCs w:val="24"/>
                <w:highlight w:val="none"/>
              </w:rPr>
              <w:t>。</w:t>
            </w:r>
          </w:p>
          <w:p w14:paraId="7EBB38BA">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snapToGrid/>
                <w:color w:val="auto"/>
                <w:kern w:val="2"/>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snapToGrid/>
                <w:color w:val="auto"/>
                <w:kern w:val="2"/>
                <w:sz w:val="24"/>
                <w:szCs w:val="24"/>
                <w:highlight w:val="none"/>
                <w:lang w:val="en-US" w:eastAsia="zh-CN"/>
              </w:rPr>
              <w:t>根据国家相关规定，结合现场情况，投标人综合考虑市场行情及自身实力等各种因素，合理填报具有竞争力的下浮率（浮动下浮比例中标后不作调整），</w:t>
            </w:r>
            <w:r>
              <w:rPr>
                <w:rFonts w:hint="eastAsia" w:asciiTheme="minorEastAsia" w:hAnsiTheme="minorEastAsia" w:eastAsiaTheme="minorEastAsia" w:cstheme="minorEastAsia"/>
                <w:b/>
                <w:bCs/>
                <w:snapToGrid/>
                <w:color w:val="auto"/>
                <w:kern w:val="2"/>
                <w:sz w:val="24"/>
                <w:szCs w:val="24"/>
                <w:highlight w:val="none"/>
                <w:lang w:val="en-US" w:eastAsia="zh-CN"/>
              </w:rPr>
              <w:t>下浮率≥0.50%，投标报价=1-下浮率。下浮百分比保留两位小数点，否则按不响应招标文件处理。</w:t>
            </w:r>
          </w:p>
          <w:p w14:paraId="0E229AAA">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napToGrid/>
                <w:color w:val="auto"/>
                <w:kern w:val="2"/>
                <w:sz w:val="24"/>
                <w:szCs w:val="24"/>
                <w:highlight w:val="none"/>
                <w:lang w:eastAsia="zh-CN"/>
              </w:rPr>
            </w:pPr>
            <w:r>
              <w:rPr>
                <w:rFonts w:hint="eastAsia" w:asciiTheme="minorEastAsia" w:hAnsiTheme="minorEastAsia" w:eastAsiaTheme="minorEastAsia" w:cstheme="minorEastAsia"/>
                <w:snapToGrid/>
                <w:color w:val="auto"/>
                <w:kern w:val="2"/>
                <w:sz w:val="24"/>
                <w:szCs w:val="24"/>
                <w:highlight w:val="none"/>
              </w:rPr>
              <w:t>②待工程竣工验收后，承包人报工程结算，由</w:t>
            </w:r>
            <w:r>
              <w:rPr>
                <w:rFonts w:hint="eastAsia" w:asciiTheme="minorEastAsia" w:hAnsiTheme="minorEastAsia" w:eastAsiaTheme="minorEastAsia" w:cstheme="minorEastAsia"/>
                <w:snapToGrid/>
                <w:color w:val="auto"/>
                <w:kern w:val="2"/>
                <w:sz w:val="24"/>
                <w:szCs w:val="24"/>
                <w:highlight w:val="none"/>
                <w:lang w:val="en-US" w:eastAsia="zh-CN"/>
              </w:rPr>
              <w:t>招标人</w:t>
            </w:r>
            <w:r>
              <w:rPr>
                <w:rFonts w:hint="eastAsia" w:asciiTheme="minorEastAsia" w:hAnsiTheme="minorEastAsia" w:eastAsiaTheme="minorEastAsia" w:cstheme="minorEastAsia"/>
                <w:snapToGrid/>
                <w:color w:val="auto"/>
                <w:kern w:val="2"/>
                <w:sz w:val="24"/>
                <w:szCs w:val="24"/>
                <w:highlight w:val="none"/>
              </w:rPr>
              <w:t>委托第三方造价机构审查工程结算</w:t>
            </w:r>
            <w:r>
              <w:rPr>
                <w:rFonts w:hint="eastAsia" w:asciiTheme="minorEastAsia" w:hAnsiTheme="minorEastAsia" w:eastAsiaTheme="minorEastAsia" w:cstheme="minorEastAsia"/>
                <w:snapToGrid/>
                <w:color w:val="auto"/>
                <w:kern w:val="2"/>
                <w:sz w:val="24"/>
                <w:szCs w:val="24"/>
                <w:highlight w:val="none"/>
                <w:lang w:eastAsia="zh-CN"/>
              </w:rPr>
              <w:t>。</w:t>
            </w:r>
          </w:p>
          <w:p w14:paraId="7B303BE5">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snapToGrid/>
                <w:color w:val="auto"/>
                <w:kern w:val="2"/>
                <w:sz w:val="24"/>
                <w:szCs w:val="24"/>
                <w:highlight w:val="none"/>
              </w:rPr>
            </w:pPr>
            <w:r>
              <w:rPr>
                <w:rFonts w:hint="eastAsia" w:asciiTheme="minorEastAsia" w:hAnsiTheme="minorEastAsia" w:eastAsiaTheme="minorEastAsia" w:cstheme="minorEastAsia"/>
                <w:b/>
                <w:bCs/>
                <w:snapToGrid/>
                <w:color w:val="auto"/>
                <w:kern w:val="2"/>
                <w:sz w:val="24"/>
                <w:szCs w:val="24"/>
                <w:highlight w:val="none"/>
              </w:rPr>
              <w:t>最终结算价=最终经发包人审定后金额*投标人的投标报价。</w:t>
            </w:r>
          </w:p>
          <w:p w14:paraId="6D07FE03">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napToGrid/>
                <w:color w:val="auto"/>
                <w:kern w:val="2"/>
                <w:sz w:val="24"/>
                <w:szCs w:val="24"/>
                <w:highlight w:val="none"/>
              </w:rPr>
            </w:pPr>
            <w:r>
              <w:rPr>
                <w:rFonts w:hint="eastAsia" w:asciiTheme="minorEastAsia" w:hAnsiTheme="minorEastAsia" w:eastAsiaTheme="minorEastAsia" w:cstheme="minorEastAsia"/>
                <w:snapToGrid/>
                <w:color w:val="auto"/>
                <w:kern w:val="2"/>
                <w:sz w:val="24"/>
                <w:szCs w:val="24"/>
                <w:highlight w:val="none"/>
              </w:rPr>
              <w:t>③投标报价要求：按建筑安装工程费为基准进行报价，采用响应性投标报价，否则按否决投标处理。</w:t>
            </w:r>
          </w:p>
          <w:p w14:paraId="0E6B1343">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④</w:t>
            </w:r>
            <w:r>
              <w:rPr>
                <w:rFonts w:hint="eastAsia" w:asciiTheme="minorEastAsia" w:hAnsiTheme="minorEastAsia" w:eastAsiaTheme="minorEastAsia" w:cstheme="minorEastAsia"/>
                <w:sz w:val="24"/>
                <w:szCs w:val="24"/>
                <w:lang w:val="en-US" w:eastAsia="zh-CN"/>
              </w:rPr>
              <w:t>建筑安装工程费的确定：本项目按现行云南省有关配套计价文件规定及其相关配套的现行行业计价文件等进行计量计价；主材基期价格参照项目下发开工通知前 28 天《普洱市建设工程材料及设备价格信息》中墨江县材料价格并结合市场价格确认，合同执行过程中，投标人所报下浮率不作调整；承包人按发包人确认并经图审机构审核通过取得施工图审查合格证的施工图编制施工图预算，由发包人委托具备相应资格和能力的第三方造价咨询机构审核施工图预算，并经发包人及承包人确认后，并最终确定其工程量清单及综合单价；</w:t>
            </w:r>
          </w:p>
          <w:p w14:paraId="3C60ACFD">
            <w:pPr>
              <w:keepNext w:val="0"/>
              <w:keepLines w:val="0"/>
              <w:pageBreakBefore w:val="0"/>
              <w:widowControl w:val="0"/>
              <w:numPr>
                <w:ilvl w:val="0"/>
                <w:numId w:val="0"/>
              </w:numPr>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snapToGrid/>
                <w:color w:val="auto"/>
                <w:kern w:val="2"/>
                <w:sz w:val="24"/>
                <w:szCs w:val="24"/>
                <w:highlight w:val="yellow"/>
                <w:lang w:val="en-US" w:eastAsia="zh-CN"/>
              </w:rPr>
            </w:pPr>
            <w:r>
              <w:rPr>
                <w:rFonts w:hint="eastAsia" w:asciiTheme="minorEastAsia" w:hAnsiTheme="minorEastAsia" w:eastAsiaTheme="minorEastAsia" w:cstheme="minorEastAsia"/>
                <w:sz w:val="24"/>
                <w:szCs w:val="24"/>
                <w:lang w:val="en-US" w:eastAsia="zh-CN"/>
              </w:rPr>
              <w:t>按确定的施工图预算（含工程量清单及综合单价等）为基础进行结算，工程量按实际完成工程量计算，工程结算价款最终以审定优惠后的工程结算总价为准。经四方主体（发包人、承包人、监理人、造价咨询单位）共同确认的工程量清单及施工图预算乘以中标的计价百分率作为计量支付的依据，经确认后的工程量清单及施工图预算中的综合单价不得再做调整（合同约定的价格调整方式除外），安全文明施工费、规</w:t>
            </w:r>
            <w:r>
              <w:rPr>
                <w:rFonts w:hint="eastAsia" w:asciiTheme="minorEastAsia" w:hAnsiTheme="minorEastAsia" w:eastAsiaTheme="minorEastAsia" w:cstheme="minorEastAsia"/>
                <w:sz w:val="24"/>
                <w:szCs w:val="24"/>
                <w:highlight w:val="none"/>
                <w:lang w:val="en-US" w:eastAsia="zh-CN"/>
              </w:rPr>
              <w:t>费、税金作为</w:t>
            </w:r>
            <w:r>
              <w:rPr>
                <w:rFonts w:hint="eastAsia" w:asciiTheme="minorEastAsia" w:hAnsiTheme="minorEastAsia" w:eastAsiaTheme="minorEastAsia" w:cstheme="minorEastAsia"/>
                <w:sz w:val="24"/>
                <w:szCs w:val="24"/>
                <w:lang w:val="en-US" w:eastAsia="zh-CN"/>
              </w:rPr>
              <w:t>不可竞争费用；认质认价部分不参与总价下浮。</w:t>
            </w:r>
          </w:p>
        </w:tc>
      </w:tr>
      <w:tr w14:paraId="3B276A3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AB97A0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3.2.</w:t>
            </w:r>
            <w:r>
              <w:rPr>
                <w:rFonts w:hint="eastAsia" w:asciiTheme="minorEastAsia" w:hAnsiTheme="minorEastAsia" w:eastAsiaTheme="minorEastAsia" w:cstheme="minorEastAsia"/>
                <w:color w:val="auto"/>
                <w:position w:val="0"/>
                <w:sz w:val="24"/>
                <w:szCs w:val="24"/>
                <w:highlight w:val="none"/>
                <w:lang w:val="en-US" w:eastAsia="zh-CN"/>
              </w:rPr>
              <w:t>5</w:t>
            </w:r>
          </w:p>
        </w:tc>
        <w:tc>
          <w:tcPr>
            <w:tcW w:w="2061" w:type="dxa"/>
            <w:vAlign w:val="center"/>
          </w:tcPr>
          <w:p w14:paraId="7CA6391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投标报价</w:t>
            </w:r>
            <w:r>
              <w:rPr>
                <w:rFonts w:hint="eastAsia" w:asciiTheme="minorEastAsia" w:hAnsiTheme="minorEastAsia" w:eastAsiaTheme="minorEastAsia" w:cstheme="minorEastAsia"/>
                <w:color w:val="auto"/>
                <w:position w:val="0"/>
                <w:sz w:val="24"/>
                <w:szCs w:val="24"/>
                <w:highlight w:val="none"/>
                <w:lang w:val="en-US" w:eastAsia="zh-CN"/>
              </w:rPr>
              <w:t>的其他说明</w:t>
            </w:r>
          </w:p>
        </w:tc>
        <w:tc>
          <w:tcPr>
            <w:tcW w:w="6965" w:type="dxa"/>
            <w:vAlign w:val="center"/>
          </w:tcPr>
          <w:p w14:paraId="0979D513">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val="0"/>
                <w:bCs w:val="0"/>
                <w:color w:val="auto"/>
                <w:position w:val="-6"/>
                <w:sz w:val="24"/>
                <w:szCs w:val="24"/>
                <w:highlight w:val="none"/>
              </w:rPr>
            </w:pPr>
            <w:r>
              <w:rPr>
                <w:rFonts w:hint="eastAsia" w:asciiTheme="minorEastAsia" w:hAnsiTheme="minorEastAsia" w:eastAsiaTheme="minorEastAsia" w:cstheme="minorEastAsia"/>
                <w:b w:val="0"/>
                <w:bCs w:val="0"/>
                <w:color w:val="auto"/>
                <w:position w:val="-6"/>
                <w:sz w:val="24"/>
                <w:szCs w:val="24"/>
                <w:highlight w:val="none"/>
                <w:lang w:eastAsia="zh-CN"/>
              </w:rPr>
              <w:t>（</w:t>
            </w:r>
            <w:r>
              <w:rPr>
                <w:rFonts w:hint="eastAsia" w:asciiTheme="minorEastAsia" w:hAnsiTheme="minorEastAsia" w:eastAsiaTheme="minorEastAsia" w:cstheme="minorEastAsia"/>
                <w:b w:val="0"/>
                <w:bCs w:val="0"/>
                <w:color w:val="auto"/>
                <w:position w:val="-6"/>
                <w:sz w:val="24"/>
                <w:szCs w:val="24"/>
                <w:highlight w:val="none"/>
                <w:lang w:val="en-US" w:eastAsia="zh-CN"/>
              </w:rPr>
              <w:t>1</w:t>
            </w:r>
            <w:r>
              <w:rPr>
                <w:rFonts w:hint="eastAsia" w:asciiTheme="minorEastAsia" w:hAnsiTheme="minorEastAsia" w:eastAsiaTheme="minorEastAsia" w:cstheme="minorEastAsia"/>
                <w:b w:val="0"/>
                <w:bCs w:val="0"/>
                <w:color w:val="auto"/>
                <w:position w:val="-6"/>
                <w:sz w:val="24"/>
                <w:szCs w:val="24"/>
                <w:highlight w:val="none"/>
                <w:lang w:eastAsia="zh-CN"/>
              </w:rPr>
              <w:t>）</w:t>
            </w:r>
            <w:r>
              <w:rPr>
                <w:rFonts w:hint="eastAsia" w:asciiTheme="minorEastAsia" w:hAnsiTheme="minorEastAsia" w:eastAsiaTheme="minorEastAsia" w:cstheme="minorEastAsia"/>
                <w:b w:val="0"/>
                <w:bCs w:val="0"/>
                <w:color w:val="auto"/>
                <w:position w:val="-6"/>
                <w:sz w:val="24"/>
                <w:szCs w:val="24"/>
                <w:highlight w:val="none"/>
              </w:rPr>
              <w:t>设计费、施工费由各投标人结合市场及自身情况合理进行报价。价格中已包括了为实施和完成合同工程所需的人工、材料、机械、措施、质检（自检）、管理、利润等以及合同明示或暗示的所有责任、义务和风险（除不可抗力外）。同时投标报价不得</w:t>
            </w:r>
            <w:r>
              <w:rPr>
                <w:rFonts w:hint="eastAsia" w:asciiTheme="minorEastAsia" w:hAnsiTheme="minorEastAsia" w:eastAsiaTheme="minorEastAsia" w:cstheme="minorEastAsia"/>
                <w:b w:val="0"/>
                <w:bCs w:val="0"/>
                <w:color w:val="auto"/>
                <w:position w:val="-6"/>
                <w:sz w:val="24"/>
                <w:szCs w:val="24"/>
                <w:highlight w:val="none"/>
                <w:lang w:val="en-US" w:eastAsia="zh-CN"/>
              </w:rPr>
              <w:t>超过</w:t>
            </w:r>
            <w:r>
              <w:rPr>
                <w:rFonts w:hint="eastAsia" w:asciiTheme="minorEastAsia" w:hAnsiTheme="minorEastAsia" w:eastAsiaTheme="minorEastAsia" w:cstheme="minorEastAsia"/>
                <w:b w:val="0"/>
                <w:bCs w:val="0"/>
                <w:color w:val="auto"/>
                <w:position w:val="-6"/>
                <w:sz w:val="24"/>
                <w:szCs w:val="24"/>
                <w:highlight w:val="none"/>
              </w:rPr>
              <w:t>招标控制价，</w:t>
            </w:r>
            <w:r>
              <w:rPr>
                <w:rFonts w:hint="eastAsia" w:asciiTheme="minorEastAsia" w:hAnsiTheme="minorEastAsia" w:eastAsiaTheme="minorEastAsia" w:cstheme="minorEastAsia"/>
                <w:b w:val="0"/>
                <w:bCs w:val="0"/>
                <w:color w:val="auto"/>
                <w:position w:val="-6"/>
                <w:sz w:val="24"/>
                <w:szCs w:val="24"/>
                <w:highlight w:val="none"/>
                <w:lang w:val="en-US" w:eastAsia="zh-CN"/>
              </w:rPr>
              <w:t>超过</w:t>
            </w:r>
            <w:r>
              <w:rPr>
                <w:rFonts w:hint="eastAsia" w:asciiTheme="minorEastAsia" w:hAnsiTheme="minorEastAsia" w:eastAsiaTheme="minorEastAsia" w:cstheme="minorEastAsia"/>
                <w:b w:val="0"/>
                <w:bCs w:val="0"/>
                <w:color w:val="auto"/>
                <w:position w:val="-6"/>
                <w:sz w:val="24"/>
                <w:szCs w:val="24"/>
                <w:highlight w:val="none"/>
              </w:rPr>
              <w:t>招标控制价的投标将被否决。</w:t>
            </w:r>
          </w:p>
          <w:p w14:paraId="1F0F60E1">
            <w:pPr>
              <w:keepNext w:val="0"/>
              <w:keepLines w:val="0"/>
              <w:pageBreakBefore w:val="0"/>
              <w:widowControl w:val="0"/>
              <w:numPr>
                <w:ilvl w:val="0"/>
                <w:numId w:val="0"/>
              </w:numPr>
              <w:kinsoku/>
              <w:wordWrap/>
              <w:overflowPunct/>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2）在评标过程中，评标委员会发现投标人的报价（修正价）明显低于其他投标报价，使得其投标报价可能低于其个别成本的，应当要求该投标人作出书面说明并提供相关证明材料。（投标人不能合理说明或者不能提供相关证明材料的，由评标委员会认定该投标人以低于成本报价竞标，其投标作废标处理）</w:t>
            </w:r>
          </w:p>
        </w:tc>
      </w:tr>
      <w:tr w14:paraId="412BAC6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99C918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3.2.6</w:t>
            </w:r>
          </w:p>
        </w:tc>
        <w:tc>
          <w:tcPr>
            <w:tcW w:w="2061" w:type="dxa"/>
            <w:vAlign w:val="center"/>
          </w:tcPr>
          <w:p w14:paraId="057E084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计价方式</w:t>
            </w:r>
          </w:p>
        </w:tc>
        <w:tc>
          <w:tcPr>
            <w:tcW w:w="6965" w:type="dxa"/>
            <w:vAlign w:val="center"/>
          </w:tcPr>
          <w:p w14:paraId="69AE7C20">
            <w:pPr>
              <w:keepNext w:val="0"/>
              <w:keepLines w:val="0"/>
              <w:pageBreakBefore w:val="0"/>
              <w:widowControl w:val="0"/>
              <w:numPr>
                <w:ilvl w:val="0"/>
                <w:numId w:val="8"/>
              </w:numPr>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工程计价严格执行住</w:t>
            </w:r>
            <w:r>
              <w:rPr>
                <w:rFonts w:hint="eastAsia" w:asciiTheme="minorEastAsia" w:hAnsiTheme="minorEastAsia" w:eastAsiaTheme="minorEastAsia" w:cstheme="minorEastAsia"/>
                <w:color w:val="auto"/>
                <w:sz w:val="24"/>
                <w:szCs w:val="24"/>
                <w:highlight w:val="none"/>
                <w:lang w:eastAsia="zh-CN"/>
              </w:rPr>
              <w:t>房和</w:t>
            </w:r>
            <w:r>
              <w:rPr>
                <w:rFonts w:hint="eastAsia" w:asciiTheme="minorEastAsia" w:hAnsiTheme="minorEastAsia" w:eastAsiaTheme="minorEastAsia" w:cstheme="minorEastAsia"/>
                <w:color w:val="auto"/>
                <w:sz w:val="24"/>
                <w:szCs w:val="24"/>
                <w:highlight w:val="none"/>
              </w:rPr>
              <w:t>城乡建设部关于发布国家标准《建设工程工程量清单计价标准》的公告《建设工程工程量清单计价标准》（GB/T 50500-2024）、《云南省建筑工程计价标准》（DBJ53/T-61-2020）、《云南省市政工程计价标准》（DBJ53/T-59-2020）</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云南省住房和城乡建设厅关于《云南省建设工程造价计价标准（2020版）》发布实施的通知（云建科</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〕15号</w:t>
            </w:r>
            <w:r>
              <w:rPr>
                <w:rFonts w:hint="eastAsia" w:asciiTheme="minorEastAsia" w:hAnsiTheme="minorEastAsia" w:eastAsiaTheme="minorEastAsia" w:cstheme="minorEastAsia"/>
                <w:color w:val="auto"/>
                <w:sz w:val="24"/>
                <w:szCs w:val="24"/>
                <w:highlight w:val="none"/>
              </w:rPr>
              <w:t>文），云南省住建厅《关于建筑营业税改征增值税后调整云南省建设工程造价计价依据的实施意见的通知》（云建科函</w:t>
            </w:r>
            <w:r>
              <w:rPr>
                <w:rFonts w:hint="eastAsia" w:asciiTheme="minorEastAsia" w:hAnsiTheme="minorEastAsia" w:eastAsiaTheme="minorEastAsia" w:cstheme="minorEastAsia"/>
                <w:color w:val="auto"/>
                <w:sz w:val="24"/>
                <w:szCs w:val="24"/>
                <w:highlight w:val="none"/>
                <w:lang w:eastAsia="zh-CN"/>
              </w:rPr>
              <w:t>〔2019〕62号</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云南省住房和城乡建设厅关于</w:t>
            </w:r>
            <w:r>
              <w:rPr>
                <w:rFonts w:hint="eastAsia" w:asciiTheme="minorEastAsia" w:hAnsiTheme="minorEastAsia" w:eastAsiaTheme="minorEastAsia" w:cstheme="minorEastAsia"/>
                <w:color w:val="auto"/>
                <w:sz w:val="24"/>
                <w:szCs w:val="24"/>
                <w:highlight w:val="none"/>
                <w:lang w:val="en-US" w:eastAsia="zh-CN"/>
              </w:rPr>
              <w:t>发布</w:t>
            </w:r>
            <w:r>
              <w:rPr>
                <w:rFonts w:hint="eastAsia" w:asciiTheme="minorEastAsia" w:hAnsiTheme="minorEastAsia" w:eastAsiaTheme="minorEastAsia" w:cstheme="minorEastAsia"/>
                <w:color w:val="auto"/>
                <w:sz w:val="24"/>
                <w:szCs w:val="24"/>
                <w:highlight w:val="none"/>
              </w:rPr>
              <w:t>《建设工程工程量清单计价标准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2024）＞云南省过渡期实施规定</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的通知（云建科（2025）63）</w:t>
            </w:r>
            <w:r>
              <w:rPr>
                <w:rFonts w:hint="eastAsia" w:asciiTheme="minorEastAsia" w:hAnsiTheme="minorEastAsia" w:eastAsiaTheme="minorEastAsia" w:cstheme="minorEastAsia"/>
                <w:color w:val="auto"/>
                <w:sz w:val="24"/>
                <w:szCs w:val="24"/>
                <w:highlight w:val="none"/>
              </w:rPr>
              <w:t>等现行的法律、法规文件规定及截止到项目竣工验</w:t>
            </w:r>
            <w:r>
              <w:rPr>
                <w:rFonts w:hint="eastAsia" w:asciiTheme="minorEastAsia" w:hAnsiTheme="minorEastAsia" w:eastAsiaTheme="minorEastAsia" w:cstheme="minorEastAsia"/>
                <w:color w:val="auto"/>
                <w:sz w:val="24"/>
                <w:szCs w:val="24"/>
                <w:highlight w:val="none"/>
                <w:lang w:eastAsia="zh-CN"/>
              </w:rPr>
              <w:t>收日</w:t>
            </w:r>
            <w:r>
              <w:rPr>
                <w:rFonts w:hint="eastAsia" w:asciiTheme="minorEastAsia" w:hAnsiTheme="minorEastAsia" w:eastAsiaTheme="minorEastAsia" w:cstheme="minorEastAsia"/>
                <w:color w:val="auto"/>
                <w:sz w:val="24"/>
                <w:szCs w:val="24"/>
                <w:highlight w:val="none"/>
              </w:rPr>
              <w:t>止政府部门出台的最新的关于工程造价的相关配套计价文件进行计价。</w:t>
            </w:r>
          </w:p>
          <w:p w14:paraId="4693F9A5">
            <w:pPr>
              <w:keepNext w:val="0"/>
              <w:keepLines w:val="0"/>
              <w:pageBreakBefore w:val="0"/>
              <w:widowControl w:val="0"/>
              <w:numPr>
                <w:ilvl w:val="0"/>
                <w:numId w:val="8"/>
              </w:numPr>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要材料（定额未计价材）价格参照《普洱市建设工程材料及设备价格信息》中当期的墨江县材料价格并结合市场价格确认，若《普洱市建设工程材料及设备价格信息》中没有的材料，参考当期《云南省建设工程材料及设备价格信息》中普洱市材料价格并结合市场价格确认；信息价也无法参照或信息价与市场价偏离较大不具备参考性的；都没有时则通过组织发包人、承包人、监理、造价四方共同询价后确定其材料结算单价，该材料结算单价为材料单价+运杂费+装卸费+采保费等费用后的合价，询价确认材料不再按投标人自报的报价。</w:t>
            </w:r>
          </w:p>
          <w:p w14:paraId="71E523B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）本项目工程量的认定：按经审定施工图工程量计量，变更量及新增项目量按发包人现场代表、监理单位、承包人和造价单位根据相关规定的度量单位和计量方法签认计量</w:t>
            </w:r>
            <w:r>
              <w:rPr>
                <w:rFonts w:hint="eastAsia" w:asciiTheme="minorEastAsia" w:hAnsiTheme="minorEastAsia" w:eastAsiaTheme="minorEastAsia" w:cstheme="minorEastAsia"/>
                <w:color w:val="auto"/>
                <w:sz w:val="24"/>
                <w:szCs w:val="24"/>
                <w:highlight w:val="none"/>
                <w:lang w:eastAsia="zh-CN"/>
              </w:rPr>
              <w:t>。</w:t>
            </w:r>
          </w:p>
        </w:tc>
      </w:tr>
      <w:tr w14:paraId="6D145A9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FCE434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3.3.1</w:t>
            </w:r>
          </w:p>
        </w:tc>
        <w:tc>
          <w:tcPr>
            <w:tcW w:w="2061" w:type="dxa"/>
            <w:vAlign w:val="center"/>
          </w:tcPr>
          <w:p w14:paraId="13FE5F0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投标有效期</w:t>
            </w:r>
          </w:p>
        </w:tc>
        <w:tc>
          <w:tcPr>
            <w:tcW w:w="6965" w:type="dxa"/>
            <w:vAlign w:val="center"/>
          </w:tcPr>
          <w:p w14:paraId="4C78CEA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自投标人提交投标文件截止之日起计算</w:t>
            </w:r>
            <w:r>
              <w:rPr>
                <w:rFonts w:hint="eastAsia" w:asciiTheme="minorEastAsia" w:hAnsiTheme="minorEastAsia" w:eastAsiaTheme="minorEastAsia" w:cstheme="minorEastAsia"/>
                <w:color w:val="auto"/>
                <w:position w:val="0"/>
                <w:sz w:val="24"/>
                <w:szCs w:val="24"/>
                <w:highlight w:val="none"/>
                <w:u w:val="single"/>
                <w:lang w:val="en-US" w:eastAsia="zh-CN"/>
              </w:rPr>
              <w:t>90</w:t>
            </w:r>
            <w:r>
              <w:rPr>
                <w:rFonts w:hint="eastAsia" w:asciiTheme="minorEastAsia" w:hAnsiTheme="minorEastAsia" w:eastAsiaTheme="minorEastAsia" w:cstheme="minorEastAsia"/>
                <w:color w:val="auto"/>
                <w:position w:val="0"/>
                <w:sz w:val="24"/>
                <w:szCs w:val="24"/>
                <w:highlight w:val="none"/>
                <w:u w:val="none"/>
                <w:lang w:val="en-US" w:eastAsia="zh-CN"/>
              </w:rPr>
              <w:t>日历</w:t>
            </w:r>
            <w:r>
              <w:rPr>
                <w:rFonts w:hint="eastAsia" w:asciiTheme="minorEastAsia" w:hAnsiTheme="minorEastAsia" w:eastAsiaTheme="minorEastAsia" w:cstheme="minorEastAsia"/>
                <w:color w:val="auto"/>
                <w:position w:val="0"/>
                <w:sz w:val="24"/>
                <w:szCs w:val="24"/>
                <w:highlight w:val="none"/>
              </w:rPr>
              <w:t>天</w:t>
            </w:r>
            <w:r>
              <w:rPr>
                <w:rFonts w:hint="eastAsia" w:asciiTheme="minorEastAsia" w:hAnsiTheme="minorEastAsia" w:eastAsiaTheme="minorEastAsia" w:cstheme="minorEastAsia"/>
                <w:color w:val="auto"/>
                <w:position w:val="0"/>
                <w:sz w:val="24"/>
                <w:szCs w:val="24"/>
                <w:highlight w:val="none"/>
                <w:lang w:eastAsia="zh-CN"/>
              </w:rPr>
              <w:t>。</w:t>
            </w:r>
          </w:p>
        </w:tc>
      </w:tr>
      <w:tr w14:paraId="40E44F0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2CF451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3.4.1</w:t>
            </w:r>
          </w:p>
        </w:tc>
        <w:tc>
          <w:tcPr>
            <w:tcW w:w="2061" w:type="dxa"/>
            <w:vAlign w:val="center"/>
          </w:tcPr>
          <w:p w14:paraId="7ABFB6E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965" w:type="dxa"/>
            <w:vAlign w:val="center"/>
          </w:tcPr>
          <w:p w14:paraId="1201A9DD">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val="en-US" w:eastAsia="zh-CN"/>
              </w:rPr>
              <w:t>本项目招标金额为836万元，按照投标保证金不得超过招标项目估算价的2%的规定，本项目应收取投标保证金金额为16.72万元。招标人决定该项目免收投标保证金，投标人无需缴纳投标保证金。如出现投标人违反法律法规规定情形的，招标人将依法追究投标人相关责任。</w:t>
            </w:r>
          </w:p>
        </w:tc>
      </w:tr>
      <w:tr w14:paraId="43CB1FD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733026FD">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3.5.2</w:t>
            </w:r>
          </w:p>
        </w:tc>
        <w:tc>
          <w:tcPr>
            <w:tcW w:w="2061" w:type="dxa"/>
            <w:vAlign w:val="center"/>
          </w:tcPr>
          <w:p w14:paraId="225DAAB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近年财务状况的年份要求</w:t>
            </w:r>
          </w:p>
        </w:tc>
        <w:tc>
          <w:tcPr>
            <w:tcW w:w="6965" w:type="dxa"/>
            <w:vAlign w:val="center"/>
          </w:tcPr>
          <w:p w14:paraId="094F792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详见招标公告</w:t>
            </w:r>
            <w:r>
              <w:rPr>
                <w:rFonts w:hint="eastAsia" w:asciiTheme="minorEastAsia" w:hAnsiTheme="minorEastAsia" w:eastAsiaTheme="minorEastAsia" w:cstheme="minorEastAsia"/>
                <w:color w:val="auto"/>
                <w:position w:val="0"/>
                <w:sz w:val="24"/>
                <w:szCs w:val="24"/>
                <w:highlight w:val="none"/>
                <w:lang w:eastAsia="zh-CN"/>
              </w:rPr>
              <w:t>。</w:t>
            </w:r>
          </w:p>
        </w:tc>
      </w:tr>
      <w:tr w14:paraId="060F897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88788B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3.5.</w:t>
            </w:r>
            <w:r>
              <w:rPr>
                <w:rFonts w:hint="eastAsia" w:asciiTheme="minorEastAsia" w:hAnsiTheme="minorEastAsia" w:eastAsiaTheme="minorEastAsia" w:cstheme="minorEastAsia"/>
                <w:color w:val="auto"/>
                <w:position w:val="0"/>
                <w:sz w:val="24"/>
                <w:szCs w:val="24"/>
                <w:highlight w:val="none"/>
                <w:lang w:val="en-US" w:eastAsia="zh-CN"/>
              </w:rPr>
              <w:t>3</w:t>
            </w:r>
          </w:p>
        </w:tc>
        <w:tc>
          <w:tcPr>
            <w:tcW w:w="2061" w:type="dxa"/>
            <w:vAlign w:val="center"/>
          </w:tcPr>
          <w:p w14:paraId="718B5189">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近年发生的重大诉讼及仲裁情况</w:t>
            </w:r>
          </w:p>
        </w:tc>
        <w:tc>
          <w:tcPr>
            <w:tcW w:w="6965" w:type="dxa"/>
            <w:vAlign w:val="center"/>
          </w:tcPr>
          <w:p w14:paraId="53DFC92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u w:val="single"/>
                <w:lang w:eastAsia="zh-CN"/>
              </w:rPr>
            </w:pPr>
            <w:r>
              <w:rPr>
                <w:rFonts w:hint="eastAsia" w:asciiTheme="minorEastAsia" w:hAnsiTheme="minorEastAsia" w:eastAsiaTheme="minorEastAsia" w:cstheme="minorEastAsia"/>
                <w:color w:val="auto"/>
                <w:position w:val="0"/>
                <w:sz w:val="24"/>
                <w:szCs w:val="24"/>
                <w:highlight w:val="none"/>
                <w:u w:val="single"/>
                <w:lang w:eastAsia="zh-CN"/>
              </w:rPr>
              <w:t>202</w:t>
            </w:r>
            <w:r>
              <w:rPr>
                <w:rFonts w:hint="eastAsia" w:asciiTheme="minorEastAsia" w:hAnsiTheme="minorEastAsia" w:eastAsiaTheme="minorEastAsia" w:cstheme="minorEastAsia"/>
                <w:color w:val="auto"/>
                <w:position w:val="0"/>
                <w:sz w:val="24"/>
                <w:szCs w:val="24"/>
                <w:highlight w:val="none"/>
                <w:u w:val="single"/>
                <w:lang w:val="en-US" w:eastAsia="zh-CN"/>
              </w:rPr>
              <w:t>3</w:t>
            </w:r>
            <w:r>
              <w:rPr>
                <w:rFonts w:hint="eastAsia" w:asciiTheme="minorEastAsia" w:hAnsiTheme="minorEastAsia" w:eastAsiaTheme="minorEastAsia" w:cstheme="minorEastAsia"/>
                <w:color w:val="auto"/>
                <w:position w:val="0"/>
                <w:sz w:val="24"/>
                <w:szCs w:val="24"/>
                <w:highlight w:val="none"/>
              </w:rPr>
              <w:t>年</w:t>
            </w:r>
            <w:r>
              <w:rPr>
                <w:rFonts w:hint="eastAsia" w:asciiTheme="minorEastAsia" w:hAnsiTheme="minorEastAsia" w:eastAsiaTheme="minorEastAsia" w:cstheme="minorEastAsia"/>
                <w:color w:val="auto"/>
                <w:position w:val="0"/>
                <w:sz w:val="24"/>
                <w:szCs w:val="24"/>
                <w:highlight w:val="none"/>
                <w:u w:val="single"/>
              </w:rPr>
              <w:t>1</w:t>
            </w:r>
            <w:r>
              <w:rPr>
                <w:rFonts w:hint="eastAsia" w:asciiTheme="minorEastAsia" w:hAnsiTheme="minorEastAsia" w:eastAsiaTheme="minorEastAsia" w:cstheme="minorEastAsia"/>
                <w:color w:val="auto"/>
                <w:position w:val="0"/>
                <w:sz w:val="24"/>
                <w:szCs w:val="24"/>
                <w:highlight w:val="none"/>
              </w:rPr>
              <w:t>月</w:t>
            </w:r>
            <w:r>
              <w:rPr>
                <w:rFonts w:hint="eastAsia" w:asciiTheme="minorEastAsia" w:hAnsiTheme="minorEastAsia" w:eastAsiaTheme="minorEastAsia" w:cstheme="minorEastAsia"/>
                <w:color w:val="auto"/>
                <w:position w:val="0"/>
                <w:sz w:val="24"/>
                <w:szCs w:val="24"/>
                <w:highlight w:val="none"/>
                <w:u w:val="single"/>
              </w:rPr>
              <w:t>1</w:t>
            </w:r>
            <w:r>
              <w:rPr>
                <w:rFonts w:hint="eastAsia" w:asciiTheme="minorEastAsia" w:hAnsiTheme="minorEastAsia" w:eastAsiaTheme="minorEastAsia" w:cstheme="minorEastAsia"/>
                <w:color w:val="auto"/>
                <w:position w:val="0"/>
                <w:sz w:val="24"/>
                <w:szCs w:val="24"/>
                <w:highlight w:val="none"/>
              </w:rPr>
              <w:t>日</w:t>
            </w:r>
            <w:r>
              <w:rPr>
                <w:rFonts w:hint="eastAsia" w:asciiTheme="minorEastAsia" w:hAnsiTheme="minorEastAsia" w:eastAsiaTheme="minorEastAsia" w:cstheme="minorEastAsia"/>
                <w:color w:val="auto"/>
                <w:position w:val="0"/>
                <w:sz w:val="24"/>
                <w:szCs w:val="24"/>
                <w:highlight w:val="none"/>
                <w:u w:val="single"/>
              </w:rPr>
              <w:t>至今</w:t>
            </w:r>
            <w:r>
              <w:rPr>
                <w:rFonts w:hint="eastAsia" w:asciiTheme="minorEastAsia" w:hAnsiTheme="minorEastAsia" w:eastAsiaTheme="minorEastAsia" w:cstheme="minorEastAsia"/>
                <w:color w:val="auto"/>
                <w:position w:val="0"/>
                <w:sz w:val="24"/>
                <w:szCs w:val="24"/>
                <w:highlight w:val="none"/>
                <w:u w:val="none"/>
                <w:lang w:eastAsia="zh-CN"/>
              </w:rPr>
              <w:t>。</w:t>
            </w:r>
          </w:p>
        </w:tc>
      </w:tr>
      <w:tr w14:paraId="32CC9FC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7871645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3.6</w:t>
            </w:r>
          </w:p>
        </w:tc>
        <w:tc>
          <w:tcPr>
            <w:tcW w:w="2061" w:type="dxa"/>
            <w:vAlign w:val="center"/>
          </w:tcPr>
          <w:p w14:paraId="22B422A9">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是否允许递交备选投标方案</w:t>
            </w:r>
          </w:p>
        </w:tc>
        <w:tc>
          <w:tcPr>
            <w:tcW w:w="6965" w:type="dxa"/>
            <w:vAlign w:val="center"/>
          </w:tcPr>
          <w:p w14:paraId="42ECCC2D">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fldChar w:fldCharType="begin"/>
            </w:r>
            <w:r>
              <w:rPr>
                <w:rFonts w:hint="eastAsia" w:asciiTheme="minorEastAsia" w:hAnsiTheme="minorEastAsia" w:eastAsiaTheme="minorEastAsia" w:cstheme="minorEastAsia"/>
                <w:color w:val="auto"/>
                <w:position w:val="0"/>
                <w:sz w:val="24"/>
                <w:szCs w:val="24"/>
                <w:highlight w:val="none"/>
              </w:rPr>
              <w:instrText xml:space="preserve"> eq \o\ac(□,√)</w:instrText>
            </w:r>
            <w:r>
              <w:rPr>
                <w:rFonts w:hint="eastAsia" w:asciiTheme="minorEastAsia" w:hAnsiTheme="minorEastAsia" w:eastAsiaTheme="minorEastAsia" w:cstheme="minorEastAsia"/>
                <w:color w:val="auto"/>
                <w:position w:val="0"/>
                <w:sz w:val="24"/>
                <w:szCs w:val="24"/>
                <w:highlight w:val="none"/>
              </w:rPr>
              <w:fldChar w:fldCharType="end"/>
            </w:r>
            <w:r>
              <w:rPr>
                <w:rFonts w:hint="eastAsia" w:asciiTheme="minorEastAsia" w:hAnsiTheme="minorEastAsia" w:eastAsiaTheme="minorEastAsia" w:cstheme="minorEastAsia"/>
                <w:color w:val="auto"/>
                <w:position w:val="0"/>
                <w:sz w:val="24"/>
                <w:szCs w:val="24"/>
                <w:highlight w:val="none"/>
              </w:rPr>
              <w:t>不允许</w:t>
            </w:r>
          </w:p>
          <w:p w14:paraId="6D0F200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□允许</w:t>
            </w:r>
          </w:p>
        </w:tc>
      </w:tr>
      <w:tr w14:paraId="4D22C35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794F4D5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3.7.3</w:t>
            </w:r>
          </w:p>
        </w:tc>
        <w:tc>
          <w:tcPr>
            <w:tcW w:w="2061" w:type="dxa"/>
            <w:vAlign w:val="center"/>
          </w:tcPr>
          <w:p w14:paraId="511FBC7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签字或盖章要求</w:t>
            </w:r>
          </w:p>
        </w:tc>
        <w:tc>
          <w:tcPr>
            <w:tcW w:w="6965" w:type="dxa"/>
            <w:vAlign w:val="center"/>
          </w:tcPr>
          <w:p w14:paraId="74AD080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按照投标文件格式，采用单位和个人数字证书电子签章及电子签名：技术标投标文件（包括资格审查投标文件）需要企业、法定代表人电子签章或签字及电子签名。</w:t>
            </w:r>
          </w:p>
          <w:p w14:paraId="3C5A3FE2">
            <w:pPr>
              <w:pStyle w:val="18"/>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注：1.在需要电子签章的地方进行电子签章，无需逐页电子签章。</w:t>
            </w:r>
          </w:p>
          <w:p w14:paraId="65591DDD">
            <w:pPr>
              <w:pStyle w:val="18"/>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2.如为联合体投标的，投标人签章均指联合体牵头人。</w:t>
            </w:r>
          </w:p>
        </w:tc>
      </w:tr>
      <w:tr w14:paraId="0AFAD55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shd w:val="clear" w:color="auto" w:fill="auto"/>
            <w:vAlign w:val="center"/>
          </w:tcPr>
          <w:p w14:paraId="00AFF5EA">
            <w:pPr>
              <w:keepNext w:val="0"/>
              <w:keepLines w:val="0"/>
              <w:pageBreakBefore w:val="0"/>
              <w:widowControl w:val="0"/>
              <w:kinsoku/>
              <w:wordWrap/>
              <w:overflowPunct/>
              <w:topLine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3.7.4</w:t>
            </w:r>
          </w:p>
        </w:tc>
        <w:tc>
          <w:tcPr>
            <w:tcW w:w="2061" w:type="dxa"/>
            <w:shd w:val="clear" w:color="auto" w:fill="auto"/>
            <w:vAlign w:val="center"/>
          </w:tcPr>
          <w:p w14:paraId="44DD83BD">
            <w:pPr>
              <w:keepNext w:val="0"/>
              <w:keepLines w:val="0"/>
              <w:pageBreakBefore w:val="0"/>
              <w:widowControl w:val="0"/>
              <w:kinsoku/>
              <w:wordWrap/>
              <w:overflowPunct/>
              <w:topLine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投标文件的提交</w:t>
            </w:r>
          </w:p>
        </w:tc>
        <w:tc>
          <w:tcPr>
            <w:tcW w:w="6965" w:type="dxa"/>
            <w:shd w:val="clear" w:color="auto" w:fill="auto"/>
            <w:vAlign w:val="center"/>
          </w:tcPr>
          <w:p w14:paraId="1B98AC32">
            <w:pPr>
              <w:keepNext w:val="0"/>
              <w:keepLines w:val="0"/>
              <w:pageBreakBefore w:val="0"/>
              <w:widowControl w:val="0"/>
              <w:kinsoku/>
              <w:wordWrap/>
              <w:overflowPunct/>
              <w:topLine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b/>
                <w:snapToGrid w:val="0"/>
                <w:color w:val="auto"/>
                <w:kern w:val="0"/>
                <w:position w:val="0"/>
                <w:sz w:val="24"/>
                <w:szCs w:val="24"/>
                <w:highlight w:val="none"/>
              </w:rPr>
              <w:t>网上递交：</w:t>
            </w:r>
            <w:r>
              <w:rPr>
                <w:rFonts w:hint="eastAsia" w:asciiTheme="minorEastAsia" w:hAnsiTheme="minorEastAsia" w:eastAsiaTheme="minorEastAsia" w:cstheme="minorEastAsia"/>
                <w:snapToGrid w:val="0"/>
                <w:color w:val="auto"/>
                <w:kern w:val="0"/>
                <w:position w:val="0"/>
                <w:sz w:val="24"/>
                <w:szCs w:val="24"/>
                <w:highlight w:val="none"/>
              </w:rPr>
              <w:t>网上递交网址为</w:t>
            </w:r>
            <w:r>
              <w:rPr>
                <w:rFonts w:hint="eastAsia" w:asciiTheme="minorEastAsia" w:hAnsiTheme="minorEastAsia" w:eastAsiaTheme="minorEastAsia" w:cstheme="minorEastAsia"/>
                <w:snapToGrid w:val="0"/>
                <w:color w:val="auto"/>
                <w:kern w:val="0"/>
                <w:position w:val="0"/>
                <w:sz w:val="24"/>
                <w:szCs w:val="24"/>
                <w:highlight w:val="none"/>
                <w:u w:val="single"/>
              </w:rPr>
              <w:t>云南省公共资源交易信息网（</w:t>
            </w:r>
            <w:r>
              <w:rPr>
                <w:rFonts w:hint="eastAsia" w:asciiTheme="minorEastAsia" w:hAnsiTheme="minorEastAsia" w:eastAsiaTheme="minorEastAsia" w:cstheme="minorEastAsia"/>
                <w:snapToGrid w:val="0"/>
                <w:color w:val="auto"/>
                <w:kern w:val="0"/>
                <w:position w:val="0"/>
                <w:sz w:val="24"/>
                <w:szCs w:val="24"/>
                <w:highlight w:val="none"/>
                <w:u w:val="single"/>
                <w:lang w:eastAsia="zh-CN"/>
              </w:rPr>
              <w:t>https://ggzy.yn.gov.cn/homePage#/homePage</w:t>
            </w:r>
            <w:r>
              <w:rPr>
                <w:rFonts w:hint="eastAsia" w:asciiTheme="minorEastAsia" w:hAnsiTheme="minorEastAsia" w:eastAsiaTheme="minorEastAsia" w:cstheme="minorEastAsia"/>
                <w:snapToGrid w:val="0"/>
                <w:color w:val="auto"/>
                <w:kern w:val="0"/>
                <w:position w:val="0"/>
                <w:sz w:val="24"/>
                <w:szCs w:val="24"/>
                <w:highlight w:val="none"/>
                <w:u w:val="single"/>
              </w:rPr>
              <w:t>），选择地区“</w:t>
            </w:r>
            <w:r>
              <w:rPr>
                <w:rFonts w:hint="eastAsia" w:asciiTheme="minorEastAsia" w:hAnsiTheme="minorEastAsia" w:eastAsiaTheme="minorEastAsia" w:cstheme="minorEastAsia"/>
                <w:snapToGrid w:val="0"/>
                <w:color w:val="auto"/>
                <w:kern w:val="0"/>
                <w:position w:val="0"/>
                <w:sz w:val="24"/>
                <w:szCs w:val="24"/>
                <w:highlight w:val="none"/>
                <w:u w:val="single"/>
                <w:lang w:val="en-US" w:eastAsia="zh-CN"/>
              </w:rPr>
              <w:t>普洱市</w:t>
            </w:r>
            <w:r>
              <w:rPr>
                <w:rFonts w:hint="eastAsia" w:asciiTheme="minorEastAsia" w:hAnsiTheme="minorEastAsia" w:eastAsiaTheme="minorEastAsia" w:cstheme="minorEastAsia"/>
                <w:snapToGrid w:val="0"/>
                <w:color w:val="auto"/>
                <w:kern w:val="0"/>
                <w:position w:val="0"/>
                <w:sz w:val="24"/>
                <w:szCs w:val="24"/>
                <w:highlight w:val="none"/>
                <w:u w:val="single"/>
              </w:rPr>
              <w:t>”</w:t>
            </w:r>
            <w:r>
              <w:rPr>
                <w:rFonts w:hint="eastAsia" w:asciiTheme="minorEastAsia" w:hAnsiTheme="minorEastAsia" w:eastAsiaTheme="minorEastAsia" w:cstheme="minorEastAsia"/>
                <w:snapToGrid w:val="0"/>
                <w:color w:val="auto"/>
                <w:kern w:val="0"/>
                <w:position w:val="0"/>
                <w:sz w:val="24"/>
                <w:szCs w:val="24"/>
                <w:highlight w:val="none"/>
              </w:rPr>
              <w:t>，投标人须在投标截止时间前完成所有投标文件的上传，网上确认电子签名，并打印“上传投标文件回执”，投标截止时间前未完成投标文件传输的，视为撤回投标文件。</w:t>
            </w:r>
          </w:p>
        </w:tc>
      </w:tr>
      <w:tr w14:paraId="2682FFB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shd w:val="clear" w:color="auto" w:fill="auto"/>
            <w:vAlign w:val="center"/>
          </w:tcPr>
          <w:p w14:paraId="5C4C685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3.7.5</w:t>
            </w:r>
          </w:p>
        </w:tc>
        <w:tc>
          <w:tcPr>
            <w:tcW w:w="2061" w:type="dxa"/>
            <w:shd w:val="clear" w:color="auto" w:fill="auto"/>
            <w:vAlign w:val="center"/>
          </w:tcPr>
          <w:p w14:paraId="44BFD4A9">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投标文件制作的其他要求</w:t>
            </w:r>
          </w:p>
        </w:tc>
        <w:tc>
          <w:tcPr>
            <w:tcW w:w="6965" w:type="dxa"/>
            <w:shd w:val="clear" w:color="auto" w:fill="auto"/>
            <w:vAlign w:val="center"/>
          </w:tcPr>
          <w:p w14:paraId="19531D8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1.</w:t>
            </w:r>
            <w:r>
              <w:rPr>
                <w:rFonts w:hint="eastAsia" w:asciiTheme="minorEastAsia" w:hAnsiTheme="minorEastAsia" w:eastAsiaTheme="minorEastAsia" w:cstheme="minorEastAsia"/>
                <w:b/>
                <w:bCs/>
                <w:color w:val="auto"/>
                <w:sz w:val="24"/>
                <w:szCs w:val="24"/>
                <w:highlight w:val="none"/>
              </w:rPr>
              <w:t>电子投标人必须使用“云南省工程建设模块化投标文件编制系统”制作。</w:t>
            </w:r>
          </w:p>
          <w:p w14:paraId="3C23761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2.</w:t>
            </w:r>
            <w:r>
              <w:rPr>
                <w:rFonts w:hint="eastAsia" w:asciiTheme="minorEastAsia" w:hAnsiTheme="minorEastAsia" w:eastAsiaTheme="minorEastAsia" w:cstheme="minorEastAsia"/>
                <w:b/>
                <w:bCs/>
                <w:color w:val="auto"/>
                <w:sz w:val="24"/>
                <w:szCs w:val="24"/>
                <w:highlight w:val="none"/>
              </w:rPr>
              <w:t>中标单位在签订合同前</w:t>
            </w:r>
            <w:r>
              <w:rPr>
                <w:rFonts w:hint="eastAsia" w:asciiTheme="minorEastAsia" w:hAnsiTheme="minorEastAsia" w:eastAsiaTheme="minorEastAsia" w:cstheme="minorEastAsia"/>
                <w:b/>
                <w:bCs/>
                <w:color w:val="auto"/>
                <w:sz w:val="24"/>
                <w:szCs w:val="24"/>
                <w:highlight w:val="none"/>
                <w:lang w:val="en-US" w:eastAsia="zh-CN"/>
              </w:rPr>
              <w:t>根据招标人需要提供纸质版投标文件</w:t>
            </w:r>
            <w:r>
              <w:rPr>
                <w:rFonts w:hint="eastAsia" w:asciiTheme="minorEastAsia" w:hAnsiTheme="minorEastAsia" w:eastAsiaTheme="minorEastAsia" w:cstheme="minorEastAsia"/>
                <w:b/>
                <w:bCs/>
                <w:color w:val="auto"/>
                <w:sz w:val="24"/>
                <w:szCs w:val="24"/>
                <w:highlight w:val="none"/>
              </w:rPr>
              <w:t>，具体份数由招标人确定。</w:t>
            </w:r>
          </w:p>
        </w:tc>
      </w:tr>
      <w:tr w14:paraId="2114278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1DAE1B0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4.1.2</w:t>
            </w:r>
          </w:p>
        </w:tc>
        <w:tc>
          <w:tcPr>
            <w:tcW w:w="2061" w:type="dxa"/>
            <w:vAlign w:val="center"/>
          </w:tcPr>
          <w:p w14:paraId="77CD9C4D">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封套上应载明的信息</w:t>
            </w:r>
          </w:p>
        </w:tc>
        <w:tc>
          <w:tcPr>
            <w:tcW w:w="6965" w:type="dxa"/>
            <w:vAlign w:val="center"/>
          </w:tcPr>
          <w:p w14:paraId="7DDF931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本项目采用电子评标，投标文件上传至云南省公共资源交易信息网，无需现场递交</w:t>
            </w:r>
            <w:r>
              <w:rPr>
                <w:rFonts w:hint="eastAsia" w:asciiTheme="minorEastAsia" w:hAnsiTheme="minorEastAsia" w:eastAsiaTheme="minorEastAsia" w:cstheme="minorEastAsia"/>
                <w:color w:val="auto"/>
                <w:position w:val="0"/>
                <w:sz w:val="24"/>
                <w:szCs w:val="24"/>
                <w:highlight w:val="none"/>
                <w:lang w:eastAsia="zh-CN"/>
              </w:rPr>
              <w:t>。</w:t>
            </w:r>
          </w:p>
        </w:tc>
      </w:tr>
      <w:tr w14:paraId="6219ABE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430BCA7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4.2.2</w:t>
            </w:r>
          </w:p>
        </w:tc>
        <w:tc>
          <w:tcPr>
            <w:tcW w:w="2061" w:type="dxa"/>
            <w:vAlign w:val="center"/>
          </w:tcPr>
          <w:p w14:paraId="56A2AF9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递交投标文件地点</w:t>
            </w:r>
          </w:p>
        </w:tc>
        <w:tc>
          <w:tcPr>
            <w:tcW w:w="6965" w:type="dxa"/>
            <w:vAlign w:val="center"/>
          </w:tcPr>
          <w:p w14:paraId="457B934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云南省公共资源交易信息网</w:t>
            </w:r>
            <w:r>
              <w:rPr>
                <w:rFonts w:hint="eastAsia" w:asciiTheme="minorEastAsia" w:hAnsiTheme="minorEastAsia" w:eastAsiaTheme="minorEastAsia" w:cstheme="minorEastAsia"/>
                <w:color w:val="auto"/>
                <w:position w:val="0"/>
                <w:sz w:val="24"/>
                <w:szCs w:val="24"/>
                <w:highlight w:val="none"/>
                <w:lang w:val="en-US" w:eastAsia="zh-CN"/>
              </w:rPr>
              <w:t>网上递交，网上智能开标远程解密</w:t>
            </w:r>
            <w:r>
              <w:rPr>
                <w:rFonts w:hint="eastAsia" w:asciiTheme="minorEastAsia" w:hAnsiTheme="minorEastAsia" w:eastAsiaTheme="minorEastAsia" w:cstheme="minorEastAsia"/>
                <w:color w:val="auto"/>
                <w:position w:val="0"/>
                <w:sz w:val="24"/>
                <w:szCs w:val="24"/>
                <w:highlight w:val="none"/>
                <w:lang w:eastAsia="zh-CN"/>
              </w:rPr>
              <w:t>。</w:t>
            </w:r>
          </w:p>
        </w:tc>
      </w:tr>
      <w:tr w14:paraId="3478E80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7E118C2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4.2.5</w:t>
            </w:r>
          </w:p>
        </w:tc>
        <w:tc>
          <w:tcPr>
            <w:tcW w:w="2061" w:type="dxa"/>
            <w:vAlign w:val="center"/>
          </w:tcPr>
          <w:p w14:paraId="517EC7D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是否退还投标文件</w:t>
            </w:r>
          </w:p>
        </w:tc>
        <w:tc>
          <w:tcPr>
            <w:tcW w:w="6965" w:type="dxa"/>
            <w:vAlign w:val="center"/>
          </w:tcPr>
          <w:p w14:paraId="444C3C0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投标人递交的投标文件不予退还。</w:t>
            </w:r>
          </w:p>
        </w:tc>
      </w:tr>
      <w:tr w14:paraId="5426261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1324C28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5.1</w:t>
            </w:r>
          </w:p>
        </w:tc>
        <w:tc>
          <w:tcPr>
            <w:tcW w:w="2061" w:type="dxa"/>
            <w:vAlign w:val="center"/>
          </w:tcPr>
          <w:p w14:paraId="43F084CD">
            <w:pPr>
              <w:keepNext w:val="0"/>
              <w:keepLines w:val="0"/>
              <w:pageBreakBefore w:val="0"/>
              <w:widowControl w:val="0"/>
              <w:wordWrap/>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position w:val="0"/>
                <w:sz w:val="24"/>
                <w:szCs w:val="24"/>
              </w:rPr>
              <w:t>开标时间及地点</w:t>
            </w:r>
          </w:p>
        </w:tc>
        <w:tc>
          <w:tcPr>
            <w:tcW w:w="6965" w:type="dxa"/>
            <w:vAlign w:val="center"/>
          </w:tcPr>
          <w:p w14:paraId="0DB77100">
            <w:pPr>
              <w:keepNext w:val="0"/>
              <w:keepLines w:val="0"/>
              <w:pageBreakBefore w:val="0"/>
              <w:widowControl w:val="0"/>
              <w:wordWrap/>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position w:val="0"/>
                <w:sz w:val="24"/>
                <w:szCs w:val="24"/>
              </w:rPr>
            </w:pPr>
            <w:r>
              <w:rPr>
                <w:rFonts w:hint="eastAsia" w:asciiTheme="minorEastAsia" w:hAnsiTheme="minorEastAsia" w:eastAsiaTheme="minorEastAsia" w:cstheme="minorEastAsia"/>
                <w:position w:val="0"/>
                <w:sz w:val="24"/>
                <w:szCs w:val="24"/>
              </w:rPr>
              <w:t>开标时间：同投标截止时间。</w:t>
            </w:r>
          </w:p>
          <w:p w14:paraId="58D596F3">
            <w:pPr>
              <w:keepNext w:val="0"/>
              <w:keepLines w:val="0"/>
              <w:pageBreakBefore w:val="0"/>
              <w:widowControl w:val="0"/>
              <w:wordWrap/>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position w:val="0"/>
                <w:sz w:val="24"/>
                <w:szCs w:val="24"/>
              </w:rPr>
            </w:pPr>
            <w:r>
              <w:rPr>
                <w:rFonts w:hint="eastAsia" w:asciiTheme="minorEastAsia" w:hAnsiTheme="minorEastAsia" w:eastAsiaTheme="minorEastAsia" w:cstheme="minorEastAsia"/>
                <w:position w:val="0"/>
                <w:sz w:val="24"/>
                <w:szCs w:val="24"/>
              </w:rPr>
              <w:t>开标地点：墨江哈尼族自治县公共资源交易中心。</w:t>
            </w:r>
          </w:p>
          <w:p w14:paraId="5B1E6406">
            <w:pPr>
              <w:keepNext w:val="0"/>
              <w:keepLines w:val="0"/>
              <w:pageBreakBefore w:val="0"/>
              <w:widowControl w:val="0"/>
              <w:wordWrap/>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sz w:val="24"/>
                <w:szCs w:val="24"/>
              </w:rPr>
              <w:t>（1）本项目启用智能开标（即远程在线开标）。按要求进行网上远程解密。投标人须在招标文件规定的截标时间前登录“网上开标室”，根据网上签到、网上远程解密、开标的要求，须在规定时间完成在线签到、解密、开标一览表确认等操作。若投标人未在规定时间完成相关操作，则视为撤销其投标文件，不再进入评标阶段。注：请各投标人提前熟悉网上开标的相关操作，否则由此造成的后果由投标人自行承担。</w:t>
            </w:r>
          </w:p>
        </w:tc>
      </w:tr>
      <w:tr w14:paraId="01630DA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6005AE1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5.2</w:t>
            </w:r>
          </w:p>
        </w:tc>
        <w:tc>
          <w:tcPr>
            <w:tcW w:w="2061" w:type="dxa"/>
            <w:vAlign w:val="center"/>
          </w:tcPr>
          <w:p w14:paraId="40042BB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开标程序</w:t>
            </w:r>
          </w:p>
        </w:tc>
        <w:tc>
          <w:tcPr>
            <w:tcW w:w="6965" w:type="dxa"/>
            <w:vAlign w:val="center"/>
          </w:tcPr>
          <w:p w14:paraId="2DB31FC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主持人按下列程序进行开标：</w:t>
            </w:r>
          </w:p>
          <w:p w14:paraId="4D5697E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（l）宣布开标纪律</w:t>
            </w:r>
            <w:r>
              <w:rPr>
                <w:rFonts w:hint="eastAsia" w:asciiTheme="minorEastAsia" w:hAnsiTheme="minorEastAsia" w:eastAsiaTheme="minorEastAsia" w:cstheme="minorEastAsia"/>
                <w:color w:val="auto"/>
                <w:sz w:val="24"/>
                <w:szCs w:val="24"/>
                <w:highlight w:val="none"/>
                <w:lang w:eastAsia="zh-CN"/>
              </w:rPr>
              <w:t>。</w:t>
            </w:r>
          </w:p>
          <w:p w14:paraId="1E1D5EC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（2）开标系统自动检查密封情况</w:t>
            </w:r>
            <w:r>
              <w:rPr>
                <w:rFonts w:hint="eastAsia" w:asciiTheme="minorEastAsia" w:hAnsiTheme="minorEastAsia" w:eastAsiaTheme="minorEastAsia" w:cstheme="minorEastAsia"/>
                <w:color w:val="auto"/>
                <w:sz w:val="24"/>
                <w:szCs w:val="24"/>
                <w:highlight w:val="none"/>
                <w:lang w:eastAsia="zh-CN"/>
              </w:rPr>
              <w:t>。</w:t>
            </w:r>
          </w:p>
          <w:p w14:paraId="25E5892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按照交易平台自动提取所有投标人顺序当众开标，导入有效投标人的电子投标文件（格式为：*.BTBJ），同时，对网上递交加密投标文件的投标文件，提供网上解密，解密完成后，公布投标人名称、投标保证金的递交情况、投标报价、质量目标、工期及其他内容，并记录在案。因投标人原因造成投标文件未解密的，视为撤销其投标文件</w:t>
            </w:r>
            <w:r>
              <w:rPr>
                <w:rFonts w:hint="eastAsia" w:asciiTheme="minorEastAsia" w:hAnsiTheme="minorEastAsia" w:eastAsiaTheme="minorEastAsia" w:cstheme="minorEastAsia"/>
                <w:color w:val="auto"/>
                <w:sz w:val="24"/>
                <w:szCs w:val="24"/>
                <w:highlight w:val="none"/>
                <w:lang w:eastAsia="zh-CN"/>
              </w:rPr>
              <w:t>。</w:t>
            </w:r>
          </w:p>
          <w:p w14:paraId="5F9D390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（4）投标人代表、招标人代表、监标人、记录人等有关人员在开标记录上签字确认</w:t>
            </w:r>
            <w:r>
              <w:rPr>
                <w:rFonts w:hint="eastAsia" w:asciiTheme="minorEastAsia" w:hAnsiTheme="minorEastAsia" w:eastAsiaTheme="minorEastAsia" w:cstheme="minorEastAsia"/>
                <w:color w:val="auto"/>
                <w:sz w:val="24"/>
                <w:szCs w:val="24"/>
                <w:highlight w:val="none"/>
                <w:lang w:eastAsia="zh-CN"/>
              </w:rPr>
              <w:t>。</w:t>
            </w:r>
          </w:p>
          <w:p w14:paraId="0370D26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（5）开标结束。</w:t>
            </w:r>
          </w:p>
        </w:tc>
      </w:tr>
      <w:tr w14:paraId="2D41B33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DED31F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6.1.1</w:t>
            </w:r>
          </w:p>
        </w:tc>
        <w:tc>
          <w:tcPr>
            <w:tcW w:w="2061" w:type="dxa"/>
            <w:vAlign w:val="center"/>
          </w:tcPr>
          <w:p w14:paraId="5388B2E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评标委员会的组建</w:t>
            </w:r>
          </w:p>
        </w:tc>
        <w:tc>
          <w:tcPr>
            <w:tcW w:w="6965" w:type="dxa"/>
            <w:vAlign w:val="center"/>
          </w:tcPr>
          <w:p w14:paraId="13C134B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评标委员会由招标人的代表和有关技术、经济等方面的专家组成，成员人数为</w:t>
            </w:r>
            <w:r>
              <w:rPr>
                <w:rFonts w:hint="eastAsia" w:asciiTheme="minorEastAsia" w:hAnsiTheme="minorEastAsia" w:eastAsiaTheme="minorEastAsia" w:cstheme="minorEastAsia"/>
                <w:color w:val="auto"/>
                <w:position w:val="0"/>
                <w:sz w:val="24"/>
                <w:szCs w:val="24"/>
                <w:highlight w:val="none"/>
                <w:lang w:val="en-US" w:eastAsia="zh-CN"/>
              </w:rPr>
              <w:t>七</w:t>
            </w:r>
            <w:r>
              <w:rPr>
                <w:rFonts w:hint="eastAsia" w:asciiTheme="minorEastAsia" w:hAnsiTheme="minorEastAsia" w:eastAsiaTheme="minorEastAsia" w:cstheme="minorEastAsia"/>
                <w:color w:val="auto"/>
                <w:position w:val="0"/>
                <w:sz w:val="24"/>
                <w:szCs w:val="24"/>
                <w:highlight w:val="none"/>
              </w:rPr>
              <w:t>人及以上单数。其中，技术、经济等方面的专家不得少于成员总数的三分之二。</w:t>
            </w:r>
          </w:p>
        </w:tc>
      </w:tr>
      <w:tr w14:paraId="294A6B7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521BDA0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7.1</w:t>
            </w:r>
          </w:p>
        </w:tc>
        <w:tc>
          <w:tcPr>
            <w:tcW w:w="2061" w:type="dxa"/>
            <w:vAlign w:val="center"/>
          </w:tcPr>
          <w:p w14:paraId="647ABB99">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是否授权评标委员会确定中标人</w:t>
            </w:r>
          </w:p>
        </w:tc>
        <w:tc>
          <w:tcPr>
            <w:tcW w:w="6965" w:type="dxa"/>
            <w:vAlign w:val="center"/>
          </w:tcPr>
          <w:p w14:paraId="5CC5BE2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否，推荐的中标候选人数：3名，并标明排序。</w:t>
            </w:r>
          </w:p>
        </w:tc>
      </w:tr>
      <w:tr w14:paraId="0A9868E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6DEC56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7.2</w:t>
            </w:r>
          </w:p>
        </w:tc>
        <w:tc>
          <w:tcPr>
            <w:tcW w:w="2061" w:type="dxa"/>
            <w:vAlign w:val="center"/>
          </w:tcPr>
          <w:p w14:paraId="2A2B7EA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中标候选人公示媒介</w:t>
            </w:r>
          </w:p>
        </w:tc>
        <w:tc>
          <w:tcPr>
            <w:tcW w:w="6965" w:type="dxa"/>
            <w:vAlign w:val="center"/>
          </w:tcPr>
          <w:p w14:paraId="6BB1718E">
            <w:pPr>
              <w:keepNext w:val="0"/>
              <w:keepLines w:val="0"/>
              <w:pageBreakBefore w:val="0"/>
              <w:widowControl w:val="0"/>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公示媒介：云南省公共资源交易信息网（</w:t>
            </w:r>
            <w:r>
              <w:rPr>
                <w:rFonts w:hint="eastAsia" w:asciiTheme="minorEastAsia" w:hAnsiTheme="minorEastAsia" w:eastAsiaTheme="minorEastAsia" w:cstheme="minorEastAsia"/>
                <w:color w:val="auto"/>
                <w:position w:val="0"/>
                <w:sz w:val="24"/>
                <w:szCs w:val="24"/>
                <w:highlight w:val="none"/>
                <w:lang w:eastAsia="zh-CN"/>
              </w:rPr>
              <w:t>https://ggzy.yn.gov.cn/homePage#/homePage</w:t>
            </w:r>
            <w:r>
              <w:rPr>
                <w:rFonts w:hint="eastAsia" w:asciiTheme="minorEastAsia" w:hAnsiTheme="minorEastAsia" w:eastAsiaTheme="minorEastAsia" w:cstheme="minorEastAsia"/>
                <w:color w:val="auto"/>
                <w:position w:val="0"/>
                <w:sz w:val="24"/>
                <w:szCs w:val="24"/>
                <w:highlight w:val="none"/>
              </w:rPr>
              <w:t>）</w:t>
            </w:r>
          </w:p>
          <w:p w14:paraId="6FE55AE5">
            <w:pPr>
              <w:keepNext w:val="0"/>
              <w:keepLines w:val="0"/>
              <w:pageBreakBefore w:val="0"/>
              <w:widowControl w:val="0"/>
              <w:kinsoku w:val="0"/>
              <w:wordWrap/>
              <w:overflowPunct w:val="0"/>
              <w:topLinePunct w:val="0"/>
              <w:autoSpaceDE w:val="0"/>
              <w:autoSpaceDN w:val="0"/>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公示期限：3日</w:t>
            </w:r>
          </w:p>
        </w:tc>
      </w:tr>
      <w:tr w14:paraId="7CF2451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47" w:hRule="atLeast"/>
          <w:jc w:val="center"/>
        </w:trPr>
        <w:tc>
          <w:tcPr>
            <w:tcW w:w="1171" w:type="dxa"/>
            <w:vAlign w:val="center"/>
          </w:tcPr>
          <w:p w14:paraId="7AE0FE3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7.4.1</w:t>
            </w:r>
          </w:p>
        </w:tc>
        <w:tc>
          <w:tcPr>
            <w:tcW w:w="2061" w:type="dxa"/>
            <w:vAlign w:val="center"/>
          </w:tcPr>
          <w:p w14:paraId="2697EFA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履约保证金</w:t>
            </w:r>
          </w:p>
        </w:tc>
        <w:tc>
          <w:tcPr>
            <w:tcW w:w="6965" w:type="dxa"/>
            <w:vAlign w:val="center"/>
          </w:tcPr>
          <w:p w14:paraId="0649860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u w:val="single"/>
                <w:lang w:val="en-US" w:eastAsia="zh-CN"/>
              </w:rPr>
            </w:pPr>
            <w:r>
              <w:rPr>
                <w:rFonts w:hint="eastAsia" w:asciiTheme="minorEastAsia" w:hAnsiTheme="minorEastAsia" w:eastAsiaTheme="minorEastAsia" w:cstheme="minorEastAsia"/>
                <w:color w:val="auto"/>
                <w:position w:val="0"/>
                <w:sz w:val="24"/>
                <w:szCs w:val="24"/>
                <w:highlight w:val="none"/>
                <w:u w:val="none"/>
                <w:lang w:val="en-US" w:eastAsia="zh-CN"/>
              </w:rPr>
              <w:t>本项目不要求。</w:t>
            </w:r>
          </w:p>
        </w:tc>
      </w:tr>
      <w:tr w14:paraId="1ADED11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205" w:hRule="atLeast"/>
          <w:jc w:val="center"/>
        </w:trPr>
        <w:tc>
          <w:tcPr>
            <w:tcW w:w="1171" w:type="dxa"/>
            <w:vAlign w:val="center"/>
          </w:tcPr>
          <w:p w14:paraId="5307651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7.4.2</w:t>
            </w:r>
          </w:p>
        </w:tc>
        <w:tc>
          <w:tcPr>
            <w:tcW w:w="2061" w:type="dxa"/>
            <w:vAlign w:val="center"/>
          </w:tcPr>
          <w:p w14:paraId="7D0F12C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质量保证金</w:t>
            </w:r>
          </w:p>
        </w:tc>
        <w:tc>
          <w:tcPr>
            <w:tcW w:w="6965" w:type="dxa"/>
            <w:vAlign w:val="center"/>
          </w:tcPr>
          <w:p w14:paraId="5BE3B30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按</w:t>
            </w:r>
            <w:r>
              <w:rPr>
                <w:rFonts w:hint="eastAsia" w:asciiTheme="minorEastAsia" w:hAnsiTheme="minorEastAsia" w:eastAsiaTheme="minorEastAsia" w:cstheme="minorEastAsia"/>
                <w:color w:val="auto"/>
                <w:sz w:val="24"/>
                <w:szCs w:val="24"/>
                <w:highlight w:val="none"/>
                <w:lang w:val="en-US" w:eastAsia="zh-CN"/>
              </w:rPr>
              <w:t>不高于工程价款结算总额的</w:t>
            </w:r>
            <w:r>
              <w:rPr>
                <w:rFonts w:hint="eastAsia" w:asciiTheme="minorEastAsia" w:hAnsiTheme="minorEastAsia" w:eastAsiaTheme="minorEastAsia" w:cstheme="minorEastAsia"/>
                <w:color w:val="auto"/>
                <w:sz w:val="24"/>
                <w:szCs w:val="24"/>
                <w:highlight w:val="none"/>
              </w:rPr>
              <w:t>3%扣缴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如中标人以银行保函替代预留保证金的，招标人不再预留质量保证金）</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缺陷责任期满后</w:t>
            </w:r>
            <w:r>
              <w:rPr>
                <w:rFonts w:hint="eastAsia" w:asciiTheme="minorEastAsia" w:hAnsiTheme="minorEastAsia" w:eastAsiaTheme="minorEastAsia" w:cstheme="minorEastAsia"/>
                <w:color w:val="auto"/>
                <w:sz w:val="24"/>
                <w:szCs w:val="24"/>
                <w:highlight w:val="none"/>
              </w:rPr>
              <w:t>无质量问题</w:t>
            </w:r>
            <w:r>
              <w:rPr>
                <w:rFonts w:hint="eastAsia" w:asciiTheme="minorEastAsia" w:hAnsiTheme="minorEastAsia" w:eastAsiaTheme="minorEastAsia" w:cstheme="minorEastAsia"/>
                <w:color w:val="auto"/>
                <w:sz w:val="24"/>
                <w:szCs w:val="24"/>
                <w:highlight w:val="none"/>
                <w:lang w:val="en-US" w:eastAsia="zh-CN"/>
              </w:rPr>
              <w:t>招标人无息退还</w:t>
            </w:r>
            <w:r>
              <w:rPr>
                <w:rFonts w:hint="eastAsia" w:asciiTheme="minorEastAsia" w:hAnsiTheme="minorEastAsia" w:eastAsiaTheme="minorEastAsia" w:cstheme="minorEastAsia"/>
                <w:color w:val="auto"/>
                <w:sz w:val="24"/>
                <w:szCs w:val="24"/>
                <w:highlight w:val="none"/>
              </w:rPr>
              <w:t>质量保证金</w:t>
            </w:r>
            <w:r>
              <w:rPr>
                <w:rFonts w:hint="eastAsia" w:asciiTheme="minorEastAsia" w:hAnsiTheme="minorEastAsia" w:eastAsiaTheme="minorEastAsia" w:cstheme="minorEastAsia"/>
                <w:color w:val="auto"/>
                <w:sz w:val="24"/>
                <w:szCs w:val="24"/>
                <w:highlight w:val="none"/>
                <w:lang w:eastAsia="zh-CN"/>
              </w:rPr>
              <w:t>。</w:t>
            </w:r>
          </w:p>
        </w:tc>
      </w:tr>
      <w:tr w14:paraId="3ACF369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5D9009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w:t>
            </w:r>
          </w:p>
        </w:tc>
        <w:tc>
          <w:tcPr>
            <w:tcW w:w="9026" w:type="dxa"/>
            <w:gridSpan w:val="2"/>
            <w:vAlign w:val="center"/>
          </w:tcPr>
          <w:p w14:paraId="2047A40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color w:val="auto"/>
                <w:position w:val="0"/>
                <w:sz w:val="24"/>
                <w:szCs w:val="24"/>
                <w:highlight w:val="none"/>
              </w:rPr>
            </w:pPr>
            <w:r>
              <w:rPr>
                <w:rFonts w:hint="eastAsia" w:asciiTheme="minorEastAsia" w:hAnsiTheme="minorEastAsia" w:eastAsiaTheme="minorEastAsia" w:cstheme="minorEastAsia"/>
                <w:b/>
                <w:color w:val="auto"/>
                <w:position w:val="0"/>
                <w:sz w:val="24"/>
                <w:szCs w:val="24"/>
                <w:highlight w:val="none"/>
              </w:rPr>
              <w:t>需要补充的其他内容</w:t>
            </w:r>
          </w:p>
        </w:tc>
      </w:tr>
      <w:tr w14:paraId="19C161F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7C6143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9.1</w:t>
            </w:r>
          </w:p>
        </w:tc>
        <w:tc>
          <w:tcPr>
            <w:tcW w:w="2061" w:type="dxa"/>
            <w:shd w:val="clear" w:color="auto" w:fill="auto"/>
            <w:vAlign w:val="center"/>
          </w:tcPr>
          <w:p w14:paraId="4E2CD04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监督部门</w:t>
            </w:r>
          </w:p>
        </w:tc>
        <w:tc>
          <w:tcPr>
            <w:tcW w:w="6965" w:type="dxa"/>
            <w:shd w:val="clear" w:color="auto" w:fill="auto"/>
            <w:vAlign w:val="center"/>
          </w:tcPr>
          <w:p w14:paraId="6BF32FB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监督部门名称：</w:t>
            </w:r>
            <w:r>
              <w:rPr>
                <w:rFonts w:hint="eastAsia" w:asciiTheme="minorEastAsia" w:hAnsiTheme="minorEastAsia" w:eastAsiaTheme="minorEastAsia" w:cstheme="minorEastAsia"/>
                <w:color w:val="auto"/>
                <w:position w:val="0"/>
                <w:sz w:val="24"/>
                <w:szCs w:val="24"/>
                <w:highlight w:val="none"/>
                <w:lang w:val="en-US" w:eastAsia="zh-CN"/>
              </w:rPr>
              <w:fldChar w:fldCharType="begin"/>
            </w:r>
            <w:r>
              <w:rPr>
                <w:rFonts w:hint="eastAsia" w:asciiTheme="minorEastAsia" w:hAnsiTheme="minorEastAsia" w:eastAsiaTheme="minorEastAsia" w:cstheme="minorEastAsia"/>
                <w:color w:val="auto"/>
                <w:position w:val="0"/>
                <w:sz w:val="24"/>
                <w:szCs w:val="24"/>
                <w:highlight w:val="none"/>
                <w:lang w:val="en-US" w:eastAsia="zh-CN"/>
              </w:rPr>
              <w:instrText xml:space="preserve"> AUTOTEXT  input23 \* MERGEFORMAT </w:instrText>
            </w:r>
            <w:r>
              <w:rPr>
                <w:rFonts w:hint="eastAsia" w:asciiTheme="minorEastAsia" w:hAnsiTheme="minorEastAsia" w:eastAsiaTheme="minorEastAsia" w:cstheme="minorEastAsia"/>
                <w:color w:val="auto"/>
                <w:position w:val="0"/>
                <w:sz w:val="24"/>
                <w:szCs w:val="24"/>
                <w:highlight w:val="none"/>
                <w:lang w:val="en-US" w:eastAsia="zh-CN"/>
              </w:rPr>
              <w:fldChar w:fldCharType="separate"/>
            </w:r>
            <w:r>
              <w:rPr>
                <w:rFonts w:hint="eastAsia" w:asciiTheme="minorEastAsia" w:hAnsiTheme="minorEastAsia" w:eastAsiaTheme="minorEastAsia" w:cstheme="minorEastAsia"/>
                <w:color w:val="auto"/>
                <w:position w:val="0"/>
                <w:sz w:val="24"/>
                <w:szCs w:val="24"/>
                <w:highlight w:val="none"/>
                <w:lang w:val="en-US" w:eastAsia="zh-CN"/>
              </w:rPr>
              <w:t>墨江哈尼族自治县农业农村和科学技术局</w:t>
            </w:r>
            <w:r>
              <w:rPr>
                <w:rFonts w:hint="eastAsia" w:asciiTheme="minorEastAsia" w:hAnsiTheme="minorEastAsia" w:eastAsiaTheme="minorEastAsia" w:cstheme="minorEastAsia"/>
                <w:color w:val="auto"/>
                <w:position w:val="0"/>
                <w:sz w:val="24"/>
                <w:szCs w:val="24"/>
                <w:highlight w:val="none"/>
                <w:lang w:val="en-US" w:eastAsia="zh-CN"/>
              </w:rPr>
              <w:fldChar w:fldCharType="end"/>
            </w:r>
          </w:p>
          <w:p w14:paraId="0297A04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fldChar w:fldCharType="begin"/>
            </w:r>
            <w:r>
              <w:rPr>
                <w:rFonts w:hint="eastAsia" w:asciiTheme="minorEastAsia" w:hAnsiTheme="minorEastAsia" w:eastAsiaTheme="minorEastAsia" w:cstheme="minorEastAsia"/>
                <w:color w:val="auto"/>
                <w:position w:val="0"/>
                <w:sz w:val="24"/>
                <w:szCs w:val="24"/>
                <w:highlight w:val="none"/>
                <w:lang w:val="en-US" w:eastAsia="zh-CN"/>
              </w:rPr>
              <w:instrText xml:space="preserve"> AUTOTEXT  input427 \* MERGEFORMAT </w:instrText>
            </w:r>
            <w:r>
              <w:rPr>
                <w:rFonts w:hint="eastAsia" w:asciiTheme="minorEastAsia" w:hAnsiTheme="minorEastAsia" w:eastAsiaTheme="minorEastAsia" w:cstheme="minorEastAsia"/>
                <w:color w:val="auto"/>
                <w:position w:val="0"/>
                <w:sz w:val="24"/>
                <w:szCs w:val="24"/>
                <w:highlight w:val="none"/>
                <w:lang w:val="en-US" w:eastAsia="zh-CN"/>
              </w:rPr>
              <w:fldChar w:fldCharType="separate"/>
            </w:r>
            <w:r>
              <w:rPr>
                <w:rFonts w:hint="eastAsia" w:asciiTheme="minorEastAsia" w:hAnsiTheme="minorEastAsia" w:eastAsiaTheme="minorEastAsia" w:cstheme="minorEastAsia"/>
                <w:color w:val="auto"/>
                <w:position w:val="0"/>
                <w:sz w:val="24"/>
                <w:szCs w:val="24"/>
                <w:highlight w:val="none"/>
                <w:lang w:val="en-US" w:eastAsia="zh-CN"/>
              </w:rPr>
              <w:fldChar w:fldCharType="end"/>
            </w:r>
            <w:r>
              <w:rPr>
                <w:rFonts w:hint="eastAsia" w:asciiTheme="minorEastAsia" w:hAnsiTheme="minorEastAsia" w:eastAsiaTheme="minorEastAsia" w:cstheme="minorEastAsia"/>
                <w:color w:val="auto"/>
                <w:position w:val="0"/>
                <w:sz w:val="24"/>
                <w:szCs w:val="24"/>
                <w:highlight w:val="none"/>
                <w:lang w:val="en-US" w:eastAsia="zh-CN"/>
              </w:rPr>
              <w:t>联系电话：0879-4230365</w:t>
            </w:r>
          </w:p>
        </w:tc>
      </w:tr>
      <w:tr w14:paraId="7AB7789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4286692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9.2</w:t>
            </w:r>
          </w:p>
        </w:tc>
        <w:tc>
          <w:tcPr>
            <w:tcW w:w="2061" w:type="dxa"/>
            <w:vAlign w:val="center"/>
          </w:tcPr>
          <w:p w14:paraId="7DB45C5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重新招标的情形</w:t>
            </w:r>
          </w:p>
        </w:tc>
        <w:tc>
          <w:tcPr>
            <w:tcW w:w="6965" w:type="dxa"/>
            <w:vAlign w:val="center"/>
          </w:tcPr>
          <w:p w14:paraId="2A1E2D5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（l）投标截止时间止，投标人少于3个的；</w:t>
            </w:r>
          </w:p>
          <w:p w14:paraId="151E7A7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（2）经评标委员会评审后否决所有投标的；</w:t>
            </w:r>
          </w:p>
          <w:p w14:paraId="046FC78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（3）中标候选人均未与招标人签订合同的；</w:t>
            </w:r>
          </w:p>
          <w:p w14:paraId="3AF9BFD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（4）法律规定的其他情形。</w:t>
            </w:r>
          </w:p>
        </w:tc>
      </w:tr>
      <w:tr w14:paraId="1F7FF6B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0679295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9.3</w:t>
            </w:r>
          </w:p>
        </w:tc>
        <w:tc>
          <w:tcPr>
            <w:tcW w:w="2061" w:type="dxa"/>
            <w:vAlign w:val="center"/>
          </w:tcPr>
          <w:p w14:paraId="0BA618E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不再招标</w:t>
            </w:r>
          </w:p>
        </w:tc>
        <w:tc>
          <w:tcPr>
            <w:tcW w:w="6965" w:type="dxa"/>
            <w:vAlign w:val="center"/>
          </w:tcPr>
          <w:p w14:paraId="3232B8A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重新招标后投标人仍少于3个或者所有投标被否决的，属于必须审批或核准的工程建设项目，经原审批或核准部门批准后不再进行招标。</w:t>
            </w:r>
          </w:p>
        </w:tc>
      </w:tr>
      <w:tr w14:paraId="0966AE2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69447E2B">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9.4</w:t>
            </w:r>
          </w:p>
        </w:tc>
        <w:tc>
          <w:tcPr>
            <w:tcW w:w="2061" w:type="dxa"/>
            <w:shd w:val="clear" w:color="auto" w:fill="auto"/>
            <w:vAlign w:val="center"/>
          </w:tcPr>
          <w:p w14:paraId="2BFFB9E7">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发包人的权利</w:t>
            </w:r>
          </w:p>
        </w:tc>
        <w:tc>
          <w:tcPr>
            <w:tcW w:w="6965" w:type="dxa"/>
            <w:shd w:val="clear" w:color="auto" w:fill="auto"/>
            <w:vAlign w:val="center"/>
          </w:tcPr>
          <w:p w14:paraId="3C2A4007">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发包人有权根据相关计划文件调整项目单项工程投资比例或取消</w:t>
            </w:r>
            <w:r>
              <w:rPr>
                <w:rFonts w:hint="eastAsia" w:asciiTheme="minorEastAsia" w:hAnsiTheme="minorEastAsia" w:eastAsiaTheme="minorEastAsia" w:cstheme="minorEastAsia"/>
                <w:color w:val="auto"/>
                <w:position w:val="0"/>
                <w:sz w:val="24"/>
                <w:szCs w:val="24"/>
                <w:highlight w:val="none"/>
                <w:lang w:val="en-US" w:eastAsia="zh-CN"/>
              </w:rPr>
              <w:t>任意</w:t>
            </w:r>
            <w:r>
              <w:rPr>
                <w:rFonts w:hint="eastAsia" w:asciiTheme="minorEastAsia" w:hAnsiTheme="minorEastAsia" w:eastAsiaTheme="minorEastAsia" w:cstheme="minorEastAsia"/>
                <w:color w:val="auto"/>
                <w:position w:val="0"/>
                <w:sz w:val="24"/>
                <w:szCs w:val="24"/>
                <w:highlight w:val="none"/>
              </w:rPr>
              <w:t>单项工程的建设。承包人不得因此提出任何形</w:t>
            </w:r>
            <w:r>
              <w:rPr>
                <w:rFonts w:hint="eastAsia" w:asciiTheme="minorEastAsia" w:hAnsiTheme="minorEastAsia" w:eastAsiaTheme="minorEastAsia" w:cstheme="minorEastAsia"/>
                <w:color w:val="auto"/>
                <w:position w:val="0"/>
                <w:sz w:val="24"/>
                <w:szCs w:val="24"/>
                <w:highlight w:val="none"/>
                <w:lang w:eastAsia="zh-CN"/>
              </w:rPr>
              <w:t>式的</w:t>
            </w:r>
            <w:r>
              <w:rPr>
                <w:rFonts w:hint="eastAsia" w:asciiTheme="minorEastAsia" w:hAnsiTheme="minorEastAsia" w:eastAsiaTheme="minorEastAsia" w:cstheme="minorEastAsia"/>
                <w:color w:val="auto"/>
                <w:position w:val="0"/>
                <w:sz w:val="24"/>
                <w:szCs w:val="24"/>
                <w:highlight w:val="none"/>
              </w:rPr>
              <w:t>索赔或拒不履约。</w:t>
            </w:r>
          </w:p>
        </w:tc>
      </w:tr>
      <w:tr w14:paraId="49969A9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195D183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9.5</w:t>
            </w:r>
          </w:p>
        </w:tc>
        <w:tc>
          <w:tcPr>
            <w:tcW w:w="2061" w:type="dxa"/>
            <w:vAlign w:val="center"/>
          </w:tcPr>
          <w:p w14:paraId="4AA239D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w:t>
            </w:r>
          </w:p>
        </w:tc>
        <w:tc>
          <w:tcPr>
            <w:tcW w:w="6965" w:type="dxa"/>
            <w:vAlign w:val="center"/>
          </w:tcPr>
          <w:p w14:paraId="3310A4BC">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如有串通投标行为和投诉的，按云政</w:t>
            </w:r>
            <w:r>
              <w:rPr>
                <w:rFonts w:hint="eastAsia" w:asciiTheme="minorEastAsia" w:hAnsiTheme="minorEastAsia" w:eastAsiaTheme="minorEastAsia" w:cstheme="minorEastAsia"/>
                <w:snapToGrid w:val="0"/>
                <w:color w:val="auto"/>
                <w:kern w:val="0"/>
                <w:position w:val="0"/>
                <w:sz w:val="24"/>
                <w:szCs w:val="24"/>
                <w:highlight w:val="none"/>
                <w:lang w:val="en-US" w:eastAsia="zh-CN"/>
              </w:rPr>
              <w:t>办</w:t>
            </w:r>
            <w:r>
              <w:rPr>
                <w:rFonts w:hint="eastAsia" w:asciiTheme="minorEastAsia" w:hAnsiTheme="minorEastAsia" w:eastAsiaTheme="minorEastAsia" w:cstheme="minorEastAsia"/>
                <w:snapToGrid w:val="0"/>
                <w:color w:val="auto"/>
                <w:kern w:val="0"/>
                <w:position w:val="0"/>
                <w:sz w:val="24"/>
                <w:szCs w:val="24"/>
                <w:highlight w:val="none"/>
              </w:rPr>
              <w:t>发</w:t>
            </w:r>
            <w:r>
              <w:rPr>
                <w:rFonts w:hint="eastAsia" w:asciiTheme="minorEastAsia" w:hAnsiTheme="minorEastAsia" w:eastAsiaTheme="minorEastAsia" w:cstheme="minorEastAsia"/>
                <w:snapToGrid w:val="0"/>
                <w:color w:val="auto"/>
                <w:kern w:val="0"/>
                <w:position w:val="0"/>
                <w:sz w:val="24"/>
                <w:szCs w:val="24"/>
                <w:highlight w:val="none"/>
                <w:lang w:eastAsia="zh-CN"/>
              </w:rPr>
              <w:t>〔2010〕106号</w:t>
            </w:r>
            <w:r>
              <w:rPr>
                <w:rFonts w:hint="eastAsia" w:asciiTheme="minorEastAsia" w:hAnsiTheme="minorEastAsia" w:eastAsiaTheme="minorEastAsia" w:cstheme="minorEastAsia"/>
                <w:snapToGrid w:val="0"/>
                <w:color w:val="auto"/>
                <w:kern w:val="0"/>
                <w:position w:val="0"/>
                <w:sz w:val="24"/>
                <w:szCs w:val="24"/>
                <w:highlight w:val="none"/>
              </w:rPr>
              <w:t>《云南省人民政府办公厅关于印发云南省招标活动中串通投标行为认定处理办法和云南省招标投标活动投诉处理办法的通知》处理。</w:t>
            </w:r>
          </w:p>
        </w:tc>
      </w:tr>
      <w:tr w14:paraId="253AE3D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6A5D61C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9.6</w:t>
            </w:r>
          </w:p>
        </w:tc>
        <w:tc>
          <w:tcPr>
            <w:tcW w:w="2061" w:type="dxa"/>
            <w:vAlign w:val="center"/>
          </w:tcPr>
          <w:p w14:paraId="7D779E29">
            <w:pPr>
              <w:keepNext w:val="0"/>
              <w:keepLines w:val="0"/>
              <w:pageBreakBefore w:val="0"/>
              <w:widowControl w:val="0"/>
              <w:kinsoku/>
              <w:wordWrap/>
              <w:overflowPunct/>
              <w:topLine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低于成本报价</w:t>
            </w:r>
          </w:p>
        </w:tc>
        <w:tc>
          <w:tcPr>
            <w:tcW w:w="6965" w:type="dxa"/>
            <w:vAlign w:val="center"/>
          </w:tcPr>
          <w:p w14:paraId="27FFFE2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在评标过程中，评标委员会发现投标人的报价（修正价）明显低于其他投标报价，使得其投标报价可能低于其个别成本的，应当要求该投标人作出书面说明并提供相关证明材料。投标人不能合理说明或者不能提供相关证明材料的，由评标委员会认定该投标人以低于成本报价投标，其投标应作废标处理。</w:t>
            </w:r>
          </w:p>
        </w:tc>
      </w:tr>
      <w:tr w14:paraId="195E258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BF3C04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9.7</w:t>
            </w:r>
          </w:p>
        </w:tc>
        <w:tc>
          <w:tcPr>
            <w:tcW w:w="2061" w:type="dxa"/>
            <w:vAlign w:val="center"/>
          </w:tcPr>
          <w:p w14:paraId="43F25AB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确定中标人</w:t>
            </w:r>
          </w:p>
        </w:tc>
        <w:tc>
          <w:tcPr>
            <w:tcW w:w="6965" w:type="dxa"/>
            <w:vAlign w:val="center"/>
          </w:tcPr>
          <w:p w14:paraId="327B7BC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招标人（或招标人授权的评标委员会）按照评标委员会推荐中标候选人的顺序确定中标人。</w:t>
            </w:r>
          </w:p>
          <w:p w14:paraId="26C4B6D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根据《工程建设项目施工招标投标办法》有关规定，国有资金占控股或者主导地位的依法必须进行招标的项目，招标人应当确定排名第一的中标候选人为中标人。排名第一的中标候选人放弃中标、因不可抗力提出不能履行合同、不按照招标文件的要求提交履约保证金，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招标人可以授权评标委员会直接确定中标人。国务院对中标人的确定另有规定的，从其规定。</w:t>
            </w:r>
          </w:p>
        </w:tc>
      </w:tr>
      <w:tr w14:paraId="71D9C6F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1CE116E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9.</w:t>
            </w:r>
            <w:r>
              <w:rPr>
                <w:rFonts w:hint="eastAsia" w:asciiTheme="minorEastAsia" w:hAnsiTheme="minorEastAsia" w:eastAsiaTheme="minorEastAsia" w:cstheme="minorEastAsia"/>
                <w:color w:val="auto"/>
                <w:position w:val="0"/>
                <w:sz w:val="24"/>
                <w:szCs w:val="24"/>
                <w:highlight w:val="none"/>
                <w:lang w:val="en-US" w:eastAsia="zh-CN"/>
              </w:rPr>
              <w:t>8</w:t>
            </w:r>
          </w:p>
        </w:tc>
        <w:tc>
          <w:tcPr>
            <w:tcW w:w="2061" w:type="dxa"/>
            <w:vAlign w:val="center"/>
          </w:tcPr>
          <w:p w14:paraId="494BB4A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招标文件内容冲突的解决及优先适用次序</w:t>
            </w:r>
          </w:p>
        </w:tc>
        <w:tc>
          <w:tcPr>
            <w:tcW w:w="6965" w:type="dxa"/>
            <w:vAlign w:val="center"/>
          </w:tcPr>
          <w:p w14:paraId="08F553E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招标人发出的招标文件（包括修改、澄清或补遗文件）与招投标行政监督备案的招标文件不一致的，以备案的招标文件为准，并对不一致的地方进行修改。没有备案的招标文件（包括修改、澄清或补遗文件）不作为评标的依据。</w:t>
            </w:r>
          </w:p>
          <w:p w14:paraId="59B18A96">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（2）招标文件中招标人编制的内容前后有矛盾或不一致，有时间先后顺序的，以时间在后的修改、澄清或补正文件为准；没有时间先后顺序的，以公平的原则进行处理，或参照9.</w:t>
            </w:r>
            <w:r>
              <w:rPr>
                <w:rFonts w:hint="eastAsia" w:asciiTheme="minorEastAsia" w:hAnsiTheme="minorEastAsia" w:eastAsiaTheme="minorEastAsia" w:cstheme="minorEastAsia"/>
                <w:color w:val="auto"/>
                <w:position w:val="0"/>
                <w:sz w:val="24"/>
                <w:szCs w:val="24"/>
                <w:highlight w:val="none"/>
                <w:lang w:val="en-US" w:eastAsia="zh-CN"/>
              </w:rPr>
              <w:t>9</w:t>
            </w:r>
            <w:r>
              <w:rPr>
                <w:rFonts w:hint="eastAsia" w:asciiTheme="minorEastAsia" w:hAnsiTheme="minorEastAsia" w:eastAsiaTheme="minorEastAsia" w:cstheme="minorEastAsia"/>
                <w:color w:val="auto"/>
                <w:position w:val="0"/>
                <w:sz w:val="24"/>
                <w:szCs w:val="24"/>
                <w:highlight w:val="none"/>
              </w:rPr>
              <w:t>的原则处理。</w:t>
            </w:r>
          </w:p>
        </w:tc>
      </w:tr>
      <w:tr w14:paraId="2161631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9B8268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9.</w:t>
            </w:r>
            <w:r>
              <w:rPr>
                <w:rFonts w:hint="eastAsia" w:asciiTheme="minorEastAsia" w:hAnsiTheme="minorEastAsia" w:eastAsiaTheme="minorEastAsia" w:cstheme="minorEastAsia"/>
                <w:color w:val="auto"/>
                <w:position w:val="0"/>
                <w:sz w:val="24"/>
                <w:szCs w:val="24"/>
                <w:highlight w:val="none"/>
                <w:lang w:val="en-US" w:eastAsia="zh-CN"/>
              </w:rPr>
              <w:t>9</w:t>
            </w:r>
          </w:p>
        </w:tc>
        <w:tc>
          <w:tcPr>
            <w:tcW w:w="2061" w:type="dxa"/>
            <w:vAlign w:val="center"/>
          </w:tcPr>
          <w:p w14:paraId="6225ED6F">
            <w:pPr>
              <w:keepNext w:val="0"/>
              <w:keepLines w:val="0"/>
              <w:pageBreakBefore w:val="0"/>
              <w:widowControl w:val="0"/>
              <w:kinsoku/>
              <w:wordWrap/>
              <w:overflowPunct/>
              <w:topLine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招标文件的解释</w:t>
            </w:r>
          </w:p>
        </w:tc>
        <w:tc>
          <w:tcPr>
            <w:tcW w:w="6965" w:type="dxa"/>
            <w:vAlign w:val="center"/>
          </w:tcPr>
          <w:p w14:paraId="6EDDF7DF">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人自行编写的内容由招标人（招标代理机构）解释。对招标人自行编写的内容理解有争议的，由备案的行政监督部门按照招标文件所使用的词句、招标文件的有关条款、招标的目的、习惯以及诚实信用原则，确定该条款的真实意思。</w:t>
            </w:r>
          </w:p>
        </w:tc>
      </w:tr>
      <w:tr w14:paraId="070AAAB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204EB83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9.1</w:t>
            </w:r>
            <w:r>
              <w:rPr>
                <w:rFonts w:hint="eastAsia" w:asciiTheme="minorEastAsia" w:hAnsiTheme="minorEastAsia" w:eastAsiaTheme="minorEastAsia" w:cstheme="minorEastAsia"/>
                <w:color w:val="auto"/>
                <w:position w:val="0"/>
                <w:sz w:val="24"/>
                <w:szCs w:val="24"/>
                <w:highlight w:val="none"/>
                <w:lang w:val="en-US" w:eastAsia="zh-CN"/>
              </w:rPr>
              <w:t>0</w:t>
            </w:r>
          </w:p>
        </w:tc>
        <w:tc>
          <w:tcPr>
            <w:tcW w:w="2061" w:type="dxa"/>
            <w:vAlign w:val="center"/>
          </w:tcPr>
          <w:p w14:paraId="5A8038E4">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招标代理服务费</w:t>
            </w:r>
          </w:p>
        </w:tc>
        <w:tc>
          <w:tcPr>
            <w:tcW w:w="6965" w:type="dxa"/>
            <w:vAlign w:val="center"/>
          </w:tcPr>
          <w:p w14:paraId="1B97969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代理服务费参考《云南省建设工程及政府采购代理服务收费参考意见》（云建招协[2026]11号文）规定执行。以本项目招标金额为计费基数，按差额定率累进法计算后下浮20%计取，由中标人在领取中标通知书时一次性支付给招标代理机构。</w:t>
            </w:r>
          </w:p>
          <w:p w14:paraId="56802B31">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val="en-US" w:eastAsia="zh-CN"/>
              </w:rPr>
              <w:t>注：投标人准备和参加投标活动的费用自理，不管成交结果如何，代理机构和委托方均无义务承担任何责任。请各投标人在响应时考虑相关费用进行报价。</w:t>
            </w:r>
          </w:p>
        </w:tc>
      </w:tr>
      <w:tr w14:paraId="64ED9E0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480C42B7">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val="0"/>
                <w:bCs w:val="0"/>
                <w:color w:val="auto"/>
                <w:position w:val="0"/>
                <w:sz w:val="24"/>
                <w:szCs w:val="24"/>
                <w:highlight w:val="none"/>
                <w:lang w:val="en-US" w:eastAsia="zh-CN"/>
              </w:rPr>
            </w:pPr>
            <w:r>
              <w:rPr>
                <w:rFonts w:hint="eastAsia" w:asciiTheme="minorEastAsia" w:hAnsiTheme="minorEastAsia" w:eastAsiaTheme="minorEastAsia" w:cstheme="minorEastAsia"/>
                <w:b w:val="0"/>
                <w:bCs w:val="0"/>
                <w:color w:val="auto"/>
                <w:position w:val="0"/>
                <w:sz w:val="24"/>
                <w:szCs w:val="24"/>
                <w:highlight w:val="none"/>
              </w:rPr>
              <w:t>9.1</w:t>
            </w:r>
            <w:r>
              <w:rPr>
                <w:rFonts w:hint="eastAsia" w:asciiTheme="minorEastAsia" w:hAnsiTheme="minorEastAsia" w:eastAsiaTheme="minorEastAsia" w:cstheme="minorEastAsia"/>
                <w:b w:val="0"/>
                <w:bCs w:val="0"/>
                <w:color w:val="auto"/>
                <w:position w:val="0"/>
                <w:sz w:val="24"/>
                <w:szCs w:val="24"/>
                <w:highlight w:val="none"/>
                <w:lang w:val="en-US" w:eastAsia="zh-CN"/>
              </w:rPr>
              <w:t>1</w:t>
            </w:r>
          </w:p>
        </w:tc>
        <w:tc>
          <w:tcPr>
            <w:tcW w:w="2061" w:type="dxa"/>
            <w:shd w:val="clear" w:color="auto" w:fill="auto"/>
            <w:vAlign w:val="center"/>
          </w:tcPr>
          <w:p w14:paraId="28DA5398">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val="0"/>
                <w:bCs w:val="0"/>
                <w:color w:val="auto"/>
                <w:position w:val="0"/>
                <w:sz w:val="24"/>
                <w:szCs w:val="24"/>
                <w:highlight w:val="none"/>
              </w:rPr>
            </w:pPr>
            <w:r>
              <w:rPr>
                <w:rFonts w:hint="eastAsia" w:asciiTheme="minorEastAsia" w:hAnsiTheme="minorEastAsia" w:eastAsiaTheme="minorEastAsia" w:cstheme="minorEastAsia"/>
                <w:b/>
                <w:bCs/>
                <w:color w:val="auto"/>
                <w:position w:val="0"/>
                <w:sz w:val="24"/>
                <w:szCs w:val="24"/>
                <w:highlight w:val="none"/>
              </w:rPr>
              <w:t>投资控制</w:t>
            </w:r>
          </w:p>
        </w:tc>
        <w:tc>
          <w:tcPr>
            <w:tcW w:w="6965" w:type="dxa"/>
            <w:shd w:val="clear" w:color="auto" w:fill="auto"/>
            <w:vAlign w:val="center"/>
          </w:tcPr>
          <w:p w14:paraId="2FB61300">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bCs/>
                <w:color w:val="auto"/>
                <w:position w:val="0"/>
                <w:sz w:val="24"/>
                <w:szCs w:val="24"/>
                <w:highlight w:val="none"/>
              </w:rPr>
            </w:pPr>
            <w:r>
              <w:rPr>
                <w:rFonts w:hint="eastAsia" w:asciiTheme="minorEastAsia" w:hAnsiTheme="minorEastAsia" w:eastAsiaTheme="minorEastAsia" w:cstheme="minorEastAsia"/>
                <w:b/>
                <w:bCs/>
                <w:color w:val="auto"/>
                <w:position w:val="0"/>
                <w:sz w:val="24"/>
                <w:szCs w:val="24"/>
                <w:highlight w:val="none"/>
              </w:rPr>
              <w:t>本项目的实际建筑安装工程费不得大于</w:t>
            </w:r>
            <w:r>
              <w:rPr>
                <w:rFonts w:hint="eastAsia" w:asciiTheme="minorEastAsia" w:hAnsiTheme="minorEastAsia" w:eastAsiaTheme="minorEastAsia" w:cstheme="minorEastAsia"/>
                <w:b/>
                <w:bCs/>
                <w:color w:val="auto"/>
                <w:position w:val="0"/>
                <w:sz w:val="24"/>
                <w:szCs w:val="24"/>
                <w:highlight w:val="none"/>
                <w:lang w:val="en-US" w:eastAsia="zh-CN"/>
              </w:rPr>
              <w:t>招标人委托的第三方造价机构审查确认的施工图预算，设计费不得大于中标价</w:t>
            </w:r>
            <w:r>
              <w:rPr>
                <w:rFonts w:hint="eastAsia" w:asciiTheme="minorEastAsia" w:hAnsiTheme="minorEastAsia" w:eastAsiaTheme="minorEastAsia" w:cstheme="minorEastAsia"/>
                <w:b/>
                <w:bCs/>
                <w:color w:val="auto"/>
                <w:position w:val="0"/>
                <w:sz w:val="24"/>
                <w:szCs w:val="24"/>
                <w:highlight w:val="none"/>
              </w:rPr>
              <w:t>。</w:t>
            </w:r>
          </w:p>
          <w:p w14:paraId="7773A0C9">
            <w:pPr>
              <w:keepNext w:val="0"/>
              <w:keepLines w:val="0"/>
              <w:pageBreakBefore w:val="0"/>
              <w:widowControl w:val="0"/>
              <w:tabs>
                <w:tab w:val="center" w:pos="4897"/>
                <w:tab w:val="left" w:pos="7110"/>
              </w:tabs>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b w:val="0"/>
                <w:bCs w:val="0"/>
                <w:color w:val="auto"/>
                <w:position w:val="0"/>
                <w:sz w:val="24"/>
                <w:szCs w:val="24"/>
                <w:highlight w:val="none"/>
              </w:rPr>
            </w:pPr>
            <w:r>
              <w:rPr>
                <w:rFonts w:hint="eastAsia" w:asciiTheme="minorEastAsia" w:hAnsiTheme="minorEastAsia" w:eastAsiaTheme="minorEastAsia" w:cstheme="minorEastAsia"/>
                <w:b w:val="0"/>
                <w:bCs w:val="0"/>
                <w:color w:val="auto"/>
                <w:position w:val="0"/>
                <w:sz w:val="24"/>
                <w:szCs w:val="24"/>
                <w:highlight w:val="none"/>
                <w:lang w:val="en-US" w:eastAsia="zh-CN"/>
              </w:rPr>
              <w:t>中标人在设计过程中，严格执行相关设计规范、标准，积极响应和服从招标人提出的限额设计、设计优化等要求开展设计工作，在施工过程中材料、设备的选型及材料价格确定等工作，接受招标人或招标人委托的第三方（监理、造价咨询单位）的监督与核实，严格控制项目工程造价，最终不超出经招标人审定的施工图预算。合同最终审定的工程费用结算价超过招标人的目标总价中的工程费用，若涉及业主原因调整的不可预见工程费，如：规模增加、不可抗力等不可预见因素，按照以上施工部分投标报价原则据实结算。其他非业主原因、非不可抗力的超过中标人中标总价的部分结算费用由承包人自行承担。</w:t>
            </w:r>
          </w:p>
        </w:tc>
      </w:tr>
      <w:tr w14:paraId="3B56286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71" w:type="dxa"/>
            <w:vAlign w:val="center"/>
          </w:tcPr>
          <w:p w14:paraId="36D35413">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rPr>
              <w:t>9.1</w:t>
            </w:r>
            <w:r>
              <w:rPr>
                <w:rFonts w:hint="eastAsia" w:asciiTheme="minorEastAsia" w:hAnsiTheme="minorEastAsia" w:eastAsiaTheme="minorEastAsia" w:cstheme="minorEastAsia"/>
                <w:color w:val="auto"/>
                <w:position w:val="0"/>
                <w:sz w:val="24"/>
                <w:szCs w:val="24"/>
                <w:highlight w:val="none"/>
                <w:lang w:val="en-US" w:eastAsia="zh-CN"/>
              </w:rPr>
              <w:t>2</w:t>
            </w:r>
          </w:p>
        </w:tc>
        <w:tc>
          <w:tcPr>
            <w:tcW w:w="2061" w:type="dxa"/>
            <w:shd w:val="clear" w:color="auto" w:fill="auto"/>
            <w:vAlign w:val="center"/>
          </w:tcPr>
          <w:p w14:paraId="5FFF384A">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知识产权</w:t>
            </w:r>
          </w:p>
        </w:tc>
        <w:tc>
          <w:tcPr>
            <w:tcW w:w="6965" w:type="dxa"/>
            <w:shd w:val="clear" w:color="auto" w:fill="auto"/>
            <w:vAlign w:val="center"/>
          </w:tcPr>
          <w:p w14:paraId="1ADA20D5">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构成本招标文件各组成部分的文件，未经招标人书面同意，投标人不得擅自复印和用于非本招标工程所需的其他目的。招标人全部或者部分使用未中标人投标文件中的技术成果或技术方案时，无需征得其书面同意。</w:t>
            </w:r>
          </w:p>
        </w:tc>
      </w:tr>
      <w:tr w14:paraId="711B849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18" w:hRule="atLeast"/>
          <w:jc w:val="center"/>
        </w:trPr>
        <w:tc>
          <w:tcPr>
            <w:tcW w:w="1171" w:type="dxa"/>
            <w:vAlign w:val="center"/>
          </w:tcPr>
          <w:p w14:paraId="06B83FF0">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10</w:t>
            </w:r>
          </w:p>
        </w:tc>
        <w:tc>
          <w:tcPr>
            <w:tcW w:w="2061" w:type="dxa"/>
            <w:shd w:val="clear" w:color="auto" w:fill="auto"/>
            <w:vAlign w:val="center"/>
          </w:tcPr>
          <w:p w14:paraId="1304B482">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电子招标投标</w:t>
            </w:r>
          </w:p>
        </w:tc>
        <w:tc>
          <w:tcPr>
            <w:tcW w:w="6965" w:type="dxa"/>
            <w:shd w:val="clear" w:color="auto" w:fill="auto"/>
            <w:vAlign w:val="center"/>
          </w:tcPr>
          <w:p w14:paraId="2CDE79EE">
            <w:pPr>
              <w:keepNext w:val="0"/>
              <w:keepLines w:val="0"/>
              <w:pageBreakBefore w:val="0"/>
              <w:widowControl w:val="0"/>
              <w:kinsoku/>
              <w:wordWrap/>
              <w:overflowPunct/>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是。详见“电子投标文件编制及报送要求”</w:t>
            </w:r>
          </w:p>
        </w:tc>
      </w:tr>
    </w:tbl>
    <w:p w14:paraId="7636DA92">
      <w:pPr>
        <w:pageBreakBefore w:val="0"/>
        <w:kinsoku/>
        <w:wordWrap/>
        <w:overflowPunct/>
        <w:autoSpaceDE/>
        <w:autoSpaceDN/>
        <w:bidi w:val="0"/>
        <w:spacing w:line="360" w:lineRule="auto"/>
        <w:textAlignment w:val="auto"/>
        <w:rPr>
          <w:rFonts w:hint="eastAsia" w:asciiTheme="minorEastAsia" w:hAnsiTheme="minorEastAsia" w:eastAsiaTheme="minorEastAsia" w:cstheme="minorEastAsia"/>
          <w:color w:val="auto"/>
          <w:position w:val="0"/>
          <w:sz w:val="24"/>
          <w:highlight w:val="none"/>
        </w:rPr>
      </w:pPr>
    </w:p>
    <w:bookmarkEnd w:id="75"/>
    <w:p w14:paraId="3390E647">
      <w:pPr>
        <w:pageBreakBefore w:val="0"/>
        <w:widowControl/>
        <w:kinsoku/>
        <w:wordWrap/>
        <w:overflowPunct/>
        <w:autoSpaceDE/>
        <w:autoSpaceDN/>
        <w:bidi w:val="0"/>
        <w:spacing w:line="360" w:lineRule="auto"/>
        <w:jc w:val="left"/>
        <w:textAlignment w:val="auto"/>
        <w:rPr>
          <w:rFonts w:hint="eastAsia" w:asciiTheme="minorEastAsia" w:hAnsiTheme="minorEastAsia" w:eastAsiaTheme="minorEastAsia" w:cstheme="minorEastAsia"/>
          <w:bCs/>
          <w:color w:val="auto"/>
          <w:sz w:val="28"/>
          <w:szCs w:val="28"/>
          <w:highlight w:val="none"/>
        </w:rPr>
      </w:pPr>
      <w:bookmarkStart w:id="76" w:name="_Toc485895044"/>
      <w:bookmarkStart w:id="77" w:name="_Toc370289279"/>
      <w:bookmarkStart w:id="78" w:name="_Toc445300880"/>
      <w:bookmarkStart w:id="79" w:name="_Toc419122509"/>
      <w:r>
        <w:rPr>
          <w:rFonts w:hint="eastAsia" w:asciiTheme="minorEastAsia" w:hAnsiTheme="minorEastAsia" w:eastAsiaTheme="minorEastAsia" w:cstheme="minorEastAsia"/>
          <w:b/>
          <w:color w:val="auto"/>
          <w:sz w:val="28"/>
          <w:szCs w:val="28"/>
          <w:highlight w:val="none"/>
        </w:rPr>
        <w:br w:type="page"/>
      </w:r>
    </w:p>
    <w:bookmarkEnd w:id="76"/>
    <w:bookmarkEnd w:id="77"/>
    <w:bookmarkEnd w:id="78"/>
    <w:bookmarkEnd w:id="79"/>
    <w:p w14:paraId="7B047AB3">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bCs w:val="0"/>
          <w:color w:val="auto"/>
          <w:position w:val="0"/>
          <w:sz w:val="24"/>
          <w:szCs w:val="24"/>
          <w:highlight w:val="none"/>
        </w:rPr>
      </w:pPr>
      <w:bookmarkStart w:id="80" w:name="_Toc24845"/>
      <w:bookmarkStart w:id="81" w:name="_Toc445300887"/>
      <w:bookmarkStart w:id="82" w:name="_Toc184635071"/>
      <w:bookmarkStart w:id="83" w:name="_Toc495524266"/>
      <w:bookmarkStart w:id="84" w:name="_Toc466896238"/>
      <w:bookmarkStart w:id="85" w:name="_Toc18997"/>
      <w:bookmarkStart w:id="86" w:name="_Toc237060984"/>
      <w:bookmarkStart w:id="87" w:name="_Toc266451709"/>
      <w:r>
        <w:rPr>
          <w:rFonts w:hint="eastAsia" w:asciiTheme="minorEastAsia" w:hAnsiTheme="minorEastAsia" w:eastAsiaTheme="minorEastAsia" w:cstheme="minorEastAsia"/>
          <w:b/>
          <w:bCs w:val="0"/>
          <w:color w:val="auto"/>
          <w:position w:val="0"/>
          <w:sz w:val="24"/>
          <w:szCs w:val="24"/>
          <w:highlight w:val="none"/>
          <w:lang w:eastAsia="zh-CN"/>
        </w:rPr>
        <w:t>1.</w:t>
      </w:r>
      <w:r>
        <w:rPr>
          <w:rFonts w:hint="eastAsia" w:asciiTheme="minorEastAsia" w:hAnsiTheme="minorEastAsia" w:eastAsiaTheme="minorEastAsia" w:cstheme="minorEastAsia"/>
          <w:b/>
          <w:bCs w:val="0"/>
          <w:color w:val="auto"/>
          <w:position w:val="0"/>
          <w:sz w:val="24"/>
          <w:szCs w:val="24"/>
          <w:highlight w:val="none"/>
        </w:rPr>
        <w:t>总则</w:t>
      </w:r>
      <w:bookmarkEnd w:id="80"/>
      <w:bookmarkEnd w:id="81"/>
      <w:bookmarkEnd w:id="82"/>
      <w:bookmarkEnd w:id="83"/>
      <w:bookmarkEnd w:id="84"/>
      <w:bookmarkEnd w:id="85"/>
      <w:bookmarkEnd w:id="86"/>
      <w:bookmarkEnd w:id="87"/>
    </w:p>
    <w:p w14:paraId="5A248D05">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88" w:name="_Toc266451710"/>
      <w:bookmarkStart w:id="89" w:name="_Toc349313170"/>
      <w:bookmarkStart w:id="90" w:name="_Toc18990"/>
      <w:bookmarkStart w:id="91" w:name="_Toc466896239"/>
      <w:bookmarkStart w:id="92" w:name="_Toc18468"/>
      <w:bookmarkStart w:id="93" w:name="_Toc15057"/>
      <w:bookmarkStart w:id="94" w:name="_Toc515454616"/>
      <w:bookmarkStart w:id="95" w:name="_Toc445300888"/>
      <w:bookmarkStart w:id="96" w:name="_Toc495524267"/>
      <w:bookmarkStart w:id="97" w:name="_Toc237060985"/>
      <w:bookmarkStart w:id="98" w:name="_Toc343685818"/>
      <w:r>
        <w:rPr>
          <w:rFonts w:hint="eastAsia" w:asciiTheme="minorEastAsia" w:hAnsiTheme="minorEastAsia" w:eastAsiaTheme="minorEastAsia" w:cstheme="minorEastAsia"/>
          <w:color w:val="auto"/>
          <w:kern w:val="2"/>
          <w:highlight w:val="none"/>
        </w:rPr>
        <w:t>1.1项目概况</w:t>
      </w:r>
      <w:bookmarkEnd w:id="88"/>
      <w:bookmarkEnd w:id="89"/>
      <w:bookmarkEnd w:id="90"/>
      <w:bookmarkEnd w:id="91"/>
      <w:bookmarkEnd w:id="92"/>
      <w:bookmarkEnd w:id="93"/>
      <w:bookmarkEnd w:id="94"/>
      <w:bookmarkEnd w:id="95"/>
      <w:bookmarkEnd w:id="96"/>
      <w:bookmarkEnd w:id="97"/>
      <w:bookmarkEnd w:id="98"/>
    </w:p>
    <w:p w14:paraId="4D0EC112">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1.1.1根据《中华人民共和国招标投标法</w:t>
      </w: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rPr>
        <w:t>中华人民共和国招标投标法实施条例》等有关法律、法规和规章的规定，本招标项目已具备招标条件，现对本项目进行</w:t>
      </w:r>
      <w:r>
        <w:rPr>
          <w:rFonts w:hint="eastAsia" w:asciiTheme="minorEastAsia" w:hAnsiTheme="minorEastAsia" w:eastAsiaTheme="minorEastAsia" w:cstheme="minorEastAsia"/>
          <w:color w:val="auto"/>
          <w:position w:val="0"/>
          <w:sz w:val="24"/>
          <w:szCs w:val="24"/>
          <w:highlight w:val="none"/>
          <w:lang w:eastAsia="zh-CN"/>
        </w:rPr>
        <w:t>工程总承包（EPC）</w:t>
      </w:r>
      <w:r>
        <w:rPr>
          <w:rFonts w:hint="eastAsia" w:asciiTheme="minorEastAsia" w:hAnsiTheme="minorEastAsia" w:eastAsiaTheme="minorEastAsia" w:cstheme="minorEastAsia"/>
          <w:color w:val="auto"/>
          <w:position w:val="0"/>
          <w:sz w:val="24"/>
          <w:szCs w:val="24"/>
          <w:highlight w:val="none"/>
        </w:rPr>
        <w:t>招标。</w:t>
      </w:r>
    </w:p>
    <w:p w14:paraId="41C4DC53">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1.1.2招标人：见投标人须知前附表。</w:t>
      </w:r>
    </w:p>
    <w:p w14:paraId="59E3B68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1.1.3招标代理机构：见投标人须知前附表。</w:t>
      </w:r>
    </w:p>
    <w:p w14:paraId="0475A8FD">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99" w:name="_Toc510531290"/>
      <w:bookmarkStart w:id="100" w:name="_Toc522887959"/>
      <w:r>
        <w:rPr>
          <w:rFonts w:hint="eastAsia" w:asciiTheme="minorEastAsia" w:hAnsiTheme="minorEastAsia" w:eastAsiaTheme="minorEastAsia" w:cstheme="minorEastAsia"/>
          <w:color w:val="auto"/>
          <w:position w:val="0"/>
          <w:sz w:val="24"/>
          <w:szCs w:val="24"/>
          <w:highlight w:val="none"/>
        </w:rPr>
        <w:t>1.1.4招标项目名称：见投标人须知前附表。</w:t>
      </w:r>
      <w:bookmarkEnd w:id="99"/>
      <w:bookmarkEnd w:id="100"/>
    </w:p>
    <w:p w14:paraId="78782222">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1.1.5项目建设地点：见投标人须知前附表。</w:t>
      </w:r>
    </w:p>
    <w:p w14:paraId="6355FE9D">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01" w:name="_Toc430"/>
      <w:bookmarkStart w:id="102" w:name="_Toc445300889"/>
      <w:bookmarkStart w:id="103" w:name="_Toc466896240"/>
      <w:bookmarkStart w:id="104" w:name="_Toc2953"/>
      <w:bookmarkStart w:id="105" w:name="_Toc349313171"/>
      <w:bookmarkStart w:id="106" w:name="_Toc495524268"/>
      <w:bookmarkStart w:id="107" w:name="_Toc343685819"/>
      <w:bookmarkStart w:id="108" w:name="_Toc32633"/>
      <w:bookmarkStart w:id="109" w:name="_Toc515454617"/>
      <w:bookmarkStart w:id="110" w:name="_Toc266451711"/>
      <w:r>
        <w:rPr>
          <w:rFonts w:hint="eastAsia" w:asciiTheme="minorEastAsia" w:hAnsiTheme="minorEastAsia" w:eastAsiaTheme="minorEastAsia" w:cstheme="minorEastAsia"/>
          <w:color w:val="auto"/>
          <w:kern w:val="2"/>
          <w:highlight w:val="none"/>
        </w:rPr>
        <w:t>1.2项目的资金来源和落实情况</w:t>
      </w:r>
      <w:bookmarkEnd w:id="101"/>
      <w:bookmarkEnd w:id="102"/>
      <w:bookmarkEnd w:id="103"/>
      <w:bookmarkEnd w:id="104"/>
      <w:bookmarkEnd w:id="105"/>
      <w:bookmarkEnd w:id="106"/>
      <w:bookmarkEnd w:id="107"/>
      <w:bookmarkEnd w:id="108"/>
      <w:bookmarkEnd w:id="109"/>
      <w:bookmarkEnd w:id="110"/>
    </w:p>
    <w:p w14:paraId="6BE65A2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111" w:name="_Toc515454618"/>
      <w:bookmarkStart w:id="112" w:name="_Toc349313172"/>
      <w:bookmarkStart w:id="113" w:name="_Toc466896241"/>
      <w:bookmarkStart w:id="114" w:name="_Toc495524269"/>
      <w:bookmarkStart w:id="115" w:name="_Toc343685820"/>
      <w:bookmarkStart w:id="116" w:name="_Toc445300890"/>
      <w:bookmarkStart w:id="117" w:name="_Toc266451712"/>
      <w:r>
        <w:rPr>
          <w:rFonts w:hint="eastAsia" w:asciiTheme="minorEastAsia" w:hAnsiTheme="minorEastAsia" w:eastAsiaTheme="minorEastAsia" w:cstheme="minorEastAsia"/>
          <w:color w:val="auto"/>
          <w:position w:val="0"/>
          <w:sz w:val="24"/>
          <w:szCs w:val="24"/>
          <w:highlight w:val="none"/>
        </w:rPr>
        <w:t>1.2.1资金来源：见投标人须知前附表。</w:t>
      </w:r>
    </w:p>
    <w:p w14:paraId="12C343D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1.2.2资金落实情况：见投标人须知前附表。</w:t>
      </w:r>
    </w:p>
    <w:p w14:paraId="45DA8CB9">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18" w:name="_Toc15846"/>
      <w:bookmarkStart w:id="119" w:name="_Toc20273"/>
      <w:bookmarkStart w:id="120" w:name="_Toc2037"/>
      <w:r>
        <w:rPr>
          <w:rFonts w:hint="eastAsia" w:asciiTheme="minorEastAsia" w:hAnsiTheme="minorEastAsia" w:eastAsiaTheme="minorEastAsia" w:cstheme="minorEastAsia"/>
          <w:color w:val="auto"/>
          <w:kern w:val="2"/>
          <w:highlight w:val="none"/>
        </w:rPr>
        <w:t>1.3招标范围、计划工期和质量</w:t>
      </w:r>
      <w:bookmarkEnd w:id="111"/>
      <w:bookmarkEnd w:id="112"/>
      <w:bookmarkEnd w:id="113"/>
      <w:bookmarkEnd w:id="114"/>
      <w:bookmarkEnd w:id="115"/>
      <w:bookmarkEnd w:id="116"/>
      <w:bookmarkEnd w:id="117"/>
      <w:r>
        <w:rPr>
          <w:rFonts w:hint="eastAsia" w:asciiTheme="minorEastAsia" w:hAnsiTheme="minorEastAsia" w:eastAsiaTheme="minorEastAsia" w:cstheme="minorEastAsia"/>
          <w:color w:val="auto"/>
          <w:kern w:val="2"/>
          <w:highlight w:val="none"/>
        </w:rPr>
        <w:t>标准</w:t>
      </w:r>
      <w:bookmarkEnd w:id="118"/>
      <w:bookmarkEnd w:id="119"/>
      <w:bookmarkEnd w:id="120"/>
    </w:p>
    <w:p w14:paraId="0B107EF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121" w:name="_Toc510531293"/>
      <w:bookmarkStart w:id="122" w:name="_Toc466896242"/>
      <w:bookmarkStart w:id="123" w:name="_Toc266451713"/>
      <w:bookmarkStart w:id="124" w:name="_Toc343685821"/>
      <w:bookmarkStart w:id="125" w:name="_Toc349313173"/>
      <w:bookmarkStart w:id="126" w:name="_Toc445300891"/>
      <w:bookmarkStart w:id="127" w:name="_Toc495524270"/>
      <w:bookmarkStart w:id="128" w:name="_Toc515454619"/>
      <w:r>
        <w:rPr>
          <w:rFonts w:hint="eastAsia" w:asciiTheme="minorEastAsia" w:hAnsiTheme="minorEastAsia" w:eastAsiaTheme="minorEastAsia" w:cstheme="minorEastAsia"/>
          <w:color w:val="auto"/>
          <w:position w:val="0"/>
          <w:sz w:val="24"/>
          <w:szCs w:val="24"/>
          <w:highlight w:val="none"/>
        </w:rPr>
        <w:t>1.3.1招标范围：见投标人须知前附表。</w:t>
      </w:r>
      <w:bookmarkEnd w:id="121"/>
    </w:p>
    <w:p w14:paraId="3C48580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1.3.2</w:t>
      </w:r>
      <w:r>
        <w:rPr>
          <w:rFonts w:hint="eastAsia" w:asciiTheme="minorEastAsia" w:hAnsiTheme="minorEastAsia" w:eastAsiaTheme="minorEastAsia" w:cstheme="minorEastAsia"/>
          <w:color w:val="auto"/>
          <w:position w:val="0"/>
          <w:sz w:val="24"/>
          <w:szCs w:val="24"/>
          <w:highlight w:val="none"/>
          <w:lang w:val="en-US" w:eastAsia="zh-CN"/>
        </w:rPr>
        <w:t>建设</w:t>
      </w:r>
      <w:r>
        <w:rPr>
          <w:rFonts w:hint="eastAsia" w:asciiTheme="minorEastAsia" w:hAnsiTheme="minorEastAsia" w:eastAsiaTheme="minorEastAsia" w:cstheme="minorEastAsia"/>
          <w:color w:val="auto"/>
          <w:position w:val="0"/>
          <w:sz w:val="24"/>
          <w:szCs w:val="24"/>
          <w:highlight w:val="none"/>
        </w:rPr>
        <w:t>工期：见投标人须知前附表。</w:t>
      </w:r>
    </w:p>
    <w:p w14:paraId="765E7D8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1.3.3</w:t>
      </w:r>
      <w:r>
        <w:rPr>
          <w:rFonts w:hint="eastAsia" w:asciiTheme="minorEastAsia" w:hAnsiTheme="minorEastAsia" w:eastAsiaTheme="minorEastAsia" w:cstheme="minorEastAsia"/>
          <w:color w:val="auto"/>
          <w:position w:val="0"/>
          <w:sz w:val="24"/>
          <w:szCs w:val="24"/>
          <w:highlight w:val="none"/>
          <w:lang w:eastAsia="zh-CN"/>
        </w:rPr>
        <w:t>质量标准</w:t>
      </w:r>
      <w:r>
        <w:rPr>
          <w:rFonts w:hint="eastAsia" w:asciiTheme="minorEastAsia" w:hAnsiTheme="minorEastAsia" w:eastAsiaTheme="minorEastAsia" w:cstheme="minorEastAsia"/>
          <w:color w:val="auto"/>
          <w:position w:val="0"/>
          <w:sz w:val="24"/>
          <w:szCs w:val="24"/>
          <w:highlight w:val="none"/>
        </w:rPr>
        <w:t>：见投标人须知前附表。</w:t>
      </w:r>
    </w:p>
    <w:p w14:paraId="7994C305">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29" w:name="_Toc19040"/>
      <w:bookmarkStart w:id="130" w:name="_Toc7800"/>
      <w:bookmarkStart w:id="131" w:name="_Toc21345"/>
      <w:r>
        <w:rPr>
          <w:rFonts w:hint="eastAsia" w:asciiTheme="minorEastAsia" w:hAnsiTheme="minorEastAsia" w:eastAsiaTheme="minorEastAsia" w:cstheme="minorEastAsia"/>
          <w:color w:val="auto"/>
          <w:kern w:val="2"/>
          <w:highlight w:val="none"/>
        </w:rPr>
        <w:t>1.4投标人资格要求</w:t>
      </w:r>
      <w:bookmarkEnd w:id="122"/>
      <w:bookmarkEnd w:id="123"/>
      <w:bookmarkEnd w:id="124"/>
      <w:bookmarkEnd w:id="125"/>
      <w:bookmarkEnd w:id="126"/>
      <w:bookmarkEnd w:id="127"/>
      <w:bookmarkEnd w:id="128"/>
      <w:bookmarkEnd w:id="129"/>
      <w:bookmarkEnd w:id="130"/>
      <w:bookmarkEnd w:id="131"/>
    </w:p>
    <w:p w14:paraId="3E752B48">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132" w:name="_Toc445300892"/>
      <w:bookmarkStart w:id="133" w:name="_Toc349313174"/>
      <w:bookmarkStart w:id="134" w:name="_Toc466896243"/>
      <w:bookmarkStart w:id="135" w:name="_Toc266451714"/>
      <w:bookmarkStart w:id="136" w:name="_Toc495524271"/>
      <w:bookmarkStart w:id="137" w:name="_Toc515454620"/>
      <w:bookmarkStart w:id="138" w:name="_Toc343685822"/>
      <w:r>
        <w:rPr>
          <w:rFonts w:hint="eastAsia" w:asciiTheme="minorEastAsia" w:hAnsiTheme="minorEastAsia" w:eastAsiaTheme="minorEastAsia" w:cstheme="minorEastAsia"/>
          <w:color w:val="auto"/>
          <w:position w:val="0"/>
          <w:sz w:val="24"/>
          <w:szCs w:val="24"/>
          <w:highlight w:val="none"/>
        </w:rPr>
        <w:t>1.4.1投标人应具备承担本招标项目资质条件、能力和信誉</w:t>
      </w: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lang w:val="en-US" w:eastAsia="zh-CN"/>
        </w:rPr>
        <w:t>具体详见招标公告相关要求</w:t>
      </w:r>
      <w:r>
        <w:rPr>
          <w:rFonts w:hint="eastAsia" w:asciiTheme="minorEastAsia" w:hAnsiTheme="minorEastAsia" w:eastAsiaTheme="minorEastAsia" w:cstheme="minorEastAsia"/>
          <w:color w:val="auto"/>
          <w:position w:val="0"/>
          <w:sz w:val="24"/>
          <w:szCs w:val="24"/>
          <w:highlight w:val="none"/>
        </w:rPr>
        <w:t>。</w:t>
      </w:r>
    </w:p>
    <w:p w14:paraId="7112917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1.4.2投标人须知前附表规定接受联合体投标的，除应符合本章第1.4.1项和投标人须知前附表的要求外，还应遵守以下规定：</w:t>
      </w:r>
    </w:p>
    <w:p w14:paraId="4CE4F4AD">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（1）联合体各方应按招标文件提供的格式签订联合体协议书，明确联合体牵头人和各方权利义务；</w:t>
      </w:r>
    </w:p>
    <w:p w14:paraId="6D9511F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（2）由同一专业的单位组成的联合体，按照资质等级较低的单位确定资质等级；</w:t>
      </w:r>
    </w:p>
    <w:p w14:paraId="6D6739E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（3）联合体各方不得再以自己名义单独或参加其他联合体在本招标项目中投标。</w:t>
      </w:r>
    </w:p>
    <w:p w14:paraId="6890E4C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1.4.3投标人不得存在下列情形之一：</w:t>
      </w:r>
    </w:p>
    <w:p w14:paraId="10EB6FA2">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 xml:space="preserve">（1）为招标人不具有独立法人资格的附属机构（单位）； </w:t>
      </w:r>
    </w:p>
    <w:p w14:paraId="4A096CD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（2）为招标项目前期工作提供咨询服务的；</w:t>
      </w:r>
    </w:p>
    <w:p w14:paraId="1A3E0E2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（3）为本招标项目的监理人；</w:t>
      </w:r>
    </w:p>
    <w:p w14:paraId="6707768A">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（4）为本招标项目的代建人；</w:t>
      </w:r>
    </w:p>
    <w:p w14:paraId="4E344392">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（5）为本招标项目提供招标代理服务的；</w:t>
      </w:r>
    </w:p>
    <w:p w14:paraId="6A1CD18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（6）被责令停业的；</w:t>
      </w:r>
    </w:p>
    <w:p w14:paraId="4A93785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（7）被暂停或取消投标资格的；</w:t>
      </w:r>
    </w:p>
    <w:p w14:paraId="2DA80F8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（8）财产被接管或冻结的；</w:t>
      </w:r>
    </w:p>
    <w:p w14:paraId="7571F30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（9）在最近三年内有骗取中标或严重违约或重大工程质量问题的；</w:t>
      </w:r>
    </w:p>
    <w:p w14:paraId="76012C1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（10）与本招标项目的监理人或代建人或招标代理机构同为一个法定代表人的；</w:t>
      </w:r>
    </w:p>
    <w:p w14:paraId="678FEA18">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（11）与本招标项目的监理人或代建人或招标代理机构相互控股或参股的；</w:t>
      </w:r>
    </w:p>
    <w:p w14:paraId="7AEE232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（12）与本招标项目的监理人或代建人或招标代理机构相互任职或工作的。</w:t>
      </w:r>
    </w:p>
    <w:p w14:paraId="4FF7BA00">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1.4.4单位负责人为同一人或者存在控股、管理关系的不同单位，不得同时参加本招标项目投标。</w:t>
      </w:r>
    </w:p>
    <w:p w14:paraId="68CE757F">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39" w:name="_Toc4058"/>
      <w:bookmarkStart w:id="140" w:name="_Toc30540"/>
      <w:bookmarkStart w:id="141" w:name="_Toc32474"/>
      <w:r>
        <w:rPr>
          <w:rFonts w:hint="eastAsia" w:asciiTheme="minorEastAsia" w:hAnsiTheme="minorEastAsia" w:eastAsiaTheme="minorEastAsia" w:cstheme="minorEastAsia"/>
          <w:color w:val="auto"/>
          <w:kern w:val="2"/>
          <w:highlight w:val="none"/>
        </w:rPr>
        <w:t>1.5费用承担和设计成果补偿</w:t>
      </w:r>
      <w:bookmarkEnd w:id="132"/>
      <w:bookmarkEnd w:id="133"/>
      <w:bookmarkEnd w:id="134"/>
      <w:bookmarkEnd w:id="135"/>
      <w:bookmarkEnd w:id="136"/>
      <w:bookmarkEnd w:id="137"/>
      <w:bookmarkEnd w:id="138"/>
      <w:bookmarkEnd w:id="139"/>
      <w:bookmarkEnd w:id="140"/>
      <w:bookmarkEnd w:id="141"/>
    </w:p>
    <w:p w14:paraId="64CB1FA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1.5.1投标人准备和参加投标活动发生的费用自理。</w:t>
      </w:r>
    </w:p>
    <w:p w14:paraId="5DEF2A0A">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1.5.2招标人对符合招标文件规定的未中标人的设计成果进行补偿的，按投标人须知前附表给予补偿，并有权免费使用未中标人的设计成果。</w:t>
      </w:r>
    </w:p>
    <w:p w14:paraId="44D7E915">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42" w:name="_Toc18981"/>
      <w:bookmarkStart w:id="143" w:name="_Toc349313175"/>
      <w:bookmarkStart w:id="144" w:name="_Toc445300893"/>
      <w:bookmarkStart w:id="145" w:name="_Toc466896244"/>
      <w:bookmarkStart w:id="146" w:name="_Toc24097"/>
      <w:bookmarkStart w:id="147" w:name="_Toc589"/>
      <w:bookmarkStart w:id="148" w:name="_Toc266451715"/>
      <w:bookmarkStart w:id="149" w:name="_Toc343685823"/>
      <w:bookmarkStart w:id="150" w:name="_Toc515454621"/>
      <w:bookmarkStart w:id="151" w:name="_Toc495524272"/>
      <w:r>
        <w:rPr>
          <w:rFonts w:hint="eastAsia" w:asciiTheme="minorEastAsia" w:hAnsiTheme="minorEastAsia" w:eastAsiaTheme="minorEastAsia" w:cstheme="minorEastAsia"/>
          <w:color w:val="auto"/>
          <w:kern w:val="2"/>
          <w:highlight w:val="none"/>
        </w:rPr>
        <w:t>1.6保密</w:t>
      </w:r>
      <w:bookmarkEnd w:id="142"/>
      <w:bookmarkEnd w:id="143"/>
      <w:bookmarkEnd w:id="144"/>
      <w:bookmarkEnd w:id="145"/>
      <w:bookmarkEnd w:id="146"/>
      <w:bookmarkEnd w:id="147"/>
      <w:bookmarkEnd w:id="148"/>
      <w:bookmarkEnd w:id="149"/>
      <w:bookmarkEnd w:id="150"/>
      <w:bookmarkEnd w:id="151"/>
    </w:p>
    <w:p w14:paraId="0A6FCD73">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参与招标投标活动的各方应对招标文件和投标文件中的商业和技术等秘密保密，否则应承担相应的法律责任。</w:t>
      </w:r>
    </w:p>
    <w:p w14:paraId="6F9C0EC7">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52" w:name="_Toc27372"/>
      <w:bookmarkStart w:id="153" w:name="_Toc495524273"/>
      <w:bookmarkStart w:id="154" w:name="_Toc343685824"/>
      <w:bookmarkStart w:id="155" w:name="_Toc466896245"/>
      <w:bookmarkStart w:id="156" w:name="_Toc9328"/>
      <w:bookmarkStart w:id="157" w:name="_Toc349313176"/>
      <w:bookmarkStart w:id="158" w:name="_Toc445300894"/>
      <w:bookmarkStart w:id="159" w:name="_Toc266451716"/>
      <w:bookmarkStart w:id="160" w:name="_Toc10331"/>
      <w:bookmarkStart w:id="161" w:name="_Toc515454622"/>
      <w:r>
        <w:rPr>
          <w:rFonts w:hint="eastAsia" w:asciiTheme="minorEastAsia" w:hAnsiTheme="minorEastAsia" w:eastAsiaTheme="minorEastAsia" w:cstheme="minorEastAsia"/>
          <w:color w:val="auto"/>
          <w:kern w:val="2"/>
          <w:highlight w:val="none"/>
        </w:rPr>
        <w:t>1.7语言文字</w:t>
      </w:r>
      <w:bookmarkEnd w:id="152"/>
      <w:bookmarkEnd w:id="153"/>
      <w:bookmarkEnd w:id="154"/>
      <w:bookmarkEnd w:id="155"/>
      <w:bookmarkEnd w:id="156"/>
      <w:bookmarkEnd w:id="157"/>
      <w:bookmarkEnd w:id="158"/>
      <w:bookmarkEnd w:id="159"/>
      <w:bookmarkEnd w:id="160"/>
      <w:bookmarkEnd w:id="161"/>
    </w:p>
    <w:p w14:paraId="0273B5D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招标投标文件使用的语言文字为中文。专用术语使用外文的，应附有中文注释。</w:t>
      </w:r>
    </w:p>
    <w:p w14:paraId="384B1C88">
      <w:pPr>
        <w:pStyle w:val="5"/>
        <w:pageBreakBefore w:val="0"/>
        <w:tabs>
          <w:tab w:val="center" w:pos="4691"/>
        </w:tabs>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62" w:name="_Toc515454623"/>
      <w:bookmarkStart w:id="163" w:name="_Toc5532"/>
      <w:bookmarkStart w:id="164" w:name="_Toc495524274"/>
      <w:bookmarkStart w:id="165" w:name="_Toc343685825"/>
      <w:bookmarkStart w:id="166" w:name="_Toc266451717"/>
      <w:bookmarkStart w:id="167" w:name="_Toc19268"/>
      <w:bookmarkStart w:id="168" w:name="_Toc445300895"/>
      <w:bookmarkStart w:id="169" w:name="_Toc466896246"/>
      <w:bookmarkStart w:id="170" w:name="_Toc32039"/>
      <w:bookmarkStart w:id="171" w:name="_Toc349313177"/>
      <w:r>
        <w:rPr>
          <w:rFonts w:hint="eastAsia" w:asciiTheme="minorEastAsia" w:hAnsiTheme="minorEastAsia" w:eastAsiaTheme="minorEastAsia" w:cstheme="minorEastAsia"/>
          <w:color w:val="auto"/>
          <w:kern w:val="2"/>
          <w:highlight w:val="none"/>
        </w:rPr>
        <w:t>1.8计量单位</w:t>
      </w:r>
      <w:bookmarkEnd w:id="162"/>
      <w:bookmarkEnd w:id="163"/>
      <w:bookmarkEnd w:id="164"/>
      <w:bookmarkEnd w:id="165"/>
      <w:bookmarkEnd w:id="166"/>
      <w:bookmarkEnd w:id="167"/>
      <w:bookmarkEnd w:id="168"/>
      <w:bookmarkEnd w:id="169"/>
      <w:bookmarkEnd w:id="170"/>
      <w:bookmarkEnd w:id="171"/>
      <w:r>
        <w:rPr>
          <w:rFonts w:hint="eastAsia" w:asciiTheme="minorEastAsia" w:hAnsiTheme="minorEastAsia" w:eastAsiaTheme="minorEastAsia" w:cstheme="minorEastAsia"/>
          <w:color w:val="auto"/>
          <w:kern w:val="2"/>
          <w:highlight w:val="none"/>
        </w:rPr>
        <w:tab/>
      </w:r>
    </w:p>
    <w:p w14:paraId="13E51270">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所有计量均采用中华人民共和国法定计量单位。</w:t>
      </w:r>
    </w:p>
    <w:p w14:paraId="7C558E72">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72" w:name="_Toc466896247"/>
      <w:bookmarkStart w:id="173" w:name="_Toc11369"/>
      <w:bookmarkStart w:id="174" w:name="_Toc28551"/>
      <w:bookmarkStart w:id="175" w:name="_Toc515454624"/>
      <w:bookmarkStart w:id="176" w:name="_Toc349313178"/>
      <w:bookmarkStart w:id="177" w:name="_Toc27389"/>
      <w:bookmarkStart w:id="178" w:name="_Toc495524275"/>
      <w:bookmarkStart w:id="179" w:name="_Toc445300896"/>
      <w:bookmarkStart w:id="180" w:name="_Toc343685826"/>
      <w:bookmarkStart w:id="181" w:name="_Toc266451718"/>
      <w:r>
        <w:rPr>
          <w:rFonts w:hint="eastAsia" w:asciiTheme="minorEastAsia" w:hAnsiTheme="minorEastAsia" w:eastAsiaTheme="minorEastAsia" w:cstheme="minorEastAsia"/>
          <w:color w:val="auto"/>
          <w:kern w:val="2"/>
          <w:highlight w:val="none"/>
        </w:rPr>
        <w:t>1.9踏勘现场</w:t>
      </w:r>
      <w:bookmarkEnd w:id="172"/>
      <w:bookmarkEnd w:id="173"/>
      <w:bookmarkEnd w:id="174"/>
      <w:bookmarkEnd w:id="175"/>
      <w:bookmarkEnd w:id="176"/>
      <w:bookmarkEnd w:id="177"/>
      <w:bookmarkEnd w:id="178"/>
      <w:bookmarkEnd w:id="179"/>
      <w:bookmarkEnd w:id="180"/>
      <w:bookmarkEnd w:id="181"/>
    </w:p>
    <w:p w14:paraId="45D6FCA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1.9.1招标人</w:t>
      </w:r>
      <w:r>
        <w:rPr>
          <w:rFonts w:hint="eastAsia" w:asciiTheme="minorEastAsia" w:hAnsiTheme="minorEastAsia" w:eastAsiaTheme="minorEastAsia" w:cstheme="minorEastAsia"/>
          <w:color w:val="auto"/>
          <w:position w:val="0"/>
          <w:sz w:val="24"/>
          <w:szCs w:val="24"/>
          <w:highlight w:val="none"/>
          <w:lang w:val="en-US" w:eastAsia="zh-CN"/>
        </w:rPr>
        <w:t>不组织</w:t>
      </w:r>
      <w:r>
        <w:rPr>
          <w:rFonts w:hint="eastAsia" w:asciiTheme="minorEastAsia" w:hAnsiTheme="minorEastAsia" w:eastAsiaTheme="minorEastAsia" w:cstheme="minorEastAsia"/>
          <w:color w:val="auto"/>
          <w:position w:val="0"/>
          <w:sz w:val="24"/>
          <w:szCs w:val="24"/>
          <w:highlight w:val="none"/>
        </w:rPr>
        <w:t>踏勘项目现场。</w:t>
      </w:r>
    </w:p>
    <w:p w14:paraId="1897D23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1.9.2投标人</w:t>
      </w:r>
      <w:r>
        <w:rPr>
          <w:rFonts w:hint="eastAsia" w:asciiTheme="minorEastAsia" w:hAnsiTheme="minorEastAsia" w:eastAsiaTheme="minorEastAsia" w:cstheme="minorEastAsia"/>
          <w:color w:val="auto"/>
          <w:position w:val="0"/>
          <w:sz w:val="24"/>
          <w:szCs w:val="24"/>
          <w:highlight w:val="none"/>
          <w:lang w:val="en-US" w:eastAsia="zh-CN"/>
        </w:rPr>
        <w:t>自行</w:t>
      </w:r>
      <w:r>
        <w:rPr>
          <w:rFonts w:hint="eastAsia" w:asciiTheme="minorEastAsia" w:hAnsiTheme="minorEastAsia" w:eastAsiaTheme="minorEastAsia" w:cstheme="minorEastAsia"/>
          <w:color w:val="auto"/>
          <w:position w:val="0"/>
          <w:sz w:val="24"/>
          <w:szCs w:val="24"/>
          <w:highlight w:val="none"/>
        </w:rPr>
        <w:t>踏勘现场发生的费用自理。</w:t>
      </w:r>
    </w:p>
    <w:p w14:paraId="38AC8AA7">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1.9.3投标人自行负责在踏勘现场中所发生的人员伤亡和财产损失。</w:t>
      </w:r>
    </w:p>
    <w:p w14:paraId="71BE4981">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182" w:name="_Toc266451719"/>
      <w:bookmarkStart w:id="183" w:name="_Toc23394"/>
      <w:bookmarkStart w:id="184" w:name="_Toc25059"/>
      <w:bookmarkStart w:id="185" w:name="_Toc466896248"/>
      <w:bookmarkStart w:id="186" w:name="_Toc504144516"/>
      <w:bookmarkStart w:id="187" w:name="_Toc515454625"/>
      <w:bookmarkStart w:id="188" w:name="_Toc343685827"/>
      <w:bookmarkStart w:id="189" w:name="_Toc495524276"/>
      <w:bookmarkStart w:id="190" w:name="_Toc349313179"/>
      <w:bookmarkStart w:id="191" w:name="_Toc11332"/>
      <w:bookmarkStart w:id="192" w:name="_Toc445300897"/>
      <w:r>
        <w:rPr>
          <w:rFonts w:hint="eastAsia" w:asciiTheme="minorEastAsia" w:hAnsiTheme="minorEastAsia" w:eastAsiaTheme="minorEastAsia" w:cstheme="minorEastAsia"/>
          <w:color w:val="auto"/>
          <w:kern w:val="2"/>
          <w:highlight w:val="none"/>
        </w:rPr>
        <w:t>1.10投标预备会</w:t>
      </w:r>
      <w:bookmarkEnd w:id="182"/>
      <w:bookmarkEnd w:id="183"/>
      <w:bookmarkEnd w:id="184"/>
      <w:bookmarkEnd w:id="185"/>
      <w:bookmarkEnd w:id="186"/>
      <w:bookmarkEnd w:id="187"/>
      <w:bookmarkEnd w:id="188"/>
      <w:bookmarkEnd w:id="189"/>
      <w:bookmarkEnd w:id="190"/>
      <w:bookmarkEnd w:id="191"/>
      <w:bookmarkEnd w:id="192"/>
    </w:p>
    <w:p w14:paraId="0CA1E8B0">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193" w:name="_Toc445300898"/>
      <w:bookmarkStart w:id="194" w:name="_Toc466896249"/>
      <w:bookmarkStart w:id="195" w:name="_Toc504144517"/>
      <w:bookmarkStart w:id="196" w:name="_Toc515454626"/>
      <w:bookmarkStart w:id="197" w:name="_Toc343685828"/>
      <w:bookmarkStart w:id="198" w:name="_Toc495524277"/>
      <w:bookmarkStart w:id="199" w:name="_Toc266451720"/>
      <w:bookmarkStart w:id="200" w:name="_Toc349313180"/>
      <w:r>
        <w:rPr>
          <w:rFonts w:hint="eastAsia" w:asciiTheme="minorEastAsia" w:hAnsiTheme="minorEastAsia" w:eastAsiaTheme="minorEastAsia" w:cstheme="minorEastAsia"/>
          <w:color w:val="auto"/>
          <w:position w:val="0"/>
          <w:sz w:val="24"/>
          <w:szCs w:val="24"/>
          <w:highlight w:val="none"/>
        </w:rPr>
        <w:t>本项目不召开投标预备会。</w:t>
      </w:r>
    </w:p>
    <w:p w14:paraId="1B7BD8E1">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01" w:name="_Toc14067"/>
      <w:bookmarkStart w:id="202" w:name="_Toc21286"/>
      <w:bookmarkStart w:id="203" w:name="_Toc19778"/>
      <w:r>
        <w:rPr>
          <w:rFonts w:hint="eastAsia" w:asciiTheme="minorEastAsia" w:hAnsiTheme="minorEastAsia" w:eastAsiaTheme="minorEastAsia" w:cstheme="minorEastAsia"/>
          <w:color w:val="auto"/>
          <w:kern w:val="2"/>
          <w:highlight w:val="none"/>
        </w:rPr>
        <w:t>1.11分包</w:t>
      </w:r>
      <w:bookmarkEnd w:id="193"/>
      <w:bookmarkEnd w:id="194"/>
      <w:bookmarkEnd w:id="195"/>
      <w:bookmarkEnd w:id="196"/>
      <w:bookmarkEnd w:id="197"/>
      <w:bookmarkEnd w:id="198"/>
      <w:bookmarkEnd w:id="199"/>
      <w:bookmarkEnd w:id="200"/>
      <w:bookmarkEnd w:id="201"/>
      <w:bookmarkEnd w:id="202"/>
      <w:bookmarkEnd w:id="203"/>
    </w:p>
    <w:p w14:paraId="14AA8E4D">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lang w:val="en-US" w:eastAsia="zh-CN"/>
        </w:rPr>
      </w:pPr>
      <w:bookmarkStart w:id="204" w:name="_Toc343685829"/>
      <w:bookmarkStart w:id="205" w:name="_Toc266451721"/>
      <w:bookmarkStart w:id="206" w:name="_Toc349313181"/>
      <w:bookmarkStart w:id="207" w:name="_Toc504144518"/>
      <w:bookmarkStart w:id="208" w:name="_Toc466896250"/>
      <w:bookmarkStart w:id="209" w:name="_Toc495524278"/>
      <w:bookmarkStart w:id="210" w:name="_Toc445300899"/>
      <w:r>
        <w:rPr>
          <w:rFonts w:hint="eastAsia" w:asciiTheme="minorEastAsia" w:hAnsiTheme="minorEastAsia" w:eastAsiaTheme="minorEastAsia" w:cstheme="minorEastAsia"/>
          <w:color w:val="auto"/>
          <w:position w:val="0"/>
          <w:sz w:val="24"/>
          <w:szCs w:val="24"/>
          <w:highlight w:val="none"/>
          <w:lang w:val="en-US" w:eastAsia="zh-CN"/>
        </w:rPr>
        <w:t>不得对合同约定的主体工程、关键性工作进行分包，其他专项工程满足分包条件的，可在国家法律法规允许的范围内进行分包。</w:t>
      </w:r>
    </w:p>
    <w:p w14:paraId="1BE01200">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11" w:name="_Toc515454627"/>
      <w:bookmarkStart w:id="212" w:name="_Toc30717"/>
      <w:bookmarkStart w:id="213" w:name="_Toc2994"/>
      <w:bookmarkStart w:id="214" w:name="_Toc150"/>
      <w:r>
        <w:rPr>
          <w:rFonts w:hint="eastAsia" w:asciiTheme="minorEastAsia" w:hAnsiTheme="minorEastAsia" w:eastAsiaTheme="minorEastAsia" w:cstheme="minorEastAsia"/>
          <w:color w:val="auto"/>
          <w:kern w:val="2"/>
          <w:highlight w:val="none"/>
        </w:rPr>
        <w:t>1.12</w:t>
      </w:r>
      <w:bookmarkEnd w:id="204"/>
      <w:bookmarkEnd w:id="205"/>
      <w:bookmarkEnd w:id="206"/>
      <w:bookmarkEnd w:id="207"/>
      <w:bookmarkEnd w:id="208"/>
      <w:bookmarkEnd w:id="209"/>
      <w:bookmarkEnd w:id="210"/>
      <w:bookmarkEnd w:id="211"/>
      <w:r>
        <w:rPr>
          <w:rFonts w:hint="eastAsia" w:asciiTheme="minorEastAsia" w:hAnsiTheme="minorEastAsia" w:eastAsiaTheme="minorEastAsia" w:cstheme="minorEastAsia"/>
          <w:color w:val="auto"/>
          <w:kern w:val="2"/>
          <w:highlight w:val="none"/>
        </w:rPr>
        <w:t>偏离</w:t>
      </w:r>
      <w:bookmarkEnd w:id="212"/>
      <w:bookmarkEnd w:id="213"/>
      <w:bookmarkEnd w:id="214"/>
    </w:p>
    <w:p w14:paraId="48765F72">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215" w:name="_Toc445300900"/>
      <w:bookmarkStart w:id="216" w:name="_Toc504144519"/>
      <w:bookmarkStart w:id="217" w:name="_Toc495524279"/>
      <w:bookmarkStart w:id="218" w:name="_Toc237060986"/>
      <w:bookmarkStart w:id="219" w:name="_Toc266451722"/>
      <w:bookmarkStart w:id="220" w:name="_Toc466896251"/>
      <w:bookmarkStart w:id="221" w:name="_Toc184635072"/>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投标人须知前附表允许投标文件偏离招标文件某些要求的，偏离应当符合招标文件规定的偏离范围和幅度。</w:t>
      </w:r>
    </w:p>
    <w:p w14:paraId="6F28A896">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222" w:name="_Toc22149"/>
      <w:bookmarkStart w:id="223" w:name="_Toc4066"/>
      <w:bookmarkStart w:id="224" w:name="_Toc19987"/>
      <w:r>
        <w:rPr>
          <w:rFonts w:hint="eastAsia" w:asciiTheme="minorEastAsia" w:hAnsiTheme="minorEastAsia" w:eastAsiaTheme="minorEastAsia" w:cstheme="minorEastAsia"/>
          <w:b w:val="0"/>
          <w:color w:val="auto"/>
          <w:position w:val="0"/>
          <w:sz w:val="24"/>
          <w:szCs w:val="24"/>
          <w:highlight w:val="none"/>
          <w:lang w:eastAsia="zh-CN"/>
        </w:rPr>
        <w:t>2.</w:t>
      </w:r>
      <w:r>
        <w:rPr>
          <w:rFonts w:hint="eastAsia" w:asciiTheme="minorEastAsia" w:hAnsiTheme="minorEastAsia" w:eastAsiaTheme="minorEastAsia" w:cstheme="minorEastAsia"/>
          <w:b w:val="0"/>
          <w:color w:val="auto"/>
          <w:position w:val="0"/>
          <w:sz w:val="24"/>
          <w:szCs w:val="24"/>
          <w:highlight w:val="none"/>
        </w:rPr>
        <w:t>招标文件</w:t>
      </w:r>
      <w:bookmarkEnd w:id="215"/>
      <w:bookmarkEnd w:id="216"/>
      <w:bookmarkEnd w:id="217"/>
      <w:bookmarkEnd w:id="218"/>
      <w:bookmarkEnd w:id="219"/>
      <w:bookmarkEnd w:id="220"/>
      <w:bookmarkEnd w:id="221"/>
      <w:bookmarkEnd w:id="222"/>
      <w:bookmarkEnd w:id="223"/>
      <w:bookmarkEnd w:id="224"/>
    </w:p>
    <w:p w14:paraId="6487F50C">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25" w:name="_Toc24982"/>
      <w:bookmarkStart w:id="226" w:name="_Toc504144520"/>
      <w:bookmarkStart w:id="227" w:name="_Toc8264"/>
      <w:bookmarkStart w:id="228" w:name="_Toc343685831"/>
      <w:bookmarkStart w:id="229" w:name="_Toc515454629"/>
      <w:bookmarkStart w:id="230" w:name="_Toc466896252"/>
      <w:bookmarkStart w:id="231" w:name="_Toc28405"/>
      <w:bookmarkStart w:id="232" w:name="_Toc349313183"/>
      <w:bookmarkStart w:id="233" w:name="_Toc266451723"/>
      <w:bookmarkStart w:id="234" w:name="_Toc445300901"/>
      <w:bookmarkStart w:id="235" w:name="_Toc495524280"/>
      <w:r>
        <w:rPr>
          <w:rFonts w:hint="eastAsia" w:asciiTheme="minorEastAsia" w:hAnsiTheme="minorEastAsia" w:eastAsiaTheme="minorEastAsia" w:cstheme="minorEastAsia"/>
          <w:color w:val="auto"/>
          <w:kern w:val="2"/>
          <w:highlight w:val="none"/>
        </w:rPr>
        <w:t>2.1招标文件的组成</w:t>
      </w:r>
      <w:bookmarkEnd w:id="225"/>
      <w:bookmarkEnd w:id="226"/>
      <w:bookmarkEnd w:id="227"/>
      <w:bookmarkEnd w:id="228"/>
      <w:bookmarkEnd w:id="229"/>
      <w:bookmarkEnd w:id="230"/>
      <w:bookmarkEnd w:id="231"/>
      <w:bookmarkEnd w:id="232"/>
      <w:bookmarkEnd w:id="233"/>
      <w:bookmarkEnd w:id="234"/>
      <w:bookmarkEnd w:id="235"/>
    </w:p>
    <w:p w14:paraId="42DD70DD">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本招标文件包括：</w:t>
      </w:r>
    </w:p>
    <w:p w14:paraId="0CE3A920">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（1）招标公告；</w:t>
      </w:r>
    </w:p>
    <w:p w14:paraId="476FEC6A">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（2）投标人须知；</w:t>
      </w:r>
    </w:p>
    <w:p w14:paraId="59BFC3D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（3）评标办法；</w:t>
      </w:r>
    </w:p>
    <w:p w14:paraId="5C9935CE">
      <w:pPr>
        <w:pageBreakBefore w:val="0"/>
        <w:tabs>
          <w:tab w:val="left" w:pos="7627"/>
        </w:tabs>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（4）合同条款及格式；</w:t>
      </w:r>
      <w:r>
        <w:rPr>
          <w:rFonts w:hint="eastAsia" w:asciiTheme="minorEastAsia" w:hAnsiTheme="minorEastAsia" w:eastAsiaTheme="minorEastAsia" w:cstheme="minorEastAsia"/>
          <w:color w:val="auto"/>
          <w:sz w:val="24"/>
          <w:highlight w:val="none"/>
          <w:lang w:eastAsia="zh-CN"/>
        </w:rPr>
        <w:tab/>
      </w:r>
    </w:p>
    <w:p w14:paraId="0204BBC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）发包人</w:t>
      </w:r>
      <w:r>
        <w:rPr>
          <w:rFonts w:hint="eastAsia" w:asciiTheme="minorEastAsia" w:hAnsiTheme="minorEastAsia" w:eastAsiaTheme="minorEastAsia" w:cstheme="minorEastAsia"/>
          <w:color w:val="auto"/>
          <w:sz w:val="24"/>
          <w:highlight w:val="none"/>
          <w:lang w:val="en-US" w:eastAsia="zh-CN"/>
        </w:rPr>
        <w:t>要求</w:t>
      </w:r>
      <w:r>
        <w:rPr>
          <w:rFonts w:hint="eastAsia" w:asciiTheme="minorEastAsia" w:hAnsiTheme="minorEastAsia" w:eastAsiaTheme="minorEastAsia" w:cstheme="minorEastAsia"/>
          <w:color w:val="auto"/>
          <w:sz w:val="24"/>
          <w:highlight w:val="none"/>
        </w:rPr>
        <w:t>；</w:t>
      </w:r>
    </w:p>
    <w:p w14:paraId="26783EEA">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）投标文件格式；</w:t>
      </w:r>
    </w:p>
    <w:p w14:paraId="3BC95F6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根据本章第1.10款、第2.2款和第2.3款对招标文件</w:t>
      </w:r>
      <w:r>
        <w:rPr>
          <w:rFonts w:hint="eastAsia" w:asciiTheme="minorEastAsia" w:hAnsiTheme="minorEastAsia" w:eastAsiaTheme="minorEastAsia" w:cstheme="minorEastAsia"/>
          <w:color w:val="auto"/>
          <w:position w:val="0"/>
          <w:sz w:val="24"/>
          <w:szCs w:val="24"/>
          <w:highlight w:val="none"/>
          <w:lang w:val="en-US" w:eastAsia="zh-CN"/>
        </w:rPr>
        <w:t>做出</w:t>
      </w:r>
      <w:r>
        <w:rPr>
          <w:rFonts w:hint="eastAsia" w:asciiTheme="minorEastAsia" w:hAnsiTheme="minorEastAsia" w:eastAsiaTheme="minorEastAsia" w:cstheme="minorEastAsia"/>
          <w:color w:val="auto"/>
          <w:position w:val="0"/>
          <w:sz w:val="24"/>
          <w:szCs w:val="24"/>
          <w:highlight w:val="none"/>
        </w:rPr>
        <w:t>的澄清、修改，构成招标文件的组成部分。</w:t>
      </w:r>
    </w:p>
    <w:p w14:paraId="325184CA">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36" w:name="_Toc266451724"/>
      <w:bookmarkStart w:id="237" w:name="_Toc343685832"/>
      <w:bookmarkStart w:id="238" w:name="_Toc15202"/>
      <w:bookmarkStart w:id="239" w:name="_Toc504144521"/>
      <w:bookmarkStart w:id="240" w:name="_Toc349313184"/>
      <w:bookmarkStart w:id="241" w:name="_Toc3087"/>
      <w:bookmarkStart w:id="242" w:name="_Toc445300902"/>
      <w:bookmarkStart w:id="243" w:name="_Toc466896253"/>
      <w:bookmarkStart w:id="244" w:name="_Toc515454630"/>
      <w:bookmarkStart w:id="245" w:name="_Toc30715"/>
      <w:bookmarkStart w:id="246" w:name="_Toc495524281"/>
      <w:r>
        <w:rPr>
          <w:rFonts w:hint="eastAsia" w:asciiTheme="minorEastAsia" w:hAnsiTheme="minorEastAsia" w:eastAsiaTheme="minorEastAsia" w:cstheme="minorEastAsia"/>
          <w:color w:val="auto"/>
          <w:kern w:val="2"/>
          <w:highlight w:val="none"/>
        </w:rPr>
        <w:t>2.2招标文件的澄清</w:t>
      </w:r>
      <w:bookmarkEnd w:id="236"/>
      <w:bookmarkEnd w:id="237"/>
      <w:bookmarkEnd w:id="238"/>
      <w:bookmarkEnd w:id="239"/>
      <w:bookmarkEnd w:id="240"/>
      <w:bookmarkEnd w:id="241"/>
      <w:bookmarkEnd w:id="242"/>
      <w:bookmarkEnd w:id="243"/>
      <w:bookmarkEnd w:id="244"/>
      <w:bookmarkEnd w:id="245"/>
      <w:bookmarkEnd w:id="246"/>
    </w:p>
    <w:p w14:paraId="4B8B2E8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bookmarkStart w:id="247" w:name="_Toc343685833"/>
      <w:bookmarkStart w:id="248" w:name="_Toc495524282"/>
      <w:bookmarkStart w:id="249" w:name="_Toc445300903"/>
      <w:bookmarkStart w:id="250" w:name="_Toc266451725"/>
      <w:bookmarkStart w:id="251" w:name="_Toc349313185"/>
      <w:bookmarkStart w:id="252" w:name="_Toc466896254"/>
      <w:r>
        <w:rPr>
          <w:rFonts w:hint="eastAsia" w:asciiTheme="minorEastAsia" w:hAnsiTheme="minorEastAsia" w:eastAsiaTheme="minorEastAsia" w:cstheme="minorEastAsia"/>
          <w:color w:val="auto"/>
          <w:sz w:val="24"/>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0F3B5CD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2.2.2招标文件的澄清以投标人须知前附表规定的形式发给所有购买招标文件的投标人，但不</w:t>
      </w:r>
      <w:r>
        <w:rPr>
          <w:rFonts w:hint="eastAsia" w:asciiTheme="minorEastAsia" w:hAnsiTheme="minorEastAsia" w:eastAsiaTheme="minorEastAsia" w:cstheme="minorEastAsia"/>
          <w:color w:val="auto"/>
          <w:sz w:val="24"/>
          <w:highlight w:val="none"/>
          <w:lang w:eastAsia="zh-CN"/>
        </w:rPr>
        <w:t>指明</w:t>
      </w:r>
      <w:r>
        <w:rPr>
          <w:rFonts w:hint="eastAsia" w:asciiTheme="minorEastAsia" w:hAnsiTheme="minorEastAsia" w:eastAsiaTheme="minorEastAsia" w:cstheme="minorEastAsia"/>
          <w:color w:val="auto"/>
          <w:sz w:val="24"/>
          <w:highlight w:val="none"/>
        </w:rPr>
        <w:t>澄清问题的来源。澄清发出的时间距投标人须知前附表规定的投标截止时间不足15天的，澄清内容影响投标文件编制的，将相应延长投标截止时间。</w:t>
      </w:r>
    </w:p>
    <w:p w14:paraId="242DE60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bookmarkStart w:id="253" w:name="_Toc504144522"/>
      <w:r>
        <w:rPr>
          <w:rFonts w:hint="eastAsia" w:asciiTheme="minorEastAsia" w:hAnsiTheme="minorEastAsia" w:eastAsiaTheme="minorEastAsia" w:cstheme="minorEastAsia"/>
          <w:color w:val="auto"/>
          <w:sz w:val="24"/>
          <w:highlight w:val="none"/>
        </w:rPr>
        <w:t>2.2.3投标人应注意及时登录投标人须知前附表规定网页接收招标人发出的澄清，因投标人自身原因未及时获知澄清内容而导致的任何后果将由投标人自行承担。</w:t>
      </w:r>
    </w:p>
    <w:p w14:paraId="24670C9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2.2.4除非招标人认为确有必要答复，否则，招标人有权拒绝回复投标人在本章第2.2.1项规定的时间后提出的任何澄清要求。</w:t>
      </w:r>
    </w:p>
    <w:p w14:paraId="6A7B5D5A">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54" w:name="_Toc6195"/>
      <w:bookmarkStart w:id="255" w:name="_Toc23193"/>
      <w:bookmarkStart w:id="256" w:name="_Toc515454631"/>
      <w:bookmarkStart w:id="257" w:name="_Toc22072"/>
      <w:r>
        <w:rPr>
          <w:rFonts w:hint="eastAsia" w:asciiTheme="minorEastAsia" w:hAnsiTheme="minorEastAsia" w:eastAsiaTheme="minorEastAsia" w:cstheme="minorEastAsia"/>
          <w:color w:val="auto"/>
          <w:kern w:val="2"/>
          <w:highlight w:val="none"/>
        </w:rPr>
        <w:t>2.3招标文件的修改</w:t>
      </w:r>
      <w:bookmarkEnd w:id="247"/>
      <w:bookmarkEnd w:id="248"/>
      <w:bookmarkEnd w:id="249"/>
      <w:bookmarkEnd w:id="250"/>
      <w:bookmarkEnd w:id="251"/>
      <w:bookmarkEnd w:id="252"/>
      <w:bookmarkEnd w:id="253"/>
      <w:bookmarkEnd w:id="254"/>
      <w:bookmarkEnd w:id="255"/>
      <w:bookmarkEnd w:id="256"/>
      <w:bookmarkEnd w:id="257"/>
    </w:p>
    <w:p w14:paraId="3471F61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bookmarkStart w:id="258" w:name="_Toc466896255"/>
      <w:bookmarkStart w:id="259" w:name="_Toc495524283"/>
      <w:bookmarkStart w:id="260" w:name="_Toc445300904"/>
      <w:bookmarkStart w:id="261" w:name="_Toc237060987"/>
      <w:bookmarkStart w:id="262" w:name="_Toc184635073"/>
      <w:bookmarkStart w:id="263" w:name="_Toc266451726"/>
      <w:r>
        <w:rPr>
          <w:rFonts w:hint="eastAsia" w:asciiTheme="minorEastAsia" w:hAnsiTheme="minorEastAsia" w:eastAsiaTheme="minorEastAsia" w:cstheme="minorEastAsia"/>
          <w:color w:val="auto"/>
          <w:sz w:val="24"/>
          <w:highlight w:val="none"/>
        </w:rPr>
        <w:t>2.3.1招标人以投标人须知前附表规定的形式修改招标文件。修改招标文件的时间距投标截止时间不足15天的，修改内容影响投标文件编制的，将相应延长投标截止时间。</w:t>
      </w:r>
    </w:p>
    <w:p w14:paraId="38FF42E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2.3.2投标人应注意及时登录投标人须知前附表规定网页接收招标人发出的修改，因投标人自身原因未及时获知修改内容而导致的任何后果将由投标人自行承担。</w:t>
      </w:r>
    </w:p>
    <w:p w14:paraId="2CCAE100">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264" w:name="_Toc504144523"/>
      <w:bookmarkStart w:id="265" w:name="_Toc28974"/>
      <w:bookmarkStart w:id="266" w:name="_Toc7071"/>
      <w:r>
        <w:rPr>
          <w:rFonts w:hint="eastAsia" w:asciiTheme="minorEastAsia" w:hAnsiTheme="minorEastAsia" w:eastAsiaTheme="minorEastAsia" w:cstheme="minorEastAsia"/>
          <w:b w:val="0"/>
          <w:color w:val="auto"/>
          <w:position w:val="0"/>
          <w:sz w:val="24"/>
          <w:szCs w:val="24"/>
          <w:highlight w:val="none"/>
          <w:lang w:eastAsia="zh-CN"/>
        </w:rPr>
        <w:t>3.</w:t>
      </w:r>
      <w:r>
        <w:rPr>
          <w:rFonts w:hint="eastAsia" w:asciiTheme="minorEastAsia" w:hAnsiTheme="minorEastAsia" w:eastAsiaTheme="minorEastAsia" w:cstheme="minorEastAsia"/>
          <w:b w:val="0"/>
          <w:color w:val="auto"/>
          <w:position w:val="0"/>
          <w:sz w:val="24"/>
          <w:szCs w:val="24"/>
          <w:highlight w:val="none"/>
        </w:rPr>
        <w:t>投标文件</w:t>
      </w:r>
      <w:bookmarkEnd w:id="258"/>
      <w:bookmarkEnd w:id="259"/>
      <w:bookmarkEnd w:id="260"/>
      <w:bookmarkEnd w:id="261"/>
      <w:bookmarkEnd w:id="262"/>
      <w:bookmarkEnd w:id="263"/>
      <w:bookmarkEnd w:id="264"/>
      <w:bookmarkEnd w:id="265"/>
      <w:bookmarkEnd w:id="266"/>
    </w:p>
    <w:p w14:paraId="52D1A108">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67" w:name="_Toc266451727"/>
      <w:bookmarkStart w:id="268" w:name="_Toc515454634"/>
      <w:bookmarkStart w:id="269" w:name="_Toc504144524"/>
      <w:bookmarkStart w:id="270" w:name="_Toc445300905"/>
      <w:bookmarkStart w:id="271" w:name="_Toc495524284"/>
      <w:bookmarkStart w:id="272" w:name="_Toc25780"/>
      <w:bookmarkStart w:id="273" w:name="_Toc466896256"/>
      <w:bookmarkStart w:id="274" w:name="_Toc3627"/>
      <w:bookmarkStart w:id="275" w:name="_Toc343685835"/>
      <w:bookmarkStart w:id="276" w:name="_Toc349313187"/>
      <w:bookmarkStart w:id="277" w:name="_Toc14363"/>
      <w:r>
        <w:rPr>
          <w:rFonts w:hint="eastAsia" w:asciiTheme="minorEastAsia" w:hAnsiTheme="minorEastAsia" w:eastAsiaTheme="minorEastAsia" w:cstheme="minorEastAsia"/>
          <w:color w:val="auto"/>
          <w:kern w:val="2"/>
          <w:highlight w:val="none"/>
        </w:rPr>
        <w:t>3.1投标文件的组成</w:t>
      </w:r>
      <w:bookmarkEnd w:id="267"/>
      <w:bookmarkEnd w:id="268"/>
      <w:bookmarkEnd w:id="269"/>
      <w:bookmarkEnd w:id="270"/>
      <w:bookmarkEnd w:id="271"/>
      <w:bookmarkEnd w:id="272"/>
      <w:bookmarkEnd w:id="273"/>
      <w:bookmarkEnd w:id="274"/>
      <w:bookmarkEnd w:id="275"/>
      <w:bookmarkEnd w:id="276"/>
      <w:bookmarkEnd w:id="277"/>
    </w:p>
    <w:p w14:paraId="3D29072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bookmarkStart w:id="278" w:name="_Toc495524285"/>
      <w:bookmarkStart w:id="279" w:name="_Toc504144525"/>
      <w:bookmarkStart w:id="280" w:name="_Toc349313188"/>
      <w:bookmarkStart w:id="281" w:name="_Toc515454635"/>
      <w:bookmarkStart w:id="282" w:name="_Toc266451728"/>
      <w:bookmarkStart w:id="283" w:name="_Toc343685836"/>
      <w:bookmarkStart w:id="284" w:name="_Toc445300906"/>
      <w:bookmarkStart w:id="285" w:name="_Toc466896257"/>
      <w:r>
        <w:rPr>
          <w:rFonts w:hint="eastAsia" w:asciiTheme="minorEastAsia" w:hAnsiTheme="minorEastAsia" w:eastAsiaTheme="minorEastAsia" w:cstheme="minorEastAsia"/>
          <w:color w:val="auto"/>
          <w:sz w:val="24"/>
          <w:highlight w:val="none"/>
        </w:rPr>
        <w:t>3.1.1投标文件应包括下列内容：</w:t>
      </w:r>
    </w:p>
    <w:p w14:paraId="1330DC6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（1）投标函</w:t>
      </w:r>
      <w:r>
        <w:rPr>
          <w:rFonts w:hint="eastAsia" w:asciiTheme="minorEastAsia" w:hAnsiTheme="minorEastAsia" w:eastAsiaTheme="minorEastAsia" w:cstheme="minorEastAsia"/>
          <w:color w:val="auto"/>
          <w:sz w:val="24"/>
          <w:highlight w:val="none"/>
          <w:lang w:val="en-US" w:eastAsia="zh-CN"/>
        </w:rPr>
        <w:t>格式</w:t>
      </w:r>
      <w:r>
        <w:rPr>
          <w:rFonts w:hint="eastAsia" w:asciiTheme="minorEastAsia" w:hAnsiTheme="minorEastAsia" w:eastAsiaTheme="minorEastAsia" w:cstheme="minorEastAsia"/>
          <w:color w:val="auto"/>
          <w:sz w:val="24"/>
          <w:highlight w:val="none"/>
        </w:rPr>
        <w:t>；</w:t>
      </w:r>
    </w:p>
    <w:p w14:paraId="266DC19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（2）法定代表人身份证明</w:t>
      </w:r>
      <w:r>
        <w:rPr>
          <w:rFonts w:hint="eastAsia" w:asciiTheme="minorEastAsia" w:hAnsiTheme="minorEastAsia" w:eastAsiaTheme="minorEastAsia" w:cstheme="minorEastAsia"/>
          <w:color w:val="auto"/>
          <w:sz w:val="24"/>
          <w:highlight w:val="none"/>
          <w:lang w:val="en-US" w:eastAsia="zh-CN"/>
        </w:rPr>
        <w:t>及</w:t>
      </w:r>
      <w:r>
        <w:rPr>
          <w:rFonts w:hint="eastAsia" w:asciiTheme="minorEastAsia" w:hAnsiTheme="minorEastAsia" w:eastAsiaTheme="minorEastAsia" w:cstheme="minorEastAsia"/>
          <w:color w:val="auto"/>
          <w:sz w:val="24"/>
          <w:highlight w:val="none"/>
        </w:rPr>
        <w:t>授权委托书；</w:t>
      </w:r>
    </w:p>
    <w:p w14:paraId="6938B86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（3）联合体协议书；</w:t>
      </w:r>
    </w:p>
    <w:p w14:paraId="5B01F337">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en-US" w:eastAsia="zh-CN"/>
        </w:rPr>
        <w:t>投标报价</w:t>
      </w:r>
      <w:r>
        <w:rPr>
          <w:rFonts w:hint="eastAsia" w:asciiTheme="minorEastAsia" w:hAnsiTheme="minorEastAsia" w:eastAsiaTheme="minorEastAsia" w:cstheme="minorEastAsia"/>
          <w:color w:val="auto"/>
          <w:sz w:val="24"/>
          <w:highlight w:val="none"/>
        </w:rPr>
        <w:t>；</w:t>
      </w:r>
    </w:p>
    <w:p w14:paraId="53B8E2D7">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en-US" w:eastAsia="zh-CN"/>
        </w:rPr>
        <w:t>技术部分</w:t>
      </w:r>
      <w:r>
        <w:rPr>
          <w:rFonts w:hint="eastAsia" w:asciiTheme="minorEastAsia" w:hAnsiTheme="minorEastAsia" w:eastAsiaTheme="minorEastAsia" w:cstheme="minorEastAsia"/>
          <w:color w:val="auto"/>
          <w:sz w:val="24"/>
          <w:highlight w:val="none"/>
        </w:rPr>
        <w:t>；</w:t>
      </w:r>
    </w:p>
    <w:p w14:paraId="0BFE09E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（6）资格审查资料；</w:t>
      </w:r>
    </w:p>
    <w:p w14:paraId="337BA08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w:t>
      </w:r>
      <w:r>
        <w:rPr>
          <w:rFonts w:hint="eastAsia" w:asciiTheme="minorEastAsia" w:hAnsiTheme="minorEastAsia" w:eastAsiaTheme="minorEastAsia" w:cstheme="minorEastAsia"/>
          <w:color w:val="auto"/>
          <w:sz w:val="24"/>
          <w:highlight w:val="none"/>
          <w:lang w:val="en-US" w:eastAsia="zh-CN"/>
        </w:rPr>
        <w:t>承诺函</w:t>
      </w:r>
      <w:r>
        <w:rPr>
          <w:rFonts w:hint="eastAsia" w:asciiTheme="minorEastAsia" w:hAnsiTheme="minorEastAsia" w:eastAsiaTheme="minorEastAsia" w:cstheme="minorEastAsia"/>
          <w:color w:val="auto"/>
          <w:sz w:val="24"/>
          <w:highlight w:val="none"/>
        </w:rPr>
        <w:t>；</w:t>
      </w:r>
    </w:p>
    <w:p w14:paraId="79AE909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（8）其他</w:t>
      </w:r>
      <w:r>
        <w:rPr>
          <w:rFonts w:hint="eastAsia" w:asciiTheme="minorEastAsia" w:hAnsiTheme="minorEastAsia" w:eastAsiaTheme="minorEastAsia" w:cstheme="minorEastAsia"/>
          <w:color w:val="auto"/>
          <w:sz w:val="24"/>
          <w:highlight w:val="none"/>
          <w:lang w:val="en-US" w:eastAsia="zh-CN"/>
        </w:rPr>
        <w:t>材料</w:t>
      </w:r>
      <w:r>
        <w:rPr>
          <w:rFonts w:hint="eastAsia" w:asciiTheme="minorEastAsia" w:hAnsiTheme="minorEastAsia" w:eastAsiaTheme="minorEastAsia" w:cstheme="minorEastAsia"/>
          <w:color w:val="auto"/>
          <w:sz w:val="24"/>
          <w:highlight w:val="none"/>
        </w:rPr>
        <w:t>。</w:t>
      </w:r>
    </w:p>
    <w:p w14:paraId="4FA6104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3.1.2投标人须知前附表规定不接受联合体投标的，或投标人没有组成联合体的，投标文件不包括本章第3.1.1（3）目所指的联合体协议书。</w:t>
      </w:r>
    </w:p>
    <w:p w14:paraId="5D26F0B9">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86" w:name="_Toc13679"/>
      <w:bookmarkStart w:id="287" w:name="_Toc31748"/>
      <w:bookmarkStart w:id="288" w:name="_Toc7945"/>
      <w:r>
        <w:rPr>
          <w:rFonts w:hint="eastAsia" w:asciiTheme="minorEastAsia" w:hAnsiTheme="minorEastAsia" w:eastAsiaTheme="minorEastAsia" w:cstheme="minorEastAsia"/>
          <w:color w:val="auto"/>
          <w:kern w:val="2"/>
          <w:highlight w:val="none"/>
        </w:rPr>
        <w:t>3.2投标报价</w:t>
      </w:r>
      <w:bookmarkEnd w:id="278"/>
      <w:bookmarkEnd w:id="279"/>
      <w:bookmarkEnd w:id="280"/>
      <w:bookmarkEnd w:id="281"/>
      <w:bookmarkEnd w:id="282"/>
      <w:bookmarkEnd w:id="283"/>
      <w:bookmarkEnd w:id="284"/>
      <w:bookmarkEnd w:id="285"/>
      <w:bookmarkEnd w:id="286"/>
      <w:bookmarkEnd w:id="287"/>
      <w:bookmarkEnd w:id="288"/>
    </w:p>
    <w:p w14:paraId="5D9CD872">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bookmarkStart w:id="289" w:name="_Toc349313189"/>
      <w:bookmarkStart w:id="290" w:name="_Toc445300907"/>
      <w:bookmarkStart w:id="291" w:name="_Toc495524286"/>
      <w:bookmarkStart w:id="292" w:name="_Toc343685837"/>
      <w:bookmarkStart w:id="293" w:name="_Toc466896258"/>
      <w:bookmarkStart w:id="294" w:name="_Toc504144526"/>
      <w:bookmarkStart w:id="295" w:name="_Toc266451729"/>
      <w:r>
        <w:rPr>
          <w:rFonts w:hint="eastAsia" w:asciiTheme="minorEastAsia" w:hAnsiTheme="minorEastAsia" w:eastAsiaTheme="minorEastAsia" w:cstheme="minorEastAsia"/>
          <w:color w:val="auto"/>
          <w:sz w:val="24"/>
          <w:szCs w:val="24"/>
          <w:highlight w:val="none"/>
        </w:rPr>
        <w:t>3.2.1投标人应按第</w:t>
      </w:r>
      <w:r>
        <w:rPr>
          <w:rFonts w:hint="eastAsia" w:asciiTheme="minorEastAsia" w:hAnsiTheme="minorEastAsia" w:eastAsiaTheme="minorEastAsia" w:cstheme="minorEastAsia"/>
          <w:color w:val="auto"/>
          <w:sz w:val="24"/>
          <w:szCs w:val="24"/>
          <w:highlight w:val="none"/>
          <w:lang w:val="en-US" w:eastAsia="zh-CN"/>
        </w:rPr>
        <w:t>六</w:t>
      </w:r>
      <w:r>
        <w:rPr>
          <w:rFonts w:hint="eastAsia" w:asciiTheme="minorEastAsia" w:hAnsiTheme="minorEastAsia" w:eastAsiaTheme="minorEastAsia" w:cstheme="minorEastAsia"/>
          <w:color w:val="auto"/>
          <w:sz w:val="24"/>
          <w:szCs w:val="24"/>
          <w:highlight w:val="none"/>
        </w:rPr>
        <w:t>章“投标文件格式”的要求填写投标报价。</w:t>
      </w:r>
    </w:p>
    <w:p w14:paraId="48DB8BD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3.2.2投标人应充分了解施工场地的位置、周边环境、道路、装卸、保管、安装限制以及影响投标报价的其他要素。投标人根据自身情况，结合市场情况进行投标报价。</w:t>
      </w:r>
    </w:p>
    <w:p w14:paraId="41A93DF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3.2.3投标人在投标截止时间前修改投标函中的投标报价的，须符合本章第4.3款的有关要求。</w:t>
      </w:r>
    </w:p>
    <w:p w14:paraId="3985656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3.2.4招标人设有最高投标限价的，投标人的投标报价不得超过最高投标限价，最高投标限价在投标人须知前附表中载明。</w:t>
      </w:r>
    </w:p>
    <w:p w14:paraId="4A01094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3.2.5投标报价的其他要求见投标人须知前附表。</w:t>
      </w:r>
    </w:p>
    <w:p w14:paraId="5DBE6393">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296" w:name="_Toc24730"/>
      <w:bookmarkStart w:id="297" w:name="_Toc12494"/>
      <w:bookmarkStart w:id="298" w:name="_Toc515454636"/>
      <w:bookmarkStart w:id="299" w:name="_Toc22683"/>
      <w:r>
        <w:rPr>
          <w:rFonts w:hint="eastAsia" w:asciiTheme="minorEastAsia" w:hAnsiTheme="minorEastAsia" w:eastAsiaTheme="minorEastAsia" w:cstheme="minorEastAsia"/>
          <w:color w:val="auto"/>
          <w:kern w:val="2"/>
          <w:highlight w:val="none"/>
        </w:rPr>
        <w:t>3.3投标有效期</w:t>
      </w:r>
      <w:bookmarkEnd w:id="289"/>
      <w:bookmarkEnd w:id="290"/>
      <w:bookmarkEnd w:id="291"/>
      <w:bookmarkEnd w:id="292"/>
      <w:bookmarkEnd w:id="293"/>
      <w:bookmarkEnd w:id="294"/>
      <w:bookmarkEnd w:id="295"/>
      <w:bookmarkEnd w:id="296"/>
      <w:bookmarkEnd w:id="297"/>
      <w:bookmarkEnd w:id="298"/>
      <w:bookmarkEnd w:id="299"/>
    </w:p>
    <w:p w14:paraId="14513E0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3.3.1除投标人须知前附表另有规定外，投标有效期为</w:t>
      </w:r>
      <w:r>
        <w:rPr>
          <w:rFonts w:hint="eastAsia" w:asciiTheme="minorEastAsia" w:hAnsiTheme="minorEastAsia" w:eastAsiaTheme="minorEastAsia" w:cstheme="minorEastAsia"/>
          <w:color w:val="auto"/>
          <w:position w:val="0"/>
          <w:sz w:val="24"/>
          <w:szCs w:val="24"/>
          <w:highlight w:val="none"/>
          <w:lang w:val="en-US" w:eastAsia="zh-CN"/>
        </w:rPr>
        <w:t>90日历天</w:t>
      </w:r>
      <w:r>
        <w:rPr>
          <w:rFonts w:hint="eastAsia" w:asciiTheme="minorEastAsia" w:hAnsiTheme="minorEastAsia" w:eastAsiaTheme="minorEastAsia" w:cstheme="minorEastAsia"/>
          <w:color w:val="auto"/>
          <w:position w:val="0"/>
          <w:sz w:val="24"/>
          <w:szCs w:val="24"/>
          <w:highlight w:val="none"/>
        </w:rPr>
        <w:t>。</w:t>
      </w:r>
    </w:p>
    <w:p w14:paraId="5739E39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3.3.2在投标有效期内，投标人撤销投标文件的，应承担招标文件和法律规定的责任。</w:t>
      </w:r>
    </w:p>
    <w:p w14:paraId="3AFF524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6568089E">
      <w:pPr>
        <w:pStyle w:val="5"/>
        <w:pageBreakBefore w:val="0"/>
        <w:kinsoku/>
        <w:wordWrap/>
        <w:overflowPunct/>
        <w:bidi w:val="0"/>
        <w:spacing w:before="25" w:after="25" w:line="360" w:lineRule="auto"/>
        <w:ind w:firstLine="200"/>
        <w:rPr>
          <w:rFonts w:hint="default" w:asciiTheme="minorEastAsia" w:hAnsiTheme="minorEastAsia" w:eastAsiaTheme="minorEastAsia" w:cstheme="minorEastAsia"/>
          <w:color w:val="auto"/>
          <w:position w:val="0"/>
          <w:sz w:val="24"/>
          <w:szCs w:val="24"/>
          <w:highlight w:val="none"/>
          <w:lang w:val="en-US" w:eastAsia="zh-CN"/>
        </w:rPr>
      </w:pPr>
      <w:bookmarkStart w:id="300" w:name="_Toc24977"/>
      <w:bookmarkStart w:id="301" w:name="_Toc495524287"/>
      <w:bookmarkStart w:id="302" w:name="_Toc445300908"/>
      <w:bookmarkStart w:id="303" w:name="_Toc5484"/>
      <w:bookmarkStart w:id="304" w:name="_Toc31831"/>
      <w:bookmarkStart w:id="305" w:name="_Toc349313190"/>
      <w:bookmarkStart w:id="306" w:name="_Toc504144527"/>
      <w:bookmarkStart w:id="307" w:name="_Toc266451730"/>
      <w:bookmarkStart w:id="308" w:name="_Toc466896259"/>
      <w:bookmarkStart w:id="309" w:name="_Toc515454637"/>
      <w:bookmarkStart w:id="310" w:name="_Toc343685838"/>
      <w:r>
        <w:rPr>
          <w:rFonts w:hint="eastAsia" w:asciiTheme="minorEastAsia" w:hAnsiTheme="minorEastAsia" w:eastAsiaTheme="minorEastAsia" w:cstheme="minorEastAsia"/>
          <w:color w:val="auto"/>
          <w:kern w:val="2"/>
          <w:highlight w:val="none"/>
        </w:rPr>
        <w:t>3.4投标保证金</w:t>
      </w:r>
      <w:bookmarkEnd w:id="300"/>
      <w:bookmarkEnd w:id="301"/>
      <w:bookmarkEnd w:id="302"/>
      <w:bookmarkEnd w:id="303"/>
      <w:bookmarkEnd w:id="304"/>
      <w:bookmarkEnd w:id="305"/>
      <w:bookmarkEnd w:id="306"/>
      <w:bookmarkEnd w:id="307"/>
      <w:bookmarkEnd w:id="308"/>
      <w:bookmarkEnd w:id="309"/>
      <w:bookmarkEnd w:id="310"/>
      <w:r>
        <w:rPr>
          <w:rFonts w:hint="eastAsia" w:asciiTheme="minorEastAsia" w:hAnsiTheme="minorEastAsia" w:eastAsiaTheme="minorEastAsia" w:cstheme="minorEastAsia"/>
          <w:color w:val="auto"/>
          <w:kern w:val="2"/>
          <w:highlight w:val="none"/>
          <w:lang w:eastAsia="zh-CN"/>
        </w:rPr>
        <w:t>：</w:t>
      </w:r>
      <w:bookmarkStart w:id="311" w:name="_Toc466896260"/>
      <w:bookmarkStart w:id="312" w:name="_Toc4352"/>
      <w:bookmarkStart w:id="313" w:name="_Toc349313191"/>
      <w:bookmarkStart w:id="314" w:name="_Toc504144528"/>
      <w:bookmarkStart w:id="315" w:name="_Toc343685839"/>
      <w:bookmarkStart w:id="316" w:name="_Toc30890"/>
      <w:bookmarkStart w:id="317" w:name="_Toc266451731"/>
      <w:bookmarkStart w:id="318" w:name="_Toc515454638"/>
      <w:bookmarkStart w:id="319" w:name="_Toc12247"/>
      <w:bookmarkStart w:id="320" w:name="_Toc445300909"/>
      <w:bookmarkStart w:id="321" w:name="_Toc495524288"/>
      <w:r>
        <w:rPr>
          <w:rFonts w:hint="eastAsia" w:asciiTheme="minorEastAsia" w:hAnsiTheme="minorEastAsia" w:eastAsiaTheme="minorEastAsia" w:cstheme="minorEastAsia"/>
          <w:color w:val="auto"/>
          <w:kern w:val="2"/>
          <w:highlight w:val="none"/>
          <w:lang w:val="en-US" w:eastAsia="zh-CN"/>
        </w:rPr>
        <w:t>具体</w:t>
      </w:r>
      <w:r>
        <w:rPr>
          <w:rFonts w:hint="eastAsia" w:asciiTheme="minorEastAsia" w:hAnsiTheme="minorEastAsia" w:eastAsiaTheme="minorEastAsia" w:cstheme="minorEastAsia"/>
          <w:color w:val="auto"/>
          <w:position w:val="0"/>
          <w:sz w:val="24"/>
          <w:szCs w:val="24"/>
          <w:highlight w:val="none"/>
          <w:lang w:val="en-US" w:eastAsia="zh-CN"/>
        </w:rPr>
        <w:t>详见招标公告。</w:t>
      </w:r>
    </w:p>
    <w:p w14:paraId="38CE5377">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3.5资格审查资料</w:t>
      </w:r>
      <w:bookmarkEnd w:id="311"/>
      <w:bookmarkEnd w:id="312"/>
      <w:bookmarkEnd w:id="313"/>
      <w:bookmarkEnd w:id="314"/>
      <w:bookmarkEnd w:id="315"/>
      <w:bookmarkEnd w:id="316"/>
      <w:bookmarkEnd w:id="317"/>
      <w:bookmarkEnd w:id="318"/>
      <w:bookmarkEnd w:id="319"/>
      <w:bookmarkEnd w:id="320"/>
      <w:bookmarkEnd w:id="321"/>
    </w:p>
    <w:p w14:paraId="7C9777A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322" w:name="_Toc349313192"/>
      <w:bookmarkStart w:id="323" w:name="_Toc504144529"/>
      <w:bookmarkStart w:id="324" w:name="_Toc466896261"/>
      <w:bookmarkStart w:id="325" w:name="_Toc343685840"/>
      <w:bookmarkStart w:id="326" w:name="_Toc515454639"/>
      <w:bookmarkStart w:id="327" w:name="_Toc495524289"/>
      <w:bookmarkStart w:id="328" w:name="_Toc445300910"/>
      <w:bookmarkStart w:id="329" w:name="_Toc266451732"/>
      <w:r>
        <w:rPr>
          <w:rFonts w:hint="eastAsia" w:asciiTheme="minorEastAsia" w:hAnsiTheme="minorEastAsia" w:eastAsiaTheme="minorEastAsia" w:cstheme="minorEastAsia"/>
          <w:color w:val="auto"/>
          <w:position w:val="0"/>
          <w:sz w:val="24"/>
          <w:szCs w:val="24"/>
          <w:highlight w:val="none"/>
        </w:rPr>
        <w:t>3.5.1“投标人基本情况表”应附投标人营业执照、资质证书</w:t>
      </w: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lang w:val="en-US" w:eastAsia="zh-CN"/>
        </w:rPr>
        <w:t>安全生产许可证</w:t>
      </w:r>
      <w:r>
        <w:rPr>
          <w:rFonts w:hint="eastAsia" w:asciiTheme="minorEastAsia" w:hAnsiTheme="minorEastAsia" w:eastAsiaTheme="minorEastAsia" w:cstheme="minorEastAsia"/>
          <w:color w:val="auto"/>
          <w:position w:val="0"/>
          <w:sz w:val="24"/>
          <w:szCs w:val="24"/>
          <w:highlight w:val="none"/>
        </w:rPr>
        <w:t>等材料的</w:t>
      </w:r>
      <w:r>
        <w:rPr>
          <w:rFonts w:hint="eastAsia" w:asciiTheme="minorEastAsia" w:hAnsiTheme="minorEastAsia" w:eastAsiaTheme="minorEastAsia" w:cstheme="minorEastAsia"/>
          <w:color w:val="auto"/>
          <w:position w:val="0"/>
          <w:sz w:val="24"/>
          <w:szCs w:val="24"/>
          <w:highlight w:val="none"/>
          <w:lang w:val="en-US" w:eastAsia="zh-CN"/>
        </w:rPr>
        <w:t>原件扫描件</w:t>
      </w:r>
      <w:r>
        <w:rPr>
          <w:rFonts w:hint="eastAsia" w:asciiTheme="minorEastAsia" w:hAnsiTheme="minorEastAsia" w:eastAsiaTheme="minorEastAsia" w:cstheme="minorEastAsia"/>
          <w:color w:val="auto"/>
          <w:position w:val="0"/>
          <w:sz w:val="24"/>
          <w:szCs w:val="24"/>
          <w:highlight w:val="none"/>
        </w:rPr>
        <w:t>。</w:t>
      </w:r>
      <w:r>
        <w:rPr>
          <w:rFonts w:hint="eastAsia" w:asciiTheme="minorEastAsia" w:hAnsiTheme="minorEastAsia" w:eastAsiaTheme="minorEastAsia" w:cstheme="minorEastAsia"/>
          <w:color w:val="auto"/>
          <w:position w:val="0"/>
          <w:sz w:val="24"/>
          <w:szCs w:val="24"/>
          <w:highlight w:val="none"/>
          <w:lang w:val="en-US" w:eastAsia="zh-CN"/>
        </w:rPr>
        <w:t>（</w:t>
      </w:r>
      <w:r>
        <w:rPr>
          <w:rFonts w:hint="eastAsia" w:asciiTheme="minorEastAsia" w:hAnsiTheme="minorEastAsia" w:eastAsiaTheme="minorEastAsia" w:cstheme="minorEastAsia"/>
          <w:color w:val="auto"/>
          <w:position w:val="0"/>
          <w:sz w:val="24"/>
          <w:szCs w:val="24"/>
          <w:highlight w:val="none"/>
        </w:rPr>
        <w:t>联合体投标的，联合体各方均须提供</w:t>
      </w:r>
      <w:r>
        <w:rPr>
          <w:rFonts w:hint="eastAsia" w:asciiTheme="minorEastAsia" w:hAnsiTheme="minorEastAsia" w:eastAsiaTheme="minorEastAsia" w:cstheme="minorEastAsia"/>
          <w:color w:val="auto"/>
          <w:position w:val="0"/>
          <w:sz w:val="24"/>
          <w:szCs w:val="24"/>
          <w:highlight w:val="none"/>
          <w:lang w:val="en-US" w:eastAsia="zh-CN"/>
        </w:rPr>
        <w:t>）</w:t>
      </w:r>
    </w:p>
    <w:p w14:paraId="75568213">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3.5.2“近年财务状况表”</w:t>
      </w: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lang w:val="en-US" w:eastAsia="zh-CN"/>
        </w:rPr>
        <w:t>经审计的</w:t>
      </w:r>
      <w:r>
        <w:rPr>
          <w:rFonts w:hint="eastAsia" w:asciiTheme="minorEastAsia" w:hAnsiTheme="minorEastAsia" w:eastAsiaTheme="minorEastAsia" w:cstheme="minorEastAsia"/>
          <w:color w:val="auto"/>
          <w:position w:val="0"/>
          <w:sz w:val="24"/>
          <w:szCs w:val="24"/>
          <w:highlight w:val="none"/>
        </w:rPr>
        <w:t>应附</w:t>
      </w:r>
      <w:r>
        <w:rPr>
          <w:rFonts w:hint="eastAsia" w:asciiTheme="minorEastAsia" w:hAnsiTheme="minorEastAsia" w:eastAsiaTheme="minorEastAsia" w:cstheme="minorEastAsia"/>
          <w:color w:val="auto"/>
          <w:position w:val="0"/>
          <w:sz w:val="24"/>
          <w:szCs w:val="24"/>
          <w:highlight w:val="none"/>
          <w:lang w:val="en-US" w:eastAsia="zh-CN"/>
        </w:rPr>
        <w:t>会计师事务所审计的年度财务审计报告</w:t>
      </w:r>
      <w:r>
        <w:rPr>
          <w:rFonts w:hint="eastAsia" w:asciiTheme="minorEastAsia" w:hAnsiTheme="minorEastAsia" w:eastAsiaTheme="minorEastAsia" w:cstheme="minorEastAsia"/>
          <w:color w:val="auto"/>
          <w:position w:val="0"/>
          <w:sz w:val="24"/>
          <w:szCs w:val="24"/>
          <w:highlight w:val="none"/>
        </w:rPr>
        <w:t>，</w:t>
      </w:r>
      <w:r>
        <w:rPr>
          <w:rFonts w:hint="eastAsia" w:asciiTheme="minorEastAsia" w:hAnsiTheme="minorEastAsia" w:eastAsiaTheme="minorEastAsia" w:cstheme="minorEastAsia"/>
          <w:color w:val="auto"/>
          <w:position w:val="0"/>
          <w:sz w:val="24"/>
          <w:szCs w:val="24"/>
          <w:highlight w:val="none"/>
          <w:lang w:val="en-US" w:eastAsia="zh-CN"/>
        </w:rPr>
        <w:t>未审计的应附财务报表等资料原件扫描件</w:t>
      </w:r>
      <w:r>
        <w:rPr>
          <w:rFonts w:hint="eastAsia" w:asciiTheme="minorEastAsia" w:hAnsiTheme="minorEastAsia" w:eastAsiaTheme="minorEastAsia" w:cstheme="minorEastAsia"/>
          <w:color w:val="auto"/>
          <w:position w:val="0"/>
          <w:sz w:val="24"/>
          <w:szCs w:val="24"/>
          <w:highlight w:val="none"/>
        </w:rPr>
        <w:t>，</w:t>
      </w:r>
      <w:r>
        <w:rPr>
          <w:rFonts w:hint="eastAsia" w:asciiTheme="minorEastAsia" w:hAnsiTheme="minorEastAsia" w:eastAsiaTheme="minorEastAsia" w:cstheme="minorEastAsia"/>
          <w:color w:val="auto"/>
          <w:position w:val="0"/>
          <w:sz w:val="24"/>
          <w:szCs w:val="24"/>
          <w:highlight w:val="none"/>
          <w:lang w:val="en-US" w:eastAsia="zh-CN"/>
        </w:rPr>
        <w:t>具体要求见投标人须知前附表第1.4.1条</w:t>
      </w:r>
      <w:r>
        <w:rPr>
          <w:rFonts w:hint="eastAsia" w:asciiTheme="minorEastAsia" w:hAnsiTheme="minorEastAsia" w:eastAsiaTheme="minorEastAsia" w:cstheme="minorEastAsia"/>
          <w:color w:val="auto"/>
          <w:position w:val="0"/>
          <w:sz w:val="24"/>
          <w:szCs w:val="24"/>
          <w:highlight w:val="none"/>
        </w:rPr>
        <w:t>。</w:t>
      </w:r>
      <w:r>
        <w:rPr>
          <w:rFonts w:hint="eastAsia" w:asciiTheme="minorEastAsia" w:hAnsiTheme="minorEastAsia" w:eastAsiaTheme="minorEastAsia" w:cstheme="minorEastAsia"/>
          <w:color w:val="auto"/>
          <w:position w:val="0"/>
          <w:sz w:val="24"/>
          <w:szCs w:val="24"/>
          <w:highlight w:val="none"/>
          <w:lang w:val="en-US" w:eastAsia="zh-CN"/>
        </w:rPr>
        <w:t>（</w:t>
      </w:r>
      <w:r>
        <w:rPr>
          <w:rFonts w:hint="eastAsia" w:asciiTheme="minorEastAsia" w:hAnsiTheme="minorEastAsia" w:eastAsiaTheme="minorEastAsia" w:cstheme="minorEastAsia"/>
          <w:color w:val="auto"/>
          <w:position w:val="0"/>
          <w:sz w:val="24"/>
          <w:szCs w:val="24"/>
          <w:highlight w:val="none"/>
          <w:lang w:eastAsia="zh-CN"/>
        </w:rPr>
        <w:t>联合体投标</w:t>
      </w:r>
      <w:r>
        <w:rPr>
          <w:rFonts w:hint="eastAsia" w:asciiTheme="minorEastAsia" w:hAnsiTheme="minorEastAsia" w:eastAsiaTheme="minorEastAsia" w:cstheme="minorEastAsia"/>
          <w:color w:val="auto"/>
          <w:position w:val="0"/>
          <w:sz w:val="24"/>
          <w:szCs w:val="24"/>
          <w:highlight w:val="none"/>
          <w:lang w:val="en-US" w:eastAsia="zh-CN"/>
        </w:rPr>
        <w:t>的</w:t>
      </w:r>
      <w:r>
        <w:rPr>
          <w:rFonts w:hint="eastAsia" w:asciiTheme="minorEastAsia" w:hAnsiTheme="minorEastAsia" w:eastAsiaTheme="minorEastAsia" w:cstheme="minorEastAsia"/>
          <w:color w:val="auto"/>
          <w:position w:val="0"/>
          <w:sz w:val="24"/>
          <w:szCs w:val="24"/>
          <w:highlight w:val="none"/>
          <w:lang w:eastAsia="zh-CN"/>
        </w:rPr>
        <w:t>，由联合体牵头人提供）</w:t>
      </w:r>
    </w:p>
    <w:p w14:paraId="34223D2B">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330" w:name="_Toc1993"/>
      <w:bookmarkStart w:id="331" w:name="_Toc3474"/>
      <w:bookmarkStart w:id="332" w:name="_Toc16345"/>
      <w:r>
        <w:rPr>
          <w:rFonts w:hint="eastAsia" w:asciiTheme="minorEastAsia" w:hAnsiTheme="minorEastAsia" w:eastAsiaTheme="minorEastAsia" w:cstheme="minorEastAsia"/>
          <w:color w:val="auto"/>
          <w:kern w:val="2"/>
          <w:highlight w:val="none"/>
        </w:rPr>
        <w:t>3.6备选投标方案</w:t>
      </w:r>
      <w:bookmarkEnd w:id="322"/>
      <w:bookmarkEnd w:id="323"/>
      <w:bookmarkEnd w:id="324"/>
      <w:bookmarkEnd w:id="325"/>
      <w:bookmarkEnd w:id="326"/>
      <w:bookmarkEnd w:id="327"/>
      <w:bookmarkEnd w:id="328"/>
      <w:bookmarkEnd w:id="329"/>
      <w:bookmarkEnd w:id="330"/>
      <w:bookmarkEnd w:id="331"/>
      <w:bookmarkEnd w:id="332"/>
    </w:p>
    <w:p w14:paraId="58E68C45">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333" w:name="_Toc495524290"/>
      <w:bookmarkStart w:id="334" w:name="_Toc466896262"/>
      <w:bookmarkStart w:id="335" w:name="_Toc349313193"/>
      <w:bookmarkStart w:id="336" w:name="_Toc445300911"/>
      <w:bookmarkStart w:id="337" w:name="_Toc504144530"/>
      <w:bookmarkStart w:id="338" w:name="_Toc515454640"/>
      <w:bookmarkStart w:id="339" w:name="_Toc343685841"/>
      <w:bookmarkStart w:id="340" w:name="_Toc266451733"/>
      <w:r>
        <w:rPr>
          <w:rFonts w:hint="eastAsia" w:asciiTheme="minorEastAsia" w:hAnsiTheme="minorEastAsia" w:eastAsiaTheme="minorEastAsia" w:cstheme="minorEastAsia"/>
          <w:color w:val="auto"/>
          <w:position w:val="0"/>
          <w:sz w:val="24"/>
          <w:szCs w:val="24"/>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42D9A10D">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341" w:name="_Toc19027"/>
      <w:bookmarkStart w:id="342" w:name="_Toc12257"/>
      <w:bookmarkStart w:id="343" w:name="_Toc16256"/>
      <w:r>
        <w:rPr>
          <w:rFonts w:hint="eastAsia" w:asciiTheme="minorEastAsia" w:hAnsiTheme="minorEastAsia" w:eastAsiaTheme="minorEastAsia" w:cstheme="minorEastAsia"/>
          <w:color w:val="auto"/>
          <w:kern w:val="2"/>
          <w:highlight w:val="none"/>
        </w:rPr>
        <w:t>3.7投标文件的编制</w:t>
      </w:r>
      <w:bookmarkEnd w:id="333"/>
      <w:bookmarkEnd w:id="334"/>
      <w:bookmarkEnd w:id="335"/>
      <w:bookmarkEnd w:id="336"/>
      <w:bookmarkEnd w:id="337"/>
      <w:bookmarkEnd w:id="338"/>
      <w:bookmarkEnd w:id="339"/>
      <w:bookmarkEnd w:id="340"/>
      <w:bookmarkEnd w:id="341"/>
      <w:bookmarkEnd w:id="342"/>
      <w:bookmarkEnd w:id="343"/>
    </w:p>
    <w:p w14:paraId="0A3924E6">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highlight w:val="none"/>
        </w:rPr>
      </w:pPr>
      <w:bookmarkStart w:id="344" w:name="_Toc445300912"/>
      <w:bookmarkStart w:id="345" w:name="_Toc184635074"/>
      <w:bookmarkStart w:id="346" w:name="_Toc266451734"/>
      <w:bookmarkStart w:id="347" w:name="_Toc237060988"/>
      <w:bookmarkStart w:id="348" w:name="_Toc466896263"/>
      <w:bookmarkStart w:id="349" w:name="_Toc495524291"/>
      <w:r>
        <w:rPr>
          <w:rFonts w:hint="eastAsia" w:asciiTheme="minorEastAsia" w:hAnsiTheme="minorEastAsia" w:eastAsiaTheme="minorEastAsia" w:cstheme="minorEastAsia"/>
          <w:color w:val="auto"/>
          <w:sz w:val="24"/>
          <w:highlight w:val="none"/>
        </w:rPr>
        <w:t>3.7.1投标文件应按第</w:t>
      </w:r>
      <w:r>
        <w:rPr>
          <w:rFonts w:hint="eastAsia" w:asciiTheme="minorEastAsia" w:hAnsiTheme="minorEastAsia" w:eastAsiaTheme="minorEastAsia" w:cstheme="minorEastAsia"/>
          <w:color w:val="auto"/>
          <w:sz w:val="24"/>
          <w:highlight w:val="none"/>
          <w:lang w:val="en-US" w:eastAsia="zh-CN"/>
        </w:rPr>
        <w:t>六</w:t>
      </w:r>
      <w:r>
        <w:rPr>
          <w:rFonts w:hint="eastAsia" w:asciiTheme="minorEastAsia" w:hAnsiTheme="minorEastAsia" w:eastAsiaTheme="minorEastAsia" w:cstheme="minorEastAsia"/>
          <w:color w:val="auto"/>
          <w:sz w:val="24"/>
          <w:highlight w:val="none"/>
        </w:rPr>
        <w:t>章“投标文件格式”进行编写，如有必要，可以增加附页，作为投标文件的组成部分。其中，投标函在满足招标文件实质性要求的基础上，可以提出比招标文件要求更有利于招标人的承诺。</w:t>
      </w:r>
    </w:p>
    <w:p w14:paraId="492DD419">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3.7.2投标文件应当对招标文件有关招标范围、投标有效期、工期、质量标准、发包人要求等实质性内容作出响应。</w:t>
      </w:r>
    </w:p>
    <w:p w14:paraId="67762402">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 xml:space="preserve"> 投标文件签字或盖章要求</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见投标人须知前附表。</w:t>
      </w:r>
    </w:p>
    <w:p w14:paraId="36A6D819">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350" w:name="_Toc504144531"/>
      <w:bookmarkStart w:id="351" w:name="_Toc25574"/>
      <w:bookmarkStart w:id="352" w:name="_Toc11137"/>
      <w:r>
        <w:rPr>
          <w:rFonts w:hint="eastAsia" w:asciiTheme="minorEastAsia" w:hAnsiTheme="minorEastAsia" w:eastAsiaTheme="minorEastAsia" w:cstheme="minorEastAsia"/>
          <w:b w:val="0"/>
          <w:color w:val="auto"/>
          <w:position w:val="0"/>
          <w:sz w:val="24"/>
          <w:szCs w:val="24"/>
          <w:highlight w:val="none"/>
          <w:lang w:eastAsia="zh-CN"/>
        </w:rPr>
        <w:t>4.</w:t>
      </w:r>
      <w:r>
        <w:rPr>
          <w:rFonts w:hint="eastAsia" w:asciiTheme="minorEastAsia" w:hAnsiTheme="minorEastAsia" w:eastAsiaTheme="minorEastAsia" w:cstheme="minorEastAsia"/>
          <w:b w:val="0"/>
          <w:color w:val="auto"/>
          <w:position w:val="0"/>
          <w:sz w:val="24"/>
          <w:szCs w:val="24"/>
          <w:highlight w:val="none"/>
        </w:rPr>
        <w:t>投标</w:t>
      </w:r>
      <w:bookmarkEnd w:id="344"/>
      <w:bookmarkEnd w:id="345"/>
      <w:bookmarkEnd w:id="346"/>
      <w:bookmarkEnd w:id="347"/>
      <w:bookmarkEnd w:id="348"/>
      <w:bookmarkEnd w:id="349"/>
      <w:bookmarkEnd w:id="350"/>
      <w:bookmarkEnd w:id="351"/>
      <w:bookmarkEnd w:id="352"/>
    </w:p>
    <w:p w14:paraId="53074FF2">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353" w:name="_Toc29905"/>
      <w:bookmarkStart w:id="354" w:name="_Toc515454642"/>
      <w:bookmarkStart w:id="355" w:name="_Toc495524292"/>
      <w:bookmarkStart w:id="356" w:name="_Toc504144532"/>
      <w:bookmarkStart w:id="357" w:name="_Toc349313195"/>
      <w:bookmarkStart w:id="358" w:name="_Toc266451735"/>
      <w:bookmarkStart w:id="359" w:name="_Toc13764"/>
      <w:bookmarkStart w:id="360" w:name="_Toc9144"/>
      <w:bookmarkStart w:id="361" w:name="_Toc466896264"/>
      <w:bookmarkStart w:id="362" w:name="_Toc445300913"/>
      <w:bookmarkStart w:id="363" w:name="_Toc343685843"/>
      <w:r>
        <w:rPr>
          <w:rFonts w:hint="eastAsia" w:asciiTheme="minorEastAsia" w:hAnsiTheme="minorEastAsia" w:eastAsiaTheme="minorEastAsia" w:cstheme="minorEastAsia"/>
          <w:color w:val="auto"/>
          <w:kern w:val="2"/>
          <w:highlight w:val="none"/>
        </w:rPr>
        <w:t>4.1投标文件的密封和标记</w:t>
      </w:r>
      <w:bookmarkEnd w:id="353"/>
      <w:bookmarkEnd w:id="354"/>
      <w:bookmarkEnd w:id="355"/>
      <w:bookmarkEnd w:id="356"/>
      <w:bookmarkEnd w:id="357"/>
      <w:bookmarkEnd w:id="358"/>
      <w:bookmarkEnd w:id="359"/>
      <w:bookmarkEnd w:id="360"/>
      <w:bookmarkEnd w:id="361"/>
      <w:bookmarkEnd w:id="362"/>
      <w:bookmarkEnd w:id="363"/>
    </w:p>
    <w:p w14:paraId="4E4BEF2B">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szCs w:val="24"/>
          <w:highlight w:val="none"/>
        </w:rPr>
      </w:pPr>
      <w:bookmarkStart w:id="364" w:name="_Toc445300914"/>
      <w:bookmarkStart w:id="365" w:name="_Toc266451736"/>
      <w:bookmarkStart w:id="366" w:name="_Toc343685844"/>
      <w:bookmarkStart w:id="367" w:name="_Toc495524293"/>
      <w:bookmarkStart w:id="368" w:name="_Toc466896265"/>
      <w:bookmarkStart w:id="369" w:name="_Toc349313196"/>
      <w:r>
        <w:rPr>
          <w:rFonts w:hint="eastAsia" w:asciiTheme="minorEastAsia" w:hAnsiTheme="minorEastAsia" w:eastAsiaTheme="minorEastAsia" w:cstheme="minorEastAsia"/>
          <w:color w:val="auto"/>
          <w:sz w:val="24"/>
          <w:szCs w:val="24"/>
          <w:highlight w:val="none"/>
        </w:rPr>
        <w:t>4.1.1网上递交的投标文件</w:t>
      </w:r>
      <w:r>
        <w:rPr>
          <w:rFonts w:hint="eastAsia" w:asciiTheme="minorEastAsia" w:hAnsiTheme="minorEastAsia" w:eastAsiaTheme="minorEastAsia" w:cstheme="minorEastAsia"/>
          <w:color w:val="auto"/>
          <w:sz w:val="24"/>
          <w:highlight w:val="none"/>
        </w:rPr>
        <w:t>应按照本章第3.7项要求制作并加密，未按要求加密的投标文件，招标人将拒绝接收。</w:t>
      </w:r>
    </w:p>
    <w:p w14:paraId="31957E04">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370" w:name="_Toc477"/>
      <w:bookmarkStart w:id="371" w:name="_Toc504144533"/>
      <w:bookmarkStart w:id="372" w:name="_Toc515454643"/>
      <w:bookmarkStart w:id="373" w:name="_Toc20269"/>
      <w:bookmarkStart w:id="374" w:name="_Toc21769"/>
      <w:r>
        <w:rPr>
          <w:rFonts w:hint="eastAsia" w:asciiTheme="minorEastAsia" w:hAnsiTheme="minorEastAsia" w:eastAsiaTheme="minorEastAsia" w:cstheme="minorEastAsia"/>
          <w:color w:val="auto"/>
          <w:kern w:val="2"/>
          <w:highlight w:val="none"/>
        </w:rPr>
        <w:t>4.2投标文件的递交</w:t>
      </w:r>
      <w:bookmarkEnd w:id="364"/>
      <w:bookmarkEnd w:id="365"/>
      <w:bookmarkEnd w:id="366"/>
      <w:bookmarkEnd w:id="367"/>
      <w:bookmarkEnd w:id="368"/>
      <w:bookmarkEnd w:id="369"/>
      <w:bookmarkEnd w:id="370"/>
      <w:bookmarkEnd w:id="371"/>
      <w:bookmarkEnd w:id="372"/>
      <w:bookmarkEnd w:id="373"/>
      <w:bookmarkEnd w:id="374"/>
    </w:p>
    <w:p w14:paraId="06B3CF93">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szCs w:val="24"/>
          <w:highlight w:val="none"/>
        </w:rPr>
      </w:pPr>
      <w:bookmarkStart w:id="375" w:name="_Toc495524294"/>
      <w:bookmarkStart w:id="376" w:name="_Toc445300916"/>
      <w:bookmarkStart w:id="377" w:name="_Toc343685845"/>
      <w:bookmarkStart w:id="378" w:name="_Toc466896266"/>
      <w:bookmarkStart w:id="379" w:name="_Toc266451738"/>
      <w:bookmarkStart w:id="380" w:name="_Toc349313197"/>
      <w:r>
        <w:rPr>
          <w:rFonts w:hint="eastAsia" w:asciiTheme="minorEastAsia" w:hAnsiTheme="minorEastAsia" w:eastAsiaTheme="minorEastAsia" w:cstheme="minorEastAsia"/>
          <w:color w:val="auto"/>
          <w:sz w:val="24"/>
          <w:szCs w:val="24"/>
          <w:highlight w:val="none"/>
        </w:rPr>
        <w:t>4.2.1投标人应在本章投标人须知前附表第2.2.2项规定的投标截止时间前递交投标文件。</w:t>
      </w:r>
    </w:p>
    <w:p w14:paraId="492AE253">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4.2.2投标人递交投标文件的地点：见投标人须知前附表。</w:t>
      </w:r>
    </w:p>
    <w:p w14:paraId="643FB268">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4.2.3除投标人须知前附表另有规定外，投标人所递交的投标文件不予退还。</w:t>
      </w:r>
    </w:p>
    <w:p w14:paraId="0B0410DC">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381" w:name="_Toc9916"/>
      <w:bookmarkStart w:id="382" w:name="_Toc15075"/>
      <w:bookmarkStart w:id="383" w:name="_Toc515454644"/>
      <w:bookmarkStart w:id="384" w:name="_Toc17005"/>
      <w:bookmarkStart w:id="385" w:name="_Toc504144534"/>
      <w:r>
        <w:rPr>
          <w:rFonts w:hint="eastAsia" w:asciiTheme="minorEastAsia" w:hAnsiTheme="minorEastAsia" w:eastAsiaTheme="minorEastAsia" w:cstheme="minorEastAsia"/>
          <w:color w:val="auto"/>
          <w:kern w:val="2"/>
          <w:highlight w:val="none"/>
        </w:rPr>
        <w:t>4.3投标文件的修改与撤回</w:t>
      </w:r>
      <w:bookmarkEnd w:id="375"/>
      <w:bookmarkEnd w:id="376"/>
      <w:bookmarkEnd w:id="377"/>
      <w:bookmarkEnd w:id="378"/>
      <w:bookmarkEnd w:id="379"/>
      <w:bookmarkEnd w:id="380"/>
      <w:bookmarkEnd w:id="381"/>
      <w:bookmarkEnd w:id="382"/>
      <w:bookmarkEnd w:id="383"/>
      <w:bookmarkEnd w:id="384"/>
      <w:bookmarkEnd w:id="385"/>
    </w:p>
    <w:p w14:paraId="7F46B878">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highlight w:val="none"/>
        </w:rPr>
      </w:pPr>
      <w:bookmarkStart w:id="386" w:name="_Toc445300917"/>
      <w:bookmarkStart w:id="387" w:name="_Toc184635075"/>
      <w:bookmarkStart w:id="388" w:name="_Toc495524295"/>
      <w:bookmarkStart w:id="389" w:name="_Toc266451739"/>
      <w:bookmarkStart w:id="390" w:name="_Toc237060989"/>
      <w:bookmarkStart w:id="391" w:name="_Toc466896267"/>
      <w:r>
        <w:rPr>
          <w:rFonts w:hint="eastAsia" w:asciiTheme="minorEastAsia" w:hAnsiTheme="minorEastAsia" w:eastAsiaTheme="minorEastAsia" w:cstheme="minorEastAsia"/>
          <w:color w:val="auto"/>
          <w:sz w:val="24"/>
          <w:highlight w:val="none"/>
        </w:rPr>
        <w:t>4.3.1在本章第2.2.2项规定的投标截止时间前，投标人可以修改或撤回已递交的投标文件。投标人对加密的投标文件进行撤回的，应在“云南省公共资源交易信息网”直接进行撤回操作；投标人对加密的投标文件进行修改的，应在投标文件截止时间前完成上传。</w:t>
      </w:r>
    </w:p>
    <w:p w14:paraId="15AB9273">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4.3.2投标人修改投标文件的，应使用“投标文件制作工具”制作成完整的投标文件，并按照本章第3条、第4条规定进行编制、加密、密封、标记和递交。</w:t>
      </w:r>
    </w:p>
    <w:p w14:paraId="5EF7C1F5">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392" w:name="_Toc9736"/>
      <w:bookmarkStart w:id="393" w:name="_Toc9378"/>
      <w:bookmarkStart w:id="394" w:name="_Toc504144535"/>
      <w:r>
        <w:rPr>
          <w:rFonts w:hint="eastAsia" w:asciiTheme="minorEastAsia" w:hAnsiTheme="minorEastAsia" w:eastAsiaTheme="minorEastAsia" w:cstheme="minorEastAsia"/>
          <w:b w:val="0"/>
          <w:color w:val="auto"/>
          <w:position w:val="0"/>
          <w:sz w:val="24"/>
          <w:szCs w:val="24"/>
          <w:highlight w:val="none"/>
          <w:lang w:eastAsia="zh-CN"/>
        </w:rPr>
        <w:t>5.</w:t>
      </w:r>
      <w:r>
        <w:rPr>
          <w:rFonts w:hint="eastAsia" w:asciiTheme="minorEastAsia" w:hAnsiTheme="minorEastAsia" w:eastAsiaTheme="minorEastAsia" w:cstheme="minorEastAsia"/>
          <w:b w:val="0"/>
          <w:color w:val="auto"/>
          <w:position w:val="0"/>
          <w:sz w:val="24"/>
          <w:szCs w:val="24"/>
          <w:highlight w:val="none"/>
        </w:rPr>
        <w:t>开标</w:t>
      </w:r>
      <w:bookmarkEnd w:id="386"/>
      <w:bookmarkEnd w:id="387"/>
      <w:bookmarkEnd w:id="388"/>
      <w:bookmarkEnd w:id="389"/>
      <w:bookmarkEnd w:id="390"/>
      <w:bookmarkEnd w:id="391"/>
      <w:bookmarkEnd w:id="392"/>
      <w:bookmarkEnd w:id="393"/>
      <w:bookmarkEnd w:id="394"/>
    </w:p>
    <w:p w14:paraId="045FAE90">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395" w:name="_Toc515454646"/>
      <w:bookmarkStart w:id="396" w:name="_Toc504144536"/>
      <w:bookmarkStart w:id="397" w:name="_Toc445300918"/>
      <w:bookmarkStart w:id="398" w:name="_Toc16725"/>
      <w:bookmarkStart w:id="399" w:name="_Toc495524296"/>
      <w:bookmarkStart w:id="400" w:name="_Toc553"/>
      <w:bookmarkStart w:id="401" w:name="_Toc29526"/>
      <w:bookmarkStart w:id="402" w:name="_Toc343685847"/>
      <w:bookmarkStart w:id="403" w:name="_Toc349313199"/>
      <w:bookmarkStart w:id="404" w:name="_Toc466896268"/>
      <w:bookmarkStart w:id="405" w:name="_Toc266451740"/>
      <w:r>
        <w:rPr>
          <w:rFonts w:hint="eastAsia" w:asciiTheme="minorEastAsia" w:hAnsiTheme="minorEastAsia" w:eastAsiaTheme="minorEastAsia" w:cstheme="minorEastAsia"/>
          <w:color w:val="auto"/>
          <w:kern w:val="2"/>
          <w:highlight w:val="none"/>
        </w:rPr>
        <w:t>5.1开标时间和地点</w:t>
      </w:r>
      <w:bookmarkEnd w:id="395"/>
      <w:bookmarkEnd w:id="396"/>
      <w:bookmarkEnd w:id="397"/>
      <w:bookmarkEnd w:id="398"/>
      <w:bookmarkEnd w:id="399"/>
      <w:bookmarkEnd w:id="400"/>
      <w:bookmarkEnd w:id="401"/>
      <w:bookmarkEnd w:id="402"/>
      <w:bookmarkEnd w:id="403"/>
      <w:bookmarkEnd w:id="404"/>
      <w:bookmarkEnd w:id="405"/>
    </w:p>
    <w:p w14:paraId="6673D217">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szCs w:val="24"/>
          <w:highlight w:val="none"/>
        </w:rPr>
      </w:pPr>
      <w:bookmarkStart w:id="406" w:name="_Toc515454647"/>
      <w:bookmarkStart w:id="407" w:name="_Toc495524297"/>
      <w:bookmarkStart w:id="408" w:name="_Toc445300919"/>
      <w:bookmarkStart w:id="409" w:name="_Toc466896269"/>
      <w:bookmarkStart w:id="410" w:name="_Toc504144537"/>
      <w:bookmarkStart w:id="411" w:name="_Toc343685848"/>
      <w:bookmarkStart w:id="412" w:name="_Toc349313200"/>
      <w:bookmarkStart w:id="413" w:name="_Toc266451741"/>
      <w:r>
        <w:rPr>
          <w:rFonts w:hint="eastAsia" w:asciiTheme="minorEastAsia" w:hAnsiTheme="minorEastAsia" w:eastAsiaTheme="minorEastAsia" w:cstheme="minorEastAsia"/>
          <w:color w:val="auto"/>
          <w:sz w:val="24"/>
          <w:szCs w:val="24"/>
          <w:highlight w:val="none"/>
        </w:rPr>
        <w:t>招标人在本章第2.2.2项规定的投标截止时间（开标时间）和投标人须知前附表规定的地点公开开标，并邀请</w:t>
      </w:r>
      <w:r>
        <w:rPr>
          <w:rFonts w:hint="eastAsia" w:asciiTheme="minorEastAsia" w:hAnsiTheme="minorEastAsia" w:eastAsiaTheme="minorEastAsia" w:cstheme="minorEastAsia"/>
          <w:color w:val="auto"/>
          <w:sz w:val="24"/>
          <w:szCs w:val="24"/>
          <w:highlight w:val="none"/>
          <w:lang w:val="en-US" w:eastAsia="zh-CN"/>
        </w:rPr>
        <w:t>各投标人</w:t>
      </w:r>
      <w:r>
        <w:rPr>
          <w:rFonts w:hint="eastAsia" w:asciiTheme="minorEastAsia" w:hAnsiTheme="minorEastAsia" w:eastAsiaTheme="minorEastAsia" w:cstheme="minorEastAsia"/>
          <w:color w:val="auto"/>
          <w:sz w:val="24"/>
          <w:szCs w:val="24"/>
          <w:highlight w:val="none"/>
        </w:rPr>
        <w:t>准时参加。</w:t>
      </w:r>
    </w:p>
    <w:p w14:paraId="075A7189">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414" w:name="_Toc31274"/>
      <w:bookmarkStart w:id="415" w:name="_Toc31665"/>
      <w:bookmarkStart w:id="416" w:name="_Toc16910"/>
      <w:r>
        <w:rPr>
          <w:rFonts w:hint="eastAsia" w:asciiTheme="minorEastAsia" w:hAnsiTheme="minorEastAsia" w:eastAsiaTheme="minorEastAsia" w:cstheme="minorEastAsia"/>
          <w:color w:val="auto"/>
          <w:kern w:val="2"/>
          <w:highlight w:val="none"/>
        </w:rPr>
        <w:t>5.2开标程序</w:t>
      </w:r>
      <w:bookmarkEnd w:id="406"/>
      <w:bookmarkEnd w:id="414"/>
      <w:bookmarkEnd w:id="415"/>
      <w:bookmarkEnd w:id="416"/>
    </w:p>
    <w:bookmarkEnd w:id="407"/>
    <w:bookmarkEnd w:id="408"/>
    <w:bookmarkEnd w:id="409"/>
    <w:bookmarkEnd w:id="410"/>
    <w:bookmarkEnd w:id="411"/>
    <w:bookmarkEnd w:id="412"/>
    <w:bookmarkEnd w:id="413"/>
    <w:p w14:paraId="06C2F9B5">
      <w:pPr>
        <w:pageBreakBefore w:val="0"/>
        <w:kinsoku/>
        <w:wordWrap/>
        <w:overflowPunct/>
        <w:bidi w:val="0"/>
        <w:spacing w:before="60" w:beforeLines="25" w:after="60" w:afterLines="25" w:line="360" w:lineRule="auto"/>
        <w:ind w:firstLine="480" w:firstLineChars="200"/>
        <w:jc w:val="left"/>
        <w:rPr>
          <w:rFonts w:hint="eastAsia" w:asciiTheme="minorEastAsia" w:hAnsiTheme="minorEastAsia" w:eastAsiaTheme="minorEastAsia" w:cstheme="minorEastAsia"/>
          <w:color w:val="auto"/>
          <w:sz w:val="24"/>
          <w:szCs w:val="24"/>
          <w:highlight w:val="none"/>
        </w:rPr>
      </w:pPr>
      <w:bookmarkStart w:id="417" w:name="_Toc515454649"/>
      <w:bookmarkStart w:id="418" w:name="_Toc184635076"/>
      <w:bookmarkStart w:id="419" w:name="_Toc237060990"/>
      <w:bookmarkStart w:id="420" w:name="_Toc266451742"/>
      <w:bookmarkStart w:id="421" w:name="_Toc445300923"/>
      <w:bookmarkStart w:id="422" w:name="_Toc466896276"/>
      <w:bookmarkStart w:id="423" w:name="_Toc495524304"/>
      <w:r>
        <w:rPr>
          <w:rFonts w:hint="eastAsia" w:asciiTheme="minorEastAsia" w:hAnsiTheme="minorEastAsia" w:eastAsiaTheme="minorEastAsia" w:cstheme="minorEastAsia"/>
          <w:color w:val="auto"/>
          <w:sz w:val="24"/>
          <w:szCs w:val="24"/>
          <w:highlight w:val="none"/>
        </w:rPr>
        <w:t>主持人按下列程序进行开标：</w:t>
      </w:r>
    </w:p>
    <w:p w14:paraId="496ACEA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lang w:eastAsia="zh-CN"/>
        </w:rPr>
      </w:pPr>
      <w:bookmarkStart w:id="424" w:name="_Toc18801"/>
      <w:bookmarkStart w:id="425" w:name="_Toc23977"/>
      <w:bookmarkStart w:id="426" w:name="_Toc19440"/>
      <w:r>
        <w:rPr>
          <w:rFonts w:hint="eastAsia" w:asciiTheme="minorEastAsia" w:hAnsiTheme="minorEastAsia" w:eastAsiaTheme="minorEastAsia" w:cstheme="minorEastAsia"/>
          <w:color w:val="auto"/>
          <w:position w:val="0"/>
          <w:sz w:val="24"/>
          <w:szCs w:val="24"/>
          <w:highlight w:val="none"/>
        </w:rPr>
        <w:t>（l）宣布开标纪律</w:t>
      </w:r>
      <w:r>
        <w:rPr>
          <w:rFonts w:hint="eastAsia" w:asciiTheme="minorEastAsia" w:hAnsiTheme="minorEastAsia" w:eastAsiaTheme="minorEastAsia" w:cstheme="minorEastAsia"/>
          <w:color w:val="auto"/>
          <w:position w:val="0"/>
          <w:sz w:val="24"/>
          <w:szCs w:val="24"/>
          <w:highlight w:val="none"/>
          <w:lang w:eastAsia="zh-CN"/>
        </w:rPr>
        <w:t>；</w:t>
      </w:r>
    </w:p>
    <w:p w14:paraId="35681B9D">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（2）开标系统自动检查密封情况</w:t>
      </w:r>
      <w:r>
        <w:rPr>
          <w:rFonts w:hint="eastAsia" w:asciiTheme="minorEastAsia" w:hAnsiTheme="minorEastAsia" w:eastAsiaTheme="minorEastAsia" w:cstheme="minorEastAsia"/>
          <w:color w:val="auto"/>
          <w:position w:val="0"/>
          <w:sz w:val="24"/>
          <w:szCs w:val="24"/>
          <w:highlight w:val="none"/>
          <w:lang w:eastAsia="zh-CN"/>
        </w:rPr>
        <w:t>；</w:t>
      </w:r>
    </w:p>
    <w:p w14:paraId="40A932A0">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3）按照交易平台自动提取所有投标人顺序当众开标，导入有效投标人的电子投标文件（格式为：*.BTBJ），同时，对网上递交加密投标文件的投标文件，提供网上解密，解密完成后，公布投标人名称、投标保证金的递交情况、投标报价、质量目标、工期及其他内容，并记录在案。因投标人原因造成投标文件未解密的，视为撤销其投标文件</w:t>
      </w:r>
      <w:r>
        <w:rPr>
          <w:rFonts w:hint="eastAsia" w:asciiTheme="minorEastAsia" w:hAnsiTheme="minorEastAsia" w:eastAsiaTheme="minorEastAsia" w:cstheme="minorEastAsia"/>
          <w:color w:val="auto"/>
          <w:position w:val="0"/>
          <w:sz w:val="24"/>
          <w:szCs w:val="24"/>
          <w:highlight w:val="none"/>
          <w:lang w:eastAsia="zh-CN"/>
        </w:rPr>
        <w:t>；</w:t>
      </w:r>
    </w:p>
    <w:p w14:paraId="5C71D7D6">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（4）投标人代表、招标人代表、监标人、记录人等有关人员在开标记录上签字确认</w:t>
      </w:r>
      <w:r>
        <w:rPr>
          <w:rFonts w:hint="eastAsia" w:asciiTheme="minorEastAsia" w:hAnsiTheme="minorEastAsia" w:eastAsiaTheme="minorEastAsia" w:cstheme="minorEastAsia"/>
          <w:color w:val="auto"/>
          <w:position w:val="0"/>
          <w:sz w:val="24"/>
          <w:szCs w:val="24"/>
          <w:highlight w:val="none"/>
          <w:lang w:eastAsia="zh-CN"/>
        </w:rPr>
        <w:t>；</w:t>
      </w:r>
    </w:p>
    <w:p w14:paraId="1884E31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（5）开标结束。</w:t>
      </w:r>
    </w:p>
    <w:p w14:paraId="1CA48BC1">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5.3开标异议</w:t>
      </w:r>
      <w:bookmarkEnd w:id="417"/>
      <w:bookmarkEnd w:id="424"/>
      <w:bookmarkEnd w:id="425"/>
      <w:bookmarkEnd w:id="426"/>
    </w:p>
    <w:p w14:paraId="78A91D1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投标人对开标有异议的，应在开标</w:t>
      </w:r>
      <w:r>
        <w:rPr>
          <w:rFonts w:hint="eastAsia" w:asciiTheme="minorEastAsia" w:hAnsiTheme="minorEastAsia" w:eastAsiaTheme="minorEastAsia" w:cstheme="minorEastAsia"/>
          <w:color w:val="auto"/>
          <w:position w:val="0"/>
          <w:sz w:val="24"/>
          <w:szCs w:val="24"/>
          <w:highlight w:val="none"/>
          <w:lang w:val="en-US" w:eastAsia="zh-CN"/>
        </w:rPr>
        <w:t>时</w:t>
      </w:r>
      <w:r>
        <w:rPr>
          <w:rFonts w:hint="eastAsia" w:asciiTheme="minorEastAsia" w:hAnsiTheme="minorEastAsia" w:eastAsiaTheme="minorEastAsia" w:cstheme="minorEastAsia"/>
          <w:color w:val="auto"/>
          <w:position w:val="0"/>
          <w:sz w:val="24"/>
          <w:szCs w:val="24"/>
          <w:highlight w:val="none"/>
        </w:rPr>
        <w:t>提出，招标人当场作出答复，并制作记录，有异议的投标</w:t>
      </w:r>
      <w:r>
        <w:rPr>
          <w:rFonts w:hint="eastAsia" w:asciiTheme="minorEastAsia" w:hAnsiTheme="minorEastAsia" w:eastAsiaTheme="minorEastAsia" w:cstheme="minorEastAsia"/>
          <w:color w:val="auto"/>
          <w:position w:val="0"/>
          <w:sz w:val="24"/>
          <w:szCs w:val="24"/>
          <w:highlight w:val="none"/>
          <w:lang w:eastAsia="zh-CN"/>
        </w:rPr>
        <w:t>人在</w:t>
      </w:r>
      <w:r>
        <w:rPr>
          <w:rFonts w:hint="eastAsia" w:asciiTheme="minorEastAsia" w:hAnsiTheme="minorEastAsia" w:eastAsiaTheme="minorEastAsia" w:cstheme="minorEastAsia"/>
          <w:color w:val="auto"/>
          <w:position w:val="0"/>
          <w:sz w:val="24"/>
          <w:szCs w:val="24"/>
          <w:highlight w:val="none"/>
          <w:lang w:val="en-US" w:eastAsia="zh-CN"/>
        </w:rPr>
        <w:t>网上进行</w:t>
      </w:r>
      <w:r>
        <w:rPr>
          <w:rFonts w:hint="eastAsia" w:asciiTheme="minorEastAsia" w:hAnsiTheme="minorEastAsia" w:eastAsiaTheme="minorEastAsia" w:cstheme="minorEastAsia"/>
          <w:color w:val="auto"/>
          <w:position w:val="0"/>
          <w:sz w:val="24"/>
          <w:szCs w:val="24"/>
          <w:highlight w:val="none"/>
        </w:rPr>
        <w:t>确认。</w:t>
      </w:r>
    </w:p>
    <w:p w14:paraId="3B4105F5">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427" w:name="_Toc2859"/>
      <w:bookmarkStart w:id="428" w:name="_Toc16019"/>
      <w:bookmarkStart w:id="429" w:name="_Toc504144538"/>
      <w:r>
        <w:rPr>
          <w:rFonts w:hint="eastAsia" w:asciiTheme="minorEastAsia" w:hAnsiTheme="minorEastAsia" w:eastAsiaTheme="minorEastAsia" w:cstheme="minorEastAsia"/>
          <w:b w:val="0"/>
          <w:color w:val="auto"/>
          <w:position w:val="0"/>
          <w:sz w:val="24"/>
          <w:szCs w:val="24"/>
          <w:highlight w:val="none"/>
          <w:lang w:eastAsia="zh-CN"/>
        </w:rPr>
        <w:t>6.</w:t>
      </w:r>
      <w:r>
        <w:rPr>
          <w:rFonts w:hint="eastAsia" w:asciiTheme="minorEastAsia" w:hAnsiTheme="minorEastAsia" w:eastAsiaTheme="minorEastAsia" w:cstheme="minorEastAsia"/>
          <w:b w:val="0"/>
          <w:color w:val="auto"/>
          <w:position w:val="0"/>
          <w:sz w:val="24"/>
          <w:szCs w:val="24"/>
          <w:highlight w:val="none"/>
        </w:rPr>
        <w:t>评标</w:t>
      </w:r>
      <w:bookmarkEnd w:id="418"/>
      <w:bookmarkEnd w:id="419"/>
      <w:bookmarkEnd w:id="420"/>
      <w:bookmarkEnd w:id="421"/>
      <w:bookmarkEnd w:id="422"/>
      <w:bookmarkEnd w:id="423"/>
      <w:bookmarkEnd w:id="427"/>
      <w:bookmarkEnd w:id="428"/>
      <w:bookmarkEnd w:id="429"/>
    </w:p>
    <w:p w14:paraId="1C6B2831">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430" w:name="_Toc495524305"/>
      <w:bookmarkStart w:id="431" w:name="_Toc466896277"/>
      <w:bookmarkStart w:id="432" w:name="_Toc343685850"/>
      <w:bookmarkStart w:id="433" w:name="_Toc445300924"/>
      <w:bookmarkStart w:id="434" w:name="_Toc504144539"/>
      <w:bookmarkStart w:id="435" w:name="_Toc16757"/>
      <w:bookmarkStart w:id="436" w:name="_Toc28622"/>
      <w:bookmarkStart w:id="437" w:name="_Toc266451743"/>
      <w:bookmarkStart w:id="438" w:name="_Toc349313202"/>
      <w:bookmarkStart w:id="439" w:name="_Toc515454651"/>
      <w:bookmarkStart w:id="440" w:name="_Toc29636"/>
      <w:r>
        <w:rPr>
          <w:rFonts w:hint="eastAsia" w:asciiTheme="minorEastAsia" w:hAnsiTheme="minorEastAsia" w:eastAsiaTheme="minorEastAsia" w:cstheme="minorEastAsia"/>
          <w:color w:val="auto"/>
          <w:kern w:val="2"/>
          <w:highlight w:val="none"/>
        </w:rPr>
        <w:t>6.1评标委员会</w:t>
      </w:r>
      <w:bookmarkEnd w:id="430"/>
      <w:bookmarkEnd w:id="431"/>
      <w:bookmarkEnd w:id="432"/>
      <w:bookmarkEnd w:id="433"/>
      <w:bookmarkEnd w:id="434"/>
      <w:bookmarkEnd w:id="435"/>
      <w:bookmarkEnd w:id="436"/>
      <w:bookmarkEnd w:id="437"/>
      <w:bookmarkEnd w:id="438"/>
      <w:bookmarkEnd w:id="439"/>
      <w:bookmarkEnd w:id="440"/>
    </w:p>
    <w:p w14:paraId="1587D92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2BE2800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441" w:name="_Toc445300925"/>
      <w:bookmarkStart w:id="442" w:name="_Toc366312350"/>
      <w:bookmarkStart w:id="443" w:name="_Toc458267174"/>
      <w:bookmarkStart w:id="444" w:name="_Toc457906687"/>
      <w:bookmarkStart w:id="445" w:name="_Toc371166401"/>
      <w:bookmarkStart w:id="446" w:name="_Toc445303800"/>
      <w:bookmarkStart w:id="447" w:name="_Toc457893021"/>
      <w:bookmarkStart w:id="448" w:name="_Toc374349157"/>
      <w:bookmarkStart w:id="449" w:name="_Toc354824941"/>
      <w:bookmarkStart w:id="450" w:name="_Toc463623695"/>
      <w:r>
        <w:rPr>
          <w:rFonts w:hint="eastAsia" w:asciiTheme="minorEastAsia" w:hAnsiTheme="minorEastAsia" w:eastAsiaTheme="minorEastAsia" w:cstheme="minorEastAsia"/>
          <w:color w:val="auto"/>
          <w:position w:val="0"/>
          <w:sz w:val="24"/>
          <w:szCs w:val="24"/>
          <w:highlight w:val="none"/>
        </w:rPr>
        <w:t>6.1.2评标委员会成员有下列情形之一的，应主动提出回避：</w:t>
      </w:r>
      <w:bookmarkEnd w:id="441"/>
      <w:bookmarkEnd w:id="442"/>
      <w:bookmarkEnd w:id="443"/>
      <w:bookmarkEnd w:id="444"/>
      <w:bookmarkEnd w:id="445"/>
      <w:bookmarkEnd w:id="446"/>
      <w:bookmarkEnd w:id="447"/>
      <w:bookmarkEnd w:id="448"/>
      <w:bookmarkEnd w:id="449"/>
      <w:bookmarkEnd w:id="450"/>
    </w:p>
    <w:p w14:paraId="6763021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（1）投标人或投标人主要负责人的近亲属；</w:t>
      </w:r>
    </w:p>
    <w:p w14:paraId="3DFC554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（2）项目主管部门或者行政监督部门的人员；</w:t>
      </w:r>
    </w:p>
    <w:p w14:paraId="2FB0EB5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（3）与投标人法定代表人或其委托代理人有近亲属关系；</w:t>
      </w:r>
    </w:p>
    <w:p w14:paraId="4E453A3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（4）为投标人的工作人员或退休人员；</w:t>
      </w:r>
    </w:p>
    <w:p w14:paraId="1CB1F3F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（5）与投标人有其他利害关系，可能影响评标活动公正性。</w:t>
      </w:r>
    </w:p>
    <w:p w14:paraId="0533AC78">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（6）在与招标投标有关的活动中有过违法违规行为、曾受过行政处罚或刑事处罚。</w:t>
      </w:r>
    </w:p>
    <w:p w14:paraId="59D73A58">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451" w:name="_Toc515454652"/>
      <w:bookmarkStart w:id="452" w:name="_Toc25742"/>
      <w:bookmarkStart w:id="453" w:name="_Toc495524306"/>
      <w:bookmarkStart w:id="454" w:name="_Toc266451744"/>
      <w:bookmarkStart w:id="455" w:name="_Toc445300926"/>
      <w:bookmarkStart w:id="456" w:name="_Toc466896278"/>
      <w:bookmarkStart w:id="457" w:name="_Toc15781"/>
      <w:bookmarkStart w:id="458" w:name="_Toc504144540"/>
      <w:bookmarkStart w:id="459" w:name="_Toc343685851"/>
      <w:bookmarkStart w:id="460" w:name="_Toc20191"/>
      <w:bookmarkStart w:id="461" w:name="_Toc349313203"/>
      <w:r>
        <w:rPr>
          <w:rFonts w:hint="eastAsia" w:asciiTheme="minorEastAsia" w:hAnsiTheme="minorEastAsia" w:eastAsiaTheme="minorEastAsia" w:cstheme="minorEastAsia"/>
          <w:color w:val="auto"/>
          <w:kern w:val="2"/>
          <w:highlight w:val="none"/>
        </w:rPr>
        <w:t>6.2评标原则</w:t>
      </w:r>
      <w:bookmarkEnd w:id="451"/>
      <w:bookmarkEnd w:id="452"/>
      <w:bookmarkEnd w:id="453"/>
      <w:bookmarkEnd w:id="454"/>
      <w:bookmarkEnd w:id="455"/>
      <w:bookmarkEnd w:id="456"/>
      <w:bookmarkEnd w:id="457"/>
      <w:bookmarkEnd w:id="458"/>
      <w:bookmarkEnd w:id="459"/>
      <w:bookmarkEnd w:id="460"/>
      <w:bookmarkEnd w:id="461"/>
    </w:p>
    <w:p w14:paraId="69975C4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评标活动遵循公平、公正、科学和择优的原则。</w:t>
      </w:r>
    </w:p>
    <w:p w14:paraId="4BC08CA9">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462" w:name="_Toc266451745"/>
      <w:bookmarkStart w:id="463" w:name="_Toc504144541"/>
      <w:bookmarkStart w:id="464" w:name="_Toc22334"/>
      <w:bookmarkStart w:id="465" w:name="_Toc343685852"/>
      <w:bookmarkStart w:id="466" w:name="_Toc28081"/>
      <w:bookmarkStart w:id="467" w:name="_Toc349313204"/>
      <w:bookmarkStart w:id="468" w:name="_Toc466896279"/>
      <w:bookmarkStart w:id="469" w:name="_Toc31262"/>
      <w:bookmarkStart w:id="470" w:name="_Toc495524307"/>
      <w:bookmarkStart w:id="471" w:name="_Toc515454653"/>
      <w:bookmarkStart w:id="472" w:name="_Toc445300927"/>
      <w:r>
        <w:rPr>
          <w:rFonts w:hint="eastAsia" w:asciiTheme="minorEastAsia" w:hAnsiTheme="minorEastAsia" w:eastAsiaTheme="minorEastAsia" w:cstheme="minorEastAsia"/>
          <w:color w:val="auto"/>
          <w:kern w:val="2"/>
          <w:highlight w:val="none"/>
        </w:rPr>
        <w:t>6.3评标</w:t>
      </w:r>
      <w:bookmarkEnd w:id="462"/>
      <w:bookmarkEnd w:id="463"/>
      <w:bookmarkEnd w:id="464"/>
      <w:bookmarkEnd w:id="465"/>
      <w:bookmarkEnd w:id="466"/>
      <w:bookmarkEnd w:id="467"/>
      <w:bookmarkEnd w:id="468"/>
      <w:bookmarkEnd w:id="469"/>
      <w:bookmarkEnd w:id="470"/>
      <w:bookmarkEnd w:id="471"/>
      <w:bookmarkEnd w:id="472"/>
    </w:p>
    <w:p w14:paraId="6A15479A">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6.3.1评标委员会按照第三章“评标办法”规定的方法、评审因素、标准和程序对投标文件进行评审。第三章“评标办法”没有规定的方法、评审因素和标准，不作为评标依据。</w:t>
      </w:r>
    </w:p>
    <w:p w14:paraId="1F9578C8">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473" w:name="_Toc18954"/>
      <w:bookmarkStart w:id="474" w:name="_Toc466896280"/>
      <w:bookmarkStart w:id="475" w:name="_Toc495524308"/>
      <w:bookmarkStart w:id="476" w:name="_Toc445300928"/>
      <w:bookmarkStart w:id="477" w:name="_Toc237060991"/>
      <w:bookmarkStart w:id="478" w:name="_Toc2709"/>
      <w:bookmarkStart w:id="479" w:name="_Toc184635077"/>
      <w:bookmarkStart w:id="480" w:name="_Toc504144542"/>
      <w:bookmarkStart w:id="481" w:name="_Toc266451746"/>
      <w:r>
        <w:rPr>
          <w:rFonts w:hint="eastAsia" w:asciiTheme="minorEastAsia" w:hAnsiTheme="minorEastAsia" w:eastAsiaTheme="minorEastAsia" w:cstheme="minorEastAsia"/>
          <w:b w:val="0"/>
          <w:color w:val="auto"/>
          <w:position w:val="0"/>
          <w:sz w:val="24"/>
          <w:szCs w:val="24"/>
          <w:highlight w:val="none"/>
          <w:lang w:eastAsia="zh-CN"/>
        </w:rPr>
        <w:t>7.</w:t>
      </w:r>
      <w:r>
        <w:rPr>
          <w:rFonts w:hint="eastAsia" w:asciiTheme="minorEastAsia" w:hAnsiTheme="minorEastAsia" w:eastAsiaTheme="minorEastAsia" w:cstheme="minorEastAsia"/>
          <w:b w:val="0"/>
          <w:color w:val="auto"/>
          <w:position w:val="0"/>
          <w:sz w:val="24"/>
          <w:szCs w:val="24"/>
          <w:highlight w:val="none"/>
        </w:rPr>
        <w:t>合同授予</w:t>
      </w:r>
      <w:bookmarkEnd w:id="473"/>
      <w:bookmarkEnd w:id="474"/>
      <w:bookmarkEnd w:id="475"/>
      <w:bookmarkEnd w:id="476"/>
      <w:bookmarkEnd w:id="477"/>
      <w:bookmarkEnd w:id="478"/>
      <w:bookmarkEnd w:id="479"/>
      <w:bookmarkEnd w:id="480"/>
      <w:bookmarkEnd w:id="481"/>
    </w:p>
    <w:p w14:paraId="283D615B">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482" w:name="_Toc504144543"/>
      <w:bookmarkStart w:id="483" w:name="_Toc343685854"/>
      <w:bookmarkStart w:id="484" w:name="_Toc445300929"/>
      <w:bookmarkStart w:id="485" w:name="_Toc266451747"/>
      <w:bookmarkStart w:id="486" w:name="_Toc495524309"/>
      <w:bookmarkStart w:id="487" w:name="_Toc349313206"/>
      <w:bookmarkStart w:id="488" w:name="_Toc466896281"/>
      <w:bookmarkStart w:id="489" w:name="_Toc6158"/>
      <w:bookmarkStart w:id="490" w:name="_Toc2793"/>
      <w:bookmarkStart w:id="491" w:name="_Toc24328"/>
      <w:bookmarkStart w:id="492" w:name="_Toc515454655"/>
      <w:r>
        <w:rPr>
          <w:rFonts w:hint="eastAsia" w:asciiTheme="minorEastAsia" w:hAnsiTheme="minorEastAsia" w:eastAsiaTheme="minorEastAsia" w:cstheme="minorEastAsia"/>
          <w:color w:val="auto"/>
          <w:kern w:val="2"/>
          <w:highlight w:val="none"/>
        </w:rPr>
        <w:t>7.1</w:t>
      </w:r>
      <w:bookmarkEnd w:id="482"/>
      <w:bookmarkEnd w:id="483"/>
      <w:bookmarkEnd w:id="484"/>
      <w:bookmarkEnd w:id="485"/>
      <w:bookmarkEnd w:id="486"/>
      <w:bookmarkEnd w:id="487"/>
      <w:bookmarkEnd w:id="488"/>
      <w:r>
        <w:rPr>
          <w:rFonts w:hint="eastAsia" w:asciiTheme="minorEastAsia" w:hAnsiTheme="minorEastAsia" w:eastAsiaTheme="minorEastAsia" w:cstheme="minorEastAsia"/>
          <w:color w:val="auto"/>
          <w:kern w:val="2"/>
          <w:highlight w:val="none"/>
        </w:rPr>
        <w:t>定标方式</w:t>
      </w:r>
      <w:bookmarkEnd w:id="489"/>
      <w:bookmarkEnd w:id="490"/>
      <w:bookmarkEnd w:id="491"/>
    </w:p>
    <w:p w14:paraId="4BEB036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除投标人须知前附表规定评标委员会直接确定中标人外，招标人依据评标委员会推荐的中标候选人确定中标人，评标委员会推荐中标候选人的人数见投标人须知前附表。</w:t>
      </w:r>
    </w:p>
    <w:p w14:paraId="2236CC1C">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493" w:name="_Toc19254"/>
      <w:bookmarkStart w:id="494" w:name="_Toc20747"/>
      <w:bookmarkStart w:id="495" w:name="_Toc17712"/>
      <w:r>
        <w:rPr>
          <w:rFonts w:hint="eastAsia" w:asciiTheme="minorEastAsia" w:hAnsiTheme="minorEastAsia" w:eastAsiaTheme="minorEastAsia" w:cstheme="minorEastAsia"/>
          <w:color w:val="auto"/>
          <w:kern w:val="2"/>
          <w:highlight w:val="none"/>
        </w:rPr>
        <w:t>7.2中标候选人公示</w:t>
      </w:r>
      <w:bookmarkEnd w:id="492"/>
      <w:bookmarkEnd w:id="493"/>
      <w:bookmarkEnd w:id="494"/>
      <w:bookmarkEnd w:id="495"/>
    </w:p>
    <w:p w14:paraId="6758B6F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496" w:name="_Toc515454659"/>
      <w:r>
        <w:rPr>
          <w:rFonts w:hint="eastAsia" w:asciiTheme="minorEastAsia" w:hAnsiTheme="minorEastAsia" w:eastAsiaTheme="minorEastAsia" w:cstheme="minorEastAsia"/>
          <w:color w:val="auto"/>
          <w:position w:val="0"/>
          <w:sz w:val="24"/>
          <w:szCs w:val="24"/>
          <w:highlight w:val="none"/>
        </w:rPr>
        <w:t>招标人在投标人须知前附表规定的媒介公示中标候选人。</w:t>
      </w:r>
    </w:p>
    <w:p w14:paraId="50ABB5C2">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497" w:name="_Toc13119"/>
      <w:bookmarkStart w:id="498" w:name="_Toc6849"/>
      <w:bookmarkStart w:id="499" w:name="_Toc26835"/>
      <w:r>
        <w:rPr>
          <w:rFonts w:hint="eastAsia" w:asciiTheme="minorEastAsia" w:hAnsiTheme="minorEastAsia" w:eastAsiaTheme="minorEastAsia" w:cstheme="minorEastAsia"/>
          <w:color w:val="auto"/>
          <w:kern w:val="2"/>
          <w:highlight w:val="none"/>
        </w:rPr>
        <w:t>7.3中标通知</w:t>
      </w:r>
      <w:bookmarkEnd w:id="496"/>
      <w:bookmarkEnd w:id="497"/>
      <w:bookmarkEnd w:id="498"/>
      <w:bookmarkEnd w:id="499"/>
    </w:p>
    <w:p w14:paraId="3462808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在本章第3.3款规定的投标有效期内，招标人应向中标人发出中标通知书，同时将中标结果通知未中标的投标人。</w:t>
      </w:r>
    </w:p>
    <w:p w14:paraId="40991059">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500" w:name="_Toc266451749"/>
      <w:bookmarkStart w:id="501" w:name="_Toc445300931"/>
      <w:bookmarkStart w:id="502" w:name="_Toc466896283"/>
      <w:bookmarkStart w:id="503" w:name="_Toc515454661"/>
      <w:bookmarkStart w:id="504" w:name="_Toc495524311"/>
      <w:bookmarkStart w:id="505" w:name="_Toc349313208"/>
      <w:bookmarkStart w:id="506" w:name="_Toc343685856"/>
      <w:bookmarkStart w:id="507" w:name="_Toc504144545"/>
      <w:bookmarkStart w:id="508" w:name="_Toc25487"/>
      <w:bookmarkStart w:id="509" w:name="_Toc26198"/>
      <w:bookmarkStart w:id="510" w:name="_Toc32432"/>
      <w:r>
        <w:rPr>
          <w:rFonts w:hint="eastAsia" w:asciiTheme="minorEastAsia" w:hAnsiTheme="minorEastAsia" w:eastAsiaTheme="minorEastAsia" w:cstheme="minorEastAsia"/>
          <w:color w:val="auto"/>
          <w:kern w:val="2"/>
          <w:highlight w:val="none"/>
        </w:rPr>
        <w:t>7.4履约</w:t>
      </w:r>
      <w:bookmarkEnd w:id="500"/>
      <w:bookmarkEnd w:id="501"/>
      <w:bookmarkEnd w:id="502"/>
      <w:bookmarkEnd w:id="503"/>
      <w:bookmarkEnd w:id="504"/>
      <w:bookmarkEnd w:id="505"/>
      <w:bookmarkEnd w:id="506"/>
      <w:bookmarkEnd w:id="507"/>
      <w:r>
        <w:rPr>
          <w:rFonts w:hint="eastAsia" w:asciiTheme="minorEastAsia" w:hAnsiTheme="minorEastAsia" w:eastAsiaTheme="minorEastAsia" w:cstheme="minorEastAsia"/>
          <w:color w:val="auto"/>
          <w:kern w:val="2"/>
          <w:highlight w:val="none"/>
        </w:rPr>
        <w:t>担保</w:t>
      </w:r>
      <w:bookmarkEnd w:id="508"/>
      <w:bookmarkEnd w:id="509"/>
      <w:bookmarkEnd w:id="510"/>
    </w:p>
    <w:p w14:paraId="535E3F1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rPr>
        <w:t>7.4.1见投标人须知前附表</w:t>
      </w:r>
      <w:r>
        <w:rPr>
          <w:rFonts w:hint="eastAsia" w:asciiTheme="minorEastAsia" w:hAnsiTheme="minorEastAsia" w:eastAsiaTheme="minorEastAsia" w:cstheme="minorEastAsia"/>
          <w:color w:val="auto"/>
          <w:position w:val="0"/>
          <w:sz w:val="24"/>
          <w:szCs w:val="24"/>
          <w:highlight w:val="none"/>
          <w:lang w:eastAsia="zh-CN"/>
        </w:rPr>
        <w:t>。</w:t>
      </w:r>
    </w:p>
    <w:p w14:paraId="20BE8794">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511" w:name="_Toc495524312"/>
      <w:bookmarkStart w:id="512" w:name="_Toc29998"/>
      <w:bookmarkStart w:id="513" w:name="_Toc18371"/>
      <w:bookmarkStart w:id="514" w:name="_Toc466896284"/>
      <w:bookmarkStart w:id="515" w:name="_Toc349313209"/>
      <w:bookmarkStart w:id="516" w:name="_Toc266451750"/>
      <w:bookmarkStart w:id="517" w:name="_Toc343685857"/>
      <w:bookmarkStart w:id="518" w:name="_Toc504144546"/>
      <w:bookmarkStart w:id="519" w:name="_Toc445300932"/>
      <w:bookmarkStart w:id="520" w:name="_Toc515454662"/>
      <w:bookmarkStart w:id="521" w:name="_Toc6521"/>
      <w:r>
        <w:rPr>
          <w:rFonts w:hint="eastAsia" w:asciiTheme="minorEastAsia" w:hAnsiTheme="minorEastAsia" w:eastAsiaTheme="minorEastAsia" w:cstheme="minorEastAsia"/>
          <w:color w:val="auto"/>
          <w:kern w:val="2"/>
          <w:highlight w:val="none"/>
        </w:rPr>
        <w:t>7.5签订合同</w:t>
      </w:r>
      <w:bookmarkEnd w:id="511"/>
      <w:bookmarkEnd w:id="512"/>
      <w:bookmarkEnd w:id="513"/>
      <w:bookmarkEnd w:id="514"/>
      <w:bookmarkEnd w:id="515"/>
      <w:bookmarkEnd w:id="516"/>
      <w:bookmarkEnd w:id="517"/>
      <w:bookmarkEnd w:id="518"/>
      <w:bookmarkEnd w:id="519"/>
      <w:bookmarkEnd w:id="520"/>
      <w:bookmarkEnd w:id="521"/>
    </w:p>
    <w:p w14:paraId="063D709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7.5.1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5A84632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522" w:name="_Toc463623703"/>
      <w:bookmarkStart w:id="523" w:name="_Toc457906695"/>
      <w:bookmarkStart w:id="524" w:name="_Toc458267182"/>
      <w:bookmarkStart w:id="525" w:name="_Toc457893029"/>
      <w:r>
        <w:rPr>
          <w:rFonts w:hint="eastAsia" w:asciiTheme="minorEastAsia" w:hAnsiTheme="minorEastAsia" w:eastAsiaTheme="minorEastAsia" w:cstheme="minorEastAsia"/>
          <w:color w:val="auto"/>
          <w:position w:val="0"/>
          <w:sz w:val="24"/>
          <w:szCs w:val="24"/>
          <w:highlight w:val="none"/>
        </w:rPr>
        <w:t>7.5.2发出中标通知书后，招标人无正当理由拒签合同的，或在签订合同时向中标人提出附加条件的，招标人向中标人退还投标保证金；给中标人造成损失的，还应赔偿损失。</w:t>
      </w:r>
      <w:bookmarkEnd w:id="522"/>
      <w:bookmarkEnd w:id="523"/>
      <w:bookmarkEnd w:id="524"/>
      <w:bookmarkEnd w:id="525"/>
    </w:p>
    <w:p w14:paraId="1A6536D8">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7.5.3联合体中标的，联合体各方应共同与招标人签订合同，就中标项目向招标人承担连带责任。</w:t>
      </w:r>
    </w:p>
    <w:p w14:paraId="1A2E9CE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7.5.4招标人和中标人在签订合同协议书的同时，需按照本招标文件规定的格式和要求签订廉政合同及安全生产合同，明确双方在廉政建设和安全生产方面的权利和义务以及应承担的违约责任。</w:t>
      </w:r>
    </w:p>
    <w:p w14:paraId="13A84D54">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526" w:name="_Toc495524313"/>
      <w:bookmarkStart w:id="527" w:name="_Toc184635078"/>
      <w:bookmarkStart w:id="528" w:name="_Toc504144547"/>
      <w:bookmarkStart w:id="529" w:name="_Toc445300933"/>
      <w:bookmarkStart w:id="530" w:name="_Toc237060992"/>
      <w:bookmarkStart w:id="531" w:name="_Toc266451751"/>
      <w:bookmarkStart w:id="532" w:name="_Toc466896285"/>
      <w:bookmarkStart w:id="533" w:name="_Toc7394"/>
      <w:bookmarkStart w:id="534" w:name="_Toc3661"/>
      <w:r>
        <w:rPr>
          <w:rFonts w:hint="eastAsia" w:asciiTheme="minorEastAsia" w:hAnsiTheme="minorEastAsia" w:eastAsiaTheme="minorEastAsia" w:cstheme="minorEastAsia"/>
          <w:b w:val="0"/>
          <w:color w:val="auto"/>
          <w:position w:val="0"/>
          <w:sz w:val="24"/>
          <w:szCs w:val="24"/>
          <w:highlight w:val="none"/>
          <w:lang w:eastAsia="zh-CN"/>
        </w:rPr>
        <w:t>8.</w:t>
      </w:r>
      <w:bookmarkEnd w:id="526"/>
      <w:bookmarkEnd w:id="527"/>
      <w:bookmarkEnd w:id="528"/>
      <w:bookmarkEnd w:id="529"/>
      <w:bookmarkEnd w:id="530"/>
      <w:bookmarkEnd w:id="531"/>
      <w:bookmarkEnd w:id="532"/>
      <w:r>
        <w:rPr>
          <w:rFonts w:hint="eastAsia" w:asciiTheme="minorEastAsia" w:hAnsiTheme="minorEastAsia" w:eastAsiaTheme="minorEastAsia" w:cstheme="minorEastAsia"/>
          <w:b w:val="0"/>
          <w:color w:val="auto"/>
          <w:position w:val="0"/>
          <w:sz w:val="24"/>
          <w:szCs w:val="24"/>
          <w:highlight w:val="none"/>
        </w:rPr>
        <w:t>纪律和监督</w:t>
      </w:r>
      <w:bookmarkEnd w:id="533"/>
      <w:bookmarkEnd w:id="534"/>
    </w:p>
    <w:p w14:paraId="0B8BDFFD">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535" w:name="_Toc266451752"/>
      <w:bookmarkStart w:id="536" w:name="_Toc343685859"/>
      <w:bookmarkStart w:id="537" w:name="_Toc466896286"/>
      <w:bookmarkStart w:id="538" w:name="_Toc445300934"/>
      <w:bookmarkStart w:id="539" w:name="_Toc349313211"/>
      <w:bookmarkStart w:id="540" w:name="_Toc495524314"/>
      <w:bookmarkStart w:id="541" w:name="_Toc504144548"/>
      <w:bookmarkStart w:id="542" w:name="_Toc5791"/>
      <w:bookmarkStart w:id="543" w:name="_Toc10732"/>
      <w:bookmarkStart w:id="544" w:name="_Toc515454664"/>
      <w:bookmarkStart w:id="545" w:name="_Toc27336"/>
      <w:r>
        <w:rPr>
          <w:rFonts w:hint="eastAsia" w:asciiTheme="minorEastAsia" w:hAnsiTheme="minorEastAsia" w:eastAsiaTheme="minorEastAsia" w:cstheme="minorEastAsia"/>
          <w:color w:val="auto"/>
          <w:kern w:val="2"/>
          <w:highlight w:val="none"/>
        </w:rPr>
        <w:t>8.1</w:t>
      </w:r>
      <w:bookmarkEnd w:id="535"/>
      <w:bookmarkEnd w:id="536"/>
      <w:bookmarkEnd w:id="537"/>
      <w:bookmarkEnd w:id="538"/>
      <w:bookmarkEnd w:id="539"/>
      <w:bookmarkEnd w:id="540"/>
      <w:bookmarkEnd w:id="541"/>
      <w:r>
        <w:rPr>
          <w:rFonts w:hint="eastAsia" w:asciiTheme="minorEastAsia" w:hAnsiTheme="minorEastAsia" w:eastAsiaTheme="minorEastAsia" w:cstheme="minorEastAsia"/>
          <w:color w:val="auto"/>
          <w:kern w:val="2"/>
          <w:highlight w:val="none"/>
        </w:rPr>
        <w:t>对招标人的纪律要求</w:t>
      </w:r>
      <w:bookmarkEnd w:id="542"/>
      <w:bookmarkEnd w:id="543"/>
      <w:bookmarkEnd w:id="544"/>
      <w:bookmarkEnd w:id="545"/>
    </w:p>
    <w:p w14:paraId="7E71952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546" w:name="_Toc343685860"/>
      <w:bookmarkStart w:id="547" w:name="_Toc495524315"/>
      <w:bookmarkStart w:id="548" w:name="_Toc504144549"/>
      <w:bookmarkStart w:id="549" w:name="_Toc445300935"/>
      <w:bookmarkStart w:id="550" w:name="_Toc466896287"/>
      <w:bookmarkStart w:id="551" w:name="_Toc266451753"/>
      <w:bookmarkStart w:id="552" w:name="_Toc349313212"/>
      <w:r>
        <w:rPr>
          <w:rFonts w:hint="eastAsia" w:asciiTheme="minorEastAsia" w:hAnsiTheme="minorEastAsia" w:eastAsiaTheme="minorEastAsia" w:cstheme="minorEastAsia"/>
          <w:color w:val="auto"/>
          <w:position w:val="0"/>
          <w:sz w:val="24"/>
          <w:szCs w:val="24"/>
          <w:highlight w:val="none"/>
        </w:rPr>
        <w:t>招标人不得泄露招标投标活动中应保密的情况和资料，不得与投标人串通损害国家利益、社会公共利益或他人合法权益。</w:t>
      </w:r>
    </w:p>
    <w:p w14:paraId="0392B114">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553" w:name="_Toc3816"/>
      <w:bookmarkStart w:id="554" w:name="_Toc13154"/>
      <w:bookmarkStart w:id="555" w:name="_Toc515454665"/>
      <w:bookmarkStart w:id="556" w:name="_Toc17739"/>
      <w:r>
        <w:rPr>
          <w:rFonts w:hint="eastAsia" w:asciiTheme="minorEastAsia" w:hAnsiTheme="minorEastAsia" w:eastAsiaTheme="minorEastAsia" w:cstheme="minorEastAsia"/>
          <w:color w:val="auto"/>
          <w:kern w:val="2"/>
          <w:highlight w:val="none"/>
        </w:rPr>
        <w:t>8.2</w:t>
      </w:r>
      <w:bookmarkEnd w:id="546"/>
      <w:bookmarkEnd w:id="547"/>
      <w:bookmarkEnd w:id="548"/>
      <w:bookmarkEnd w:id="549"/>
      <w:bookmarkEnd w:id="550"/>
      <w:bookmarkEnd w:id="551"/>
      <w:bookmarkEnd w:id="552"/>
      <w:r>
        <w:rPr>
          <w:rFonts w:hint="eastAsia" w:asciiTheme="minorEastAsia" w:hAnsiTheme="minorEastAsia" w:eastAsiaTheme="minorEastAsia" w:cstheme="minorEastAsia"/>
          <w:color w:val="auto"/>
          <w:kern w:val="2"/>
          <w:highlight w:val="none"/>
        </w:rPr>
        <w:t>对投标人的纪律要求</w:t>
      </w:r>
      <w:bookmarkEnd w:id="553"/>
      <w:bookmarkEnd w:id="554"/>
      <w:bookmarkEnd w:id="555"/>
      <w:bookmarkEnd w:id="556"/>
    </w:p>
    <w:p w14:paraId="51C7CBB3">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投标人不得相互串通投标或与招标人串通投标，不得向招标人或评标委员会成员行贿谋取中标，不得以他人名义投标或以其他方式弄虚作假骗取中标，投标人不得以任何方式干扰、影响评标工作。</w:t>
      </w:r>
    </w:p>
    <w:p w14:paraId="17DB2256">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557" w:name="_Toc32493"/>
      <w:bookmarkStart w:id="558" w:name="_Toc21155"/>
      <w:bookmarkStart w:id="559" w:name="_Toc17186"/>
      <w:bookmarkStart w:id="560" w:name="_Toc515454666"/>
      <w:r>
        <w:rPr>
          <w:rFonts w:hint="eastAsia" w:asciiTheme="minorEastAsia" w:hAnsiTheme="minorEastAsia" w:eastAsiaTheme="minorEastAsia" w:cstheme="minorEastAsia"/>
          <w:color w:val="auto"/>
          <w:kern w:val="2"/>
          <w:highlight w:val="none"/>
        </w:rPr>
        <w:t>8.3对评标委员会成员的纪律要求</w:t>
      </w:r>
      <w:bookmarkEnd w:id="557"/>
      <w:bookmarkEnd w:id="558"/>
      <w:bookmarkEnd w:id="559"/>
      <w:bookmarkEnd w:id="560"/>
    </w:p>
    <w:p w14:paraId="1238FDB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评标委员会成员不得收受他人的财物或其他好处，不得向他人透露对投标文件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283DD5A9">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561" w:name="_Toc30009"/>
      <w:bookmarkStart w:id="562" w:name="_Toc515454667"/>
      <w:bookmarkStart w:id="563" w:name="_Toc4131"/>
      <w:bookmarkStart w:id="564" w:name="_Toc5346"/>
      <w:r>
        <w:rPr>
          <w:rFonts w:hint="eastAsia" w:asciiTheme="minorEastAsia" w:hAnsiTheme="minorEastAsia" w:eastAsiaTheme="minorEastAsia" w:cstheme="minorEastAsia"/>
          <w:color w:val="auto"/>
          <w:kern w:val="2"/>
          <w:highlight w:val="none"/>
        </w:rPr>
        <w:t>8.4对与评标活动有关的工作人员的纪律要求</w:t>
      </w:r>
      <w:bookmarkEnd w:id="561"/>
      <w:bookmarkEnd w:id="562"/>
      <w:bookmarkEnd w:id="563"/>
      <w:bookmarkEnd w:id="564"/>
    </w:p>
    <w:p w14:paraId="0AEE42A3">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2181D294">
      <w:pPr>
        <w:pStyle w:val="5"/>
        <w:pageBreakBefore w:val="0"/>
        <w:kinsoku/>
        <w:wordWrap/>
        <w:overflowPunct/>
        <w:bidi w:val="0"/>
        <w:spacing w:before="25" w:after="25" w:line="360" w:lineRule="auto"/>
        <w:ind w:firstLine="200"/>
        <w:rPr>
          <w:rFonts w:hint="eastAsia" w:asciiTheme="minorEastAsia" w:hAnsiTheme="minorEastAsia" w:eastAsiaTheme="minorEastAsia" w:cstheme="minorEastAsia"/>
          <w:color w:val="auto"/>
          <w:kern w:val="2"/>
          <w:highlight w:val="none"/>
        </w:rPr>
      </w:pPr>
      <w:bookmarkStart w:id="565" w:name="_Toc5483"/>
      <w:bookmarkStart w:id="566" w:name="_Toc515454668"/>
      <w:bookmarkStart w:id="567" w:name="_Toc12938"/>
      <w:bookmarkStart w:id="568" w:name="_Toc17222"/>
      <w:r>
        <w:rPr>
          <w:rFonts w:hint="eastAsia" w:asciiTheme="minorEastAsia" w:hAnsiTheme="minorEastAsia" w:eastAsiaTheme="minorEastAsia" w:cstheme="minorEastAsia"/>
          <w:color w:val="auto"/>
          <w:kern w:val="2"/>
          <w:highlight w:val="none"/>
        </w:rPr>
        <w:t>8.5投诉</w:t>
      </w:r>
      <w:bookmarkEnd w:id="565"/>
      <w:bookmarkEnd w:id="566"/>
      <w:bookmarkEnd w:id="567"/>
      <w:bookmarkEnd w:id="568"/>
    </w:p>
    <w:p w14:paraId="44D8211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投标人或其他利害关系人认为本次招标活动违反法律、法规和规章规定的，有权向有关行政监督部门投诉。</w:t>
      </w:r>
    </w:p>
    <w:p w14:paraId="5D717355">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569" w:name="_Toc266451754"/>
      <w:bookmarkStart w:id="570" w:name="_Toc237060993"/>
      <w:bookmarkStart w:id="571" w:name="_Toc495524316"/>
      <w:bookmarkStart w:id="572" w:name="_Toc184635079"/>
      <w:bookmarkStart w:id="573" w:name="_Toc504144550"/>
      <w:bookmarkStart w:id="574" w:name="_Toc466896288"/>
      <w:bookmarkStart w:id="575" w:name="_Toc445300936"/>
      <w:bookmarkStart w:id="576" w:name="_Toc29844"/>
      <w:bookmarkStart w:id="577" w:name="_Toc9604"/>
      <w:r>
        <w:rPr>
          <w:rFonts w:hint="eastAsia" w:asciiTheme="minorEastAsia" w:hAnsiTheme="minorEastAsia" w:eastAsiaTheme="minorEastAsia" w:cstheme="minorEastAsia"/>
          <w:b w:val="0"/>
          <w:color w:val="auto"/>
          <w:position w:val="0"/>
          <w:sz w:val="24"/>
          <w:szCs w:val="24"/>
          <w:highlight w:val="none"/>
          <w:lang w:eastAsia="zh-CN"/>
        </w:rPr>
        <w:t>9.</w:t>
      </w:r>
      <w:bookmarkEnd w:id="569"/>
      <w:bookmarkEnd w:id="570"/>
      <w:bookmarkEnd w:id="571"/>
      <w:bookmarkEnd w:id="572"/>
      <w:bookmarkEnd w:id="573"/>
      <w:bookmarkEnd w:id="574"/>
      <w:bookmarkEnd w:id="575"/>
      <w:r>
        <w:rPr>
          <w:rFonts w:hint="eastAsia" w:asciiTheme="minorEastAsia" w:hAnsiTheme="minorEastAsia" w:eastAsiaTheme="minorEastAsia" w:cstheme="minorEastAsia"/>
          <w:b w:val="0"/>
          <w:color w:val="auto"/>
          <w:position w:val="0"/>
          <w:sz w:val="24"/>
          <w:szCs w:val="24"/>
          <w:highlight w:val="none"/>
        </w:rPr>
        <w:t>需要补充的其他内容</w:t>
      </w:r>
      <w:bookmarkEnd w:id="576"/>
      <w:bookmarkEnd w:id="577"/>
    </w:p>
    <w:p w14:paraId="489EA09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需要补充的其他内容：见投标人须知前附表。</w:t>
      </w:r>
    </w:p>
    <w:p w14:paraId="49BFE049">
      <w:pPr>
        <w:pStyle w:val="4"/>
        <w:pageBreakBefore w:val="0"/>
        <w:kinsoku/>
        <w:wordWrap/>
        <w:overflowPunct/>
        <w:bidi w:val="0"/>
        <w:spacing w:before="60" w:beforeLines="25" w:after="60" w:afterLines="25" w:line="360" w:lineRule="auto"/>
        <w:rPr>
          <w:rFonts w:hint="eastAsia" w:asciiTheme="minorEastAsia" w:hAnsiTheme="minorEastAsia" w:eastAsiaTheme="minorEastAsia" w:cstheme="minorEastAsia"/>
          <w:b w:val="0"/>
          <w:color w:val="auto"/>
          <w:position w:val="0"/>
          <w:sz w:val="24"/>
          <w:szCs w:val="24"/>
          <w:highlight w:val="none"/>
        </w:rPr>
      </w:pPr>
      <w:bookmarkStart w:id="578" w:name="_Toc30044"/>
      <w:bookmarkStart w:id="579" w:name="_Toc17640"/>
      <w:r>
        <w:rPr>
          <w:rFonts w:hint="eastAsia" w:asciiTheme="minorEastAsia" w:hAnsiTheme="minorEastAsia" w:eastAsiaTheme="minorEastAsia" w:cstheme="minorEastAsia"/>
          <w:b w:val="0"/>
          <w:color w:val="auto"/>
          <w:position w:val="0"/>
          <w:sz w:val="24"/>
          <w:szCs w:val="24"/>
          <w:highlight w:val="none"/>
          <w:lang w:eastAsia="zh-CN"/>
        </w:rPr>
        <w:t>10.</w:t>
      </w:r>
      <w:r>
        <w:rPr>
          <w:rFonts w:hint="eastAsia" w:asciiTheme="minorEastAsia" w:hAnsiTheme="minorEastAsia" w:eastAsiaTheme="minorEastAsia" w:cstheme="minorEastAsia"/>
          <w:b w:val="0"/>
          <w:color w:val="auto"/>
          <w:position w:val="0"/>
          <w:sz w:val="24"/>
          <w:szCs w:val="24"/>
          <w:highlight w:val="none"/>
        </w:rPr>
        <w:t>电子招标投标</w:t>
      </w:r>
      <w:bookmarkEnd w:id="578"/>
      <w:bookmarkEnd w:id="579"/>
    </w:p>
    <w:p w14:paraId="0B6B242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本招标项目是否采用电子招标投标方式，见投标人须知前附表。</w:t>
      </w:r>
    </w:p>
    <w:p w14:paraId="13913540">
      <w:pPr>
        <w:pageBreakBefore w:val="0"/>
        <w:kinsoku/>
        <w:wordWrap/>
        <w:overflowPunct/>
        <w:bidi w:val="0"/>
        <w:spacing w:before="60" w:beforeLines="25" w:after="60" w:afterLines="25" w:line="360" w:lineRule="auto"/>
        <w:ind w:firstLine="301" w:firstLineChars="200"/>
        <w:rPr>
          <w:rFonts w:hint="eastAsia" w:asciiTheme="minorEastAsia" w:hAnsiTheme="minorEastAsia" w:eastAsiaTheme="minorEastAsia" w:cstheme="minorEastAsia"/>
          <w:b/>
          <w:bCs/>
          <w:color w:val="auto"/>
          <w:position w:val="0"/>
          <w:sz w:val="15"/>
          <w:szCs w:val="15"/>
          <w:highlight w:val="none"/>
        </w:rPr>
      </w:pPr>
      <w:r>
        <w:rPr>
          <w:rFonts w:hint="eastAsia" w:asciiTheme="minorEastAsia" w:hAnsiTheme="minorEastAsia" w:eastAsiaTheme="minorEastAsia" w:cstheme="minorEastAsia"/>
          <w:b/>
          <w:bCs/>
          <w:color w:val="auto"/>
          <w:position w:val="0"/>
          <w:sz w:val="15"/>
          <w:szCs w:val="15"/>
          <w:highlight w:val="none"/>
        </w:rPr>
        <w:br w:type="page"/>
      </w:r>
    </w:p>
    <w:p w14:paraId="2ADB9A9D">
      <w:pPr>
        <w:pStyle w:val="4"/>
        <w:pageBreakBefore w:val="0"/>
        <w:kinsoku/>
        <w:wordWrap/>
        <w:overflowPunct/>
        <w:bidi w:val="0"/>
        <w:spacing w:before="60" w:beforeLines="25" w:after="60" w:afterLines="25" w:line="360" w:lineRule="auto"/>
        <w:ind w:firstLine="560" w:firstLineChars="200"/>
        <w:jc w:val="center"/>
        <w:rPr>
          <w:rFonts w:hint="eastAsia" w:asciiTheme="minorEastAsia" w:hAnsiTheme="minorEastAsia" w:eastAsiaTheme="minorEastAsia" w:cstheme="minorEastAsia"/>
          <w:b w:val="0"/>
          <w:color w:val="auto"/>
          <w:sz w:val="28"/>
          <w:szCs w:val="28"/>
          <w:highlight w:val="none"/>
        </w:rPr>
      </w:pPr>
      <w:bookmarkStart w:id="580" w:name="_Toc14243"/>
      <w:bookmarkStart w:id="581" w:name="_Toc6657"/>
      <w:bookmarkStart w:id="582" w:name="_Toc20185"/>
      <w:bookmarkStart w:id="583" w:name="_Toc266451761"/>
      <w:bookmarkStart w:id="584" w:name="_Toc495524323"/>
      <w:bookmarkStart w:id="585" w:name="_Toc366312368"/>
      <w:bookmarkStart w:id="586" w:name="_Toc445300943"/>
      <w:bookmarkStart w:id="587" w:name="_Toc466896295"/>
      <w:bookmarkStart w:id="588" w:name="_Toc237060995"/>
      <w:r>
        <w:rPr>
          <w:rFonts w:hint="eastAsia" w:asciiTheme="minorEastAsia" w:hAnsiTheme="minorEastAsia" w:eastAsiaTheme="minorEastAsia" w:cstheme="minorEastAsia"/>
          <w:b w:val="0"/>
          <w:color w:val="auto"/>
          <w:sz w:val="28"/>
          <w:szCs w:val="28"/>
          <w:highlight w:val="none"/>
        </w:rPr>
        <w:t>电子投标文件编制及招标投标的要求</w:t>
      </w:r>
      <w:bookmarkEnd w:id="580"/>
      <w:bookmarkEnd w:id="581"/>
      <w:bookmarkEnd w:id="582"/>
    </w:p>
    <w:p w14:paraId="369B9BD2">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lang w:eastAsia="zh-CN"/>
        </w:rPr>
      </w:pPr>
    </w:p>
    <w:p w14:paraId="0C56240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1.</w:t>
      </w:r>
      <w:r>
        <w:rPr>
          <w:rFonts w:hint="eastAsia" w:asciiTheme="minorEastAsia" w:hAnsiTheme="minorEastAsia" w:eastAsiaTheme="minorEastAsia" w:cstheme="minorEastAsia"/>
          <w:color w:val="auto"/>
          <w:position w:val="0"/>
          <w:sz w:val="24"/>
          <w:szCs w:val="24"/>
          <w:highlight w:val="none"/>
        </w:rPr>
        <w:t>电子投标文件的制作必须使用《云南省工程建设模块化投标文件编制系统》，生成电子签名的技术标投标文件，格式为*.BTBJ（此文件必须网上递交）。</w:t>
      </w:r>
    </w:p>
    <w:p w14:paraId="52626AE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2.</w:t>
      </w:r>
      <w:r>
        <w:rPr>
          <w:rFonts w:hint="eastAsia" w:asciiTheme="minorEastAsia" w:hAnsiTheme="minorEastAsia" w:eastAsiaTheme="minorEastAsia" w:cstheme="minorEastAsia"/>
          <w:color w:val="auto"/>
          <w:position w:val="0"/>
          <w:sz w:val="24"/>
          <w:szCs w:val="24"/>
          <w:highlight w:val="none"/>
        </w:rPr>
        <w:t>《云南省工程建设模块化投标文件编制系统》提供数字证书（CA）对投标文件进行加密功能。投标人对网上递交的投标文件应加密。如果投标人使用某个数字证书（CA）对投标文件进行了数字证书（CA）加密，需要在开标会上使用该数字证书（CA）进行解密，才能读取和导入投标文件，因投标人原因造成投标文件未解密的，视为撤回其投标文件。</w:t>
      </w:r>
    </w:p>
    <w:p w14:paraId="427F6F9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3.</w:t>
      </w:r>
      <w:r>
        <w:rPr>
          <w:rFonts w:hint="eastAsia" w:asciiTheme="minorEastAsia" w:hAnsiTheme="minorEastAsia" w:eastAsiaTheme="minorEastAsia" w:cstheme="minorEastAsia"/>
          <w:color w:val="auto"/>
          <w:position w:val="0"/>
          <w:sz w:val="24"/>
          <w:szCs w:val="24"/>
          <w:highlight w:val="none"/>
        </w:rPr>
        <w:t>网上递交投标文件应根据招标文件要求，在投标截止时间前将电子投标文件通过网上上传指定的开标项目，并打印“上传投标文件回执”，以表明上传成功。</w:t>
      </w:r>
    </w:p>
    <w:p w14:paraId="2FDDABF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4.</w:t>
      </w:r>
      <w:r>
        <w:rPr>
          <w:rFonts w:hint="eastAsia" w:asciiTheme="minorEastAsia" w:hAnsiTheme="minorEastAsia" w:eastAsiaTheme="minorEastAsia" w:cstheme="minorEastAsia"/>
          <w:color w:val="auto"/>
          <w:position w:val="0"/>
          <w:sz w:val="24"/>
          <w:szCs w:val="24"/>
          <w:highlight w:val="none"/>
        </w:rPr>
        <w:t>投标人投标时，须按本附件“电子投标文件编制及报送要求”规定编制及网上递交电子投标文件。</w:t>
      </w:r>
    </w:p>
    <w:p w14:paraId="68961B0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5.</w:t>
      </w:r>
      <w:r>
        <w:rPr>
          <w:rFonts w:hint="eastAsia" w:asciiTheme="minorEastAsia" w:hAnsiTheme="minorEastAsia" w:eastAsiaTheme="minorEastAsia" w:cstheme="minorEastAsia"/>
          <w:color w:val="auto"/>
          <w:position w:val="0"/>
          <w:sz w:val="24"/>
          <w:szCs w:val="24"/>
          <w:highlight w:val="none"/>
        </w:rPr>
        <w:t>该投标文件制作及报送要求如果与招标文件规定不一致，以此投标文件制作及报送要求为准。</w:t>
      </w:r>
    </w:p>
    <w:p w14:paraId="2E585F4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6.</w:t>
      </w:r>
      <w:r>
        <w:rPr>
          <w:rFonts w:hint="eastAsia" w:asciiTheme="minorEastAsia" w:hAnsiTheme="minorEastAsia" w:eastAsiaTheme="minorEastAsia" w:cstheme="minorEastAsia"/>
          <w:color w:val="auto"/>
          <w:position w:val="0"/>
          <w:sz w:val="24"/>
          <w:szCs w:val="24"/>
          <w:highlight w:val="none"/>
        </w:rPr>
        <w:t>在编制技术标投标文件时，粘贴图片使用JPG格式的文件，每张图片的</w:t>
      </w:r>
      <w:r>
        <w:rPr>
          <w:rFonts w:hint="eastAsia" w:asciiTheme="minorEastAsia" w:hAnsiTheme="minorEastAsia" w:eastAsiaTheme="minorEastAsia" w:cstheme="minorEastAsia"/>
          <w:color w:val="auto"/>
          <w:position w:val="0"/>
          <w:sz w:val="24"/>
          <w:szCs w:val="24"/>
          <w:highlight w:val="none"/>
          <w:lang w:eastAsia="zh-CN"/>
        </w:rPr>
        <w:t>分辨率</w:t>
      </w:r>
      <w:r>
        <w:rPr>
          <w:rFonts w:hint="eastAsia" w:asciiTheme="minorEastAsia" w:hAnsiTheme="minorEastAsia" w:eastAsiaTheme="minorEastAsia" w:cstheme="minorEastAsia"/>
          <w:color w:val="auto"/>
          <w:position w:val="0"/>
          <w:sz w:val="24"/>
          <w:szCs w:val="24"/>
          <w:highlight w:val="none"/>
        </w:rPr>
        <w:t>应小于100dpi，最终的每份标书文件所占用的磁盘空间必须小于100M。</w:t>
      </w:r>
    </w:p>
    <w:p w14:paraId="2D5B865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7.</w:t>
      </w:r>
      <w:r>
        <w:rPr>
          <w:rFonts w:hint="eastAsia" w:asciiTheme="minorEastAsia" w:hAnsiTheme="minorEastAsia" w:eastAsiaTheme="minorEastAsia" w:cstheme="minorEastAsia"/>
          <w:color w:val="auto"/>
          <w:position w:val="0"/>
          <w:sz w:val="24"/>
          <w:szCs w:val="24"/>
          <w:highlight w:val="none"/>
        </w:rPr>
        <w:t>如果要求提供电子效果图纸文件/电子视频演示文件，也必须使用《云南省工程建设模块化投标文件编制系统》制作生成电子签名的效果图纸文件（格式为*.BTBT）/视频演示文件（格式为*.BTBY），这两个文件必须网上递交上传，文件大小须小于1G。</w:t>
      </w:r>
    </w:p>
    <w:p w14:paraId="5FED50F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注：不同单位的投标文件若芯片序列号、硬盘序列号、网卡序列号一致，视为由同一台电脑编制！</w:t>
      </w:r>
    </w:p>
    <w:p w14:paraId="3D370FD8">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p>
    <w:p w14:paraId="717A9351">
      <w:pPr>
        <w:pageBreakBefore w:val="0"/>
        <w:widowControl/>
        <w:kinsoku/>
        <w:wordWrap/>
        <w:overflowPunct/>
        <w:bidi w:val="0"/>
        <w:spacing w:line="360" w:lineRule="auto"/>
        <w:jc w:val="left"/>
        <w:rPr>
          <w:rFonts w:hint="eastAsia" w:asciiTheme="minorEastAsia" w:hAnsiTheme="minorEastAsia" w:eastAsiaTheme="minorEastAsia" w:cstheme="minorEastAsia"/>
          <w:bCs/>
          <w:color w:val="auto"/>
          <w:position w:val="0"/>
          <w:szCs w:val="21"/>
          <w:highlight w:val="none"/>
        </w:rPr>
      </w:pPr>
      <w:r>
        <w:rPr>
          <w:rFonts w:hint="eastAsia" w:asciiTheme="minorEastAsia" w:hAnsiTheme="minorEastAsia" w:eastAsiaTheme="minorEastAsia" w:cstheme="minorEastAsia"/>
          <w:b/>
          <w:color w:val="auto"/>
          <w:position w:val="0"/>
          <w:szCs w:val="21"/>
          <w:highlight w:val="none"/>
        </w:rPr>
        <w:br w:type="page"/>
      </w:r>
    </w:p>
    <w:bookmarkEnd w:id="583"/>
    <w:bookmarkEnd w:id="584"/>
    <w:bookmarkEnd w:id="585"/>
    <w:bookmarkEnd w:id="586"/>
    <w:bookmarkEnd w:id="587"/>
    <w:bookmarkEnd w:id="588"/>
    <w:p w14:paraId="35B25F78">
      <w:pPr>
        <w:pStyle w:val="2"/>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30"/>
          <w:szCs w:val="30"/>
          <w:highlight w:val="none"/>
        </w:rPr>
      </w:pPr>
      <w:bookmarkStart w:id="589" w:name="_Toc445300949"/>
      <w:bookmarkStart w:id="590" w:name="_Toc237061001"/>
      <w:bookmarkStart w:id="591" w:name="_Toc30422"/>
      <w:bookmarkStart w:id="592" w:name="_Toc495524329"/>
      <w:bookmarkStart w:id="593" w:name="_Toc24901"/>
      <w:bookmarkStart w:id="594" w:name="_Toc12933"/>
      <w:r>
        <w:rPr>
          <w:rFonts w:hint="eastAsia" w:asciiTheme="minorEastAsia" w:hAnsiTheme="minorEastAsia" w:eastAsiaTheme="minorEastAsia" w:cstheme="minorEastAsia"/>
          <w:b/>
          <w:bCs w:val="0"/>
          <w:color w:val="auto"/>
          <w:kern w:val="2"/>
          <w:sz w:val="32"/>
          <w:szCs w:val="32"/>
          <w:highlight w:val="none"/>
          <w:lang w:val="en-US" w:eastAsia="zh-CN"/>
        </w:rPr>
        <w:t xml:space="preserve">第三章  </w:t>
      </w:r>
      <w:bookmarkEnd w:id="589"/>
      <w:bookmarkEnd w:id="590"/>
      <w:bookmarkEnd w:id="591"/>
      <w:bookmarkEnd w:id="592"/>
      <w:bookmarkEnd w:id="593"/>
      <w:r>
        <w:rPr>
          <w:rFonts w:hint="eastAsia" w:asciiTheme="minorEastAsia" w:hAnsiTheme="minorEastAsia" w:eastAsiaTheme="minorEastAsia" w:cstheme="minorEastAsia"/>
          <w:b/>
          <w:bCs/>
          <w:color w:val="auto"/>
          <w:position w:val="0"/>
          <w:sz w:val="30"/>
          <w:szCs w:val="30"/>
          <w:highlight w:val="none"/>
        </w:rPr>
        <w:t>评标办法</w:t>
      </w:r>
      <w:bookmarkStart w:id="595" w:name="_Toc266451768"/>
      <w:r>
        <w:rPr>
          <w:rFonts w:hint="eastAsia" w:asciiTheme="minorEastAsia" w:hAnsiTheme="minorEastAsia" w:eastAsiaTheme="minorEastAsia" w:cstheme="minorEastAsia"/>
          <w:b/>
          <w:bCs/>
          <w:color w:val="auto"/>
          <w:position w:val="0"/>
          <w:sz w:val="30"/>
          <w:szCs w:val="30"/>
          <w:highlight w:val="none"/>
        </w:rPr>
        <w:t>（综合评估法）</w:t>
      </w:r>
      <w:bookmarkEnd w:id="594"/>
      <w:bookmarkEnd w:id="595"/>
    </w:p>
    <w:p w14:paraId="16E8EC55">
      <w:pPr>
        <w:pStyle w:val="3"/>
        <w:pageBreakBefore w:val="0"/>
        <w:widowControl/>
        <w:kinsoku/>
        <w:wordWrap/>
        <w:overflowPunct/>
        <w:bidi w:val="0"/>
        <w:spacing w:line="360" w:lineRule="auto"/>
        <w:ind w:firstLine="560" w:firstLineChars="200"/>
        <w:jc w:val="center"/>
        <w:outlineLvl w:val="1"/>
        <w:rPr>
          <w:rFonts w:hint="eastAsia" w:asciiTheme="minorEastAsia" w:hAnsiTheme="minorEastAsia" w:eastAsiaTheme="minorEastAsia" w:cstheme="minorEastAsia"/>
          <w:b w:val="0"/>
          <w:color w:val="auto"/>
          <w:position w:val="0"/>
          <w:sz w:val="28"/>
          <w:szCs w:val="28"/>
          <w:highlight w:val="none"/>
        </w:rPr>
      </w:pPr>
      <w:bookmarkStart w:id="596" w:name="_Toc14994"/>
      <w:r>
        <w:rPr>
          <w:rFonts w:hint="eastAsia" w:asciiTheme="minorEastAsia" w:hAnsiTheme="minorEastAsia" w:eastAsiaTheme="minorEastAsia" w:cstheme="minorEastAsia"/>
          <w:b w:val="0"/>
          <w:color w:val="auto"/>
          <w:position w:val="0"/>
          <w:sz w:val="28"/>
          <w:szCs w:val="28"/>
          <w:highlight w:val="none"/>
        </w:rPr>
        <w:t>评标办法前附表</w:t>
      </w:r>
      <w:bookmarkEnd w:id="596"/>
    </w:p>
    <w:tbl>
      <w:tblPr>
        <w:tblStyle w:val="45"/>
        <w:tblW w:w="979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63"/>
        <w:gridCol w:w="1134"/>
        <w:gridCol w:w="1908"/>
        <w:gridCol w:w="5888"/>
      </w:tblGrid>
      <w:tr w14:paraId="74621EA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997" w:type="dxa"/>
            <w:gridSpan w:val="2"/>
            <w:vAlign w:val="center"/>
          </w:tcPr>
          <w:p w14:paraId="1DB814E1">
            <w:pPr>
              <w:pageBreakBefore w:val="0"/>
              <w:kinsoku/>
              <w:wordWrap/>
              <w:overflowPunct/>
              <w:bidi w:val="0"/>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1908" w:type="dxa"/>
            <w:vAlign w:val="center"/>
          </w:tcPr>
          <w:p w14:paraId="738EE903">
            <w:pPr>
              <w:pageBreakBefore w:val="0"/>
              <w:kinsoku/>
              <w:wordWrap/>
              <w:overflowPunct/>
              <w:bidi w:val="0"/>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888" w:type="dxa"/>
            <w:vAlign w:val="center"/>
          </w:tcPr>
          <w:p w14:paraId="0DDB39B0">
            <w:pPr>
              <w:pageBreakBefore w:val="0"/>
              <w:kinsoku/>
              <w:wordWrap/>
              <w:overflowPunct/>
              <w:bidi w:val="0"/>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14:paraId="5D3E964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63" w:hRule="atLeast"/>
          <w:jc w:val="center"/>
        </w:trPr>
        <w:tc>
          <w:tcPr>
            <w:tcW w:w="863" w:type="dxa"/>
            <w:vMerge w:val="restart"/>
            <w:vAlign w:val="center"/>
          </w:tcPr>
          <w:p w14:paraId="117DC032">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1134" w:type="dxa"/>
            <w:vMerge w:val="restart"/>
            <w:vAlign w:val="center"/>
          </w:tcPr>
          <w:p w14:paraId="1AFE99E2">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形式评审标准</w:t>
            </w:r>
          </w:p>
        </w:tc>
        <w:tc>
          <w:tcPr>
            <w:tcW w:w="1908" w:type="dxa"/>
            <w:vAlign w:val="center"/>
          </w:tcPr>
          <w:p w14:paraId="3BE29ED1">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p>
        </w:tc>
        <w:tc>
          <w:tcPr>
            <w:tcW w:w="5888" w:type="dxa"/>
            <w:vAlign w:val="center"/>
          </w:tcPr>
          <w:p w14:paraId="7343DDD4">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与营业执照、资质证书、安全生产许可证（施工单位提供）一致</w:t>
            </w:r>
          </w:p>
        </w:tc>
      </w:tr>
      <w:tr w14:paraId="6A2A7D4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18FB721F">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0EC01FCE">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330CAB9D">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签字盖章</w:t>
            </w:r>
          </w:p>
        </w:tc>
        <w:tc>
          <w:tcPr>
            <w:tcW w:w="5888" w:type="dxa"/>
            <w:vAlign w:val="center"/>
          </w:tcPr>
          <w:p w14:paraId="2849F4A9">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符合第二章“投标人须知”第3.7.3项要求</w:t>
            </w:r>
          </w:p>
        </w:tc>
      </w:tr>
      <w:tr w14:paraId="4269FD1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03C985CD">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34AF97E3">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519F0B56">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投标文件格式</w:t>
            </w:r>
          </w:p>
        </w:tc>
        <w:tc>
          <w:tcPr>
            <w:tcW w:w="5888" w:type="dxa"/>
            <w:vAlign w:val="center"/>
          </w:tcPr>
          <w:p w14:paraId="06F30F84">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符合第</w:t>
            </w:r>
            <w:r>
              <w:rPr>
                <w:rFonts w:hint="eastAsia" w:asciiTheme="minorEastAsia" w:hAnsiTheme="minorEastAsia" w:eastAsiaTheme="minorEastAsia" w:cstheme="minorEastAsia"/>
                <w:color w:val="auto"/>
                <w:sz w:val="24"/>
                <w:szCs w:val="24"/>
                <w:highlight w:val="none"/>
                <w:lang w:val="en-US" w:eastAsia="zh-CN"/>
              </w:rPr>
              <w:t>六</w:t>
            </w:r>
            <w:r>
              <w:rPr>
                <w:rFonts w:hint="eastAsia" w:asciiTheme="minorEastAsia" w:hAnsiTheme="minorEastAsia" w:eastAsiaTheme="minorEastAsia" w:cstheme="minorEastAsia"/>
                <w:color w:val="auto"/>
                <w:sz w:val="24"/>
                <w:szCs w:val="24"/>
                <w:highlight w:val="none"/>
              </w:rPr>
              <w:t>章“投标文件格式”的要求</w:t>
            </w:r>
          </w:p>
        </w:tc>
      </w:tr>
      <w:tr w14:paraId="5732DF4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1FB639DD">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753BC77D">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759C304F">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联合体投标人</w:t>
            </w:r>
          </w:p>
        </w:tc>
        <w:tc>
          <w:tcPr>
            <w:tcW w:w="5888" w:type="dxa"/>
            <w:vAlign w:val="center"/>
          </w:tcPr>
          <w:p w14:paraId="2A7F718B">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提交联合体协议书，并明确联合体牵头人（</w:t>
            </w:r>
            <w:r>
              <w:rPr>
                <w:rFonts w:hint="eastAsia" w:asciiTheme="minorEastAsia" w:hAnsiTheme="minorEastAsia" w:eastAsiaTheme="minorEastAsia" w:cstheme="minorEastAsia"/>
                <w:color w:val="auto"/>
                <w:sz w:val="24"/>
                <w:szCs w:val="24"/>
                <w:highlight w:val="none"/>
                <w:lang w:val="en-US" w:eastAsia="zh-CN"/>
              </w:rPr>
              <w:t>本条仅适用于联合体投标的情况</w:t>
            </w:r>
            <w:r>
              <w:rPr>
                <w:rFonts w:hint="eastAsia" w:asciiTheme="minorEastAsia" w:hAnsiTheme="minorEastAsia" w:eastAsiaTheme="minorEastAsia" w:cstheme="minorEastAsia"/>
                <w:color w:val="auto"/>
                <w:sz w:val="24"/>
                <w:szCs w:val="24"/>
                <w:highlight w:val="none"/>
                <w:lang w:eastAsia="zh-CN"/>
              </w:rPr>
              <w:t>）</w:t>
            </w:r>
          </w:p>
        </w:tc>
      </w:tr>
      <w:tr w14:paraId="2E28294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tcBorders>
              <w:bottom w:val="single" w:color="auto" w:sz="4" w:space="0"/>
            </w:tcBorders>
            <w:vAlign w:val="center"/>
          </w:tcPr>
          <w:p w14:paraId="72C225AA">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tcBorders>
              <w:bottom w:val="single" w:color="auto" w:sz="4" w:space="0"/>
            </w:tcBorders>
            <w:vAlign w:val="center"/>
          </w:tcPr>
          <w:p w14:paraId="213462BE">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78D6E234">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报价唯一</w:t>
            </w:r>
          </w:p>
        </w:tc>
        <w:tc>
          <w:tcPr>
            <w:tcW w:w="5888" w:type="dxa"/>
            <w:vAlign w:val="center"/>
          </w:tcPr>
          <w:p w14:paraId="1695E048">
            <w:pPr>
              <w:keepNext w:val="0"/>
              <w:keepLines w:val="0"/>
              <w:pageBreakBefore w:val="0"/>
              <w:widowControl w:val="0"/>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snapToGrid w:val="0"/>
                <w:color w:val="auto"/>
                <w:kern w:val="0"/>
                <w:sz w:val="24"/>
                <w:szCs w:val="24"/>
                <w:highlight w:val="none"/>
                <w:lang w:val="en-US" w:eastAsia="zh-CN"/>
              </w:rPr>
            </w:pPr>
            <w:r>
              <w:rPr>
                <w:rFonts w:hint="eastAsia" w:asciiTheme="minorEastAsia" w:hAnsiTheme="minorEastAsia" w:eastAsiaTheme="minorEastAsia" w:cstheme="minorEastAsia"/>
                <w:snapToGrid w:val="0"/>
                <w:color w:val="auto"/>
                <w:kern w:val="0"/>
                <w:sz w:val="24"/>
                <w:szCs w:val="24"/>
                <w:highlight w:val="none"/>
                <w:lang w:val="en-US" w:eastAsia="zh-CN"/>
              </w:rPr>
              <w:t>只能有一个有效报价</w:t>
            </w:r>
          </w:p>
        </w:tc>
      </w:tr>
      <w:tr w14:paraId="3DC9770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restart"/>
            <w:tcBorders>
              <w:top w:val="single" w:color="auto" w:sz="4" w:space="0"/>
            </w:tcBorders>
            <w:vAlign w:val="center"/>
          </w:tcPr>
          <w:p w14:paraId="731716B2">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1134" w:type="dxa"/>
            <w:vMerge w:val="restart"/>
            <w:tcBorders>
              <w:top w:val="single" w:color="auto" w:sz="4" w:space="0"/>
            </w:tcBorders>
            <w:vAlign w:val="center"/>
          </w:tcPr>
          <w:p w14:paraId="0E9AD85C">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资格评审标准</w:t>
            </w:r>
          </w:p>
        </w:tc>
        <w:tc>
          <w:tcPr>
            <w:tcW w:w="1908" w:type="dxa"/>
            <w:vAlign w:val="center"/>
          </w:tcPr>
          <w:p w14:paraId="4DCDD7F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资质</w:t>
            </w:r>
            <w:r>
              <w:rPr>
                <w:rFonts w:hint="eastAsia" w:asciiTheme="minorEastAsia" w:hAnsiTheme="minorEastAsia" w:eastAsiaTheme="minorEastAsia" w:cstheme="minorEastAsia"/>
                <w:color w:val="auto"/>
                <w:sz w:val="24"/>
                <w:szCs w:val="24"/>
                <w:highlight w:val="none"/>
                <w:lang w:val="en-US" w:eastAsia="zh-CN"/>
              </w:rPr>
              <w:t>要求</w:t>
            </w:r>
          </w:p>
        </w:tc>
        <w:tc>
          <w:tcPr>
            <w:tcW w:w="5888" w:type="dxa"/>
            <w:vAlign w:val="center"/>
          </w:tcPr>
          <w:p w14:paraId="519D34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符合第二章“投标人须知”第1.4.1项规定</w:t>
            </w:r>
          </w:p>
        </w:tc>
      </w:tr>
      <w:tr w14:paraId="282CA1A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2D23CB2C">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3992637D">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77CED6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财务要求</w:t>
            </w:r>
          </w:p>
        </w:tc>
        <w:tc>
          <w:tcPr>
            <w:tcW w:w="5888" w:type="dxa"/>
            <w:vAlign w:val="center"/>
          </w:tcPr>
          <w:p w14:paraId="72F394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符合第二章“投标人须知”第1.4.1项规定</w:t>
            </w:r>
          </w:p>
        </w:tc>
      </w:tr>
      <w:tr w14:paraId="4E7F0E9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256AC3CB">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3CF18BFB">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48C1862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人员要求</w:t>
            </w:r>
          </w:p>
        </w:tc>
        <w:tc>
          <w:tcPr>
            <w:tcW w:w="5888" w:type="dxa"/>
            <w:vAlign w:val="center"/>
          </w:tcPr>
          <w:p w14:paraId="7FEA337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符合第二章“投标人须知”第1.4.1项规定</w:t>
            </w:r>
          </w:p>
        </w:tc>
      </w:tr>
      <w:tr w14:paraId="4FFB843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050C4568">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705B61A5">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shd w:val="clear" w:color="auto" w:fill="auto"/>
            <w:vAlign w:val="center"/>
          </w:tcPr>
          <w:p w14:paraId="01F1CB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auto"/>
                <w:kern w:val="2"/>
                <w:position w:val="-6"/>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信誉要求</w:t>
            </w:r>
          </w:p>
        </w:tc>
        <w:tc>
          <w:tcPr>
            <w:tcW w:w="5888" w:type="dxa"/>
            <w:shd w:val="clear" w:color="auto" w:fill="auto"/>
            <w:vAlign w:val="center"/>
          </w:tcPr>
          <w:p w14:paraId="6C67E9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Theme="minorEastAsia" w:hAnsiTheme="minorEastAsia" w:eastAsiaTheme="minorEastAsia" w:cstheme="minorEastAsia"/>
                <w:color w:val="auto"/>
                <w:kern w:val="2"/>
                <w:position w:val="-6"/>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符合第二章“投标人须知”第1.4.1项规定</w:t>
            </w:r>
          </w:p>
        </w:tc>
      </w:tr>
      <w:tr w14:paraId="2696360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244F7187">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1F899F85">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3EB1F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其他要求</w:t>
            </w:r>
          </w:p>
        </w:tc>
        <w:tc>
          <w:tcPr>
            <w:tcW w:w="5888" w:type="dxa"/>
            <w:vAlign w:val="center"/>
          </w:tcPr>
          <w:p w14:paraId="3A1C218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符合第二章“投标人须知”第1.4项规定</w:t>
            </w:r>
          </w:p>
        </w:tc>
      </w:tr>
      <w:tr w14:paraId="374C1BD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restart"/>
            <w:vAlign w:val="center"/>
          </w:tcPr>
          <w:p w14:paraId="78F3DD10">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w:t>
            </w:r>
          </w:p>
        </w:tc>
        <w:tc>
          <w:tcPr>
            <w:tcW w:w="1134" w:type="dxa"/>
            <w:vMerge w:val="restart"/>
            <w:vAlign w:val="center"/>
          </w:tcPr>
          <w:p w14:paraId="3D4EA151">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响应性评审标准</w:t>
            </w:r>
          </w:p>
        </w:tc>
        <w:tc>
          <w:tcPr>
            <w:tcW w:w="1908" w:type="dxa"/>
            <w:vAlign w:val="center"/>
          </w:tcPr>
          <w:p w14:paraId="274D59F7">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投标报价</w:t>
            </w:r>
          </w:p>
        </w:tc>
        <w:tc>
          <w:tcPr>
            <w:tcW w:w="5888" w:type="dxa"/>
            <w:vAlign w:val="center"/>
          </w:tcPr>
          <w:p w14:paraId="3B144BB5">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napToGrid w:val="0"/>
                <w:color w:val="auto"/>
                <w:kern w:val="0"/>
                <w:sz w:val="24"/>
                <w:szCs w:val="24"/>
                <w:highlight w:val="none"/>
                <w:lang w:eastAsia="zh-CN"/>
              </w:rPr>
            </w:pPr>
            <w:r>
              <w:rPr>
                <w:rFonts w:hint="eastAsia" w:asciiTheme="minorEastAsia" w:hAnsiTheme="minorEastAsia" w:eastAsiaTheme="minorEastAsia" w:cstheme="minorEastAsia"/>
                <w:snapToGrid w:val="0"/>
                <w:color w:val="auto"/>
                <w:kern w:val="0"/>
                <w:position w:val="0"/>
                <w:sz w:val="24"/>
                <w:szCs w:val="24"/>
                <w:highlight w:val="none"/>
              </w:rPr>
              <w:t>符合第二章“投标人须知”第3.2.4项</w:t>
            </w: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3.2.5项</w:t>
            </w:r>
            <w:r>
              <w:rPr>
                <w:rFonts w:hint="eastAsia" w:asciiTheme="minorEastAsia" w:hAnsiTheme="minorEastAsia" w:eastAsiaTheme="minorEastAsia" w:cstheme="minorEastAsia"/>
                <w:snapToGrid w:val="0"/>
                <w:color w:val="auto"/>
                <w:kern w:val="0"/>
                <w:position w:val="0"/>
                <w:sz w:val="24"/>
                <w:szCs w:val="24"/>
                <w:highlight w:val="none"/>
              </w:rPr>
              <w:t>规定</w:t>
            </w:r>
            <w:r>
              <w:rPr>
                <w:rFonts w:hint="eastAsia" w:asciiTheme="minorEastAsia" w:hAnsiTheme="minorEastAsia" w:eastAsiaTheme="minorEastAsia" w:cstheme="minorEastAsia"/>
                <w:snapToGrid w:val="0"/>
                <w:color w:val="auto"/>
                <w:kern w:val="0"/>
                <w:position w:val="0"/>
                <w:sz w:val="24"/>
                <w:szCs w:val="24"/>
                <w:highlight w:val="none"/>
                <w:lang w:eastAsia="zh-CN"/>
              </w:rPr>
              <w:t>。</w:t>
            </w:r>
          </w:p>
        </w:tc>
      </w:tr>
      <w:tr w14:paraId="702E74F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59E7F003">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67EFAE3C">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0A0FA0F1">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投标内容</w:t>
            </w:r>
          </w:p>
        </w:tc>
        <w:tc>
          <w:tcPr>
            <w:tcW w:w="5888" w:type="dxa"/>
            <w:vAlign w:val="center"/>
          </w:tcPr>
          <w:p w14:paraId="5E882241">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napToGrid w:val="0"/>
                <w:color w:val="auto"/>
                <w:kern w:val="0"/>
                <w:sz w:val="24"/>
                <w:szCs w:val="24"/>
                <w:highlight w:val="none"/>
                <w:lang w:eastAsia="zh-CN"/>
              </w:rPr>
            </w:pPr>
            <w:r>
              <w:rPr>
                <w:rFonts w:hint="eastAsia" w:asciiTheme="minorEastAsia" w:hAnsiTheme="minorEastAsia" w:eastAsiaTheme="minorEastAsia" w:cstheme="minorEastAsia"/>
                <w:snapToGrid w:val="0"/>
                <w:color w:val="auto"/>
                <w:kern w:val="0"/>
                <w:position w:val="0"/>
                <w:sz w:val="24"/>
                <w:szCs w:val="24"/>
                <w:highlight w:val="none"/>
              </w:rPr>
              <w:t>符合第二章“投标人须知”第1.3.1项规定</w:t>
            </w:r>
          </w:p>
        </w:tc>
      </w:tr>
      <w:tr w14:paraId="4A07471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6B25D997">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z w:val="24"/>
                <w:szCs w:val="24"/>
              </w:rPr>
            </w:pPr>
          </w:p>
          <w:p w14:paraId="27718123">
            <w:pPr>
              <w:pStyle w:val="21"/>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1134" w:type="dxa"/>
            <w:vMerge w:val="continue"/>
            <w:vAlign w:val="center"/>
          </w:tcPr>
          <w:p w14:paraId="57106F79">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494F34DD">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建设</w:t>
            </w:r>
            <w:r>
              <w:rPr>
                <w:rFonts w:hint="eastAsia" w:asciiTheme="minorEastAsia" w:hAnsiTheme="minorEastAsia" w:eastAsiaTheme="minorEastAsia" w:cstheme="minorEastAsia"/>
                <w:snapToGrid w:val="0"/>
                <w:color w:val="auto"/>
                <w:kern w:val="0"/>
                <w:position w:val="0"/>
                <w:sz w:val="24"/>
                <w:szCs w:val="24"/>
                <w:highlight w:val="none"/>
              </w:rPr>
              <w:t>工期</w:t>
            </w:r>
          </w:p>
        </w:tc>
        <w:tc>
          <w:tcPr>
            <w:tcW w:w="5888" w:type="dxa"/>
            <w:vAlign w:val="center"/>
          </w:tcPr>
          <w:p w14:paraId="25FE1B9E">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napToGrid w:val="0"/>
                <w:color w:val="auto"/>
                <w:kern w:val="0"/>
                <w:sz w:val="24"/>
                <w:szCs w:val="24"/>
                <w:highlight w:val="none"/>
                <w:lang w:eastAsia="zh-CN"/>
              </w:rPr>
            </w:pPr>
            <w:r>
              <w:rPr>
                <w:rFonts w:hint="eastAsia" w:asciiTheme="minorEastAsia" w:hAnsiTheme="minorEastAsia" w:eastAsiaTheme="minorEastAsia" w:cstheme="minorEastAsia"/>
                <w:snapToGrid w:val="0"/>
                <w:color w:val="auto"/>
                <w:kern w:val="0"/>
                <w:position w:val="0"/>
                <w:sz w:val="24"/>
                <w:szCs w:val="24"/>
                <w:highlight w:val="none"/>
              </w:rPr>
              <w:t>符合第二章“投标人须知”第1.3.2项规定</w:t>
            </w:r>
          </w:p>
        </w:tc>
      </w:tr>
      <w:tr w14:paraId="5F450D0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1DFE1031">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18E08161">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59BC6943">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snapToGrid w:val="0"/>
                <w:color w:val="auto"/>
                <w:ker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eastAsia="zh-CN"/>
              </w:rPr>
              <w:t>质量标准</w:t>
            </w:r>
          </w:p>
        </w:tc>
        <w:tc>
          <w:tcPr>
            <w:tcW w:w="5888" w:type="dxa"/>
            <w:vAlign w:val="center"/>
          </w:tcPr>
          <w:p w14:paraId="0E94A83E">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napToGrid w:val="0"/>
                <w:color w:val="auto"/>
                <w:kern w:val="0"/>
                <w:sz w:val="24"/>
                <w:szCs w:val="24"/>
                <w:highlight w:val="none"/>
                <w:lang w:eastAsia="zh-CN"/>
              </w:rPr>
            </w:pPr>
            <w:r>
              <w:rPr>
                <w:rFonts w:hint="eastAsia" w:asciiTheme="minorEastAsia" w:hAnsiTheme="minorEastAsia" w:eastAsiaTheme="minorEastAsia" w:cstheme="minorEastAsia"/>
                <w:snapToGrid w:val="0"/>
                <w:color w:val="auto"/>
                <w:kern w:val="0"/>
                <w:position w:val="0"/>
                <w:sz w:val="24"/>
                <w:szCs w:val="24"/>
                <w:highlight w:val="none"/>
              </w:rPr>
              <w:t>符合第二章“投标人须知”第1.3.3项规定</w:t>
            </w:r>
          </w:p>
        </w:tc>
      </w:tr>
      <w:tr w14:paraId="7D5E453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2559E124">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21288766">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3A3298D8">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投标有效期</w:t>
            </w:r>
          </w:p>
        </w:tc>
        <w:tc>
          <w:tcPr>
            <w:tcW w:w="5888" w:type="dxa"/>
            <w:vAlign w:val="center"/>
          </w:tcPr>
          <w:p w14:paraId="5A3E13BB">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napToGrid w:val="0"/>
                <w:color w:val="auto"/>
                <w:kern w:val="0"/>
                <w:sz w:val="24"/>
                <w:szCs w:val="24"/>
                <w:highlight w:val="none"/>
                <w:lang w:eastAsia="zh-CN"/>
              </w:rPr>
            </w:pPr>
            <w:r>
              <w:rPr>
                <w:rFonts w:hint="eastAsia" w:asciiTheme="minorEastAsia" w:hAnsiTheme="minorEastAsia" w:eastAsiaTheme="minorEastAsia" w:cstheme="minorEastAsia"/>
                <w:snapToGrid w:val="0"/>
                <w:color w:val="auto"/>
                <w:kern w:val="0"/>
                <w:position w:val="0"/>
                <w:sz w:val="24"/>
                <w:szCs w:val="24"/>
                <w:highlight w:val="none"/>
              </w:rPr>
              <w:t>符合第二章“投标人须知”第3.3.1项规定</w:t>
            </w:r>
          </w:p>
        </w:tc>
      </w:tr>
      <w:tr w14:paraId="1D3ED0F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63" w:type="dxa"/>
            <w:vMerge w:val="continue"/>
            <w:vAlign w:val="center"/>
          </w:tcPr>
          <w:p w14:paraId="02EB084F">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p>
        </w:tc>
        <w:tc>
          <w:tcPr>
            <w:tcW w:w="1134" w:type="dxa"/>
            <w:vMerge w:val="continue"/>
            <w:vAlign w:val="center"/>
          </w:tcPr>
          <w:p w14:paraId="6832FE8E">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908" w:type="dxa"/>
            <w:vAlign w:val="center"/>
          </w:tcPr>
          <w:p w14:paraId="380D864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实质性条件</w:t>
            </w:r>
          </w:p>
        </w:tc>
        <w:tc>
          <w:tcPr>
            <w:tcW w:w="5888" w:type="dxa"/>
            <w:vAlign w:val="center"/>
          </w:tcPr>
          <w:p w14:paraId="3A305E90">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实质性响应</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招标</w:t>
            </w:r>
            <w:r>
              <w:rPr>
                <w:rFonts w:hint="eastAsia" w:asciiTheme="minorEastAsia" w:hAnsiTheme="minorEastAsia" w:eastAsiaTheme="minorEastAsia" w:cstheme="minorEastAsia"/>
                <w:color w:val="000000" w:themeColor="text1"/>
                <w:sz w:val="24"/>
                <w:szCs w:val="24"/>
                <w14:textFill>
                  <w14:solidFill>
                    <w14:schemeClr w14:val="tx1"/>
                  </w14:solidFill>
                </w14:textFill>
              </w:rPr>
              <w:t>文件中的其他内容</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p>
        </w:tc>
      </w:tr>
    </w:tbl>
    <w:p w14:paraId="0FA2B86E">
      <w:pPr>
        <w:pageBreakBefore w:val="0"/>
        <w:widowControl/>
        <w:kinsoku/>
        <w:wordWrap/>
        <w:overflowPunct/>
        <w:bidi w:val="0"/>
        <w:spacing w:line="360" w:lineRule="auto"/>
        <w:jc w:val="left"/>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br w:type="page"/>
      </w:r>
    </w:p>
    <w:tbl>
      <w:tblPr>
        <w:tblStyle w:val="45"/>
        <w:tblW w:w="979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1000"/>
        <w:gridCol w:w="539"/>
        <w:gridCol w:w="1141"/>
        <w:gridCol w:w="6468"/>
      </w:tblGrid>
      <w:tr w14:paraId="747B2E2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645" w:type="dxa"/>
            <w:gridSpan w:val="2"/>
            <w:vAlign w:val="center"/>
          </w:tcPr>
          <w:p w14:paraId="767FBA9A">
            <w:pPr>
              <w:pageBreakBefore w:val="0"/>
              <w:kinsoku/>
              <w:wordWrap/>
              <w:overflowPunct/>
              <w:bidi w:val="0"/>
              <w:spacing w:line="360" w:lineRule="auto"/>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条款号</w:t>
            </w:r>
          </w:p>
        </w:tc>
        <w:tc>
          <w:tcPr>
            <w:tcW w:w="1680" w:type="dxa"/>
            <w:gridSpan w:val="2"/>
            <w:vAlign w:val="center"/>
          </w:tcPr>
          <w:p w14:paraId="698682CD">
            <w:pPr>
              <w:pageBreakBefore w:val="0"/>
              <w:kinsoku/>
              <w:wordWrap/>
              <w:overflowPunct/>
              <w:bidi w:val="0"/>
              <w:spacing w:line="360" w:lineRule="auto"/>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评审因素</w:t>
            </w:r>
          </w:p>
        </w:tc>
        <w:tc>
          <w:tcPr>
            <w:tcW w:w="6468" w:type="dxa"/>
            <w:vAlign w:val="center"/>
          </w:tcPr>
          <w:p w14:paraId="04742DAF">
            <w:pPr>
              <w:pageBreakBefore w:val="0"/>
              <w:kinsoku/>
              <w:wordWrap/>
              <w:overflowPunct/>
              <w:bidi w:val="0"/>
              <w:spacing w:line="360" w:lineRule="auto"/>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编列内容</w:t>
            </w:r>
          </w:p>
        </w:tc>
      </w:tr>
      <w:tr w14:paraId="1EC2A7F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1645" w:type="dxa"/>
            <w:gridSpan w:val="2"/>
            <w:vAlign w:val="center"/>
          </w:tcPr>
          <w:p w14:paraId="0E1975AE">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24"/>
                <w:szCs w:val="22"/>
                <w:highlight w:val="none"/>
              </w:rPr>
            </w:pPr>
            <w:r>
              <w:rPr>
                <w:rFonts w:hint="eastAsia" w:asciiTheme="minorEastAsia" w:hAnsiTheme="minorEastAsia" w:eastAsiaTheme="minorEastAsia" w:cstheme="minorEastAsia"/>
                <w:color w:val="auto"/>
                <w:position w:val="0"/>
                <w:sz w:val="24"/>
                <w:szCs w:val="22"/>
                <w:highlight w:val="none"/>
              </w:rPr>
              <w:t>2.2.1</w:t>
            </w:r>
          </w:p>
        </w:tc>
        <w:tc>
          <w:tcPr>
            <w:tcW w:w="1680" w:type="dxa"/>
            <w:gridSpan w:val="2"/>
            <w:vAlign w:val="center"/>
          </w:tcPr>
          <w:p w14:paraId="4AE5B07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分值构成</w:t>
            </w:r>
          </w:p>
          <w:p w14:paraId="0E7857C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（总分100分）</w:t>
            </w:r>
          </w:p>
        </w:tc>
        <w:tc>
          <w:tcPr>
            <w:tcW w:w="6468" w:type="dxa"/>
            <w:vAlign w:val="center"/>
          </w:tcPr>
          <w:p w14:paraId="4D9A6C4B">
            <w:pPr>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商务部分评审评分F1（满分</w:t>
            </w:r>
            <w:r>
              <w:rPr>
                <w:rFonts w:hint="eastAsia" w:asciiTheme="minorEastAsia" w:hAnsiTheme="minorEastAsia" w:eastAsiaTheme="minorEastAsia" w:cstheme="minorEastAsia"/>
                <w:snapToGrid w:val="0"/>
                <w:color w:val="auto"/>
                <w:kern w:val="0"/>
                <w:position w:val="0"/>
                <w:sz w:val="24"/>
                <w:szCs w:val="24"/>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0分）</w:t>
            </w:r>
          </w:p>
          <w:p w14:paraId="5453194B">
            <w:pPr>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4"/>
                <w:highlight w:val="none"/>
              </w:rPr>
              <w:t>技术部分评审评分F2（满分</w:t>
            </w:r>
            <w:r>
              <w:rPr>
                <w:rFonts w:hint="eastAsia" w:asciiTheme="minorEastAsia" w:hAnsiTheme="minorEastAsia" w:eastAsiaTheme="minorEastAsia" w:cstheme="minorEastAsia"/>
                <w:snapToGrid w:val="0"/>
                <w:color w:val="auto"/>
                <w:kern w:val="0"/>
                <w:position w:val="0"/>
                <w:sz w:val="24"/>
                <w:szCs w:val="24"/>
                <w:highlight w:val="none"/>
                <w:lang w:val="en-US" w:eastAsia="zh-CN"/>
              </w:rPr>
              <w:t>8</w:t>
            </w:r>
            <w:r>
              <w:rPr>
                <w:rFonts w:hint="eastAsia" w:asciiTheme="minorEastAsia" w:hAnsiTheme="minorEastAsia" w:eastAsiaTheme="minorEastAsia" w:cstheme="minorEastAsia"/>
                <w:snapToGrid w:val="0"/>
                <w:color w:val="auto"/>
                <w:kern w:val="0"/>
                <w:position w:val="0"/>
                <w:sz w:val="24"/>
                <w:szCs w:val="24"/>
                <w:highlight w:val="none"/>
              </w:rPr>
              <w:t>0分）</w:t>
            </w:r>
          </w:p>
          <w:p w14:paraId="31A2E69B">
            <w:pPr>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按下列公式计算出投标人的最后得分：</w:t>
            </w:r>
          </w:p>
          <w:p w14:paraId="065767EF">
            <w:pPr>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b/>
                <w:snapToGrid w:val="0"/>
                <w:color w:val="auto"/>
                <w:kern w:val="0"/>
                <w:position w:val="0"/>
                <w:sz w:val="24"/>
                <w:szCs w:val="24"/>
                <w:highlight w:val="none"/>
              </w:rPr>
              <w:t>投标人最后得分=商务部分得分F1+技术部分得分F2</w:t>
            </w:r>
          </w:p>
        </w:tc>
      </w:tr>
      <w:tr w14:paraId="6D954C9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845" w:hRule="atLeast"/>
          <w:jc w:val="center"/>
        </w:trPr>
        <w:tc>
          <w:tcPr>
            <w:tcW w:w="1645" w:type="dxa"/>
            <w:gridSpan w:val="2"/>
            <w:vAlign w:val="center"/>
          </w:tcPr>
          <w:p w14:paraId="4E96B1F5">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24"/>
                <w:szCs w:val="22"/>
                <w:highlight w:val="none"/>
              </w:rPr>
            </w:pPr>
            <w:r>
              <w:rPr>
                <w:rFonts w:hint="eastAsia" w:asciiTheme="minorEastAsia" w:hAnsiTheme="minorEastAsia" w:eastAsiaTheme="minorEastAsia" w:cstheme="minorEastAsia"/>
                <w:color w:val="auto"/>
                <w:position w:val="0"/>
                <w:sz w:val="24"/>
                <w:szCs w:val="22"/>
                <w:highlight w:val="none"/>
              </w:rPr>
              <w:t>2.2.2</w:t>
            </w:r>
          </w:p>
        </w:tc>
        <w:tc>
          <w:tcPr>
            <w:tcW w:w="1680" w:type="dxa"/>
            <w:gridSpan w:val="2"/>
            <w:vAlign w:val="center"/>
          </w:tcPr>
          <w:p w14:paraId="0DBB0E78">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24"/>
                <w:szCs w:val="22"/>
                <w:highlight w:val="none"/>
              </w:rPr>
            </w:pPr>
            <w:r>
              <w:rPr>
                <w:rFonts w:hint="eastAsia" w:asciiTheme="minorEastAsia" w:hAnsiTheme="minorEastAsia" w:eastAsiaTheme="minorEastAsia" w:cstheme="minorEastAsia"/>
                <w:color w:val="auto"/>
                <w:position w:val="0"/>
                <w:sz w:val="24"/>
                <w:szCs w:val="22"/>
                <w:highlight w:val="none"/>
              </w:rPr>
              <w:t>评标基准价计算方法</w:t>
            </w:r>
          </w:p>
        </w:tc>
        <w:tc>
          <w:tcPr>
            <w:tcW w:w="6468" w:type="dxa"/>
            <w:vAlign w:val="center"/>
          </w:tcPr>
          <w:p w14:paraId="54167675">
            <w:pPr>
              <w:pageBreakBefore w:val="0"/>
              <w:tabs>
                <w:tab w:val="left" w:pos="2730"/>
                <w:tab w:val="center" w:pos="4680"/>
              </w:tabs>
              <w:kinsoku/>
              <w:wordWrap/>
              <w:overflowPunct/>
              <w:bidi w:val="0"/>
              <w:snapToGrid w:val="0"/>
              <w:spacing w:line="360" w:lineRule="auto"/>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评价基准价的计算方法：</w:t>
            </w:r>
          </w:p>
          <w:p w14:paraId="44A2DFFA">
            <w:pPr>
              <w:pageBreakBefore w:val="0"/>
              <w:tabs>
                <w:tab w:val="left" w:pos="2730"/>
                <w:tab w:val="center" w:pos="4680"/>
              </w:tabs>
              <w:kinsoku/>
              <w:wordWrap/>
              <w:overflowPunct/>
              <w:bidi w:val="0"/>
              <w:snapToGrid w:val="0"/>
              <w:spacing w:line="360" w:lineRule="auto"/>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1.当投标人的家数n≥7时，评标基准价为所有有效投标人的投标报价中分别去掉一个第一、第二高值和第一、二低值后其余有效投标人的投标报价算术平均值；</w:t>
            </w:r>
          </w:p>
          <w:p w14:paraId="636DE1FE">
            <w:pPr>
              <w:pageBreakBefore w:val="0"/>
              <w:tabs>
                <w:tab w:val="left" w:pos="2730"/>
                <w:tab w:val="center" w:pos="4680"/>
              </w:tabs>
              <w:kinsoku/>
              <w:wordWrap/>
              <w:overflowPunct/>
              <w:bidi w:val="0"/>
              <w:snapToGrid w:val="0"/>
              <w:spacing w:line="360" w:lineRule="auto"/>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2.当投标人的家数n在5≤n＜7范围时，评标基准价为所有有效投标人的投标报价中分别去掉一个第一高值和一个第一低值后其余有效投标人的投标报价的算术平均值；</w:t>
            </w:r>
          </w:p>
          <w:p w14:paraId="5B491960">
            <w:pPr>
              <w:pageBreakBefore w:val="0"/>
              <w:tabs>
                <w:tab w:val="left" w:pos="2730"/>
                <w:tab w:val="center" w:pos="4680"/>
              </w:tabs>
              <w:kinsoku/>
              <w:wordWrap/>
              <w:overflowPunct/>
              <w:bidi w:val="0"/>
              <w:snapToGrid w:val="0"/>
              <w:spacing w:line="360" w:lineRule="auto"/>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3.当投标人的家数n在n＜5范围时，评标基准价为所有有效投标人投标报价的算术平均值。</w:t>
            </w:r>
          </w:p>
          <w:p w14:paraId="00DB8B01">
            <w:pPr>
              <w:pageBreakBefore w:val="0"/>
              <w:tabs>
                <w:tab w:val="left" w:pos="2730"/>
                <w:tab w:val="center" w:pos="4680"/>
              </w:tabs>
              <w:kinsoku/>
              <w:wordWrap/>
              <w:overflowPunct/>
              <w:bidi w:val="0"/>
              <w:snapToGrid w:val="0"/>
              <w:spacing w:line="360" w:lineRule="auto"/>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4.评标基准价取小数点后两位，小数点后第三位四舍五入。</w:t>
            </w:r>
          </w:p>
          <w:p w14:paraId="6EF8A622">
            <w:pPr>
              <w:pageBreakBefore w:val="0"/>
              <w:tabs>
                <w:tab w:val="left" w:pos="2730"/>
                <w:tab w:val="center" w:pos="4680"/>
              </w:tabs>
              <w:kinsoku/>
              <w:wordWrap/>
              <w:overflowPunct/>
              <w:bidi w:val="0"/>
              <w:snapToGrid w:val="0"/>
              <w:spacing w:line="360" w:lineRule="auto"/>
              <w:jc w:val="left"/>
              <w:rPr>
                <w:rFonts w:hint="eastAsia" w:asciiTheme="minorEastAsia" w:hAnsiTheme="minorEastAsia" w:eastAsiaTheme="minorEastAsia" w:cstheme="minorEastAsia"/>
                <w:color w:val="auto"/>
                <w:position w:val="0"/>
                <w:sz w:val="24"/>
                <w:szCs w:val="22"/>
                <w:highlight w:val="none"/>
              </w:rPr>
            </w:pPr>
            <w:r>
              <w:rPr>
                <w:rFonts w:hint="eastAsia" w:asciiTheme="minorEastAsia" w:hAnsiTheme="minorEastAsia" w:eastAsiaTheme="minorEastAsia" w:cstheme="minorEastAsia"/>
                <w:color w:val="auto"/>
                <w:position w:val="0"/>
                <w:sz w:val="24"/>
                <w:szCs w:val="24"/>
                <w:highlight w:val="none"/>
                <w:lang w:val="en-US" w:eastAsia="zh-CN"/>
              </w:rPr>
              <w:t>5.上述投标人家数（n）指通过资格评审、初步评审的投标人家数。</w:t>
            </w:r>
          </w:p>
        </w:tc>
      </w:tr>
      <w:tr w14:paraId="5738CB3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45" w:type="dxa"/>
            <w:gridSpan w:val="2"/>
            <w:vAlign w:val="center"/>
          </w:tcPr>
          <w:p w14:paraId="2DF29B76">
            <w:pPr>
              <w:pageBreakBefore w:val="0"/>
              <w:kinsoku/>
              <w:wordWrap/>
              <w:overflowPunct/>
              <w:bidi w:val="0"/>
              <w:spacing w:line="360" w:lineRule="auto"/>
              <w:jc w:val="center"/>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2.2.3</w:t>
            </w:r>
          </w:p>
        </w:tc>
        <w:tc>
          <w:tcPr>
            <w:tcW w:w="1680" w:type="dxa"/>
            <w:gridSpan w:val="2"/>
            <w:vAlign w:val="center"/>
          </w:tcPr>
          <w:p w14:paraId="6B2877D0">
            <w:pPr>
              <w:pageBreakBefore w:val="0"/>
              <w:kinsoku/>
              <w:wordWrap/>
              <w:overflowPunct/>
              <w:bidi w:val="0"/>
              <w:spacing w:line="360" w:lineRule="auto"/>
              <w:jc w:val="center"/>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投标报价的偏差率计算公式</w:t>
            </w:r>
          </w:p>
        </w:tc>
        <w:tc>
          <w:tcPr>
            <w:tcW w:w="6468" w:type="dxa"/>
            <w:vAlign w:val="center"/>
          </w:tcPr>
          <w:p w14:paraId="6BBBF979">
            <w:pPr>
              <w:pageBreakBefore w:val="0"/>
              <w:kinsoku/>
              <w:wordWrap/>
              <w:overflowPunct/>
              <w:bidi w:val="0"/>
              <w:spacing w:line="360" w:lineRule="auto"/>
              <w:rPr>
                <w:rFonts w:hint="eastAsia" w:asciiTheme="minorEastAsia" w:hAnsiTheme="minorEastAsia" w:eastAsiaTheme="minorEastAsia" w:cstheme="minorEastAsia"/>
                <w:b/>
                <w:color w:val="auto"/>
                <w:sz w:val="24"/>
                <w:szCs w:val="22"/>
                <w:highlight w:val="none"/>
              </w:rPr>
            </w:pPr>
            <w:r>
              <w:rPr>
                <w:rFonts w:hint="eastAsia" w:asciiTheme="minorEastAsia" w:hAnsiTheme="minorEastAsia" w:eastAsiaTheme="minorEastAsia" w:cstheme="minorEastAsia"/>
                <w:color w:val="auto"/>
                <w:sz w:val="24"/>
                <w:szCs w:val="24"/>
                <w:highlight w:val="none"/>
              </w:rPr>
              <w:t>偏差率=100％×（投标人评标价－评标基准价）÷评标基准价</w:t>
            </w:r>
          </w:p>
        </w:tc>
      </w:tr>
      <w:tr w14:paraId="2F32AA9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Merge w:val="restart"/>
            <w:tcBorders>
              <w:right w:val="single" w:color="auto" w:sz="4" w:space="0"/>
            </w:tcBorders>
            <w:vAlign w:val="center"/>
          </w:tcPr>
          <w:p w14:paraId="28E7DBC5">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2.2.4</w:t>
            </w: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rPr>
              <w:t>1</w:t>
            </w:r>
            <w:r>
              <w:rPr>
                <w:rFonts w:hint="eastAsia" w:asciiTheme="minorEastAsia" w:hAnsiTheme="minorEastAsia" w:eastAsiaTheme="minorEastAsia" w:cstheme="minorEastAsia"/>
                <w:snapToGrid w:val="0"/>
                <w:color w:val="auto"/>
                <w:kern w:val="0"/>
                <w:position w:val="0"/>
                <w:sz w:val="24"/>
                <w:szCs w:val="24"/>
                <w:highlight w:val="none"/>
                <w:lang w:eastAsia="zh-CN"/>
              </w:rPr>
              <w:t>)</w:t>
            </w:r>
          </w:p>
        </w:tc>
        <w:tc>
          <w:tcPr>
            <w:tcW w:w="1000" w:type="dxa"/>
            <w:vMerge w:val="restart"/>
            <w:tcBorders>
              <w:left w:val="single" w:color="auto" w:sz="4" w:space="0"/>
            </w:tcBorders>
            <w:vAlign w:val="center"/>
          </w:tcPr>
          <w:p w14:paraId="11041AD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商务部分评审标准F1</w:t>
            </w:r>
          </w:p>
          <w:p w14:paraId="2CD877EF">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0分）</w:t>
            </w:r>
          </w:p>
        </w:tc>
        <w:tc>
          <w:tcPr>
            <w:tcW w:w="1680" w:type="dxa"/>
            <w:gridSpan w:val="2"/>
            <w:vAlign w:val="center"/>
          </w:tcPr>
          <w:p w14:paraId="1C450838">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rPr>
              <w:t>设计报价评分</w:t>
            </w:r>
          </w:p>
          <w:p w14:paraId="58C32C2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rPr>
              <w:t>（满分</w:t>
            </w:r>
            <w:r>
              <w:rPr>
                <w:rFonts w:hint="eastAsia" w:asciiTheme="minorEastAsia" w:hAnsiTheme="minorEastAsia" w:eastAsiaTheme="minorEastAsia" w:cstheme="minorEastAsia"/>
                <w:snapToGrid w:val="0"/>
                <w:color w:val="auto"/>
                <w:kern w:val="0"/>
                <w:position w:val="0"/>
                <w:sz w:val="24"/>
                <w:szCs w:val="22"/>
                <w:highlight w:val="none"/>
                <w:lang w:val="en-US" w:eastAsia="zh-CN"/>
              </w:rPr>
              <w:t>5</w:t>
            </w:r>
            <w:r>
              <w:rPr>
                <w:rFonts w:hint="eastAsia" w:asciiTheme="minorEastAsia" w:hAnsiTheme="minorEastAsia" w:eastAsiaTheme="minorEastAsia" w:cstheme="minorEastAsia"/>
                <w:snapToGrid w:val="0"/>
                <w:color w:val="auto"/>
                <w:kern w:val="0"/>
                <w:position w:val="0"/>
                <w:sz w:val="24"/>
                <w:szCs w:val="22"/>
                <w:highlight w:val="none"/>
              </w:rPr>
              <w:t>分）</w:t>
            </w:r>
          </w:p>
        </w:tc>
        <w:tc>
          <w:tcPr>
            <w:tcW w:w="6468" w:type="dxa"/>
            <w:vMerge w:val="restart"/>
            <w:vAlign w:val="center"/>
          </w:tcPr>
          <w:p w14:paraId="5C723233">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2"/>
                <w:highlight w:val="none"/>
                <w:lang w:eastAsia="zh-CN"/>
              </w:rPr>
            </w:pPr>
            <w:r>
              <w:rPr>
                <w:rFonts w:hint="eastAsia" w:asciiTheme="minorEastAsia" w:hAnsiTheme="minorEastAsia" w:eastAsiaTheme="minorEastAsia" w:cstheme="minorEastAsia"/>
                <w:snapToGrid w:val="0"/>
                <w:color w:val="auto"/>
                <w:kern w:val="0"/>
                <w:position w:val="0"/>
                <w:sz w:val="24"/>
                <w:szCs w:val="22"/>
                <w:highlight w:val="none"/>
                <w:lang w:val="en-US" w:eastAsia="zh-CN"/>
              </w:rPr>
              <w:t>1、</w:t>
            </w:r>
            <w:r>
              <w:rPr>
                <w:rFonts w:hint="eastAsia" w:asciiTheme="minorEastAsia" w:hAnsiTheme="minorEastAsia" w:eastAsiaTheme="minorEastAsia" w:cstheme="minorEastAsia"/>
                <w:snapToGrid w:val="0"/>
                <w:color w:val="auto"/>
                <w:kern w:val="0"/>
                <w:position w:val="0"/>
                <w:sz w:val="24"/>
                <w:szCs w:val="22"/>
                <w:highlight w:val="none"/>
              </w:rPr>
              <w:t>投标人的评标价等于评标基准价时得满分</w:t>
            </w:r>
            <w:r>
              <w:rPr>
                <w:rFonts w:hint="eastAsia" w:asciiTheme="minorEastAsia" w:hAnsiTheme="minorEastAsia" w:eastAsiaTheme="minorEastAsia" w:cstheme="minorEastAsia"/>
                <w:snapToGrid w:val="0"/>
                <w:color w:val="auto"/>
                <w:kern w:val="0"/>
                <w:position w:val="0"/>
                <w:sz w:val="24"/>
                <w:szCs w:val="22"/>
                <w:highlight w:val="none"/>
                <w:lang w:eastAsia="zh-CN"/>
              </w:rPr>
              <w:t>；</w:t>
            </w:r>
          </w:p>
          <w:p w14:paraId="1AF45D7C">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lang w:val="en-US" w:eastAsia="zh-CN"/>
              </w:rPr>
              <w:t>2、</w:t>
            </w:r>
            <w:r>
              <w:rPr>
                <w:rFonts w:hint="eastAsia" w:asciiTheme="minorEastAsia" w:hAnsiTheme="minorEastAsia" w:eastAsiaTheme="minorEastAsia" w:cstheme="minorEastAsia"/>
                <w:snapToGrid w:val="0"/>
                <w:color w:val="auto"/>
                <w:kern w:val="0"/>
                <w:position w:val="0"/>
                <w:sz w:val="24"/>
                <w:szCs w:val="22"/>
                <w:highlight w:val="none"/>
              </w:rPr>
              <w:t>投标人的评标价大于评标基准价，则评标价得分=满分分值－偏差率×100×E1；</w:t>
            </w:r>
          </w:p>
          <w:p w14:paraId="081D36FC">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lang w:val="en-US" w:eastAsia="zh-CN"/>
              </w:rPr>
              <w:t>3、</w:t>
            </w:r>
            <w:r>
              <w:rPr>
                <w:rFonts w:hint="eastAsia" w:asciiTheme="minorEastAsia" w:hAnsiTheme="minorEastAsia" w:eastAsiaTheme="minorEastAsia" w:cstheme="minorEastAsia"/>
                <w:snapToGrid w:val="0"/>
                <w:color w:val="auto"/>
                <w:kern w:val="0"/>
                <w:position w:val="0"/>
                <w:sz w:val="24"/>
                <w:szCs w:val="22"/>
                <w:highlight w:val="none"/>
              </w:rPr>
              <w:t>投标人的评标价小于评标基准价，则评标价得分=满分分值+偏差率×100×E2。</w:t>
            </w:r>
          </w:p>
          <w:p w14:paraId="4DB734E0">
            <w:pPr>
              <w:pageBreakBefore w:val="0"/>
              <w:kinsoku/>
              <w:wordWrap/>
              <w:overflowPunct/>
              <w:topLinePunct/>
              <w:bidi w:val="0"/>
              <w:spacing w:line="360" w:lineRule="auto"/>
              <w:jc w:val="left"/>
              <w:rPr>
                <w:rFonts w:hint="default" w:asciiTheme="minorEastAsia" w:hAnsiTheme="minorEastAsia" w:eastAsiaTheme="minorEastAsia" w:cstheme="minorEastAsia"/>
                <w:snapToGrid w:val="0"/>
                <w:color w:val="auto"/>
                <w:kern w:val="0"/>
                <w:position w:val="0"/>
                <w:sz w:val="24"/>
                <w:szCs w:val="22"/>
                <w:highlight w:val="none"/>
                <w:lang w:val="en-US" w:eastAsia="zh-CN"/>
              </w:rPr>
            </w:pPr>
            <w:r>
              <w:rPr>
                <w:rFonts w:hint="eastAsia" w:asciiTheme="minorEastAsia" w:hAnsiTheme="minorEastAsia" w:eastAsiaTheme="minorEastAsia" w:cstheme="minorEastAsia"/>
                <w:snapToGrid w:val="0"/>
                <w:color w:val="auto"/>
                <w:kern w:val="0"/>
                <w:position w:val="0"/>
                <w:sz w:val="24"/>
                <w:szCs w:val="22"/>
                <w:highlight w:val="none"/>
              </w:rPr>
              <w:t>其中：E1是评标价每高于评标基准价一个百分点的扣分值；E2是评标价每低于评标基准价一个百分点的扣分值。E1=0.</w:t>
            </w:r>
            <w:r>
              <w:rPr>
                <w:rFonts w:hint="eastAsia" w:asciiTheme="minorEastAsia" w:hAnsiTheme="minorEastAsia" w:eastAsiaTheme="minorEastAsia" w:cstheme="minorEastAsia"/>
                <w:snapToGrid w:val="0"/>
                <w:color w:val="auto"/>
                <w:kern w:val="0"/>
                <w:position w:val="0"/>
                <w:sz w:val="24"/>
                <w:szCs w:val="22"/>
                <w:highlight w:val="none"/>
                <w:lang w:val="en-US" w:eastAsia="zh-CN"/>
              </w:rPr>
              <w:t>1</w:t>
            </w:r>
            <w:r>
              <w:rPr>
                <w:rFonts w:hint="eastAsia" w:asciiTheme="minorEastAsia" w:hAnsiTheme="minorEastAsia" w:eastAsiaTheme="minorEastAsia" w:cstheme="minorEastAsia"/>
                <w:snapToGrid w:val="0"/>
                <w:color w:val="auto"/>
                <w:kern w:val="0"/>
                <w:position w:val="0"/>
                <w:sz w:val="24"/>
                <w:szCs w:val="22"/>
                <w:highlight w:val="none"/>
              </w:rPr>
              <w:t>、E2=0.</w:t>
            </w:r>
            <w:r>
              <w:rPr>
                <w:rFonts w:hint="eastAsia" w:asciiTheme="minorEastAsia" w:hAnsiTheme="minorEastAsia" w:eastAsiaTheme="minorEastAsia" w:cstheme="minorEastAsia"/>
                <w:snapToGrid w:val="0"/>
                <w:color w:val="auto"/>
                <w:kern w:val="0"/>
                <w:position w:val="0"/>
                <w:sz w:val="24"/>
                <w:szCs w:val="22"/>
                <w:highlight w:val="none"/>
                <w:lang w:val="en-US" w:eastAsia="zh-CN"/>
              </w:rPr>
              <w:t>1</w:t>
            </w:r>
          </w:p>
        </w:tc>
      </w:tr>
      <w:tr w14:paraId="5E8A8B8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Merge w:val="continue"/>
            <w:tcBorders>
              <w:right w:val="single" w:color="auto" w:sz="4" w:space="0"/>
            </w:tcBorders>
          </w:tcPr>
          <w:p w14:paraId="3F1B3231">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24"/>
                <w:szCs w:val="22"/>
                <w:highlight w:val="none"/>
              </w:rPr>
            </w:pPr>
          </w:p>
        </w:tc>
        <w:tc>
          <w:tcPr>
            <w:tcW w:w="1000" w:type="dxa"/>
            <w:vMerge w:val="continue"/>
            <w:tcBorders>
              <w:left w:val="single" w:color="auto" w:sz="4" w:space="0"/>
            </w:tcBorders>
          </w:tcPr>
          <w:p w14:paraId="27CF59FF">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24"/>
                <w:szCs w:val="22"/>
                <w:highlight w:val="none"/>
              </w:rPr>
            </w:pPr>
          </w:p>
        </w:tc>
        <w:tc>
          <w:tcPr>
            <w:tcW w:w="1680" w:type="dxa"/>
            <w:gridSpan w:val="2"/>
            <w:vAlign w:val="center"/>
          </w:tcPr>
          <w:p w14:paraId="0A208EF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rPr>
              <w:t>施工报价评分</w:t>
            </w:r>
          </w:p>
          <w:p w14:paraId="1864369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rPr>
              <w:t>（满分</w:t>
            </w:r>
            <w:r>
              <w:rPr>
                <w:rFonts w:hint="eastAsia" w:asciiTheme="minorEastAsia" w:hAnsiTheme="minorEastAsia" w:eastAsiaTheme="minorEastAsia" w:cstheme="minorEastAsia"/>
                <w:snapToGrid w:val="0"/>
                <w:color w:val="auto"/>
                <w:kern w:val="0"/>
                <w:position w:val="0"/>
                <w:sz w:val="24"/>
                <w:szCs w:val="22"/>
                <w:highlight w:val="none"/>
                <w:lang w:val="en-US" w:eastAsia="zh-CN"/>
              </w:rPr>
              <w:t>15</w:t>
            </w:r>
            <w:r>
              <w:rPr>
                <w:rFonts w:hint="eastAsia" w:asciiTheme="minorEastAsia" w:hAnsiTheme="minorEastAsia" w:eastAsiaTheme="minorEastAsia" w:cstheme="minorEastAsia"/>
                <w:snapToGrid w:val="0"/>
                <w:color w:val="auto"/>
                <w:kern w:val="0"/>
                <w:position w:val="0"/>
                <w:sz w:val="24"/>
                <w:szCs w:val="22"/>
                <w:highlight w:val="none"/>
              </w:rPr>
              <w:t>分）</w:t>
            </w:r>
          </w:p>
          <w:p w14:paraId="4B346B4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2"/>
                <w:highlight w:val="none"/>
              </w:rPr>
            </w:pPr>
            <w:r>
              <w:rPr>
                <w:rFonts w:hint="eastAsia" w:asciiTheme="minorEastAsia" w:hAnsiTheme="minorEastAsia" w:eastAsiaTheme="minorEastAsia" w:cstheme="minorEastAsia"/>
                <w:b/>
                <w:bCs/>
                <w:i w:val="0"/>
                <w:iCs w:val="0"/>
                <w:color w:val="auto"/>
                <w:sz w:val="24"/>
                <w:szCs w:val="22"/>
                <w:highlight w:val="none"/>
              </w:rPr>
              <w:t>投标报价=1-下浮率</w:t>
            </w:r>
          </w:p>
        </w:tc>
        <w:tc>
          <w:tcPr>
            <w:tcW w:w="6468" w:type="dxa"/>
            <w:vMerge w:val="continue"/>
            <w:vAlign w:val="center"/>
          </w:tcPr>
          <w:p w14:paraId="0F7E6948">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2"/>
                <w:highlight w:val="none"/>
              </w:rPr>
            </w:pPr>
          </w:p>
        </w:tc>
      </w:tr>
      <w:tr w14:paraId="3D31384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645" w:type="dxa"/>
            <w:vMerge w:val="restart"/>
            <w:tcBorders>
              <w:right w:val="single" w:color="auto" w:sz="4" w:space="0"/>
            </w:tcBorders>
            <w:vAlign w:val="center"/>
          </w:tcPr>
          <w:p w14:paraId="31830737">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2.2.4</w:t>
            </w: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rPr>
              <w:t>2</w:t>
            </w:r>
            <w:r>
              <w:rPr>
                <w:rFonts w:hint="eastAsia" w:asciiTheme="minorEastAsia" w:hAnsiTheme="minorEastAsia" w:eastAsiaTheme="minorEastAsia" w:cstheme="minorEastAsia"/>
                <w:snapToGrid w:val="0"/>
                <w:color w:val="auto"/>
                <w:kern w:val="0"/>
                <w:position w:val="0"/>
                <w:sz w:val="24"/>
                <w:szCs w:val="24"/>
                <w:highlight w:val="none"/>
                <w:lang w:eastAsia="zh-CN"/>
              </w:rPr>
              <w:t>)</w:t>
            </w:r>
          </w:p>
        </w:tc>
        <w:tc>
          <w:tcPr>
            <w:tcW w:w="1000" w:type="dxa"/>
            <w:vMerge w:val="restart"/>
            <w:tcBorders>
              <w:left w:val="single" w:color="auto" w:sz="4" w:space="0"/>
            </w:tcBorders>
            <w:vAlign w:val="center"/>
          </w:tcPr>
          <w:p w14:paraId="66B8051F">
            <w:pPr>
              <w:pageBreakBefore w:val="0"/>
              <w:kinsoku/>
              <w:wordWrap/>
              <w:overflowPunct/>
              <w:topLinePunct/>
              <w:bidi w:val="0"/>
              <w:spacing w:line="360" w:lineRule="auto"/>
              <w:jc w:val="center"/>
              <w:rPr>
                <w:rFonts w:hint="eastAsia" w:asciiTheme="minorEastAsia" w:hAnsiTheme="minorEastAsia" w:eastAsiaTheme="minorEastAsia" w:cstheme="minorEastAsia"/>
                <w:color w:val="auto"/>
                <w:position w:val="0"/>
                <w:sz w:val="24"/>
                <w:szCs w:val="22"/>
                <w:highlight w:val="none"/>
              </w:rPr>
            </w:pPr>
            <w:r>
              <w:rPr>
                <w:rFonts w:hint="eastAsia" w:asciiTheme="minorEastAsia" w:hAnsiTheme="minorEastAsia" w:eastAsiaTheme="minorEastAsia" w:cstheme="minorEastAsia"/>
                <w:snapToGrid w:val="0"/>
                <w:color w:val="auto"/>
                <w:kern w:val="0"/>
                <w:position w:val="0"/>
                <w:sz w:val="24"/>
                <w:szCs w:val="24"/>
                <w:highlight w:val="none"/>
              </w:rPr>
              <w:t>技术部分评审标准F2（</w:t>
            </w:r>
            <w:r>
              <w:rPr>
                <w:rFonts w:hint="eastAsia" w:asciiTheme="minorEastAsia" w:hAnsiTheme="minorEastAsia" w:eastAsiaTheme="minorEastAsia" w:cstheme="minorEastAsia"/>
                <w:snapToGrid w:val="0"/>
                <w:color w:val="auto"/>
                <w:kern w:val="0"/>
                <w:position w:val="0"/>
                <w:sz w:val="24"/>
                <w:szCs w:val="24"/>
                <w:highlight w:val="none"/>
                <w:lang w:val="en-US" w:eastAsia="zh-CN"/>
              </w:rPr>
              <w:t>8</w:t>
            </w:r>
            <w:r>
              <w:rPr>
                <w:rFonts w:hint="eastAsia" w:asciiTheme="minorEastAsia" w:hAnsiTheme="minorEastAsia" w:eastAsiaTheme="minorEastAsia" w:cstheme="minorEastAsia"/>
                <w:snapToGrid w:val="0"/>
                <w:color w:val="auto"/>
                <w:kern w:val="0"/>
                <w:position w:val="0"/>
                <w:sz w:val="24"/>
                <w:szCs w:val="24"/>
                <w:highlight w:val="none"/>
              </w:rPr>
              <w:t>0分）</w:t>
            </w:r>
          </w:p>
        </w:tc>
        <w:tc>
          <w:tcPr>
            <w:tcW w:w="539" w:type="dxa"/>
            <w:vMerge w:val="restart"/>
            <w:vAlign w:val="center"/>
          </w:tcPr>
          <w:p w14:paraId="5E17ECFE">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rPr>
            </w:pPr>
            <w:r>
              <w:rPr>
                <w:rFonts w:hint="eastAsia" w:asciiTheme="minorEastAsia" w:hAnsiTheme="minorEastAsia" w:eastAsiaTheme="minorEastAsia" w:cstheme="minorEastAsia"/>
                <w:snapToGrid w:val="0"/>
                <w:color w:val="auto"/>
                <w:kern w:val="0"/>
                <w:sz w:val="24"/>
                <w:szCs w:val="24"/>
                <w:highlight w:val="none"/>
                <w:lang w:val="en-US" w:eastAsia="zh-CN"/>
              </w:rPr>
              <w:t>设计部分</w:t>
            </w:r>
          </w:p>
          <w:p w14:paraId="5FAC8C7F">
            <w:pPr>
              <w:pageBreakBefore w:val="0"/>
              <w:numPr>
                <w:ilvl w:val="0"/>
                <w:numId w:val="0"/>
              </w:numPr>
              <w:kinsoku/>
              <w:wordWrap/>
              <w:overflowPunct/>
              <w:topLinePunct/>
              <w:bidi w:val="0"/>
              <w:spacing w:line="360" w:lineRule="auto"/>
              <w:ind w:left="0" w:leftChars="0" w:firstLine="0" w:firstLineChars="0"/>
              <w:rPr>
                <w:rFonts w:hint="default" w:asciiTheme="minorEastAsia" w:hAnsiTheme="minorEastAsia" w:eastAsiaTheme="minorEastAsia" w:cstheme="minorEastAsia"/>
                <w:snapToGrid w:val="0"/>
                <w:color w:val="auto"/>
                <w:kern w:val="0"/>
                <w:sz w:val="24"/>
                <w:szCs w:val="24"/>
                <w:highlight w:val="none"/>
                <w:lang w:val="en-US" w:eastAsia="zh-CN"/>
              </w:rPr>
            </w:pPr>
            <w:r>
              <w:rPr>
                <w:rFonts w:hint="eastAsia" w:asciiTheme="minorEastAsia" w:hAnsiTheme="minorEastAsia" w:eastAsiaTheme="minorEastAsia" w:cstheme="minorEastAsia"/>
                <w:snapToGrid w:val="0"/>
                <w:color w:val="auto"/>
                <w:kern w:val="0"/>
                <w:sz w:val="24"/>
                <w:szCs w:val="24"/>
                <w:highlight w:val="none"/>
                <w:lang w:val="en-US" w:eastAsia="zh-CN"/>
              </w:rPr>
              <w:t>评审</w:t>
            </w:r>
          </w:p>
        </w:tc>
        <w:tc>
          <w:tcPr>
            <w:tcW w:w="1141" w:type="dxa"/>
            <w:vAlign w:val="center"/>
          </w:tcPr>
          <w:p w14:paraId="37183FD8">
            <w:pPr>
              <w:pageBreakBefore w:val="0"/>
              <w:numPr>
                <w:ilvl w:val="0"/>
                <w:numId w:val="0"/>
              </w:numPr>
              <w:kinsoku/>
              <w:wordWrap/>
              <w:overflowPunct/>
              <w:topLinePunct/>
              <w:bidi w:val="0"/>
              <w:spacing w:line="360" w:lineRule="auto"/>
              <w:ind w:left="0" w:leftChars="0" w:firstLine="0" w:firstLineChars="0"/>
              <w:jc w:val="center"/>
              <w:rPr>
                <w:rFonts w:hint="eastAsia" w:asciiTheme="minorEastAsia" w:hAnsiTheme="minorEastAsia" w:eastAsiaTheme="minorEastAsia" w:cstheme="minorEastAsia"/>
                <w:snapToGrid w:val="0"/>
                <w:color w:val="auto"/>
                <w:kern w:val="0"/>
                <w:position w:val="-6"/>
                <w:sz w:val="24"/>
                <w:szCs w:val="24"/>
                <w:highlight w:val="none"/>
                <w:lang w:val="en-US" w:eastAsia="zh-CN" w:bidi="ar-SA"/>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设计工作大纲（设计思路等）评审（15分）</w:t>
            </w:r>
          </w:p>
        </w:tc>
        <w:tc>
          <w:tcPr>
            <w:tcW w:w="6468" w:type="dxa"/>
            <w:vAlign w:val="center"/>
          </w:tcPr>
          <w:p w14:paraId="77863FF3">
            <w:pPr>
              <w:pageBreakBefore w:val="0"/>
              <w:numPr>
                <w:ilvl w:val="0"/>
                <w:numId w:val="0"/>
              </w:numPr>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总体设计工作思路清晰，重点突出，有较好的设计理念，针对本项目设计有详细的描述，重点突出，针对性强，设计思路充分体现项目特点及招标人需求，对项目所在地的现场条件，调查资料掌握充分，可实施性强的得10</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15分；</w:t>
            </w:r>
          </w:p>
          <w:p w14:paraId="0A8A6107">
            <w:pPr>
              <w:pageBreakBefore w:val="0"/>
              <w:numPr>
                <w:ilvl w:val="0"/>
                <w:numId w:val="0"/>
              </w:numPr>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总体设计工作思路基本清晰，重点一般，设计理念一般，针对本项目设计有详细的描述，有侧重点，有一定针对性，思路基本体现项目特点及招标人需求，对项目所在地的现场条件，调查资料掌握一般，可实施性一般的得5</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10分；</w:t>
            </w:r>
          </w:p>
          <w:p w14:paraId="2CBB08E6">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position w:val="-6"/>
                <w:sz w:val="24"/>
                <w:szCs w:val="24"/>
                <w:highlight w:val="none"/>
                <w:lang w:val="en-US" w:eastAsia="zh-CN" w:bidi="ar-SA"/>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（3）总体设计工作思路模糊，重点不突出，设计理念较差，对项目所在地的现场条件，调查资料掌握较少，可实施性差的得0～5分。</w:t>
            </w:r>
          </w:p>
        </w:tc>
      </w:tr>
      <w:tr w14:paraId="5EDBFD6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645" w:type="dxa"/>
            <w:vMerge w:val="continue"/>
            <w:tcBorders>
              <w:right w:val="single" w:color="auto" w:sz="4" w:space="0"/>
            </w:tcBorders>
            <w:vAlign w:val="center"/>
          </w:tcPr>
          <w:p w14:paraId="2B5F3C2F">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604EB61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17D199F5">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rPr>
            </w:pPr>
          </w:p>
        </w:tc>
        <w:tc>
          <w:tcPr>
            <w:tcW w:w="1141" w:type="dxa"/>
            <w:vAlign w:val="center"/>
          </w:tcPr>
          <w:p w14:paraId="43C883F6">
            <w:pPr>
              <w:pageBreakBefore w:val="0"/>
              <w:numPr>
                <w:ilvl w:val="0"/>
                <w:numId w:val="0"/>
              </w:numPr>
              <w:kinsoku/>
              <w:wordWrap/>
              <w:overflowPunct/>
              <w:topLinePunct/>
              <w:bidi w:val="0"/>
              <w:spacing w:line="360" w:lineRule="auto"/>
              <w:ind w:left="0" w:leftChars="0" w:firstLine="0" w:firstLineChars="0"/>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对项目设计的特点及关键性技术问题的对策措施</w:t>
            </w:r>
          </w:p>
          <w:p w14:paraId="6E5F75F7">
            <w:pPr>
              <w:pageBreakBefore w:val="0"/>
              <w:numPr>
                <w:ilvl w:val="0"/>
                <w:numId w:val="0"/>
              </w:numPr>
              <w:kinsoku/>
              <w:wordWrap/>
              <w:overflowPunct/>
              <w:topLinePunct/>
              <w:bidi w:val="0"/>
              <w:spacing w:line="360" w:lineRule="auto"/>
              <w:ind w:left="0" w:leftChars="0" w:firstLine="0" w:firstLineChars="0"/>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（10分）</w:t>
            </w:r>
          </w:p>
        </w:tc>
        <w:tc>
          <w:tcPr>
            <w:tcW w:w="6468" w:type="dxa"/>
            <w:vAlign w:val="center"/>
          </w:tcPr>
          <w:p w14:paraId="41FB61DC">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（1）对招标项目的特点、重点、难点有针对性，有切实可行的解决办法，措施科学全面，具有现代先进技术应用及设计理念得6～10分；</w:t>
            </w:r>
          </w:p>
          <w:p w14:paraId="242B5FBE">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（2）对招标项目的特点、重点、难点的解决办法有一定的针对性，措施基本合理，技术应用落后，设计理念一般得3～6分；</w:t>
            </w:r>
          </w:p>
          <w:p w14:paraId="67A7E2DF">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（3）对招标项目的特点、重点、难点的解决办法无针对性，措施不具体，错误较多，技术应用及设计理念较差得0～3分。</w:t>
            </w:r>
          </w:p>
        </w:tc>
      </w:tr>
      <w:tr w14:paraId="1ABCCCF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645" w:type="dxa"/>
            <w:vMerge w:val="continue"/>
            <w:tcBorders>
              <w:right w:val="single" w:color="auto" w:sz="4" w:space="0"/>
            </w:tcBorders>
            <w:vAlign w:val="center"/>
          </w:tcPr>
          <w:p w14:paraId="54E87E62">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7DF5CCF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522505F0">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rPr>
            </w:pPr>
          </w:p>
        </w:tc>
        <w:tc>
          <w:tcPr>
            <w:tcW w:w="1141" w:type="dxa"/>
            <w:vAlign w:val="center"/>
          </w:tcPr>
          <w:p w14:paraId="3A40FD1E">
            <w:pPr>
              <w:pageBreakBefore w:val="0"/>
              <w:numPr>
                <w:ilvl w:val="0"/>
                <w:numId w:val="0"/>
              </w:numPr>
              <w:kinsoku/>
              <w:wordWrap/>
              <w:overflowPunct/>
              <w:topLinePunct/>
              <w:bidi w:val="0"/>
              <w:spacing w:line="360" w:lineRule="auto"/>
              <w:ind w:left="0" w:leftChars="0" w:firstLine="0" w:firstLineChars="0"/>
              <w:jc w:val="center"/>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设计周期进度计划及承诺</w:t>
            </w:r>
          </w:p>
          <w:p w14:paraId="0C535197">
            <w:pPr>
              <w:pageBreakBefore w:val="0"/>
              <w:numPr>
                <w:ilvl w:val="0"/>
                <w:numId w:val="0"/>
              </w:numPr>
              <w:kinsoku/>
              <w:wordWrap/>
              <w:overflowPunct/>
              <w:topLinePunct/>
              <w:bidi w:val="0"/>
              <w:spacing w:line="360" w:lineRule="auto"/>
              <w:ind w:left="0" w:leftChars="0" w:firstLine="0" w:firstLineChars="0"/>
              <w:jc w:val="center"/>
              <w:rPr>
                <w:rFonts w:hint="eastAsia" w:asciiTheme="minorEastAsia" w:hAnsiTheme="minorEastAsia" w:eastAsiaTheme="minorEastAsia" w:cstheme="minorEastAsia"/>
                <w:snapToGrid w:val="0"/>
                <w:color w:val="auto"/>
                <w:kern w:val="0"/>
                <w:position w:val="-6"/>
                <w:sz w:val="24"/>
                <w:szCs w:val="24"/>
                <w:highlight w:val="none"/>
                <w:lang w:val="en-US" w:eastAsia="zh-CN" w:bidi="ar-SA"/>
              </w:rPr>
            </w:pP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5</w:t>
            </w:r>
            <w:r>
              <w:rPr>
                <w:rFonts w:hint="eastAsia" w:asciiTheme="minorEastAsia" w:hAnsiTheme="minorEastAsia" w:eastAsiaTheme="minorEastAsia" w:cstheme="minorEastAsia"/>
                <w:snapToGrid w:val="0"/>
                <w:color w:val="auto"/>
                <w:kern w:val="0"/>
                <w:position w:val="0"/>
                <w:sz w:val="24"/>
                <w:szCs w:val="24"/>
                <w:highlight w:val="none"/>
              </w:rPr>
              <w:t>分</w:t>
            </w:r>
            <w:r>
              <w:rPr>
                <w:rFonts w:hint="eastAsia" w:asciiTheme="minorEastAsia" w:hAnsiTheme="minorEastAsia" w:eastAsiaTheme="minorEastAsia" w:cstheme="minorEastAsia"/>
                <w:snapToGrid w:val="0"/>
                <w:color w:val="auto"/>
                <w:kern w:val="0"/>
                <w:position w:val="0"/>
                <w:sz w:val="24"/>
                <w:szCs w:val="24"/>
                <w:highlight w:val="none"/>
                <w:lang w:eastAsia="zh-CN"/>
              </w:rPr>
              <w:t>）</w:t>
            </w:r>
          </w:p>
        </w:tc>
        <w:tc>
          <w:tcPr>
            <w:tcW w:w="6468" w:type="dxa"/>
            <w:vAlign w:val="center"/>
          </w:tcPr>
          <w:p w14:paraId="3783C563">
            <w:pPr>
              <w:pageBreakBefore w:val="0"/>
              <w:numPr>
                <w:ilvl w:val="0"/>
                <w:numId w:val="0"/>
              </w:numPr>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1</w:t>
            </w:r>
            <w:r>
              <w:rPr>
                <w:rFonts w:hint="eastAsia" w:asciiTheme="minorEastAsia" w:hAnsiTheme="minorEastAsia" w:eastAsiaTheme="minorEastAsia" w:cstheme="minorEastAsia"/>
                <w:snapToGrid w:val="0"/>
                <w:color w:val="auto"/>
                <w:kern w:val="0"/>
                <w:position w:val="0"/>
                <w:sz w:val="24"/>
                <w:szCs w:val="24"/>
                <w:highlight w:val="none"/>
              </w:rPr>
              <w:t>）周期承诺满足招标文件且有具体的违约承诺，进度计划编制完整，程序清晰，安排科学，措施有力，切实可行的</w:t>
            </w: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rPr>
              <w:t>得</w:t>
            </w:r>
            <w:r>
              <w:rPr>
                <w:rFonts w:hint="eastAsia" w:asciiTheme="minorEastAsia" w:hAnsiTheme="minorEastAsia" w:eastAsiaTheme="minorEastAsia" w:cstheme="minorEastAsia"/>
                <w:snapToGrid w:val="0"/>
                <w:color w:val="auto"/>
                <w:kern w:val="0"/>
                <w:position w:val="0"/>
                <w:sz w:val="24"/>
                <w:szCs w:val="24"/>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5</w:t>
            </w:r>
            <w:r>
              <w:rPr>
                <w:rFonts w:hint="eastAsia" w:asciiTheme="minorEastAsia" w:hAnsiTheme="minorEastAsia" w:eastAsiaTheme="minorEastAsia" w:cstheme="minorEastAsia"/>
                <w:snapToGrid w:val="0"/>
                <w:color w:val="auto"/>
                <w:kern w:val="0"/>
                <w:position w:val="0"/>
                <w:sz w:val="24"/>
                <w:szCs w:val="24"/>
                <w:highlight w:val="none"/>
              </w:rPr>
              <w:t>分；</w:t>
            </w:r>
          </w:p>
          <w:p w14:paraId="35ECE0B6">
            <w:pPr>
              <w:pageBreakBefore w:val="0"/>
              <w:numPr>
                <w:ilvl w:val="0"/>
                <w:numId w:val="0"/>
              </w:numPr>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）周期承诺满足招标文件且有具体的违约承诺，进度计划编制基本全面，安排基本合理，有一定的措施的</w:t>
            </w: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rPr>
              <w:t>得</w:t>
            </w:r>
            <w:r>
              <w:rPr>
                <w:rFonts w:hint="eastAsia" w:asciiTheme="minorEastAsia" w:hAnsiTheme="minorEastAsia" w:eastAsiaTheme="minorEastAsia" w:cstheme="minorEastAsia"/>
                <w:snapToGrid w:val="0"/>
                <w:color w:val="auto"/>
                <w:kern w:val="0"/>
                <w:position w:val="0"/>
                <w:sz w:val="24"/>
                <w:szCs w:val="24"/>
                <w:highlight w:val="none"/>
                <w:lang w:val="en-US" w:eastAsia="zh-CN"/>
              </w:rPr>
              <w:t>0</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分；</w:t>
            </w:r>
          </w:p>
          <w:p w14:paraId="216DC8EB">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position w:val="-6"/>
                <w:sz w:val="24"/>
                <w:szCs w:val="24"/>
                <w:highlight w:val="none"/>
                <w:lang w:val="en-US" w:eastAsia="zh-CN" w:bidi="ar-SA"/>
              </w:rPr>
            </w:pPr>
            <w:r>
              <w:rPr>
                <w:rFonts w:hint="eastAsia" w:asciiTheme="minorEastAsia" w:hAnsiTheme="minorEastAsia" w:eastAsiaTheme="minorEastAsia" w:cstheme="minorEastAsia"/>
                <w:snapToGrid w:val="0"/>
                <w:color w:val="auto"/>
                <w:kern w:val="0"/>
                <w:position w:val="0"/>
                <w:sz w:val="24"/>
                <w:szCs w:val="24"/>
                <w:highlight w:val="none"/>
              </w:rPr>
              <w:t>（3）无进度计划不得分。</w:t>
            </w:r>
          </w:p>
        </w:tc>
      </w:tr>
      <w:tr w14:paraId="6AC7E15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645" w:type="dxa"/>
            <w:vMerge w:val="continue"/>
            <w:tcBorders>
              <w:right w:val="single" w:color="auto" w:sz="4" w:space="0"/>
            </w:tcBorders>
            <w:vAlign w:val="center"/>
          </w:tcPr>
          <w:p w14:paraId="5EA35CD1">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2951DFC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545C38F2">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5FCAFCFA">
            <w:pPr>
              <w:pageBreakBefore w:val="0"/>
              <w:numPr>
                <w:ilvl w:val="0"/>
                <w:numId w:val="0"/>
              </w:numPr>
              <w:kinsoku/>
              <w:wordWrap/>
              <w:overflowPunct/>
              <w:topLinePunct/>
              <w:bidi w:val="0"/>
              <w:spacing w:line="360" w:lineRule="auto"/>
              <w:ind w:left="0" w:leftChars="0" w:firstLine="0" w:firstLineChars="0"/>
              <w:jc w:val="center"/>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设计质量承诺及保证措施</w:t>
            </w:r>
          </w:p>
          <w:p w14:paraId="21535568">
            <w:pPr>
              <w:pageBreakBefore w:val="0"/>
              <w:numPr>
                <w:ilvl w:val="0"/>
                <w:numId w:val="0"/>
              </w:numPr>
              <w:kinsoku/>
              <w:wordWrap/>
              <w:overflowPunct/>
              <w:topLinePunct/>
              <w:bidi w:val="0"/>
              <w:spacing w:line="360" w:lineRule="auto"/>
              <w:ind w:left="0" w:leftChars="0" w:firstLine="0" w:firstLineChars="0"/>
              <w:jc w:val="center"/>
              <w:rPr>
                <w:rFonts w:hint="eastAsia" w:asciiTheme="minorEastAsia" w:hAnsiTheme="minorEastAsia" w:eastAsiaTheme="minorEastAsia" w:cstheme="minorEastAsia"/>
                <w:snapToGrid w:val="0"/>
                <w:color w:val="auto"/>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5</w:t>
            </w:r>
            <w:r>
              <w:rPr>
                <w:rFonts w:hint="eastAsia" w:asciiTheme="minorEastAsia" w:hAnsiTheme="minorEastAsia" w:eastAsiaTheme="minorEastAsia" w:cstheme="minorEastAsia"/>
                <w:snapToGrid w:val="0"/>
                <w:color w:val="auto"/>
                <w:kern w:val="0"/>
                <w:position w:val="0"/>
                <w:sz w:val="24"/>
                <w:szCs w:val="24"/>
                <w:highlight w:val="none"/>
              </w:rPr>
              <w:t>分）</w:t>
            </w:r>
          </w:p>
        </w:tc>
        <w:tc>
          <w:tcPr>
            <w:tcW w:w="6468" w:type="dxa"/>
            <w:vAlign w:val="center"/>
          </w:tcPr>
          <w:p w14:paraId="187A1AE1">
            <w:pPr>
              <w:pageBreakBefore w:val="0"/>
              <w:numPr>
                <w:ilvl w:val="0"/>
                <w:numId w:val="0"/>
              </w:numPr>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（1）质量承诺满足招标文件且有具体的违约责任承诺，对工程质量保证措施科学合理的</w:t>
            </w: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rPr>
              <w:t>得</w:t>
            </w:r>
            <w:r>
              <w:rPr>
                <w:rFonts w:hint="eastAsia" w:asciiTheme="minorEastAsia" w:hAnsiTheme="minorEastAsia" w:eastAsiaTheme="minorEastAsia" w:cstheme="minorEastAsia"/>
                <w:snapToGrid w:val="0"/>
                <w:color w:val="auto"/>
                <w:kern w:val="0"/>
                <w:position w:val="0"/>
                <w:sz w:val="24"/>
                <w:szCs w:val="24"/>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5</w:t>
            </w:r>
            <w:r>
              <w:rPr>
                <w:rFonts w:hint="eastAsia" w:asciiTheme="minorEastAsia" w:hAnsiTheme="minorEastAsia" w:eastAsiaTheme="minorEastAsia" w:cstheme="minorEastAsia"/>
                <w:snapToGrid w:val="0"/>
                <w:color w:val="auto"/>
                <w:kern w:val="0"/>
                <w:position w:val="0"/>
                <w:sz w:val="24"/>
                <w:szCs w:val="24"/>
                <w:highlight w:val="none"/>
              </w:rPr>
              <w:t>分；</w:t>
            </w:r>
          </w:p>
          <w:p w14:paraId="756EDFB2">
            <w:pPr>
              <w:pageBreakBefore w:val="0"/>
              <w:numPr>
                <w:ilvl w:val="0"/>
                <w:numId w:val="0"/>
              </w:numPr>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r>
              <w:rPr>
                <w:rFonts w:hint="eastAsia" w:asciiTheme="minorEastAsia" w:hAnsiTheme="minorEastAsia" w:eastAsiaTheme="minorEastAsia" w:cstheme="minorEastAsia"/>
                <w:snapToGrid w:val="0"/>
                <w:color w:val="auto"/>
                <w:kern w:val="0"/>
                <w:position w:val="0"/>
                <w:sz w:val="24"/>
                <w:szCs w:val="24"/>
                <w:highlight w:val="none"/>
              </w:rPr>
              <w:t>（2）质量承诺满足招标文件，有违约责任承诺但不具体的，对工程质量保证措施有阐述的</w:t>
            </w:r>
            <w:r>
              <w:rPr>
                <w:rFonts w:hint="eastAsia" w:asciiTheme="minorEastAsia" w:hAnsiTheme="minorEastAsia" w:eastAsiaTheme="minorEastAsia" w:cstheme="minorEastAsia"/>
                <w:snapToGrid w:val="0"/>
                <w:color w:val="auto"/>
                <w:kern w:val="0"/>
                <w:position w:val="0"/>
                <w:sz w:val="24"/>
                <w:szCs w:val="24"/>
                <w:highlight w:val="none"/>
                <w:lang w:eastAsia="zh-CN"/>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得0</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分；</w:t>
            </w:r>
          </w:p>
          <w:p w14:paraId="59FF0E74">
            <w:pPr>
              <w:pageBreakBefore w:val="0"/>
              <w:numPr>
                <w:ilvl w:val="0"/>
                <w:numId w:val="0"/>
              </w:numPr>
              <w:kinsoku/>
              <w:wordWrap/>
              <w:overflowPunct/>
              <w:topLinePunct/>
              <w:bidi w:val="0"/>
              <w:spacing w:line="360" w:lineRule="auto"/>
              <w:ind w:left="0" w:leftChars="0" w:firstLine="0" w:firstLineChars="0"/>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rPr>
              <w:t>（3）质量无承诺或质量承诺不满足招标文件的不得分。</w:t>
            </w:r>
          </w:p>
        </w:tc>
      </w:tr>
      <w:tr w14:paraId="5CC0BB5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645" w:type="dxa"/>
            <w:vMerge w:val="continue"/>
            <w:tcBorders>
              <w:right w:val="single" w:color="auto" w:sz="4" w:space="0"/>
            </w:tcBorders>
            <w:vAlign w:val="center"/>
          </w:tcPr>
          <w:p w14:paraId="383E0024">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3B04629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21FA87A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3FB4F7A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设计项目组织机构及主要人员</w:t>
            </w:r>
          </w:p>
          <w:p w14:paraId="0939816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5</w:t>
            </w:r>
            <w:r>
              <w:rPr>
                <w:rFonts w:hint="eastAsia" w:asciiTheme="minorEastAsia" w:hAnsiTheme="minorEastAsia" w:eastAsiaTheme="minorEastAsia" w:cstheme="minorEastAsia"/>
                <w:snapToGrid w:val="0"/>
                <w:color w:val="auto"/>
                <w:kern w:val="0"/>
                <w:position w:val="0"/>
                <w:sz w:val="24"/>
                <w:szCs w:val="24"/>
                <w:highlight w:val="none"/>
              </w:rPr>
              <w:t>分）</w:t>
            </w:r>
          </w:p>
        </w:tc>
        <w:tc>
          <w:tcPr>
            <w:tcW w:w="6468" w:type="dxa"/>
            <w:vAlign w:val="center"/>
          </w:tcPr>
          <w:p w14:paraId="2D53E082">
            <w:pPr>
              <w:pageBreakBefore w:val="0"/>
              <w:kinsoku/>
              <w:wordWrap/>
              <w:overflowPunct/>
              <w:topLinePunct/>
              <w:bidi w:val="0"/>
              <w:adjustRightInd w:val="0"/>
              <w:spacing w:before="43" w:line="360" w:lineRule="auto"/>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pPr>
            <w:r>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t>（1）项目组织机构管理体系完善，针对性强，有科学严谨的管理程序，主要人员的专业配置合理齐全的得3</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5</w:t>
            </w:r>
            <w:r>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t>分；</w:t>
            </w:r>
          </w:p>
          <w:p w14:paraId="171346FD">
            <w:pPr>
              <w:pageBreakBefore w:val="0"/>
              <w:kinsoku/>
              <w:wordWrap/>
              <w:overflowPunct/>
              <w:topLinePunct/>
              <w:bidi w:val="0"/>
              <w:adjustRightInd w:val="0"/>
              <w:spacing w:before="43" w:line="360" w:lineRule="auto"/>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pPr>
            <w:r>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t>（2）项目组织机构管理体系完善，有针对性，有管理程序，主要人员的专业配置基本合理的得1</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3</w:t>
            </w:r>
            <w:r>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t>分；</w:t>
            </w:r>
          </w:p>
          <w:p w14:paraId="0FABEED1">
            <w:pPr>
              <w:pageBreakBefore w:val="0"/>
              <w:kinsoku/>
              <w:wordWrap/>
              <w:overflowPunct/>
              <w:topLinePunct/>
              <w:bidi w:val="0"/>
              <w:adjustRightInd w:val="0"/>
              <w:spacing w:before="43" w:line="360" w:lineRule="auto"/>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pPr>
            <w:r>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t>（3）项目组织机构体系不完善，管理程序不清晰，主要人员的专业配置差的得0～1分。</w:t>
            </w:r>
          </w:p>
          <w:p w14:paraId="557C8137">
            <w:pPr>
              <w:pageBreakBefore w:val="0"/>
              <w:kinsoku/>
              <w:wordWrap/>
              <w:overflowPunct/>
              <w:topLinePunct/>
              <w:bidi w:val="0"/>
              <w:adjustRightInd w:val="0"/>
              <w:spacing w:before="43" w:line="360" w:lineRule="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t>注：附拟派往本项目的项目组成员相关证件、相关证明材料的原件扫描件。</w:t>
            </w:r>
          </w:p>
        </w:tc>
      </w:tr>
      <w:tr w14:paraId="598DE73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645" w:type="dxa"/>
            <w:vMerge w:val="continue"/>
            <w:tcBorders>
              <w:right w:val="single" w:color="auto" w:sz="4" w:space="0"/>
            </w:tcBorders>
            <w:vAlign w:val="center"/>
          </w:tcPr>
          <w:p w14:paraId="53A761A4">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40D7DF2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restart"/>
            <w:vAlign w:val="center"/>
          </w:tcPr>
          <w:p w14:paraId="7F50DD89">
            <w:pPr>
              <w:pageBreakBefore w:val="0"/>
              <w:kinsoku/>
              <w:wordWrap/>
              <w:overflowPunct/>
              <w:topLinePunct/>
              <w:bidi w:val="0"/>
              <w:spacing w:line="360" w:lineRule="auto"/>
              <w:jc w:val="center"/>
              <w:rPr>
                <w:rFonts w:hint="default" w:asciiTheme="minorEastAsia" w:hAnsiTheme="minorEastAsia" w:eastAsiaTheme="minorEastAsia" w:cstheme="minorEastAsia"/>
                <w:snapToGrid w:val="0"/>
                <w:color w:val="auto"/>
                <w:kern w:val="0"/>
                <w:position w:val="0"/>
                <w:sz w:val="24"/>
                <w:szCs w:val="22"/>
                <w:highlight w:val="none"/>
                <w:lang w:val="en-US" w:eastAsia="zh-CN"/>
              </w:rPr>
            </w:pPr>
            <w:r>
              <w:rPr>
                <w:rFonts w:hint="eastAsia" w:asciiTheme="minorEastAsia" w:hAnsiTheme="minorEastAsia" w:eastAsiaTheme="minorEastAsia" w:cstheme="minorEastAsia"/>
                <w:snapToGrid w:val="0"/>
                <w:color w:val="auto"/>
                <w:kern w:val="0"/>
                <w:position w:val="0"/>
                <w:sz w:val="24"/>
                <w:szCs w:val="22"/>
                <w:highlight w:val="none"/>
                <w:lang w:val="en-US" w:eastAsia="zh-CN"/>
              </w:rPr>
              <w:t>施工技术部分评审</w:t>
            </w:r>
          </w:p>
          <w:p w14:paraId="71ADC3B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2"/>
                <w:highlight w:val="none"/>
              </w:rPr>
            </w:pPr>
          </w:p>
          <w:p w14:paraId="273AE9D5">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5AB3D46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施工技术方案评分</w:t>
            </w:r>
          </w:p>
          <w:p w14:paraId="61229048">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（12分）</w:t>
            </w:r>
          </w:p>
        </w:tc>
        <w:tc>
          <w:tcPr>
            <w:tcW w:w="6468" w:type="dxa"/>
            <w:vAlign w:val="center"/>
          </w:tcPr>
          <w:p w14:paraId="532E0274">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（1）施工技术方案、施工程序及施工大纲合理且能指导施工，施工措施具体且有针对性，施工部署全面；针对该建筑施工方案有详细的描述，重点突出，针对性强，能满足本项目需求的得8～12分；</w:t>
            </w:r>
          </w:p>
          <w:p w14:paraId="3B3F97FA">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（2）施工技术方案、施工程序及施工大纲合理但对施工指导性一般，施工措施具体但针对性一般，施工部署全面；针对该建筑施工方案有详细的描述，有侧重点，有一定针对性，基本满足本项目需求得4～8分；</w:t>
            </w:r>
          </w:p>
          <w:p w14:paraId="2CD86459">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（3）施工技术方案、施工程序及施工大纲基本合理，但对施工缺乏指导性，施工措施、施工部署基本合理但存在一些问题的得0～4分；</w:t>
            </w:r>
          </w:p>
          <w:p w14:paraId="58DAFAD4">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（4）施工技术方案、施工程序、施工大纲及施工措施、施工部署存在有明显重大错误的或无施工技术方案的不得分。</w:t>
            </w:r>
          </w:p>
        </w:tc>
      </w:tr>
      <w:tr w14:paraId="2FE543D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045" w:hRule="atLeast"/>
          <w:jc w:val="center"/>
        </w:trPr>
        <w:tc>
          <w:tcPr>
            <w:tcW w:w="645" w:type="dxa"/>
            <w:vMerge w:val="continue"/>
            <w:tcBorders>
              <w:right w:val="single" w:color="auto" w:sz="4" w:space="0"/>
            </w:tcBorders>
            <w:vAlign w:val="center"/>
          </w:tcPr>
          <w:p w14:paraId="23DD3754">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752F3F5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513AA07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4B299FD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质量承诺及保证措施评审评分</w:t>
            </w:r>
          </w:p>
          <w:p w14:paraId="01360B4F">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（5分）</w:t>
            </w:r>
          </w:p>
        </w:tc>
        <w:tc>
          <w:tcPr>
            <w:tcW w:w="6468" w:type="dxa"/>
            <w:vAlign w:val="center"/>
          </w:tcPr>
          <w:p w14:paraId="48F03BB4">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（1）质量承诺满足招标文件且有具体的违约责任承诺，对工程质量保证措施有具体阐述的得3～5分；</w:t>
            </w:r>
          </w:p>
          <w:p w14:paraId="6E312A68">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（2）质量承诺满足招标文件且有具体的违约责任承诺，质量保证措施基本达到要求但存在一些问题的得0～3分；</w:t>
            </w:r>
          </w:p>
          <w:p w14:paraId="711BE874">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（3）质量承诺满足招标文件，有违约责任承诺但不具体的不得分。</w:t>
            </w:r>
          </w:p>
        </w:tc>
      </w:tr>
      <w:tr w14:paraId="75D10CD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645" w:type="dxa"/>
            <w:vMerge w:val="continue"/>
            <w:tcBorders>
              <w:right w:val="single" w:color="auto" w:sz="4" w:space="0"/>
            </w:tcBorders>
            <w:vAlign w:val="center"/>
          </w:tcPr>
          <w:p w14:paraId="45152F01">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1465292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4893D5B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4E7BDFC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工期承诺和保证措施评审评分</w:t>
            </w:r>
          </w:p>
          <w:p w14:paraId="3280808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（5分）</w:t>
            </w:r>
          </w:p>
        </w:tc>
        <w:tc>
          <w:tcPr>
            <w:tcW w:w="6468" w:type="dxa"/>
            <w:vAlign w:val="center"/>
          </w:tcPr>
          <w:p w14:paraId="6322305D">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（1）工期承诺满足招标文件且有具体的违约责任承诺，有施工进度计划，且能保证工期的得3～5分；</w:t>
            </w:r>
          </w:p>
          <w:p w14:paraId="645013A0">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（2）工期承诺满足招标文件且有奖罚条件和有施工进度计划，但不够完善的得0～3分；</w:t>
            </w:r>
          </w:p>
          <w:p w14:paraId="35B9ECA1">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（3）无工期承诺及保证措施的不得分。</w:t>
            </w:r>
          </w:p>
        </w:tc>
      </w:tr>
      <w:tr w14:paraId="7DF4178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645" w:type="dxa"/>
            <w:vMerge w:val="continue"/>
            <w:tcBorders>
              <w:right w:val="single" w:color="auto" w:sz="4" w:space="0"/>
            </w:tcBorders>
            <w:vAlign w:val="center"/>
          </w:tcPr>
          <w:p w14:paraId="0E7B58C5">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2222AFA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7AAA112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6552D09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施工主要工序审查</w:t>
            </w:r>
          </w:p>
          <w:p w14:paraId="381BC6F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（5分）</w:t>
            </w:r>
          </w:p>
        </w:tc>
        <w:tc>
          <w:tcPr>
            <w:tcW w:w="6468" w:type="dxa"/>
            <w:vAlign w:val="center"/>
          </w:tcPr>
          <w:p w14:paraId="7FE3E87A">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（1）施工主要工序阐述明细、全面、合理，主要工种施工方法得当，对本项目的关键技术、工艺有明确深入的表述，对施工重点、难点有合理、经济、安全的解决方案和可行保证措施的得3～5分；</w:t>
            </w:r>
          </w:p>
          <w:p w14:paraId="04614F18">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（2）施工主要工序有阐述全面、合理，主要工种施工方法基本得当，对本项目的关键技术、工艺有明确的表述，对施工重点、难点有合理的解决方案，保证措施基本可行的得1～3分；</w:t>
            </w:r>
          </w:p>
          <w:p w14:paraId="3F30B69D">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（3）施工主要工序阐述基本全面，对本项目的关键技术、工艺有一定了解，对施工重点、难点有建议，但解决方案和保证措施不可行的得0～1分。</w:t>
            </w:r>
          </w:p>
        </w:tc>
      </w:tr>
      <w:tr w14:paraId="1F63BD6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645" w:type="dxa"/>
            <w:vMerge w:val="continue"/>
            <w:tcBorders>
              <w:right w:val="single" w:color="auto" w:sz="4" w:space="0"/>
            </w:tcBorders>
            <w:vAlign w:val="center"/>
          </w:tcPr>
          <w:p w14:paraId="097944EC">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3936B65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1DC64FA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3E3A43D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安全文明施工保证措施评审评分</w:t>
            </w:r>
          </w:p>
          <w:p w14:paraId="77EF94E5">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（4分）</w:t>
            </w:r>
          </w:p>
        </w:tc>
        <w:tc>
          <w:tcPr>
            <w:tcW w:w="6468" w:type="dxa"/>
            <w:vAlign w:val="center"/>
          </w:tcPr>
          <w:p w14:paraId="517AF5BE">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（1）有具体、完整、可行的安全文明施工实施保证措施且合理、先进、针对性好的得2～4分；</w:t>
            </w:r>
          </w:p>
          <w:p w14:paraId="6202B108">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（2）有具体、完整、可行的安全文明施工实施保证措施且合理但针对性一般的得0～2分；</w:t>
            </w:r>
          </w:p>
          <w:p w14:paraId="0D80CE1A">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（3）没有安全文明施工保证措施的不得分。</w:t>
            </w:r>
          </w:p>
        </w:tc>
      </w:tr>
      <w:tr w14:paraId="5EDB497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645" w:type="dxa"/>
            <w:vMerge w:val="continue"/>
            <w:tcBorders>
              <w:right w:val="single" w:color="auto" w:sz="4" w:space="0"/>
            </w:tcBorders>
            <w:vAlign w:val="center"/>
          </w:tcPr>
          <w:p w14:paraId="6A475CA2">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5DBBC84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539" w:type="dxa"/>
            <w:vMerge w:val="continue"/>
            <w:vAlign w:val="center"/>
          </w:tcPr>
          <w:p w14:paraId="6673A92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1141" w:type="dxa"/>
            <w:vAlign w:val="center"/>
          </w:tcPr>
          <w:p w14:paraId="088DE70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施工机械投入评审评分</w:t>
            </w:r>
          </w:p>
          <w:p w14:paraId="1D9A842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（4分）</w:t>
            </w:r>
          </w:p>
          <w:p w14:paraId="50F26987">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lang w:val="en-US" w:eastAsia="zh-CN"/>
              </w:rPr>
            </w:pPr>
          </w:p>
        </w:tc>
        <w:tc>
          <w:tcPr>
            <w:tcW w:w="6468" w:type="dxa"/>
            <w:vAlign w:val="center"/>
          </w:tcPr>
          <w:p w14:paraId="71DF4DBC">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p>
          <w:p w14:paraId="17800F69">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（1）施工机械投入与施工进度计划呼应，满足工程要求，施工机械搭配合理、准确且明确的有相对应的费用的得2～4分；</w:t>
            </w:r>
          </w:p>
          <w:p w14:paraId="54394C6B">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（2）施工机械投入与施工进度计划呼应，满足工程要求，施工机械搭配基本合理、基本准确且有相对应的费用的得0～2分；</w:t>
            </w:r>
          </w:p>
          <w:p w14:paraId="45428886">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（3）施工机械投入与施工进度计划不相呼应，不满足工程要求的，或施工机械投入未作说明的不得分。</w:t>
            </w:r>
          </w:p>
        </w:tc>
      </w:tr>
      <w:tr w14:paraId="1BE9514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645" w:type="dxa"/>
            <w:vMerge w:val="continue"/>
            <w:tcBorders>
              <w:right w:val="single" w:color="auto" w:sz="4" w:space="0"/>
            </w:tcBorders>
            <w:vAlign w:val="center"/>
          </w:tcPr>
          <w:p w14:paraId="77244A3D">
            <w:pPr>
              <w:pStyle w:val="18"/>
              <w:pageBreakBefore w:val="0"/>
              <w:kinsoku/>
              <w:wordWrap/>
              <w:overflowPunct/>
              <w:topLinePunct/>
              <w:bidi w:val="0"/>
              <w:spacing w:line="360" w:lineRule="auto"/>
              <w:rPr>
                <w:rFonts w:hint="eastAsia" w:asciiTheme="minorEastAsia" w:hAnsiTheme="minorEastAsia" w:eastAsiaTheme="minorEastAsia" w:cstheme="minorEastAsia"/>
                <w:snapToGrid w:val="0"/>
                <w:color w:val="auto"/>
                <w:kern w:val="0"/>
                <w:position w:val="0"/>
                <w:sz w:val="24"/>
                <w:szCs w:val="24"/>
                <w:highlight w:val="none"/>
              </w:rPr>
            </w:pPr>
          </w:p>
        </w:tc>
        <w:tc>
          <w:tcPr>
            <w:tcW w:w="1000" w:type="dxa"/>
            <w:vMerge w:val="continue"/>
            <w:tcBorders>
              <w:left w:val="single" w:color="auto" w:sz="4" w:space="0"/>
            </w:tcBorders>
            <w:vAlign w:val="center"/>
          </w:tcPr>
          <w:p w14:paraId="2707197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 w:val="24"/>
                <w:szCs w:val="24"/>
                <w:highlight w:val="none"/>
              </w:rPr>
            </w:pPr>
          </w:p>
        </w:tc>
        <w:tc>
          <w:tcPr>
            <w:tcW w:w="1680" w:type="dxa"/>
            <w:gridSpan w:val="2"/>
            <w:vAlign w:val="center"/>
          </w:tcPr>
          <w:p w14:paraId="0D91715B">
            <w:pPr>
              <w:pageBreakBefore w:val="0"/>
              <w:kinsoku/>
              <w:wordWrap/>
              <w:overflowPunct/>
              <w:topLinePunct/>
              <w:bidi w:val="0"/>
              <w:spacing w:line="360" w:lineRule="auto"/>
              <w:jc w:val="center"/>
              <w:rPr>
                <w:rFonts w:hint="eastAsia" w:asciiTheme="minorEastAsia" w:hAnsiTheme="minorEastAsia" w:eastAsiaTheme="minorEastAsia" w:cstheme="minorEastAsia"/>
                <w:b/>
                <w:snapToGrid w:val="0"/>
                <w:color w:val="auto"/>
                <w:kern w:val="0"/>
                <w:position w:val="0"/>
                <w:sz w:val="24"/>
                <w:szCs w:val="22"/>
                <w:highlight w:val="none"/>
                <w:lang w:val="en-US" w:eastAsia="zh-CN"/>
              </w:rPr>
            </w:pPr>
            <w:r>
              <w:rPr>
                <w:rFonts w:hint="eastAsia" w:asciiTheme="minorEastAsia" w:hAnsiTheme="minorEastAsia" w:eastAsiaTheme="minorEastAsia" w:cstheme="minorEastAsia"/>
                <w:snapToGrid w:val="0"/>
                <w:color w:val="auto"/>
                <w:kern w:val="0"/>
                <w:position w:val="0"/>
                <w:sz w:val="24"/>
                <w:szCs w:val="24"/>
                <w:highlight w:val="none"/>
                <w:lang w:val="en-US" w:eastAsia="zh-CN"/>
              </w:rPr>
              <w:t>施工项目管理机构及主要人员</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4"/>
                <w:highlight w:val="none"/>
                <w:lang w:val="en-US" w:eastAsia="zh-CN"/>
              </w:rPr>
              <w:t>5</w:t>
            </w:r>
            <w:r>
              <w:rPr>
                <w:rFonts w:hint="eastAsia" w:asciiTheme="minorEastAsia" w:hAnsiTheme="minorEastAsia" w:eastAsiaTheme="minorEastAsia" w:cstheme="minorEastAsia"/>
                <w:snapToGrid w:val="0"/>
                <w:color w:val="auto"/>
                <w:kern w:val="0"/>
                <w:position w:val="0"/>
                <w:sz w:val="24"/>
                <w:szCs w:val="24"/>
                <w:highlight w:val="none"/>
              </w:rPr>
              <w:t>分）</w:t>
            </w:r>
          </w:p>
        </w:tc>
        <w:tc>
          <w:tcPr>
            <w:tcW w:w="6468" w:type="dxa"/>
            <w:vAlign w:val="center"/>
          </w:tcPr>
          <w:p w14:paraId="136B2172">
            <w:pPr>
              <w:pageBreakBefore w:val="0"/>
              <w:tabs>
                <w:tab w:val="left" w:pos="4536"/>
              </w:tabs>
              <w:kinsoku/>
              <w:wordWrap/>
              <w:overflowPunct/>
              <w:topLinePunct/>
              <w:bidi w:val="0"/>
              <w:adjustRightInd w:val="0"/>
              <w:spacing w:before="43" w:line="360" w:lineRule="auto"/>
              <w:ind w:right="68"/>
              <w:jc w:val="left"/>
              <w:rPr>
                <w:rFonts w:hint="eastAsia" w:asciiTheme="minorEastAsia" w:hAnsiTheme="minorEastAsia" w:eastAsiaTheme="minorEastAsia" w:cstheme="minorEastAsia"/>
                <w:b/>
                <w:snapToGrid w:val="0"/>
                <w:color w:val="auto"/>
                <w:ker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rPr>
              <w:t>（1）项目管理人员配置针对工程实际且合理，对项目管理人员说明合理，能满足工程需要的得</w:t>
            </w:r>
            <w:r>
              <w:rPr>
                <w:rFonts w:hint="eastAsia" w:asciiTheme="minorEastAsia" w:hAnsiTheme="minorEastAsia" w:eastAsiaTheme="minorEastAsia" w:cstheme="minorEastAsia"/>
                <w:snapToGrid w:val="0"/>
                <w:color w:val="auto"/>
                <w:kern w:val="0"/>
                <w:position w:val="0"/>
                <w:sz w:val="24"/>
                <w:szCs w:val="22"/>
                <w:highlight w:val="none"/>
                <w:lang w:val="en-US" w:eastAsia="zh-CN"/>
              </w:rPr>
              <w:t>3</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2"/>
                <w:highlight w:val="none"/>
              </w:rPr>
              <w:t>5分；</w:t>
            </w:r>
          </w:p>
          <w:p w14:paraId="09666C2B">
            <w:pPr>
              <w:pageBreakBefore w:val="0"/>
              <w:tabs>
                <w:tab w:val="left" w:pos="4536"/>
              </w:tabs>
              <w:kinsoku/>
              <w:wordWrap/>
              <w:overflowPunct/>
              <w:topLinePunct/>
              <w:bidi w:val="0"/>
              <w:adjustRightInd w:val="0"/>
              <w:spacing w:before="43" w:line="360" w:lineRule="auto"/>
              <w:ind w:right="68"/>
              <w:jc w:val="left"/>
              <w:rPr>
                <w:rFonts w:hint="eastAsia" w:asciiTheme="minorEastAsia" w:hAnsiTheme="minorEastAsia" w:eastAsiaTheme="minorEastAsia" w:cstheme="minorEastAsia"/>
                <w:snapToGrid w:val="0"/>
                <w:color w:val="auto"/>
                <w:ker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rPr>
              <w:t>（2）项目管理人员配置针对工程实际且合理，对项目管理人员说明基本合理或不够详细的，基本满足工程需要的得</w:t>
            </w:r>
            <w:r>
              <w:rPr>
                <w:rFonts w:hint="eastAsia" w:asciiTheme="minorEastAsia" w:hAnsiTheme="minorEastAsia" w:eastAsiaTheme="minorEastAsia" w:cstheme="minorEastAsia"/>
                <w:snapToGrid w:val="0"/>
                <w:color w:val="auto"/>
                <w:kern w:val="0"/>
                <w:position w:val="0"/>
                <w:sz w:val="24"/>
                <w:szCs w:val="22"/>
                <w:highlight w:val="none"/>
                <w:lang w:val="en-US" w:eastAsia="zh-CN"/>
              </w:rPr>
              <w:t>2</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2"/>
                <w:highlight w:val="none"/>
              </w:rPr>
              <w:t>3分；</w:t>
            </w:r>
          </w:p>
          <w:p w14:paraId="7324B776">
            <w:pPr>
              <w:pageBreakBefore w:val="0"/>
              <w:tabs>
                <w:tab w:val="left" w:pos="4536"/>
              </w:tabs>
              <w:kinsoku/>
              <w:wordWrap/>
              <w:overflowPunct/>
              <w:topLinePunct/>
              <w:bidi w:val="0"/>
              <w:adjustRightInd w:val="0"/>
              <w:spacing w:before="43" w:line="360" w:lineRule="auto"/>
              <w:ind w:right="68"/>
              <w:jc w:val="left"/>
              <w:rPr>
                <w:rFonts w:hint="eastAsia" w:asciiTheme="minorEastAsia" w:hAnsiTheme="minorEastAsia" w:eastAsiaTheme="minorEastAsia" w:cstheme="minorEastAsia"/>
                <w:b/>
                <w:snapToGrid w:val="0"/>
                <w:color w:val="auto"/>
                <w:kern w:val="0"/>
                <w:sz w:val="24"/>
                <w:szCs w:val="22"/>
                <w:highlight w:val="none"/>
              </w:rPr>
            </w:pPr>
            <w:r>
              <w:rPr>
                <w:rFonts w:hint="eastAsia" w:asciiTheme="minorEastAsia" w:hAnsiTheme="minorEastAsia" w:eastAsiaTheme="minorEastAsia" w:cstheme="minorEastAsia"/>
                <w:snapToGrid w:val="0"/>
                <w:color w:val="auto"/>
                <w:kern w:val="0"/>
                <w:position w:val="0"/>
                <w:sz w:val="24"/>
                <w:szCs w:val="22"/>
                <w:highlight w:val="none"/>
              </w:rPr>
              <w:t>（3）项目管理人员配置针对工程实际基本合理，对项目管理人员说明欠缺，基本满足工程需要的得</w:t>
            </w:r>
            <w:r>
              <w:rPr>
                <w:rFonts w:hint="eastAsia" w:asciiTheme="minorEastAsia" w:hAnsiTheme="minorEastAsia" w:eastAsiaTheme="minorEastAsia" w:cstheme="minorEastAsia"/>
                <w:snapToGrid w:val="0"/>
                <w:color w:val="auto"/>
                <w:kern w:val="0"/>
                <w:position w:val="0"/>
                <w:sz w:val="24"/>
                <w:szCs w:val="22"/>
                <w:highlight w:val="none"/>
                <w:lang w:val="en-US" w:eastAsia="zh-CN"/>
              </w:rPr>
              <w:t>0</w:t>
            </w:r>
            <w:r>
              <w:rPr>
                <w:rFonts w:hint="eastAsia" w:asciiTheme="minorEastAsia" w:hAnsiTheme="minorEastAsia" w:eastAsiaTheme="minorEastAsia" w:cstheme="minorEastAsia"/>
                <w:snapToGrid w:val="0"/>
                <w:color w:val="auto"/>
                <w:kern w:val="0"/>
                <w:position w:val="0"/>
                <w:sz w:val="24"/>
                <w:szCs w:val="24"/>
                <w:highlight w:val="none"/>
              </w:rPr>
              <w:t>～</w:t>
            </w:r>
            <w:r>
              <w:rPr>
                <w:rFonts w:hint="eastAsia" w:asciiTheme="minorEastAsia" w:hAnsiTheme="minorEastAsia" w:eastAsiaTheme="minorEastAsia" w:cstheme="minorEastAsia"/>
                <w:snapToGrid w:val="0"/>
                <w:color w:val="auto"/>
                <w:kern w:val="0"/>
                <w:position w:val="0"/>
                <w:sz w:val="24"/>
                <w:szCs w:val="22"/>
                <w:highlight w:val="none"/>
                <w:lang w:val="en-US" w:eastAsia="zh-CN"/>
              </w:rPr>
              <w:t>2</w:t>
            </w:r>
            <w:r>
              <w:rPr>
                <w:rFonts w:hint="eastAsia" w:asciiTheme="minorEastAsia" w:hAnsiTheme="minorEastAsia" w:eastAsiaTheme="minorEastAsia" w:cstheme="minorEastAsia"/>
                <w:snapToGrid w:val="0"/>
                <w:color w:val="auto"/>
                <w:kern w:val="0"/>
                <w:position w:val="0"/>
                <w:sz w:val="24"/>
                <w:szCs w:val="22"/>
                <w:highlight w:val="none"/>
              </w:rPr>
              <w:t>分；</w:t>
            </w:r>
          </w:p>
          <w:p w14:paraId="46C5CBF3">
            <w:pPr>
              <w:pageBreakBefore w:val="0"/>
              <w:tabs>
                <w:tab w:val="left" w:pos="4536"/>
              </w:tabs>
              <w:kinsoku/>
              <w:wordWrap/>
              <w:overflowPunct/>
              <w:topLinePunct/>
              <w:bidi w:val="0"/>
              <w:adjustRightInd w:val="0"/>
              <w:spacing w:before="43" w:line="360" w:lineRule="auto"/>
              <w:ind w:right="68" w:rightChars="0"/>
              <w:jc w:val="left"/>
              <w:rPr>
                <w:rFonts w:hint="eastAsia" w:asciiTheme="minorEastAsia" w:hAnsiTheme="minorEastAsia" w:eastAsiaTheme="minorEastAsia" w:cstheme="minorEastAsia"/>
                <w:b w:val="0"/>
                <w:bCs/>
                <w:snapToGrid w:val="0"/>
                <w:color w:val="auto"/>
                <w:kern w:val="0"/>
                <w:position w:val="0"/>
                <w:sz w:val="24"/>
                <w:szCs w:val="24"/>
                <w:highlight w:val="none"/>
                <w:lang w:val="en-US" w:eastAsia="zh-CN"/>
              </w:rPr>
            </w:pPr>
            <w:r>
              <w:rPr>
                <w:rFonts w:hint="eastAsia" w:asciiTheme="minorEastAsia" w:hAnsiTheme="minorEastAsia" w:eastAsiaTheme="minorEastAsia" w:cstheme="minorEastAsia"/>
                <w:snapToGrid w:val="0"/>
                <w:color w:val="auto"/>
                <w:kern w:val="0"/>
                <w:position w:val="0"/>
                <w:sz w:val="24"/>
                <w:szCs w:val="22"/>
                <w:highlight w:val="none"/>
              </w:rPr>
              <w:t>（4）项目管理人员配置对工程实际情况没有针对性，对项目管理人员没有说明或说明不合理的不得分。</w:t>
            </w:r>
          </w:p>
        </w:tc>
      </w:tr>
    </w:tbl>
    <w:p w14:paraId="393D43B2">
      <w:pPr>
        <w:pageBreakBefore w:val="0"/>
        <w:widowControl/>
        <w:kinsoku/>
        <w:wordWrap/>
        <w:overflowPunct/>
        <w:bidi w:val="0"/>
        <w:spacing w:line="360" w:lineRule="auto"/>
        <w:jc w:val="left"/>
        <w:rPr>
          <w:rFonts w:hint="eastAsia" w:asciiTheme="minorEastAsia" w:hAnsiTheme="minorEastAsia" w:eastAsiaTheme="minorEastAsia" w:cstheme="minorEastAsia"/>
          <w:color w:val="auto"/>
          <w:highlight w:val="none"/>
        </w:rPr>
      </w:pPr>
      <w:bookmarkStart w:id="597" w:name="_Toc237230852"/>
      <w:bookmarkStart w:id="598" w:name="_Toc270058727"/>
      <w:bookmarkStart w:id="599" w:name="_Toc237061002"/>
      <w:bookmarkStart w:id="600" w:name="_Toc266451769"/>
      <w:bookmarkStart w:id="601" w:name="_Toc251224115"/>
      <w:r>
        <w:rPr>
          <w:rFonts w:hint="eastAsia" w:asciiTheme="minorEastAsia" w:hAnsiTheme="minorEastAsia" w:eastAsiaTheme="minorEastAsia" w:cstheme="minorEastAsia"/>
          <w:color w:val="auto"/>
          <w:position w:val="0"/>
          <w:sz w:val="24"/>
          <w:szCs w:val="24"/>
          <w:highlight w:val="none"/>
        </w:rPr>
        <w:br w:type="page"/>
      </w:r>
    </w:p>
    <w:bookmarkEnd w:id="597"/>
    <w:bookmarkEnd w:id="598"/>
    <w:bookmarkEnd w:id="599"/>
    <w:bookmarkEnd w:id="600"/>
    <w:bookmarkEnd w:id="601"/>
    <w:p w14:paraId="0DD518B3">
      <w:pPr>
        <w:pStyle w:val="3"/>
        <w:pageBreakBefore w:val="0"/>
        <w:widowControl/>
        <w:kinsoku/>
        <w:wordWrap/>
        <w:overflowPunct/>
        <w:bidi w:val="0"/>
        <w:spacing w:before="60" w:beforeLines="25" w:line="360" w:lineRule="auto"/>
        <w:jc w:val="left"/>
        <w:outlineLvl w:val="1"/>
        <w:rPr>
          <w:rFonts w:hint="eastAsia" w:asciiTheme="minorEastAsia" w:hAnsiTheme="minorEastAsia" w:eastAsiaTheme="minorEastAsia" w:cstheme="minorEastAsia"/>
          <w:b w:val="0"/>
          <w:color w:val="auto"/>
          <w:position w:val="0"/>
          <w:sz w:val="24"/>
          <w:szCs w:val="24"/>
          <w:highlight w:val="none"/>
        </w:rPr>
      </w:pPr>
      <w:bookmarkStart w:id="602" w:name="_Toc5608"/>
      <w:bookmarkStart w:id="603" w:name="_Toc517158256"/>
      <w:bookmarkStart w:id="604" w:name="_Toc516756676"/>
      <w:r>
        <w:rPr>
          <w:rFonts w:hint="eastAsia" w:asciiTheme="minorEastAsia" w:hAnsiTheme="minorEastAsia" w:eastAsiaTheme="minorEastAsia" w:cstheme="minorEastAsia"/>
          <w:b w:val="0"/>
          <w:color w:val="auto"/>
          <w:position w:val="0"/>
          <w:sz w:val="24"/>
          <w:szCs w:val="24"/>
          <w:highlight w:val="none"/>
          <w:lang w:eastAsia="zh-CN"/>
        </w:rPr>
        <w:t>1.</w:t>
      </w:r>
      <w:r>
        <w:rPr>
          <w:rFonts w:hint="eastAsia" w:asciiTheme="minorEastAsia" w:hAnsiTheme="minorEastAsia" w:eastAsiaTheme="minorEastAsia" w:cstheme="minorEastAsia"/>
          <w:b w:val="0"/>
          <w:color w:val="auto"/>
          <w:position w:val="0"/>
          <w:sz w:val="24"/>
          <w:szCs w:val="24"/>
          <w:highlight w:val="none"/>
        </w:rPr>
        <w:t>评标方法</w:t>
      </w:r>
      <w:bookmarkEnd w:id="602"/>
      <w:bookmarkEnd w:id="603"/>
      <w:bookmarkEnd w:id="604"/>
    </w:p>
    <w:p w14:paraId="4A947528">
      <w:pPr>
        <w:pageBreakBefore w:val="0"/>
        <w:widowControl/>
        <w:kinsoku/>
        <w:wordWrap/>
        <w:overflowPunct/>
        <w:bidi w:val="0"/>
        <w:spacing w:before="60" w:beforeLines="25" w:line="360" w:lineRule="auto"/>
        <w:ind w:firstLine="482" w:firstLineChars="200"/>
        <w:jc w:val="both"/>
        <w:outlineLvl w:val="9"/>
        <w:rPr>
          <w:rFonts w:hint="eastAsia" w:asciiTheme="minorEastAsia" w:hAnsiTheme="minorEastAsia" w:eastAsiaTheme="minorEastAsia" w:cstheme="minorEastAsia"/>
          <w:b/>
          <w:bCs w:val="0"/>
          <w:color w:val="auto"/>
          <w:position w:val="0"/>
          <w:sz w:val="24"/>
          <w:szCs w:val="24"/>
          <w:highlight w:val="none"/>
        </w:rPr>
      </w:pPr>
      <w:bookmarkStart w:id="605" w:name="_Toc11062"/>
      <w:bookmarkStart w:id="606" w:name="_Toc276999679"/>
      <w:bookmarkStart w:id="607" w:name="_Toc458267201"/>
      <w:bookmarkStart w:id="608" w:name="_Toc251224116"/>
      <w:bookmarkStart w:id="609" w:name="_Toc502824726"/>
      <w:bookmarkStart w:id="610" w:name="_Toc366312376"/>
      <w:bookmarkStart w:id="611" w:name="_Toc266451770"/>
      <w:bookmarkStart w:id="612" w:name="_Toc237230853"/>
      <w:bookmarkStart w:id="613" w:name="_Toc307048248"/>
      <w:bookmarkStart w:id="614" w:name="_Toc445300951"/>
      <w:bookmarkStart w:id="615" w:name="_Toc270058728"/>
      <w:bookmarkStart w:id="616" w:name="_Toc517158257"/>
      <w:bookmarkStart w:id="617" w:name="_Toc504144566"/>
      <w:bookmarkStart w:id="618" w:name="_Toc237061003"/>
      <w:bookmarkStart w:id="619" w:name="_Toc445303826"/>
      <w:r>
        <w:rPr>
          <w:rFonts w:hint="eastAsia" w:asciiTheme="minorEastAsia" w:hAnsiTheme="minorEastAsia" w:eastAsiaTheme="minorEastAsia" w:cstheme="minorEastAsia"/>
          <w:b/>
          <w:bCs w:val="0"/>
          <w:color w:val="auto"/>
          <w:position w:val="0"/>
          <w:sz w:val="24"/>
          <w:szCs w:val="24"/>
          <w:highlight w:val="none"/>
        </w:rPr>
        <w:t>本次评标采用综合评估法。评标委员会对满足招标文件实质性要求</w:t>
      </w:r>
      <w:r>
        <w:rPr>
          <w:rFonts w:hint="eastAsia" w:asciiTheme="minorEastAsia" w:hAnsiTheme="minorEastAsia" w:eastAsiaTheme="minorEastAsia" w:cstheme="minorEastAsia"/>
          <w:b/>
          <w:bCs w:val="0"/>
          <w:color w:val="auto"/>
          <w:position w:val="0"/>
          <w:sz w:val="24"/>
          <w:szCs w:val="24"/>
          <w:highlight w:val="none"/>
          <w:lang w:eastAsia="zh-CN"/>
        </w:rPr>
        <w:t>（</w:t>
      </w:r>
      <w:r>
        <w:rPr>
          <w:rFonts w:hint="eastAsia" w:asciiTheme="minorEastAsia" w:hAnsiTheme="minorEastAsia" w:eastAsiaTheme="minorEastAsia" w:cstheme="minorEastAsia"/>
          <w:b/>
          <w:bCs w:val="0"/>
          <w:color w:val="auto"/>
          <w:position w:val="0"/>
          <w:sz w:val="24"/>
          <w:szCs w:val="24"/>
          <w:highlight w:val="none"/>
          <w:lang w:val="en-US" w:eastAsia="zh-CN"/>
        </w:rPr>
        <w:t>通过初步评审：形式评审、资格评审、响应性评审</w:t>
      </w:r>
      <w:r>
        <w:rPr>
          <w:rFonts w:hint="eastAsia" w:asciiTheme="minorEastAsia" w:hAnsiTheme="minorEastAsia" w:eastAsiaTheme="minorEastAsia" w:cstheme="minorEastAsia"/>
          <w:b/>
          <w:bCs w:val="0"/>
          <w:color w:val="auto"/>
          <w:position w:val="0"/>
          <w:sz w:val="24"/>
          <w:szCs w:val="24"/>
          <w:highlight w:val="none"/>
          <w:lang w:eastAsia="zh-CN"/>
        </w:rPr>
        <w:t>）</w:t>
      </w:r>
      <w:r>
        <w:rPr>
          <w:rFonts w:hint="eastAsia" w:asciiTheme="minorEastAsia" w:hAnsiTheme="minorEastAsia" w:eastAsiaTheme="minorEastAsia" w:cstheme="minorEastAsia"/>
          <w:b/>
          <w:bCs w:val="0"/>
          <w:color w:val="auto"/>
          <w:position w:val="0"/>
          <w:sz w:val="24"/>
          <w:szCs w:val="24"/>
          <w:highlight w:val="none"/>
        </w:rPr>
        <w:t>的投标文件，按照本章第2.2款规定的评分标准进行打分，并按得分由高到低顺序推荐中标候选人。综合评分相等时，商务得分较高的投标人优先；商务得分也相等的，由评标委员会按少数服从多数的原则无记名投票确定。</w:t>
      </w:r>
    </w:p>
    <w:p w14:paraId="05D9033F">
      <w:pPr>
        <w:pStyle w:val="3"/>
        <w:pageBreakBefore w:val="0"/>
        <w:widowControl/>
        <w:kinsoku/>
        <w:wordWrap/>
        <w:overflowPunct/>
        <w:bidi w:val="0"/>
        <w:spacing w:before="60" w:beforeLines="25" w:line="360" w:lineRule="auto"/>
        <w:jc w:val="left"/>
        <w:outlineLvl w:val="1"/>
        <w:rPr>
          <w:rFonts w:hint="eastAsia" w:asciiTheme="minorEastAsia" w:hAnsiTheme="minorEastAsia" w:eastAsiaTheme="minorEastAsia" w:cstheme="minorEastAsia"/>
          <w:b w:val="0"/>
          <w:color w:val="auto"/>
          <w:position w:val="0"/>
          <w:sz w:val="24"/>
          <w:szCs w:val="24"/>
          <w:highlight w:val="none"/>
          <w:lang w:eastAsia="zh-CN"/>
        </w:rPr>
      </w:pPr>
      <w:r>
        <w:rPr>
          <w:rFonts w:hint="eastAsia" w:asciiTheme="minorEastAsia" w:hAnsiTheme="minorEastAsia" w:eastAsiaTheme="minorEastAsia" w:cstheme="minorEastAsia"/>
          <w:b w:val="0"/>
          <w:color w:val="auto"/>
          <w:position w:val="0"/>
          <w:sz w:val="24"/>
          <w:szCs w:val="24"/>
          <w:highlight w:val="none"/>
          <w:lang w:eastAsia="zh-CN"/>
        </w:rPr>
        <w:t>2.评审标准</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1F6B2749">
      <w:pPr>
        <w:pStyle w:val="5"/>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szCs w:val="24"/>
          <w:highlight w:val="none"/>
        </w:rPr>
      </w:pPr>
      <w:bookmarkStart w:id="620" w:name="_Toc314489260"/>
      <w:bookmarkStart w:id="621" w:name="_Toc20342"/>
      <w:bookmarkStart w:id="622" w:name="_Toc516756677"/>
      <w:bookmarkStart w:id="623" w:name="_Toc276999680"/>
      <w:bookmarkStart w:id="624" w:name="_Toc374349184"/>
      <w:bookmarkStart w:id="625" w:name="_Toc504144567"/>
      <w:bookmarkStart w:id="626" w:name="_Toc445300952"/>
      <w:bookmarkStart w:id="627" w:name="_Toc128493706"/>
      <w:bookmarkStart w:id="628" w:name="_Toc128572003"/>
      <w:bookmarkStart w:id="629" w:name="_Toc458267202"/>
      <w:bookmarkStart w:id="630" w:name="_Toc307048249"/>
      <w:bookmarkStart w:id="631" w:name="_Toc343685877"/>
      <w:bookmarkStart w:id="632" w:name="_Toc515454681"/>
      <w:bookmarkStart w:id="633" w:name="_Toc457893050"/>
      <w:bookmarkStart w:id="634" w:name="_Toc25734"/>
      <w:bookmarkStart w:id="635" w:name="_Toc503978654"/>
      <w:bookmarkStart w:id="636" w:name="_Toc517158258"/>
      <w:bookmarkStart w:id="637" w:name="_Toc371166428"/>
      <w:bookmarkStart w:id="638" w:name="_Toc354824968"/>
      <w:bookmarkStart w:id="639" w:name="_Toc3805"/>
      <w:bookmarkStart w:id="640" w:name="_Toc349313229"/>
      <w:bookmarkStart w:id="641" w:name="_Toc484939711"/>
      <w:bookmarkStart w:id="642" w:name="_Toc445303827"/>
      <w:bookmarkStart w:id="643" w:name="_Toc366312377"/>
      <w:bookmarkStart w:id="644" w:name="_Toc457906715"/>
      <w:bookmarkStart w:id="645" w:name="_Toc354743958"/>
      <w:bookmarkStart w:id="646" w:name="_Toc502824727"/>
      <w:r>
        <w:rPr>
          <w:rFonts w:hint="eastAsia" w:asciiTheme="minorEastAsia" w:hAnsiTheme="minorEastAsia" w:eastAsiaTheme="minorEastAsia" w:cstheme="minorEastAsia"/>
          <w:color w:val="auto"/>
          <w:szCs w:val="24"/>
          <w:highlight w:val="none"/>
        </w:rPr>
        <w:t>2.1初步评审标准</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7BBF2556">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2.1.1形式评审标准：见评标办法前附表</w:t>
      </w:r>
    </w:p>
    <w:p w14:paraId="02323391">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2.1.2资格评审标准：见评标办法前附表。</w:t>
      </w:r>
    </w:p>
    <w:p w14:paraId="08C90130">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2.1.3响应性评审标准：见评标办法前附表</w:t>
      </w:r>
    </w:p>
    <w:p w14:paraId="7A49B11F">
      <w:pPr>
        <w:pStyle w:val="5"/>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szCs w:val="24"/>
          <w:highlight w:val="none"/>
        </w:rPr>
      </w:pPr>
      <w:bookmarkStart w:id="647" w:name="_Toc128572004"/>
      <w:bookmarkStart w:id="648" w:name="_Toc354743959"/>
      <w:bookmarkStart w:id="649" w:name="_Toc503978655"/>
      <w:bookmarkStart w:id="650" w:name="_Toc371166429"/>
      <w:bookmarkStart w:id="651" w:name="_Toc128493707"/>
      <w:bookmarkStart w:id="652" w:name="_Toc307048250"/>
      <w:bookmarkStart w:id="653" w:name="_Toc458267203"/>
      <w:bookmarkStart w:id="654" w:name="_Toc504144568"/>
      <w:bookmarkStart w:id="655" w:name="_Toc445303828"/>
      <w:bookmarkStart w:id="656" w:name="_Toc457893051"/>
      <w:bookmarkStart w:id="657" w:name="_Toc16217"/>
      <w:bookmarkStart w:id="658" w:name="_Toc11157"/>
      <w:bookmarkStart w:id="659" w:name="_Toc343685878"/>
      <w:bookmarkStart w:id="660" w:name="_Toc502824728"/>
      <w:bookmarkStart w:id="661" w:name="_Toc366312378"/>
      <w:bookmarkStart w:id="662" w:name="_Toc15931"/>
      <w:bookmarkStart w:id="663" w:name="_Toc457906716"/>
      <w:bookmarkStart w:id="664" w:name="_Toc516756678"/>
      <w:bookmarkStart w:id="665" w:name="_Toc374349185"/>
      <w:bookmarkStart w:id="666" w:name="_Toc445300953"/>
      <w:bookmarkStart w:id="667" w:name="_Toc276999681"/>
      <w:bookmarkStart w:id="668" w:name="_Toc484939712"/>
      <w:bookmarkStart w:id="669" w:name="_Toc314489261"/>
      <w:bookmarkStart w:id="670" w:name="_Toc349313230"/>
      <w:bookmarkStart w:id="671" w:name="_Toc517158259"/>
      <w:bookmarkStart w:id="672" w:name="_Toc515454682"/>
      <w:bookmarkStart w:id="673" w:name="_Toc354824969"/>
      <w:r>
        <w:rPr>
          <w:rFonts w:hint="eastAsia" w:asciiTheme="minorEastAsia" w:hAnsiTheme="minorEastAsia" w:eastAsiaTheme="minorEastAsia" w:cstheme="minorEastAsia"/>
          <w:color w:val="auto"/>
          <w:szCs w:val="24"/>
          <w:highlight w:val="none"/>
        </w:rPr>
        <w:t>2.2分值构成与评分标准</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7D0D9929">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2.2.1分值构成</w:t>
      </w:r>
    </w:p>
    <w:p w14:paraId="55F2A9D8">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（1）商务部分评审：见评标办法前附表；</w:t>
      </w:r>
    </w:p>
    <w:p w14:paraId="61984DEF">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（2）技术部分评审：见评标办法前附表。</w:t>
      </w:r>
    </w:p>
    <w:p w14:paraId="5BF30E87">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2.2.2评标基准价计算</w:t>
      </w:r>
    </w:p>
    <w:p w14:paraId="6CA5400A">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评标基准价计算方法：见评标办法前附表。</w:t>
      </w:r>
    </w:p>
    <w:p w14:paraId="6B1AB8E8">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2.2.3投标报价的偏差率计算</w:t>
      </w:r>
    </w:p>
    <w:p w14:paraId="1A935C41">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投标报价的偏差率计算公式：见评标办法前附表。</w:t>
      </w:r>
    </w:p>
    <w:p w14:paraId="59D6412D">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2.2.4评分标准</w:t>
      </w:r>
    </w:p>
    <w:p w14:paraId="1A1975DD">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674" w:name="_Toc445303829"/>
      <w:bookmarkStart w:id="675" w:name="_Toc516756679"/>
      <w:bookmarkStart w:id="676" w:name="_Toc237230854"/>
      <w:bookmarkStart w:id="677" w:name="_Toc502824729"/>
      <w:bookmarkStart w:id="678" w:name="_Toc504144569"/>
      <w:bookmarkStart w:id="679" w:name="_Toc270058729"/>
      <w:bookmarkStart w:id="680" w:name="_Toc266451773"/>
      <w:bookmarkStart w:id="681" w:name="_Toc307048251"/>
      <w:bookmarkStart w:id="682" w:name="_Toc251224117"/>
      <w:bookmarkStart w:id="683" w:name="_Toc366312379"/>
      <w:bookmarkStart w:id="684" w:name="_Toc276999682"/>
      <w:bookmarkStart w:id="685" w:name="_Toc237061004"/>
      <w:bookmarkStart w:id="686" w:name="_Toc517158260"/>
      <w:bookmarkStart w:id="687" w:name="_Toc445300954"/>
      <w:bookmarkStart w:id="688" w:name="_Toc458267204"/>
      <w:r>
        <w:rPr>
          <w:rFonts w:hint="eastAsia" w:asciiTheme="minorEastAsia" w:hAnsiTheme="minorEastAsia" w:eastAsiaTheme="minorEastAsia" w:cstheme="minorEastAsia"/>
          <w:color w:val="auto"/>
          <w:position w:val="0"/>
          <w:sz w:val="24"/>
          <w:szCs w:val="24"/>
          <w:highlight w:val="none"/>
        </w:rPr>
        <w:t>（1）商务部分评审：见评标办法前附表；</w:t>
      </w:r>
    </w:p>
    <w:p w14:paraId="40CA4FE2">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（2）技术部分评审：见评标办法前附表</w:t>
      </w:r>
    </w:p>
    <w:p w14:paraId="6509AA14">
      <w:pPr>
        <w:pStyle w:val="3"/>
        <w:pageBreakBefore w:val="0"/>
        <w:widowControl/>
        <w:kinsoku/>
        <w:wordWrap/>
        <w:overflowPunct/>
        <w:bidi w:val="0"/>
        <w:spacing w:before="60" w:beforeLines="25" w:line="360" w:lineRule="auto"/>
        <w:jc w:val="left"/>
        <w:outlineLvl w:val="1"/>
        <w:rPr>
          <w:rFonts w:hint="eastAsia" w:asciiTheme="minorEastAsia" w:hAnsiTheme="minorEastAsia" w:eastAsiaTheme="minorEastAsia" w:cstheme="minorEastAsia"/>
          <w:b w:val="0"/>
          <w:color w:val="auto"/>
          <w:position w:val="0"/>
          <w:sz w:val="24"/>
          <w:szCs w:val="24"/>
          <w:highlight w:val="none"/>
          <w:lang w:eastAsia="zh-CN"/>
        </w:rPr>
      </w:pPr>
      <w:bookmarkStart w:id="689" w:name="_Toc843"/>
      <w:r>
        <w:rPr>
          <w:rFonts w:hint="eastAsia" w:asciiTheme="minorEastAsia" w:hAnsiTheme="minorEastAsia" w:eastAsiaTheme="minorEastAsia" w:cstheme="minorEastAsia"/>
          <w:b w:val="0"/>
          <w:color w:val="auto"/>
          <w:position w:val="0"/>
          <w:sz w:val="24"/>
          <w:szCs w:val="24"/>
          <w:highlight w:val="none"/>
          <w:lang w:eastAsia="zh-CN"/>
        </w:rPr>
        <w:t>3.评标程序</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59F1F9B8">
      <w:pPr>
        <w:pageBreakBefore w:val="0"/>
        <w:kinsoku/>
        <w:wordWrap/>
        <w:overflowPunct/>
        <w:bidi w:val="0"/>
        <w:spacing w:before="60" w:beforeLines="25" w:line="360" w:lineRule="auto"/>
        <w:ind w:firstLine="480" w:firstLineChars="200"/>
        <w:outlineLvl w:val="2"/>
        <w:rPr>
          <w:rFonts w:hint="eastAsia" w:asciiTheme="minorEastAsia" w:hAnsiTheme="minorEastAsia" w:eastAsiaTheme="minorEastAsia" w:cstheme="minorEastAsia"/>
          <w:color w:val="auto"/>
          <w:position w:val="0"/>
          <w:sz w:val="24"/>
          <w:szCs w:val="24"/>
          <w:highlight w:val="none"/>
        </w:rPr>
      </w:pPr>
      <w:bookmarkStart w:id="690" w:name="_Toc21817"/>
      <w:bookmarkStart w:id="691" w:name="_Toc79068758"/>
      <w:bookmarkStart w:id="692" w:name="_Toc128572006"/>
      <w:bookmarkStart w:id="693" w:name="_Toc128493709"/>
      <w:bookmarkStart w:id="694" w:name="_Toc2339"/>
      <w:bookmarkStart w:id="695" w:name="_Toc16426"/>
      <w:r>
        <w:rPr>
          <w:rFonts w:hint="eastAsia" w:asciiTheme="minorEastAsia" w:hAnsiTheme="minorEastAsia" w:eastAsiaTheme="minorEastAsia" w:cstheme="minorEastAsia"/>
          <w:color w:val="auto"/>
          <w:position w:val="0"/>
          <w:sz w:val="24"/>
          <w:szCs w:val="24"/>
          <w:highlight w:val="none"/>
        </w:rPr>
        <w:t>3.1初步评审</w:t>
      </w:r>
      <w:bookmarkEnd w:id="690"/>
      <w:bookmarkEnd w:id="691"/>
      <w:bookmarkEnd w:id="692"/>
      <w:bookmarkEnd w:id="693"/>
      <w:bookmarkEnd w:id="694"/>
      <w:bookmarkEnd w:id="695"/>
    </w:p>
    <w:p w14:paraId="072BE4C5">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3.1.1评标委员会依据本章第2.1项规定的评审标准对投标文件进行初步评审。有一项不符合评审标准的，评标委员会应当否决其投标。</w:t>
      </w:r>
    </w:p>
    <w:p w14:paraId="5941EE62">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3.1.2投标人有以下情形之一的，评标委员会应当否决其投标：</w:t>
      </w:r>
    </w:p>
    <w:p w14:paraId="57CA6AC7">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696" w:name="_Toc510651504"/>
      <w:bookmarkStart w:id="697" w:name="_Toc498551920"/>
      <w:bookmarkStart w:id="698" w:name="_Toc500373763"/>
      <w:bookmarkStart w:id="699" w:name="_Toc427055644"/>
      <w:bookmarkStart w:id="700" w:name="_Toc511037440"/>
      <w:bookmarkStart w:id="701" w:name="_Toc517271482"/>
      <w:bookmarkStart w:id="702" w:name="_Toc500402238"/>
      <w:bookmarkStart w:id="703" w:name="_Toc470458147"/>
      <w:bookmarkStart w:id="704" w:name="_Toc511721154"/>
      <w:bookmarkStart w:id="705" w:name="_Toc511037655"/>
      <w:bookmarkStart w:id="706" w:name="_Toc496632836"/>
      <w:r>
        <w:rPr>
          <w:rFonts w:hint="eastAsia" w:asciiTheme="minorEastAsia" w:hAnsiTheme="minorEastAsia" w:eastAsiaTheme="minorEastAsia" w:cstheme="minorEastAsia"/>
          <w:color w:val="auto"/>
          <w:position w:val="0"/>
          <w:sz w:val="24"/>
          <w:szCs w:val="24"/>
          <w:highlight w:val="none"/>
        </w:rPr>
        <w:t>（1）有串通投标或弄虚作假或有其他违法行为的。</w:t>
      </w:r>
      <w:bookmarkEnd w:id="696"/>
      <w:bookmarkEnd w:id="697"/>
      <w:bookmarkEnd w:id="698"/>
      <w:bookmarkEnd w:id="699"/>
      <w:bookmarkEnd w:id="700"/>
      <w:bookmarkEnd w:id="701"/>
      <w:bookmarkEnd w:id="702"/>
      <w:bookmarkEnd w:id="703"/>
      <w:bookmarkEnd w:id="704"/>
      <w:bookmarkEnd w:id="705"/>
      <w:bookmarkEnd w:id="706"/>
    </w:p>
    <w:p w14:paraId="64E0EA67">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07" w:name="_Toc511721155"/>
      <w:bookmarkStart w:id="708" w:name="_Toc511037656"/>
      <w:bookmarkStart w:id="709" w:name="_Toc498551921"/>
      <w:bookmarkStart w:id="710" w:name="_Toc500373764"/>
      <w:bookmarkStart w:id="711" w:name="_Toc510651505"/>
      <w:bookmarkStart w:id="712" w:name="_Toc427055645"/>
      <w:bookmarkStart w:id="713" w:name="_Toc470458148"/>
      <w:bookmarkStart w:id="714" w:name="_Toc500402239"/>
      <w:bookmarkStart w:id="715" w:name="_Toc496632837"/>
      <w:bookmarkStart w:id="716" w:name="_Toc511037441"/>
      <w:bookmarkStart w:id="717" w:name="_Toc517271483"/>
      <w:r>
        <w:rPr>
          <w:rFonts w:hint="eastAsia" w:asciiTheme="minorEastAsia" w:hAnsiTheme="minorEastAsia" w:eastAsiaTheme="minorEastAsia" w:cstheme="minorEastAsia"/>
          <w:color w:val="auto"/>
          <w:position w:val="0"/>
          <w:sz w:val="24"/>
          <w:szCs w:val="24"/>
          <w:highlight w:val="none"/>
        </w:rPr>
        <w:t>（2）不按评标委员会要求澄清、说明或补正的。</w:t>
      </w:r>
      <w:bookmarkEnd w:id="707"/>
      <w:bookmarkEnd w:id="708"/>
      <w:bookmarkEnd w:id="709"/>
      <w:bookmarkEnd w:id="710"/>
      <w:bookmarkEnd w:id="711"/>
      <w:bookmarkEnd w:id="712"/>
      <w:bookmarkEnd w:id="713"/>
      <w:bookmarkEnd w:id="714"/>
      <w:bookmarkEnd w:id="715"/>
      <w:bookmarkEnd w:id="716"/>
      <w:bookmarkEnd w:id="717"/>
    </w:p>
    <w:p w14:paraId="205B5F50">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（3）在形式评审、资格评审、响应性评审中，评标委员会认定投标人的投标文件不符合评标办法前附表中规定的任何一项评审标准的。</w:t>
      </w:r>
    </w:p>
    <w:p w14:paraId="1D5E0C7D">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18" w:name="_Toc496632838"/>
      <w:bookmarkStart w:id="719" w:name="_Toc498551922"/>
      <w:bookmarkStart w:id="720" w:name="_Toc511037657"/>
      <w:bookmarkStart w:id="721" w:name="_Toc427055646"/>
      <w:bookmarkStart w:id="722" w:name="_Toc500402240"/>
      <w:bookmarkStart w:id="723" w:name="_Toc511721156"/>
      <w:bookmarkStart w:id="724" w:name="_Toc511037442"/>
      <w:bookmarkStart w:id="725" w:name="_Toc517271484"/>
      <w:bookmarkStart w:id="726" w:name="_Toc470458149"/>
      <w:bookmarkStart w:id="727" w:name="_Toc510651506"/>
      <w:bookmarkStart w:id="728" w:name="_Toc500373765"/>
      <w:r>
        <w:rPr>
          <w:rFonts w:hint="eastAsia" w:asciiTheme="minorEastAsia" w:hAnsiTheme="minorEastAsia" w:eastAsiaTheme="minorEastAsia" w:cstheme="minorEastAsia"/>
          <w:color w:val="auto"/>
          <w:position w:val="0"/>
          <w:sz w:val="24"/>
          <w:szCs w:val="24"/>
          <w:highlight w:val="none"/>
        </w:rPr>
        <w:t>（4）投标文件格式要求签字、电子公章、电子签章处未签字、加盖电子公章和电子签章的。</w:t>
      </w:r>
      <w:bookmarkEnd w:id="718"/>
      <w:bookmarkEnd w:id="719"/>
      <w:bookmarkEnd w:id="720"/>
      <w:bookmarkEnd w:id="721"/>
      <w:bookmarkEnd w:id="722"/>
      <w:bookmarkEnd w:id="723"/>
      <w:bookmarkEnd w:id="724"/>
      <w:bookmarkEnd w:id="725"/>
      <w:bookmarkEnd w:id="726"/>
      <w:bookmarkEnd w:id="727"/>
      <w:bookmarkEnd w:id="728"/>
    </w:p>
    <w:p w14:paraId="18C4C68E">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（5）投标人递交两份或多份内容不同的投标文件，或在一份投标文件中对同一招标项目报有两个或多个报价，未声明哪一个有效的。</w:t>
      </w:r>
    </w:p>
    <w:p w14:paraId="73A62335">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29" w:name="_Toc498551923"/>
      <w:bookmarkStart w:id="730" w:name="_Toc500373766"/>
      <w:bookmarkStart w:id="731" w:name="_Toc510651507"/>
      <w:bookmarkStart w:id="732" w:name="_Toc496632839"/>
      <w:bookmarkStart w:id="733" w:name="_Toc511037443"/>
      <w:bookmarkStart w:id="734" w:name="_Toc427055647"/>
      <w:bookmarkStart w:id="735" w:name="_Toc511721157"/>
      <w:bookmarkStart w:id="736" w:name="_Toc511037658"/>
      <w:bookmarkStart w:id="737" w:name="_Toc500402241"/>
      <w:bookmarkStart w:id="738" w:name="_Toc517271485"/>
      <w:bookmarkStart w:id="739" w:name="_Toc470458150"/>
      <w:r>
        <w:rPr>
          <w:rFonts w:hint="eastAsia" w:asciiTheme="minorEastAsia" w:hAnsiTheme="minorEastAsia" w:eastAsiaTheme="minorEastAsia" w:cstheme="minorEastAsia"/>
          <w:color w:val="auto"/>
          <w:position w:val="0"/>
          <w:sz w:val="24"/>
          <w:szCs w:val="24"/>
          <w:highlight w:val="none"/>
        </w:rPr>
        <w:t>（6）投标报价超出招标文件规定的上限价的。</w:t>
      </w:r>
      <w:bookmarkEnd w:id="729"/>
      <w:bookmarkEnd w:id="730"/>
      <w:bookmarkEnd w:id="731"/>
      <w:bookmarkEnd w:id="732"/>
      <w:bookmarkEnd w:id="733"/>
      <w:bookmarkEnd w:id="734"/>
      <w:bookmarkEnd w:id="735"/>
      <w:bookmarkEnd w:id="736"/>
      <w:bookmarkEnd w:id="737"/>
      <w:bookmarkEnd w:id="738"/>
      <w:bookmarkEnd w:id="739"/>
    </w:p>
    <w:p w14:paraId="1E6707D5">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（7）投标人针对评标委员会询标所提问题，在询标完毕后，未作出书面说明并按要求提供相关证明材料或不能合理说明、提供相关证明材料的，将被认定以低于成本报价竞标的。</w:t>
      </w:r>
    </w:p>
    <w:p w14:paraId="3B2CB424">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40" w:name="_Toc498551925"/>
      <w:bookmarkStart w:id="741" w:name="_Toc500373767"/>
      <w:bookmarkStart w:id="742" w:name="_Toc427055649"/>
      <w:bookmarkStart w:id="743" w:name="_Toc500402242"/>
      <w:bookmarkStart w:id="744" w:name="_Toc511037659"/>
      <w:bookmarkStart w:id="745" w:name="_Toc511721158"/>
      <w:bookmarkStart w:id="746" w:name="_Toc511037444"/>
      <w:bookmarkStart w:id="747" w:name="_Toc510651508"/>
      <w:bookmarkStart w:id="748" w:name="_Toc517271486"/>
      <w:bookmarkStart w:id="749" w:name="_Toc496632841"/>
      <w:bookmarkStart w:id="750" w:name="_Toc470458152"/>
      <w:r>
        <w:rPr>
          <w:rFonts w:hint="eastAsia" w:asciiTheme="minorEastAsia" w:hAnsiTheme="minorEastAsia" w:eastAsiaTheme="minorEastAsia" w:cstheme="minorEastAsia"/>
          <w:color w:val="auto"/>
          <w:position w:val="0"/>
          <w:sz w:val="24"/>
          <w:szCs w:val="24"/>
          <w:highlight w:val="none"/>
        </w:rPr>
        <w:t>（8）未按规定的格式填写，内容不全或关键字模糊、无法辨认的。</w:t>
      </w:r>
      <w:bookmarkEnd w:id="740"/>
      <w:bookmarkEnd w:id="741"/>
      <w:bookmarkEnd w:id="742"/>
      <w:bookmarkEnd w:id="743"/>
      <w:bookmarkEnd w:id="744"/>
      <w:bookmarkEnd w:id="745"/>
      <w:bookmarkEnd w:id="746"/>
      <w:bookmarkEnd w:id="747"/>
      <w:bookmarkEnd w:id="748"/>
      <w:bookmarkEnd w:id="749"/>
      <w:bookmarkEnd w:id="750"/>
    </w:p>
    <w:p w14:paraId="5F685EBB">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51" w:name="_Toc496632842"/>
      <w:bookmarkStart w:id="752" w:name="_Toc427055650"/>
      <w:bookmarkStart w:id="753" w:name="_Toc511037445"/>
      <w:bookmarkStart w:id="754" w:name="_Toc470458153"/>
      <w:bookmarkStart w:id="755" w:name="_Toc500402243"/>
      <w:bookmarkStart w:id="756" w:name="_Toc510651509"/>
      <w:bookmarkStart w:id="757" w:name="_Toc517271487"/>
      <w:bookmarkStart w:id="758" w:name="_Toc498551926"/>
      <w:bookmarkStart w:id="759" w:name="_Toc511721159"/>
      <w:bookmarkStart w:id="760" w:name="_Toc511037660"/>
      <w:bookmarkStart w:id="761" w:name="_Toc500373768"/>
      <w:r>
        <w:rPr>
          <w:rFonts w:hint="eastAsia" w:asciiTheme="minorEastAsia" w:hAnsiTheme="minorEastAsia" w:eastAsiaTheme="minorEastAsia" w:cstheme="minorEastAsia"/>
          <w:color w:val="auto"/>
          <w:position w:val="0"/>
          <w:sz w:val="24"/>
          <w:szCs w:val="24"/>
          <w:highlight w:val="none"/>
        </w:rPr>
        <w:t>（9）投标文件载明的招标项目完成期限超过招标文件规定的期限的。</w:t>
      </w:r>
      <w:bookmarkEnd w:id="751"/>
      <w:bookmarkEnd w:id="752"/>
      <w:bookmarkEnd w:id="753"/>
      <w:bookmarkEnd w:id="754"/>
      <w:bookmarkEnd w:id="755"/>
      <w:bookmarkEnd w:id="756"/>
      <w:bookmarkEnd w:id="757"/>
      <w:bookmarkEnd w:id="758"/>
      <w:bookmarkEnd w:id="759"/>
      <w:bookmarkEnd w:id="760"/>
      <w:bookmarkEnd w:id="761"/>
    </w:p>
    <w:p w14:paraId="232FFD47">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62" w:name="_Toc510651510"/>
      <w:bookmarkStart w:id="763" w:name="_Toc498551927"/>
      <w:bookmarkStart w:id="764" w:name="_Toc496632843"/>
      <w:bookmarkStart w:id="765" w:name="_Toc470458154"/>
      <w:bookmarkStart w:id="766" w:name="_Toc511721160"/>
      <w:bookmarkStart w:id="767" w:name="_Toc517271488"/>
      <w:bookmarkStart w:id="768" w:name="_Toc427055651"/>
      <w:bookmarkStart w:id="769" w:name="_Toc500402244"/>
      <w:bookmarkStart w:id="770" w:name="_Toc511037661"/>
      <w:bookmarkStart w:id="771" w:name="_Toc511037446"/>
      <w:bookmarkStart w:id="772" w:name="_Toc500373769"/>
      <w:r>
        <w:rPr>
          <w:rFonts w:hint="eastAsia" w:asciiTheme="minorEastAsia" w:hAnsiTheme="minorEastAsia" w:eastAsiaTheme="minorEastAsia" w:cstheme="minorEastAsia"/>
          <w:color w:val="auto"/>
          <w:position w:val="0"/>
          <w:sz w:val="24"/>
          <w:szCs w:val="24"/>
          <w:highlight w:val="none"/>
        </w:rPr>
        <w:t>（10）无质量承诺或质量承诺不满足招标文件的。</w:t>
      </w:r>
      <w:bookmarkEnd w:id="762"/>
      <w:bookmarkEnd w:id="763"/>
      <w:bookmarkEnd w:id="764"/>
      <w:bookmarkEnd w:id="765"/>
      <w:bookmarkEnd w:id="766"/>
      <w:bookmarkEnd w:id="767"/>
      <w:bookmarkEnd w:id="768"/>
      <w:bookmarkEnd w:id="769"/>
      <w:bookmarkEnd w:id="770"/>
      <w:bookmarkEnd w:id="771"/>
      <w:bookmarkEnd w:id="772"/>
    </w:p>
    <w:p w14:paraId="022853C9">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73" w:name="_Toc511037447"/>
      <w:bookmarkStart w:id="774" w:name="_Toc517271489"/>
      <w:bookmarkStart w:id="775" w:name="_Toc427055652"/>
      <w:bookmarkStart w:id="776" w:name="_Toc511721161"/>
      <w:bookmarkStart w:id="777" w:name="_Toc510651511"/>
      <w:bookmarkStart w:id="778" w:name="_Toc500402245"/>
      <w:bookmarkStart w:id="779" w:name="_Toc511037662"/>
      <w:bookmarkStart w:id="780" w:name="_Toc496632844"/>
      <w:bookmarkStart w:id="781" w:name="_Toc470458155"/>
      <w:bookmarkStart w:id="782" w:name="_Toc500373770"/>
      <w:bookmarkStart w:id="783" w:name="_Toc498551928"/>
      <w:r>
        <w:rPr>
          <w:rFonts w:hint="eastAsia" w:asciiTheme="minorEastAsia" w:hAnsiTheme="minorEastAsia" w:eastAsiaTheme="minorEastAsia" w:cstheme="minorEastAsia"/>
          <w:color w:val="auto"/>
          <w:position w:val="0"/>
          <w:sz w:val="24"/>
          <w:szCs w:val="24"/>
          <w:highlight w:val="none"/>
        </w:rPr>
        <w:t>（11）投标人未按照招标文件的要求提供投标保证金的。</w:t>
      </w:r>
      <w:bookmarkEnd w:id="773"/>
      <w:bookmarkEnd w:id="774"/>
      <w:bookmarkEnd w:id="775"/>
      <w:bookmarkEnd w:id="776"/>
      <w:bookmarkEnd w:id="777"/>
      <w:bookmarkEnd w:id="778"/>
      <w:bookmarkEnd w:id="779"/>
      <w:bookmarkEnd w:id="780"/>
      <w:bookmarkEnd w:id="781"/>
      <w:bookmarkEnd w:id="782"/>
      <w:bookmarkEnd w:id="783"/>
    </w:p>
    <w:p w14:paraId="63181205">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84" w:name="_Toc511037664"/>
      <w:bookmarkStart w:id="785" w:name="_Toc511721163"/>
      <w:bookmarkStart w:id="786" w:name="_Toc500402247"/>
      <w:bookmarkStart w:id="787" w:name="_Toc500373772"/>
      <w:bookmarkStart w:id="788" w:name="_Toc498551930"/>
      <w:bookmarkStart w:id="789" w:name="_Toc510651513"/>
      <w:bookmarkStart w:id="790" w:name="_Toc496632846"/>
      <w:bookmarkStart w:id="791" w:name="_Toc511037449"/>
      <w:bookmarkStart w:id="792" w:name="_Toc470458157"/>
      <w:bookmarkStart w:id="793" w:name="_Toc517271491"/>
      <w:bookmarkStart w:id="794" w:name="_Toc427055654"/>
      <w:r>
        <w:rPr>
          <w:rFonts w:hint="eastAsia" w:asciiTheme="minorEastAsia" w:hAnsiTheme="minorEastAsia" w:eastAsiaTheme="minorEastAsia" w:cstheme="minorEastAsia"/>
          <w:color w:val="auto"/>
          <w:position w:val="0"/>
          <w:sz w:val="24"/>
          <w:szCs w:val="24"/>
          <w:highlight w:val="none"/>
        </w:rPr>
        <w:t>（12）投标文件没有对招标文件的实质性要求和条件作出响应的。</w:t>
      </w:r>
      <w:bookmarkEnd w:id="784"/>
      <w:bookmarkEnd w:id="785"/>
      <w:bookmarkEnd w:id="786"/>
      <w:bookmarkEnd w:id="787"/>
      <w:bookmarkEnd w:id="788"/>
      <w:bookmarkEnd w:id="789"/>
      <w:bookmarkEnd w:id="790"/>
      <w:bookmarkEnd w:id="791"/>
      <w:bookmarkEnd w:id="792"/>
      <w:bookmarkEnd w:id="793"/>
      <w:bookmarkEnd w:id="794"/>
    </w:p>
    <w:p w14:paraId="469804AD">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795" w:name="_Toc496632848"/>
      <w:bookmarkStart w:id="796" w:name="_Toc498551932"/>
      <w:bookmarkStart w:id="797" w:name="_Toc511037451"/>
      <w:bookmarkStart w:id="798" w:name="_Toc500373774"/>
      <w:bookmarkStart w:id="799" w:name="_Toc470458159"/>
      <w:bookmarkStart w:id="800" w:name="_Toc511721165"/>
      <w:bookmarkStart w:id="801" w:name="_Toc511037666"/>
      <w:bookmarkStart w:id="802" w:name="_Toc427055656"/>
      <w:bookmarkStart w:id="803" w:name="_Toc517271493"/>
      <w:bookmarkStart w:id="804" w:name="_Toc500402249"/>
      <w:bookmarkStart w:id="805" w:name="_Toc510651515"/>
      <w:r>
        <w:rPr>
          <w:rFonts w:hint="eastAsia" w:asciiTheme="minorEastAsia" w:hAnsiTheme="minorEastAsia" w:eastAsiaTheme="minorEastAsia" w:cstheme="minorEastAsia"/>
          <w:color w:val="auto"/>
          <w:position w:val="0"/>
          <w:sz w:val="24"/>
          <w:szCs w:val="24"/>
          <w:highlight w:val="none"/>
        </w:rPr>
        <w:t>（13）不同投标人的投标文件内容存在非正常一致的。</w:t>
      </w:r>
      <w:bookmarkEnd w:id="795"/>
      <w:bookmarkEnd w:id="796"/>
      <w:bookmarkEnd w:id="797"/>
      <w:bookmarkEnd w:id="798"/>
      <w:bookmarkEnd w:id="799"/>
      <w:bookmarkEnd w:id="800"/>
      <w:bookmarkEnd w:id="801"/>
      <w:bookmarkEnd w:id="802"/>
      <w:bookmarkEnd w:id="803"/>
      <w:bookmarkEnd w:id="804"/>
      <w:bookmarkEnd w:id="805"/>
    </w:p>
    <w:p w14:paraId="20F22220">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806" w:name="_Toc496632849"/>
      <w:bookmarkStart w:id="807" w:name="_Toc511721166"/>
      <w:bookmarkStart w:id="808" w:name="_Toc500373775"/>
      <w:bookmarkStart w:id="809" w:name="_Toc498551933"/>
      <w:bookmarkStart w:id="810" w:name="_Toc517271494"/>
      <w:bookmarkStart w:id="811" w:name="_Toc427055657"/>
      <w:bookmarkStart w:id="812" w:name="_Toc510651516"/>
      <w:bookmarkStart w:id="813" w:name="_Toc511037452"/>
      <w:bookmarkStart w:id="814" w:name="_Toc470458160"/>
      <w:bookmarkStart w:id="815" w:name="_Toc500402250"/>
      <w:bookmarkStart w:id="816" w:name="_Toc511037667"/>
      <w:r>
        <w:rPr>
          <w:rFonts w:hint="eastAsia" w:asciiTheme="minorEastAsia" w:hAnsiTheme="minorEastAsia" w:eastAsiaTheme="minorEastAsia" w:cstheme="minorEastAsia"/>
          <w:color w:val="auto"/>
          <w:position w:val="0"/>
          <w:sz w:val="24"/>
          <w:szCs w:val="24"/>
          <w:highlight w:val="none"/>
        </w:rPr>
        <w:t>（14）不同投标人的投标文件两处以上错漏一致的。</w:t>
      </w:r>
      <w:bookmarkEnd w:id="806"/>
      <w:bookmarkEnd w:id="807"/>
      <w:bookmarkEnd w:id="808"/>
      <w:bookmarkEnd w:id="809"/>
      <w:bookmarkEnd w:id="810"/>
      <w:bookmarkEnd w:id="811"/>
      <w:bookmarkEnd w:id="812"/>
      <w:bookmarkEnd w:id="813"/>
      <w:bookmarkEnd w:id="814"/>
      <w:bookmarkEnd w:id="815"/>
      <w:bookmarkEnd w:id="816"/>
    </w:p>
    <w:p w14:paraId="2E76C7DC">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817" w:name="_Toc500373776"/>
      <w:bookmarkStart w:id="818" w:name="_Toc511037668"/>
      <w:bookmarkStart w:id="819" w:name="_Toc511037453"/>
      <w:bookmarkStart w:id="820" w:name="_Toc511721167"/>
      <w:bookmarkStart w:id="821" w:name="_Toc427055658"/>
      <w:bookmarkStart w:id="822" w:name="_Toc498551934"/>
      <w:bookmarkStart w:id="823" w:name="_Toc496632850"/>
      <w:bookmarkStart w:id="824" w:name="_Toc470458161"/>
      <w:bookmarkStart w:id="825" w:name="_Toc517271495"/>
      <w:bookmarkStart w:id="826" w:name="_Toc510651517"/>
      <w:bookmarkStart w:id="827" w:name="_Toc500402251"/>
      <w:r>
        <w:rPr>
          <w:rFonts w:hint="eastAsia" w:asciiTheme="minorEastAsia" w:hAnsiTheme="minorEastAsia" w:eastAsiaTheme="minorEastAsia" w:cstheme="minorEastAsia"/>
          <w:color w:val="auto"/>
          <w:position w:val="0"/>
          <w:sz w:val="24"/>
          <w:szCs w:val="24"/>
          <w:highlight w:val="none"/>
        </w:rPr>
        <w:t>（15）不同投标人的投标报价或者报价组成异常接近或者呈规律性变化的。</w:t>
      </w:r>
      <w:bookmarkEnd w:id="817"/>
      <w:bookmarkEnd w:id="818"/>
      <w:bookmarkEnd w:id="819"/>
      <w:bookmarkEnd w:id="820"/>
      <w:bookmarkEnd w:id="821"/>
      <w:bookmarkEnd w:id="822"/>
      <w:bookmarkEnd w:id="823"/>
      <w:bookmarkEnd w:id="824"/>
      <w:bookmarkEnd w:id="825"/>
      <w:bookmarkEnd w:id="826"/>
      <w:bookmarkEnd w:id="827"/>
    </w:p>
    <w:p w14:paraId="0A78D2A4">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828" w:name="_Toc427055659"/>
      <w:bookmarkStart w:id="829" w:name="_Toc500402252"/>
      <w:bookmarkStart w:id="830" w:name="_Toc470458162"/>
      <w:bookmarkStart w:id="831" w:name="_Toc511721168"/>
      <w:bookmarkStart w:id="832" w:name="_Toc510651518"/>
      <w:bookmarkStart w:id="833" w:name="_Toc517271496"/>
      <w:bookmarkStart w:id="834" w:name="_Toc500373777"/>
      <w:bookmarkStart w:id="835" w:name="_Toc511037669"/>
      <w:bookmarkStart w:id="836" w:name="_Toc498551935"/>
      <w:bookmarkStart w:id="837" w:name="_Toc496632851"/>
      <w:bookmarkStart w:id="838" w:name="_Toc511037454"/>
      <w:r>
        <w:rPr>
          <w:rFonts w:hint="eastAsia" w:asciiTheme="minorEastAsia" w:hAnsiTheme="minorEastAsia" w:eastAsiaTheme="minorEastAsia" w:cstheme="minorEastAsia"/>
          <w:color w:val="auto"/>
          <w:position w:val="0"/>
          <w:sz w:val="24"/>
          <w:szCs w:val="24"/>
          <w:highlight w:val="none"/>
        </w:rPr>
        <w:t>（16）不同投标人的投标文件由同一企业或者同一个人编制的。</w:t>
      </w:r>
      <w:bookmarkEnd w:id="828"/>
      <w:bookmarkEnd w:id="829"/>
      <w:bookmarkEnd w:id="830"/>
      <w:bookmarkEnd w:id="831"/>
      <w:bookmarkEnd w:id="832"/>
      <w:bookmarkEnd w:id="833"/>
      <w:bookmarkEnd w:id="834"/>
      <w:bookmarkEnd w:id="835"/>
      <w:bookmarkEnd w:id="836"/>
      <w:bookmarkEnd w:id="837"/>
      <w:bookmarkEnd w:id="838"/>
    </w:p>
    <w:p w14:paraId="7D7AFE8D">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839" w:name="_Toc427055660"/>
      <w:bookmarkStart w:id="840" w:name="_Toc500402253"/>
      <w:bookmarkStart w:id="841" w:name="_Toc500373778"/>
      <w:bookmarkStart w:id="842" w:name="_Toc511037455"/>
      <w:bookmarkStart w:id="843" w:name="_Toc517271497"/>
      <w:bookmarkStart w:id="844" w:name="_Toc510651519"/>
      <w:bookmarkStart w:id="845" w:name="_Toc511037670"/>
      <w:bookmarkStart w:id="846" w:name="_Toc498551936"/>
      <w:bookmarkStart w:id="847" w:name="_Toc470458163"/>
      <w:bookmarkStart w:id="848" w:name="_Toc511721169"/>
      <w:bookmarkStart w:id="849" w:name="_Toc496632852"/>
      <w:r>
        <w:rPr>
          <w:rFonts w:hint="eastAsia" w:asciiTheme="minorEastAsia" w:hAnsiTheme="minorEastAsia" w:eastAsiaTheme="minorEastAsia" w:cstheme="minorEastAsia"/>
          <w:color w:val="auto"/>
          <w:position w:val="0"/>
          <w:sz w:val="24"/>
          <w:szCs w:val="24"/>
          <w:highlight w:val="none"/>
        </w:rPr>
        <w:t>（17）不同投标人的投标文件载明的项目管理班子成员出现同一人的。</w:t>
      </w:r>
      <w:bookmarkEnd w:id="839"/>
      <w:bookmarkEnd w:id="840"/>
      <w:bookmarkEnd w:id="841"/>
      <w:bookmarkEnd w:id="842"/>
      <w:bookmarkEnd w:id="843"/>
      <w:bookmarkEnd w:id="844"/>
      <w:bookmarkEnd w:id="845"/>
      <w:bookmarkEnd w:id="846"/>
      <w:bookmarkEnd w:id="847"/>
      <w:bookmarkEnd w:id="848"/>
      <w:bookmarkEnd w:id="849"/>
    </w:p>
    <w:p w14:paraId="6FCFCD58">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850" w:name="_Toc427055661"/>
      <w:bookmarkStart w:id="851" w:name="_Toc511037456"/>
      <w:bookmarkStart w:id="852" w:name="_Toc500402254"/>
      <w:bookmarkStart w:id="853" w:name="_Toc511721170"/>
      <w:bookmarkStart w:id="854" w:name="_Toc517271498"/>
      <w:bookmarkStart w:id="855" w:name="_Toc510651520"/>
      <w:bookmarkStart w:id="856" w:name="_Toc496632853"/>
      <w:bookmarkStart w:id="857" w:name="_Toc500373779"/>
      <w:bookmarkStart w:id="858" w:name="_Toc511037671"/>
      <w:bookmarkStart w:id="859" w:name="_Toc498551937"/>
      <w:bookmarkStart w:id="860" w:name="_Toc470458164"/>
      <w:r>
        <w:rPr>
          <w:rFonts w:hint="eastAsia" w:asciiTheme="minorEastAsia" w:hAnsiTheme="minorEastAsia" w:eastAsiaTheme="minorEastAsia" w:cstheme="minorEastAsia"/>
          <w:color w:val="auto"/>
          <w:position w:val="0"/>
          <w:sz w:val="24"/>
          <w:szCs w:val="24"/>
          <w:highlight w:val="none"/>
        </w:rPr>
        <w:t>（18）不同投标人的投标文件相互混装的。</w:t>
      </w:r>
      <w:bookmarkEnd w:id="850"/>
      <w:bookmarkEnd w:id="851"/>
      <w:bookmarkEnd w:id="852"/>
      <w:bookmarkEnd w:id="853"/>
      <w:bookmarkEnd w:id="854"/>
      <w:bookmarkEnd w:id="855"/>
      <w:bookmarkEnd w:id="856"/>
      <w:bookmarkEnd w:id="857"/>
      <w:bookmarkEnd w:id="858"/>
      <w:bookmarkEnd w:id="859"/>
      <w:bookmarkEnd w:id="860"/>
    </w:p>
    <w:p w14:paraId="7F011C9A">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861" w:name="_Toc500373780"/>
      <w:bookmarkStart w:id="862" w:name="_Toc511721171"/>
      <w:bookmarkStart w:id="863" w:name="_Toc496632855"/>
      <w:bookmarkStart w:id="864" w:name="_Toc511037457"/>
      <w:bookmarkStart w:id="865" w:name="_Toc470458166"/>
      <w:bookmarkStart w:id="866" w:name="_Toc427055663"/>
      <w:bookmarkStart w:id="867" w:name="_Toc511037672"/>
      <w:bookmarkStart w:id="868" w:name="_Toc510651521"/>
      <w:bookmarkStart w:id="869" w:name="_Toc500402255"/>
      <w:bookmarkStart w:id="870" w:name="_Toc517271499"/>
      <w:bookmarkStart w:id="871" w:name="_Toc498551939"/>
      <w:r>
        <w:rPr>
          <w:rFonts w:hint="eastAsia" w:asciiTheme="minorEastAsia" w:hAnsiTheme="minorEastAsia" w:eastAsiaTheme="minorEastAsia" w:cstheme="minorEastAsia"/>
          <w:color w:val="auto"/>
          <w:position w:val="0"/>
          <w:sz w:val="24"/>
          <w:szCs w:val="24"/>
          <w:highlight w:val="none"/>
        </w:rPr>
        <w:t>（19）不同投标人委托同一人投标的。</w:t>
      </w:r>
      <w:bookmarkEnd w:id="861"/>
      <w:bookmarkEnd w:id="862"/>
      <w:bookmarkEnd w:id="863"/>
      <w:bookmarkEnd w:id="864"/>
      <w:bookmarkEnd w:id="865"/>
      <w:bookmarkEnd w:id="866"/>
      <w:bookmarkEnd w:id="867"/>
      <w:bookmarkEnd w:id="868"/>
      <w:bookmarkEnd w:id="869"/>
      <w:bookmarkEnd w:id="870"/>
      <w:bookmarkEnd w:id="871"/>
    </w:p>
    <w:p w14:paraId="5D580AFF">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bookmarkStart w:id="872" w:name="_Toc427055664"/>
      <w:bookmarkStart w:id="873" w:name="_Toc517271500"/>
      <w:bookmarkStart w:id="874" w:name="_Toc511037458"/>
      <w:bookmarkStart w:id="875" w:name="_Toc510651522"/>
      <w:bookmarkStart w:id="876" w:name="_Toc511721172"/>
      <w:bookmarkStart w:id="877" w:name="_Toc470458167"/>
      <w:bookmarkStart w:id="878" w:name="_Toc496632856"/>
      <w:bookmarkStart w:id="879" w:name="_Toc500373781"/>
      <w:bookmarkStart w:id="880" w:name="_Toc498551940"/>
      <w:bookmarkStart w:id="881" w:name="_Toc511037673"/>
      <w:bookmarkStart w:id="882" w:name="_Toc500402256"/>
      <w:r>
        <w:rPr>
          <w:rFonts w:hint="eastAsia" w:asciiTheme="minorEastAsia" w:hAnsiTheme="minorEastAsia" w:eastAsiaTheme="minorEastAsia" w:cstheme="minorEastAsia"/>
          <w:color w:val="auto"/>
          <w:position w:val="0"/>
          <w:sz w:val="24"/>
          <w:szCs w:val="24"/>
          <w:highlight w:val="none"/>
        </w:rPr>
        <w:t>（20）不同投标人使用同一个人或者同一个企业资金交纳投标保证金的。</w:t>
      </w:r>
      <w:bookmarkEnd w:id="872"/>
      <w:bookmarkEnd w:id="873"/>
      <w:bookmarkEnd w:id="874"/>
      <w:bookmarkEnd w:id="875"/>
      <w:bookmarkEnd w:id="876"/>
      <w:bookmarkEnd w:id="877"/>
      <w:bookmarkEnd w:id="878"/>
      <w:bookmarkEnd w:id="879"/>
      <w:bookmarkEnd w:id="880"/>
      <w:bookmarkEnd w:id="881"/>
      <w:bookmarkEnd w:id="882"/>
    </w:p>
    <w:p w14:paraId="73B5EC28">
      <w:pPr>
        <w:pStyle w:val="21"/>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heme="minorEastAsia" w:hAnsiTheme="minorEastAsia" w:eastAsiaTheme="minorEastAsia" w:cstheme="minorEastAsia"/>
          <w:color w:val="auto"/>
          <w:position w:val="0"/>
          <w:sz w:val="24"/>
          <w:szCs w:val="24"/>
          <w:highlight w:val="none"/>
          <w:lang w:eastAsia="zh-CN"/>
        </w:rPr>
      </w:pPr>
      <w:bookmarkStart w:id="883" w:name="_Toc517271501"/>
      <w:bookmarkStart w:id="884" w:name="_Toc427055665"/>
      <w:bookmarkStart w:id="885" w:name="_Toc500373782"/>
      <w:bookmarkStart w:id="886" w:name="_Toc510651523"/>
      <w:bookmarkStart w:id="887" w:name="_Toc511037674"/>
      <w:bookmarkStart w:id="888" w:name="_Toc496632857"/>
      <w:bookmarkStart w:id="889" w:name="_Toc498551941"/>
      <w:bookmarkStart w:id="890" w:name="_Toc470458168"/>
      <w:bookmarkStart w:id="891" w:name="_Toc500402257"/>
      <w:bookmarkStart w:id="892" w:name="_Toc511721173"/>
      <w:bookmarkStart w:id="893" w:name="_Toc511037459"/>
      <w:r>
        <w:rPr>
          <w:rFonts w:hint="eastAsia" w:asciiTheme="minorEastAsia" w:hAnsiTheme="minorEastAsia" w:eastAsiaTheme="minorEastAsia" w:cstheme="minorEastAsia"/>
          <w:color w:val="auto"/>
          <w:position w:val="0"/>
          <w:sz w:val="24"/>
          <w:szCs w:val="24"/>
          <w:highlight w:val="none"/>
        </w:rPr>
        <w:t>（21）</w:t>
      </w:r>
      <w:r>
        <w:rPr>
          <w:rFonts w:hint="eastAsia" w:asciiTheme="minorEastAsia" w:hAnsiTheme="minorEastAsia" w:eastAsiaTheme="minorEastAsia" w:cstheme="minorEastAsia"/>
          <w:color w:val="auto"/>
          <w:position w:val="0"/>
          <w:sz w:val="24"/>
          <w:szCs w:val="24"/>
          <w:highlight w:val="none"/>
          <w:lang w:eastAsia="zh-CN"/>
        </w:rPr>
        <w:t>在电脑自动清标时显示两家或以上投标单位的芯片、硬盘、网卡序列号一致的，视为不同投标人的投标文件由同一台电脑编制的情形。</w:t>
      </w:r>
    </w:p>
    <w:bookmarkEnd w:id="883"/>
    <w:bookmarkEnd w:id="884"/>
    <w:bookmarkEnd w:id="885"/>
    <w:bookmarkEnd w:id="886"/>
    <w:bookmarkEnd w:id="887"/>
    <w:bookmarkEnd w:id="888"/>
    <w:bookmarkEnd w:id="889"/>
    <w:bookmarkEnd w:id="890"/>
    <w:bookmarkEnd w:id="891"/>
    <w:bookmarkEnd w:id="892"/>
    <w:bookmarkEnd w:id="893"/>
    <w:p w14:paraId="2955FE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lang w:val="en-US" w:eastAsia="zh-CN"/>
        </w:rPr>
        <w:t>22</w:t>
      </w: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rPr>
        <w:t>评标委员会认定的其他串通投标情形的。</w:t>
      </w:r>
    </w:p>
    <w:p w14:paraId="7E5B24CD">
      <w:pPr>
        <w:pStyle w:val="18"/>
        <w:ind w:firstLine="480" w:firstLineChars="200"/>
        <w:jc w:val="both"/>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lang w:val="en-US" w:eastAsia="zh-CN"/>
        </w:rPr>
        <w:t>23）通过受让、租借、挂靠资质投标，伪造、变造资质、资格证书或者其他许可证件，提供虚假业绩、奖项、项目负责人等材料。</w:t>
      </w:r>
    </w:p>
    <w:p w14:paraId="19D2D53F">
      <w:pPr>
        <w:pStyle w:val="18"/>
        <w:ind w:firstLine="480" w:firstLineChars="200"/>
        <w:jc w:val="both"/>
        <w:rPr>
          <w:rFonts w:hint="eastAsia"/>
          <w:sz w:val="24"/>
          <w:szCs w:val="18"/>
        </w:rPr>
      </w:pPr>
      <w:r>
        <w:rPr>
          <w:rFonts w:hint="eastAsia"/>
          <w:sz w:val="24"/>
          <w:szCs w:val="18"/>
          <w:lang w:val="en-US" w:eastAsia="zh-CN"/>
        </w:rPr>
        <w:t>注：当出现投标文件异常一致、投标活动异常关联情形时，应当允许投标人向评标委员会、招标人作出解释说明。评标委员会、招标人经核查发现投标人存在串通投标、弄虚作假等违法行为的，按照法律法规规定进行处理。</w:t>
      </w:r>
    </w:p>
    <w:p w14:paraId="2A4C9B36">
      <w:pPr>
        <w:pageBreakBefore w:val="0"/>
        <w:kinsoku/>
        <w:wordWrap/>
        <w:overflowPunct/>
        <w:bidi w:val="0"/>
        <w:spacing w:before="60" w:beforeLines="25" w:line="360" w:lineRule="auto"/>
        <w:ind w:firstLine="480" w:firstLineChars="200"/>
        <w:outlineLvl w:val="2"/>
        <w:rPr>
          <w:rFonts w:hint="eastAsia" w:asciiTheme="minorEastAsia" w:hAnsiTheme="minorEastAsia" w:eastAsiaTheme="minorEastAsia" w:cstheme="minorEastAsia"/>
          <w:color w:val="auto"/>
          <w:position w:val="0"/>
          <w:sz w:val="24"/>
          <w:szCs w:val="24"/>
          <w:highlight w:val="none"/>
        </w:rPr>
      </w:pPr>
      <w:bookmarkStart w:id="894" w:name="_Toc7579"/>
      <w:bookmarkStart w:id="895" w:name="_Toc128572007"/>
      <w:bookmarkStart w:id="896" w:name="_Toc128493710"/>
      <w:bookmarkStart w:id="897" w:name="_Toc18575"/>
      <w:bookmarkStart w:id="898" w:name="_Toc79068759"/>
      <w:bookmarkStart w:id="899" w:name="_Toc4717"/>
      <w:r>
        <w:rPr>
          <w:rFonts w:hint="eastAsia" w:asciiTheme="minorEastAsia" w:hAnsiTheme="minorEastAsia" w:eastAsiaTheme="minorEastAsia" w:cstheme="minorEastAsia"/>
          <w:color w:val="auto"/>
          <w:position w:val="0"/>
          <w:sz w:val="24"/>
          <w:szCs w:val="24"/>
          <w:highlight w:val="none"/>
        </w:rPr>
        <w:t>3.2详细评审</w:t>
      </w:r>
      <w:bookmarkEnd w:id="894"/>
      <w:bookmarkEnd w:id="895"/>
      <w:bookmarkEnd w:id="896"/>
      <w:bookmarkEnd w:id="897"/>
      <w:bookmarkEnd w:id="898"/>
      <w:bookmarkEnd w:id="899"/>
    </w:p>
    <w:p w14:paraId="33D623D5">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3.2.1评标委员会按本章第2.2款规定的量化因素和分值进行打分。</w:t>
      </w:r>
    </w:p>
    <w:p w14:paraId="7130C592">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3.2.2评分分值计算保留小数点后两位，小数点后第三位“四舍五入”。</w:t>
      </w:r>
    </w:p>
    <w:p w14:paraId="00D8D5F9">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3.2.3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75554769">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3.2.</w:t>
      </w:r>
      <w:r>
        <w:rPr>
          <w:rFonts w:hint="eastAsia" w:asciiTheme="minorEastAsia" w:hAnsiTheme="minorEastAsia" w:eastAsiaTheme="minorEastAsia" w:cstheme="minorEastAsia"/>
          <w:color w:val="auto"/>
          <w:position w:val="0"/>
          <w:sz w:val="24"/>
          <w:szCs w:val="24"/>
          <w:highlight w:val="none"/>
          <w:lang w:val="en-US" w:eastAsia="zh-CN"/>
        </w:rPr>
        <w:t>4</w:t>
      </w:r>
      <w:r>
        <w:rPr>
          <w:rFonts w:hint="eastAsia" w:asciiTheme="minorEastAsia" w:hAnsiTheme="minorEastAsia" w:eastAsiaTheme="minorEastAsia" w:cstheme="minorEastAsia"/>
          <w:color w:val="auto"/>
          <w:position w:val="0"/>
          <w:sz w:val="24"/>
          <w:szCs w:val="24"/>
          <w:highlight w:val="none"/>
        </w:rPr>
        <w:t>统计分数原则：</w:t>
      </w:r>
      <w:r>
        <w:rPr>
          <w:rFonts w:hint="eastAsia" w:asciiTheme="minorEastAsia" w:hAnsiTheme="minorEastAsia" w:eastAsiaTheme="minorEastAsia" w:cstheme="minorEastAsia"/>
          <w:color w:val="auto"/>
          <w:position w:val="0"/>
          <w:sz w:val="24"/>
          <w:szCs w:val="24"/>
          <w:highlight w:val="none"/>
          <w:lang w:val="en-US" w:eastAsia="zh-CN"/>
        </w:rPr>
        <w:t>评标委员会全体成员的评分计算出平均得分，为投标人评审因素最后得分</w:t>
      </w:r>
      <w:r>
        <w:rPr>
          <w:rFonts w:hint="eastAsia" w:asciiTheme="minorEastAsia" w:hAnsiTheme="minorEastAsia" w:eastAsiaTheme="minorEastAsia" w:cstheme="minorEastAsia"/>
          <w:color w:val="auto"/>
          <w:position w:val="0"/>
          <w:sz w:val="24"/>
          <w:szCs w:val="24"/>
          <w:highlight w:val="none"/>
        </w:rPr>
        <w:t>（保留小数点后两位）。</w:t>
      </w:r>
      <w:bookmarkStart w:id="900" w:name="_Toc79068760"/>
      <w:bookmarkStart w:id="901" w:name="_Toc128572008"/>
      <w:bookmarkStart w:id="902" w:name="_Toc128493711"/>
      <w:bookmarkStart w:id="903" w:name="_Toc8418"/>
    </w:p>
    <w:p w14:paraId="1BB971C3">
      <w:pPr>
        <w:pageBreakBefore w:val="0"/>
        <w:kinsoku/>
        <w:wordWrap/>
        <w:overflowPunct/>
        <w:bidi w:val="0"/>
        <w:spacing w:before="60" w:beforeLines="25" w:line="360" w:lineRule="auto"/>
        <w:ind w:firstLine="480" w:firstLineChars="200"/>
        <w:outlineLvl w:val="2"/>
        <w:rPr>
          <w:rFonts w:hint="eastAsia" w:asciiTheme="minorEastAsia" w:hAnsiTheme="minorEastAsia" w:eastAsiaTheme="minorEastAsia" w:cstheme="minorEastAsia"/>
          <w:color w:val="auto"/>
          <w:position w:val="0"/>
          <w:sz w:val="24"/>
          <w:szCs w:val="24"/>
          <w:highlight w:val="none"/>
        </w:rPr>
      </w:pPr>
      <w:bookmarkStart w:id="904" w:name="_Toc3517"/>
      <w:bookmarkStart w:id="905" w:name="_Toc32395"/>
      <w:r>
        <w:rPr>
          <w:rFonts w:hint="eastAsia" w:asciiTheme="minorEastAsia" w:hAnsiTheme="minorEastAsia" w:eastAsiaTheme="minorEastAsia" w:cstheme="minorEastAsia"/>
          <w:color w:val="auto"/>
          <w:position w:val="0"/>
          <w:sz w:val="24"/>
          <w:szCs w:val="24"/>
          <w:highlight w:val="none"/>
        </w:rPr>
        <w:t>3.3投标文件的澄清和补正</w:t>
      </w:r>
      <w:bookmarkEnd w:id="900"/>
      <w:bookmarkEnd w:id="901"/>
      <w:bookmarkEnd w:id="902"/>
      <w:bookmarkEnd w:id="903"/>
      <w:bookmarkEnd w:id="904"/>
      <w:bookmarkEnd w:id="905"/>
    </w:p>
    <w:p w14:paraId="384CCD09">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6C5E8A48">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3.3.2澄清、说明和补正不得改变投标文件的实质性内容。投标人的书面澄清、说明和补正属于投标文件的组成部分。</w:t>
      </w:r>
    </w:p>
    <w:p w14:paraId="1479B433">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3.3.3评标委员会对投标人提交的澄清、说明或补正有疑问的，可以要求投标人进一步澄清、说明或补正，直至满足评标委员会的要求。</w:t>
      </w:r>
    </w:p>
    <w:p w14:paraId="5EB80EDC">
      <w:pPr>
        <w:pageBreakBefore w:val="0"/>
        <w:kinsoku/>
        <w:wordWrap/>
        <w:overflowPunct/>
        <w:bidi w:val="0"/>
        <w:spacing w:before="60" w:beforeLines="25" w:line="360" w:lineRule="auto"/>
        <w:ind w:firstLine="480" w:firstLineChars="200"/>
        <w:outlineLvl w:val="2"/>
        <w:rPr>
          <w:rFonts w:hint="eastAsia" w:asciiTheme="minorEastAsia" w:hAnsiTheme="minorEastAsia" w:eastAsiaTheme="minorEastAsia" w:cstheme="minorEastAsia"/>
          <w:color w:val="auto"/>
          <w:position w:val="0"/>
          <w:sz w:val="24"/>
          <w:szCs w:val="24"/>
          <w:highlight w:val="none"/>
        </w:rPr>
      </w:pPr>
      <w:bookmarkStart w:id="906" w:name="_Toc128493712"/>
      <w:bookmarkStart w:id="907" w:name="_Toc22070"/>
      <w:bookmarkStart w:id="908" w:name="_Toc128572009"/>
      <w:bookmarkStart w:id="909" w:name="_Toc3998"/>
      <w:bookmarkStart w:id="910" w:name="_Toc1681"/>
      <w:bookmarkStart w:id="911" w:name="_Toc79068761"/>
      <w:r>
        <w:rPr>
          <w:rFonts w:hint="eastAsia" w:asciiTheme="minorEastAsia" w:hAnsiTheme="minorEastAsia" w:eastAsiaTheme="minorEastAsia" w:cstheme="minorEastAsia"/>
          <w:color w:val="auto"/>
          <w:position w:val="0"/>
          <w:sz w:val="24"/>
          <w:szCs w:val="24"/>
          <w:highlight w:val="none"/>
        </w:rPr>
        <w:t>3.4评标结果</w:t>
      </w:r>
      <w:bookmarkEnd w:id="906"/>
      <w:bookmarkEnd w:id="907"/>
      <w:bookmarkEnd w:id="908"/>
      <w:bookmarkEnd w:id="909"/>
      <w:bookmarkEnd w:id="910"/>
      <w:bookmarkEnd w:id="911"/>
    </w:p>
    <w:p w14:paraId="72079E09">
      <w:pPr>
        <w:pageBreakBefore w:val="0"/>
        <w:kinsoku/>
        <w:wordWrap/>
        <w:overflowPunct/>
        <w:bidi w:val="0"/>
        <w:spacing w:before="60" w:beforeLines="25" w:line="360" w:lineRule="auto"/>
        <w:ind w:firstLine="480" w:firstLineChars="200"/>
        <w:outlineLvl w:val="3"/>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3.4.1评标委员会按照得分由高到低的顺序推荐中标候选人。</w:t>
      </w:r>
    </w:p>
    <w:p w14:paraId="515BD3B2">
      <w:pPr>
        <w:pageBreakBefore w:val="0"/>
        <w:kinsoku/>
        <w:wordWrap/>
        <w:overflowPunct/>
        <w:bidi w:val="0"/>
        <w:spacing w:before="60" w:beforeLines="25" w:line="360" w:lineRule="auto"/>
        <w:ind w:firstLine="480" w:firstLineChars="200"/>
        <w:outlineLvl w:val="3"/>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3.4.2评标委员会完成评标后，应当向招标人提交书面评标报告。</w:t>
      </w:r>
    </w:p>
    <w:p w14:paraId="0B20F70F">
      <w:pPr>
        <w:pageBreakBefore w:val="0"/>
        <w:kinsoku/>
        <w:wordWrap/>
        <w:overflowPunct/>
        <w:bidi w:val="0"/>
        <w:spacing w:before="60" w:before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p>
    <w:p w14:paraId="53EFC869">
      <w:pPr>
        <w:pStyle w:val="2"/>
        <w:pageBreakBefore w:val="0"/>
        <w:widowControl/>
        <w:kinsoku/>
        <w:wordWrap/>
        <w:overflowPunct/>
        <w:bidi w:val="0"/>
        <w:spacing w:before="60" w:beforeLines="25" w:line="360" w:lineRule="auto"/>
        <w:ind w:firstLine="723" w:firstLineChars="200"/>
        <w:jc w:val="center"/>
        <w:outlineLvl w:val="0"/>
        <w:rPr>
          <w:rFonts w:hint="eastAsia" w:asciiTheme="minorEastAsia" w:hAnsiTheme="minorEastAsia" w:eastAsiaTheme="minorEastAsia" w:cstheme="minorEastAsia"/>
          <w:b/>
          <w:bCs w:val="0"/>
          <w:color w:val="auto"/>
          <w:kern w:val="2"/>
          <w:sz w:val="32"/>
          <w:szCs w:val="32"/>
          <w:highlight w:val="none"/>
          <w:lang w:val="en-US" w:eastAsia="zh-CN"/>
        </w:rPr>
      </w:pPr>
      <w:r>
        <w:rPr>
          <w:rFonts w:hint="eastAsia" w:asciiTheme="minorEastAsia" w:hAnsiTheme="minorEastAsia" w:eastAsiaTheme="minorEastAsia" w:cstheme="minorEastAsia"/>
          <w:b/>
          <w:bCs/>
          <w:color w:val="auto"/>
          <w:position w:val="0"/>
          <w:sz w:val="36"/>
          <w:szCs w:val="36"/>
          <w:highlight w:val="none"/>
        </w:rPr>
        <w:br w:type="page"/>
      </w:r>
      <w:bookmarkStart w:id="912" w:name="_Toc445300959"/>
      <w:bookmarkStart w:id="913" w:name="_Toc237061005"/>
      <w:bookmarkStart w:id="914" w:name="_Toc495524334"/>
      <w:bookmarkStart w:id="915" w:name="_Toc17304"/>
      <w:bookmarkStart w:id="916" w:name="_Toc8620"/>
      <w:bookmarkStart w:id="917" w:name="_Toc345"/>
      <w:r>
        <w:rPr>
          <w:rFonts w:hint="eastAsia" w:asciiTheme="minorEastAsia" w:hAnsiTheme="minorEastAsia" w:eastAsiaTheme="minorEastAsia" w:cstheme="minorEastAsia"/>
          <w:b/>
          <w:bCs w:val="0"/>
          <w:color w:val="auto"/>
          <w:kern w:val="2"/>
          <w:sz w:val="32"/>
          <w:szCs w:val="32"/>
          <w:highlight w:val="none"/>
          <w:lang w:val="en-US" w:eastAsia="zh-CN"/>
        </w:rPr>
        <w:t>第四章  合同条款及格式</w:t>
      </w:r>
      <w:bookmarkEnd w:id="912"/>
      <w:bookmarkEnd w:id="913"/>
      <w:bookmarkEnd w:id="914"/>
      <w:r>
        <w:rPr>
          <w:rFonts w:hint="eastAsia" w:asciiTheme="minorEastAsia" w:hAnsiTheme="minorEastAsia" w:eastAsiaTheme="minorEastAsia" w:cstheme="minorEastAsia"/>
          <w:b/>
          <w:bCs w:val="0"/>
          <w:color w:val="auto"/>
          <w:kern w:val="2"/>
          <w:sz w:val="32"/>
          <w:szCs w:val="32"/>
          <w:highlight w:val="none"/>
          <w:lang w:val="en-US" w:eastAsia="zh-CN"/>
        </w:rPr>
        <w:t>（该合同条款仅供参考）</w:t>
      </w:r>
      <w:bookmarkEnd w:id="915"/>
      <w:bookmarkEnd w:id="916"/>
      <w:bookmarkEnd w:id="917"/>
    </w:p>
    <w:p w14:paraId="54360A27">
      <w:pPr>
        <w:wordWrap/>
        <w:topLinePunct w:val="0"/>
        <w:ind w:firstLine="0" w:firstLineChars="0"/>
        <w:rPr>
          <w:rFonts w:hint="eastAsia" w:asciiTheme="minorEastAsia" w:hAnsiTheme="minorEastAsia" w:eastAsiaTheme="minorEastAsia" w:cstheme="minorEastAsia"/>
          <w:sz w:val="32"/>
          <w:szCs w:val="32"/>
        </w:rPr>
      </w:pPr>
    </w:p>
    <w:p w14:paraId="62612A74">
      <w:pPr>
        <w:wordWrap/>
        <w:topLinePunct w:val="0"/>
        <w:ind w:firstLine="0" w:firstLineChars="0"/>
        <w:rPr>
          <w:rFonts w:hint="eastAsia" w:asciiTheme="minorEastAsia" w:hAnsiTheme="minorEastAsia" w:eastAsiaTheme="minorEastAsia" w:cstheme="minorEastAsia"/>
          <w:sz w:val="32"/>
          <w:szCs w:val="32"/>
        </w:rPr>
      </w:pPr>
    </w:p>
    <w:p w14:paraId="0DDF328D">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r>
    </w:p>
    <w:p w14:paraId="1902375F">
      <w:pPr>
        <w:wordWrap/>
        <w:topLinePunct w:val="0"/>
        <w:ind w:firstLine="0" w:firstLineChars="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GF-2020-0216</w:t>
      </w:r>
    </w:p>
    <w:p w14:paraId="3C0B73FD">
      <w:pPr>
        <w:wordWrap/>
        <w:topLinePunct w:val="0"/>
        <w:rPr>
          <w:rFonts w:hint="eastAsia" w:asciiTheme="minorEastAsia" w:hAnsiTheme="minorEastAsia" w:eastAsiaTheme="minorEastAsia" w:cstheme="minorEastAsia"/>
        </w:rPr>
      </w:pPr>
    </w:p>
    <w:p w14:paraId="40ADE1A9">
      <w:pPr>
        <w:wordWrap/>
        <w:topLinePunct w:val="0"/>
        <w:rPr>
          <w:rFonts w:hint="eastAsia" w:asciiTheme="minorEastAsia" w:hAnsiTheme="minorEastAsia" w:eastAsiaTheme="minorEastAsia" w:cstheme="minorEastAsia"/>
        </w:rPr>
      </w:pPr>
    </w:p>
    <w:p w14:paraId="1CE63EE4">
      <w:pPr>
        <w:wordWrap/>
        <w:topLinePunct w:val="0"/>
        <w:rPr>
          <w:rFonts w:hint="eastAsia" w:asciiTheme="minorEastAsia" w:hAnsiTheme="minorEastAsia" w:eastAsiaTheme="minorEastAsia" w:cstheme="minorEastAsia"/>
        </w:rPr>
      </w:pPr>
    </w:p>
    <w:p w14:paraId="2B9B4134">
      <w:pPr>
        <w:wordWrap/>
        <w:topLinePunct w:val="0"/>
        <w:rPr>
          <w:rFonts w:hint="eastAsia" w:asciiTheme="minorEastAsia" w:hAnsiTheme="minorEastAsia" w:eastAsiaTheme="minorEastAsia" w:cstheme="minorEastAsia"/>
        </w:rPr>
      </w:pPr>
    </w:p>
    <w:p w14:paraId="03EA21CD">
      <w:pPr>
        <w:wordWrap/>
        <w:topLinePunct w:val="0"/>
        <w:rPr>
          <w:rFonts w:hint="eastAsia" w:asciiTheme="minorEastAsia" w:hAnsiTheme="minorEastAsia" w:eastAsiaTheme="minorEastAsia" w:cstheme="minorEastAsia"/>
        </w:rPr>
      </w:pPr>
    </w:p>
    <w:p w14:paraId="0C1EFC6E">
      <w:pPr>
        <w:pStyle w:val="137"/>
        <w:outlineLvl w:val="9"/>
        <w:rPr>
          <w:rFonts w:hint="eastAsia" w:asciiTheme="minorEastAsia" w:hAnsiTheme="minorEastAsia" w:eastAsiaTheme="minorEastAsia" w:cstheme="minorEastAsia"/>
          <w:b w:val="0"/>
          <w:bCs/>
          <w:sz w:val="52"/>
          <w:szCs w:val="52"/>
        </w:rPr>
      </w:pPr>
      <w:bookmarkStart w:id="918" w:name="_Toc31708"/>
      <w:bookmarkStart w:id="919" w:name="_Toc2652"/>
      <w:r>
        <w:rPr>
          <w:rFonts w:hint="eastAsia" w:asciiTheme="minorEastAsia" w:hAnsiTheme="minorEastAsia" w:eastAsiaTheme="minorEastAsia" w:cstheme="minorEastAsia"/>
          <w:b w:val="0"/>
          <w:bCs/>
          <w:sz w:val="72"/>
          <w:szCs w:val="72"/>
        </w:rPr>
        <w:t>建设项目工程总承包合同</w:t>
      </w:r>
      <w:bookmarkEnd w:id="918"/>
      <w:bookmarkEnd w:id="919"/>
    </w:p>
    <w:p w14:paraId="70E1C319">
      <w:pPr>
        <w:pStyle w:val="137"/>
        <w:rPr>
          <w:rFonts w:hint="eastAsia" w:asciiTheme="minorEastAsia" w:hAnsiTheme="minorEastAsia" w:eastAsiaTheme="minorEastAsia" w:cstheme="minorEastAsia"/>
          <w:b w:val="0"/>
          <w:bCs/>
          <w:sz w:val="52"/>
          <w:szCs w:val="52"/>
        </w:rPr>
      </w:pPr>
      <w:r>
        <w:rPr>
          <w:rFonts w:hint="eastAsia" w:asciiTheme="minorEastAsia" w:hAnsiTheme="minorEastAsia" w:eastAsiaTheme="minorEastAsia" w:cstheme="minorEastAsia"/>
          <w:b w:val="0"/>
          <w:bCs/>
          <w:sz w:val="52"/>
          <w:szCs w:val="52"/>
        </w:rPr>
        <w:t>（示范文本）</w:t>
      </w:r>
    </w:p>
    <w:p w14:paraId="0B8C4409">
      <w:pPr>
        <w:pStyle w:val="137"/>
        <w:rPr>
          <w:rFonts w:hint="eastAsia" w:asciiTheme="minorEastAsia" w:hAnsiTheme="minorEastAsia" w:eastAsiaTheme="minorEastAsia" w:cstheme="minorEastAsia"/>
          <w:sz w:val="40"/>
          <w:szCs w:val="40"/>
        </w:rPr>
      </w:pPr>
    </w:p>
    <w:p w14:paraId="0FFC78A2">
      <w:pPr>
        <w:pStyle w:val="137"/>
        <w:rPr>
          <w:rFonts w:hint="eastAsia" w:asciiTheme="minorEastAsia" w:hAnsiTheme="minorEastAsia" w:eastAsiaTheme="minorEastAsia" w:cstheme="minorEastAsia"/>
          <w:sz w:val="40"/>
          <w:szCs w:val="40"/>
        </w:rPr>
      </w:pPr>
    </w:p>
    <w:p w14:paraId="08B3FE75">
      <w:pPr>
        <w:rPr>
          <w:rFonts w:hint="eastAsia" w:asciiTheme="minorEastAsia" w:hAnsiTheme="minorEastAsia" w:eastAsiaTheme="minorEastAsia" w:cstheme="minorEastAsia"/>
          <w:sz w:val="40"/>
          <w:szCs w:val="40"/>
        </w:rPr>
      </w:pPr>
    </w:p>
    <w:p w14:paraId="45858210">
      <w:pPr>
        <w:rPr>
          <w:rFonts w:hint="eastAsia" w:asciiTheme="minorEastAsia" w:hAnsiTheme="minorEastAsia" w:eastAsiaTheme="minorEastAsia" w:cstheme="minorEastAsia"/>
          <w:sz w:val="40"/>
          <w:szCs w:val="40"/>
        </w:rPr>
      </w:pPr>
    </w:p>
    <w:p w14:paraId="71A873CD">
      <w:pPr>
        <w:rPr>
          <w:rFonts w:hint="eastAsia" w:asciiTheme="minorEastAsia" w:hAnsiTheme="minorEastAsia" w:eastAsiaTheme="minorEastAsia" w:cstheme="minorEastAsia"/>
          <w:sz w:val="40"/>
          <w:szCs w:val="40"/>
        </w:rPr>
      </w:pPr>
    </w:p>
    <w:p w14:paraId="56252BCC">
      <w:pPr>
        <w:rPr>
          <w:rFonts w:hint="eastAsia" w:asciiTheme="minorEastAsia" w:hAnsiTheme="minorEastAsia" w:eastAsiaTheme="minorEastAsia" w:cstheme="minorEastAsia"/>
        </w:rPr>
      </w:pPr>
    </w:p>
    <w:p w14:paraId="7E9969FF">
      <w:pPr>
        <w:pStyle w:val="137"/>
        <w:rPr>
          <w:rFonts w:hint="eastAsia" w:asciiTheme="minorEastAsia" w:hAnsiTheme="minorEastAsia" w:eastAsiaTheme="minorEastAsia" w:cstheme="minorEastAsia"/>
          <w:sz w:val="40"/>
          <w:szCs w:val="40"/>
        </w:rPr>
      </w:pPr>
    </w:p>
    <w:p w14:paraId="1FCEB522">
      <w:pPr>
        <w:rPr>
          <w:rFonts w:hint="eastAsia" w:asciiTheme="minorEastAsia" w:hAnsiTheme="minorEastAsia" w:eastAsiaTheme="minorEastAsia" w:cstheme="minorEastAsia"/>
        </w:rPr>
      </w:pPr>
    </w:p>
    <w:p w14:paraId="0A003B21">
      <w:pPr>
        <w:pStyle w:val="137"/>
        <w:rPr>
          <w:rFonts w:hint="eastAsia" w:asciiTheme="minorEastAsia" w:hAnsiTheme="minorEastAsia" w:eastAsiaTheme="minorEastAsia" w:cstheme="minorEastAsia"/>
          <w:sz w:val="32"/>
          <w:szCs w:val="32"/>
        </w:rPr>
      </w:pPr>
    </w:p>
    <w:p w14:paraId="288AD0FD">
      <w:pPr>
        <w:wordWrap/>
        <w:topLinePunct w:val="0"/>
        <w:ind w:right="2182" w:rightChars="1039" w:firstLine="0" w:firstLineChars="0"/>
        <w:jc w:val="distribute"/>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mc:AlternateContent>
          <mc:Choice Requires="wps">
            <w:drawing>
              <wp:anchor distT="0" distB="0" distL="114300" distR="114300" simplePos="0" relativeHeight="251662336" behindDoc="0" locked="0" layoutInCell="1" allowOverlap="1">
                <wp:simplePos x="0" y="0"/>
                <wp:positionH relativeFrom="column">
                  <wp:posOffset>4900295</wp:posOffset>
                </wp:positionH>
                <wp:positionV relativeFrom="paragraph">
                  <wp:posOffset>80010</wp:posOffset>
                </wp:positionV>
                <wp:extent cx="754380" cy="1762125"/>
                <wp:effectExtent l="0" t="0" r="7620" b="10795"/>
                <wp:wrapNone/>
                <wp:docPr id="3" name="文本框 3"/>
                <wp:cNvGraphicFramePr/>
                <a:graphic xmlns:a="http://schemas.openxmlformats.org/drawingml/2006/main">
                  <a:graphicData uri="http://schemas.microsoft.com/office/word/2010/wordprocessingShape">
                    <wps:wsp>
                      <wps:cNvSpPr txBox="1"/>
                      <wps:spPr>
                        <a:xfrm>
                          <a:off x="0" y="0"/>
                          <a:ext cx="754380" cy="1761871"/>
                        </a:xfrm>
                        <a:prstGeom prst="rect">
                          <a:avLst/>
                        </a:prstGeom>
                        <a:solidFill>
                          <a:srgbClr val="FFFFFF"/>
                        </a:solidFill>
                        <a:ln>
                          <a:noFill/>
                        </a:ln>
                      </wps:spPr>
                      <wps:txbx>
                        <w:txbxContent>
                          <w:p w14:paraId="785BAB04">
                            <w:pPr>
                              <w:wordWrap/>
                              <w:topLinePunct w:val="0"/>
                              <w:spacing w:after="0" w:afterLines="0" w:line="240" w:lineRule="auto"/>
                              <w:ind w:firstLine="0" w:firstLineChars="0"/>
                              <w:jc w:val="center"/>
                              <w:rPr>
                                <w:b/>
                                <w:bCs/>
                                <w:sz w:val="32"/>
                                <w:szCs w:val="32"/>
                              </w:rPr>
                            </w:pPr>
                            <w:r>
                              <w:rPr>
                                <w:rFonts w:hint="eastAsia"/>
                                <w:b/>
                                <w:bCs/>
                                <w:sz w:val="32"/>
                                <w:szCs w:val="32"/>
                              </w:rPr>
                              <w:t>制定</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385.85pt;margin-top:6.3pt;height:138.75pt;width:59.4pt;z-index:251662336;mso-width-relative:page;mso-height-relative:margin;mso-height-percent:200;" fillcolor="#FFFFFF" filled="t" stroked="f" coordsize="21600,21600" o:gfxdata="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YofEbYAAAACgEAAA8AAAAAAAAAAQAgAAAAIgAA&#10;AGRycy9kb3ducmV2LnhtbFBLAQIUABQAAAAIAIdO4kD9qCxvzwEAAJEDAAAOAAAAAAAAAAEAIAAA&#10;ACcBAABkcnMvZTJvRG9jLnhtbFBLBQYAAAAABgAGAFkBAABoBQAAAAA=&#10;">
                <v:fill on="t" focussize="0,0"/>
                <v:stroke on="f"/>
                <v:imagedata o:title=""/>
                <o:lock v:ext="edit" aspectratio="f"/>
                <v:textbox style="mso-fit-shape-to-text:t;">
                  <w:txbxContent>
                    <w:p w14:paraId="785BAB04">
                      <w:pPr>
                        <w:wordWrap/>
                        <w:topLinePunct w:val="0"/>
                        <w:spacing w:after="0" w:afterLines="0" w:line="240" w:lineRule="auto"/>
                        <w:ind w:firstLine="0" w:firstLineChars="0"/>
                        <w:jc w:val="center"/>
                        <w:rPr>
                          <w:b/>
                          <w:bCs/>
                          <w:sz w:val="32"/>
                          <w:szCs w:val="32"/>
                        </w:rPr>
                      </w:pPr>
                      <w:r>
                        <w:rPr>
                          <w:rFonts w:hint="eastAsia"/>
                          <w:b/>
                          <w:bCs/>
                          <w:sz w:val="32"/>
                          <w:szCs w:val="32"/>
                        </w:rPr>
                        <w:t>制定</w:t>
                      </w:r>
                    </w:p>
                  </w:txbxContent>
                </v:textbox>
              </v:shape>
            </w:pict>
          </mc:Fallback>
        </mc:AlternateContent>
      </w:r>
      <w:r>
        <w:rPr>
          <w:rFonts w:hint="eastAsia" w:asciiTheme="minorEastAsia" w:hAnsiTheme="minorEastAsia" w:eastAsiaTheme="minorEastAsia" w:cstheme="minorEastAsia"/>
          <w:b/>
          <w:color w:val="000000"/>
          <w:sz w:val="32"/>
          <w:szCs w:val="28"/>
        </w:rPr>
        <w:t xml:space="preserve">     </w:t>
      </w:r>
      <w:r>
        <w:rPr>
          <w:rFonts w:hint="eastAsia" w:asciiTheme="minorEastAsia" w:hAnsiTheme="minorEastAsia" w:eastAsiaTheme="minorEastAsia" w:cstheme="minorEastAsia"/>
          <w:b/>
          <w:bCs/>
          <w:sz w:val="32"/>
          <w:szCs w:val="32"/>
        </w:rPr>
        <w:t>中华人民共和国住房和城乡建设部</w:t>
      </w:r>
    </w:p>
    <w:p w14:paraId="48128C23">
      <w:pPr>
        <w:wordWrap/>
        <w:topLinePunct w:val="0"/>
        <w:ind w:right="2182" w:rightChars="1039" w:firstLine="0" w:firstLineChars="0"/>
        <w:jc w:val="distribute"/>
        <w:rPr>
          <w:rFonts w:hint="eastAsia" w:asciiTheme="minorEastAsia" w:hAnsiTheme="minorEastAsia" w:eastAsiaTheme="minorEastAsia" w:cstheme="minorEastAsia"/>
          <w:b/>
          <w:bCs/>
          <w:sz w:val="32"/>
          <w:szCs w:val="32"/>
        </w:rPr>
        <w:sectPr>
          <w:headerReference r:id="rId3" w:type="default"/>
          <w:footerReference r:id="rId5" w:type="default"/>
          <w:headerReference r:id="rId4" w:type="even"/>
          <w:footerReference r:id="rId6" w:type="even"/>
          <w:pgSz w:w="11906" w:h="16838"/>
          <w:pgMar w:top="1440" w:right="1080" w:bottom="1440" w:left="1080" w:header="720" w:footer="998" w:gutter="0"/>
          <w:pgNumType w:fmt="decimal" w:start="1"/>
          <w:cols w:space="720" w:num="1"/>
          <w:docGrid w:linePitch="326" w:charSpace="0"/>
        </w:sectPr>
      </w:pPr>
      <w:r>
        <w:rPr>
          <w:rFonts w:hint="eastAsia" w:asciiTheme="minorEastAsia" w:hAnsiTheme="minorEastAsia" w:eastAsiaTheme="minorEastAsia" w:cstheme="minorEastAsia"/>
          <w:b/>
          <w:color w:val="000000"/>
          <w:sz w:val="32"/>
          <w:szCs w:val="28"/>
        </w:rPr>
        <w:t xml:space="preserve">     国家</w:t>
      </w:r>
      <w:r>
        <w:rPr>
          <w:rFonts w:hint="eastAsia" w:asciiTheme="minorEastAsia" w:hAnsiTheme="minorEastAsia" w:eastAsiaTheme="minorEastAsia" w:cstheme="minorEastAsia"/>
          <w:b/>
          <w:bCs/>
          <w:sz w:val="32"/>
          <w:szCs w:val="32"/>
        </w:rPr>
        <w:t>市场监</w:t>
      </w:r>
      <w:r>
        <w:rPr>
          <w:rFonts w:hint="eastAsia" w:asciiTheme="minorEastAsia" w:hAnsiTheme="minorEastAsia" w:eastAsiaTheme="minorEastAsia" w:cstheme="minorEastAsia"/>
          <w:b/>
          <w:color w:val="000000"/>
          <w:sz w:val="32"/>
          <w:szCs w:val="28"/>
        </w:rPr>
        <w:t>督</w:t>
      </w:r>
      <w:r>
        <w:rPr>
          <w:rFonts w:hint="eastAsia" w:asciiTheme="minorEastAsia" w:hAnsiTheme="minorEastAsia" w:eastAsiaTheme="minorEastAsia" w:cstheme="minorEastAsia"/>
          <w:b/>
          <w:bCs/>
          <w:sz w:val="32"/>
          <w:szCs w:val="32"/>
        </w:rPr>
        <w:t>管理总局</w:t>
      </w:r>
    </w:p>
    <w:p w14:paraId="1A6430E8">
      <w:pPr>
        <w:rPr>
          <w:rFonts w:hint="eastAsia" w:asciiTheme="minorEastAsia" w:hAnsiTheme="minorEastAsia" w:eastAsiaTheme="minorEastAsia" w:cstheme="minorEastAsia"/>
          <w:sz w:val="44"/>
          <w:szCs w:val="52"/>
        </w:rPr>
      </w:pPr>
      <w:bookmarkStart w:id="920" w:name="_Toc18483"/>
      <w:bookmarkStart w:id="921" w:name="_Toc8328"/>
      <w:bookmarkStart w:id="922" w:name="_Toc29585"/>
      <w:bookmarkStart w:id="923" w:name="_Toc4583"/>
      <w:bookmarkStart w:id="924" w:name="_Toc9755"/>
      <w:bookmarkStart w:id="925" w:name="_Toc26502"/>
      <w:r>
        <w:rPr>
          <w:rFonts w:hint="eastAsia" w:asciiTheme="minorEastAsia" w:hAnsiTheme="minorEastAsia" w:eastAsiaTheme="minorEastAsia" w:cstheme="minorEastAsia"/>
          <w:sz w:val="44"/>
          <w:szCs w:val="52"/>
        </w:rPr>
        <w:br w:type="page"/>
      </w:r>
    </w:p>
    <w:p w14:paraId="7DC1FD1E">
      <w:pPr>
        <w:pStyle w:val="139"/>
        <w:keepNext w:val="0"/>
        <w:keepLines w:val="0"/>
        <w:widowControl/>
        <w:adjustRightInd w:val="0"/>
        <w:snapToGrid w:val="0"/>
        <w:spacing w:before="0" w:after="50" w:line="360" w:lineRule="auto"/>
        <w:jc w:val="center"/>
        <w:outlineLvl w:val="1"/>
        <w:rPr>
          <w:rFonts w:hint="eastAsia" w:asciiTheme="minorEastAsia" w:hAnsiTheme="minorEastAsia" w:eastAsiaTheme="minorEastAsia" w:cstheme="minorEastAsia"/>
          <w:sz w:val="44"/>
          <w:szCs w:val="52"/>
        </w:rPr>
      </w:pPr>
      <w:r>
        <w:rPr>
          <w:rFonts w:hint="eastAsia" w:asciiTheme="minorEastAsia" w:hAnsiTheme="minorEastAsia" w:eastAsiaTheme="minorEastAsia" w:cstheme="minorEastAsia"/>
          <w:sz w:val="44"/>
          <w:szCs w:val="52"/>
        </w:rPr>
        <w:t>第一部分 合同协议书</w:t>
      </w:r>
      <w:bookmarkEnd w:id="920"/>
      <w:bookmarkEnd w:id="921"/>
      <w:bookmarkEnd w:id="922"/>
      <w:bookmarkEnd w:id="923"/>
      <w:bookmarkEnd w:id="924"/>
      <w:bookmarkEnd w:id="925"/>
    </w:p>
    <w:p w14:paraId="193F705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发包人（全称）：</w:t>
      </w:r>
    </w:p>
    <w:p w14:paraId="4CCC1E8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承包人（全称）：</w:t>
      </w:r>
    </w:p>
    <w:p w14:paraId="539652A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根据《中华人民共和国民法典</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中华人民共和国建筑法》及有关法律规定，遵循平等、自愿、公平和诚实信用的原则，双方就</w:t>
      </w:r>
      <w:r>
        <w:rPr>
          <w:rFonts w:hint="eastAsia" w:asciiTheme="minorEastAsia" w:hAnsiTheme="minorEastAsia" w:eastAsiaTheme="minorEastAsia" w:cstheme="minorEastAsia"/>
          <w:sz w:val="28"/>
          <w:szCs w:val="28"/>
          <w:u w:val="non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（项目名称）</w:t>
      </w:r>
      <w:r>
        <w:rPr>
          <w:rFonts w:hint="eastAsia" w:asciiTheme="minorEastAsia" w:hAnsiTheme="minorEastAsia" w:eastAsiaTheme="minorEastAsia" w:cstheme="minorEastAsia"/>
          <w:sz w:val="28"/>
          <w:szCs w:val="28"/>
        </w:rPr>
        <w:t>有关事项协商一致，共同达成如下协议：</w:t>
      </w:r>
    </w:p>
    <w:p w14:paraId="29742FB7">
      <w:pPr>
        <w:pStyle w:val="14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26" w:name="_Toc18750"/>
      <w:bookmarkStart w:id="927" w:name="_Toc26111"/>
      <w:bookmarkStart w:id="928" w:name="_Toc3496"/>
      <w:bookmarkStart w:id="929" w:name="_Toc16804"/>
      <w:bookmarkStart w:id="930" w:name="_Toc2482"/>
      <w:r>
        <w:rPr>
          <w:rFonts w:hint="eastAsia" w:asciiTheme="minorEastAsia" w:hAnsiTheme="minorEastAsia" w:eastAsiaTheme="minorEastAsia" w:cstheme="minorEastAsia"/>
          <w:b w:val="0"/>
          <w:bCs/>
          <w:sz w:val="28"/>
          <w:szCs w:val="28"/>
        </w:rPr>
        <w:t>一、工程概况</w:t>
      </w:r>
      <w:bookmarkEnd w:id="926"/>
      <w:bookmarkEnd w:id="927"/>
      <w:bookmarkEnd w:id="928"/>
      <w:bookmarkEnd w:id="929"/>
      <w:bookmarkEnd w:id="930"/>
    </w:p>
    <w:p w14:paraId="137A956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1.工程名称：</w:t>
      </w:r>
    </w:p>
    <w:p w14:paraId="20EA638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2.工程地点：</w:t>
      </w:r>
    </w:p>
    <w:p w14:paraId="2633FC5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3.工程审批、核准或备案文号：</w:t>
      </w:r>
    </w:p>
    <w:p w14:paraId="264D8AF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4.资金来源：</w:t>
      </w:r>
    </w:p>
    <w:p w14:paraId="497FAD3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5.工程内容及规模：</w:t>
      </w:r>
    </w:p>
    <w:p w14:paraId="718DAE4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u w:val="single"/>
          <w:lang w:val="en-US"/>
        </w:rPr>
      </w:pPr>
      <w:r>
        <w:rPr>
          <w:rFonts w:hint="eastAsia" w:asciiTheme="minorEastAsia" w:hAnsiTheme="minorEastAsia" w:eastAsiaTheme="minorEastAsia" w:cstheme="minorEastAsia"/>
          <w:sz w:val="28"/>
          <w:szCs w:val="28"/>
        </w:rPr>
        <w:t>6.工程承包范围：</w:t>
      </w:r>
    </w:p>
    <w:p w14:paraId="517A76D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二、合同工期</w:t>
      </w:r>
    </w:p>
    <w:p w14:paraId="3639F21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计划开始工作日期：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以监理单位发布的开工令为准）</w:t>
      </w:r>
    </w:p>
    <w:p w14:paraId="583E602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计划开始现场施工日期：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14:paraId="1A7B13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计划竣工日期：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14:paraId="40EED35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工期总日历天数：</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天，工期总日历天数与根据前述计划日期计算的工期天数不一致的，以工期总日历天数为准。</w:t>
      </w:r>
    </w:p>
    <w:p w14:paraId="067AD884">
      <w:pPr>
        <w:pStyle w:val="140"/>
        <w:keepNext w:val="0"/>
        <w:keepLines w:val="0"/>
        <w:pageBreakBefore w:val="0"/>
        <w:widowControl w:val="0"/>
        <w:numPr>
          <w:ilvl w:val="0"/>
          <w:numId w:val="0"/>
        </w:numPr>
        <w:wordWrap/>
        <w:overflowPunct/>
        <w:topLinePunct w:val="0"/>
        <w:autoSpaceDE/>
        <w:autoSpaceDN/>
        <w:bidi w:val="0"/>
        <w:adjustRightInd/>
        <w:snapToGrid/>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31" w:name="_Toc23418"/>
      <w:bookmarkStart w:id="932" w:name="_Toc19712"/>
      <w:bookmarkStart w:id="933" w:name="_Toc7353"/>
      <w:bookmarkStart w:id="934" w:name="_Toc9553"/>
      <w:bookmarkStart w:id="935" w:name="_Toc25338"/>
      <w:r>
        <w:rPr>
          <w:rFonts w:hint="eastAsia" w:asciiTheme="minorEastAsia" w:hAnsiTheme="minorEastAsia" w:eastAsiaTheme="minorEastAsia" w:cstheme="minorEastAsia"/>
          <w:b w:val="0"/>
          <w:bCs/>
          <w:sz w:val="28"/>
          <w:szCs w:val="28"/>
        </w:rPr>
        <w:t>三、质量标准</w:t>
      </w:r>
      <w:bookmarkEnd w:id="931"/>
      <w:bookmarkEnd w:id="932"/>
      <w:bookmarkEnd w:id="933"/>
      <w:bookmarkEnd w:id="934"/>
      <w:bookmarkEnd w:id="935"/>
    </w:p>
    <w:p w14:paraId="4D6FC2B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工程质量标准：</w:t>
      </w:r>
    </w:p>
    <w:p w14:paraId="2746C7B2">
      <w:pPr>
        <w:pStyle w:val="140"/>
        <w:keepNext w:val="0"/>
        <w:keepLines w:val="0"/>
        <w:pageBreakBefore w:val="0"/>
        <w:widowControl w:val="0"/>
        <w:numPr>
          <w:ilvl w:val="0"/>
          <w:numId w:val="0"/>
        </w:numPr>
        <w:wordWrap/>
        <w:overflowPunct/>
        <w:topLinePunct w:val="0"/>
        <w:autoSpaceDE/>
        <w:autoSpaceDN/>
        <w:bidi w:val="0"/>
        <w:adjustRightInd/>
        <w:snapToGrid/>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36" w:name="_Toc14191"/>
      <w:bookmarkStart w:id="937" w:name="_Toc20989"/>
      <w:bookmarkStart w:id="938" w:name="_Toc17881"/>
      <w:bookmarkStart w:id="939" w:name="_Toc3169"/>
      <w:bookmarkStart w:id="940" w:name="_Toc433"/>
      <w:r>
        <w:rPr>
          <w:rFonts w:hint="eastAsia" w:asciiTheme="minorEastAsia" w:hAnsiTheme="minorEastAsia" w:eastAsiaTheme="minorEastAsia" w:cstheme="minorEastAsia"/>
          <w:b w:val="0"/>
          <w:bCs/>
          <w:sz w:val="28"/>
          <w:szCs w:val="28"/>
        </w:rPr>
        <w:t>四、签约合同价与合同价格形式</w:t>
      </w:r>
      <w:bookmarkEnd w:id="936"/>
      <w:bookmarkEnd w:id="937"/>
      <w:bookmarkEnd w:id="938"/>
      <w:bookmarkEnd w:id="939"/>
      <w:bookmarkEnd w:id="940"/>
    </w:p>
    <w:p w14:paraId="1FDC7522">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1.签约合同价（含税）为：</w:t>
      </w:r>
    </w:p>
    <w:p w14:paraId="455824A4">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人民币（大写</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元）。</w:t>
      </w:r>
    </w:p>
    <w:p w14:paraId="792C2C40">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具体构成详见价格清单。其中： </w:t>
      </w:r>
    </w:p>
    <w:p w14:paraId="7D270C61">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（1）设计费（含税）：</w:t>
      </w:r>
    </w:p>
    <w:p w14:paraId="2B896C12">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人民币（大写</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元）；适用税率：</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%，税金为人民币（大写</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元）； </w:t>
      </w:r>
    </w:p>
    <w:p w14:paraId="273BC381">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）建筑安装工程费（含税）：</w:t>
      </w:r>
    </w:p>
    <w:p w14:paraId="087010D2">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人民币（大写</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元）；适用税率：</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%，税金为人民币（大写</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元）； </w:t>
      </w:r>
    </w:p>
    <w:p w14:paraId="68D68212">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2.合同价格形式：</w:t>
      </w:r>
    </w:p>
    <w:p w14:paraId="75ADF1B3">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合同价格形式为总价合同，除根据合同约定的在工程实施过程中需进行增减的款项外，合同价格不予调整，但合同当事人另有约定的除外。</w:t>
      </w:r>
    </w:p>
    <w:p w14:paraId="1DFF4F99">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合同当事人对合同价格形式的其他约定：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A7072B7">
      <w:pPr>
        <w:pStyle w:val="140"/>
        <w:keepNext w:val="0"/>
        <w:keepLines w:val="0"/>
        <w:pageBreakBefore w:val="0"/>
        <w:widowControl w:val="0"/>
        <w:numPr>
          <w:ilvl w:val="0"/>
          <w:numId w:val="0"/>
        </w:numPr>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41" w:name="_Toc13410"/>
      <w:bookmarkStart w:id="942" w:name="_Toc21306"/>
      <w:bookmarkStart w:id="943" w:name="_Toc27960"/>
      <w:bookmarkStart w:id="944" w:name="_Toc25461"/>
      <w:bookmarkStart w:id="945" w:name="_Toc1549"/>
      <w:r>
        <w:rPr>
          <w:rFonts w:hint="eastAsia" w:asciiTheme="minorEastAsia" w:hAnsiTheme="minorEastAsia" w:eastAsiaTheme="minorEastAsia" w:cstheme="minorEastAsia"/>
          <w:b w:val="0"/>
          <w:bCs/>
          <w:sz w:val="28"/>
          <w:szCs w:val="28"/>
        </w:rPr>
        <w:t>五、工程总承包项目经理</w:t>
      </w:r>
      <w:bookmarkEnd w:id="941"/>
      <w:bookmarkEnd w:id="942"/>
      <w:bookmarkEnd w:id="943"/>
      <w:bookmarkEnd w:id="944"/>
      <w:bookmarkEnd w:id="945"/>
    </w:p>
    <w:p w14:paraId="4F82B133">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工程总承包项目经理：</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68BE019">
      <w:pPr>
        <w:pStyle w:val="140"/>
        <w:keepNext w:val="0"/>
        <w:keepLines w:val="0"/>
        <w:pageBreakBefore w:val="0"/>
        <w:widowControl w:val="0"/>
        <w:numPr>
          <w:ilvl w:val="0"/>
          <w:numId w:val="0"/>
        </w:numPr>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46" w:name="_Toc29007"/>
      <w:bookmarkStart w:id="947" w:name="_Toc12564"/>
      <w:bookmarkStart w:id="948" w:name="_Toc8821"/>
      <w:bookmarkStart w:id="949" w:name="_Toc27658"/>
      <w:bookmarkStart w:id="950" w:name="_Toc11307"/>
      <w:r>
        <w:rPr>
          <w:rFonts w:hint="eastAsia" w:asciiTheme="minorEastAsia" w:hAnsiTheme="minorEastAsia" w:eastAsiaTheme="minorEastAsia" w:cstheme="minorEastAsia"/>
          <w:b w:val="0"/>
          <w:bCs/>
          <w:sz w:val="28"/>
          <w:szCs w:val="28"/>
        </w:rPr>
        <w:t>六、合同文件构成</w:t>
      </w:r>
      <w:bookmarkEnd w:id="946"/>
      <w:bookmarkEnd w:id="947"/>
      <w:bookmarkEnd w:id="948"/>
      <w:bookmarkEnd w:id="949"/>
      <w:bookmarkEnd w:id="950"/>
    </w:p>
    <w:p w14:paraId="7C9FB7EC">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本协议书与下列文件一起构成合同文件： </w:t>
      </w:r>
    </w:p>
    <w:p w14:paraId="09A84ACD">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（1）中标通知书（如有）；</w:t>
      </w:r>
    </w:p>
    <w:p w14:paraId="52CEFDD6">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（2）投标函（如有）；</w:t>
      </w:r>
    </w:p>
    <w:p w14:paraId="5996650D">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（3）专用合同条件及《发包人要求》等附件；</w:t>
      </w:r>
    </w:p>
    <w:p w14:paraId="48F93E3A">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（4）通用合同条件；</w:t>
      </w:r>
    </w:p>
    <w:p w14:paraId="0C36EBC7">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5）技术标准和要求</w:t>
      </w:r>
    </w:p>
    <w:p w14:paraId="60C206CF">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图纸（</w:t>
      </w:r>
      <w:r>
        <w:rPr>
          <w:rFonts w:hint="eastAsia" w:asciiTheme="minorEastAsia" w:hAnsiTheme="minorEastAsia" w:eastAsiaTheme="minorEastAsia" w:cstheme="minorEastAsia"/>
          <w:sz w:val="28"/>
          <w:szCs w:val="28"/>
        </w:rPr>
        <w:t>如有</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sz w:val="28"/>
          <w:szCs w:val="28"/>
        </w:rPr>
        <w:t xml:space="preserve">； </w:t>
      </w:r>
    </w:p>
    <w:p w14:paraId="3F24BABD">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7</w:t>
      </w:r>
      <w:r>
        <w:rPr>
          <w:rFonts w:hint="eastAsia" w:asciiTheme="minorEastAsia" w:hAnsiTheme="minorEastAsia" w:eastAsiaTheme="minorEastAsia" w:cstheme="minorEastAsia"/>
          <w:sz w:val="28"/>
          <w:szCs w:val="28"/>
        </w:rPr>
        <w:t>）价格清单</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sz w:val="28"/>
          <w:szCs w:val="28"/>
        </w:rPr>
        <w:t>如有</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sz w:val="28"/>
          <w:szCs w:val="28"/>
        </w:rPr>
        <w:t>；</w:t>
      </w:r>
    </w:p>
    <w:p w14:paraId="1DAAA1E4">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）双方约定的其他合同文件。</w:t>
      </w:r>
    </w:p>
    <w:p w14:paraId="1098D222">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上述各项合同文件包括双方就该项合同文件所作出的补充和修改，属于同</w:t>
      </w:r>
      <w:r>
        <w:rPr>
          <w:rFonts w:hint="eastAsia" w:asciiTheme="minorEastAsia" w:hAnsiTheme="minorEastAsia" w:eastAsiaTheme="minorEastAsia" w:cstheme="minorEastAsia"/>
          <w:sz w:val="28"/>
          <w:szCs w:val="28"/>
          <w:lang w:eastAsia="zh-CN"/>
        </w:rPr>
        <w:t>一项</w:t>
      </w:r>
      <w:r>
        <w:rPr>
          <w:rFonts w:hint="eastAsia" w:asciiTheme="minorEastAsia" w:hAnsiTheme="minorEastAsia" w:eastAsiaTheme="minorEastAsia" w:cstheme="minorEastAsia"/>
          <w:sz w:val="28"/>
          <w:szCs w:val="28"/>
        </w:rPr>
        <w:t>内容的合同文件应以最新签署的为准。专用合同条件及其附件须经合同当事人签字或盖章。</w:t>
      </w:r>
    </w:p>
    <w:p w14:paraId="03CB2074">
      <w:pPr>
        <w:pStyle w:val="140"/>
        <w:keepNext w:val="0"/>
        <w:keepLines w:val="0"/>
        <w:pageBreakBefore w:val="0"/>
        <w:widowControl w:val="0"/>
        <w:numPr>
          <w:ilvl w:val="0"/>
          <w:numId w:val="0"/>
        </w:numPr>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51" w:name="_Toc19757"/>
      <w:bookmarkStart w:id="952" w:name="_Toc30708"/>
      <w:bookmarkStart w:id="953" w:name="_Toc19646"/>
      <w:bookmarkStart w:id="954" w:name="_Toc6030"/>
      <w:bookmarkStart w:id="955" w:name="_Toc32518"/>
      <w:r>
        <w:rPr>
          <w:rFonts w:hint="eastAsia" w:asciiTheme="minorEastAsia" w:hAnsiTheme="minorEastAsia" w:eastAsiaTheme="minorEastAsia" w:cstheme="minorEastAsia"/>
          <w:b w:val="0"/>
          <w:bCs/>
          <w:sz w:val="28"/>
          <w:szCs w:val="28"/>
        </w:rPr>
        <w:t>七、承诺</w:t>
      </w:r>
      <w:bookmarkEnd w:id="951"/>
      <w:bookmarkEnd w:id="952"/>
      <w:bookmarkEnd w:id="953"/>
      <w:bookmarkEnd w:id="954"/>
      <w:bookmarkEnd w:id="955"/>
    </w:p>
    <w:p w14:paraId="49211A58">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1.发包人承诺按照法律规定履行项目审批手续、筹集工程建设资金并按照合同约定的期限和方式支付合同价款。</w:t>
      </w:r>
    </w:p>
    <w:p w14:paraId="02BCE801">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2.承包人承诺按照法律规定及合同约定组织完成工程的设计、采购和施工等工作，确保工程质量和安全，不进行转包及违法分包，并在缺陷责任期及保修期内承担相应的工程维修责任。</w:t>
      </w:r>
    </w:p>
    <w:p w14:paraId="7B886D8E">
      <w:pPr>
        <w:pStyle w:val="140"/>
        <w:keepNext w:val="0"/>
        <w:keepLines w:val="0"/>
        <w:pageBreakBefore w:val="0"/>
        <w:widowControl w:val="0"/>
        <w:numPr>
          <w:ilvl w:val="0"/>
          <w:numId w:val="0"/>
        </w:numPr>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56" w:name="_Toc10106"/>
      <w:bookmarkStart w:id="957" w:name="_Toc18014"/>
      <w:bookmarkStart w:id="958" w:name="_Toc4106"/>
      <w:bookmarkStart w:id="959" w:name="_Toc13946"/>
      <w:bookmarkStart w:id="960" w:name="_Toc17320"/>
      <w:r>
        <w:rPr>
          <w:rFonts w:hint="eastAsia" w:asciiTheme="minorEastAsia" w:hAnsiTheme="minorEastAsia" w:eastAsiaTheme="minorEastAsia" w:cstheme="minorEastAsia"/>
          <w:b w:val="0"/>
          <w:bCs/>
          <w:sz w:val="28"/>
          <w:szCs w:val="28"/>
        </w:rPr>
        <w:t>八、订立时间</w:t>
      </w:r>
      <w:bookmarkEnd w:id="956"/>
      <w:bookmarkEnd w:id="957"/>
      <w:bookmarkEnd w:id="958"/>
      <w:bookmarkEnd w:id="959"/>
      <w:bookmarkEnd w:id="960"/>
    </w:p>
    <w:p w14:paraId="444D8F4F">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日订立。</w:t>
      </w:r>
    </w:p>
    <w:p w14:paraId="6E4F5C88">
      <w:pPr>
        <w:pStyle w:val="140"/>
        <w:keepNext w:val="0"/>
        <w:keepLines w:val="0"/>
        <w:pageBreakBefore w:val="0"/>
        <w:widowControl w:val="0"/>
        <w:numPr>
          <w:ilvl w:val="0"/>
          <w:numId w:val="0"/>
        </w:numPr>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61" w:name="_Toc2162"/>
      <w:bookmarkStart w:id="962" w:name="_Toc20436"/>
      <w:bookmarkStart w:id="963" w:name="_Toc15030"/>
      <w:bookmarkStart w:id="964" w:name="_Toc15904"/>
      <w:bookmarkStart w:id="965" w:name="_Toc8698"/>
      <w:r>
        <w:rPr>
          <w:rFonts w:hint="eastAsia" w:asciiTheme="minorEastAsia" w:hAnsiTheme="minorEastAsia" w:eastAsiaTheme="minorEastAsia" w:cstheme="minorEastAsia"/>
          <w:b w:val="0"/>
          <w:bCs/>
          <w:sz w:val="28"/>
          <w:szCs w:val="28"/>
        </w:rPr>
        <w:t>九、订立地点</w:t>
      </w:r>
      <w:bookmarkEnd w:id="961"/>
      <w:bookmarkEnd w:id="962"/>
      <w:bookmarkEnd w:id="963"/>
      <w:bookmarkEnd w:id="964"/>
      <w:bookmarkEnd w:id="965"/>
    </w:p>
    <w:p w14:paraId="04805084">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本合同在</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订立。</w:t>
      </w:r>
    </w:p>
    <w:p w14:paraId="44281176">
      <w:pPr>
        <w:pStyle w:val="140"/>
        <w:keepNext w:val="0"/>
        <w:keepLines w:val="0"/>
        <w:pageBreakBefore w:val="0"/>
        <w:widowControl w:val="0"/>
        <w:numPr>
          <w:ilvl w:val="0"/>
          <w:numId w:val="0"/>
        </w:numPr>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66" w:name="_Toc2707"/>
      <w:bookmarkStart w:id="967" w:name="_Toc2942"/>
      <w:bookmarkStart w:id="968" w:name="_Toc17160"/>
      <w:bookmarkStart w:id="969" w:name="_Toc3485"/>
      <w:bookmarkStart w:id="970" w:name="_Toc12891"/>
      <w:r>
        <w:rPr>
          <w:rFonts w:hint="eastAsia" w:asciiTheme="minorEastAsia" w:hAnsiTheme="minorEastAsia" w:eastAsiaTheme="minorEastAsia" w:cstheme="minorEastAsia"/>
          <w:b w:val="0"/>
          <w:bCs/>
          <w:sz w:val="28"/>
          <w:szCs w:val="28"/>
        </w:rPr>
        <w:t>十、合同生效</w:t>
      </w:r>
      <w:bookmarkEnd w:id="966"/>
      <w:bookmarkEnd w:id="967"/>
      <w:bookmarkEnd w:id="968"/>
      <w:bookmarkEnd w:id="969"/>
      <w:bookmarkEnd w:id="970"/>
    </w:p>
    <w:p w14:paraId="6F2830E7">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本合同经双方签字或盖章后成立，并自</w:t>
      </w:r>
      <w:r>
        <w:rPr>
          <w:rFonts w:hint="eastAsia" w:asciiTheme="minorEastAsia" w:hAnsiTheme="minorEastAsia" w:eastAsiaTheme="minorEastAsia" w:cstheme="minorEastAsia"/>
          <w:sz w:val="28"/>
          <w:szCs w:val="28"/>
          <w:u w:val="single"/>
        </w:rPr>
        <w:t>签字</w:t>
      </w:r>
      <w:r>
        <w:rPr>
          <w:rFonts w:hint="eastAsia" w:asciiTheme="minorEastAsia" w:hAnsiTheme="minorEastAsia" w:eastAsiaTheme="minorEastAsia" w:cstheme="minorEastAsia"/>
          <w:sz w:val="28"/>
          <w:szCs w:val="28"/>
          <w:u w:val="single"/>
          <w:lang w:val="en-US" w:eastAsia="zh-CN"/>
        </w:rPr>
        <w:t>或</w:t>
      </w:r>
      <w:r>
        <w:rPr>
          <w:rFonts w:hint="eastAsia" w:asciiTheme="minorEastAsia" w:hAnsiTheme="minorEastAsia" w:eastAsiaTheme="minorEastAsia" w:cstheme="minorEastAsia"/>
          <w:sz w:val="28"/>
          <w:szCs w:val="28"/>
          <w:u w:val="single"/>
        </w:rPr>
        <w:t>盖章</w:t>
      </w:r>
      <w:r>
        <w:rPr>
          <w:rFonts w:hint="eastAsia" w:asciiTheme="minorEastAsia" w:hAnsiTheme="minorEastAsia" w:eastAsiaTheme="minorEastAsia" w:cstheme="minorEastAsia"/>
          <w:sz w:val="28"/>
          <w:szCs w:val="28"/>
          <w:u w:val="single"/>
          <w:lang w:val="en-US" w:eastAsia="zh-CN"/>
        </w:rPr>
        <w:t>之日起</w:t>
      </w:r>
      <w:r>
        <w:rPr>
          <w:rFonts w:hint="eastAsia" w:asciiTheme="minorEastAsia" w:hAnsiTheme="minorEastAsia" w:eastAsiaTheme="minorEastAsia" w:cstheme="minorEastAsia"/>
          <w:sz w:val="28"/>
          <w:szCs w:val="28"/>
        </w:rPr>
        <w:t>生效。</w:t>
      </w:r>
    </w:p>
    <w:p w14:paraId="005FCF34">
      <w:pPr>
        <w:pStyle w:val="140"/>
        <w:keepNext w:val="0"/>
        <w:keepLines w:val="0"/>
        <w:pageBreakBefore w:val="0"/>
        <w:widowControl w:val="0"/>
        <w:numPr>
          <w:ilvl w:val="0"/>
          <w:numId w:val="0"/>
        </w:numPr>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b w:val="0"/>
          <w:bCs/>
          <w:sz w:val="28"/>
          <w:szCs w:val="28"/>
        </w:rPr>
      </w:pPr>
      <w:bookmarkStart w:id="971" w:name="_Toc11940"/>
      <w:bookmarkStart w:id="972" w:name="_Toc6116"/>
      <w:bookmarkStart w:id="973" w:name="_Toc5535"/>
      <w:bookmarkStart w:id="974" w:name="_Toc4381"/>
      <w:bookmarkStart w:id="975" w:name="_Toc19498"/>
      <w:r>
        <w:rPr>
          <w:rFonts w:hint="eastAsia" w:asciiTheme="minorEastAsia" w:hAnsiTheme="minorEastAsia" w:eastAsiaTheme="minorEastAsia" w:cstheme="minorEastAsia"/>
          <w:b w:val="0"/>
          <w:bCs/>
          <w:sz w:val="28"/>
          <w:szCs w:val="28"/>
        </w:rPr>
        <w:t>十一、合同份数</w:t>
      </w:r>
      <w:bookmarkEnd w:id="971"/>
      <w:bookmarkEnd w:id="972"/>
      <w:bookmarkEnd w:id="973"/>
      <w:bookmarkEnd w:id="974"/>
      <w:bookmarkEnd w:id="975"/>
    </w:p>
    <w:p w14:paraId="0785F388">
      <w:pPr>
        <w:keepNext w:val="0"/>
        <w:keepLines w:val="0"/>
        <w:pageBreakBefore w:val="0"/>
        <w:widowControl w:val="0"/>
        <w:wordWrap/>
        <w:overflowPunct/>
        <w:topLinePunct w:val="0"/>
        <w:autoSpaceDE/>
        <w:autoSpaceDN/>
        <w:bidi w:val="0"/>
        <w:adjustRightInd/>
        <w:snapToGrid/>
        <w:spacing w:line="360" w:lineRule="auto"/>
        <w:ind w:left="0" w:leftChars="0" w:firstLine="0" w:firstLineChars="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本合同一式</w:t>
      </w:r>
      <w:r>
        <w:rPr>
          <w:rFonts w:hint="eastAsia" w:asciiTheme="minorEastAsia" w:hAnsiTheme="minorEastAsia" w:eastAsiaTheme="minorEastAsia" w:cstheme="minorEastAsia"/>
          <w:sz w:val="28"/>
          <w:szCs w:val="28"/>
          <w:u w:val="single"/>
          <w:lang w:val="en-US" w:eastAsia="zh-CN"/>
        </w:rPr>
        <w:t>六</w:t>
      </w:r>
      <w:r>
        <w:rPr>
          <w:rFonts w:hint="eastAsia" w:asciiTheme="minorEastAsia" w:hAnsiTheme="minorEastAsia" w:eastAsiaTheme="minorEastAsia" w:cstheme="minorEastAsia"/>
          <w:sz w:val="28"/>
          <w:szCs w:val="28"/>
        </w:rPr>
        <w:t>份，均具有同等法律效力，发包人执</w:t>
      </w:r>
      <w:r>
        <w:rPr>
          <w:rFonts w:hint="eastAsia" w:asciiTheme="minorEastAsia" w:hAnsiTheme="minorEastAsia" w:eastAsiaTheme="minorEastAsia" w:cstheme="minorEastAsia"/>
          <w:sz w:val="28"/>
          <w:szCs w:val="28"/>
          <w:u w:val="single"/>
          <w:lang w:val="en-US" w:eastAsia="zh-CN"/>
        </w:rPr>
        <w:t>三</w:t>
      </w:r>
      <w:r>
        <w:rPr>
          <w:rFonts w:hint="eastAsia" w:asciiTheme="minorEastAsia" w:hAnsiTheme="minorEastAsia" w:eastAsiaTheme="minorEastAsia" w:cstheme="minorEastAsia"/>
          <w:sz w:val="28"/>
          <w:szCs w:val="28"/>
        </w:rPr>
        <w:t>份，承包人执</w:t>
      </w:r>
      <w:r>
        <w:rPr>
          <w:rFonts w:hint="eastAsia" w:asciiTheme="minorEastAsia" w:hAnsiTheme="minorEastAsia" w:eastAsiaTheme="minorEastAsia" w:cstheme="minorEastAsia"/>
          <w:sz w:val="28"/>
          <w:szCs w:val="28"/>
          <w:u w:val="single"/>
          <w:lang w:val="en-US" w:eastAsia="zh-CN"/>
        </w:rPr>
        <w:t>三</w:t>
      </w:r>
      <w:r>
        <w:rPr>
          <w:rFonts w:hint="eastAsia" w:asciiTheme="minorEastAsia" w:hAnsiTheme="minorEastAsia" w:eastAsiaTheme="minorEastAsia" w:cstheme="minorEastAsia"/>
          <w:sz w:val="28"/>
          <w:szCs w:val="28"/>
        </w:rPr>
        <w:t>份。</w:t>
      </w:r>
    </w:p>
    <w:p w14:paraId="50F63F55">
      <w:pPr>
        <w:wordWrap/>
        <w:topLinePunct w:val="0"/>
        <w:ind w:firstLine="600"/>
        <w:outlineLvl w:val="9"/>
        <w:rPr>
          <w:rFonts w:hint="eastAsia" w:asciiTheme="minorEastAsia" w:hAnsiTheme="minorEastAsia" w:eastAsiaTheme="minorEastAsia" w:cstheme="minorEastAsia"/>
          <w:sz w:val="28"/>
          <w:szCs w:val="28"/>
        </w:rPr>
      </w:pPr>
    </w:p>
    <w:p w14:paraId="07713899">
      <w:pPr>
        <w:wordWrap/>
        <w:topLinePunct w:val="0"/>
        <w:ind w:firstLine="600"/>
        <w:outlineLvl w:val="9"/>
        <w:rPr>
          <w:rFonts w:hint="eastAsia" w:asciiTheme="minorEastAsia" w:hAnsiTheme="minorEastAsia" w:eastAsiaTheme="minorEastAsia" w:cstheme="minorEastAsia"/>
          <w:sz w:val="28"/>
          <w:szCs w:val="28"/>
        </w:rPr>
      </w:pPr>
    </w:p>
    <w:tbl>
      <w:tblPr>
        <w:tblStyle w:val="45"/>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3A4FC024">
        <w:tblPrEx>
          <w:tblCellMar>
            <w:top w:w="0" w:type="dxa"/>
            <w:left w:w="108" w:type="dxa"/>
            <w:bottom w:w="0" w:type="dxa"/>
            <w:right w:w="108" w:type="dxa"/>
          </w:tblCellMar>
        </w:tblPrEx>
        <w:tc>
          <w:tcPr>
            <w:tcW w:w="4507" w:type="dxa"/>
            <w:noWrap w:val="0"/>
            <w:vAlign w:val="top"/>
          </w:tcPr>
          <w:p w14:paraId="34B3A981">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发包人：（公章）</w:t>
            </w:r>
          </w:p>
        </w:tc>
        <w:tc>
          <w:tcPr>
            <w:tcW w:w="4565" w:type="dxa"/>
            <w:noWrap w:val="0"/>
            <w:vAlign w:val="top"/>
          </w:tcPr>
          <w:p w14:paraId="28FF4E81">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承包人：（公章）</w:t>
            </w:r>
          </w:p>
        </w:tc>
      </w:tr>
      <w:tr w14:paraId="73A14164">
        <w:tblPrEx>
          <w:tblCellMar>
            <w:top w:w="0" w:type="dxa"/>
            <w:left w:w="108" w:type="dxa"/>
            <w:bottom w:w="0" w:type="dxa"/>
            <w:right w:w="108" w:type="dxa"/>
          </w:tblCellMar>
        </w:tblPrEx>
        <w:tc>
          <w:tcPr>
            <w:tcW w:w="4507" w:type="dxa"/>
            <w:noWrap w:val="0"/>
            <w:vAlign w:val="top"/>
          </w:tcPr>
          <w:p w14:paraId="4319A446">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法定代表人或其委托代理人：</w:t>
            </w:r>
          </w:p>
          <w:p w14:paraId="0C0C8AF5">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（签字）</w:t>
            </w:r>
          </w:p>
          <w:p w14:paraId="5EB5CFB1">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p>
        </w:tc>
        <w:tc>
          <w:tcPr>
            <w:tcW w:w="4565" w:type="dxa"/>
            <w:noWrap w:val="0"/>
            <w:vAlign w:val="top"/>
          </w:tcPr>
          <w:p w14:paraId="0084E744">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法定代表人或其委托代理人：</w:t>
            </w:r>
          </w:p>
          <w:p w14:paraId="60964B5B">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（签字）</w:t>
            </w:r>
          </w:p>
          <w:p w14:paraId="77C75B1C">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p>
        </w:tc>
      </w:tr>
      <w:tr w14:paraId="5B78FC25">
        <w:tblPrEx>
          <w:tblCellMar>
            <w:top w:w="0" w:type="dxa"/>
            <w:left w:w="108" w:type="dxa"/>
            <w:bottom w:w="0" w:type="dxa"/>
            <w:right w:w="108" w:type="dxa"/>
          </w:tblCellMar>
        </w:tblPrEx>
        <w:tc>
          <w:tcPr>
            <w:tcW w:w="4507" w:type="dxa"/>
            <w:noWrap w:val="0"/>
            <w:vAlign w:val="top"/>
          </w:tcPr>
          <w:p w14:paraId="4E9526E4">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统一社会信用代码：</w:t>
            </w:r>
            <w:r>
              <w:rPr>
                <w:rFonts w:hint="eastAsia" w:asciiTheme="minorEastAsia" w:hAnsiTheme="minorEastAsia" w:eastAsiaTheme="minorEastAsia" w:cstheme="minorEastAsia"/>
                <w:kern w:val="0"/>
                <w:sz w:val="28"/>
                <w:szCs w:val="28"/>
                <w:u w:val="single"/>
              </w:rPr>
              <w:t xml:space="preserve">            </w:t>
            </w:r>
          </w:p>
          <w:p w14:paraId="7E3D5312">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地址：</w:t>
            </w:r>
            <w:r>
              <w:rPr>
                <w:rFonts w:hint="eastAsia" w:asciiTheme="minorEastAsia" w:hAnsiTheme="minorEastAsia" w:eastAsiaTheme="minorEastAsia" w:cstheme="minorEastAsia"/>
                <w:sz w:val="28"/>
                <w:szCs w:val="28"/>
                <w:u w:val="single"/>
                <w:lang w:val="en-US" w:eastAsia="zh-CN"/>
              </w:rPr>
              <w:t xml:space="preserve">                       </w:t>
            </w:r>
          </w:p>
          <w:p w14:paraId="5E58E944">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邮政编码：</w:t>
            </w:r>
            <w:r>
              <w:rPr>
                <w:rFonts w:hint="eastAsia" w:asciiTheme="minorEastAsia" w:hAnsiTheme="minorEastAsia" w:eastAsiaTheme="minorEastAsia" w:cstheme="minorEastAsia"/>
                <w:sz w:val="28"/>
                <w:szCs w:val="28"/>
                <w:u w:val="single"/>
                <w:lang w:val="en-US" w:eastAsia="zh-CN"/>
              </w:rPr>
              <w:t xml:space="preserve">                   </w:t>
            </w:r>
          </w:p>
          <w:p w14:paraId="3BF7A56B">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kern w:val="0"/>
                <w:sz w:val="28"/>
                <w:szCs w:val="28"/>
                <w:u w:val="single"/>
              </w:rPr>
              <w:t xml:space="preserve">                 </w:t>
            </w:r>
          </w:p>
          <w:p w14:paraId="79B2035E">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委托代理人：</w:t>
            </w:r>
            <w:r>
              <w:rPr>
                <w:rFonts w:hint="eastAsia" w:asciiTheme="minorEastAsia" w:hAnsiTheme="minorEastAsia" w:eastAsiaTheme="minorEastAsia" w:cstheme="minorEastAsia"/>
                <w:kern w:val="0"/>
                <w:sz w:val="28"/>
                <w:szCs w:val="28"/>
                <w:u w:val="single"/>
              </w:rPr>
              <w:t xml:space="preserve">                 </w:t>
            </w:r>
          </w:p>
          <w:p w14:paraId="5A60A614">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电话：</w:t>
            </w:r>
            <w:r>
              <w:rPr>
                <w:rFonts w:hint="eastAsia" w:asciiTheme="minorEastAsia" w:hAnsiTheme="minorEastAsia" w:eastAsiaTheme="minorEastAsia" w:cstheme="minorEastAsia"/>
                <w:sz w:val="28"/>
                <w:szCs w:val="28"/>
                <w:u w:val="single"/>
                <w:lang w:val="en-US" w:eastAsia="zh-CN"/>
              </w:rPr>
              <w:t xml:space="preserve">                      </w:t>
            </w:r>
          </w:p>
          <w:p w14:paraId="78ABE61B">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传真： </w:t>
            </w:r>
            <w:r>
              <w:rPr>
                <w:rFonts w:hint="eastAsia" w:asciiTheme="minorEastAsia" w:hAnsiTheme="minorEastAsia" w:eastAsiaTheme="minorEastAsia" w:cstheme="minorEastAsia"/>
                <w:kern w:val="0"/>
                <w:sz w:val="28"/>
                <w:szCs w:val="28"/>
                <w:u w:val="single"/>
              </w:rPr>
              <w:t xml:space="preserve">                      </w:t>
            </w:r>
          </w:p>
          <w:p w14:paraId="2483A2FE">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r>
              <w:rPr>
                <w:rFonts w:hint="eastAsia" w:asciiTheme="minorEastAsia" w:hAnsiTheme="minorEastAsia" w:eastAsiaTheme="minorEastAsia" w:cstheme="minorEastAsia"/>
                <w:kern w:val="0"/>
                <w:sz w:val="28"/>
                <w:szCs w:val="28"/>
                <w:u w:val="single"/>
              </w:rPr>
              <w:t xml:space="preserve">                    </w:t>
            </w:r>
          </w:p>
          <w:p w14:paraId="6EF82C43">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开户银行：</w:t>
            </w:r>
            <w:r>
              <w:rPr>
                <w:rFonts w:hint="eastAsia" w:asciiTheme="minorEastAsia" w:hAnsiTheme="minorEastAsia" w:eastAsiaTheme="minorEastAsia" w:cstheme="minorEastAsia"/>
                <w:kern w:val="0"/>
                <w:sz w:val="28"/>
                <w:szCs w:val="28"/>
                <w:u w:val="single"/>
              </w:rPr>
              <w:t xml:space="preserve">                   </w:t>
            </w:r>
          </w:p>
          <w:p w14:paraId="3D1CD7BC">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账号：</w:t>
            </w:r>
            <w:r>
              <w:rPr>
                <w:rFonts w:hint="eastAsia" w:asciiTheme="minorEastAsia" w:hAnsiTheme="minorEastAsia" w:eastAsiaTheme="minorEastAsia" w:cstheme="minorEastAsia"/>
                <w:kern w:val="0"/>
                <w:sz w:val="28"/>
                <w:szCs w:val="28"/>
                <w:u w:val="single"/>
              </w:rPr>
              <w:t xml:space="preserve">                       </w:t>
            </w:r>
          </w:p>
        </w:tc>
        <w:tc>
          <w:tcPr>
            <w:tcW w:w="4565" w:type="dxa"/>
            <w:noWrap w:val="0"/>
            <w:vAlign w:val="top"/>
          </w:tcPr>
          <w:p w14:paraId="319607B0">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统一社会信用代码：</w:t>
            </w:r>
            <w:r>
              <w:rPr>
                <w:rFonts w:hint="eastAsia" w:asciiTheme="minorEastAsia" w:hAnsiTheme="minorEastAsia" w:eastAsiaTheme="minorEastAsia" w:cstheme="minorEastAsia"/>
                <w:kern w:val="0"/>
                <w:sz w:val="28"/>
                <w:szCs w:val="28"/>
                <w:u w:val="single"/>
              </w:rPr>
              <w:t xml:space="preserve">            </w:t>
            </w:r>
          </w:p>
          <w:p w14:paraId="0E86AA8B">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地址：</w:t>
            </w:r>
            <w:r>
              <w:rPr>
                <w:rFonts w:hint="eastAsia" w:asciiTheme="minorEastAsia" w:hAnsiTheme="minorEastAsia" w:eastAsiaTheme="minorEastAsia" w:cstheme="minorEastAsia"/>
                <w:kern w:val="0"/>
                <w:sz w:val="28"/>
                <w:szCs w:val="28"/>
                <w:u w:val="single"/>
              </w:rPr>
              <w:t xml:space="preserve">                        </w:t>
            </w:r>
          </w:p>
          <w:p w14:paraId="660DF9EA">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邮政编码：</w:t>
            </w:r>
            <w:r>
              <w:rPr>
                <w:rFonts w:hint="eastAsia" w:asciiTheme="minorEastAsia" w:hAnsiTheme="minorEastAsia" w:eastAsiaTheme="minorEastAsia" w:cstheme="minorEastAsia"/>
                <w:kern w:val="0"/>
                <w:sz w:val="28"/>
                <w:szCs w:val="28"/>
                <w:u w:val="single"/>
              </w:rPr>
              <w:t xml:space="preserve">                      </w:t>
            </w:r>
          </w:p>
          <w:p w14:paraId="14141F90">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kern w:val="0"/>
                <w:sz w:val="28"/>
                <w:szCs w:val="28"/>
                <w:u w:val="single"/>
              </w:rPr>
              <w:t xml:space="preserve">                  </w:t>
            </w:r>
          </w:p>
          <w:p w14:paraId="2B58EC49">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委托代理人：</w:t>
            </w:r>
            <w:r>
              <w:rPr>
                <w:rFonts w:hint="eastAsia" w:asciiTheme="minorEastAsia" w:hAnsiTheme="minorEastAsia" w:eastAsiaTheme="minorEastAsia" w:cstheme="minorEastAsia"/>
                <w:kern w:val="0"/>
                <w:sz w:val="28"/>
                <w:szCs w:val="28"/>
                <w:u w:val="single"/>
              </w:rPr>
              <w:t xml:space="preserve">                 </w:t>
            </w:r>
          </w:p>
          <w:p w14:paraId="73684080">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电话：</w:t>
            </w:r>
            <w:r>
              <w:rPr>
                <w:rFonts w:hint="eastAsia" w:asciiTheme="minorEastAsia" w:hAnsiTheme="minorEastAsia" w:eastAsiaTheme="minorEastAsia" w:cstheme="minorEastAsia"/>
                <w:kern w:val="0"/>
                <w:sz w:val="28"/>
                <w:szCs w:val="28"/>
                <w:u w:val="single"/>
              </w:rPr>
              <w:t xml:space="preserve">                       </w:t>
            </w:r>
          </w:p>
          <w:p w14:paraId="16CB7CFE">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传真：</w:t>
            </w:r>
            <w:r>
              <w:rPr>
                <w:rFonts w:hint="eastAsia" w:asciiTheme="minorEastAsia" w:hAnsiTheme="minorEastAsia" w:eastAsiaTheme="minorEastAsia" w:cstheme="minorEastAsia"/>
                <w:kern w:val="0"/>
                <w:sz w:val="28"/>
                <w:szCs w:val="28"/>
                <w:u w:val="single"/>
              </w:rPr>
              <w:t xml:space="preserve">                       </w:t>
            </w:r>
          </w:p>
          <w:p w14:paraId="05D2836E">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r>
              <w:rPr>
                <w:rFonts w:hint="eastAsia" w:asciiTheme="minorEastAsia" w:hAnsiTheme="minorEastAsia" w:eastAsiaTheme="minorEastAsia" w:cstheme="minorEastAsia"/>
                <w:kern w:val="0"/>
                <w:sz w:val="28"/>
                <w:szCs w:val="28"/>
                <w:u w:val="single"/>
              </w:rPr>
              <w:t xml:space="preserve">                   </w:t>
            </w:r>
          </w:p>
          <w:p w14:paraId="1F51AA46">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开户银行：</w:t>
            </w:r>
            <w:r>
              <w:rPr>
                <w:rFonts w:hint="eastAsia" w:asciiTheme="minorEastAsia" w:hAnsiTheme="minorEastAsia" w:eastAsiaTheme="minorEastAsia" w:cstheme="minorEastAsia"/>
                <w:kern w:val="0"/>
                <w:sz w:val="28"/>
                <w:szCs w:val="28"/>
                <w:u w:val="single"/>
              </w:rPr>
              <w:t xml:space="preserve">                   </w:t>
            </w:r>
          </w:p>
          <w:p w14:paraId="737D1F51">
            <w:pPr>
              <w:pStyle w:val="141"/>
              <w:framePr w:hSpace="0" w:wrap="auto" w:vAnchor="margin" w:hAnchor="text" w:yAlign="inline"/>
              <w:spacing w:after="50" w:line="360" w:lineRule="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账号：</w:t>
            </w:r>
            <w:r>
              <w:rPr>
                <w:rFonts w:hint="eastAsia" w:asciiTheme="minorEastAsia" w:hAnsiTheme="minorEastAsia" w:eastAsiaTheme="minorEastAsia" w:cstheme="minorEastAsia"/>
                <w:sz w:val="28"/>
                <w:szCs w:val="28"/>
                <w:u w:val="single"/>
              </w:rPr>
              <w:t xml:space="preserve">                       </w:t>
            </w:r>
          </w:p>
        </w:tc>
      </w:tr>
    </w:tbl>
    <w:p w14:paraId="3E06BDE9">
      <w:pPr>
        <w:wordWrap/>
        <w:topLinePunct w:val="0"/>
        <w:outlineLvl w:val="9"/>
        <w:rPr>
          <w:rFonts w:hint="eastAsia" w:asciiTheme="minorEastAsia" w:hAnsiTheme="minorEastAsia" w:eastAsiaTheme="minorEastAsia" w:cstheme="minorEastAsia"/>
          <w:sz w:val="28"/>
          <w:szCs w:val="28"/>
        </w:rPr>
        <w:sectPr>
          <w:footerReference r:id="rId7" w:type="default"/>
          <w:type w:val="continuous"/>
          <w:pgSz w:w="11906" w:h="16838"/>
          <w:pgMar w:top="1553" w:right="1080" w:bottom="1440" w:left="1080" w:header="720" w:footer="850" w:gutter="0"/>
          <w:pgNumType w:fmt="decimal"/>
          <w:cols w:space="720" w:num="1"/>
          <w:docGrid w:linePitch="326" w:charSpace="0"/>
        </w:sectPr>
      </w:pPr>
      <w:r>
        <w:rPr>
          <w:rFonts w:hint="eastAsia" w:asciiTheme="minorEastAsia" w:hAnsiTheme="minorEastAsia" w:eastAsiaTheme="minorEastAsia" w:cstheme="minorEastAsia"/>
          <w:sz w:val="28"/>
          <w:szCs w:val="28"/>
        </w:rPr>
        <w:tab/>
      </w:r>
    </w:p>
    <w:p w14:paraId="00E37298">
      <w:pPr>
        <w:pStyle w:val="139"/>
        <w:keepNext w:val="0"/>
        <w:keepLines w:val="0"/>
        <w:widowControl/>
        <w:adjustRightInd w:val="0"/>
        <w:snapToGrid w:val="0"/>
        <w:spacing w:before="0" w:after="50" w:line="360" w:lineRule="auto"/>
        <w:jc w:val="center"/>
        <w:outlineLvl w:val="1"/>
        <w:rPr>
          <w:rFonts w:hint="eastAsia" w:asciiTheme="minorEastAsia" w:hAnsiTheme="minorEastAsia" w:eastAsiaTheme="minorEastAsia" w:cstheme="minorEastAsia"/>
          <w:sz w:val="44"/>
          <w:szCs w:val="52"/>
        </w:rPr>
      </w:pPr>
      <w:bookmarkStart w:id="976" w:name="_Toc22910"/>
      <w:bookmarkStart w:id="977" w:name="_Toc6291"/>
      <w:bookmarkStart w:id="978" w:name="_Toc11914"/>
      <w:bookmarkStart w:id="979" w:name="_Toc27668"/>
      <w:bookmarkStart w:id="980" w:name="_Toc11693"/>
      <w:bookmarkStart w:id="981" w:name="_Toc17749"/>
      <w:r>
        <w:rPr>
          <w:rFonts w:hint="eastAsia" w:asciiTheme="minorEastAsia" w:hAnsiTheme="minorEastAsia" w:eastAsiaTheme="minorEastAsia" w:cstheme="minorEastAsia"/>
          <w:sz w:val="44"/>
          <w:szCs w:val="52"/>
        </w:rPr>
        <w:t>第二部分 通用合同条件</w:t>
      </w:r>
      <w:bookmarkEnd w:id="976"/>
      <w:bookmarkEnd w:id="977"/>
      <w:bookmarkEnd w:id="978"/>
      <w:bookmarkEnd w:id="979"/>
      <w:bookmarkEnd w:id="980"/>
      <w:bookmarkEnd w:id="981"/>
    </w:p>
    <w:p w14:paraId="7C1050EA">
      <w:pPr>
        <w:pStyle w:val="142"/>
        <w:numPr>
          <w:ilvl w:val="0"/>
          <w:numId w:val="0"/>
        </w:numPr>
        <w:wordWrap/>
        <w:topLinePunct w:val="0"/>
        <w:outlineLvl w:val="2"/>
        <w:rPr>
          <w:rFonts w:hint="eastAsia" w:asciiTheme="minorEastAsia" w:hAnsiTheme="minorEastAsia" w:eastAsiaTheme="minorEastAsia" w:cstheme="minorEastAsia"/>
          <w:b w:val="0"/>
          <w:bCs/>
          <w:sz w:val="28"/>
          <w:szCs w:val="28"/>
        </w:rPr>
      </w:pPr>
      <w:bookmarkStart w:id="982" w:name="_Toc14624"/>
      <w:bookmarkStart w:id="983" w:name="_Toc20187"/>
      <w:bookmarkStart w:id="984" w:name="_Ref508893699"/>
      <w:bookmarkStart w:id="985" w:name="_Toc11123"/>
      <w:bookmarkStart w:id="986" w:name="_Toc25918"/>
      <w:bookmarkStart w:id="987" w:name="_Toc17096"/>
      <w:bookmarkStart w:id="988" w:name="_Ref509040826"/>
      <w:bookmarkStart w:id="989" w:name="_Ref509040831"/>
      <w:r>
        <w:rPr>
          <w:rFonts w:hint="eastAsia" w:asciiTheme="minorEastAsia" w:hAnsiTheme="minorEastAsia" w:eastAsiaTheme="minorEastAsia" w:cstheme="minorEastAsia"/>
          <w:b w:val="0"/>
          <w:bCs/>
          <w:sz w:val="28"/>
          <w:szCs w:val="28"/>
        </w:rPr>
        <w:t>第1条 一般约定</w:t>
      </w:r>
      <w:bookmarkEnd w:id="982"/>
      <w:bookmarkEnd w:id="983"/>
      <w:bookmarkEnd w:id="984"/>
      <w:bookmarkEnd w:id="985"/>
      <w:bookmarkEnd w:id="986"/>
      <w:bookmarkEnd w:id="987"/>
    </w:p>
    <w:p w14:paraId="58DB5211">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990" w:name="_Toc5414"/>
      <w:bookmarkStart w:id="991" w:name="_Ref523741471"/>
      <w:bookmarkStart w:id="992" w:name="_Toc29454"/>
      <w:bookmarkStart w:id="993" w:name="_Toc10456"/>
      <w:bookmarkStart w:id="994" w:name="_Ref523741474"/>
      <w:r>
        <w:rPr>
          <w:rFonts w:hint="eastAsia" w:asciiTheme="minorEastAsia" w:hAnsiTheme="minorEastAsia" w:eastAsiaTheme="minorEastAsia" w:cstheme="minorEastAsia"/>
          <w:b w:val="0"/>
          <w:bCs/>
          <w:sz w:val="28"/>
          <w:szCs w:val="28"/>
        </w:rPr>
        <w:t>1.1 词语定义和解释</w:t>
      </w:r>
      <w:bookmarkEnd w:id="988"/>
      <w:bookmarkEnd w:id="989"/>
      <w:bookmarkEnd w:id="990"/>
      <w:bookmarkEnd w:id="991"/>
      <w:bookmarkEnd w:id="992"/>
      <w:bookmarkEnd w:id="993"/>
      <w:bookmarkEnd w:id="994"/>
    </w:p>
    <w:p w14:paraId="185C462F">
      <w:pPr>
        <w:wordWrap/>
        <w:topLinePunct w:val="0"/>
        <w:ind w:firstLine="6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合同协议书、通用合同条件、专用合同条件中的下列词语应具有本款所赋予的含义：</w:t>
      </w:r>
    </w:p>
    <w:p w14:paraId="10DF9CE3">
      <w:pPr>
        <w:pStyle w:val="144"/>
        <w:numPr>
          <w:ilvl w:val="0"/>
          <w:numId w:val="0"/>
        </w:numPr>
        <w:outlineLvl w:val="4"/>
        <w:rPr>
          <w:rFonts w:hint="eastAsia" w:asciiTheme="minorEastAsia" w:hAnsiTheme="minorEastAsia" w:eastAsiaTheme="minorEastAsia" w:cstheme="minorEastAsia"/>
          <w:sz w:val="28"/>
          <w:szCs w:val="28"/>
        </w:rPr>
      </w:pPr>
      <w:bookmarkStart w:id="995" w:name="_Toc8502"/>
      <w:bookmarkStart w:id="996" w:name="_Ref4757289"/>
      <w:bookmarkStart w:id="997" w:name="_Toc11400"/>
      <w:bookmarkStart w:id="998" w:name="_Ref521288340"/>
      <w:r>
        <w:rPr>
          <w:rFonts w:hint="eastAsia" w:asciiTheme="minorEastAsia" w:hAnsiTheme="minorEastAsia" w:eastAsiaTheme="minorEastAsia" w:cstheme="minorEastAsia"/>
          <w:sz w:val="28"/>
          <w:szCs w:val="28"/>
        </w:rPr>
        <w:t>1.1.1 合同</w:t>
      </w:r>
      <w:bookmarkEnd w:id="995"/>
      <w:bookmarkEnd w:id="996"/>
      <w:bookmarkEnd w:id="997"/>
    </w:p>
    <w:p w14:paraId="20015688">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082BD5B1">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1.1.1.2 合同协议书：是指构成合同的由发包人和承包人共同签署的称为“合同协议书”的书面文件。</w:t>
      </w:r>
    </w:p>
    <w:p w14:paraId="6143758D">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1.1.1.3 中标通知书：是指构成合同的由发包人通知承包人中标的书面文件。中标通知书随附的澄清、说明、补正事项纪要等，是中标通知书的组成部分。</w:t>
      </w:r>
    </w:p>
    <w:p w14:paraId="7D4A2C17">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1.1.1.4 投标函：是指构成合同的由承包人填写并签署的用于投标的称为“投标函”的文件。</w:t>
      </w:r>
    </w:p>
    <w:p w14:paraId="3A62A209">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1.1.1.5 投标函附录：是指构成合同的附在投标函后的称为“投标函附录”的文件。</w:t>
      </w:r>
    </w:p>
    <w:p w14:paraId="057DF740">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1.1.1.6 《发包人要求》：指构成合同文件组成部分的名为《发包人要求》的文件，其中列明工程的目的、范围、设计与其他技术标准和要求，以及合同双方当事人约定对其所作的修改或补充。</w:t>
      </w:r>
    </w:p>
    <w:p w14:paraId="7322FF22">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1.1.1.7 项目清单：是指发包人提供的载明工程总承包项目勘察费（如果有）、设计费、建筑安装工程费、设备购置费、暂估价、暂列金额和双方约定的其他费用的名称和相应数量等内容的项目明细。</w:t>
      </w:r>
    </w:p>
    <w:p w14:paraId="7E0FEA59">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1.1.1.8 价格清单：指构成合同文件组成部分的由承包人按发包人提供的项目清单规定的格式和要求填写并标明价格的清单。</w:t>
      </w:r>
    </w:p>
    <w:p w14:paraId="4FE048F3">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1.1.1.9 承包人建议书：指构成合同文件组成部分的名为承包人建议书的文件。承包人建议书由承包人随投标函一起提交。</w:t>
      </w:r>
    </w:p>
    <w:p w14:paraId="30C95F21">
      <w:pPr>
        <w:pStyle w:val="145"/>
        <w:numPr>
          <w:ilvl w:val="0"/>
          <w:numId w:val="0"/>
        </w:numPr>
        <w:outlineLvl w:val="4"/>
        <w:rPr>
          <w:rFonts w:hint="eastAsia" w:asciiTheme="minorEastAsia" w:hAnsiTheme="minorEastAsia" w:eastAsiaTheme="minorEastAsia" w:cstheme="minorEastAsia"/>
          <w:sz w:val="28"/>
          <w:szCs w:val="28"/>
        </w:rPr>
      </w:pPr>
      <w:bookmarkStart w:id="999" w:name="_Ref4415300"/>
      <w:r>
        <w:rPr>
          <w:rFonts w:hint="eastAsia" w:asciiTheme="minorEastAsia" w:hAnsiTheme="minorEastAsia" w:eastAsiaTheme="minorEastAsia" w:cstheme="minorEastAsia"/>
          <w:sz w:val="28"/>
          <w:szCs w:val="28"/>
        </w:rPr>
        <w:t>1.1.1.10 其他合同文件：是指经合同当事人约定的与工程实施有关的具有合同约束力的文件或书面协议。合同当事人可以在专用合同条件中进行约定。</w:t>
      </w:r>
      <w:bookmarkEnd w:id="999"/>
    </w:p>
    <w:p w14:paraId="1FBAF20A">
      <w:pPr>
        <w:pStyle w:val="144"/>
        <w:numPr>
          <w:ilvl w:val="0"/>
          <w:numId w:val="0"/>
        </w:numPr>
        <w:outlineLvl w:val="4"/>
        <w:rPr>
          <w:rFonts w:hint="eastAsia" w:asciiTheme="minorEastAsia" w:hAnsiTheme="minorEastAsia" w:eastAsiaTheme="minorEastAsia" w:cstheme="minorEastAsia"/>
          <w:sz w:val="28"/>
          <w:szCs w:val="28"/>
        </w:rPr>
      </w:pPr>
      <w:bookmarkStart w:id="1000" w:name="_Toc20322"/>
      <w:bookmarkStart w:id="1001" w:name="_Toc2025"/>
      <w:bookmarkStart w:id="1002" w:name="_Ref4757418"/>
      <w:r>
        <w:rPr>
          <w:rFonts w:hint="eastAsia" w:asciiTheme="minorEastAsia" w:hAnsiTheme="minorEastAsia" w:eastAsiaTheme="minorEastAsia" w:cstheme="minorEastAsia"/>
          <w:sz w:val="28"/>
          <w:szCs w:val="28"/>
        </w:rPr>
        <w:t>1.1.2 合同当事人及其他相关方</w:t>
      </w:r>
      <w:bookmarkEnd w:id="1000"/>
      <w:bookmarkEnd w:id="1001"/>
      <w:bookmarkEnd w:id="1002"/>
    </w:p>
    <w:p w14:paraId="39EC1766">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1.1.2.1 合同当事人：是指发包人和（或）承包人。</w:t>
      </w:r>
    </w:p>
    <w:p w14:paraId="0813978B">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1.1.2.2 发包人：是指与承包人订立合同协议书的当事人及取得该当事人资格的合法继受人。本合同中“因发包人原因”里的“发包人”包括发包人及所有发包人人员。</w:t>
      </w:r>
    </w:p>
    <w:p w14:paraId="5983FC0B">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1.1.2.3 承包人：是指与发包人订立合同协议书的当事人及取得该当事人资格的合法继受人。</w:t>
      </w:r>
    </w:p>
    <w:p w14:paraId="72148DE5">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1.1.2.4 联合体：是指经发包人同意由两个或两个以上法人或者其他组织组成的，作为承包人的临时机构。</w:t>
      </w:r>
    </w:p>
    <w:p w14:paraId="39B58DFC">
      <w:pPr>
        <w:pStyle w:val="145"/>
        <w:numPr>
          <w:ilvl w:val="0"/>
          <w:numId w:val="0"/>
        </w:numPr>
        <w:outlineLvl w:val="4"/>
        <w:rPr>
          <w:rFonts w:hint="eastAsia" w:asciiTheme="minorEastAsia" w:hAnsiTheme="minorEastAsia" w:eastAsiaTheme="minorEastAsia" w:cstheme="minorEastAsia"/>
          <w:sz w:val="28"/>
          <w:szCs w:val="28"/>
        </w:rPr>
      </w:pPr>
      <w:bookmarkStart w:id="1003" w:name="_Ref4420046"/>
      <w:r>
        <w:rPr>
          <w:rFonts w:hint="eastAsia" w:asciiTheme="minorEastAsia" w:hAnsiTheme="minorEastAsia" w:eastAsiaTheme="minorEastAsia" w:cstheme="minorEastAsia"/>
          <w:sz w:val="28"/>
          <w:szCs w:val="28"/>
        </w:rPr>
        <w:t>1.1.2.5 发包人代表：是指由发包人任命并派驻工作现场，在发包人授权范围内行使发包人权利和履行发包人义务的人。</w:t>
      </w:r>
    </w:p>
    <w:p w14:paraId="7E6E9C44">
      <w:pPr>
        <w:pStyle w:val="145"/>
        <w:numPr>
          <w:ilvl w:val="0"/>
          <w:numId w:val="0"/>
        </w:numPr>
        <w:outlineLvl w:val="4"/>
        <w:rPr>
          <w:rFonts w:hint="eastAsia" w:asciiTheme="minorEastAsia" w:hAnsiTheme="minorEastAsia" w:eastAsiaTheme="minorEastAsia" w:cstheme="minorEastAsia"/>
          <w:sz w:val="28"/>
          <w:szCs w:val="28"/>
        </w:rPr>
      </w:pPr>
      <w:bookmarkStart w:id="1004" w:name="_Ref4756982"/>
      <w:r>
        <w:rPr>
          <w:rFonts w:hint="eastAsia" w:asciiTheme="minorEastAsia" w:hAnsiTheme="minorEastAsia" w:eastAsiaTheme="minorEastAsia" w:cstheme="minorEastAsia"/>
          <w:sz w:val="28"/>
          <w:szCs w:val="28"/>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003"/>
      <w:bookmarkEnd w:id="1004"/>
    </w:p>
    <w:p w14:paraId="2FA25E27">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1.1.2.7 工程总承包项目经理：是指由承包人任命的，在承包人授权范围内负责合同履行的管理，按照法律规定具有相应资格的项目负责人。</w:t>
      </w:r>
    </w:p>
    <w:p w14:paraId="0ED1092C">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1.1.2.8 设计负责人：是指承包人指定负责组织、指导、协调设计工作并具有相应资格的人员。</w:t>
      </w:r>
    </w:p>
    <w:p w14:paraId="65C13253">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1.1.2.9 采购负责人：是指承包人指定负责组织、指导、协调采购工作的人员。</w:t>
      </w:r>
    </w:p>
    <w:p w14:paraId="3515D7A4">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1.1.2.10 施工负责人：是指承包人指定负责组织、指导、协调施工工作并具有相应资格的人员。</w:t>
      </w:r>
    </w:p>
    <w:p w14:paraId="00BA0A65">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1.1.2.11 分包人：是指按照法律规定和合同约定，分包部分工程或工作，并与承包人订立分包合同的具有相应资质或资格的法人或其他组织。</w:t>
      </w:r>
    </w:p>
    <w:p w14:paraId="5D2419E9">
      <w:pPr>
        <w:pStyle w:val="144"/>
        <w:numPr>
          <w:ilvl w:val="0"/>
          <w:numId w:val="0"/>
        </w:numPr>
        <w:outlineLvl w:val="4"/>
        <w:rPr>
          <w:rFonts w:hint="eastAsia" w:asciiTheme="minorEastAsia" w:hAnsiTheme="minorEastAsia" w:eastAsiaTheme="minorEastAsia" w:cstheme="minorEastAsia"/>
          <w:sz w:val="28"/>
          <w:szCs w:val="28"/>
        </w:rPr>
      </w:pPr>
      <w:bookmarkStart w:id="1005" w:name="_Toc31743"/>
      <w:bookmarkStart w:id="1006" w:name="_Toc11907"/>
      <w:bookmarkStart w:id="1007" w:name="_Ref4758319"/>
      <w:r>
        <w:rPr>
          <w:rFonts w:hint="eastAsia" w:asciiTheme="minorEastAsia" w:hAnsiTheme="minorEastAsia" w:eastAsiaTheme="minorEastAsia" w:cstheme="minorEastAsia"/>
          <w:sz w:val="28"/>
          <w:szCs w:val="28"/>
        </w:rPr>
        <w:t>1.1.3 工程和设备</w:t>
      </w:r>
      <w:bookmarkEnd w:id="1005"/>
      <w:bookmarkEnd w:id="1006"/>
      <w:bookmarkEnd w:id="1007"/>
    </w:p>
    <w:p w14:paraId="1F450EF9">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1.1.3.1 工程：是指与合同协议书中工程承包范围对应的永久工程和（或）临时工程。</w:t>
      </w:r>
    </w:p>
    <w:p w14:paraId="3DDAA3F4">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1.1.3.2 工程实施：是指进行工程的设计、采购、施工和竣工以及对工程任何缺陷的修复。</w:t>
      </w:r>
    </w:p>
    <w:p w14:paraId="6EE5FAC4">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1.1.3.3 永久工程：是指按合同约定建造并移交给发包人的工程，包括工程设备。</w:t>
      </w:r>
    </w:p>
    <w:p w14:paraId="02458A0E">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1.1.3.4 临时工程：是指为完成合同约定的永久工程所修建的各类临时性工程，不包括施工设备。</w:t>
      </w:r>
    </w:p>
    <w:p w14:paraId="2FAF93FE">
      <w:pPr>
        <w:pStyle w:val="145"/>
        <w:numPr>
          <w:ilvl w:val="0"/>
          <w:numId w:val="0"/>
        </w:numPr>
        <w:outlineLvl w:val="4"/>
        <w:rPr>
          <w:rFonts w:hint="eastAsia" w:asciiTheme="minorEastAsia" w:hAnsiTheme="minorEastAsia" w:eastAsiaTheme="minorEastAsia" w:cstheme="minorEastAsia"/>
          <w:sz w:val="28"/>
          <w:szCs w:val="28"/>
        </w:rPr>
      </w:pPr>
      <w:bookmarkStart w:id="1008" w:name="_Ref4419825"/>
      <w:r>
        <w:rPr>
          <w:rFonts w:hint="eastAsia" w:asciiTheme="minorEastAsia" w:hAnsiTheme="minorEastAsia" w:eastAsiaTheme="minorEastAsia" w:cstheme="minorEastAsia"/>
          <w:sz w:val="28"/>
          <w:szCs w:val="28"/>
        </w:rPr>
        <w:t>1.1.3.5 单位/区段工程：是指在专用合同条件中指明特定范围的，能单独接收并使用的永久工程。</w:t>
      </w:r>
      <w:bookmarkEnd w:id="1008"/>
    </w:p>
    <w:p w14:paraId="2FC99FAF">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1.1.3.6 工程设备：指构成永久工程的机电设备、仪器装置、运载工具及其他类似的设备和装置，包括其配件及备品、备件、易损易耗件等。</w:t>
      </w:r>
    </w:p>
    <w:p w14:paraId="449EB939">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1.1.3.7 施工设备：指为完成合同约定的各项工作所需的设备、器具和其他物品，不包括工程设备、临时工程和材料。</w:t>
      </w:r>
    </w:p>
    <w:p w14:paraId="386B70A7">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1.1.3.8 临时设施：指为完成合同约定的各项工作所服务的临时性生产和生活设施。</w:t>
      </w:r>
    </w:p>
    <w:p w14:paraId="58A2564B">
      <w:pPr>
        <w:pStyle w:val="145"/>
        <w:numPr>
          <w:ilvl w:val="0"/>
          <w:numId w:val="0"/>
        </w:numPr>
        <w:outlineLvl w:val="4"/>
        <w:rPr>
          <w:rFonts w:hint="eastAsia" w:asciiTheme="minorEastAsia" w:hAnsiTheme="minorEastAsia" w:eastAsiaTheme="minorEastAsia" w:cstheme="minorEastAsia"/>
          <w:sz w:val="28"/>
          <w:szCs w:val="28"/>
        </w:rPr>
      </w:pPr>
      <w:bookmarkStart w:id="1009" w:name="_Ref4420577"/>
      <w:r>
        <w:rPr>
          <w:rFonts w:hint="eastAsia" w:asciiTheme="minorEastAsia" w:hAnsiTheme="minorEastAsia" w:eastAsiaTheme="minorEastAsia" w:cstheme="minorEastAsia"/>
          <w:sz w:val="28"/>
          <w:szCs w:val="28"/>
        </w:rPr>
        <w:t>1.1.3.9 施工现场：是指用于工程施工的场所，以及在专用合同条件中指明作为施工场所组成部分的其他场所，包括永久占地和临时占地。</w:t>
      </w:r>
      <w:bookmarkEnd w:id="1009"/>
    </w:p>
    <w:p w14:paraId="7CB996A6">
      <w:pPr>
        <w:pStyle w:val="145"/>
        <w:numPr>
          <w:ilvl w:val="0"/>
          <w:numId w:val="0"/>
        </w:numPr>
        <w:outlineLvl w:val="4"/>
        <w:rPr>
          <w:rFonts w:hint="eastAsia" w:asciiTheme="minorEastAsia" w:hAnsiTheme="minorEastAsia" w:eastAsiaTheme="minorEastAsia" w:cstheme="minorEastAsia"/>
          <w:sz w:val="28"/>
          <w:szCs w:val="28"/>
        </w:rPr>
      </w:pPr>
      <w:bookmarkStart w:id="1010" w:name="_Ref4420746"/>
      <w:r>
        <w:rPr>
          <w:rFonts w:hint="eastAsia" w:asciiTheme="minorEastAsia" w:hAnsiTheme="minorEastAsia" w:eastAsiaTheme="minorEastAsia" w:cstheme="minorEastAsia"/>
          <w:sz w:val="28"/>
          <w:szCs w:val="28"/>
        </w:rPr>
        <w:t>1.1.3.10 永久占地：是指专用合同条件中指明为实施工程需永久占用的土地。</w:t>
      </w:r>
      <w:bookmarkEnd w:id="1010"/>
    </w:p>
    <w:p w14:paraId="73ED132C">
      <w:pPr>
        <w:pStyle w:val="145"/>
        <w:numPr>
          <w:ilvl w:val="0"/>
          <w:numId w:val="0"/>
        </w:numPr>
        <w:outlineLvl w:val="4"/>
        <w:rPr>
          <w:rFonts w:hint="eastAsia" w:asciiTheme="minorEastAsia" w:hAnsiTheme="minorEastAsia" w:eastAsiaTheme="minorEastAsia" w:cstheme="minorEastAsia"/>
          <w:sz w:val="28"/>
          <w:szCs w:val="28"/>
        </w:rPr>
      </w:pPr>
      <w:bookmarkStart w:id="1011" w:name="_Ref4420821"/>
      <w:r>
        <w:rPr>
          <w:rFonts w:hint="eastAsia" w:asciiTheme="minorEastAsia" w:hAnsiTheme="minorEastAsia" w:eastAsiaTheme="minorEastAsia" w:cstheme="minorEastAsia"/>
          <w:sz w:val="28"/>
          <w:szCs w:val="28"/>
        </w:rPr>
        <w:t>1.1.3.11 临时占地：是指专用合同条件中指明为实施工程需临时占用的土地。</w:t>
      </w:r>
      <w:bookmarkEnd w:id="1011"/>
    </w:p>
    <w:p w14:paraId="0D7ACF08">
      <w:pPr>
        <w:pStyle w:val="144"/>
        <w:numPr>
          <w:ilvl w:val="0"/>
          <w:numId w:val="0"/>
        </w:numPr>
        <w:outlineLvl w:val="4"/>
        <w:rPr>
          <w:rFonts w:hint="eastAsia" w:asciiTheme="minorEastAsia" w:hAnsiTheme="minorEastAsia" w:eastAsiaTheme="minorEastAsia" w:cstheme="minorEastAsia"/>
          <w:sz w:val="28"/>
          <w:szCs w:val="28"/>
        </w:rPr>
      </w:pPr>
      <w:bookmarkStart w:id="1012" w:name="_Toc29191"/>
      <w:bookmarkStart w:id="1013" w:name="_Toc29730"/>
      <w:r>
        <w:rPr>
          <w:rFonts w:hint="eastAsia" w:asciiTheme="minorEastAsia" w:hAnsiTheme="minorEastAsia" w:eastAsiaTheme="minorEastAsia" w:cstheme="minorEastAsia"/>
          <w:sz w:val="28"/>
          <w:szCs w:val="28"/>
        </w:rPr>
        <w:t>1.1.4 日期和期限</w:t>
      </w:r>
      <w:bookmarkEnd w:id="1012"/>
      <w:bookmarkEnd w:id="1013"/>
    </w:p>
    <w:p w14:paraId="0EF4B93A">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1.1.4.1 开始工作通知：指工程师按第8.1.2项[开始工作通知]的约定通知承包人开始工作的函件。</w:t>
      </w:r>
    </w:p>
    <w:p w14:paraId="242956BE">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5465CC61">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3B7DD6B0">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1.1.4.4 竣工日期：包括计划竣工日期和实际竣工日期。计划竣工日期是指合同协议书约定的竣工日期；实际竣工日期按照第8.2款[竣工日期]的约定确定。</w:t>
      </w:r>
    </w:p>
    <w:p w14:paraId="3E776AD3">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1.1.4.5 工期：是指在合同协议书约定的承包人完成合同工作所需的期限，包括按照合同约定所作的期限变更及按合同约定承包人有权取得的工期延长。</w:t>
      </w:r>
    </w:p>
    <w:p w14:paraId="463B1660">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1.1.4.6 缺陷责任期：是指发包人预留工程质量保证金以保证承包人履行第11.3款[缺陷调查]下质量缺陷责任的期限。</w:t>
      </w:r>
    </w:p>
    <w:p w14:paraId="0D857E18">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1.1.4.7 保修期：是指承包人按照合同约定和法律规定对工程质量承担保修责任的期限，该期限自缺陷责任期起算之日起计算。</w:t>
      </w:r>
    </w:p>
    <w:p w14:paraId="50A719FC">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1.1.4.8 基准日期：招标发包的工程以投标截止日前28天的日期为基准日期，直接发包的工程以合同订立日前28天的日期为基准日期。</w:t>
      </w:r>
    </w:p>
    <w:p w14:paraId="15092213">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1.1.4.9 天：除特别指明外，均指日历天。合同中按天计算时间的，开始当天不计入，从次日开始计算。期限最后一天的截止时间为当天24:00。</w:t>
      </w:r>
    </w:p>
    <w:p w14:paraId="3260FC9D">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1.1.4.10 竣工试验：是指在工程竣工验收前，根据第9条[竣工试验]要求进行的试验。</w:t>
      </w:r>
    </w:p>
    <w:p w14:paraId="3A869281">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1.1.4.11 竣工验收：是指承包人完成了合同约定的各项内容后，发包人按合同要求进行的验收。</w:t>
      </w:r>
    </w:p>
    <w:p w14:paraId="37A85ACF">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1.1.4.12 竣工后试验：是指在工程竣工验收后，根据第12条[竣工后试验]约定进行的试验。</w:t>
      </w:r>
    </w:p>
    <w:p w14:paraId="794F82FC">
      <w:pPr>
        <w:pStyle w:val="144"/>
        <w:numPr>
          <w:ilvl w:val="0"/>
          <w:numId w:val="0"/>
        </w:numPr>
        <w:outlineLvl w:val="4"/>
        <w:rPr>
          <w:rFonts w:hint="eastAsia" w:asciiTheme="minorEastAsia" w:hAnsiTheme="minorEastAsia" w:eastAsiaTheme="minorEastAsia" w:cstheme="minorEastAsia"/>
          <w:sz w:val="28"/>
          <w:szCs w:val="28"/>
        </w:rPr>
      </w:pPr>
      <w:bookmarkStart w:id="1014" w:name="_Toc26555"/>
      <w:bookmarkStart w:id="1015" w:name="_Toc7412"/>
      <w:r>
        <w:rPr>
          <w:rFonts w:hint="eastAsia" w:asciiTheme="minorEastAsia" w:hAnsiTheme="minorEastAsia" w:eastAsiaTheme="minorEastAsia" w:cstheme="minorEastAsia"/>
          <w:sz w:val="28"/>
          <w:szCs w:val="28"/>
        </w:rPr>
        <w:t>1.1.5 合同价格和费用</w:t>
      </w:r>
      <w:bookmarkEnd w:id="1014"/>
      <w:bookmarkEnd w:id="1015"/>
    </w:p>
    <w:p w14:paraId="2A735C21">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1.1.5.1 签约合同价：是指发包人和承包人在合同协议书中确定的总金额，包括暂估价及暂列金额等。</w:t>
      </w:r>
    </w:p>
    <w:p w14:paraId="1A95D614">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1.1.5.2 合同价格：是指发包人用于支付承包人按照合同约定完成承包范围内全部工作的金额，包括合同履行过程中按合同约定发生的价格变化。</w:t>
      </w:r>
    </w:p>
    <w:p w14:paraId="12CDFF4A">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1.1.5.3 费用：是指为履行合同所发生的或将要发生的所有合理开支，包括管理费和应分摊的其他费用，但不包括利润。</w:t>
      </w:r>
    </w:p>
    <w:p w14:paraId="5EED6094">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1.1.5.4 人工费：是指支付给直接从事建筑安装工程施工作业的建筑工人的各项费用。</w:t>
      </w:r>
    </w:p>
    <w:p w14:paraId="23CE0CCB">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1.1.5.5 暂估价：</w:t>
      </w:r>
      <w:bookmarkStart w:id="1016" w:name="_Hlk18973781"/>
      <w:r>
        <w:rPr>
          <w:rFonts w:hint="eastAsia" w:asciiTheme="minorEastAsia" w:hAnsiTheme="minorEastAsia" w:eastAsiaTheme="minorEastAsia" w:cstheme="minorEastAsia"/>
          <w:sz w:val="28"/>
          <w:szCs w:val="28"/>
        </w:rPr>
        <w:t>是指发包人在项目清单中给定的，用于支付必然发生但暂时不能确定价格的专业服务、材料、设备、专业工程的金额。</w:t>
      </w:r>
      <w:bookmarkEnd w:id="1016"/>
    </w:p>
    <w:p w14:paraId="6B09FC68">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1.1.5.6 暂列金额：是指发包人在项目清单中给定的，用于在订立协议书时尚未确定或不可预见变更的设计、施工及其所需材料、工程设备、服务等的金额，包括以计日工方式支付的金额。</w:t>
      </w:r>
    </w:p>
    <w:p w14:paraId="54C66BFC">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1.1.5.7 计日工：是指合同履行过程中，承包人完成发包人提出的零星工作或需要采用计日工计价的变更工作时，按合同中约定的单价计价的一种方式。</w:t>
      </w:r>
    </w:p>
    <w:p w14:paraId="055E991C">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1.1.5.8 质量保证金：是指按第14.6款[质量保证金]约定承包人用于保证其在缺陷责任期内履行缺陷修复义务的担保。</w:t>
      </w:r>
    </w:p>
    <w:p w14:paraId="619FD02C">
      <w:pPr>
        <w:pStyle w:val="144"/>
        <w:numPr>
          <w:ilvl w:val="0"/>
          <w:numId w:val="0"/>
        </w:numPr>
        <w:outlineLvl w:val="4"/>
        <w:rPr>
          <w:rFonts w:hint="eastAsia" w:asciiTheme="minorEastAsia" w:hAnsiTheme="minorEastAsia" w:eastAsiaTheme="minorEastAsia" w:cstheme="minorEastAsia"/>
          <w:sz w:val="28"/>
          <w:szCs w:val="28"/>
        </w:rPr>
      </w:pPr>
      <w:bookmarkStart w:id="1017" w:name="_Toc13111"/>
      <w:bookmarkStart w:id="1018" w:name="_Toc11608"/>
      <w:r>
        <w:rPr>
          <w:rFonts w:hint="eastAsia" w:asciiTheme="minorEastAsia" w:hAnsiTheme="minorEastAsia" w:eastAsiaTheme="minorEastAsia" w:cstheme="minorEastAsia"/>
          <w:sz w:val="28"/>
          <w:szCs w:val="28"/>
        </w:rPr>
        <w:t>1.1.6 其他</w:t>
      </w:r>
      <w:bookmarkEnd w:id="1017"/>
      <w:bookmarkEnd w:id="1018"/>
    </w:p>
    <w:p w14:paraId="77616440">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1.1.6.1 书面形式：指合同文件、信函、电报、传真、数据电文、电子邮件、会议纪要等可以有形地表现所载内容的形式。</w:t>
      </w:r>
    </w:p>
    <w:p w14:paraId="45C1817F">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1.1.6.2 承包人文件：指由承包人根据合同约定应提交的所有图纸、手册、模型、计算书、软件、函件、洽商性文件和其他技术性文件。</w:t>
      </w:r>
    </w:p>
    <w:p w14:paraId="22868CE2">
      <w:pPr>
        <w:pStyle w:val="145"/>
        <w:numPr>
          <w:ilvl w:val="0"/>
          <w:numId w:val="0"/>
        </w:numPr>
        <w:outlineLvl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1.1.6.3 变更：指根据第13条[变更与调整]的约定，经指示或批准对《发包人要求》或工程所做的改变。</w:t>
      </w:r>
    </w:p>
    <w:bookmarkEnd w:id="998"/>
    <w:p w14:paraId="275FB0F7">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19" w:name="_Toc1276"/>
      <w:bookmarkStart w:id="1020" w:name="_Ref509042104"/>
      <w:bookmarkStart w:id="1021" w:name="_Toc7670"/>
      <w:bookmarkStart w:id="1022" w:name="_Toc24661"/>
      <w:bookmarkStart w:id="1023" w:name="_Ref509042101"/>
      <w:bookmarkStart w:id="1024" w:name="_Ref522730349"/>
      <w:bookmarkStart w:id="1025" w:name="_Ref522730353"/>
      <w:r>
        <w:rPr>
          <w:rFonts w:hint="eastAsia" w:asciiTheme="minorEastAsia" w:hAnsiTheme="minorEastAsia" w:eastAsiaTheme="minorEastAsia" w:cstheme="minorEastAsia"/>
          <w:b w:val="0"/>
          <w:bCs/>
          <w:sz w:val="28"/>
          <w:szCs w:val="28"/>
        </w:rPr>
        <w:t>1.2 语言文字</w:t>
      </w:r>
      <w:bookmarkEnd w:id="1019"/>
      <w:bookmarkEnd w:id="1020"/>
      <w:bookmarkEnd w:id="1021"/>
      <w:bookmarkEnd w:id="1022"/>
      <w:bookmarkEnd w:id="1023"/>
    </w:p>
    <w:p w14:paraId="196CF2C0">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合同文件以中国的汉语简体语言文字编写、解释和说明。专用术语使用外文的，应附有中文注释。合同当事人在专用合同条件约定使用两种及以上语言时，汉语为优先解释和说明合同的语言。</w:t>
      </w:r>
    </w:p>
    <w:p w14:paraId="40F5312E">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与合同有关的联络应使用专用合同条件约定的语言。如没有约定，则应使用中国的汉语简体语言文字。</w:t>
      </w:r>
    </w:p>
    <w:p w14:paraId="0BA53925">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26" w:name="_Toc24492"/>
      <w:bookmarkStart w:id="1027" w:name="_Toc1260"/>
      <w:bookmarkStart w:id="1028" w:name="_Toc11810"/>
      <w:bookmarkStart w:id="1029" w:name="_Ref531949543"/>
      <w:bookmarkStart w:id="1030" w:name="_Ref531949539"/>
      <w:r>
        <w:rPr>
          <w:rFonts w:hint="eastAsia" w:asciiTheme="minorEastAsia" w:hAnsiTheme="minorEastAsia" w:eastAsiaTheme="minorEastAsia" w:cstheme="minorEastAsia"/>
          <w:b w:val="0"/>
          <w:bCs/>
          <w:sz w:val="28"/>
          <w:szCs w:val="28"/>
        </w:rPr>
        <w:t>1.3 法律</w:t>
      </w:r>
      <w:bookmarkEnd w:id="1026"/>
      <w:bookmarkEnd w:id="1027"/>
      <w:bookmarkEnd w:id="1028"/>
      <w:bookmarkEnd w:id="1029"/>
      <w:bookmarkEnd w:id="1030"/>
    </w:p>
    <w:p w14:paraId="32EF13CB">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合同所称法律是指中华人民共和国法律、行政法规、部门规章，以及工程所在地的</w:t>
      </w:r>
      <w:r>
        <w:rPr>
          <w:rFonts w:hint="eastAsia" w:asciiTheme="minorEastAsia" w:hAnsiTheme="minorEastAsia" w:eastAsiaTheme="minorEastAsia" w:cstheme="minorEastAsia"/>
          <w:sz w:val="28"/>
          <w:szCs w:val="28"/>
          <w:lang w:eastAsia="zh-CN"/>
        </w:rPr>
        <w:t>地方性法规</w:t>
      </w:r>
      <w:r>
        <w:rPr>
          <w:rFonts w:hint="eastAsia" w:asciiTheme="minorEastAsia" w:hAnsiTheme="minorEastAsia" w:eastAsiaTheme="minorEastAsia" w:cstheme="minorEastAsia"/>
          <w:sz w:val="28"/>
          <w:szCs w:val="28"/>
        </w:rPr>
        <w:t>、自治条例、单行条例和地方政府规章等。</w:t>
      </w:r>
    </w:p>
    <w:p w14:paraId="10C9AEF2">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合同当事人可以在专用合同条件中约定合同适用的其他规范性文件。</w:t>
      </w:r>
    </w:p>
    <w:p w14:paraId="50C49718">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31" w:name="_Toc3937"/>
      <w:bookmarkStart w:id="1032" w:name="_Toc6154"/>
      <w:bookmarkStart w:id="1033" w:name="_Toc19596"/>
      <w:bookmarkStart w:id="1034" w:name="_Ref531949589"/>
      <w:bookmarkStart w:id="1035" w:name="_Ref531949594"/>
      <w:r>
        <w:rPr>
          <w:rFonts w:hint="eastAsia" w:asciiTheme="minorEastAsia" w:hAnsiTheme="minorEastAsia" w:eastAsiaTheme="minorEastAsia" w:cstheme="minorEastAsia"/>
          <w:b w:val="0"/>
          <w:bCs/>
          <w:sz w:val="28"/>
          <w:szCs w:val="28"/>
        </w:rPr>
        <w:t>1.4 标准和规范</w:t>
      </w:r>
      <w:bookmarkEnd w:id="1031"/>
      <w:bookmarkEnd w:id="1032"/>
      <w:bookmarkEnd w:id="1033"/>
      <w:bookmarkEnd w:id="1034"/>
      <w:bookmarkEnd w:id="1035"/>
    </w:p>
    <w:p w14:paraId="403E8E2A">
      <w:pPr>
        <w:pStyle w:val="144"/>
        <w:numPr>
          <w:ilvl w:val="0"/>
          <w:numId w:val="0"/>
        </w:numPr>
        <w:outlineLvl w:val="4"/>
        <w:rPr>
          <w:rFonts w:hint="eastAsia" w:asciiTheme="minorEastAsia" w:hAnsiTheme="minorEastAsia" w:eastAsiaTheme="minorEastAsia" w:cstheme="minorEastAsia"/>
          <w:sz w:val="28"/>
          <w:szCs w:val="28"/>
        </w:rPr>
      </w:pPr>
      <w:bookmarkStart w:id="1036" w:name="_Toc27085"/>
      <w:bookmarkStart w:id="1037" w:name="_Ref4420991"/>
      <w:bookmarkStart w:id="1038" w:name="_Toc3555"/>
      <w:r>
        <w:rPr>
          <w:rFonts w:hint="eastAsia" w:asciiTheme="minorEastAsia" w:hAnsiTheme="minorEastAsia" w:eastAsiaTheme="minorEastAsia" w:cstheme="minorEastAsia"/>
          <w:sz w:val="28"/>
          <w:szCs w:val="28"/>
        </w:rPr>
        <w:t>1.4.1 适用于工程的国家标准、行业标准、工程所在地的地方性标准，以及相应的规范、规程等，合同当事人有特别要求的，应在专用合同条件中约定。</w:t>
      </w:r>
      <w:bookmarkEnd w:id="1036"/>
      <w:bookmarkEnd w:id="1037"/>
      <w:bookmarkEnd w:id="1038"/>
    </w:p>
    <w:p w14:paraId="4F6CF777">
      <w:pPr>
        <w:pStyle w:val="144"/>
        <w:numPr>
          <w:ilvl w:val="0"/>
          <w:numId w:val="0"/>
        </w:numPr>
        <w:outlineLvl w:val="4"/>
        <w:rPr>
          <w:rFonts w:hint="eastAsia" w:asciiTheme="minorEastAsia" w:hAnsiTheme="minorEastAsia" w:eastAsiaTheme="minorEastAsia" w:cstheme="minorEastAsia"/>
          <w:sz w:val="28"/>
          <w:szCs w:val="28"/>
        </w:rPr>
      </w:pPr>
      <w:bookmarkStart w:id="1039" w:name="_Toc18736"/>
      <w:bookmarkStart w:id="1040" w:name="_Ref531949642"/>
      <w:bookmarkStart w:id="1041" w:name="_Toc5721"/>
      <w:r>
        <w:rPr>
          <w:rFonts w:hint="eastAsia" w:asciiTheme="minorEastAsia" w:hAnsiTheme="minorEastAsia" w:eastAsiaTheme="minorEastAsia" w:cstheme="minorEastAsia"/>
          <w:sz w:val="28"/>
          <w:szCs w:val="28"/>
        </w:rPr>
        <w:t>1.4.2 发包人要求使用国外标准、规范的，发包人负责提供原文版本和中文译本，并在专用合同条件中约定提供标准规范的名称、份数和时间。</w:t>
      </w:r>
      <w:bookmarkEnd w:id="1039"/>
      <w:bookmarkEnd w:id="1040"/>
      <w:bookmarkEnd w:id="1041"/>
    </w:p>
    <w:p w14:paraId="0AFB2525">
      <w:pPr>
        <w:pStyle w:val="144"/>
        <w:numPr>
          <w:ilvl w:val="0"/>
          <w:numId w:val="0"/>
        </w:numPr>
        <w:outlineLvl w:val="4"/>
        <w:rPr>
          <w:rFonts w:hint="eastAsia" w:asciiTheme="minorEastAsia" w:hAnsiTheme="minorEastAsia" w:eastAsiaTheme="minorEastAsia" w:cstheme="minorEastAsia"/>
          <w:sz w:val="28"/>
          <w:szCs w:val="28"/>
        </w:rPr>
      </w:pPr>
      <w:bookmarkStart w:id="1042" w:name="_Ref531949657"/>
      <w:bookmarkStart w:id="1043" w:name="_Toc8633"/>
      <w:bookmarkStart w:id="1044" w:name="_Toc5041"/>
      <w:r>
        <w:rPr>
          <w:rFonts w:hint="eastAsia" w:asciiTheme="minorEastAsia" w:hAnsiTheme="minorEastAsia" w:eastAsiaTheme="minorEastAsia" w:cstheme="minorEastAsia"/>
          <w:sz w:val="28"/>
          <w:szCs w:val="28"/>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042"/>
      <w:bookmarkEnd w:id="1043"/>
      <w:bookmarkEnd w:id="1044"/>
    </w:p>
    <w:p w14:paraId="323DE741">
      <w:pPr>
        <w:pStyle w:val="144"/>
        <w:numPr>
          <w:ilvl w:val="0"/>
          <w:numId w:val="0"/>
        </w:numPr>
        <w:outlineLvl w:val="4"/>
        <w:rPr>
          <w:rFonts w:hint="eastAsia" w:asciiTheme="minorEastAsia" w:hAnsiTheme="minorEastAsia" w:eastAsiaTheme="minorEastAsia" w:cstheme="minorEastAsia"/>
          <w:sz w:val="28"/>
          <w:szCs w:val="28"/>
        </w:rPr>
      </w:pPr>
      <w:bookmarkStart w:id="1045" w:name="_Toc12990"/>
      <w:bookmarkStart w:id="1046" w:name="_Ref4421272"/>
      <w:bookmarkStart w:id="1047" w:name="_Toc1574"/>
      <w:r>
        <w:rPr>
          <w:rFonts w:hint="eastAsia" w:asciiTheme="minorEastAsia" w:hAnsiTheme="minorEastAsia" w:eastAsiaTheme="minorEastAsia" w:cstheme="minorEastAsia"/>
          <w:sz w:val="28"/>
          <w:szCs w:val="28"/>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1045"/>
      <w:bookmarkEnd w:id="1046"/>
      <w:bookmarkEnd w:id="1047"/>
    </w:p>
    <w:p w14:paraId="112E73EF">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48" w:name="_Toc21856"/>
      <w:bookmarkStart w:id="1049" w:name="_Toc27776"/>
      <w:bookmarkStart w:id="1050" w:name="_Toc9040"/>
      <w:bookmarkStart w:id="1051" w:name="_Ref4421717"/>
      <w:r>
        <w:rPr>
          <w:rFonts w:hint="eastAsia" w:asciiTheme="minorEastAsia" w:hAnsiTheme="minorEastAsia" w:eastAsiaTheme="minorEastAsia" w:cstheme="minorEastAsia"/>
          <w:b w:val="0"/>
          <w:bCs/>
          <w:sz w:val="28"/>
          <w:szCs w:val="28"/>
        </w:rPr>
        <w:t>1.5 合同文件的优先顺序</w:t>
      </w:r>
      <w:bookmarkEnd w:id="1024"/>
      <w:bookmarkEnd w:id="1025"/>
      <w:bookmarkEnd w:id="1048"/>
      <w:bookmarkEnd w:id="1049"/>
      <w:bookmarkEnd w:id="1050"/>
      <w:bookmarkEnd w:id="1051"/>
    </w:p>
    <w:p w14:paraId="1E52B31C">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bookmarkStart w:id="1052" w:name="_Ref531948776"/>
      <w:r>
        <w:rPr>
          <w:rFonts w:hint="eastAsia" w:asciiTheme="minorEastAsia" w:hAnsiTheme="minorEastAsia" w:eastAsiaTheme="minorEastAsia" w:cstheme="minorEastAsia"/>
          <w:sz w:val="28"/>
          <w:szCs w:val="28"/>
        </w:rPr>
        <w:t>组成合同的各项文件应互相解释，互为说明。除专用合同条件另有约定外，</w:t>
      </w:r>
      <w:bookmarkEnd w:id="1052"/>
      <w:r>
        <w:rPr>
          <w:rFonts w:hint="eastAsia" w:asciiTheme="minorEastAsia" w:hAnsiTheme="minorEastAsia" w:eastAsiaTheme="minorEastAsia" w:cstheme="minorEastAsia"/>
          <w:sz w:val="28"/>
          <w:szCs w:val="28"/>
        </w:rPr>
        <w:t>解释合同文件的优先顺序如下：</w:t>
      </w:r>
    </w:p>
    <w:p w14:paraId="389358E7">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合同协议书；</w:t>
      </w:r>
    </w:p>
    <w:p w14:paraId="54AFE537">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中标通知书（如果有）；</w:t>
      </w:r>
    </w:p>
    <w:p w14:paraId="15C0A025">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投标函及投标函附录（如果有）；</w:t>
      </w:r>
    </w:p>
    <w:p w14:paraId="002D589F">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专用合同条件及《发包人要求》等附件；</w:t>
      </w:r>
    </w:p>
    <w:p w14:paraId="4F599C54">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通用合同条件；</w:t>
      </w:r>
    </w:p>
    <w:p w14:paraId="5D6F526B">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 承包人建议书； </w:t>
      </w:r>
    </w:p>
    <w:p w14:paraId="73ED5BBA">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价格清单；</w:t>
      </w:r>
    </w:p>
    <w:p w14:paraId="5F954C4C">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 双方约定的其他合同文件。</w:t>
      </w:r>
    </w:p>
    <w:p w14:paraId="79BC6C43">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bookmarkStart w:id="1053" w:name="_Hlk18951547"/>
      <w:r>
        <w:rPr>
          <w:rFonts w:hint="eastAsia" w:asciiTheme="minorEastAsia" w:hAnsiTheme="minorEastAsia" w:eastAsiaTheme="minorEastAsia" w:cstheme="minorEastAsia"/>
          <w:sz w:val="28"/>
          <w:szCs w:val="28"/>
        </w:rPr>
        <w:t>上述各项合同文件包括合同当事人就该项合同文件所作出的补充和修改，属于同</w:t>
      </w:r>
      <w:r>
        <w:rPr>
          <w:rFonts w:hint="eastAsia" w:asciiTheme="minorEastAsia" w:hAnsiTheme="minorEastAsia" w:eastAsiaTheme="minorEastAsia" w:cstheme="minorEastAsia"/>
          <w:sz w:val="28"/>
          <w:szCs w:val="28"/>
          <w:lang w:eastAsia="zh-CN"/>
        </w:rPr>
        <w:t>一项</w:t>
      </w:r>
      <w:r>
        <w:rPr>
          <w:rFonts w:hint="eastAsia" w:asciiTheme="minorEastAsia" w:hAnsiTheme="minorEastAsia" w:eastAsiaTheme="minorEastAsia" w:cstheme="minorEastAsia"/>
          <w:sz w:val="28"/>
          <w:szCs w:val="28"/>
        </w:rPr>
        <w:t>内容的文件，应以最新签署的为准</w:t>
      </w:r>
      <w:bookmarkEnd w:id="1053"/>
      <w:r>
        <w:rPr>
          <w:rFonts w:hint="eastAsia" w:asciiTheme="minorEastAsia" w:hAnsiTheme="minorEastAsia" w:eastAsiaTheme="minorEastAsia" w:cstheme="minorEastAsia"/>
          <w:sz w:val="28"/>
          <w:szCs w:val="28"/>
        </w:rPr>
        <w:t>。</w:t>
      </w:r>
    </w:p>
    <w:p w14:paraId="22430C4D">
      <w:pPr>
        <w:keepNext w:val="0"/>
        <w:keepLines w:val="0"/>
        <w:pageBreakBefore w:val="0"/>
        <w:widowControl w:val="0"/>
        <w:kinsoku/>
        <w:wordWrap/>
        <w:overflowPunct/>
        <w:topLinePunct w:val="0"/>
        <w:autoSpaceDE/>
        <w:autoSpaceDN/>
        <w:bidi w:val="0"/>
        <w:adjustRightInd/>
        <w:snapToGrid/>
        <w:spacing w:line="360" w:lineRule="auto"/>
        <w:ind w:firstLine="601"/>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在合同订立及履行过程中形成的与合同有关的文件均构成合同文件组成部分，并根据其性质确定优先解释顺序。</w:t>
      </w:r>
    </w:p>
    <w:p w14:paraId="6A813452">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54" w:name="_Ref4422060"/>
      <w:bookmarkStart w:id="1055" w:name="_Toc10526"/>
      <w:bookmarkStart w:id="1056" w:name="_Toc28392"/>
      <w:bookmarkStart w:id="1057" w:name="_Toc18439"/>
      <w:bookmarkStart w:id="1058" w:name="_Ref11917818"/>
      <w:bookmarkStart w:id="1059" w:name="_Ref531949803"/>
      <w:bookmarkStart w:id="1060" w:name="_Ref531949807"/>
      <w:bookmarkStart w:id="1061" w:name="_Ref531949822"/>
      <w:r>
        <w:rPr>
          <w:rFonts w:hint="eastAsia" w:asciiTheme="minorEastAsia" w:hAnsiTheme="minorEastAsia" w:eastAsiaTheme="minorEastAsia" w:cstheme="minorEastAsia"/>
          <w:b w:val="0"/>
          <w:bCs/>
          <w:sz w:val="28"/>
          <w:szCs w:val="28"/>
        </w:rPr>
        <w:t>1.6 文件的提供和</w:t>
      </w:r>
      <w:bookmarkEnd w:id="1054"/>
      <w:r>
        <w:rPr>
          <w:rFonts w:hint="eastAsia" w:asciiTheme="minorEastAsia" w:hAnsiTheme="minorEastAsia" w:eastAsiaTheme="minorEastAsia" w:cstheme="minorEastAsia"/>
          <w:b w:val="0"/>
          <w:bCs/>
          <w:sz w:val="28"/>
          <w:szCs w:val="28"/>
        </w:rPr>
        <w:t>照管</w:t>
      </w:r>
      <w:bookmarkEnd w:id="1055"/>
      <w:bookmarkEnd w:id="1056"/>
      <w:bookmarkEnd w:id="1057"/>
      <w:bookmarkEnd w:id="1058"/>
    </w:p>
    <w:p w14:paraId="0DF7CDC8">
      <w:pPr>
        <w:pStyle w:val="144"/>
        <w:numPr>
          <w:ilvl w:val="0"/>
          <w:numId w:val="0"/>
        </w:numPr>
        <w:outlineLvl w:val="4"/>
        <w:rPr>
          <w:rFonts w:hint="eastAsia" w:asciiTheme="minorEastAsia" w:hAnsiTheme="minorEastAsia" w:eastAsiaTheme="minorEastAsia" w:cstheme="minorEastAsia"/>
          <w:sz w:val="28"/>
          <w:szCs w:val="28"/>
        </w:rPr>
      </w:pPr>
      <w:bookmarkStart w:id="1062" w:name="_Toc24778"/>
      <w:bookmarkStart w:id="1063" w:name="_Toc14536"/>
      <w:bookmarkStart w:id="1064" w:name="_Ref4421991"/>
      <w:r>
        <w:rPr>
          <w:rFonts w:hint="eastAsia" w:asciiTheme="minorEastAsia" w:hAnsiTheme="minorEastAsia" w:eastAsiaTheme="minorEastAsia" w:cstheme="minorEastAsia"/>
          <w:sz w:val="28"/>
          <w:szCs w:val="28"/>
        </w:rPr>
        <w:t>1.6.1 发包人文件的提供</w:t>
      </w:r>
      <w:bookmarkEnd w:id="1062"/>
      <w:bookmarkEnd w:id="1063"/>
      <w:bookmarkEnd w:id="1064"/>
    </w:p>
    <w:p w14:paraId="0EA029E6">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1EF4B74E">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065" w:name="_Ref4422317"/>
      <w:bookmarkStart w:id="1066" w:name="_Toc4946"/>
      <w:bookmarkStart w:id="1067" w:name="_Toc7413"/>
      <w:r>
        <w:rPr>
          <w:rFonts w:hint="eastAsia" w:asciiTheme="minorEastAsia" w:hAnsiTheme="minorEastAsia" w:eastAsiaTheme="minorEastAsia" w:cstheme="minorEastAsia"/>
          <w:sz w:val="28"/>
          <w:szCs w:val="28"/>
        </w:rPr>
        <w:t>1.6.2 承包人文件的提供</w:t>
      </w:r>
      <w:bookmarkEnd w:id="1065"/>
      <w:bookmarkEnd w:id="1066"/>
      <w:bookmarkEnd w:id="1067"/>
    </w:p>
    <w:p w14:paraId="47ACF49A">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除专用合同条件另有约定外，承包人文件应包含下列内容，并用第1.2款[语言文字]约定的语言制作：</w:t>
      </w:r>
    </w:p>
    <w:p w14:paraId="19F77262">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《发包人要求》中规定的相关文件；</w:t>
      </w:r>
    </w:p>
    <w:p w14:paraId="6DA8146E">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满足工程相关行政审批手续所</w:t>
      </w:r>
      <w:r>
        <w:rPr>
          <w:rFonts w:hint="eastAsia" w:asciiTheme="minorEastAsia" w:hAnsiTheme="minorEastAsia" w:eastAsiaTheme="minorEastAsia" w:cstheme="minorEastAsia"/>
          <w:sz w:val="28"/>
          <w:szCs w:val="28"/>
          <w:lang w:eastAsia="zh-CN"/>
        </w:rPr>
        <w:t>必需</w:t>
      </w:r>
      <w:r>
        <w:rPr>
          <w:rFonts w:hint="eastAsia" w:asciiTheme="minorEastAsia" w:hAnsiTheme="minorEastAsia" w:eastAsiaTheme="minorEastAsia" w:cstheme="minorEastAsia"/>
          <w:sz w:val="28"/>
          <w:szCs w:val="28"/>
        </w:rPr>
        <w:t>的应由承包人负责的相关文件；</w:t>
      </w:r>
    </w:p>
    <w:p w14:paraId="5FB75DBF">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第5.4款[竣工文件]与第5.5款[操作和维修手册]中要求的相关文件。</w:t>
      </w:r>
    </w:p>
    <w:p w14:paraId="014706D3">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74AC618B">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068" w:name="_Toc4260"/>
      <w:bookmarkStart w:id="1069" w:name="_Toc19408"/>
      <w:r>
        <w:rPr>
          <w:rFonts w:hint="eastAsia" w:asciiTheme="minorEastAsia" w:hAnsiTheme="minorEastAsia" w:eastAsiaTheme="minorEastAsia" w:cstheme="minorEastAsia"/>
          <w:sz w:val="28"/>
          <w:szCs w:val="28"/>
        </w:rPr>
        <w:t>1.6.3 文件错误的通知</w:t>
      </w:r>
      <w:bookmarkEnd w:id="1068"/>
      <w:bookmarkEnd w:id="1069"/>
    </w:p>
    <w:p w14:paraId="095F6F60">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任何一方发现文件中存在明显的错误或疏忽，应及时通知另一方。</w:t>
      </w:r>
    </w:p>
    <w:p w14:paraId="3B57A9A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070" w:name="_Ref4678410"/>
      <w:bookmarkStart w:id="1071" w:name="_Toc28943"/>
      <w:bookmarkStart w:id="1072" w:name="_Toc4511"/>
      <w:bookmarkStart w:id="1073" w:name="_Ref11957673"/>
      <w:r>
        <w:rPr>
          <w:rFonts w:hint="eastAsia" w:asciiTheme="minorEastAsia" w:hAnsiTheme="minorEastAsia" w:eastAsiaTheme="minorEastAsia" w:cstheme="minorEastAsia"/>
          <w:sz w:val="28"/>
          <w:szCs w:val="28"/>
        </w:rPr>
        <w:t>1.6.4 文件的</w:t>
      </w:r>
      <w:bookmarkEnd w:id="1070"/>
      <w:r>
        <w:rPr>
          <w:rFonts w:hint="eastAsia" w:asciiTheme="minorEastAsia" w:hAnsiTheme="minorEastAsia" w:eastAsiaTheme="minorEastAsia" w:cstheme="minorEastAsia"/>
          <w:sz w:val="28"/>
          <w:szCs w:val="28"/>
        </w:rPr>
        <w:t>照管</w:t>
      </w:r>
      <w:bookmarkEnd w:id="1071"/>
      <w:bookmarkEnd w:id="1072"/>
      <w:bookmarkEnd w:id="1073"/>
    </w:p>
    <w:p w14:paraId="096A0377">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7D9D96CA">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74" w:name="_Toc15562"/>
      <w:bookmarkStart w:id="1075" w:name="_Toc24595"/>
      <w:bookmarkStart w:id="1076" w:name="_Ref4415170"/>
      <w:bookmarkStart w:id="1077" w:name="_Toc21472"/>
      <w:r>
        <w:rPr>
          <w:rFonts w:hint="eastAsia" w:asciiTheme="minorEastAsia" w:hAnsiTheme="minorEastAsia" w:eastAsiaTheme="minorEastAsia" w:cstheme="minorEastAsia"/>
          <w:b w:val="0"/>
          <w:bCs/>
          <w:sz w:val="28"/>
          <w:szCs w:val="28"/>
        </w:rPr>
        <w:t>1.7 联络</w:t>
      </w:r>
      <w:bookmarkEnd w:id="1074"/>
      <w:bookmarkEnd w:id="1075"/>
      <w:bookmarkEnd w:id="1076"/>
      <w:bookmarkEnd w:id="1077"/>
    </w:p>
    <w:p w14:paraId="7CCA7E44">
      <w:pPr>
        <w:pStyle w:val="144"/>
        <w:numPr>
          <w:ilvl w:val="0"/>
          <w:numId w:val="0"/>
        </w:numPr>
        <w:outlineLvl w:val="4"/>
        <w:rPr>
          <w:rFonts w:hint="eastAsia" w:asciiTheme="minorEastAsia" w:hAnsiTheme="minorEastAsia" w:eastAsiaTheme="minorEastAsia" w:cstheme="minorEastAsia"/>
          <w:sz w:val="28"/>
          <w:szCs w:val="28"/>
        </w:rPr>
      </w:pPr>
      <w:bookmarkStart w:id="1078" w:name="_Toc23087"/>
      <w:bookmarkStart w:id="1079" w:name="_Toc9766"/>
      <w:r>
        <w:rPr>
          <w:rFonts w:hint="eastAsia" w:asciiTheme="minorEastAsia" w:hAnsiTheme="minorEastAsia" w:eastAsiaTheme="minorEastAsia" w:cstheme="minorEastAsia"/>
          <w:sz w:val="28"/>
          <w:szCs w:val="28"/>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bookmarkEnd w:id="1078"/>
      <w:bookmarkEnd w:id="1079"/>
    </w:p>
    <w:p w14:paraId="7E9E8BDB">
      <w:pPr>
        <w:pStyle w:val="144"/>
        <w:numPr>
          <w:ilvl w:val="0"/>
          <w:numId w:val="0"/>
        </w:numPr>
        <w:outlineLvl w:val="4"/>
        <w:rPr>
          <w:rFonts w:hint="eastAsia" w:asciiTheme="minorEastAsia" w:hAnsiTheme="minorEastAsia" w:eastAsiaTheme="minorEastAsia" w:cstheme="minorEastAsia"/>
          <w:sz w:val="28"/>
          <w:szCs w:val="28"/>
        </w:rPr>
      </w:pPr>
      <w:bookmarkStart w:id="1080" w:name="_Toc2537"/>
      <w:bookmarkStart w:id="1081" w:name="_Toc11278"/>
      <w:bookmarkStart w:id="1082" w:name="_Ref531949897"/>
      <w:r>
        <w:rPr>
          <w:rFonts w:hint="eastAsia" w:asciiTheme="minorEastAsia" w:hAnsiTheme="minorEastAsia" w:eastAsiaTheme="minorEastAsia" w:cstheme="minorEastAsia"/>
          <w:sz w:val="28"/>
          <w:szCs w:val="28"/>
        </w:rPr>
        <w:t>1.7.2 发包人和承包人应在专用合同条件中约定各自的送达方式和收件地址。任何一方合同当事人指定的送达方式或收件地址发生变动的，应提前3天以书面形式通知对方。</w:t>
      </w:r>
      <w:bookmarkEnd w:id="1080"/>
      <w:bookmarkEnd w:id="1081"/>
      <w:bookmarkEnd w:id="1082"/>
    </w:p>
    <w:p w14:paraId="1F5BB40D">
      <w:pPr>
        <w:pStyle w:val="144"/>
        <w:numPr>
          <w:ilvl w:val="0"/>
          <w:numId w:val="0"/>
        </w:numPr>
        <w:outlineLvl w:val="4"/>
        <w:rPr>
          <w:rFonts w:hint="eastAsia" w:asciiTheme="minorEastAsia" w:hAnsiTheme="minorEastAsia" w:eastAsiaTheme="minorEastAsia" w:cstheme="minorEastAsia"/>
          <w:sz w:val="28"/>
          <w:szCs w:val="28"/>
        </w:rPr>
      </w:pPr>
      <w:bookmarkStart w:id="1083" w:name="_Toc29897"/>
      <w:bookmarkStart w:id="1084" w:name="_Toc7625"/>
      <w:r>
        <w:rPr>
          <w:rFonts w:hint="eastAsia" w:asciiTheme="minorEastAsia" w:hAnsiTheme="minorEastAsia" w:eastAsiaTheme="minorEastAsia" w:cstheme="minorEastAsia"/>
          <w:sz w:val="28"/>
          <w:szCs w:val="28"/>
        </w:rPr>
        <w:t>1.7.3 发包人和承包人应当及时签收另一方通过约定的送达方式送达至收件地址的来往文件。拒不签收的，由此增加的费用和（或）延误的工期由拒绝接收一方承担。</w:t>
      </w:r>
      <w:bookmarkEnd w:id="1083"/>
      <w:bookmarkEnd w:id="1084"/>
    </w:p>
    <w:p w14:paraId="6F8B66FB">
      <w:pPr>
        <w:pStyle w:val="144"/>
        <w:numPr>
          <w:ilvl w:val="0"/>
          <w:numId w:val="0"/>
        </w:numPr>
        <w:outlineLvl w:val="4"/>
        <w:rPr>
          <w:rFonts w:hint="eastAsia" w:asciiTheme="minorEastAsia" w:hAnsiTheme="minorEastAsia" w:eastAsiaTheme="minorEastAsia" w:cstheme="minorEastAsia"/>
          <w:sz w:val="28"/>
          <w:szCs w:val="28"/>
        </w:rPr>
      </w:pPr>
      <w:bookmarkStart w:id="1085" w:name="_Toc2209"/>
      <w:bookmarkStart w:id="1086" w:name="_Toc8899"/>
      <w:r>
        <w:rPr>
          <w:rFonts w:hint="eastAsia" w:asciiTheme="minorEastAsia" w:hAnsiTheme="minorEastAsia" w:eastAsiaTheme="minorEastAsia" w:cstheme="minorEastAsia"/>
          <w:sz w:val="28"/>
          <w:szCs w:val="28"/>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bookmarkEnd w:id="1085"/>
      <w:bookmarkEnd w:id="1086"/>
    </w:p>
    <w:p w14:paraId="610C588E">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87" w:name="_Toc23576"/>
      <w:bookmarkStart w:id="1088" w:name="_Toc30404"/>
      <w:bookmarkStart w:id="1089" w:name="_Toc26851"/>
      <w:r>
        <w:rPr>
          <w:rFonts w:hint="eastAsia" w:asciiTheme="minorEastAsia" w:hAnsiTheme="minorEastAsia" w:eastAsiaTheme="minorEastAsia" w:cstheme="minorEastAsia"/>
          <w:b w:val="0"/>
          <w:bCs/>
          <w:sz w:val="28"/>
          <w:szCs w:val="28"/>
        </w:rPr>
        <w:t>1.8 严禁贿赂</w:t>
      </w:r>
      <w:bookmarkEnd w:id="1059"/>
      <w:bookmarkEnd w:id="1060"/>
      <w:bookmarkEnd w:id="1061"/>
      <w:bookmarkEnd w:id="1087"/>
      <w:bookmarkEnd w:id="1088"/>
      <w:bookmarkEnd w:id="1089"/>
    </w:p>
    <w:p w14:paraId="042330D7">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合同当事人不得以贿赂或变相贿赂的方式，谋取非法利益或损害对方权益。因一方合同当事人的贿赂造成对方损失的，应赔偿损失，并承担相应的法律责任。</w:t>
      </w:r>
    </w:p>
    <w:p w14:paraId="043342E9">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承包人不得与工程师或发包人聘请的第三方串通损害发包人利益。未经发包人书面同意，承包人不得为工程师提供合同约定以外的通讯设备、交通工具及其他任何形式的利益，不得向工程师支付报酬。</w:t>
      </w:r>
    </w:p>
    <w:p w14:paraId="14DFD0DA">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90" w:name="_Toc15778"/>
      <w:bookmarkStart w:id="1091" w:name="_Toc26927"/>
      <w:bookmarkStart w:id="1092" w:name="_Toc31401"/>
      <w:r>
        <w:rPr>
          <w:rFonts w:hint="eastAsia" w:asciiTheme="minorEastAsia" w:hAnsiTheme="minorEastAsia" w:eastAsiaTheme="minorEastAsia" w:cstheme="minorEastAsia"/>
          <w:b w:val="0"/>
          <w:bCs/>
          <w:sz w:val="28"/>
          <w:szCs w:val="28"/>
        </w:rPr>
        <w:t>1.9 化石、文物</w:t>
      </w:r>
      <w:bookmarkEnd w:id="1090"/>
      <w:bookmarkEnd w:id="1091"/>
      <w:bookmarkEnd w:id="1092"/>
    </w:p>
    <w:p w14:paraId="26F3A95C">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7DA6FEB4">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发包人、工程师和承包人应按有关政府行政管理部门要求采取妥善的保护措施，由此增加的费用和（或）延误的工期由发包人承担。</w:t>
      </w:r>
    </w:p>
    <w:p w14:paraId="74794C3F">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承包人发现文物后不及时报告或隐瞒不报，致使文物丢失或损坏的，应赔偿损失，并承担相应的法律责任。</w:t>
      </w:r>
    </w:p>
    <w:p w14:paraId="392C51C1">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093" w:name="_Ref531949770"/>
      <w:bookmarkStart w:id="1094" w:name="_Toc18231"/>
      <w:bookmarkStart w:id="1095" w:name="_Toc15046"/>
      <w:bookmarkStart w:id="1096" w:name="_Ref4423426"/>
      <w:bookmarkStart w:id="1097" w:name="_Toc19029"/>
      <w:bookmarkStart w:id="1098" w:name="_Ref531949766"/>
      <w:bookmarkStart w:id="1099" w:name="_Ref531949826"/>
      <w:bookmarkStart w:id="1100" w:name="_Ref531949855"/>
      <w:bookmarkStart w:id="1101" w:name="_Ref531949841"/>
      <w:r>
        <w:rPr>
          <w:rFonts w:hint="eastAsia" w:asciiTheme="minorEastAsia" w:hAnsiTheme="minorEastAsia" w:eastAsiaTheme="minorEastAsia" w:cstheme="minorEastAsia"/>
          <w:b w:val="0"/>
          <w:bCs/>
          <w:sz w:val="28"/>
          <w:szCs w:val="28"/>
        </w:rPr>
        <w:t>1.10 知识产权</w:t>
      </w:r>
      <w:bookmarkEnd w:id="1093"/>
      <w:bookmarkEnd w:id="1094"/>
      <w:bookmarkEnd w:id="1095"/>
      <w:bookmarkEnd w:id="1096"/>
      <w:bookmarkEnd w:id="1097"/>
      <w:bookmarkEnd w:id="1098"/>
      <w:r>
        <w:rPr>
          <w:rFonts w:hint="eastAsia" w:asciiTheme="minorEastAsia" w:hAnsiTheme="minorEastAsia" w:eastAsiaTheme="minorEastAsia" w:cstheme="minorEastAsia"/>
          <w:b w:val="0"/>
          <w:bCs/>
          <w:sz w:val="28"/>
          <w:szCs w:val="28"/>
        </w:rPr>
        <w:t xml:space="preserve"> </w:t>
      </w:r>
    </w:p>
    <w:p w14:paraId="19449396">
      <w:pPr>
        <w:pStyle w:val="144"/>
        <w:numPr>
          <w:ilvl w:val="0"/>
          <w:numId w:val="0"/>
        </w:numPr>
        <w:outlineLvl w:val="4"/>
        <w:rPr>
          <w:rFonts w:hint="eastAsia" w:asciiTheme="minorEastAsia" w:hAnsiTheme="minorEastAsia" w:eastAsiaTheme="minorEastAsia" w:cstheme="minorEastAsia"/>
          <w:sz w:val="28"/>
          <w:szCs w:val="28"/>
        </w:rPr>
      </w:pPr>
      <w:bookmarkStart w:id="1102" w:name="_Ref4423563"/>
      <w:bookmarkStart w:id="1103" w:name="_Toc17036"/>
      <w:bookmarkStart w:id="1104" w:name="_Toc28032"/>
      <w:r>
        <w:rPr>
          <w:rFonts w:hint="eastAsia" w:asciiTheme="minorEastAsia" w:hAnsiTheme="minorEastAsia" w:eastAsiaTheme="minorEastAsia" w:cstheme="minorEastAsia"/>
          <w:sz w:val="28"/>
          <w:szCs w:val="28"/>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102"/>
      <w:bookmarkEnd w:id="1103"/>
      <w:bookmarkEnd w:id="1104"/>
    </w:p>
    <w:p w14:paraId="24EB213F">
      <w:pPr>
        <w:pStyle w:val="144"/>
        <w:numPr>
          <w:ilvl w:val="0"/>
          <w:numId w:val="0"/>
        </w:numPr>
        <w:outlineLvl w:val="4"/>
        <w:rPr>
          <w:rFonts w:hint="eastAsia" w:asciiTheme="minorEastAsia" w:hAnsiTheme="minorEastAsia" w:eastAsiaTheme="minorEastAsia" w:cstheme="minorEastAsia"/>
          <w:sz w:val="28"/>
          <w:szCs w:val="28"/>
        </w:rPr>
      </w:pPr>
      <w:bookmarkStart w:id="1105" w:name="_Toc16900"/>
      <w:bookmarkStart w:id="1106" w:name="_Toc30823"/>
      <w:bookmarkStart w:id="1107" w:name="_Ref4423604"/>
      <w:r>
        <w:rPr>
          <w:rFonts w:hint="eastAsia" w:asciiTheme="minorEastAsia" w:hAnsiTheme="minorEastAsia" w:eastAsiaTheme="minorEastAsia" w:cstheme="minorEastAsia"/>
          <w:sz w:val="28"/>
          <w:szCs w:val="28"/>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105"/>
      <w:bookmarkEnd w:id="1106"/>
      <w:bookmarkEnd w:id="1107"/>
    </w:p>
    <w:p w14:paraId="151FC549">
      <w:pPr>
        <w:pStyle w:val="144"/>
        <w:numPr>
          <w:ilvl w:val="0"/>
          <w:numId w:val="0"/>
        </w:numPr>
        <w:outlineLvl w:val="4"/>
        <w:rPr>
          <w:rFonts w:hint="eastAsia" w:asciiTheme="minorEastAsia" w:hAnsiTheme="minorEastAsia" w:eastAsiaTheme="minorEastAsia" w:cstheme="minorEastAsia"/>
          <w:sz w:val="28"/>
          <w:szCs w:val="28"/>
        </w:rPr>
      </w:pPr>
      <w:bookmarkStart w:id="1108" w:name="_Toc5329"/>
      <w:bookmarkStart w:id="1109" w:name="_Toc20227"/>
      <w:r>
        <w:rPr>
          <w:rFonts w:hint="eastAsia" w:asciiTheme="minorEastAsia" w:hAnsiTheme="minorEastAsia" w:eastAsiaTheme="minorEastAsia" w:cstheme="minorEastAsia"/>
          <w:sz w:val="28"/>
          <w:szCs w:val="28"/>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bookmarkEnd w:id="1108"/>
      <w:bookmarkEnd w:id="1109"/>
    </w:p>
    <w:p w14:paraId="6CFF551C">
      <w:pPr>
        <w:pStyle w:val="144"/>
        <w:numPr>
          <w:ilvl w:val="0"/>
          <w:numId w:val="0"/>
        </w:numPr>
        <w:outlineLvl w:val="4"/>
        <w:rPr>
          <w:rFonts w:hint="eastAsia" w:asciiTheme="minorEastAsia" w:hAnsiTheme="minorEastAsia" w:eastAsiaTheme="minorEastAsia" w:cstheme="minorEastAsia"/>
          <w:sz w:val="28"/>
          <w:szCs w:val="28"/>
        </w:rPr>
      </w:pPr>
      <w:bookmarkStart w:id="1110" w:name="_Toc10137"/>
      <w:bookmarkStart w:id="1111" w:name="_Ref4423695"/>
      <w:bookmarkStart w:id="1112" w:name="_Toc10259"/>
      <w:r>
        <w:rPr>
          <w:rFonts w:hint="eastAsia" w:asciiTheme="minorEastAsia" w:hAnsiTheme="minorEastAsia" w:eastAsiaTheme="minorEastAsia" w:cstheme="minorEastAsia"/>
          <w:sz w:val="28"/>
          <w:szCs w:val="28"/>
        </w:rPr>
        <w:t>1.10.4 除专用合同条件另有约定外，承包人在投标文件中采用的专利、专有技术、商业软件、技术秘密的使用费已包含在签约合同价中。</w:t>
      </w:r>
      <w:bookmarkEnd w:id="1110"/>
      <w:bookmarkEnd w:id="1111"/>
      <w:bookmarkEnd w:id="1112"/>
    </w:p>
    <w:p w14:paraId="7F64735C">
      <w:pPr>
        <w:pStyle w:val="144"/>
        <w:numPr>
          <w:ilvl w:val="0"/>
          <w:numId w:val="0"/>
        </w:numPr>
        <w:outlineLvl w:val="4"/>
        <w:rPr>
          <w:rFonts w:hint="eastAsia" w:asciiTheme="minorEastAsia" w:hAnsiTheme="minorEastAsia" w:eastAsiaTheme="minorEastAsia" w:cstheme="minorEastAsia"/>
          <w:sz w:val="28"/>
          <w:szCs w:val="28"/>
        </w:rPr>
      </w:pPr>
      <w:bookmarkStart w:id="1113" w:name="_Toc5438"/>
      <w:bookmarkStart w:id="1114" w:name="_Toc31175"/>
      <w:r>
        <w:rPr>
          <w:rFonts w:hint="eastAsia" w:asciiTheme="minorEastAsia" w:hAnsiTheme="minorEastAsia" w:eastAsiaTheme="minorEastAsia" w:cstheme="minorEastAsia"/>
          <w:sz w:val="28"/>
          <w:szCs w:val="28"/>
        </w:rPr>
        <w:t>1.10.5 合同当事人可就本合同涉及的合同一方</w:t>
      </w:r>
      <w:r>
        <w:rPr>
          <w:rFonts w:hint="eastAsia" w:asciiTheme="minorEastAsia" w:hAnsiTheme="minorEastAsia" w:eastAsiaTheme="minorEastAsia" w:cstheme="minorEastAsia"/>
          <w:sz w:val="28"/>
          <w:szCs w:val="28"/>
          <w:lang w:eastAsia="zh-CN"/>
        </w:rPr>
        <w:t>或</w:t>
      </w:r>
      <w:r>
        <w:rPr>
          <w:rFonts w:hint="eastAsia" w:asciiTheme="minorEastAsia" w:hAnsiTheme="minorEastAsia" w:eastAsiaTheme="minorEastAsia" w:cstheme="minorEastAsia"/>
          <w:sz w:val="28"/>
          <w:szCs w:val="28"/>
        </w:rPr>
        <w:t>合同双方（含一方或双方相关的专利商或第三方设计单位</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的技术专利、建筑设计方案、专有技术、设计文件著作权等知识产权，订立知识产权及保密协议，作为本合同的组成部分。</w:t>
      </w:r>
      <w:bookmarkEnd w:id="1113"/>
      <w:bookmarkEnd w:id="1114"/>
    </w:p>
    <w:p w14:paraId="376BE048">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115" w:name="_Ref4423873"/>
      <w:bookmarkStart w:id="1116" w:name="_Toc15125"/>
      <w:bookmarkStart w:id="1117" w:name="_Ref4423898"/>
      <w:bookmarkStart w:id="1118" w:name="_Toc23516"/>
      <w:bookmarkStart w:id="1119" w:name="_Toc16125"/>
      <w:r>
        <w:rPr>
          <w:rFonts w:hint="eastAsia" w:asciiTheme="minorEastAsia" w:hAnsiTheme="minorEastAsia" w:eastAsiaTheme="minorEastAsia" w:cstheme="minorEastAsia"/>
          <w:b w:val="0"/>
          <w:bCs/>
          <w:sz w:val="28"/>
          <w:szCs w:val="28"/>
        </w:rPr>
        <w:t>1.11 保密</w:t>
      </w:r>
      <w:bookmarkEnd w:id="1099"/>
      <w:bookmarkEnd w:id="1100"/>
      <w:bookmarkEnd w:id="1101"/>
      <w:bookmarkEnd w:id="1115"/>
      <w:bookmarkEnd w:id="1116"/>
      <w:bookmarkEnd w:id="1117"/>
      <w:bookmarkEnd w:id="1118"/>
      <w:bookmarkEnd w:id="1119"/>
    </w:p>
    <w:p w14:paraId="3FAF2B5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合同当事人一方对在订立和履行合同过程中知悉的另一方的商业秘密、技术秘密，以及任何一方明确要求保密的</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信息，负有保密责任。</w:t>
      </w:r>
    </w:p>
    <w:p w14:paraId="26AB4E4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除法律规定或合同另有约定外，未经对方同意，任何一方当事人不得将对方提供的文件、技术秘密以及声明需要保密的资料信息等商业秘密泄露给第三方或者用于本合同以外的目的。</w:t>
      </w:r>
    </w:p>
    <w:p w14:paraId="4B9EC35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1F4E941F">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120" w:name="_Toc6905"/>
      <w:bookmarkStart w:id="1121" w:name="_Ref532336812"/>
      <w:bookmarkStart w:id="1122" w:name="_Toc9840"/>
      <w:bookmarkStart w:id="1123" w:name="_Toc31944"/>
      <w:r>
        <w:rPr>
          <w:rFonts w:hint="eastAsia" w:asciiTheme="minorEastAsia" w:hAnsiTheme="minorEastAsia" w:eastAsiaTheme="minorEastAsia" w:cstheme="minorEastAsia"/>
          <w:b w:val="0"/>
          <w:bCs/>
          <w:sz w:val="28"/>
          <w:szCs w:val="28"/>
        </w:rPr>
        <w:t xml:space="preserve">1.12 </w:t>
      </w:r>
      <w:bookmarkStart w:id="1124" w:name="_Hlk55215423"/>
      <w:r>
        <w:rPr>
          <w:rFonts w:hint="eastAsia" w:asciiTheme="minorEastAsia" w:hAnsiTheme="minorEastAsia" w:eastAsiaTheme="minorEastAsia" w:cstheme="minorEastAsia"/>
          <w:b w:val="0"/>
          <w:bCs/>
          <w:sz w:val="28"/>
          <w:szCs w:val="28"/>
        </w:rPr>
        <w:t>《发包人要求》和基础资料中的错误</w:t>
      </w:r>
      <w:bookmarkEnd w:id="1120"/>
      <w:bookmarkEnd w:id="1121"/>
      <w:bookmarkEnd w:id="1122"/>
      <w:bookmarkEnd w:id="1123"/>
      <w:bookmarkEnd w:id="1124"/>
    </w:p>
    <w:p w14:paraId="5F9A420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承包人应尽早认真阅读、复核《发包人要求》以及其提供的基础资料，发现错误的，应及时书面通知发包人补正。发包人相应修改的，按照第13条[变更与调整</w:t>
      </w:r>
      <w:bookmarkStart w:id="1125" w:name="_Ref523403776"/>
      <w:bookmarkStart w:id="1126" w:name="_Ref523403409"/>
      <w:r>
        <w:rPr>
          <w:rFonts w:hint="eastAsia" w:asciiTheme="minorEastAsia" w:hAnsiTheme="minorEastAsia" w:eastAsiaTheme="minorEastAsia" w:cstheme="minorEastAsia"/>
          <w:sz w:val="28"/>
          <w:szCs w:val="28"/>
        </w:rPr>
        <w:t>]的约定处理。</w:t>
      </w:r>
    </w:p>
    <w:p w14:paraId="64CB40E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《发包人要求》或其提供的基础资料中的错误导致承包人增加费用和（或）工期延误的，发包人应承担由此增加的费用和（或）工期延误，并向承包人支付合理利润。</w:t>
      </w:r>
    </w:p>
    <w:bookmarkEnd w:id="1125"/>
    <w:bookmarkEnd w:id="1126"/>
    <w:p w14:paraId="447249D6">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127" w:name="_Toc17452"/>
      <w:bookmarkStart w:id="1128" w:name="_Ref531949937"/>
      <w:bookmarkStart w:id="1129" w:name="_Ref531949933"/>
      <w:bookmarkStart w:id="1130" w:name="_Toc31426"/>
      <w:bookmarkStart w:id="1131" w:name="_Toc23485"/>
      <w:r>
        <w:rPr>
          <w:rFonts w:hint="eastAsia" w:asciiTheme="minorEastAsia" w:hAnsiTheme="minorEastAsia" w:eastAsiaTheme="minorEastAsia" w:cstheme="minorEastAsia"/>
          <w:b w:val="0"/>
          <w:bCs/>
          <w:sz w:val="28"/>
          <w:szCs w:val="28"/>
        </w:rPr>
        <w:t>1.13 责任限制</w:t>
      </w:r>
      <w:bookmarkEnd w:id="1127"/>
      <w:bookmarkEnd w:id="1128"/>
      <w:bookmarkEnd w:id="1129"/>
      <w:bookmarkEnd w:id="1130"/>
      <w:bookmarkEnd w:id="1131"/>
    </w:p>
    <w:p w14:paraId="21DD10B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24D73EC1">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132" w:name="_Toc17093"/>
      <w:bookmarkStart w:id="1133" w:name="_Toc7885"/>
      <w:bookmarkStart w:id="1134" w:name="_Toc16891"/>
      <w:bookmarkStart w:id="1135" w:name="_Hlk51506160"/>
      <w:r>
        <w:rPr>
          <w:rFonts w:hint="eastAsia" w:asciiTheme="minorEastAsia" w:hAnsiTheme="minorEastAsia" w:eastAsiaTheme="minorEastAsia" w:cstheme="minorEastAsia"/>
          <w:b w:val="0"/>
          <w:bCs/>
          <w:sz w:val="28"/>
          <w:szCs w:val="28"/>
        </w:rPr>
        <w:t>1.14 建筑信息模型技术的应用</w:t>
      </w:r>
      <w:bookmarkEnd w:id="1132"/>
      <w:bookmarkEnd w:id="1133"/>
      <w:bookmarkEnd w:id="1134"/>
    </w:p>
    <w:bookmarkEnd w:id="1135"/>
    <w:p w14:paraId="02EDB66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2902D6A">
      <w:pPr>
        <w:pStyle w:val="142"/>
        <w:keepNext w:val="0"/>
        <w:keepLines w:val="0"/>
        <w:pageBreakBefore w:val="0"/>
        <w:numPr>
          <w:ilvl w:val="0"/>
          <w:numId w:val="0"/>
        </w:numPr>
        <w:kinsoku/>
        <w:wordWrap/>
        <w:overflowPunct/>
        <w:topLinePunct w:val="0"/>
        <w:autoSpaceDE/>
        <w:autoSpaceDN/>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136" w:name="_Ref4796511"/>
      <w:bookmarkStart w:id="1137" w:name="_Toc18888"/>
      <w:bookmarkStart w:id="1138" w:name="_Toc31168"/>
      <w:bookmarkStart w:id="1139" w:name="_Toc31487"/>
      <w:bookmarkStart w:id="1140" w:name="_Toc32106"/>
      <w:bookmarkStart w:id="1141" w:name="_Toc3842"/>
      <w:r>
        <w:rPr>
          <w:rFonts w:hint="eastAsia" w:asciiTheme="minorEastAsia" w:hAnsiTheme="minorEastAsia" w:eastAsiaTheme="minorEastAsia" w:cstheme="minorEastAsia"/>
          <w:b w:val="0"/>
          <w:bCs/>
          <w:sz w:val="28"/>
          <w:szCs w:val="28"/>
        </w:rPr>
        <w:t>第2条 发包人</w:t>
      </w:r>
      <w:bookmarkEnd w:id="1136"/>
      <w:bookmarkEnd w:id="1137"/>
      <w:bookmarkEnd w:id="1138"/>
      <w:bookmarkEnd w:id="1139"/>
      <w:bookmarkEnd w:id="1140"/>
      <w:bookmarkEnd w:id="1141"/>
    </w:p>
    <w:p w14:paraId="58BC4254">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142" w:name="_Toc9185"/>
      <w:bookmarkStart w:id="1143" w:name="_Toc26293"/>
      <w:bookmarkStart w:id="1144" w:name="_Toc9830"/>
      <w:r>
        <w:rPr>
          <w:rFonts w:hint="eastAsia" w:asciiTheme="minorEastAsia" w:hAnsiTheme="minorEastAsia" w:eastAsiaTheme="minorEastAsia" w:cstheme="minorEastAsia"/>
          <w:b w:val="0"/>
          <w:bCs/>
          <w:sz w:val="28"/>
          <w:szCs w:val="28"/>
        </w:rPr>
        <w:t>2.1 遵守法律</w:t>
      </w:r>
      <w:bookmarkEnd w:id="1142"/>
      <w:bookmarkEnd w:id="1143"/>
      <w:bookmarkEnd w:id="1144"/>
    </w:p>
    <w:p w14:paraId="59BB8FA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75492268">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145" w:name="_Toc4447"/>
      <w:bookmarkStart w:id="1146" w:name="_Ref11917995"/>
      <w:bookmarkStart w:id="1147" w:name="_Ref11917977"/>
      <w:bookmarkStart w:id="1148" w:name="_Toc20263"/>
      <w:bookmarkStart w:id="1149" w:name="_Toc17266"/>
      <w:r>
        <w:rPr>
          <w:rFonts w:hint="eastAsia" w:asciiTheme="minorEastAsia" w:hAnsiTheme="minorEastAsia" w:eastAsiaTheme="minorEastAsia" w:cstheme="minorEastAsia"/>
          <w:b w:val="0"/>
          <w:bCs/>
          <w:sz w:val="28"/>
          <w:szCs w:val="28"/>
        </w:rPr>
        <w:t>2.2 提供施工现场和工作条件</w:t>
      </w:r>
      <w:bookmarkEnd w:id="1145"/>
      <w:bookmarkEnd w:id="1146"/>
      <w:bookmarkEnd w:id="1147"/>
      <w:bookmarkEnd w:id="1148"/>
      <w:bookmarkEnd w:id="1149"/>
      <w:bookmarkStart w:id="1150" w:name="_Toc54862195"/>
      <w:bookmarkEnd w:id="1150"/>
      <w:bookmarkStart w:id="1151" w:name="_Toc51505125"/>
      <w:bookmarkEnd w:id="1151"/>
      <w:bookmarkStart w:id="1152" w:name="_Toc54862197"/>
      <w:bookmarkEnd w:id="1152"/>
      <w:bookmarkStart w:id="1153" w:name="_Toc54862196"/>
      <w:bookmarkEnd w:id="1153"/>
      <w:bookmarkStart w:id="1154" w:name="_Toc51505123"/>
      <w:bookmarkEnd w:id="1154"/>
      <w:bookmarkStart w:id="1155" w:name="_Toc51505124"/>
      <w:bookmarkEnd w:id="1155"/>
      <w:bookmarkStart w:id="1156" w:name="_Ref531950085"/>
    </w:p>
    <w:p w14:paraId="73B99353">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157" w:name="_Toc10595"/>
      <w:bookmarkStart w:id="1158" w:name="_Toc2307"/>
      <w:r>
        <w:rPr>
          <w:rFonts w:hint="eastAsia" w:asciiTheme="minorEastAsia" w:hAnsiTheme="minorEastAsia" w:eastAsiaTheme="minorEastAsia" w:cstheme="minorEastAsia"/>
          <w:sz w:val="28"/>
          <w:szCs w:val="28"/>
        </w:rPr>
        <w:t>2.2.1 提供施工</w:t>
      </w:r>
      <w:bookmarkEnd w:id="1156"/>
      <w:r>
        <w:rPr>
          <w:rFonts w:hint="eastAsia" w:asciiTheme="minorEastAsia" w:hAnsiTheme="minorEastAsia" w:eastAsiaTheme="minorEastAsia" w:cstheme="minorEastAsia"/>
          <w:sz w:val="28"/>
          <w:szCs w:val="28"/>
        </w:rPr>
        <w:t>现场</w:t>
      </w:r>
      <w:bookmarkEnd w:id="1157"/>
      <w:bookmarkEnd w:id="1158"/>
    </w:p>
    <w:p w14:paraId="4FFDC0D1">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sz w:val="28"/>
          <w:szCs w:val="28"/>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61C18D14">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159" w:name="_Toc12102"/>
      <w:bookmarkStart w:id="1160" w:name="_Toc19472"/>
      <w:bookmarkStart w:id="1161" w:name="_Ref531950101"/>
      <w:r>
        <w:rPr>
          <w:rFonts w:hint="eastAsia" w:asciiTheme="minorEastAsia" w:hAnsiTheme="minorEastAsia" w:eastAsiaTheme="minorEastAsia" w:cstheme="minorEastAsia"/>
          <w:sz w:val="28"/>
          <w:szCs w:val="28"/>
        </w:rPr>
        <w:t>2.2.2 提供工作条件</w:t>
      </w:r>
      <w:bookmarkEnd w:id="1159"/>
      <w:bookmarkEnd w:id="1160"/>
      <w:bookmarkEnd w:id="1161"/>
    </w:p>
    <w:p w14:paraId="1479983E">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发包人应按专用合同条件约定向承包人提供工作条件。专用合同条件对此没有约定的，发包人应负责提供开展本合同相关工作所需要的条件，包括：</w:t>
      </w:r>
    </w:p>
    <w:p w14:paraId="3C6C19CE">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将施工用水、电力、通讯线路等施工所必需的条件接至施工现场内；</w:t>
      </w:r>
    </w:p>
    <w:p w14:paraId="30D6D2F0">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保证向承包人提供正常施工所需要的进入施工现场的交通条件；</w:t>
      </w:r>
    </w:p>
    <w:p w14:paraId="13F1AE14">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协调处理施工现场周围地下管线和邻近建筑物、构筑物、古树名木、文物、化石及坟墓等的保护工作，并承担相关费用；</w:t>
      </w:r>
    </w:p>
    <w:p w14:paraId="599C5F87">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对工程现场临近发包人正在使用、运行</w:t>
      </w:r>
      <w:r>
        <w:rPr>
          <w:rFonts w:hint="eastAsia" w:asciiTheme="minorEastAsia" w:hAnsiTheme="minorEastAsia" w:eastAsiaTheme="minorEastAsia" w:cstheme="minorEastAsia"/>
          <w:sz w:val="28"/>
          <w:szCs w:val="28"/>
          <w:lang w:eastAsia="zh-CN"/>
        </w:rPr>
        <w:t>或</w:t>
      </w:r>
      <w:r>
        <w:rPr>
          <w:rFonts w:hint="eastAsia" w:asciiTheme="minorEastAsia" w:hAnsiTheme="minorEastAsia" w:eastAsiaTheme="minorEastAsia" w:cstheme="minorEastAsia"/>
          <w:sz w:val="28"/>
          <w:szCs w:val="28"/>
        </w:rPr>
        <w:t>由发包人用于生产的建筑物、构筑物、生产装置、设施、设备等，设置隔离设施，竖立禁止入内、禁止动火的明显标志， 并以书面形式通知承包人须遵守的安全规定和位置范围；</w:t>
      </w:r>
    </w:p>
    <w:p w14:paraId="06680484">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按照专用合同条件约定应提供的其他设施和条件。</w:t>
      </w:r>
    </w:p>
    <w:p w14:paraId="16441F2E">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162" w:name="_Toc12397"/>
      <w:bookmarkStart w:id="1163" w:name="_Toc16189"/>
      <w:r>
        <w:rPr>
          <w:rFonts w:hint="eastAsia" w:asciiTheme="minorEastAsia" w:hAnsiTheme="minorEastAsia" w:eastAsiaTheme="minorEastAsia" w:cstheme="minorEastAsia"/>
          <w:sz w:val="28"/>
          <w:szCs w:val="28"/>
        </w:rPr>
        <w:t>2.2.3 逾期提供的责任</w:t>
      </w:r>
      <w:bookmarkEnd w:id="1162"/>
      <w:bookmarkEnd w:id="1163"/>
    </w:p>
    <w:p w14:paraId="1A229B74">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因发包人原因未能按合同约定及时向承包人提供施工现场和施工条件的，由发包人承担由此增加的费用和（或）延误的工期。</w:t>
      </w:r>
    </w:p>
    <w:p w14:paraId="0956F563">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164" w:name="_Toc15341"/>
      <w:bookmarkStart w:id="1165" w:name="_Toc2569"/>
      <w:bookmarkStart w:id="1166" w:name="_Ref11918036"/>
      <w:bookmarkStart w:id="1167" w:name="_Ref11918025"/>
      <w:bookmarkStart w:id="1168" w:name="_Ref11956647"/>
      <w:bookmarkStart w:id="1169" w:name="_Ref11956654"/>
      <w:bookmarkStart w:id="1170" w:name="_Toc17109"/>
      <w:r>
        <w:rPr>
          <w:rFonts w:hint="eastAsia" w:asciiTheme="minorEastAsia" w:hAnsiTheme="minorEastAsia" w:eastAsiaTheme="minorEastAsia" w:cstheme="minorEastAsia"/>
          <w:b w:val="0"/>
          <w:bCs/>
          <w:sz w:val="28"/>
          <w:szCs w:val="28"/>
        </w:rPr>
        <w:t>2.3 提供基础资料</w:t>
      </w:r>
      <w:bookmarkEnd w:id="1164"/>
      <w:bookmarkEnd w:id="1165"/>
      <w:bookmarkEnd w:id="1166"/>
      <w:bookmarkEnd w:id="1167"/>
      <w:bookmarkEnd w:id="1168"/>
      <w:bookmarkEnd w:id="1169"/>
      <w:bookmarkEnd w:id="1170"/>
    </w:p>
    <w:p w14:paraId="6D9E52A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bookmarkStart w:id="1171" w:name="_Hlk51506429"/>
      <w:r>
        <w:rPr>
          <w:rFonts w:hint="eastAsia" w:asciiTheme="minorEastAsia" w:hAnsiTheme="minorEastAsia" w:eastAsiaTheme="minorEastAsia" w:cstheme="minorEastAsia"/>
          <w:sz w:val="28"/>
          <w:szCs w:val="28"/>
        </w:rPr>
        <w:t>发包人应按专用合同条件和《发包人要求》中的约定向承包人提供</w:t>
      </w:r>
      <w:bookmarkEnd w:id="1171"/>
      <w:r>
        <w:rPr>
          <w:rFonts w:hint="eastAsia" w:asciiTheme="minorEastAsia" w:hAnsiTheme="minorEastAsia" w:eastAsiaTheme="minorEastAsia" w:cstheme="minorEastAsia"/>
          <w:sz w:val="28"/>
          <w:szCs w:val="28"/>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49F473ED">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172" w:name="_Toc23262"/>
      <w:bookmarkStart w:id="1173" w:name="_Ref531950045"/>
      <w:bookmarkStart w:id="1174" w:name="_Ref531950041"/>
      <w:bookmarkStart w:id="1175" w:name="_Toc13556"/>
      <w:bookmarkStart w:id="1176" w:name="_Toc8401"/>
      <w:r>
        <w:rPr>
          <w:rFonts w:hint="eastAsia" w:asciiTheme="minorEastAsia" w:hAnsiTheme="minorEastAsia" w:eastAsiaTheme="minorEastAsia" w:cstheme="minorEastAsia"/>
          <w:b w:val="0"/>
          <w:bCs/>
          <w:sz w:val="28"/>
          <w:szCs w:val="28"/>
        </w:rPr>
        <w:t>2.4 办理许可和批准</w:t>
      </w:r>
      <w:bookmarkEnd w:id="1172"/>
      <w:bookmarkEnd w:id="1173"/>
      <w:bookmarkEnd w:id="1174"/>
      <w:bookmarkEnd w:id="1175"/>
      <w:bookmarkEnd w:id="1176"/>
    </w:p>
    <w:p w14:paraId="37E82DC8">
      <w:pPr>
        <w:pStyle w:val="144"/>
        <w:numPr>
          <w:ilvl w:val="0"/>
          <w:numId w:val="0"/>
        </w:numPr>
        <w:outlineLvl w:val="4"/>
        <w:rPr>
          <w:rFonts w:hint="eastAsia" w:asciiTheme="minorEastAsia" w:hAnsiTheme="minorEastAsia" w:eastAsiaTheme="minorEastAsia" w:cstheme="minorEastAsia"/>
          <w:sz w:val="28"/>
          <w:szCs w:val="28"/>
        </w:rPr>
      </w:pPr>
      <w:bookmarkStart w:id="1177" w:name="_Toc51505128"/>
      <w:bookmarkStart w:id="1178" w:name="_Toc25027"/>
      <w:bookmarkStart w:id="1179" w:name="_Toc14879"/>
      <w:r>
        <w:rPr>
          <w:rFonts w:hint="eastAsia" w:asciiTheme="minorEastAsia" w:hAnsiTheme="minorEastAsia" w:eastAsiaTheme="minorEastAsia" w:cstheme="minorEastAsia"/>
          <w:sz w:val="28"/>
          <w:szCs w:val="28"/>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177"/>
      <w:bookmarkEnd w:id="1178"/>
      <w:bookmarkEnd w:id="1179"/>
    </w:p>
    <w:p w14:paraId="2739D832">
      <w:pPr>
        <w:pStyle w:val="144"/>
        <w:numPr>
          <w:ilvl w:val="0"/>
          <w:numId w:val="0"/>
        </w:numPr>
        <w:outlineLvl w:val="4"/>
        <w:rPr>
          <w:rFonts w:hint="eastAsia" w:asciiTheme="minorEastAsia" w:hAnsiTheme="minorEastAsia" w:eastAsiaTheme="minorEastAsia" w:cstheme="minorEastAsia"/>
          <w:sz w:val="28"/>
          <w:szCs w:val="28"/>
        </w:rPr>
      </w:pPr>
      <w:bookmarkStart w:id="1180" w:name="_Toc51505129"/>
      <w:bookmarkStart w:id="1181" w:name="_Toc5182"/>
      <w:bookmarkStart w:id="1182" w:name="_Toc14029"/>
      <w:r>
        <w:rPr>
          <w:rFonts w:hint="eastAsia" w:asciiTheme="minorEastAsia" w:hAnsiTheme="minorEastAsia" w:eastAsiaTheme="minorEastAsia" w:cstheme="minorEastAsia"/>
          <w:sz w:val="28"/>
          <w:szCs w:val="28"/>
        </w:rPr>
        <w:t>2.4.2 因发包人原因未能及时办理完毕前述许可、批准或备案，由发包人承担由此增加的费用和（或）延误的工期，并支付承包人合理的利润。</w:t>
      </w:r>
      <w:bookmarkEnd w:id="1180"/>
      <w:bookmarkEnd w:id="1181"/>
      <w:bookmarkEnd w:id="1182"/>
    </w:p>
    <w:p w14:paraId="0DED5583">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183" w:name="_Ref11956533"/>
      <w:bookmarkStart w:id="1184" w:name="_Ref11918060"/>
      <w:bookmarkStart w:id="1185" w:name="_Ref11956525"/>
      <w:bookmarkStart w:id="1186" w:name="_Toc19145"/>
      <w:bookmarkStart w:id="1187" w:name="_Ref11918070"/>
      <w:bookmarkStart w:id="1188" w:name="_Toc612"/>
      <w:bookmarkStart w:id="1189" w:name="_Toc22508"/>
      <w:r>
        <w:rPr>
          <w:rFonts w:hint="eastAsia" w:asciiTheme="minorEastAsia" w:hAnsiTheme="minorEastAsia" w:eastAsiaTheme="minorEastAsia" w:cstheme="minorEastAsia"/>
          <w:b w:val="0"/>
          <w:bCs/>
          <w:sz w:val="28"/>
          <w:szCs w:val="28"/>
        </w:rPr>
        <w:t>2.5 支付合同价款</w:t>
      </w:r>
      <w:bookmarkEnd w:id="1183"/>
      <w:bookmarkEnd w:id="1184"/>
      <w:bookmarkEnd w:id="1185"/>
      <w:bookmarkEnd w:id="1186"/>
      <w:bookmarkEnd w:id="1187"/>
      <w:bookmarkEnd w:id="1188"/>
      <w:bookmarkEnd w:id="1189"/>
    </w:p>
    <w:p w14:paraId="0808853E">
      <w:pPr>
        <w:pStyle w:val="144"/>
        <w:numPr>
          <w:ilvl w:val="0"/>
          <w:numId w:val="0"/>
        </w:numPr>
        <w:outlineLvl w:val="4"/>
        <w:rPr>
          <w:rFonts w:hint="eastAsia" w:asciiTheme="minorEastAsia" w:hAnsiTheme="minorEastAsia" w:eastAsiaTheme="minorEastAsia" w:cstheme="minorEastAsia"/>
          <w:sz w:val="28"/>
          <w:szCs w:val="28"/>
        </w:rPr>
      </w:pPr>
      <w:bookmarkStart w:id="1190" w:name="_Toc4900"/>
      <w:bookmarkStart w:id="1191" w:name="_Toc51505131"/>
      <w:bookmarkStart w:id="1192" w:name="_Toc26601"/>
      <w:bookmarkStart w:id="1193" w:name="_Ref531950147"/>
      <w:r>
        <w:rPr>
          <w:rFonts w:hint="eastAsia" w:asciiTheme="minorEastAsia" w:hAnsiTheme="minorEastAsia" w:eastAsiaTheme="minorEastAsia" w:cstheme="minorEastAsia"/>
          <w:sz w:val="28"/>
          <w:szCs w:val="28"/>
        </w:rPr>
        <w:t>2.5.1 发包人应按合同约定向承包人及时支付合同价款。</w:t>
      </w:r>
      <w:bookmarkEnd w:id="1190"/>
      <w:bookmarkEnd w:id="1191"/>
      <w:bookmarkEnd w:id="1192"/>
    </w:p>
    <w:bookmarkEnd w:id="1193"/>
    <w:p w14:paraId="7E8A05A0">
      <w:pPr>
        <w:pStyle w:val="144"/>
        <w:numPr>
          <w:ilvl w:val="0"/>
          <w:numId w:val="0"/>
        </w:numPr>
        <w:outlineLvl w:val="4"/>
        <w:rPr>
          <w:rFonts w:hint="eastAsia" w:asciiTheme="minorEastAsia" w:hAnsiTheme="minorEastAsia" w:eastAsiaTheme="minorEastAsia" w:cstheme="minorEastAsia"/>
          <w:sz w:val="28"/>
          <w:szCs w:val="28"/>
        </w:rPr>
      </w:pPr>
      <w:bookmarkStart w:id="1194" w:name="_Toc51505132"/>
      <w:bookmarkStart w:id="1195" w:name="_Toc30441"/>
      <w:bookmarkStart w:id="1196" w:name="_Toc13397"/>
      <w:r>
        <w:rPr>
          <w:rFonts w:hint="eastAsia" w:asciiTheme="minorEastAsia" w:hAnsiTheme="minorEastAsia" w:eastAsiaTheme="minorEastAsia" w:cstheme="minorEastAsia"/>
          <w:sz w:val="28"/>
          <w:szCs w:val="28"/>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1194"/>
      <w:bookmarkEnd w:id="1195"/>
      <w:bookmarkEnd w:id="1196"/>
    </w:p>
    <w:p w14:paraId="344C1385">
      <w:pPr>
        <w:pStyle w:val="144"/>
        <w:numPr>
          <w:ilvl w:val="0"/>
          <w:numId w:val="0"/>
        </w:numPr>
        <w:outlineLvl w:val="4"/>
        <w:rPr>
          <w:rFonts w:hint="eastAsia" w:asciiTheme="minorEastAsia" w:hAnsiTheme="minorEastAsia" w:eastAsiaTheme="minorEastAsia" w:cstheme="minorEastAsia"/>
          <w:sz w:val="28"/>
          <w:szCs w:val="28"/>
        </w:rPr>
      </w:pPr>
      <w:bookmarkStart w:id="1197" w:name="_Toc26473"/>
      <w:bookmarkStart w:id="1198" w:name="_Toc51505133"/>
      <w:bookmarkStart w:id="1199" w:name="_Toc497"/>
      <w:bookmarkStart w:id="1200" w:name="_Ref531950161"/>
      <w:r>
        <w:rPr>
          <w:rFonts w:hint="eastAsia" w:asciiTheme="minorEastAsia" w:hAnsiTheme="minorEastAsia" w:eastAsiaTheme="minorEastAsia" w:cstheme="minorEastAsia"/>
          <w:sz w:val="28"/>
          <w:szCs w:val="28"/>
        </w:rPr>
        <w:t>2.5.3 发包人应当向承包人提供支付担保。支付担保可以采用银行保函或担保公司担保等形式，具体由合同当事人在专用合同条件中约定。</w:t>
      </w:r>
      <w:bookmarkEnd w:id="1197"/>
      <w:bookmarkEnd w:id="1198"/>
      <w:bookmarkEnd w:id="1199"/>
      <w:bookmarkEnd w:id="1200"/>
    </w:p>
    <w:p w14:paraId="7CD319F3">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01" w:name="_Toc1785"/>
      <w:bookmarkStart w:id="1202" w:name="_Toc5302"/>
      <w:bookmarkStart w:id="1203" w:name="_Toc14820"/>
      <w:r>
        <w:rPr>
          <w:rFonts w:hint="eastAsia" w:asciiTheme="minorEastAsia" w:hAnsiTheme="minorEastAsia" w:eastAsiaTheme="minorEastAsia" w:cstheme="minorEastAsia"/>
          <w:b w:val="0"/>
          <w:bCs/>
          <w:sz w:val="28"/>
          <w:szCs w:val="28"/>
        </w:rPr>
        <w:t>2.6 现场管理配合</w:t>
      </w:r>
      <w:bookmarkEnd w:id="1201"/>
      <w:bookmarkEnd w:id="1202"/>
      <w:bookmarkEnd w:id="1203"/>
    </w:p>
    <w:p w14:paraId="2A168186">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发包人应负责保证在现场或现场附近的发包人人员和发包人的其他承包人（如有）：</w:t>
      </w:r>
    </w:p>
    <w:p w14:paraId="34350F3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根据第7.3款[现场合作]的约定，与承包人进行合作；</w:t>
      </w:r>
    </w:p>
    <w:p w14:paraId="4748884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遵守第7.5款[现场劳动用工]、第7.6款[安全文明施工]、第7.7款[职业健康</w:t>
      </w:r>
      <w:bookmarkStart w:id="1204" w:name="_Ref531952761"/>
      <w:bookmarkStart w:id="1205" w:name="_Ref531952756"/>
      <w:r>
        <w:rPr>
          <w:rFonts w:hint="eastAsia" w:asciiTheme="minorEastAsia" w:hAnsiTheme="minorEastAsia" w:eastAsiaTheme="minorEastAsia" w:cstheme="minorEastAsia"/>
          <w:sz w:val="28"/>
          <w:szCs w:val="28"/>
        </w:rPr>
        <w:t>]和第7.8款[环境保护]的相关约定。</w:t>
      </w:r>
    </w:p>
    <w:p w14:paraId="1AE1391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发包人应与承包人、由发包人直接发包的其他承包人（如有）订立施工现场统一管理协议，明确各方的权利义务。</w:t>
      </w:r>
    </w:p>
    <w:p w14:paraId="423113BA">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206" w:name="_Ref11959372"/>
      <w:bookmarkStart w:id="1207" w:name="_Ref11959376"/>
      <w:bookmarkStart w:id="1208" w:name="_Toc12349"/>
      <w:bookmarkStart w:id="1209" w:name="_Toc27901"/>
      <w:bookmarkStart w:id="1210" w:name="_Toc11172"/>
      <w:r>
        <w:rPr>
          <w:rFonts w:hint="eastAsia" w:asciiTheme="minorEastAsia" w:hAnsiTheme="minorEastAsia" w:eastAsiaTheme="minorEastAsia" w:cstheme="minorEastAsia"/>
          <w:b w:val="0"/>
          <w:bCs/>
          <w:sz w:val="28"/>
          <w:szCs w:val="28"/>
        </w:rPr>
        <w:t>2.7 其他义务</w:t>
      </w:r>
      <w:bookmarkEnd w:id="1206"/>
      <w:bookmarkEnd w:id="1207"/>
      <w:bookmarkEnd w:id="1208"/>
      <w:bookmarkEnd w:id="1209"/>
      <w:bookmarkEnd w:id="1210"/>
    </w:p>
    <w:p w14:paraId="1A1C958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发包人应履行合同约定的其他义务，双方可在专用合同条件内对发包人应履行的其他义务进行补充约定。</w:t>
      </w:r>
    </w:p>
    <w:bookmarkEnd w:id="1204"/>
    <w:bookmarkEnd w:id="1205"/>
    <w:p w14:paraId="2B387237">
      <w:pPr>
        <w:pStyle w:val="142"/>
        <w:keepNext w:val="0"/>
        <w:keepLines w:val="0"/>
        <w:pageBreakBefore w:val="0"/>
        <w:numPr>
          <w:ilvl w:val="0"/>
          <w:numId w:val="0"/>
        </w:numPr>
        <w:kinsoku/>
        <w:wordWrap/>
        <w:overflowPunct/>
        <w:topLinePunct w:val="0"/>
        <w:autoSpaceDE/>
        <w:autoSpaceDN/>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211" w:name="_Ref531952791"/>
      <w:bookmarkStart w:id="1212" w:name="_Toc28112"/>
      <w:bookmarkStart w:id="1213" w:name="_Toc16058"/>
      <w:bookmarkStart w:id="1214" w:name="_Toc23386"/>
      <w:bookmarkStart w:id="1215" w:name="_Toc12801"/>
      <w:bookmarkStart w:id="1216" w:name="_Toc12550"/>
      <w:r>
        <w:rPr>
          <w:rFonts w:hint="eastAsia" w:asciiTheme="minorEastAsia" w:hAnsiTheme="minorEastAsia" w:eastAsiaTheme="minorEastAsia" w:cstheme="minorEastAsia"/>
          <w:b w:val="0"/>
          <w:bCs/>
          <w:sz w:val="28"/>
          <w:szCs w:val="28"/>
        </w:rPr>
        <w:t>第3条 发包人的管理</w:t>
      </w:r>
      <w:bookmarkEnd w:id="1211"/>
      <w:bookmarkEnd w:id="1212"/>
      <w:bookmarkEnd w:id="1213"/>
      <w:bookmarkEnd w:id="1214"/>
      <w:bookmarkEnd w:id="1215"/>
      <w:bookmarkEnd w:id="1216"/>
    </w:p>
    <w:p w14:paraId="23600582">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17" w:name="_Ref522810094"/>
      <w:bookmarkStart w:id="1218" w:name="_Ref522810097"/>
      <w:bookmarkStart w:id="1219" w:name="_Toc23569"/>
      <w:bookmarkStart w:id="1220" w:name="_Ref531951533"/>
      <w:bookmarkStart w:id="1221" w:name="_Ref531951538"/>
      <w:bookmarkStart w:id="1222" w:name="_Toc6531"/>
      <w:bookmarkStart w:id="1223" w:name="_Toc15265"/>
      <w:r>
        <w:rPr>
          <w:rFonts w:hint="eastAsia" w:asciiTheme="minorEastAsia" w:hAnsiTheme="minorEastAsia" w:eastAsiaTheme="minorEastAsia" w:cstheme="minorEastAsia"/>
          <w:b w:val="0"/>
          <w:bCs/>
          <w:sz w:val="28"/>
          <w:szCs w:val="28"/>
        </w:rPr>
        <w:t>3.1 发包人</w:t>
      </w:r>
      <w:bookmarkEnd w:id="1217"/>
      <w:bookmarkEnd w:id="1218"/>
      <w:r>
        <w:rPr>
          <w:rFonts w:hint="eastAsia" w:asciiTheme="minorEastAsia" w:hAnsiTheme="minorEastAsia" w:eastAsiaTheme="minorEastAsia" w:cstheme="minorEastAsia"/>
          <w:b w:val="0"/>
          <w:bCs/>
          <w:sz w:val="28"/>
          <w:szCs w:val="28"/>
        </w:rPr>
        <w:t>代表</w:t>
      </w:r>
      <w:bookmarkEnd w:id="1219"/>
      <w:bookmarkEnd w:id="1220"/>
      <w:bookmarkEnd w:id="1221"/>
      <w:bookmarkEnd w:id="1222"/>
      <w:bookmarkEnd w:id="1223"/>
    </w:p>
    <w:p w14:paraId="310D0E0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23EEFC7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除非发包人另行通知承包人，发包人代表应被授予并且被认为具有发包人在授权范围内享有的相应权利，涉及第16.1款[由发包人解除合同]的权利除外。</w:t>
      </w:r>
    </w:p>
    <w:p w14:paraId="1766546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发包人代表（或者在其为法人的情况下，被任命代表其行事的自然人）应：</w:t>
      </w:r>
    </w:p>
    <w:p w14:paraId="38C8959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履行指派给其的职责，行使发包人</w:t>
      </w:r>
      <w:r>
        <w:rPr>
          <w:rFonts w:hint="eastAsia" w:asciiTheme="minorEastAsia" w:hAnsiTheme="minorEastAsia" w:eastAsiaTheme="minorEastAsia" w:cstheme="minorEastAsia"/>
          <w:sz w:val="28"/>
          <w:szCs w:val="28"/>
          <w:lang w:eastAsia="zh-CN"/>
        </w:rPr>
        <w:t>托付</w:t>
      </w:r>
      <w:r>
        <w:rPr>
          <w:rFonts w:hint="eastAsia" w:asciiTheme="minorEastAsia" w:hAnsiTheme="minorEastAsia" w:eastAsiaTheme="minorEastAsia" w:cstheme="minorEastAsia"/>
          <w:sz w:val="28"/>
          <w:szCs w:val="28"/>
        </w:rPr>
        <w:t>的权利；</w:t>
      </w:r>
    </w:p>
    <w:p w14:paraId="650730E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具备履行这些职责、行使这些权利的能力；</w:t>
      </w:r>
    </w:p>
    <w:p w14:paraId="067E4CD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作为熟练的专业人员行事。</w:t>
      </w:r>
    </w:p>
    <w:p w14:paraId="4F01ACE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18663A7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发包人更换发包人代表的，应提前14天将更换人的姓名、地址、任务和权利</w:t>
      </w:r>
      <w:r>
        <w:rPr>
          <w:rFonts w:hint="eastAsia" w:asciiTheme="minorEastAsia" w:hAnsiTheme="minorEastAsia" w:eastAsiaTheme="minorEastAsia" w:cstheme="minorEastAsia"/>
          <w:sz w:val="28"/>
          <w:szCs w:val="28"/>
          <w:lang w:eastAsia="zh-CN"/>
        </w:rPr>
        <w:t>以及</w:t>
      </w:r>
      <w:r>
        <w:rPr>
          <w:rFonts w:hint="eastAsia" w:asciiTheme="minorEastAsia" w:hAnsiTheme="minorEastAsia" w:eastAsiaTheme="minorEastAsia" w:cstheme="minorEastAsia"/>
          <w:sz w:val="28"/>
          <w:szCs w:val="28"/>
        </w:rPr>
        <w:t>任命的日期书面通知承包人。发包人不得将发包人代表更换为承包人根据本款发出通知提出合理反对意见的人员，不论是法人还是自然人。</w:t>
      </w:r>
    </w:p>
    <w:p w14:paraId="172BB9C3">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发包人代表不能按照合同约定履行其职责及义务，并导致合同无法继续正常履行的，承包人可以要求发包人撤换发包人代表。</w:t>
      </w:r>
    </w:p>
    <w:p w14:paraId="741FB50C">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224" w:name="_Toc22034"/>
      <w:bookmarkStart w:id="1225" w:name="_Ref531951553"/>
      <w:bookmarkStart w:id="1226" w:name="_Toc2975"/>
      <w:bookmarkStart w:id="1227" w:name="_Toc17366"/>
      <w:bookmarkStart w:id="1228" w:name="_Ref531951557"/>
      <w:r>
        <w:rPr>
          <w:rFonts w:hint="eastAsia" w:asciiTheme="minorEastAsia" w:hAnsiTheme="minorEastAsia" w:eastAsiaTheme="minorEastAsia" w:cstheme="minorEastAsia"/>
          <w:b w:val="0"/>
          <w:bCs/>
          <w:sz w:val="28"/>
          <w:szCs w:val="28"/>
        </w:rPr>
        <w:t>3.2 发包人人员</w:t>
      </w:r>
      <w:bookmarkEnd w:id="1224"/>
      <w:bookmarkEnd w:id="1225"/>
      <w:bookmarkEnd w:id="1226"/>
      <w:bookmarkEnd w:id="1227"/>
      <w:bookmarkEnd w:id="1228"/>
    </w:p>
    <w:p w14:paraId="3787356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7BCE889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发包人应要求在施工现场的发包人人员遵守法律及有关安全、质量、环境保护、文明施工等规定，因发包人人员未遵守上述要求给承包人造成的损失和责任由发包人承担。</w:t>
      </w:r>
    </w:p>
    <w:p w14:paraId="5129AAB8">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229" w:name="_Toc18474"/>
      <w:bookmarkStart w:id="1230" w:name="_Toc28773"/>
      <w:bookmarkStart w:id="1231" w:name="_Toc5361"/>
      <w:r>
        <w:rPr>
          <w:rFonts w:hint="eastAsia" w:asciiTheme="minorEastAsia" w:hAnsiTheme="minorEastAsia" w:eastAsiaTheme="minorEastAsia" w:cstheme="minorEastAsia"/>
          <w:b w:val="0"/>
          <w:bCs/>
          <w:sz w:val="28"/>
          <w:szCs w:val="28"/>
        </w:rPr>
        <w:t>3.3 工程师</w:t>
      </w:r>
      <w:bookmarkEnd w:id="1229"/>
      <w:bookmarkEnd w:id="1230"/>
      <w:bookmarkEnd w:id="1231"/>
      <w:r>
        <w:rPr>
          <w:rFonts w:hint="eastAsia" w:asciiTheme="minorEastAsia" w:hAnsiTheme="minorEastAsia" w:eastAsiaTheme="minorEastAsia" w:cstheme="minorEastAsia"/>
          <w:b w:val="0"/>
          <w:bCs/>
          <w:sz w:val="28"/>
          <w:szCs w:val="28"/>
        </w:rPr>
        <w:t xml:space="preserve"> </w:t>
      </w:r>
    </w:p>
    <w:p w14:paraId="013F5611">
      <w:pPr>
        <w:pStyle w:val="144"/>
        <w:numPr>
          <w:ilvl w:val="0"/>
          <w:numId w:val="0"/>
        </w:numPr>
        <w:outlineLvl w:val="4"/>
        <w:rPr>
          <w:rFonts w:hint="eastAsia" w:asciiTheme="minorEastAsia" w:hAnsiTheme="minorEastAsia" w:eastAsiaTheme="minorEastAsia" w:cstheme="minorEastAsia"/>
          <w:sz w:val="28"/>
          <w:szCs w:val="28"/>
        </w:rPr>
      </w:pPr>
      <w:bookmarkStart w:id="1232" w:name="_Toc8226"/>
      <w:bookmarkStart w:id="1233" w:name="_Toc22824"/>
      <w:r>
        <w:rPr>
          <w:rFonts w:hint="eastAsia" w:asciiTheme="minorEastAsia" w:hAnsiTheme="minorEastAsia" w:eastAsiaTheme="minorEastAsia" w:cstheme="minorEastAsia"/>
          <w:sz w:val="28"/>
          <w:szCs w:val="28"/>
        </w:rPr>
        <w:t>3.3.1 发包人需对承包人的设计、采购、施工、服务等工作过程或过程节点实施监督管理的，有权</w:t>
      </w:r>
      <w:r>
        <w:rPr>
          <w:rFonts w:hint="eastAsia" w:asciiTheme="minorEastAsia" w:hAnsiTheme="minorEastAsia" w:eastAsiaTheme="minorEastAsia" w:cstheme="minorEastAsia"/>
          <w:sz w:val="28"/>
          <w:szCs w:val="28"/>
          <w:lang w:eastAsia="zh-CN"/>
        </w:rPr>
        <w:t>委派</w:t>
      </w:r>
      <w:r>
        <w:rPr>
          <w:rFonts w:hint="eastAsia" w:asciiTheme="minorEastAsia" w:hAnsiTheme="minorEastAsia" w:eastAsiaTheme="minorEastAsia" w:cstheme="minorEastAsia"/>
          <w:sz w:val="28"/>
          <w:szCs w:val="28"/>
        </w:rPr>
        <w:t>工程师。工程师的名称、监督管理范围、内容和权限在专用合同条件中写明。根据国家相关法律法规规定，如本合同工程属于强制监理项目的，由工程师履行法定的监理相关职责，但发包人另行授权第三方进行监理的除外。</w:t>
      </w:r>
      <w:bookmarkEnd w:id="1232"/>
      <w:bookmarkEnd w:id="1233"/>
    </w:p>
    <w:p w14:paraId="1CD72AA1">
      <w:pPr>
        <w:pStyle w:val="144"/>
        <w:numPr>
          <w:ilvl w:val="0"/>
          <w:numId w:val="0"/>
        </w:numPr>
        <w:outlineLvl w:val="4"/>
        <w:rPr>
          <w:rFonts w:hint="eastAsia" w:asciiTheme="minorEastAsia" w:hAnsiTheme="minorEastAsia" w:eastAsiaTheme="minorEastAsia" w:cstheme="minorEastAsia"/>
          <w:sz w:val="28"/>
          <w:szCs w:val="28"/>
        </w:rPr>
      </w:pPr>
      <w:bookmarkStart w:id="1234" w:name="_Toc11711"/>
      <w:bookmarkStart w:id="1235" w:name="_Toc31703"/>
      <w:r>
        <w:rPr>
          <w:rFonts w:hint="eastAsia" w:asciiTheme="minorEastAsia" w:hAnsiTheme="minorEastAsia" w:eastAsiaTheme="minorEastAsia" w:cstheme="minorEastAsia"/>
          <w:sz w:val="28"/>
          <w:szCs w:val="28"/>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bookmarkEnd w:id="1234"/>
      <w:bookmarkEnd w:id="1235"/>
    </w:p>
    <w:p w14:paraId="5A26E39B">
      <w:pPr>
        <w:pStyle w:val="144"/>
        <w:numPr>
          <w:ilvl w:val="0"/>
          <w:numId w:val="0"/>
        </w:numPr>
        <w:outlineLvl w:val="4"/>
        <w:rPr>
          <w:rFonts w:hint="eastAsia" w:asciiTheme="minorEastAsia" w:hAnsiTheme="minorEastAsia" w:eastAsiaTheme="minorEastAsia" w:cstheme="minorEastAsia"/>
          <w:sz w:val="28"/>
          <w:szCs w:val="28"/>
        </w:rPr>
      </w:pPr>
      <w:bookmarkStart w:id="1236" w:name="_Toc18170"/>
      <w:bookmarkStart w:id="1237" w:name="_Toc13008"/>
      <w:r>
        <w:rPr>
          <w:rFonts w:hint="eastAsia" w:asciiTheme="minorEastAsia" w:hAnsiTheme="minorEastAsia" w:eastAsiaTheme="minorEastAsia" w:cstheme="minorEastAsia"/>
          <w:sz w:val="28"/>
          <w:szCs w:val="28"/>
        </w:rPr>
        <w:t>3.3.3 在发包人和承包人之间提供证明、行使决定权或处理权时，工程师应作为独立专业的第三方，根据自己的专业技能和判断进行工作。但工程师或</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人员均无权修改合同，无权减轻或免除合同当事人的任何责任与义务。</w:t>
      </w:r>
      <w:bookmarkEnd w:id="1236"/>
      <w:bookmarkEnd w:id="1237"/>
    </w:p>
    <w:p w14:paraId="79E79C77">
      <w:pPr>
        <w:pStyle w:val="144"/>
        <w:numPr>
          <w:ilvl w:val="0"/>
          <w:numId w:val="0"/>
        </w:numPr>
        <w:outlineLvl w:val="4"/>
        <w:rPr>
          <w:rFonts w:hint="eastAsia" w:asciiTheme="minorEastAsia" w:hAnsiTheme="minorEastAsia" w:eastAsiaTheme="minorEastAsia" w:cstheme="minorEastAsia"/>
          <w:sz w:val="28"/>
          <w:szCs w:val="28"/>
        </w:rPr>
      </w:pPr>
      <w:bookmarkStart w:id="1238" w:name="_Toc27959"/>
      <w:bookmarkStart w:id="1239" w:name="_Toc10698"/>
      <w:r>
        <w:rPr>
          <w:rFonts w:hint="eastAsia" w:asciiTheme="minorEastAsia" w:hAnsiTheme="minorEastAsia" w:eastAsiaTheme="minorEastAsia" w:cstheme="minorEastAsia"/>
          <w:sz w:val="28"/>
          <w:szCs w:val="28"/>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bookmarkEnd w:id="1238"/>
      <w:bookmarkEnd w:id="1239"/>
    </w:p>
    <w:p w14:paraId="1F9CFE73">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40" w:name="_Toc17051"/>
      <w:bookmarkStart w:id="1241" w:name="_Toc6740"/>
      <w:bookmarkStart w:id="1242" w:name="_Toc16360"/>
      <w:bookmarkStart w:id="1243" w:name="_Ref531951597"/>
      <w:bookmarkStart w:id="1244" w:name="_Ref531951594"/>
      <w:r>
        <w:rPr>
          <w:rFonts w:hint="eastAsia" w:asciiTheme="minorEastAsia" w:hAnsiTheme="minorEastAsia" w:eastAsiaTheme="minorEastAsia" w:cstheme="minorEastAsia"/>
          <w:b w:val="0"/>
          <w:bCs/>
          <w:sz w:val="28"/>
          <w:szCs w:val="28"/>
        </w:rPr>
        <w:t>3.4 任命和授权</w:t>
      </w:r>
      <w:bookmarkEnd w:id="1240"/>
      <w:bookmarkEnd w:id="1241"/>
      <w:bookmarkEnd w:id="1242"/>
    </w:p>
    <w:p w14:paraId="350FBC4A">
      <w:pPr>
        <w:pStyle w:val="144"/>
        <w:numPr>
          <w:ilvl w:val="0"/>
          <w:numId w:val="0"/>
        </w:numPr>
        <w:outlineLvl w:val="4"/>
        <w:rPr>
          <w:rFonts w:hint="eastAsia" w:asciiTheme="minorEastAsia" w:hAnsiTheme="minorEastAsia" w:eastAsiaTheme="minorEastAsia" w:cstheme="minorEastAsia"/>
          <w:sz w:val="28"/>
          <w:szCs w:val="28"/>
        </w:rPr>
      </w:pPr>
      <w:bookmarkStart w:id="1245" w:name="_Toc19099"/>
      <w:bookmarkStart w:id="1246" w:name="_Toc26122"/>
      <w:r>
        <w:rPr>
          <w:rFonts w:hint="eastAsia" w:asciiTheme="minorEastAsia" w:hAnsiTheme="minorEastAsia" w:eastAsiaTheme="minorEastAsia" w:cstheme="minorEastAsia"/>
          <w:sz w:val="28"/>
          <w:szCs w:val="28"/>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bookmarkEnd w:id="1245"/>
      <w:bookmarkEnd w:id="1246"/>
    </w:p>
    <w:p w14:paraId="3BE7D30C">
      <w:pPr>
        <w:pStyle w:val="144"/>
        <w:numPr>
          <w:ilvl w:val="0"/>
          <w:numId w:val="0"/>
        </w:numPr>
        <w:outlineLvl w:val="4"/>
        <w:rPr>
          <w:rFonts w:hint="eastAsia" w:asciiTheme="minorEastAsia" w:hAnsiTheme="minorEastAsia" w:eastAsiaTheme="minorEastAsia" w:cstheme="minorEastAsia"/>
          <w:sz w:val="28"/>
          <w:szCs w:val="28"/>
        </w:rPr>
      </w:pPr>
      <w:bookmarkStart w:id="1247" w:name="_Toc3509"/>
      <w:bookmarkStart w:id="1248" w:name="_Toc6194"/>
      <w:r>
        <w:rPr>
          <w:rFonts w:hint="eastAsia" w:asciiTheme="minorEastAsia" w:hAnsiTheme="minorEastAsia" w:eastAsiaTheme="minorEastAsia" w:cstheme="minorEastAsia"/>
          <w:sz w:val="28"/>
          <w:szCs w:val="28"/>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bookmarkEnd w:id="1247"/>
      <w:bookmarkEnd w:id="1248"/>
    </w:p>
    <w:p w14:paraId="1237320E">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49" w:name="_Toc10196"/>
      <w:bookmarkStart w:id="1250" w:name="_Toc14114"/>
      <w:bookmarkStart w:id="1251" w:name="_Ref20165400"/>
      <w:bookmarkStart w:id="1252" w:name="_Toc10867"/>
      <w:r>
        <w:rPr>
          <w:rFonts w:hint="eastAsia" w:asciiTheme="minorEastAsia" w:hAnsiTheme="minorEastAsia" w:eastAsiaTheme="minorEastAsia" w:cstheme="minorEastAsia"/>
          <w:b w:val="0"/>
          <w:bCs/>
          <w:sz w:val="28"/>
          <w:szCs w:val="28"/>
        </w:rPr>
        <w:t>3.5 指示</w:t>
      </w:r>
      <w:bookmarkEnd w:id="1243"/>
      <w:bookmarkEnd w:id="1244"/>
      <w:bookmarkEnd w:id="1249"/>
      <w:bookmarkEnd w:id="1250"/>
      <w:bookmarkEnd w:id="1251"/>
      <w:bookmarkEnd w:id="1252"/>
    </w:p>
    <w:p w14:paraId="309B7375">
      <w:pPr>
        <w:pStyle w:val="144"/>
        <w:numPr>
          <w:ilvl w:val="0"/>
          <w:numId w:val="0"/>
        </w:numPr>
        <w:outlineLvl w:val="4"/>
        <w:rPr>
          <w:rFonts w:hint="eastAsia" w:asciiTheme="minorEastAsia" w:hAnsiTheme="minorEastAsia" w:eastAsiaTheme="minorEastAsia" w:cstheme="minorEastAsia"/>
          <w:sz w:val="28"/>
          <w:szCs w:val="28"/>
        </w:rPr>
      </w:pPr>
      <w:bookmarkStart w:id="1253" w:name="_Toc21547"/>
      <w:bookmarkStart w:id="1254" w:name="_Toc13094"/>
      <w:r>
        <w:rPr>
          <w:rFonts w:hint="eastAsia" w:asciiTheme="minorEastAsia" w:hAnsiTheme="minorEastAsia" w:eastAsiaTheme="minorEastAsia" w:cstheme="minorEastAsia"/>
          <w:sz w:val="28"/>
          <w:szCs w:val="28"/>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bookmarkEnd w:id="1253"/>
      <w:bookmarkEnd w:id="1254"/>
    </w:p>
    <w:p w14:paraId="0DD47C63">
      <w:pPr>
        <w:pStyle w:val="144"/>
        <w:numPr>
          <w:ilvl w:val="0"/>
          <w:numId w:val="0"/>
        </w:numPr>
        <w:outlineLvl w:val="4"/>
        <w:rPr>
          <w:rFonts w:hint="eastAsia" w:asciiTheme="minorEastAsia" w:hAnsiTheme="minorEastAsia" w:eastAsiaTheme="minorEastAsia" w:cstheme="minorEastAsia"/>
          <w:sz w:val="28"/>
          <w:szCs w:val="28"/>
        </w:rPr>
      </w:pPr>
      <w:bookmarkStart w:id="1255" w:name="_Toc28085"/>
      <w:bookmarkStart w:id="1256" w:name="_Toc12319"/>
      <w:r>
        <w:rPr>
          <w:rFonts w:hint="eastAsia" w:asciiTheme="minorEastAsia" w:hAnsiTheme="minorEastAsia" w:eastAsiaTheme="minorEastAsia" w:cstheme="minorEastAsia"/>
          <w:sz w:val="28"/>
          <w:szCs w:val="28"/>
        </w:rPr>
        <w:t>3.5.2 承包人收到工程师作出的指示后应遵照执行。如果任何此类指示构成一项变更时，应按照第13条[变更与调整]的约定办理。</w:t>
      </w:r>
      <w:bookmarkEnd w:id="1255"/>
      <w:bookmarkEnd w:id="1256"/>
    </w:p>
    <w:p w14:paraId="64A8ADD2">
      <w:pPr>
        <w:pStyle w:val="144"/>
        <w:numPr>
          <w:ilvl w:val="0"/>
          <w:numId w:val="0"/>
        </w:numPr>
        <w:outlineLvl w:val="4"/>
        <w:rPr>
          <w:rFonts w:hint="eastAsia" w:asciiTheme="minorEastAsia" w:hAnsiTheme="minorEastAsia" w:eastAsiaTheme="minorEastAsia" w:cstheme="minorEastAsia"/>
          <w:sz w:val="28"/>
          <w:szCs w:val="28"/>
        </w:rPr>
      </w:pPr>
      <w:bookmarkStart w:id="1257" w:name="_Toc11203"/>
      <w:bookmarkStart w:id="1258" w:name="_Toc24904"/>
      <w:r>
        <w:rPr>
          <w:rFonts w:hint="eastAsia" w:asciiTheme="minorEastAsia" w:hAnsiTheme="minorEastAsia" w:eastAsiaTheme="minorEastAsia" w:cstheme="minorEastAsia"/>
          <w:sz w:val="28"/>
          <w:szCs w:val="28"/>
        </w:rPr>
        <w:t>3.5.3 由于工程师未能按合同约定发出指示、指示延误或指示错误而导致承包人费用增加和（或）工期延误的，发包人应承担由此增加的费用和（或）工期延误，并向承包人支付合理利润。</w:t>
      </w:r>
      <w:bookmarkEnd w:id="1257"/>
      <w:bookmarkEnd w:id="1258"/>
    </w:p>
    <w:p w14:paraId="1BD20131">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59" w:name="_Toc9561"/>
      <w:bookmarkStart w:id="1260" w:name="_Ref531951609"/>
      <w:bookmarkStart w:id="1261" w:name="_Toc1778"/>
      <w:bookmarkStart w:id="1262" w:name="_Ref531951611"/>
      <w:bookmarkStart w:id="1263" w:name="_Toc21649"/>
      <w:r>
        <w:rPr>
          <w:rFonts w:hint="eastAsia" w:asciiTheme="minorEastAsia" w:hAnsiTheme="minorEastAsia" w:eastAsiaTheme="minorEastAsia" w:cstheme="minorEastAsia"/>
          <w:b w:val="0"/>
          <w:bCs/>
          <w:sz w:val="28"/>
          <w:szCs w:val="28"/>
        </w:rPr>
        <w:t>3.6 商定或确定</w:t>
      </w:r>
      <w:bookmarkEnd w:id="1259"/>
      <w:bookmarkEnd w:id="1260"/>
      <w:bookmarkEnd w:id="1261"/>
      <w:bookmarkEnd w:id="1262"/>
      <w:bookmarkEnd w:id="1263"/>
    </w:p>
    <w:p w14:paraId="78972DE3">
      <w:pPr>
        <w:pStyle w:val="144"/>
        <w:numPr>
          <w:ilvl w:val="0"/>
          <w:numId w:val="0"/>
        </w:numPr>
        <w:outlineLvl w:val="4"/>
        <w:rPr>
          <w:rFonts w:hint="eastAsia" w:asciiTheme="minorEastAsia" w:hAnsiTheme="minorEastAsia" w:eastAsiaTheme="minorEastAsia" w:cstheme="minorEastAsia"/>
          <w:sz w:val="28"/>
          <w:szCs w:val="28"/>
        </w:rPr>
      </w:pPr>
      <w:bookmarkStart w:id="1264" w:name="_Toc4602"/>
      <w:bookmarkStart w:id="1265" w:name="_Toc26244"/>
      <w:r>
        <w:rPr>
          <w:rFonts w:hint="eastAsia" w:asciiTheme="minorEastAsia" w:hAnsiTheme="minorEastAsia" w:eastAsiaTheme="minorEastAsia" w:cstheme="minorEastAsia"/>
          <w:sz w:val="28"/>
          <w:szCs w:val="28"/>
        </w:rPr>
        <w:t>3.6.1 合同约定工程师应按照本款对任何事项进行商定或确定时，工程师应及时与合同当事人协商，尽量达成一致。工程师应将商定的结果以书面形式通知发包人和承包人，并由双方签署确认。</w:t>
      </w:r>
      <w:bookmarkEnd w:id="1264"/>
      <w:bookmarkEnd w:id="1265"/>
    </w:p>
    <w:p w14:paraId="06CCC8C0">
      <w:pPr>
        <w:pStyle w:val="144"/>
        <w:numPr>
          <w:ilvl w:val="0"/>
          <w:numId w:val="0"/>
        </w:numPr>
        <w:outlineLvl w:val="4"/>
        <w:rPr>
          <w:rFonts w:hint="eastAsia" w:asciiTheme="minorEastAsia" w:hAnsiTheme="minorEastAsia" w:eastAsiaTheme="minorEastAsia" w:cstheme="minorEastAsia"/>
          <w:sz w:val="28"/>
          <w:szCs w:val="28"/>
        </w:rPr>
      </w:pPr>
      <w:bookmarkStart w:id="1266" w:name="_Toc18045"/>
      <w:bookmarkStart w:id="1267" w:name="_Toc32169"/>
      <w:r>
        <w:rPr>
          <w:rFonts w:hint="eastAsia" w:asciiTheme="minorEastAsia" w:hAnsiTheme="minorEastAsia" w:eastAsiaTheme="minorEastAsia" w:cstheme="minorEastAsia"/>
          <w:sz w:val="28"/>
          <w:szCs w:val="28"/>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bookmarkEnd w:id="1266"/>
      <w:bookmarkEnd w:id="1267"/>
    </w:p>
    <w:p w14:paraId="25E8B329">
      <w:pPr>
        <w:pStyle w:val="144"/>
        <w:numPr>
          <w:ilvl w:val="0"/>
          <w:numId w:val="0"/>
        </w:numPr>
        <w:outlineLvl w:val="4"/>
        <w:rPr>
          <w:rFonts w:hint="eastAsia" w:asciiTheme="minorEastAsia" w:hAnsiTheme="minorEastAsia" w:eastAsiaTheme="minorEastAsia" w:cstheme="minorEastAsia"/>
          <w:sz w:val="28"/>
          <w:szCs w:val="28"/>
        </w:rPr>
      </w:pPr>
      <w:bookmarkStart w:id="1268" w:name="_Toc2832"/>
      <w:bookmarkStart w:id="1269" w:name="_Toc15100"/>
      <w:bookmarkStart w:id="1270" w:name="_Ref532287856"/>
      <w:r>
        <w:rPr>
          <w:rFonts w:hint="eastAsia" w:asciiTheme="minorEastAsia" w:hAnsiTheme="minorEastAsia" w:eastAsiaTheme="minorEastAsia" w:cstheme="minorEastAsia"/>
          <w:sz w:val="28"/>
          <w:szCs w:val="28"/>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1268"/>
      <w:bookmarkEnd w:id="1269"/>
      <w:bookmarkEnd w:id="1270"/>
    </w:p>
    <w:p w14:paraId="4EE16F38">
      <w:pPr>
        <w:pStyle w:val="144"/>
        <w:numPr>
          <w:ilvl w:val="0"/>
          <w:numId w:val="0"/>
        </w:numPr>
        <w:outlineLvl w:val="4"/>
        <w:rPr>
          <w:rFonts w:hint="eastAsia" w:asciiTheme="minorEastAsia" w:hAnsiTheme="minorEastAsia" w:eastAsiaTheme="minorEastAsia" w:cstheme="minorEastAsia"/>
          <w:sz w:val="28"/>
          <w:szCs w:val="28"/>
        </w:rPr>
      </w:pPr>
      <w:bookmarkStart w:id="1271" w:name="_Toc11826"/>
      <w:bookmarkStart w:id="1272" w:name="_Toc688"/>
      <w:r>
        <w:rPr>
          <w:rFonts w:hint="eastAsia" w:asciiTheme="minorEastAsia" w:hAnsiTheme="minorEastAsia" w:eastAsiaTheme="minorEastAsia" w:cstheme="minorEastAsia"/>
          <w:sz w:val="28"/>
          <w:szCs w:val="28"/>
        </w:rPr>
        <w:t>3.6.4 在该争议解决前，双方应暂按工程师的确定执行。按照第20条[争议解决]的约定对工程师的确定作出修改的，按修改后的结果执行，由此导致承包人增加的费用和延误的工期由责任方承担。</w:t>
      </w:r>
      <w:bookmarkEnd w:id="1271"/>
      <w:bookmarkEnd w:id="1272"/>
    </w:p>
    <w:p w14:paraId="6E485A4E">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73" w:name="_Toc27818"/>
      <w:bookmarkStart w:id="1274" w:name="_Toc5546"/>
      <w:bookmarkStart w:id="1275" w:name="_Toc21693"/>
      <w:bookmarkStart w:id="1276" w:name="_Ref531951749"/>
      <w:bookmarkStart w:id="1277" w:name="_Ref531951747"/>
      <w:r>
        <w:rPr>
          <w:rFonts w:hint="eastAsia" w:asciiTheme="minorEastAsia" w:hAnsiTheme="minorEastAsia" w:eastAsiaTheme="minorEastAsia" w:cstheme="minorEastAsia"/>
          <w:b w:val="0"/>
          <w:bCs/>
          <w:sz w:val="28"/>
          <w:szCs w:val="28"/>
        </w:rPr>
        <w:t>3.7 会议</w:t>
      </w:r>
      <w:bookmarkEnd w:id="1273"/>
      <w:bookmarkEnd w:id="1274"/>
      <w:bookmarkEnd w:id="1275"/>
      <w:bookmarkEnd w:id="1276"/>
      <w:bookmarkEnd w:id="1277"/>
    </w:p>
    <w:p w14:paraId="182B41AA">
      <w:pPr>
        <w:pStyle w:val="144"/>
        <w:numPr>
          <w:ilvl w:val="0"/>
          <w:numId w:val="0"/>
        </w:numPr>
        <w:outlineLvl w:val="4"/>
        <w:rPr>
          <w:rFonts w:hint="eastAsia" w:asciiTheme="minorEastAsia" w:hAnsiTheme="minorEastAsia" w:eastAsiaTheme="minorEastAsia" w:cstheme="minorEastAsia"/>
          <w:sz w:val="28"/>
          <w:szCs w:val="28"/>
        </w:rPr>
      </w:pPr>
      <w:bookmarkStart w:id="1278" w:name="_Toc10885"/>
      <w:bookmarkStart w:id="1279" w:name="_Toc2653"/>
      <w:r>
        <w:rPr>
          <w:rFonts w:hint="eastAsia" w:asciiTheme="minorEastAsia" w:hAnsiTheme="minorEastAsia" w:eastAsiaTheme="minorEastAsia" w:cstheme="minorEastAsia"/>
          <w:sz w:val="28"/>
          <w:szCs w:val="28"/>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bookmarkEnd w:id="1278"/>
      <w:bookmarkEnd w:id="1279"/>
    </w:p>
    <w:p w14:paraId="5526CD05">
      <w:pPr>
        <w:pStyle w:val="144"/>
        <w:numPr>
          <w:ilvl w:val="0"/>
          <w:numId w:val="0"/>
        </w:numPr>
        <w:outlineLvl w:val="4"/>
        <w:rPr>
          <w:rFonts w:hint="eastAsia" w:asciiTheme="minorEastAsia" w:hAnsiTheme="minorEastAsia" w:eastAsiaTheme="minorEastAsia" w:cstheme="minorEastAsia"/>
          <w:sz w:val="28"/>
          <w:szCs w:val="28"/>
        </w:rPr>
      </w:pPr>
      <w:bookmarkStart w:id="1280" w:name="_Toc29666"/>
      <w:bookmarkStart w:id="1281" w:name="_Toc12050"/>
      <w:r>
        <w:rPr>
          <w:rFonts w:hint="eastAsia" w:asciiTheme="minorEastAsia" w:hAnsiTheme="minorEastAsia" w:eastAsiaTheme="minorEastAsia" w:cstheme="minorEastAsia"/>
          <w:sz w:val="28"/>
          <w:szCs w:val="28"/>
        </w:rPr>
        <w:t>3.7.2 除专用合同条件另有约定外，发包人应保存每次会议参加人签名的记录，并将会议纪要提供给出席会议的人员。任何根据此类会议以及会议纪要采取的行动应符合本合同的约定。</w:t>
      </w:r>
      <w:bookmarkEnd w:id="1280"/>
      <w:bookmarkEnd w:id="1281"/>
    </w:p>
    <w:p w14:paraId="4BE0293F">
      <w:pPr>
        <w:pStyle w:val="142"/>
        <w:numPr>
          <w:ilvl w:val="0"/>
          <w:numId w:val="0"/>
        </w:numPr>
        <w:wordWrap/>
        <w:topLinePunct w:val="0"/>
        <w:outlineLvl w:val="2"/>
        <w:rPr>
          <w:rFonts w:hint="eastAsia" w:asciiTheme="minorEastAsia" w:hAnsiTheme="minorEastAsia" w:eastAsiaTheme="minorEastAsia" w:cstheme="minorEastAsia"/>
          <w:b w:val="0"/>
          <w:bCs/>
          <w:sz w:val="28"/>
          <w:szCs w:val="28"/>
        </w:rPr>
      </w:pPr>
      <w:bookmarkStart w:id="1282" w:name="_Toc26460"/>
      <w:bookmarkStart w:id="1283" w:name="_Toc18943"/>
      <w:bookmarkStart w:id="1284" w:name="_Toc14326"/>
      <w:bookmarkStart w:id="1285" w:name="_Ref531952805"/>
      <w:bookmarkStart w:id="1286" w:name="_Toc4784"/>
      <w:bookmarkStart w:id="1287" w:name="_Toc17828"/>
      <w:r>
        <w:rPr>
          <w:rFonts w:hint="eastAsia" w:asciiTheme="minorEastAsia" w:hAnsiTheme="minorEastAsia" w:eastAsiaTheme="minorEastAsia" w:cstheme="minorEastAsia"/>
          <w:b w:val="0"/>
          <w:bCs/>
          <w:sz w:val="28"/>
          <w:szCs w:val="28"/>
        </w:rPr>
        <w:t>第4条 承包人</w:t>
      </w:r>
      <w:bookmarkEnd w:id="1282"/>
      <w:bookmarkEnd w:id="1283"/>
      <w:bookmarkEnd w:id="1284"/>
      <w:bookmarkEnd w:id="1285"/>
      <w:bookmarkEnd w:id="1286"/>
      <w:bookmarkEnd w:id="1287"/>
    </w:p>
    <w:p w14:paraId="5219C9EE">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88" w:name="_Ref531951941"/>
      <w:bookmarkStart w:id="1289" w:name="_Toc19257"/>
      <w:bookmarkStart w:id="1290" w:name="_Ref531951945"/>
      <w:bookmarkStart w:id="1291" w:name="_Toc20419"/>
      <w:bookmarkStart w:id="1292" w:name="_Ref531951961"/>
      <w:bookmarkStart w:id="1293" w:name="_Ref531951975"/>
      <w:bookmarkStart w:id="1294" w:name="_Ref531951958"/>
      <w:bookmarkStart w:id="1295" w:name="_Toc25308"/>
      <w:r>
        <w:rPr>
          <w:rFonts w:hint="eastAsia" w:asciiTheme="minorEastAsia" w:hAnsiTheme="minorEastAsia" w:eastAsiaTheme="minorEastAsia" w:cstheme="minorEastAsia"/>
          <w:b w:val="0"/>
          <w:bCs/>
          <w:sz w:val="28"/>
          <w:szCs w:val="28"/>
        </w:rPr>
        <w:t>4.1 承包人的一般义务</w:t>
      </w:r>
      <w:bookmarkEnd w:id="1288"/>
      <w:bookmarkEnd w:id="1289"/>
      <w:bookmarkEnd w:id="1290"/>
      <w:bookmarkEnd w:id="1291"/>
      <w:bookmarkEnd w:id="1292"/>
      <w:bookmarkEnd w:id="1293"/>
      <w:bookmarkEnd w:id="1294"/>
      <w:bookmarkEnd w:id="1295"/>
      <w:r>
        <w:rPr>
          <w:rFonts w:hint="eastAsia" w:asciiTheme="minorEastAsia" w:hAnsiTheme="minorEastAsia" w:eastAsiaTheme="minorEastAsia" w:cstheme="minorEastAsia"/>
          <w:b w:val="0"/>
          <w:bCs/>
          <w:sz w:val="28"/>
          <w:szCs w:val="28"/>
        </w:rPr>
        <w:t xml:space="preserve"> </w:t>
      </w:r>
    </w:p>
    <w:p w14:paraId="3FD3600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bookmarkStart w:id="1296" w:name="_Ref509046929"/>
      <w:r>
        <w:rPr>
          <w:rFonts w:hint="eastAsia" w:asciiTheme="minorEastAsia" w:hAnsiTheme="minorEastAsia" w:eastAsiaTheme="minorEastAsia" w:cstheme="minorEastAsia"/>
          <w:sz w:val="28"/>
          <w:szCs w:val="28"/>
        </w:rPr>
        <w:t>除专用合同条件另有约定外，承包人在履行合同过程中应遵守法律和工程建设标准规范，并履行以下义务：</w:t>
      </w:r>
    </w:p>
    <w:p w14:paraId="260C64C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办理法律规定和合同约定由承包人办理的许可和批准，将办理结果书面报送发包人留存，并承担因承包人违反法律或合同约定给发包人造成的任何费用和损失；</w:t>
      </w:r>
    </w:p>
    <w:p w14:paraId="2993005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按合同约定完成全部工作并在缺陷责任期和保修期内承担缺陷保证责任和保修义务，对工作中的任何缺陷进行整改、完善和修补，使其满足合同约定的目的；</w:t>
      </w:r>
    </w:p>
    <w:p w14:paraId="739BEF4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提供合同约定的工程设备和承包人文件，以及为完成合同工作所需的劳务、材料、施工设备和其他物品，并按合同约定负责临时设施的设计、施工、运行、维护、管理和拆除；</w:t>
      </w:r>
    </w:p>
    <w:p w14:paraId="3AB690D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按合同约定的工作内容和进度要求，编制设计、施工的组织和实施计划，保证项目进度计划的实现，并对所有设计、施工作业和施工方法，以及全部工程的完备性和安全可靠性负责；</w:t>
      </w:r>
    </w:p>
    <w:p w14:paraId="397B8BA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按法律规定和合同约定采取安全文明施工、职业健康和环境保护措施，办理员工工伤保险等相关保险，确保工程及人员、材料、设备和设施的安全，防止因工程实施造成的人身伤害和财产损失；</w:t>
      </w:r>
    </w:p>
    <w:p w14:paraId="30A36B6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将发包人按合同约定支付的各项价款专用于合同工程，应及时支付其雇用人员（包括建筑工人）工资，并及时向分包人支付合同价款；</w:t>
      </w:r>
    </w:p>
    <w:p w14:paraId="006FA1C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在进行合同约定的各项工作时，不得侵害发包人与他人使用公用道路、水源、市政管网等公共设施的权利，避免对邻近的公共设施产生干扰。</w:t>
      </w:r>
    </w:p>
    <w:p w14:paraId="13195BAE">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297" w:name="_Ref4426803"/>
      <w:bookmarkStart w:id="1298" w:name="_Toc4579"/>
      <w:bookmarkStart w:id="1299" w:name="_Toc26830"/>
      <w:bookmarkStart w:id="1300" w:name="_Toc23403"/>
      <w:bookmarkStart w:id="1301" w:name="_Ref4428418"/>
      <w:r>
        <w:rPr>
          <w:rFonts w:hint="eastAsia" w:asciiTheme="minorEastAsia" w:hAnsiTheme="minorEastAsia" w:eastAsiaTheme="minorEastAsia" w:cstheme="minorEastAsia"/>
          <w:b w:val="0"/>
          <w:bCs/>
          <w:sz w:val="28"/>
          <w:szCs w:val="28"/>
        </w:rPr>
        <w:t>4.2 履约担保</w:t>
      </w:r>
      <w:bookmarkEnd w:id="1297"/>
      <w:bookmarkEnd w:id="1298"/>
      <w:bookmarkEnd w:id="1299"/>
      <w:bookmarkEnd w:id="1300"/>
    </w:p>
    <w:p w14:paraId="7C2C00E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65DDF7A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承包人应保证其履约担保在发包人竣工验收前一直有效，发包人应在竣工验收合格后7天内将履约担保款项退还给承包人或者解除履约担保。</w:t>
      </w:r>
    </w:p>
    <w:p w14:paraId="4ED07C9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因承包人原因导致工期延长的，继续提供履约担保所增加的费用由承包人承担；非因承包人原因导致工期延长的，继续提供履约担保所增加的费用由发包人承担。</w:t>
      </w:r>
    </w:p>
    <w:bookmarkEnd w:id="1296"/>
    <w:bookmarkEnd w:id="1301"/>
    <w:p w14:paraId="6D0EE612">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302" w:name="_Toc24006"/>
      <w:bookmarkStart w:id="1303" w:name="_Ref532689105"/>
      <w:bookmarkStart w:id="1304" w:name="_Toc9950"/>
      <w:bookmarkStart w:id="1305" w:name="_Toc10763"/>
      <w:bookmarkStart w:id="1306" w:name="_Ref532689108"/>
      <w:r>
        <w:rPr>
          <w:rFonts w:hint="eastAsia" w:asciiTheme="minorEastAsia" w:hAnsiTheme="minorEastAsia" w:eastAsiaTheme="minorEastAsia" w:cstheme="minorEastAsia"/>
          <w:b w:val="0"/>
          <w:bCs/>
          <w:sz w:val="28"/>
          <w:szCs w:val="28"/>
        </w:rPr>
        <w:t>4.3 工程总承包项目经理</w:t>
      </w:r>
      <w:bookmarkEnd w:id="1302"/>
      <w:bookmarkEnd w:id="1303"/>
      <w:bookmarkEnd w:id="1304"/>
      <w:bookmarkEnd w:id="1305"/>
      <w:bookmarkEnd w:id="1306"/>
    </w:p>
    <w:p w14:paraId="735E5C9D">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307" w:name="_Toc2150"/>
      <w:bookmarkStart w:id="1308" w:name="_Ref532351726"/>
      <w:bookmarkStart w:id="1309" w:name="_Toc23149"/>
      <w:r>
        <w:rPr>
          <w:rFonts w:hint="eastAsia" w:asciiTheme="minorEastAsia" w:hAnsiTheme="minorEastAsia" w:eastAsiaTheme="minorEastAsia" w:cstheme="minorEastAsia"/>
          <w:sz w:val="28"/>
          <w:szCs w:val="28"/>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1307"/>
      <w:bookmarkEnd w:id="1308"/>
      <w:bookmarkEnd w:id="1309"/>
    </w:p>
    <w:p w14:paraId="45B96910">
      <w:pPr>
        <w:pStyle w:val="144"/>
        <w:numPr>
          <w:ilvl w:val="0"/>
          <w:numId w:val="0"/>
        </w:numPr>
        <w:outlineLvl w:val="4"/>
        <w:rPr>
          <w:rFonts w:hint="eastAsia" w:asciiTheme="minorEastAsia" w:hAnsiTheme="minorEastAsia" w:eastAsiaTheme="minorEastAsia" w:cstheme="minorEastAsia"/>
          <w:sz w:val="28"/>
          <w:szCs w:val="28"/>
        </w:rPr>
      </w:pPr>
      <w:bookmarkStart w:id="1310" w:name="_Ref532689263"/>
      <w:bookmarkStart w:id="1311" w:name="_Toc21470"/>
      <w:bookmarkStart w:id="1312" w:name="_Toc25845"/>
      <w:r>
        <w:rPr>
          <w:rFonts w:hint="eastAsia" w:asciiTheme="minorEastAsia" w:hAnsiTheme="minorEastAsia" w:eastAsiaTheme="minorEastAsia" w:cstheme="minorEastAsia"/>
          <w:sz w:val="28"/>
          <w:szCs w:val="28"/>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1310"/>
      <w:bookmarkEnd w:id="1311"/>
      <w:bookmarkEnd w:id="1312"/>
    </w:p>
    <w:p w14:paraId="619284B3">
      <w:pPr>
        <w:pStyle w:val="144"/>
        <w:numPr>
          <w:ilvl w:val="0"/>
          <w:numId w:val="0"/>
        </w:numPr>
        <w:outlineLvl w:val="4"/>
        <w:rPr>
          <w:rFonts w:hint="eastAsia" w:asciiTheme="minorEastAsia" w:hAnsiTheme="minorEastAsia" w:eastAsiaTheme="minorEastAsia" w:cstheme="minorEastAsia"/>
          <w:sz w:val="28"/>
          <w:szCs w:val="28"/>
        </w:rPr>
      </w:pPr>
      <w:bookmarkStart w:id="1313" w:name="_Toc24841"/>
      <w:bookmarkStart w:id="1314" w:name="_Ref532689178"/>
      <w:bookmarkStart w:id="1315" w:name="_Toc27870"/>
      <w:bookmarkStart w:id="1316" w:name="_Ref531952112"/>
      <w:r>
        <w:rPr>
          <w:rFonts w:hint="eastAsia" w:asciiTheme="minorEastAsia" w:hAnsiTheme="minorEastAsia" w:eastAsiaTheme="minorEastAsia" w:cstheme="minorEastAsia"/>
          <w:sz w:val="28"/>
          <w:szCs w:val="28"/>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无法与发包人和工程师取得联系时，工程总承包项目经理有权采取必要的措施保证人身、工程和财产的安全，但须在事后48小时内向工程师送交书面报告。</w:t>
      </w:r>
      <w:bookmarkEnd w:id="1313"/>
      <w:bookmarkEnd w:id="1314"/>
      <w:bookmarkEnd w:id="1315"/>
    </w:p>
    <w:bookmarkEnd w:id="1316"/>
    <w:p w14:paraId="29166249">
      <w:pPr>
        <w:pStyle w:val="144"/>
        <w:numPr>
          <w:ilvl w:val="0"/>
          <w:numId w:val="0"/>
        </w:numPr>
        <w:outlineLvl w:val="4"/>
        <w:rPr>
          <w:rFonts w:hint="eastAsia" w:asciiTheme="minorEastAsia" w:hAnsiTheme="minorEastAsia" w:eastAsiaTheme="minorEastAsia" w:cstheme="minorEastAsia"/>
          <w:sz w:val="28"/>
          <w:szCs w:val="28"/>
        </w:rPr>
      </w:pPr>
      <w:bookmarkStart w:id="1317" w:name="_Toc3513"/>
      <w:bookmarkStart w:id="1318" w:name="_Ref4426412"/>
      <w:bookmarkStart w:id="1319" w:name="_Toc22363"/>
      <w:r>
        <w:rPr>
          <w:rFonts w:hint="eastAsia" w:asciiTheme="minorEastAsia" w:hAnsiTheme="minorEastAsia" w:eastAsiaTheme="minorEastAsia" w:cstheme="minorEastAsia"/>
          <w:sz w:val="28"/>
          <w:szCs w:val="28"/>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1320" w:name="_Hlk55056591"/>
      <w:r>
        <w:rPr>
          <w:rFonts w:hint="eastAsia" w:asciiTheme="minorEastAsia" w:hAnsiTheme="minorEastAsia" w:eastAsiaTheme="minorEastAsia" w:cstheme="minorEastAsia"/>
          <w:sz w:val="28"/>
          <w:szCs w:val="28"/>
        </w:rPr>
        <w:t>应按照专用合同条件的约定承担违约责任。</w:t>
      </w:r>
      <w:bookmarkEnd w:id="1317"/>
      <w:bookmarkEnd w:id="1318"/>
      <w:bookmarkEnd w:id="1319"/>
      <w:bookmarkEnd w:id="1320"/>
    </w:p>
    <w:p w14:paraId="47EAF2AF">
      <w:pPr>
        <w:pStyle w:val="144"/>
        <w:numPr>
          <w:ilvl w:val="0"/>
          <w:numId w:val="0"/>
        </w:numPr>
        <w:outlineLvl w:val="4"/>
        <w:rPr>
          <w:rFonts w:hint="eastAsia" w:asciiTheme="minorEastAsia" w:hAnsiTheme="minorEastAsia" w:eastAsiaTheme="minorEastAsia" w:cstheme="minorEastAsia"/>
          <w:sz w:val="28"/>
          <w:szCs w:val="28"/>
        </w:rPr>
      </w:pPr>
      <w:bookmarkStart w:id="1321" w:name="_Toc16474"/>
      <w:bookmarkStart w:id="1322" w:name="_Ref531952137"/>
      <w:bookmarkStart w:id="1323" w:name="_Toc2327"/>
      <w:r>
        <w:rPr>
          <w:rFonts w:hint="eastAsia" w:asciiTheme="minorEastAsia" w:hAnsiTheme="minorEastAsia" w:eastAsiaTheme="minorEastAsia" w:cstheme="minorEastAsia"/>
          <w:sz w:val="28"/>
          <w:szCs w:val="28"/>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1321"/>
      <w:bookmarkEnd w:id="1322"/>
      <w:bookmarkEnd w:id="1323"/>
    </w:p>
    <w:p w14:paraId="0B10C0B5">
      <w:pPr>
        <w:pStyle w:val="144"/>
        <w:numPr>
          <w:ilvl w:val="0"/>
          <w:numId w:val="0"/>
        </w:numPr>
        <w:outlineLvl w:val="4"/>
        <w:rPr>
          <w:rFonts w:hint="eastAsia" w:asciiTheme="minorEastAsia" w:hAnsiTheme="minorEastAsia" w:eastAsiaTheme="minorEastAsia" w:cstheme="minorEastAsia"/>
          <w:sz w:val="28"/>
          <w:szCs w:val="28"/>
        </w:rPr>
      </w:pPr>
      <w:bookmarkStart w:id="1324" w:name="_Toc9762"/>
      <w:bookmarkStart w:id="1325" w:name="_Ref122620"/>
      <w:bookmarkStart w:id="1326" w:name="_Toc28968"/>
      <w:r>
        <w:rPr>
          <w:rFonts w:hint="eastAsia" w:asciiTheme="minorEastAsia" w:hAnsiTheme="minorEastAsia" w:eastAsiaTheme="minorEastAsia" w:cstheme="minorEastAsia"/>
          <w:sz w:val="28"/>
          <w:szCs w:val="28"/>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1324"/>
      <w:bookmarkEnd w:id="1325"/>
      <w:bookmarkEnd w:id="1326"/>
    </w:p>
    <w:p w14:paraId="68AC746B">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327" w:name="_Toc11217"/>
      <w:bookmarkStart w:id="1328" w:name="_Ref531952172"/>
      <w:bookmarkStart w:id="1329" w:name="_Toc4421"/>
      <w:bookmarkStart w:id="1330" w:name="_Toc10048"/>
      <w:bookmarkStart w:id="1331" w:name="_Ref531952175"/>
      <w:r>
        <w:rPr>
          <w:rFonts w:hint="eastAsia" w:asciiTheme="minorEastAsia" w:hAnsiTheme="minorEastAsia" w:eastAsiaTheme="minorEastAsia" w:cstheme="minorEastAsia"/>
          <w:b w:val="0"/>
          <w:bCs/>
          <w:sz w:val="28"/>
          <w:szCs w:val="28"/>
        </w:rPr>
        <w:t>4.4 承包人人员</w:t>
      </w:r>
      <w:bookmarkEnd w:id="1327"/>
      <w:bookmarkEnd w:id="1328"/>
      <w:bookmarkEnd w:id="1329"/>
      <w:bookmarkEnd w:id="1330"/>
      <w:bookmarkEnd w:id="1331"/>
    </w:p>
    <w:p w14:paraId="748E8320">
      <w:pPr>
        <w:pStyle w:val="144"/>
        <w:numPr>
          <w:ilvl w:val="0"/>
          <w:numId w:val="0"/>
        </w:numPr>
        <w:outlineLvl w:val="4"/>
        <w:rPr>
          <w:rFonts w:hint="eastAsia" w:asciiTheme="minorEastAsia" w:hAnsiTheme="minorEastAsia" w:eastAsiaTheme="minorEastAsia" w:cstheme="minorEastAsia"/>
          <w:sz w:val="28"/>
          <w:szCs w:val="28"/>
        </w:rPr>
      </w:pPr>
      <w:bookmarkStart w:id="1332" w:name="_Toc18967"/>
      <w:bookmarkStart w:id="1333" w:name="_Ref531952185"/>
      <w:bookmarkStart w:id="1334" w:name="_Toc9035"/>
      <w:r>
        <w:rPr>
          <w:rFonts w:hint="eastAsia" w:asciiTheme="minorEastAsia" w:hAnsiTheme="minorEastAsia" w:eastAsiaTheme="minorEastAsia" w:cstheme="minorEastAsia"/>
          <w:sz w:val="28"/>
          <w:szCs w:val="28"/>
        </w:rPr>
        <w:t>4.4.1 人员安排</w:t>
      </w:r>
      <w:bookmarkEnd w:id="1332"/>
      <w:bookmarkEnd w:id="1333"/>
      <w:bookmarkEnd w:id="1334"/>
    </w:p>
    <w:p w14:paraId="6684985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2687AFA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关键人员</w:t>
      </w:r>
      <w:bookmarkStart w:id="1335" w:name="_Hlk16210335"/>
      <w:r>
        <w:rPr>
          <w:rFonts w:hint="eastAsia" w:asciiTheme="minorEastAsia" w:hAnsiTheme="minorEastAsia" w:eastAsiaTheme="minorEastAsia" w:cstheme="minorEastAsia"/>
          <w:sz w:val="28"/>
          <w:szCs w:val="28"/>
        </w:rPr>
        <w:t>是发包人及承包人一致认为对工程建设起重要作用的承包人主要管理人员或技术人员。关键人员的具体范围由发包人及承包人在附件5[承包人主要管理人员表]中另行约定。</w:t>
      </w:r>
    </w:p>
    <w:bookmarkEnd w:id="1335"/>
    <w:p w14:paraId="51DED21A">
      <w:pPr>
        <w:pStyle w:val="144"/>
        <w:numPr>
          <w:ilvl w:val="0"/>
          <w:numId w:val="0"/>
        </w:numPr>
        <w:outlineLvl w:val="4"/>
        <w:rPr>
          <w:rFonts w:hint="eastAsia" w:asciiTheme="minorEastAsia" w:hAnsiTheme="minorEastAsia" w:eastAsiaTheme="minorEastAsia" w:cstheme="minorEastAsia"/>
          <w:sz w:val="28"/>
          <w:szCs w:val="28"/>
        </w:rPr>
      </w:pPr>
      <w:bookmarkStart w:id="1336" w:name="_Ref531952211"/>
      <w:bookmarkStart w:id="1337" w:name="_Toc8747"/>
      <w:bookmarkStart w:id="1338" w:name="_Toc23150"/>
      <w:bookmarkStart w:id="1339" w:name="_Ref4426641"/>
      <w:r>
        <w:rPr>
          <w:rFonts w:hint="eastAsia" w:asciiTheme="minorEastAsia" w:hAnsiTheme="minorEastAsia" w:eastAsiaTheme="minorEastAsia" w:cstheme="minorEastAsia"/>
          <w:sz w:val="28"/>
          <w:szCs w:val="28"/>
        </w:rPr>
        <w:t>4.4.2 关键人员更换</w:t>
      </w:r>
      <w:bookmarkEnd w:id="1336"/>
      <w:bookmarkEnd w:id="1337"/>
      <w:bookmarkEnd w:id="1338"/>
      <w:bookmarkEnd w:id="1339"/>
    </w:p>
    <w:p w14:paraId="6EDB33C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66B0597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23142C90">
      <w:pPr>
        <w:pStyle w:val="144"/>
        <w:numPr>
          <w:ilvl w:val="0"/>
          <w:numId w:val="0"/>
        </w:numPr>
        <w:outlineLvl w:val="4"/>
        <w:rPr>
          <w:rFonts w:hint="eastAsia" w:asciiTheme="minorEastAsia" w:hAnsiTheme="minorEastAsia" w:eastAsiaTheme="minorEastAsia" w:cstheme="minorEastAsia"/>
          <w:sz w:val="28"/>
          <w:szCs w:val="28"/>
        </w:rPr>
      </w:pPr>
      <w:bookmarkStart w:id="1340" w:name="_Ref531952227"/>
      <w:bookmarkStart w:id="1341" w:name="_Toc32409"/>
      <w:bookmarkStart w:id="1342" w:name="_Toc24700"/>
      <w:r>
        <w:rPr>
          <w:rFonts w:hint="eastAsia" w:asciiTheme="minorEastAsia" w:hAnsiTheme="minorEastAsia" w:eastAsiaTheme="minorEastAsia" w:cstheme="minorEastAsia"/>
          <w:sz w:val="28"/>
          <w:szCs w:val="28"/>
        </w:rPr>
        <w:t>4.4.3 现场管理关键人员在岗要求</w:t>
      </w:r>
      <w:bookmarkEnd w:id="1340"/>
      <w:bookmarkEnd w:id="1341"/>
      <w:bookmarkEnd w:id="1342"/>
    </w:p>
    <w:p w14:paraId="5A7222A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7624652D">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343" w:name="_Ref531952259"/>
      <w:bookmarkStart w:id="1344" w:name="_Ref531952262"/>
      <w:bookmarkStart w:id="1345" w:name="_Toc25525"/>
      <w:bookmarkStart w:id="1346" w:name="_Toc32608"/>
      <w:bookmarkStart w:id="1347" w:name="_Toc2045"/>
      <w:r>
        <w:rPr>
          <w:rFonts w:hint="eastAsia" w:asciiTheme="minorEastAsia" w:hAnsiTheme="minorEastAsia" w:eastAsiaTheme="minorEastAsia" w:cstheme="minorEastAsia"/>
          <w:b w:val="0"/>
          <w:bCs/>
          <w:sz w:val="28"/>
          <w:szCs w:val="28"/>
        </w:rPr>
        <w:t>4.5 分包</w:t>
      </w:r>
      <w:bookmarkEnd w:id="1343"/>
      <w:bookmarkEnd w:id="1344"/>
      <w:bookmarkEnd w:id="1345"/>
      <w:bookmarkEnd w:id="1346"/>
      <w:bookmarkEnd w:id="1347"/>
      <w:r>
        <w:rPr>
          <w:rFonts w:hint="eastAsia" w:asciiTheme="minorEastAsia" w:hAnsiTheme="minorEastAsia" w:eastAsiaTheme="minorEastAsia" w:cstheme="minorEastAsia"/>
          <w:b w:val="0"/>
          <w:bCs/>
          <w:sz w:val="28"/>
          <w:szCs w:val="28"/>
        </w:rPr>
        <w:t xml:space="preserve"> </w:t>
      </w:r>
    </w:p>
    <w:p w14:paraId="170A79F6">
      <w:pPr>
        <w:pStyle w:val="144"/>
        <w:numPr>
          <w:ilvl w:val="0"/>
          <w:numId w:val="0"/>
        </w:numPr>
        <w:outlineLvl w:val="4"/>
        <w:rPr>
          <w:rFonts w:hint="eastAsia" w:asciiTheme="minorEastAsia" w:hAnsiTheme="minorEastAsia" w:eastAsiaTheme="minorEastAsia" w:cstheme="minorEastAsia"/>
          <w:sz w:val="28"/>
          <w:szCs w:val="28"/>
        </w:rPr>
      </w:pPr>
      <w:bookmarkStart w:id="1348" w:name="_Toc27064"/>
      <w:bookmarkStart w:id="1349" w:name="_Ref531952273"/>
      <w:bookmarkStart w:id="1350" w:name="_Toc13626"/>
      <w:r>
        <w:rPr>
          <w:rFonts w:hint="eastAsia" w:asciiTheme="minorEastAsia" w:hAnsiTheme="minorEastAsia" w:eastAsiaTheme="minorEastAsia" w:cstheme="minorEastAsia"/>
          <w:sz w:val="28"/>
          <w:szCs w:val="28"/>
        </w:rPr>
        <w:t>4.5.1 一般约定</w:t>
      </w:r>
      <w:bookmarkEnd w:id="1348"/>
      <w:bookmarkEnd w:id="1349"/>
      <w:bookmarkEnd w:id="1350"/>
    </w:p>
    <w:p w14:paraId="7ABCAB2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承包人不得将其承包的全部工程转包给第三人，或将其承包的全部工程</w:t>
      </w:r>
      <w:r>
        <w:rPr>
          <w:rFonts w:hint="eastAsia" w:asciiTheme="minorEastAsia" w:hAnsiTheme="minorEastAsia" w:eastAsiaTheme="minorEastAsia" w:cstheme="minorEastAsia"/>
          <w:sz w:val="28"/>
          <w:szCs w:val="28"/>
          <w:lang w:eastAsia="zh-CN"/>
        </w:rPr>
        <w:t>肢解</w:t>
      </w:r>
      <w:r>
        <w:rPr>
          <w:rFonts w:hint="eastAsia" w:asciiTheme="minorEastAsia" w:hAnsiTheme="minorEastAsia" w:eastAsiaTheme="minorEastAsia" w:cstheme="minorEastAsia"/>
          <w:sz w:val="28"/>
          <w:szCs w:val="28"/>
        </w:rPr>
        <w:t>后以分包的名义转包给第三人。承包人不得将法律或专用合同条件中禁止分包的工作事项分包给第三人，不得以劳务分包的名义转包或违法分包工程。</w:t>
      </w:r>
    </w:p>
    <w:p w14:paraId="20F202A9">
      <w:pPr>
        <w:pStyle w:val="144"/>
        <w:numPr>
          <w:ilvl w:val="0"/>
          <w:numId w:val="0"/>
        </w:numPr>
        <w:outlineLvl w:val="4"/>
        <w:rPr>
          <w:rFonts w:hint="eastAsia" w:asciiTheme="minorEastAsia" w:hAnsiTheme="minorEastAsia" w:eastAsiaTheme="minorEastAsia" w:cstheme="minorEastAsia"/>
          <w:sz w:val="28"/>
          <w:szCs w:val="28"/>
        </w:rPr>
      </w:pPr>
      <w:bookmarkStart w:id="1351" w:name="_Toc11017"/>
      <w:bookmarkStart w:id="1352" w:name="_Ref531952286"/>
      <w:bookmarkStart w:id="1353" w:name="_Toc32002"/>
      <w:r>
        <w:rPr>
          <w:rFonts w:hint="eastAsia" w:asciiTheme="minorEastAsia" w:hAnsiTheme="minorEastAsia" w:eastAsiaTheme="minorEastAsia" w:cstheme="minorEastAsia"/>
          <w:sz w:val="28"/>
          <w:szCs w:val="28"/>
        </w:rPr>
        <w:t>4.5.2 分包的确定</w:t>
      </w:r>
      <w:bookmarkEnd w:id="1351"/>
      <w:bookmarkEnd w:id="1352"/>
      <w:bookmarkEnd w:id="1353"/>
    </w:p>
    <w:p w14:paraId="10369E8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承包人应按照专用合同条件约定对工作事项进行分包，确定分包人。</w:t>
      </w:r>
    </w:p>
    <w:p w14:paraId="778785F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1E0097FE">
      <w:pPr>
        <w:pStyle w:val="144"/>
        <w:numPr>
          <w:ilvl w:val="0"/>
          <w:numId w:val="0"/>
        </w:numPr>
        <w:outlineLvl w:val="4"/>
        <w:rPr>
          <w:rFonts w:hint="eastAsia" w:asciiTheme="minorEastAsia" w:hAnsiTheme="minorEastAsia" w:eastAsiaTheme="minorEastAsia" w:cstheme="minorEastAsia"/>
          <w:sz w:val="28"/>
          <w:szCs w:val="28"/>
        </w:rPr>
      </w:pPr>
      <w:bookmarkStart w:id="1354" w:name="_Toc13434"/>
      <w:bookmarkStart w:id="1355" w:name="_Toc22201"/>
      <w:r>
        <w:rPr>
          <w:rFonts w:hint="eastAsia" w:asciiTheme="minorEastAsia" w:hAnsiTheme="minorEastAsia" w:eastAsiaTheme="minorEastAsia" w:cstheme="minorEastAsia"/>
          <w:sz w:val="28"/>
          <w:szCs w:val="28"/>
        </w:rPr>
        <w:t>4.5.3 分包人资质</w:t>
      </w:r>
      <w:bookmarkEnd w:id="1354"/>
      <w:bookmarkEnd w:id="1355"/>
    </w:p>
    <w:p w14:paraId="49CE33D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分包人应符合国家法律规定的资质等级，否则不能作为分包人。承包人有义务对分包人的资质进行审查。</w:t>
      </w:r>
    </w:p>
    <w:p w14:paraId="7CCFE940">
      <w:pPr>
        <w:pStyle w:val="144"/>
        <w:numPr>
          <w:ilvl w:val="0"/>
          <w:numId w:val="0"/>
        </w:numPr>
        <w:outlineLvl w:val="4"/>
        <w:rPr>
          <w:rFonts w:hint="eastAsia" w:asciiTheme="minorEastAsia" w:hAnsiTheme="minorEastAsia" w:eastAsiaTheme="minorEastAsia" w:cstheme="minorEastAsia"/>
          <w:sz w:val="28"/>
          <w:szCs w:val="28"/>
        </w:rPr>
      </w:pPr>
      <w:bookmarkStart w:id="1356" w:name="_Toc29373"/>
      <w:bookmarkStart w:id="1357" w:name="_Toc2617"/>
      <w:r>
        <w:rPr>
          <w:rFonts w:hint="eastAsia" w:asciiTheme="minorEastAsia" w:hAnsiTheme="minorEastAsia" w:eastAsiaTheme="minorEastAsia" w:cstheme="minorEastAsia"/>
          <w:sz w:val="28"/>
          <w:szCs w:val="28"/>
        </w:rPr>
        <w:t>4.5.4 分包管理</w:t>
      </w:r>
      <w:bookmarkEnd w:id="1356"/>
      <w:bookmarkEnd w:id="1357"/>
    </w:p>
    <w:p w14:paraId="5543FC8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0BC259F0">
      <w:pPr>
        <w:pStyle w:val="144"/>
        <w:numPr>
          <w:ilvl w:val="0"/>
          <w:numId w:val="0"/>
        </w:numPr>
        <w:outlineLvl w:val="4"/>
        <w:rPr>
          <w:rFonts w:hint="eastAsia" w:asciiTheme="minorEastAsia" w:hAnsiTheme="minorEastAsia" w:eastAsiaTheme="minorEastAsia" w:cstheme="minorEastAsia"/>
          <w:sz w:val="28"/>
          <w:szCs w:val="28"/>
        </w:rPr>
      </w:pPr>
      <w:bookmarkStart w:id="1358" w:name="_Ref531952298"/>
      <w:bookmarkStart w:id="1359" w:name="_Toc11816"/>
      <w:bookmarkStart w:id="1360" w:name="_Toc27864"/>
      <w:r>
        <w:rPr>
          <w:rFonts w:hint="eastAsia" w:asciiTheme="minorEastAsia" w:hAnsiTheme="minorEastAsia" w:eastAsiaTheme="minorEastAsia" w:cstheme="minorEastAsia"/>
          <w:sz w:val="28"/>
          <w:szCs w:val="28"/>
        </w:rPr>
        <w:t>4.5.5 分包合同价款支付</w:t>
      </w:r>
      <w:bookmarkEnd w:id="1358"/>
      <w:bookmarkEnd w:id="1359"/>
      <w:bookmarkEnd w:id="1360"/>
    </w:p>
    <w:p w14:paraId="678E793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除本项第（2）目约定的情况或专用合同条件另有约定外，分包合同价款由承包人与分包人结算，未经承包人同意，发包人不得向分包人支付分包合同价款；</w:t>
      </w:r>
    </w:p>
    <w:p w14:paraId="37BC49E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bookmarkStart w:id="1361" w:name="_Ref4613798"/>
      <w:r>
        <w:rPr>
          <w:rFonts w:hint="eastAsia" w:asciiTheme="minorEastAsia" w:hAnsiTheme="minorEastAsia" w:eastAsiaTheme="minorEastAsia" w:cstheme="minorEastAsia"/>
          <w:sz w:val="28"/>
          <w:szCs w:val="28"/>
        </w:rPr>
        <w:t>（2） 生效法律文书要求发包人向分包人支付分包合同价款的，发包人有权从应付承包人工程款中扣除该部分款项</w:t>
      </w:r>
      <w:bookmarkEnd w:id="1361"/>
      <w:r>
        <w:rPr>
          <w:rFonts w:hint="eastAsia" w:asciiTheme="minorEastAsia" w:hAnsiTheme="minorEastAsia" w:eastAsiaTheme="minorEastAsia" w:cstheme="minorEastAsia"/>
          <w:sz w:val="28"/>
          <w:szCs w:val="28"/>
        </w:rPr>
        <w:t>，将扣款直接支付给分包人，并书面通知承包人。</w:t>
      </w:r>
    </w:p>
    <w:p w14:paraId="3ED9E40E">
      <w:pPr>
        <w:pStyle w:val="144"/>
        <w:numPr>
          <w:ilvl w:val="0"/>
          <w:numId w:val="0"/>
        </w:numPr>
        <w:outlineLvl w:val="4"/>
        <w:rPr>
          <w:rFonts w:hint="eastAsia" w:asciiTheme="minorEastAsia" w:hAnsiTheme="minorEastAsia" w:eastAsiaTheme="minorEastAsia" w:cstheme="minorEastAsia"/>
          <w:sz w:val="28"/>
          <w:szCs w:val="28"/>
        </w:rPr>
      </w:pPr>
      <w:bookmarkStart w:id="1362" w:name="_Toc13782"/>
      <w:bookmarkStart w:id="1363" w:name="_Toc18293"/>
      <w:r>
        <w:rPr>
          <w:rFonts w:hint="eastAsia" w:asciiTheme="minorEastAsia" w:hAnsiTheme="minorEastAsia" w:eastAsiaTheme="minorEastAsia" w:cstheme="minorEastAsia"/>
          <w:sz w:val="28"/>
          <w:szCs w:val="28"/>
        </w:rPr>
        <w:t>4.5.6 责任承担</w:t>
      </w:r>
      <w:bookmarkEnd w:id="1362"/>
      <w:bookmarkEnd w:id="1363"/>
    </w:p>
    <w:p w14:paraId="53E281B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承包人对分包人的行为向发包人负责，承包人和分包人就分包工作向发包人承担连带责任。</w:t>
      </w:r>
    </w:p>
    <w:p w14:paraId="239E79B1">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364" w:name="_Toc31015"/>
      <w:bookmarkStart w:id="1365" w:name="_Ref4426916"/>
      <w:bookmarkStart w:id="1366" w:name="_Toc29434"/>
      <w:bookmarkStart w:id="1367" w:name="_Toc27409"/>
      <w:bookmarkStart w:id="1368" w:name="_Ref4768805"/>
      <w:bookmarkStart w:id="1369" w:name="_Ref531952317"/>
      <w:bookmarkStart w:id="1370" w:name="_Ref531952321"/>
      <w:r>
        <w:rPr>
          <w:rFonts w:hint="eastAsia" w:asciiTheme="minorEastAsia" w:hAnsiTheme="minorEastAsia" w:eastAsiaTheme="minorEastAsia" w:cstheme="minorEastAsia"/>
          <w:b w:val="0"/>
          <w:bCs/>
          <w:sz w:val="28"/>
          <w:szCs w:val="28"/>
        </w:rPr>
        <w:t>4.6 联合体</w:t>
      </w:r>
      <w:bookmarkEnd w:id="1364"/>
      <w:bookmarkEnd w:id="1365"/>
      <w:bookmarkEnd w:id="1366"/>
      <w:bookmarkEnd w:id="1367"/>
    </w:p>
    <w:p w14:paraId="5AFD566C">
      <w:pPr>
        <w:pStyle w:val="144"/>
        <w:numPr>
          <w:ilvl w:val="0"/>
          <w:numId w:val="0"/>
        </w:numPr>
        <w:outlineLvl w:val="4"/>
        <w:rPr>
          <w:rFonts w:hint="eastAsia" w:asciiTheme="minorEastAsia" w:hAnsiTheme="minorEastAsia" w:eastAsiaTheme="minorEastAsia" w:cstheme="minorEastAsia"/>
          <w:sz w:val="28"/>
          <w:szCs w:val="28"/>
        </w:rPr>
      </w:pPr>
      <w:bookmarkStart w:id="1371" w:name="_Hlk16235129"/>
      <w:bookmarkStart w:id="1372" w:name="_Toc31524"/>
      <w:bookmarkStart w:id="1373" w:name="_Toc29474"/>
      <w:r>
        <w:rPr>
          <w:rFonts w:hint="eastAsia" w:asciiTheme="minorEastAsia" w:hAnsiTheme="minorEastAsia" w:eastAsiaTheme="minorEastAsia" w:cstheme="minorEastAsia"/>
          <w:sz w:val="28"/>
          <w:szCs w:val="28"/>
        </w:rPr>
        <w:t>4.6.1 经发包人同意，</w:t>
      </w:r>
      <w:bookmarkEnd w:id="1371"/>
      <w:r>
        <w:rPr>
          <w:rFonts w:hint="eastAsia" w:asciiTheme="minorEastAsia" w:hAnsiTheme="minorEastAsia" w:eastAsiaTheme="minorEastAsia" w:cstheme="minorEastAsia"/>
          <w:sz w:val="28"/>
          <w:szCs w:val="28"/>
        </w:rPr>
        <w:t>以联合体方式承包工程的，联合体各方应共同与发包人订立合同协议书。联合体各方应为履行合同向发包人承担连带责任。</w:t>
      </w:r>
      <w:bookmarkEnd w:id="1372"/>
      <w:bookmarkEnd w:id="1373"/>
    </w:p>
    <w:p w14:paraId="6E9054A0">
      <w:pPr>
        <w:pStyle w:val="144"/>
        <w:numPr>
          <w:ilvl w:val="0"/>
          <w:numId w:val="0"/>
        </w:numPr>
        <w:outlineLvl w:val="4"/>
        <w:rPr>
          <w:rFonts w:hint="eastAsia" w:asciiTheme="minorEastAsia" w:hAnsiTheme="minorEastAsia" w:eastAsiaTheme="minorEastAsia" w:cstheme="minorEastAsia"/>
          <w:sz w:val="28"/>
          <w:szCs w:val="28"/>
        </w:rPr>
      </w:pPr>
      <w:bookmarkStart w:id="1374" w:name="_Toc15850"/>
      <w:bookmarkStart w:id="1375" w:name="_Toc3106"/>
      <w:r>
        <w:rPr>
          <w:rFonts w:hint="eastAsia" w:asciiTheme="minorEastAsia" w:hAnsiTheme="minorEastAsia" w:eastAsiaTheme="minorEastAsia" w:cstheme="minorEastAsia"/>
          <w:sz w:val="28"/>
          <w:szCs w:val="28"/>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不应根据其就承包工作的分工而减免对发包人的任何合同责任。</w:t>
      </w:r>
      <w:bookmarkEnd w:id="1374"/>
      <w:bookmarkEnd w:id="1375"/>
    </w:p>
    <w:p w14:paraId="6EF87AC9">
      <w:pPr>
        <w:pStyle w:val="144"/>
        <w:numPr>
          <w:ilvl w:val="0"/>
          <w:numId w:val="0"/>
        </w:numPr>
        <w:outlineLvl w:val="4"/>
        <w:rPr>
          <w:rFonts w:hint="eastAsia" w:asciiTheme="minorEastAsia" w:hAnsiTheme="minorEastAsia" w:eastAsiaTheme="minorEastAsia" w:cstheme="minorEastAsia"/>
          <w:sz w:val="28"/>
          <w:szCs w:val="28"/>
        </w:rPr>
      </w:pPr>
      <w:bookmarkStart w:id="1376" w:name="_Toc29735"/>
      <w:bookmarkStart w:id="1377" w:name="_Toc12678"/>
      <w:r>
        <w:rPr>
          <w:rFonts w:hint="eastAsia" w:asciiTheme="minorEastAsia" w:hAnsiTheme="minorEastAsia" w:eastAsiaTheme="minorEastAsia" w:cstheme="minorEastAsia"/>
          <w:sz w:val="28"/>
          <w:szCs w:val="28"/>
        </w:rPr>
        <w:t>4.6.3 联合体协议经发包人确认后作为合同附件。在履行合同过程中，未经发包人同意，不得变更联合体成员和其负责的工作范围，或者修改联合体协议中与本合同履行相关的内容。</w:t>
      </w:r>
      <w:bookmarkEnd w:id="1376"/>
      <w:bookmarkEnd w:id="1377"/>
    </w:p>
    <w:p w14:paraId="493C802B">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378" w:name="_Toc25785"/>
      <w:bookmarkStart w:id="1379" w:name="_Toc9239"/>
      <w:bookmarkStart w:id="1380" w:name="_Ref11926629"/>
      <w:bookmarkStart w:id="1381" w:name="_Ref11926631"/>
      <w:bookmarkStart w:id="1382" w:name="_Toc3451"/>
      <w:r>
        <w:rPr>
          <w:rFonts w:hint="eastAsia" w:asciiTheme="minorEastAsia" w:hAnsiTheme="minorEastAsia" w:eastAsiaTheme="minorEastAsia" w:cstheme="minorEastAsia"/>
          <w:b w:val="0"/>
          <w:bCs/>
          <w:sz w:val="28"/>
          <w:szCs w:val="28"/>
        </w:rPr>
        <w:t>4.7 承包人现场查勘</w:t>
      </w:r>
      <w:bookmarkEnd w:id="1378"/>
      <w:bookmarkEnd w:id="1379"/>
      <w:bookmarkEnd w:id="1380"/>
      <w:bookmarkEnd w:id="1381"/>
      <w:bookmarkEnd w:id="1382"/>
    </w:p>
    <w:p w14:paraId="6AA012E7">
      <w:pPr>
        <w:pStyle w:val="144"/>
        <w:numPr>
          <w:ilvl w:val="0"/>
          <w:numId w:val="0"/>
        </w:numPr>
        <w:outlineLvl w:val="4"/>
        <w:rPr>
          <w:rFonts w:hint="eastAsia" w:asciiTheme="minorEastAsia" w:hAnsiTheme="minorEastAsia" w:eastAsiaTheme="minorEastAsia" w:cstheme="minorEastAsia"/>
          <w:sz w:val="28"/>
          <w:szCs w:val="28"/>
        </w:rPr>
      </w:pPr>
      <w:bookmarkStart w:id="1383" w:name="_Toc5134"/>
      <w:bookmarkStart w:id="1384" w:name="_Toc8360"/>
      <w:r>
        <w:rPr>
          <w:rFonts w:hint="eastAsia" w:asciiTheme="minorEastAsia" w:hAnsiTheme="minorEastAsia" w:eastAsiaTheme="minorEastAsia" w:cstheme="minorEastAsia"/>
          <w:sz w:val="28"/>
          <w:szCs w:val="28"/>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bookmarkEnd w:id="1383"/>
      <w:bookmarkEnd w:id="1384"/>
    </w:p>
    <w:p w14:paraId="138FDF5E">
      <w:pPr>
        <w:pStyle w:val="144"/>
        <w:numPr>
          <w:ilvl w:val="0"/>
          <w:numId w:val="0"/>
        </w:numPr>
        <w:outlineLvl w:val="4"/>
        <w:rPr>
          <w:rFonts w:hint="eastAsia" w:asciiTheme="minorEastAsia" w:hAnsiTheme="minorEastAsia" w:eastAsiaTheme="minorEastAsia" w:cstheme="minorEastAsia"/>
          <w:sz w:val="28"/>
          <w:szCs w:val="28"/>
        </w:rPr>
      </w:pPr>
      <w:bookmarkStart w:id="1385" w:name="_Toc21025"/>
      <w:bookmarkStart w:id="1386" w:name="_Toc14555"/>
      <w:r>
        <w:rPr>
          <w:rFonts w:hint="eastAsia" w:asciiTheme="minorEastAsia" w:hAnsiTheme="minorEastAsia" w:eastAsiaTheme="minorEastAsia" w:cstheme="minorEastAsia"/>
          <w:sz w:val="28"/>
          <w:szCs w:val="28"/>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bookmarkEnd w:id="1385"/>
      <w:bookmarkEnd w:id="1386"/>
    </w:p>
    <w:p w14:paraId="2360EF34">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387" w:name="_Ref11918789"/>
      <w:bookmarkStart w:id="1388" w:name="_Ref11918626"/>
      <w:bookmarkStart w:id="1389" w:name="_Toc26237"/>
      <w:bookmarkStart w:id="1390" w:name="_Ref11918693"/>
      <w:bookmarkStart w:id="1391" w:name="_Toc8626"/>
      <w:bookmarkStart w:id="1392" w:name="_Toc1569"/>
      <w:bookmarkStart w:id="1393" w:name="不可预见的困难"/>
      <w:r>
        <w:rPr>
          <w:rFonts w:hint="eastAsia" w:asciiTheme="minorEastAsia" w:hAnsiTheme="minorEastAsia" w:eastAsiaTheme="minorEastAsia" w:cstheme="minorEastAsia"/>
          <w:b w:val="0"/>
          <w:bCs/>
          <w:sz w:val="28"/>
          <w:szCs w:val="28"/>
        </w:rPr>
        <w:t>4.8 不可预见的困难</w:t>
      </w:r>
      <w:bookmarkEnd w:id="1368"/>
      <w:bookmarkEnd w:id="1369"/>
      <w:bookmarkEnd w:id="1370"/>
      <w:bookmarkEnd w:id="1387"/>
      <w:bookmarkEnd w:id="1388"/>
      <w:bookmarkEnd w:id="1389"/>
      <w:bookmarkEnd w:id="1390"/>
      <w:bookmarkEnd w:id="1391"/>
      <w:bookmarkEnd w:id="1392"/>
      <w:bookmarkEnd w:id="1393"/>
      <w:r>
        <w:rPr>
          <w:rFonts w:hint="eastAsia" w:asciiTheme="minorEastAsia" w:hAnsiTheme="minorEastAsia" w:eastAsiaTheme="minorEastAsia" w:cstheme="minorEastAsia"/>
          <w:b w:val="0"/>
          <w:bCs/>
          <w:sz w:val="28"/>
          <w:szCs w:val="28"/>
        </w:rPr>
        <w:t xml:space="preserve"> </w:t>
      </w:r>
    </w:p>
    <w:p w14:paraId="4B3791A2">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0DE0798C">
      <w:pPr>
        <w:keepNext w:val="0"/>
        <w:keepLines w:val="0"/>
        <w:pageBreakBefore w:val="0"/>
        <w:widowControl w:val="0"/>
        <w:kinsoku/>
        <w:wordWrap/>
        <w:overflowPunct/>
        <w:topLinePunct w:val="0"/>
        <w:autoSpaceDE/>
        <w:autoSpaceDN/>
        <w:bidi w:val="0"/>
        <w:adjustRightInd/>
        <w:snapToGrid/>
        <w:spacing w:line="360" w:lineRule="auto"/>
        <w:ind w:firstLine="60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4F4F6BDA">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394" w:name="_Ref11926566"/>
      <w:bookmarkStart w:id="1395" w:name="_Ref11926570"/>
      <w:bookmarkStart w:id="1396" w:name="_Toc23320"/>
      <w:bookmarkStart w:id="1397" w:name="_Toc17383"/>
      <w:bookmarkStart w:id="1398" w:name="_Toc26659"/>
      <w:r>
        <w:rPr>
          <w:rFonts w:hint="eastAsia" w:asciiTheme="minorEastAsia" w:hAnsiTheme="minorEastAsia" w:eastAsiaTheme="minorEastAsia" w:cstheme="minorEastAsia"/>
          <w:b w:val="0"/>
          <w:bCs/>
          <w:sz w:val="28"/>
          <w:szCs w:val="28"/>
        </w:rPr>
        <w:t>4.9 工程质量管理</w:t>
      </w:r>
      <w:bookmarkEnd w:id="1394"/>
      <w:bookmarkEnd w:id="1395"/>
      <w:bookmarkEnd w:id="1396"/>
      <w:bookmarkEnd w:id="1397"/>
      <w:bookmarkEnd w:id="1398"/>
    </w:p>
    <w:p w14:paraId="03A3EC3A">
      <w:pPr>
        <w:pStyle w:val="144"/>
        <w:numPr>
          <w:ilvl w:val="0"/>
          <w:numId w:val="0"/>
        </w:numPr>
        <w:outlineLvl w:val="4"/>
        <w:rPr>
          <w:rFonts w:hint="eastAsia" w:asciiTheme="minorEastAsia" w:hAnsiTheme="minorEastAsia" w:eastAsiaTheme="minorEastAsia" w:cstheme="minorEastAsia"/>
          <w:sz w:val="28"/>
          <w:szCs w:val="28"/>
        </w:rPr>
      </w:pPr>
      <w:bookmarkStart w:id="1399" w:name="_Toc9266"/>
      <w:bookmarkStart w:id="1400" w:name="_Toc11788"/>
      <w:r>
        <w:rPr>
          <w:rFonts w:hint="eastAsia" w:asciiTheme="minorEastAsia" w:hAnsiTheme="minorEastAsia" w:eastAsiaTheme="minorEastAsia" w:cstheme="minorEastAsia"/>
          <w:sz w:val="28"/>
          <w:szCs w:val="28"/>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bookmarkEnd w:id="1399"/>
      <w:bookmarkEnd w:id="1400"/>
    </w:p>
    <w:p w14:paraId="677912F7">
      <w:pPr>
        <w:pStyle w:val="144"/>
        <w:numPr>
          <w:ilvl w:val="0"/>
          <w:numId w:val="0"/>
        </w:numPr>
        <w:outlineLvl w:val="4"/>
        <w:rPr>
          <w:rFonts w:hint="eastAsia" w:asciiTheme="minorEastAsia" w:hAnsiTheme="minorEastAsia" w:eastAsiaTheme="minorEastAsia" w:cstheme="minorEastAsia"/>
          <w:sz w:val="28"/>
          <w:szCs w:val="28"/>
        </w:rPr>
      </w:pPr>
      <w:bookmarkStart w:id="1401" w:name="_Toc13775"/>
      <w:bookmarkStart w:id="1402" w:name="_Toc9912"/>
      <w:r>
        <w:rPr>
          <w:rFonts w:hint="eastAsia" w:asciiTheme="minorEastAsia" w:hAnsiTheme="minorEastAsia" w:eastAsiaTheme="minorEastAsia" w:cstheme="minorEastAsia"/>
          <w:sz w:val="28"/>
          <w:szCs w:val="28"/>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bookmarkEnd w:id="1401"/>
      <w:bookmarkEnd w:id="1402"/>
    </w:p>
    <w:p w14:paraId="702A1F03">
      <w:pPr>
        <w:pStyle w:val="144"/>
        <w:numPr>
          <w:ilvl w:val="0"/>
          <w:numId w:val="0"/>
        </w:numPr>
        <w:outlineLvl w:val="4"/>
        <w:rPr>
          <w:rFonts w:hint="eastAsia" w:asciiTheme="minorEastAsia" w:hAnsiTheme="minorEastAsia" w:eastAsiaTheme="minorEastAsia" w:cstheme="minorEastAsia"/>
          <w:sz w:val="28"/>
          <w:szCs w:val="28"/>
        </w:rPr>
      </w:pPr>
      <w:bookmarkStart w:id="1403" w:name="_Toc21803"/>
      <w:bookmarkStart w:id="1404" w:name="_Toc29424"/>
      <w:r>
        <w:rPr>
          <w:rFonts w:hint="eastAsia" w:asciiTheme="minorEastAsia" w:hAnsiTheme="minorEastAsia" w:eastAsiaTheme="minorEastAsia" w:cstheme="minorEastAsia"/>
          <w:sz w:val="28"/>
          <w:szCs w:val="28"/>
        </w:rPr>
        <w:t>4.9.3 承包人应对其人员进行质量教育和技术培训，定期考核人员的劳动技能，严格执行相关规范和操作规程。</w:t>
      </w:r>
      <w:bookmarkEnd w:id="1403"/>
      <w:bookmarkEnd w:id="1404"/>
    </w:p>
    <w:p w14:paraId="6651F9CC">
      <w:pPr>
        <w:pStyle w:val="144"/>
        <w:numPr>
          <w:ilvl w:val="0"/>
          <w:numId w:val="0"/>
        </w:numPr>
        <w:outlineLvl w:val="4"/>
        <w:rPr>
          <w:rFonts w:hint="eastAsia" w:asciiTheme="minorEastAsia" w:hAnsiTheme="minorEastAsia" w:eastAsiaTheme="minorEastAsia" w:cstheme="minorEastAsia"/>
          <w:sz w:val="28"/>
          <w:szCs w:val="28"/>
        </w:rPr>
      </w:pPr>
      <w:bookmarkStart w:id="1405" w:name="_Toc27460"/>
      <w:bookmarkStart w:id="1406" w:name="_Toc27055"/>
      <w:r>
        <w:rPr>
          <w:rFonts w:hint="eastAsia" w:asciiTheme="minorEastAsia" w:hAnsiTheme="minorEastAsia" w:eastAsiaTheme="minorEastAsia" w:cstheme="minorEastAsia"/>
          <w:sz w:val="28"/>
          <w:szCs w:val="28"/>
        </w:rPr>
        <w:t>4.9.4 承包人应按照法律规定和合同约定，对设计、材料、工程设备以及全部工程内容及其施工工艺进行全过程的质量检查和检验，并详细记录，编制工程质量报表，报送工程师审查。此外，承包人还应按照法律规定和合同约定，进行施工现场取样试验、工程复核测量和设备性能检测，提供试验样品、提交试验报告和测量成果以及其他工作。</w:t>
      </w:r>
      <w:bookmarkEnd w:id="1405"/>
      <w:bookmarkEnd w:id="1406"/>
    </w:p>
    <w:p w14:paraId="1DD76F55">
      <w:pPr>
        <w:pStyle w:val="142"/>
        <w:numPr>
          <w:ilvl w:val="0"/>
          <w:numId w:val="0"/>
        </w:numPr>
        <w:wordWrap/>
        <w:topLinePunct w:val="0"/>
        <w:outlineLvl w:val="2"/>
        <w:rPr>
          <w:rFonts w:hint="eastAsia" w:asciiTheme="minorEastAsia" w:hAnsiTheme="minorEastAsia" w:eastAsiaTheme="minorEastAsia" w:cstheme="minorEastAsia"/>
          <w:b w:val="0"/>
          <w:bCs/>
          <w:sz w:val="28"/>
          <w:szCs w:val="28"/>
        </w:rPr>
      </w:pPr>
      <w:bookmarkStart w:id="1407" w:name="_Toc4449"/>
      <w:bookmarkStart w:id="1408" w:name="_Toc13441"/>
      <w:bookmarkStart w:id="1409" w:name="_Toc18119"/>
      <w:bookmarkStart w:id="1410" w:name="_Ref531952837"/>
      <w:bookmarkStart w:id="1411" w:name="_Toc2410"/>
      <w:bookmarkStart w:id="1412" w:name="_Toc26747"/>
      <w:r>
        <w:rPr>
          <w:rFonts w:hint="eastAsia" w:asciiTheme="minorEastAsia" w:hAnsiTheme="minorEastAsia" w:eastAsiaTheme="minorEastAsia" w:cstheme="minorEastAsia"/>
          <w:b w:val="0"/>
          <w:bCs/>
          <w:sz w:val="28"/>
          <w:szCs w:val="28"/>
        </w:rPr>
        <w:t>第5条 设计</w:t>
      </w:r>
      <w:bookmarkEnd w:id="1407"/>
      <w:bookmarkEnd w:id="1408"/>
      <w:bookmarkEnd w:id="1409"/>
      <w:bookmarkEnd w:id="1410"/>
      <w:bookmarkEnd w:id="1411"/>
      <w:bookmarkEnd w:id="1412"/>
    </w:p>
    <w:p w14:paraId="5E336164">
      <w:pPr>
        <w:pStyle w:val="143"/>
        <w:widowControl/>
        <w:numPr>
          <w:ilvl w:val="0"/>
          <w:numId w:val="0"/>
        </w:numPr>
        <w:outlineLvl w:val="3"/>
        <w:rPr>
          <w:rFonts w:hint="eastAsia" w:asciiTheme="minorEastAsia" w:hAnsiTheme="minorEastAsia" w:eastAsiaTheme="minorEastAsia" w:cstheme="minorEastAsia"/>
          <w:b w:val="0"/>
          <w:bCs/>
          <w:sz w:val="28"/>
          <w:szCs w:val="28"/>
        </w:rPr>
      </w:pPr>
      <w:bookmarkStart w:id="1413" w:name="_Toc18504"/>
      <w:bookmarkStart w:id="1414" w:name="_Toc6768"/>
      <w:bookmarkStart w:id="1415" w:name="_Ref531952860"/>
      <w:bookmarkStart w:id="1416" w:name="_Ref531952863"/>
      <w:bookmarkStart w:id="1417" w:name="_Toc32417"/>
      <w:r>
        <w:rPr>
          <w:rFonts w:hint="eastAsia" w:asciiTheme="minorEastAsia" w:hAnsiTheme="minorEastAsia" w:eastAsiaTheme="minorEastAsia" w:cstheme="minorEastAsia"/>
          <w:b w:val="0"/>
          <w:bCs/>
          <w:sz w:val="28"/>
          <w:szCs w:val="28"/>
        </w:rPr>
        <w:t>5.1 承包人的设计义务</w:t>
      </w:r>
      <w:bookmarkEnd w:id="1413"/>
      <w:bookmarkEnd w:id="1414"/>
      <w:bookmarkEnd w:id="1415"/>
      <w:bookmarkEnd w:id="1416"/>
      <w:bookmarkEnd w:id="1417"/>
      <w:r>
        <w:rPr>
          <w:rFonts w:hint="eastAsia" w:asciiTheme="minorEastAsia" w:hAnsiTheme="minorEastAsia" w:eastAsiaTheme="minorEastAsia" w:cstheme="minorEastAsia"/>
          <w:b w:val="0"/>
          <w:bCs/>
          <w:sz w:val="28"/>
          <w:szCs w:val="28"/>
        </w:rPr>
        <w:t xml:space="preserve"> </w:t>
      </w:r>
    </w:p>
    <w:p w14:paraId="1C2C5CD1">
      <w:pPr>
        <w:pStyle w:val="144"/>
        <w:numPr>
          <w:ilvl w:val="0"/>
          <w:numId w:val="0"/>
        </w:numPr>
        <w:outlineLvl w:val="4"/>
        <w:rPr>
          <w:rFonts w:hint="eastAsia" w:asciiTheme="minorEastAsia" w:hAnsiTheme="minorEastAsia" w:eastAsiaTheme="minorEastAsia" w:cstheme="minorEastAsia"/>
          <w:sz w:val="28"/>
          <w:szCs w:val="28"/>
        </w:rPr>
      </w:pPr>
      <w:bookmarkStart w:id="1418" w:name="_Ref531952881"/>
      <w:bookmarkStart w:id="1419" w:name="_Toc32602"/>
      <w:bookmarkStart w:id="1420" w:name="_Toc17024"/>
      <w:r>
        <w:rPr>
          <w:rFonts w:hint="eastAsia" w:asciiTheme="minorEastAsia" w:hAnsiTheme="minorEastAsia" w:eastAsiaTheme="minorEastAsia" w:cstheme="minorEastAsia"/>
          <w:sz w:val="28"/>
          <w:szCs w:val="28"/>
        </w:rPr>
        <w:t>5.1.1 设计义务的一般要求</w:t>
      </w:r>
      <w:bookmarkEnd w:id="1418"/>
      <w:bookmarkEnd w:id="1419"/>
      <w:bookmarkEnd w:id="1420"/>
    </w:p>
    <w:p w14:paraId="27595E19">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6146C5DE">
      <w:pPr>
        <w:pStyle w:val="144"/>
        <w:numPr>
          <w:ilvl w:val="0"/>
          <w:numId w:val="0"/>
        </w:numPr>
        <w:outlineLvl w:val="4"/>
        <w:rPr>
          <w:rFonts w:hint="eastAsia" w:asciiTheme="minorEastAsia" w:hAnsiTheme="minorEastAsia" w:eastAsiaTheme="minorEastAsia" w:cstheme="minorEastAsia"/>
          <w:sz w:val="28"/>
          <w:szCs w:val="28"/>
        </w:rPr>
      </w:pPr>
      <w:bookmarkStart w:id="1421" w:name="_Ref531952952"/>
      <w:bookmarkStart w:id="1422" w:name="_Toc28638"/>
      <w:bookmarkStart w:id="1423" w:name="_Toc21908"/>
      <w:bookmarkStart w:id="1424" w:name="_Ref531952899"/>
      <w:r>
        <w:rPr>
          <w:rFonts w:hint="eastAsia" w:asciiTheme="minorEastAsia" w:hAnsiTheme="minorEastAsia" w:eastAsiaTheme="minorEastAsia" w:cstheme="minorEastAsia"/>
          <w:sz w:val="28"/>
          <w:szCs w:val="28"/>
        </w:rPr>
        <w:t>5.1.2 对设计人员的要求</w:t>
      </w:r>
      <w:bookmarkEnd w:id="1421"/>
      <w:bookmarkEnd w:id="1422"/>
      <w:bookmarkEnd w:id="1423"/>
    </w:p>
    <w:p w14:paraId="1EBB57EC">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承包人应保证其或其设计分包人的设计资质在合同有效期内满足法律法规、行业标准或合同约定的相关要求，并指派符合法律法规、行业标准或合同约定的资质要求并具有从事设计所必需的经验与能力</w:t>
      </w:r>
      <w:r>
        <w:rPr>
          <w:rFonts w:hint="eastAsia" w:asciiTheme="minorEastAsia" w:hAnsiTheme="minorEastAsia" w:eastAsiaTheme="minorEastAsia" w:cstheme="minorEastAsia"/>
          <w:sz w:val="28"/>
          <w:szCs w:val="28"/>
          <w:lang w:eastAsia="zh-CN"/>
        </w:rPr>
        <w:t>的</w:t>
      </w:r>
      <w:r>
        <w:rPr>
          <w:rFonts w:hint="eastAsia" w:asciiTheme="minorEastAsia" w:hAnsiTheme="minorEastAsia" w:eastAsiaTheme="minorEastAsia" w:cstheme="minorEastAsia"/>
          <w:sz w:val="28"/>
          <w:szCs w:val="28"/>
        </w:rPr>
        <w:t>设计人员完成设计工作。承包人应保证其设计人员（包括分包人的设计人员）在合同期限内，都能按时参加发包人或工程师组织的工作会议。</w:t>
      </w:r>
    </w:p>
    <w:bookmarkEnd w:id="1424"/>
    <w:p w14:paraId="177FA9A8">
      <w:pPr>
        <w:pStyle w:val="144"/>
        <w:numPr>
          <w:ilvl w:val="0"/>
          <w:numId w:val="0"/>
        </w:numPr>
        <w:outlineLvl w:val="4"/>
        <w:rPr>
          <w:rFonts w:hint="eastAsia" w:asciiTheme="minorEastAsia" w:hAnsiTheme="minorEastAsia" w:eastAsiaTheme="minorEastAsia" w:cstheme="minorEastAsia"/>
          <w:sz w:val="28"/>
          <w:szCs w:val="28"/>
        </w:rPr>
      </w:pPr>
      <w:bookmarkStart w:id="1425" w:name="_Toc5641"/>
      <w:bookmarkStart w:id="1426" w:name="_Toc6408"/>
      <w:r>
        <w:rPr>
          <w:rFonts w:hint="eastAsia" w:asciiTheme="minorEastAsia" w:hAnsiTheme="minorEastAsia" w:eastAsiaTheme="minorEastAsia" w:cstheme="minorEastAsia"/>
          <w:sz w:val="28"/>
          <w:szCs w:val="28"/>
        </w:rPr>
        <w:t>5.1.3 法律和标准的变化</w:t>
      </w:r>
      <w:bookmarkEnd w:id="1425"/>
      <w:bookmarkEnd w:id="1426"/>
    </w:p>
    <w:p w14:paraId="3667EF94">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07FD8A50">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在基准日期之后，因国家颁布新的强制性规范、标准导致承包人的费用变化的，发包人应合理调整合同价格；导致工期延误的，发包人应合理延长工期。</w:t>
      </w:r>
    </w:p>
    <w:p w14:paraId="3D09905D">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427" w:name="_Toc20708"/>
      <w:bookmarkStart w:id="1428" w:name="_Ref531953051"/>
      <w:bookmarkStart w:id="1429" w:name="_Toc10989"/>
      <w:bookmarkStart w:id="1430" w:name="_Toc29997"/>
      <w:bookmarkStart w:id="1431" w:name="_Ref531953054"/>
      <w:r>
        <w:rPr>
          <w:rFonts w:hint="eastAsia" w:asciiTheme="minorEastAsia" w:hAnsiTheme="minorEastAsia" w:eastAsiaTheme="minorEastAsia" w:cstheme="minorEastAsia"/>
          <w:b w:val="0"/>
          <w:bCs/>
          <w:sz w:val="28"/>
          <w:szCs w:val="28"/>
        </w:rPr>
        <w:t>5.2 承包人文件审查</w:t>
      </w:r>
      <w:bookmarkEnd w:id="1427"/>
      <w:bookmarkEnd w:id="1428"/>
      <w:bookmarkEnd w:id="1429"/>
      <w:bookmarkEnd w:id="1430"/>
      <w:bookmarkEnd w:id="1431"/>
      <w:r>
        <w:rPr>
          <w:rFonts w:hint="eastAsia" w:asciiTheme="minorEastAsia" w:hAnsiTheme="minorEastAsia" w:eastAsiaTheme="minorEastAsia" w:cstheme="minorEastAsia"/>
          <w:b w:val="0"/>
          <w:bCs/>
          <w:sz w:val="28"/>
          <w:szCs w:val="28"/>
        </w:rPr>
        <w:t xml:space="preserve"> </w:t>
      </w:r>
    </w:p>
    <w:p w14:paraId="4064D83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32" w:name="_Toc19048"/>
      <w:bookmarkStart w:id="1433" w:name="_Ref531953064"/>
      <w:bookmarkStart w:id="1434" w:name="_Toc22404"/>
      <w:r>
        <w:rPr>
          <w:rFonts w:hint="eastAsia" w:asciiTheme="minorEastAsia" w:hAnsiTheme="minorEastAsia" w:eastAsiaTheme="minorEastAsia" w:cstheme="minorEastAsia"/>
          <w:sz w:val="28"/>
          <w:szCs w:val="28"/>
        </w:rPr>
        <w:t>5.2.1 根据《发包人要求》应当通过工程师报发包人审查同意的承包人文件，承包人应当按照《发包人要求》约定的范围和内容及时报送审查。</w:t>
      </w:r>
      <w:bookmarkEnd w:id="1432"/>
      <w:bookmarkEnd w:id="1433"/>
      <w:bookmarkEnd w:id="1434"/>
    </w:p>
    <w:p w14:paraId="2284A3FD">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5B0DF8B9">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发包人同意承包人文件的，应及时通知承包人，发包人不同意承包人文件的，应在审查期限内通过工程师以书面形式通知承包人，并说明不同意的具体内容和理由。</w:t>
      </w:r>
    </w:p>
    <w:p w14:paraId="371B8995">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承包人对发包人的意见按以下方式处理：</w:t>
      </w:r>
    </w:p>
    <w:p w14:paraId="07938DC1">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发包人的意见构成变更的，承包人应在7天内通知发包人按照第13条[变更与调整]中关于发包人指示变更的约定执行，双方对是否构成变更无法达成一致的，按照第20条[争议解决]的约定执行；</w:t>
      </w:r>
    </w:p>
    <w:p w14:paraId="53C79C34">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因承包人原因导致无法通过审查的，承包人应根据发包人的书面说明，对承包人文件进行修改后重新报送发包人审查，审查期重新起算。因此引起的工期延长和必要的工程费用增加，由承包人负责。</w:t>
      </w:r>
    </w:p>
    <w:p w14:paraId="1EE62D84">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合同约定的审查期满，发包人没有做出审查结论也没有提出异议的，视为承包人文件已获发包人同意。</w:t>
      </w:r>
    </w:p>
    <w:p w14:paraId="434FF3B9">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发包人对承包人文件的审查和同意不得被理解为对合同的修改或改变，也并不减轻或免除承包人</w:t>
      </w:r>
      <w:r>
        <w:rPr>
          <w:rFonts w:hint="eastAsia" w:asciiTheme="minorEastAsia" w:hAnsiTheme="minorEastAsia" w:eastAsiaTheme="minorEastAsia" w:cstheme="minorEastAsia"/>
          <w:sz w:val="28"/>
          <w:szCs w:val="28"/>
          <w:lang w:eastAsia="zh-CN"/>
        </w:rPr>
        <w:t>任何</w:t>
      </w:r>
      <w:r>
        <w:rPr>
          <w:rFonts w:hint="eastAsia" w:asciiTheme="minorEastAsia" w:hAnsiTheme="minorEastAsia" w:eastAsiaTheme="minorEastAsia" w:cstheme="minorEastAsia"/>
          <w:sz w:val="28"/>
          <w:szCs w:val="28"/>
        </w:rPr>
        <w:t>责任和义务。</w:t>
      </w:r>
    </w:p>
    <w:p w14:paraId="6FC3A946">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35" w:name="_Toc4895"/>
      <w:bookmarkStart w:id="1436" w:name="_Toc28341"/>
      <w:r>
        <w:rPr>
          <w:rFonts w:hint="eastAsia" w:asciiTheme="minorEastAsia" w:hAnsiTheme="minorEastAsia" w:eastAsiaTheme="minorEastAsia" w:cstheme="minorEastAsia"/>
          <w:sz w:val="28"/>
          <w:szCs w:val="28"/>
        </w:rPr>
        <w:t>5.2.2 承包人文件不需要政府有关部门或专用合同条件约定的第三方审查单位审查或批准的，承包人应当严格按照经发包人审查同意的承包人文件设计和实施工程。</w:t>
      </w:r>
      <w:bookmarkEnd w:id="1435"/>
      <w:bookmarkEnd w:id="1436"/>
    </w:p>
    <w:p w14:paraId="23A02F8A">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38B5FB81">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发包人有义务向承包人提供审查会议的批准文件和纪要。承包人有义务按照相关审查会议批准的文件和纪要，并依据合同约定及相关技术标准，对承包人文件进行修改、补充和完善。</w:t>
      </w:r>
    </w:p>
    <w:p w14:paraId="5FD647AB">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37" w:name="_Toc9114"/>
      <w:bookmarkStart w:id="1438" w:name="_Toc25089"/>
      <w:bookmarkStart w:id="1439" w:name="_Ref531953074"/>
      <w:r>
        <w:rPr>
          <w:rFonts w:hint="eastAsia" w:asciiTheme="minorEastAsia" w:hAnsiTheme="minorEastAsia" w:eastAsiaTheme="minorEastAsia" w:cstheme="minorEastAsia"/>
          <w:sz w:val="28"/>
          <w:szCs w:val="28"/>
        </w:rPr>
        <w:t>5.2.3 承包人文件需政府有关部门或专用合同条件约定的第三方审查单位审查或批准的，发包人应在发包人审查同意承包人文件后7天内，向政府有关部门或第三方报送承包人文件，承包人应予以协助。</w:t>
      </w:r>
      <w:bookmarkEnd w:id="1437"/>
      <w:bookmarkEnd w:id="1438"/>
      <w:bookmarkEnd w:id="1439"/>
    </w:p>
    <w:p w14:paraId="5B5F317F">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33F3311E">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4C3ADDC6">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440" w:name="_Toc9907"/>
      <w:bookmarkStart w:id="1441" w:name="_Ref531953095"/>
      <w:bookmarkStart w:id="1442" w:name="_Toc1635"/>
      <w:bookmarkStart w:id="1443" w:name="_Ref531953097"/>
      <w:bookmarkStart w:id="1444" w:name="_Toc28215"/>
      <w:r>
        <w:rPr>
          <w:rFonts w:hint="eastAsia" w:asciiTheme="minorEastAsia" w:hAnsiTheme="minorEastAsia" w:eastAsiaTheme="minorEastAsia" w:cstheme="minorEastAsia"/>
          <w:b w:val="0"/>
          <w:bCs/>
          <w:sz w:val="28"/>
          <w:szCs w:val="28"/>
        </w:rPr>
        <w:t>5.3 培训</w:t>
      </w:r>
      <w:bookmarkEnd w:id="1440"/>
      <w:bookmarkEnd w:id="1441"/>
      <w:bookmarkEnd w:id="1442"/>
      <w:bookmarkEnd w:id="1443"/>
      <w:bookmarkEnd w:id="1444"/>
    </w:p>
    <w:p w14:paraId="617A7CC3">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承包人应按照《发包人要求》，对发包人的雇员或</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发包人指定的人员进行工程操作、维修或</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合同中约定的培训。合同约定接收之前进行培训的，应在第10.1款[竣工验收]约定的竣工验收前或试运行结束前完成培训。</w:t>
      </w:r>
    </w:p>
    <w:p w14:paraId="5D1D3CC4">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培训的时长应由双方在专用合同条件中约定，承包人应为培训提供有经验的人员、设施和</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必要条件。</w:t>
      </w:r>
    </w:p>
    <w:p w14:paraId="3739AE84">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445" w:name="_Ref531953105"/>
      <w:bookmarkStart w:id="1446" w:name="_Ref531953108"/>
      <w:bookmarkStart w:id="1447" w:name="_Toc17205"/>
      <w:bookmarkStart w:id="1448" w:name="_Toc17532"/>
      <w:bookmarkStart w:id="1449" w:name="_Toc23297"/>
      <w:r>
        <w:rPr>
          <w:rFonts w:hint="eastAsia" w:asciiTheme="minorEastAsia" w:hAnsiTheme="minorEastAsia" w:eastAsiaTheme="minorEastAsia" w:cstheme="minorEastAsia"/>
          <w:b w:val="0"/>
          <w:bCs/>
          <w:sz w:val="28"/>
          <w:szCs w:val="28"/>
        </w:rPr>
        <w:t>5.4 竣工文件</w:t>
      </w:r>
      <w:bookmarkEnd w:id="1445"/>
      <w:bookmarkEnd w:id="1446"/>
      <w:bookmarkEnd w:id="1447"/>
      <w:bookmarkEnd w:id="1448"/>
      <w:bookmarkEnd w:id="1449"/>
    </w:p>
    <w:p w14:paraId="411F4B76">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50" w:name="_Toc5000"/>
      <w:bookmarkStart w:id="1451" w:name="_Ref531953134"/>
      <w:bookmarkStart w:id="1452" w:name="_Toc26581"/>
      <w:r>
        <w:rPr>
          <w:rFonts w:hint="eastAsia" w:asciiTheme="minorEastAsia" w:hAnsiTheme="minorEastAsia" w:eastAsiaTheme="minorEastAsia" w:cstheme="minorEastAsia"/>
          <w:sz w:val="28"/>
          <w:szCs w:val="28"/>
        </w:rPr>
        <w:t>5.4.1 承包人应编制并及时更新反映工程实施结果的竣工记录，如实记载竣工工程的确切位置、尺寸和已实施工作的详细说明。竣工文件的形式、技术标准以及</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相关内容应按照相关法律法规、行业标准与《发包人要求》执行。竣工记录应保存在施工现场，并在竣工试验开始前，按照专用合同条件约定的份数提交给工程师。</w:t>
      </w:r>
      <w:bookmarkEnd w:id="1450"/>
      <w:bookmarkEnd w:id="1451"/>
      <w:bookmarkEnd w:id="1452"/>
    </w:p>
    <w:p w14:paraId="3D1BC65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53" w:name="_Toc16411"/>
      <w:bookmarkStart w:id="1454" w:name="_Toc29147"/>
      <w:r>
        <w:rPr>
          <w:rFonts w:hint="eastAsia" w:asciiTheme="minorEastAsia" w:hAnsiTheme="minorEastAsia" w:eastAsiaTheme="minorEastAsia" w:cstheme="minorEastAsia"/>
          <w:sz w:val="28"/>
          <w:szCs w:val="28"/>
        </w:rPr>
        <w:t>5.4.2 在颁发工程接收证书之前，承包人应按照《发包人要求》的份数和形式向工程师提交相应竣工图纸，并取得工程师对尺寸、参照系统及其他有关细节的认可。工程师应按照第5.2款[承包人文件审查]的约定进行审查。</w:t>
      </w:r>
      <w:bookmarkEnd w:id="1453"/>
      <w:bookmarkEnd w:id="1454"/>
    </w:p>
    <w:p w14:paraId="50B652FE">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55" w:name="_Toc32622"/>
      <w:bookmarkStart w:id="1456" w:name="_Toc30981"/>
      <w:r>
        <w:rPr>
          <w:rFonts w:hint="eastAsia" w:asciiTheme="minorEastAsia" w:hAnsiTheme="minorEastAsia" w:eastAsiaTheme="minorEastAsia" w:cstheme="minorEastAsia"/>
          <w:sz w:val="28"/>
          <w:szCs w:val="28"/>
        </w:rPr>
        <w:t>5.4.3 除专用合同条件另有约定外，在工程师收到本款下的文件前，不应认为工程已根据第10.1款[竣工验收]和第10.2款[单位/区段工程的验收]的约定完成验收。</w:t>
      </w:r>
      <w:bookmarkEnd w:id="1455"/>
      <w:bookmarkEnd w:id="1456"/>
    </w:p>
    <w:p w14:paraId="28BBEA42">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457" w:name="_Toc22848"/>
      <w:bookmarkStart w:id="1458" w:name="_Ref531953117"/>
      <w:bookmarkStart w:id="1459" w:name="_Toc12166"/>
      <w:bookmarkStart w:id="1460" w:name="_Ref531953119"/>
      <w:bookmarkStart w:id="1461" w:name="_Toc16069"/>
      <w:r>
        <w:rPr>
          <w:rFonts w:hint="eastAsia" w:asciiTheme="minorEastAsia" w:hAnsiTheme="minorEastAsia" w:eastAsiaTheme="minorEastAsia" w:cstheme="minorEastAsia"/>
          <w:b w:val="0"/>
          <w:bCs/>
          <w:sz w:val="28"/>
          <w:szCs w:val="28"/>
        </w:rPr>
        <w:t>5.5 操作和维修手册</w:t>
      </w:r>
      <w:bookmarkEnd w:id="1457"/>
      <w:bookmarkEnd w:id="1458"/>
      <w:bookmarkEnd w:id="1459"/>
      <w:bookmarkEnd w:id="1460"/>
      <w:bookmarkEnd w:id="1461"/>
    </w:p>
    <w:p w14:paraId="57618F7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62" w:name="_Toc13558"/>
      <w:bookmarkStart w:id="1463" w:name="_Toc3999"/>
      <w:bookmarkStart w:id="1464" w:name="_Ref531953145"/>
      <w:r>
        <w:rPr>
          <w:rFonts w:hint="eastAsia" w:asciiTheme="minorEastAsia" w:hAnsiTheme="minorEastAsia" w:eastAsiaTheme="minorEastAsia" w:cstheme="minorEastAsia"/>
          <w:sz w:val="28"/>
          <w:szCs w:val="28"/>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1462"/>
      <w:bookmarkEnd w:id="1463"/>
      <w:bookmarkEnd w:id="1464"/>
    </w:p>
    <w:p w14:paraId="170EBF1E">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65" w:name="_Toc16242"/>
      <w:bookmarkStart w:id="1466" w:name="_Toc17146"/>
      <w:r>
        <w:rPr>
          <w:rFonts w:hint="eastAsia" w:asciiTheme="minorEastAsia" w:hAnsiTheme="minorEastAsia" w:eastAsiaTheme="minorEastAsia" w:cstheme="minorEastAsia"/>
          <w:sz w:val="28"/>
          <w:szCs w:val="28"/>
        </w:rPr>
        <w:t>5.5.2 工程师收到承包人提交的文件后，应依据第5.2款[承包人文件审查]的约定对操作和维修手册进行审查，竣工试验工程中，承包人应为任何因操作和维修手册错误或遗漏引起的风险或损失承担责任。</w:t>
      </w:r>
      <w:bookmarkEnd w:id="1465"/>
      <w:bookmarkEnd w:id="1466"/>
    </w:p>
    <w:p w14:paraId="0283AEC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67" w:name="_Toc7124"/>
      <w:bookmarkStart w:id="1468" w:name="_Toc12902"/>
      <w:r>
        <w:rPr>
          <w:rFonts w:hint="eastAsia" w:asciiTheme="minorEastAsia" w:hAnsiTheme="minorEastAsia" w:eastAsiaTheme="minorEastAsia" w:cstheme="minorEastAsia"/>
          <w:sz w:val="28"/>
          <w:szCs w:val="28"/>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bookmarkEnd w:id="1467"/>
      <w:bookmarkEnd w:id="1468"/>
    </w:p>
    <w:p w14:paraId="7F02E979">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469" w:name="_Toc21772"/>
      <w:bookmarkStart w:id="1470" w:name="_Toc27600"/>
      <w:bookmarkStart w:id="1471" w:name="_Toc31335"/>
      <w:r>
        <w:rPr>
          <w:rFonts w:hint="eastAsia" w:asciiTheme="minorEastAsia" w:hAnsiTheme="minorEastAsia" w:eastAsiaTheme="minorEastAsia" w:cstheme="minorEastAsia"/>
          <w:b w:val="0"/>
          <w:bCs/>
          <w:sz w:val="28"/>
          <w:szCs w:val="28"/>
        </w:rPr>
        <w:t>5.6 承包人文件错误</w:t>
      </w:r>
      <w:bookmarkEnd w:id="1469"/>
      <w:bookmarkEnd w:id="1470"/>
      <w:bookmarkEnd w:id="1471"/>
      <w:r>
        <w:rPr>
          <w:rFonts w:hint="eastAsia" w:asciiTheme="minorEastAsia" w:hAnsiTheme="minorEastAsia" w:eastAsiaTheme="minorEastAsia" w:cstheme="minorEastAsia"/>
          <w:b w:val="0"/>
          <w:bCs/>
          <w:sz w:val="28"/>
          <w:szCs w:val="28"/>
        </w:rPr>
        <w:t xml:space="preserve"> </w:t>
      </w:r>
    </w:p>
    <w:p w14:paraId="6437583A">
      <w:pPr>
        <w:keepNext w:val="0"/>
        <w:keepLines w:val="0"/>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78062E7C">
      <w:pPr>
        <w:pStyle w:val="142"/>
        <w:keepNext w:val="0"/>
        <w:keepLines w:val="0"/>
        <w:pageBreakBefore w:val="0"/>
        <w:numPr>
          <w:ilvl w:val="0"/>
          <w:numId w:val="0"/>
        </w:numPr>
        <w:kinsoku/>
        <w:wordWrap/>
        <w:overflowPunct/>
        <w:topLinePunct w:val="0"/>
        <w:autoSpaceDE/>
        <w:autoSpaceDN/>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472" w:name="_Toc9241"/>
      <w:bookmarkStart w:id="1473" w:name="_Ref531953761"/>
      <w:bookmarkStart w:id="1474" w:name="_Ref531953765"/>
      <w:bookmarkStart w:id="1475" w:name="_Toc8767"/>
      <w:bookmarkStart w:id="1476" w:name="_Toc7407"/>
      <w:bookmarkStart w:id="1477" w:name="_Toc18557"/>
      <w:bookmarkStart w:id="1478" w:name="_Toc30596"/>
      <w:r>
        <w:rPr>
          <w:rFonts w:hint="eastAsia" w:asciiTheme="minorEastAsia" w:hAnsiTheme="minorEastAsia" w:eastAsiaTheme="minorEastAsia" w:cstheme="minorEastAsia"/>
          <w:b w:val="0"/>
          <w:bCs/>
          <w:sz w:val="28"/>
          <w:szCs w:val="28"/>
        </w:rPr>
        <w:t>第6条 材料、工程设备</w:t>
      </w:r>
      <w:bookmarkEnd w:id="1472"/>
      <w:bookmarkEnd w:id="1473"/>
      <w:bookmarkEnd w:id="1474"/>
      <w:bookmarkEnd w:id="1475"/>
      <w:bookmarkEnd w:id="1476"/>
      <w:bookmarkEnd w:id="1477"/>
      <w:bookmarkEnd w:id="1478"/>
    </w:p>
    <w:p w14:paraId="7915EAFF">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479" w:name="_Toc30974"/>
      <w:bookmarkStart w:id="1480" w:name="_Toc9137"/>
      <w:bookmarkStart w:id="1481" w:name="_Ref531953828"/>
      <w:bookmarkStart w:id="1482" w:name="_Toc1056"/>
      <w:bookmarkStart w:id="1483" w:name="_Ref531953832"/>
      <w:r>
        <w:rPr>
          <w:rFonts w:hint="eastAsia" w:asciiTheme="minorEastAsia" w:hAnsiTheme="minorEastAsia" w:eastAsiaTheme="minorEastAsia" w:cstheme="minorEastAsia"/>
          <w:b w:val="0"/>
          <w:bCs/>
          <w:sz w:val="28"/>
          <w:szCs w:val="28"/>
        </w:rPr>
        <w:t>6.1 实施方法</w:t>
      </w:r>
      <w:bookmarkEnd w:id="1479"/>
      <w:bookmarkEnd w:id="1480"/>
      <w:bookmarkEnd w:id="1481"/>
      <w:bookmarkEnd w:id="1482"/>
      <w:bookmarkEnd w:id="1483"/>
      <w:r>
        <w:rPr>
          <w:rFonts w:hint="eastAsia" w:asciiTheme="minorEastAsia" w:hAnsiTheme="minorEastAsia" w:eastAsiaTheme="minorEastAsia" w:cstheme="minorEastAsia"/>
          <w:b w:val="0"/>
          <w:bCs/>
          <w:sz w:val="28"/>
          <w:szCs w:val="28"/>
        </w:rPr>
        <w:t xml:space="preserve"> </w:t>
      </w:r>
    </w:p>
    <w:p w14:paraId="25539FD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承包人应按以下方法进行材料的加工、工程设备的采购、制造和安装</w:t>
      </w:r>
      <w:r>
        <w:rPr>
          <w:rFonts w:hint="eastAsia" w:asciiTheme="minorEastAsia" w:hAnsiTheme="minorEastAsia" w:eastAsiaTheme="minorEastAsia" w:cstheme="minorEastAsia"/>
          <w:sz w:val="28"/>
          <w:szCs w:val="28"/>
          <w:lang w:eastAsia="zh-CN"/>
        </w:rPr>
        <w:t>以及</w:t>
      </w:r>
      <w:r>
        <w:rPr>
          <w:rFonts w:hint="eastAsia" w:asciiTheme="minorEastAsia" w:hAnsiTheme="minorEastAsia" w:eastAsiaTheme="minorEastAsia" w:cstheme="minorEastAsia"/>
          <w:sz w:val="28"/>
          <w:szCs w:val="28"/>
        </w:rPr>
        <w:t>工程的所有其他实施作业：</w:t>
      </w:r>
    </w:p>
    <w:p w14:paraId="3A19D76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bookmarkStart w:id="1484" w:name="_Ref531953847"/>
      <w:r>
        <w:rPr>
          <w:rFonts w:hint="eastAsia" w:asciiTheme="minorEastAsia" w:hAnsiTheme="minorEastAsia" w:eastAsiaTheme="minorEastAsia" w:cstheme="minorEastAsia"/>
          <w:sz w:val="28"/>
          <w:szCs w:val="28"/>
        </w:rPr>
        <w:t>（1） 按照法律规定和合同约定的方法；</w:t>
      </w:r>
      <w:bookmarkEnd w:id="1484"/>
    </w:p>
    <w:p w14:paraId="06C39DD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按照公认的良好行业习惯，使用恰当、审慎、先进的方法；</w:t>
      </w:r>
    </w:p>
    <w:p w14:paraId="21DB63C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除专用合同条件另有规定外，应使用适当配备的实施方法、设备、设施和无危险的材料。</w:t>
      </w:r>
    </w:p>
    <w:p w14:paraId="6412D1CB">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485" w:name="_Ref11926422"/>
      <w:bookmarkStart w:id="1486" w:name="_Toc3529"/>
      <w:bookmarkStart w:id="1487" w:name="_Toc24978"/>
      <w:bookmarkStart w:id="1488" w:name="_Toc14209"/>
      <w:bookmarkStart w:id="1489" w:name="_Ref4427594"/>
      <w:r>
        <w:rPr>
          <w:rFonts w:hint="eastAsia" w:asciiTheme="minorEastAsia" w:hAnsiTheme="minorEastAsia" w:eastAsiaTheme="minorEastAsia" w:cstheme="minorEastAsia"/>
          <w:b w:val="0"/>
          <w:bCs/>
          <w:sz w:val="28"/>
          <w:szCs w:val="28"/>
        </w:rPr>
        <w:t>6.2 材料和工程设备</w:t>
      </w:r>
      <w:bookmarkEnd w:id="1485"/>
      <w:bookmarkEnd w:id="1486"/>
      <w:bookmarkEnd w:id="1487"/>
      <w:bookmarkEnd w:id="1488"/>
    </w:p>
    <w:p w14:paraId="0C56B99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90" w:name="_Toc11432"/>
      <w:bookmarkStart w:id="1491" w:name="_Toc6782"/>
      <w:bookmarkStart w:id="1492" w:name="_Ref11960295"/>
      <w:r>
        <w:rPr>
          <w:rFonts w:hint="eastAsia" w:asciiTheme="minorEastAsia" w:hAnsiTheme="minorEastAsia" w:eastAsiaTheme="minorEastAsia" w:cstheme="minorEastAsia"/>
          <w:sz w:val="28"/>
          <w:szCs w:val="28"/>
        </w:rPr>
        <w:t>6.2.1 发包人提供的材料和工程设备</w:t>
      </w:r>
      <w:bookmarkEnd w:id="1489"/>
      <w:bookmarkEnd w:id="1490"/>
      <w:bookmarkEnd w:id="1491"/>
      <w:bookmarkEnd w:id="1492"/>
    </w:p>
    <w:p w14:paraId="795E7766">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发包人自行供应材料、工程设备的，应在订立合同时在专用合同条件的附件《发包人供应材料设备一览表》中明确材料、工程设备的品种、规格、型号、主要参数、数量、单价、质量等级和交接地点等。</w:t>
      </w:r>
    </w:p>
    <w:p w14:paraId="261709B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107B385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1D27486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3CA9D91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2BCCF048">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93" w:name="_Toc12523"/>
      <w:bookmarkStart w:id="1494" w:name="_Toc10931"/>
      <w:bookmarkStart w:id="1495" w:name="_Ref531953918"/>
      <w:r>
        <w:rPr>
          <w:rFonts w:hint="eastAsia" w:asciiTheme="minorEastAsia" w:hAnsiTheme="minorEastAsia" w:eastAsiaTheme="minorEastAsia" w:cstheme="minorEastAsia"/>
          <w:sz w:val="28"/>
          <w:szCs w:val="28"/>
        </w:rPr>
        <w:t>6.2.2 承包人提供的材料和工程设备</w:t>
      </w:r>
      <w:bookmarkEnd w:id="1493"/>
      <w:bookmarkEnd w:id="1494"/>
      <w:bookmarkEnd w:id="1495"/>
    </w:p>
    <w:p w14:paraId="00E000E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3C614B5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w:t>
      </w:r>
      <w:r>
        <w:rPr>
          <w:rFonts w:hint="eastAsia" w:asciiTheme="minorEastAsia" w:hAnsiTheme="minorEastAsia" w:eastAsiaTheme="minorEastAsia" w:cstheme="minorEastAsia"/>
          <w:sz w:val="28"/>
          <w:szCs w:val="28"/>
          <w:lang w:eastAsia="zh-CN"/>
        </w:rPr>
        <w:t>投标人</w:t>
      </w:r>
      <w:r>
        <w:rPr>
          <w:rFonts w:hint="eastAsia" w:asciiTheme="minorEastAsia" w:hAnsiTheme="minorEastAsia" w:eastAsiaTheme="minorEastAsia" w:cstheme="minorEastAsia"/>
          <w:sz w:val="28"/>
          <w:szCs w:val="28"/>
        </w:rPr>
        <w:t>，发包人违反本款约定指定生产厂家或</w:t>
      </w:r>
      <w:r>
        <w:rPr>
          <w:rFonts w:hint="eastAsia" w:asciiTheme="minorEastAsia" w:hAnsiTheme="minorEastAsia" w:eastAsiaTheme="minorEastAsia" w:cstheme="minorEastAsia"/>
          <w:sz w:val="28"/>
          <w:szCs w:val="28"/>
          <w:lang w:eastAsia="zh-CN"/>
        </w:rPr>
        <w:t>投标人</w:t>
      </w:r>
      <w:r>
        <w:rPr>
          <w:rFonts w:hint="eastAsia" w:asciiTheme="minorEastAsia" w:hAnsiTheme="minorEastAsia" w:eastAsiaTheme="minorEastAsia" w:cstheme="minorEastAsia"/>
          <w:sz w:val="28"/>
          <w:szCs w:val="28"/>
        </w:rPr>
        <w:t>的，承包人有权拒绝，并由发包人承担相应责任。</w:t>
      </w:r>
    </w:p>
    <w:p w14:paraId="27860FE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3ED9A68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7973C89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496" w:name="_Toc20570"/>
      <w:bookmarkStart w:id="1497" w:name="_Toc1069"/>
      <w:bookmarkStart w:id="1498" w:name="_Ref531953991"/>
      <w:bookmarkStart w:id="1499" w:name="_Ref531953999"/>
      <w:r>
        <w:rPr>
          <w:rFonts w:hint="eastAsia" w:asciiTheme="minorEastAsia" w:hAnsiTheme="minorEastAsia" w:eastAsiaTheme="minorEastAsia" w:cstheme="minorEastAsia"/>
          <w:sz w:val="28"/>
          <w:szCs w:val="28"/>
        </w:rPr>
        <w:t>6.2.3 材料和工程设备的保管</w:t>
      </w:r>
      <w:bookmarkEnd w:id="1496"/>
      <w:bookmarkEnd w:id="1497"/>
      <w:bookmarkEnd w:id="1498"/>
      <w:bookmarkEnd w:id="1499"/>
      <w:r>
        <w:rPr>
          <w:rFonts w:hint="eastAsia" w:asciiTheme="minorEastAsia" w:hAnsiTheme="minorEastAsia" w:eastAsiaTheme="minorEastAsia" w:cstheme="minorEastAsia"/>
          <w:sz w:val="28"/>
          <w:szCs w:val="28"/>
        </w:rPr>
        <w:t xml:space="preserve"> </w:t>
      </w:r>
    </w:p>
    <w:p w14:paraId="27587E9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发包人供应材料与工程设备的保管与使用</w:t>
      </w:r>
    </w:p>
    <w:p w14:paraId="26030A1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发包人供应的材料和工程设备，承包人清点并接收后由承包人妥善保管，保管费用由承包人承担，但专用合同条件另有约定除外。因承包人原因发生丢失毁损的，由承包人负责赔偿。</w:t>
      </w:r>
    </w:p>
    <w:p w14:paraId="39CB2E8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发包人供应的材料和工程设备使用前，由承包人负责必要的检验，检验费用由发包人承担，不合格的不得使用。</w:t>
      </w:r>
    </w:p>
    <w:p w14:paraId="1393FC0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承包人采购材料与工程设备的保管与使用</w:t>
      </w:r>
    </w:p>
    <w:p w14:paraId="58FFC90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3590A60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工程师发现承包人使用不符合设计或有关标准要求的材料和工程设备时，有权要求承包人进行修复、拆除或重新采购，由此增加的费用和（或）延误的工期，由承包人承担。</w:t>
      </w:r>
    </w:p>
    <w:p w14:paraId="3FD5827A">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00" w:name="_Toc1791"/>
      <w:bookmarkStart w:id="1501" w:name="_Toc8752"/>
      <w:r>
        <w:rPr>
          <w:rFonts w:hint="eastAsia" w:asciiTheme="minorEastAsia" w:hAnsiTheme="minorEastAsia" w:eastAsiaTheme="minorEastAsia" w:cstheme="minorEastAsia"/>
          <w:sz w:val="28"/>
          <w:szCs w:val="28"/>
        </w:rPr>
        <w:t>6.2.4 材料和工程设备的所有权</w:t>
      </w:r>
      <w:bookmarkEnd w:id="1500"/>
      <w:bookmarkEnd w:id="1501"/>
    </w:p>
    <w:p w14:paraId="31BE681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59E1AA9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承包人按第6.2.2项提供的材料和工程设备，承包人应确保发包人取得无权利负担的材料及工程设备所有权，因承包人与第三人的物权争议导致的增加的费用和（或）延误的工期，由承包人承担。</w:t>
      </w:r>
    </w:p>
    <w:p w14:paraId="21A6C18C">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502" w:name="_Ref4428239"/>
      <w:bookmarkStart w:id="1503" w:name="_Toc11510"/>
      <w:bookmarkStart w:id="1504" w:name="_Toc24693"/>
      <w:bookmarkStart w:id="1505" w:name="_Toc6399"/>
      <w:bookmarkStart w:id="1506" w:name="_Toc351203565"/>
      <w:bookmarkStart w:id="1507" w:name="_Toc337558785"/>
      <w:r>
        <w:rPr>
          <w:rFonts w:hint="eastAsia" w:asciiTheme="minorEastAsia" w:hAnsiTheme="minorEastAsia" w:eastAsiaTheme="minorEastAsia" w:cstheme="minorEastAsia"/>
          <w:b w:val="0"/>
          <w:bCs/>
          <w:sz w:val="28"/>
          <w:szCs w:val="28"/>
        </w:rPr>
        <w:t>6.3 样品</w:t>
      </w:r>
      <w:bookmarkEnd w:id="1502"/>
      <w:bookmarkEnd w:id="1503"/>
      <w:bookmarkEnd w:id="1504"/>
      <w:bookmarkEnd w:id="1505"/>
    </w:p>
    <w:p w14:paraId="3566443B">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08" w:name="_Toc14717"/>
      <w:bookmarkStart w:id="1509" w:name="_Toc23374"/>
      <w:r>
        <w:rPr>
          <w:rFonts w:hint="eastAsia" w:asciiTheme="minorEastAsia" w:hAnsiTheme="minorEastAsia" w:eastAsiaTheme="minorEastAsia" w:cstheme="minorEastAsia"/>
          <w:sz w:val="28"/>
          <w:szCs w:val="28"/>
        </w:rPr>
        <w:t>6.3.1 样品的报送与封存</w:t>
      </w:r>
      <w:bookmarkEnd w:id="1508"/>
      <w:bookmarkEnd w:id="1509"/>
    </w:p>
    <w:p w14:paraId="71664F9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sz w:val="28"/>
          <w:szCs w:val="28"/>
        </w:rPr>
        <w:t>需要承包人报送样品的材料或工程设备，样品的种类、名称、规格、数量等要求均应在专用合同条件中约定。样品的报送程序如下：</w:t>
      </w:r>
    </w:p>
    <w:p w14:paraId="09353FB3">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应在计划采购前28天向工程师报送样品。承包人报送的样品均应来自供应材料的实际生产地，提供的样品的规格、数量足以表明材料或工程设备的质量、型号、颜色、表面处理、质地、误差和其他要求的特征。</w:t>
      </w:r>
    </w:p>
    <w:p w14:paraId="472090C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0823963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经工程师审批确认的样品应按约定的方法封样，封存的样品作为检验工程相关部分的标准之一。承包人在施工过程中不得使用与样品不符的材料或工程设备。</w:t>
      </w:r>
    </w:p>
    <w:p w14:paraId="436798C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67C9067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10" w:name="_Toc13761"/>
      <w:bookmarkStart w:id="1511" w:name="_Toc8948"/>
      <w:r>
        <w:rPr>
          <w:rFonts w:hint="eastAsia" w:asciiTheme="minorEastAsia" w:hAnsiTheme="minorEastAsia" w:eastAsiaTheme="minorEastAsia" w:cstheme="minorEastAsia"/>
          <w:sz w:val="28"/>
          <w:szCs w:val="28"/>
        </w:rPr>
        <w:t>6.3.2 样品的保管</w:t>
      </w:r>
      <w:bookmarkEnd w:id="1510"/>
      <w:bookmarkEnd w:id="1511"/>
    </w:p>
    <w:p w14:paraId="0273308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经批准的样品应由工程师负责封存于现场，承包人应在现场为保存样品提供适当和固定的场所并保持适当和良好的存储环境条件。</w:t>
      </w:r>
    </w:p>
    <w:p w14:paraId="398EDB53">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512" w:name="_Toc25443"/>
      <w:bookmarkStart w:id="1513" w:name="_Ref11959210"/>
      <w:bookmarkStart w:id="1514" w:name="_Toc14511"/>
      <w:bookmarkStart w:id="1515" w:name="_Toc9182"/>
      <w:bookmarkStart w:id="1516" w:name="_Ref11959204"/>
      <w:r>
        <w:rPr>
          <w:rFonts w:hint="eastAsia" w:asciiTheme="minorEastAsia" w:hAnsiTheme="minorEastAsia" w:eastAsiaTheme="minorEastAsia" w:cstheme="minorEastAsia"/>
          <w:b w:val="0"/>
          <w:bCs/>
          <w:sz w:val="28"/>
          <w:szCs w:val="28"/>
        </w:rPr>
        <w:t>6.4 质量检查</w:t>
      </w:r>
      <w:bookmarkEnd w:id="1512"/>
      <w:bookmarkEnd w:id="1513"/>
      <w:bookmarkEnd w:id="1514"/>
      <w:bookmarkEnd w:id="1515"/>
      <w:bookmarkEnd w:id="1516"/>
    </w:p>
    <w:p w14:paraId="4361B83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lang w:eastAsia="zh-CN"/>
        </w:rPr>
      </w:pPr>
      <w:bookmarkStart w:id="1517" w:name="_Ref18990699"/>
      <w:bookmarkStart w:id="1518" w:name="_Toc6975"/>
      <w:bookmarkStart w:id="1519" w:name="_Toc10318"/>
      <w:r>
        <w:rPr>
          <w:rFonts w:hint="eastAsia" w:asciiTheme="minorEastAsia" w:hAnsiTheme="minorEastAsia" w:eastAsiaTheme="minorEastAsia" w:cstheme="minorEastAsia"/>
          <w:sz w:val="28"/>
          <w:szCs w:val="28"/>
        </w:rPr>
        <w:t>6.4.1 工程</w:t>
      </w:r>
      <w:bookmarkEnd w:id="1517"/>
      <w:bookmarkEnd w:id="1518"/>
      <w:bookmarkEnd w:id="1519"/>
      <w:r>
        <w:rPr>
          <w:rFonts w:hint="eastAsia" w:asciiTheme="minorEastAsia" w:hAnsiTheme="minorEastAsia" w:eastAsiaTheme="minorEastAsia" w:cstheme="minorEastAsia"/>
          <w:sz w:val="28"/>
          <w:szCs w:val="28"/>
          <w:lang w:eastAsia="zh-CN"/>
        </w:rPr>
        <w:t>质量标准</w:t>
      </w:r>
    </w:p>
    <w:p w14:paraId="348A675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工程质量标准必须符合现行国家有关工程施工质量验收规范和标准的要求。有关工程质量的特殊标准或要求由合同当事人在专用合同条件中约定。</w:t>
      </w:r>
    </w:p>
    <w:p w14:paraId="0EAD1E6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2E1C8B3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20" w:name="_Toc2647"/>
      <w:bookmarkStart w:id="1521" w:name="_Toc4464"/>
      <w:bookmarkStart w:id="1522" w:name="_Ref18990717"/>
      <w:r>
        <w:rPr>
          <w:rFonts w:hint="eastAsia" w:asciiTheme="minorEastAsia" w:hAnsiTheme="minorEastAsia" w:eastAsiaTheme="minorEastAsia" w:cstheme="minorEastAsia"/>
          <w:sz w:val="28"/>
          <w:szCs w:val="28"/>
        </w:rPr>
        <w:t>6.4.2 质量检查</w:t>
      </w:r>
      <w:bookmarkEnd w:id="1520"/>
      <w:bookmarkEnd w:id="1521"/>
      <w:bookmarkEnd w:id="1522"/>
    </w:p>
    <w:p w14:paraId="1F5D9BC3">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w:t>
      </w:r>
      <w:r>
        <w:rPr>
          <w:rFonts w:hint="eastAsia" w:asciiTheme="minorEastAsia" w:hAnsiTheme="minorEastAsia" w:eastAsiaTheme="minorEastAsia" w:cstheme="minorEastAsia"/>
          <w:sz w:val="28"/>
          <w:szCs w:val="28"/>
          <w:lang w:eastAsia="zh-CN"/>
        </w:rPr>
        <w:t>查看</w:t>
      </w:r>
      <w:r>
        <w:rPr>
          <w:rFonts w:hint="eastAsia" w:asciiTheme="minorEastAsia" w:hAnsiTheme="minorEastAsia" w:eastAsiaTheme="minorEastAsia" w:cstheme="minorEastAsia"/>
          <w:sz w:val="28"/>
          <w:szCs w:val="28"/>
        </w:rPr>
        <w:t>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39BD9ED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23" w:name="_Toc3768"/>
      <w:bookmarkStart w:id="1524" w:name="_Ref11959222"/>
      <w:bookmarkStart w:id="1525" w:name="_Toc11835"/>
      <w:r>
        <w:rPr>
          <w:rFonts w:hint="eastAsia" w:asciiTheme="minorEastAsia" w:hAnsiTheme="minorEastAsia" w:eastAsiaTheme="minorEastAsia" w:cstheme="minorEastAsia"/>
          <w:sz w:val="28"/>
          <w:szCs w:val="28"/>
        </w:rPr>
        <w:t>6.4.3 隐蔽工程检查</w:t>
      </w:r>
      <w:bookmarkEnd w:id="1523"/>
      <w:bookmarkEnd w:id="1524"/>
      <w:bookmarkEnd w:id="1525"/>
    </w:p>
    <w:p w14:paraId="69E9766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270BCEC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3E8F842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7B6F6A13">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13C69D1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承包人未通知工程师到场检查，私自将工程隐蔽部位覆盖的，工程师有权指示承包人钻孔探测或揭开检查，无论工程隐蔽部位质量是否合格，由此增加的费用和（或）延误的工期均由承包人承担。</w:t>
      </w:r>
    </w:p>
    <w:bookmarkEnd w:id="1506"/>
    <w:p w14:paraId="709D04F6">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526" w:name="_Ref11927389"/>
      <w:bookmarkStart w:id="1527" w:name="_Ref11927403"/>
      <w:bookmarkStart w:id="1528" w:name="_Ref11927398"/>
      <w:bookmarkStart w:id="1529" w:name="_Ref11959175"/>
      <w:bookmarkStart w:id="1530" w:name="_Toc7304"/>
      <w:bookmarkStart w:id="1531" w:name="_Toc2758"/>
      <w:bookmarkStart w:id="1532" w:name="_Toc3958"/>
      <w:bookmarkStart w:id="1533" w:name="_Ref11959158"/>
      <w:r>
        <w:rPr>
          <w:rFonts w:hint="eastAsia" w:asciiTheme="minorEastAsia" w:hAnsiTheme="minorEastAsia" w:eastAsiaTheme="minorEastAsia" w:cstheme="minorEastAsia"/>
          <w:b w:val="0"/>
          <w:bCs/>
          <w:sz w:val="28"/>
          <w:szCs w:val="28"/>
        </w:rPr>
        <w:t>6.5 由承包人试验</w:t>
      </w:r>
      <w:bookmarkEnd w:id="1526"/>
      <w:bookmarkEnd w:id="1527"/>
      <w:bookmarkEnd w:id="1528"/>
      <w:r>
        <w:rPr>
          <w:rFonts w:hint="eastAsia" w:asciiTheme="minorEastAsia" w:hAnsiTheme="minorEastAsia" w:eastAsiaTheme="minorEastAsia" w:cstheme="minorEastAsia"/>
          <w:b w:val="0"/>
          <w:bCs/>
          <w:sz w:val="28"/>
          <w:szCs w:val="28"/>
        </w:rPr>
        <w:t>和检验</w:t>
      </w:r>
      <w:bookmarkEnd w:id="1529"/>
      <w:bookmarkEnd w:id="1530"/>
      <w:bookmarkEnd w:id="1531"/>
      <w:bookmarkEnd w:id="1532"/>
      <w:bookmarkEnd w:id="1533"/>
    </w:p>
    <w:bookmarkEnd w:id="1507"/>
    <w:p w14:paraId="36B55CAE">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34" w:name="_Toc8480"/>
      <w:bookmarkStart w:id="1535" w:name="_Toc25534"/>
      <w:r>
        <w:rPr>
          <w:rFonts w:hint="eastAsia" w:asciiTheme="minorEastAsia" w:hAnsiTheme="minorEastAsia" w:eastAsiaTheme="minorEastAsia" w:cstheme="minorEastAsia"/>
          <w:sz w:val="28"/>
          <w:szCs w:val="28"/>
        </w:rPr>
        <w:t>6.5.1 试验设备与试验人员</w:t>
      </w:r>
      <w:bookmarkEnd w:id="1534"/>
      <w:bookmarkEnd w:id="1535"/>
    </w:p>
    <w:p w14:paraId="2C05C52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31BE333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承包人应按专用合同条件约定的试验内容、时间和地点提供试验设备、取样装置、试验场所和试验条件，并向工程师提交相应进场计划表。</w:t>
      </w:r>
    </w:p>
    <w:p w14:paraId="459F7CD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承包人配置的试验设备要符合相应试验规程的要求并经过具有资质的检测单位检测，在正式使用该试验设备前，需要经过工程师与承包人共同校定。</w:t>
      </w:r>
    </w:p>
    <w:p w14:paraId="15C8E59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承包人应向工程师提交试验人员的名单及其岗位、资格等证明资料，试验人员必须能够熟练进行相应的检测试验，承包人对试验人员的试验程序和试验结果的正确性负责。</w:t>
      </w:r>
    </w:p>
    <w:p w14:paraId="7B4FC5E3">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36" w:name="_Toc19444"/>
      <w:bookmarkStart w:id="1537" w:name="_Toc8942"/>
      <w:r>
        <w:rPr>
          <w:rFonts w:hint="eastAsia" w:asciiTheme="minorEastAsia" w:hAnsiTheme="minorEastAsia" w:eastAsiaTheme="minorEastAsia" w:cstheme="minorEastAsia"/>
          <w:sz w:val="28"/>
          <w:szCs w:val="28"/>
        </w:rPr>
        <w:t>6.5.2 取样</w:t>
      </w:r>
      <w:bookmarkEnd w:id="1536"/>
      <w:bookmarkEnd w:id="1537"/>
    </w:p>
    <w:p w14:paraId="208EE0C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试验属于自检性质的，承包人可以单独取样。试验属于工程师抽检性质的，可由工程师取样，也可由承包人的试验人员在工程师的监督下取样。</w:t>
      </w:r>
    </w:p>
    <w:p w14:paraId="2E056C5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38" w:name="_Toc1401"/>
      <w:bookmarkStart w:id="1539" w:name="_Toc6528"/>
      <w:r>
        <w:rPr>
          <w:rFonts w:hint="eastAsia" w:asciiTheme="minorEastAsia" w:hAnsiTheme="minorEastAsia" w:eastAsiaTheme="minorEastAsia" w:cstheme="minorEastAsia"/>
          <w:sz w:val="28"/>
          <w:szCs w:val="28"/>
        </w:rPr>
        <w:t>6.5.3 材料、工程设备和工程的试验和检验</w:t>
      </w:r>
      <w:bookmarkEnd w:id="1538"/>
      <w:bookmarkEnd w:id="1539"/>
    </w:p>
    <w:p w14:paraId="1216ADC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089B80C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2F19125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44872C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40" w:name="_Toc16633"/>
      <w:bookmarkStart w:id="1541" w:name="_Toc351203566"/>
      <w:bookmarkStart w:id="1542" w:name="_Toc16305"/>
      <w:bookmarkStart w:id="1543" w:name="_Toc337558786"/>
      <w:r>
        <w:rPr>
          <w:rFonts w:hint="eastAsia" w:asciiTheme="minorEastAsia" w:hAnsiTheme="minorEastAsia" w:eastAsiaTheme="minorEastAsia" w:cstheme="minorEastAsia"/>
          <w:sz w:val="28"/>
          <w:szCs w:val="28"/>
        </w:rPr>
        <w:t>6.5.4 现场工艺试验</w:t>
      </w:r>
      <w:bookmarkEnd w:id="1540"/>
      <w:bookmarkEnd w:id="1541"/>
      <w:bookmarkEnd w:id="1542"/>
    </w:p>
    <w:bookmarkEnd w:id="1543"/>
    <w:p w14:paraId="529CEC3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承包人应按合同约定进行现场工艺试验。对大型的现场工艺试验，发包人认为必要时，承包人应根据发包人提出的工艺试验要求，编制工艺试验措施计划，报送发包人审查。</w:t>
      </w:r>
    </w:p>
    <w:p w14:paraId="3248E5E7">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544" w:name="_Ref532592787"/>
      <w:bookmarkStart w:id="1545" w:name="_Toc23235"/>
      <w:bookmarkStart w:id="1546" w:name="_Toc12492"/>
      <w:bookmarkStart w:id="1547" w:name="_Toc30164"/>
      <w:bookmarkStart w:id="1548" w:name="_Ref532592784"/>
      <w:r>
        <w:rPr>
          <w:rFonts w:hint="eastAsia" w:asciiTheme="minorEastAsia" w:hAnsiTheme="minorEastAsia" w:eastAsiaTheme="minorEastAsia" w:cstheme="minorEastAsia"/>
          <w:b w:val="0"/>
          <w:bCs/>
          <w:sz w:val="28"/>
          <w:szCs w:val="28"/>
        </w:rPr>
        <w:t>6.6 缺陷和修补</w:t>
      </w:r>
      <w:bookmarkEnd w:id="1544"/>
      <w:bookmarkEnd w:id="1545"/>
      <w:bookmarkEnd w:id="1546"/>
      <w:bookmarkEnd w:id="1547"/>
      <w:bookmarkEnd w:id="1548"/>
    </w:p>
    <w:p w14:paraId="319DAFD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49" w:name="_Toc6585"/>
      <w:bookmarkStart w:id="1550" w:name="_Ref16875551"/>
      <w:bookmarkStart w:id="1551" w:name="_Toc1907"/>
      <w:r>
        <w:rPr>
          <w:rFonts w:hint="eastAsia" w:asciiTheme="minorEastAsia" w:hAnsiTheme="minorEastAsia" w:eastAsiaTheme="minorEastAsia" w:cstheme="minorEastAsia"/>
          <w:sz w:val="28"/>
          <w:szCs w:val="28"/>
        </w:rPr>
        <w:t>6.6.1 发包人可在颁发接收证书前随时指示承包人：</w:t>
      </w:r>
      <w:bookmarkEnd w:id="1549"/>
      <w:bookmarkEnd w:id="1550"/>
      <w:bookmarkEnd w:id="1551"/>
    </w:p>
    <w:p w14:paraId="6BA259B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对不符合合同要求的任何工程设备或材料进行修补，或者将其移出现场并进行更换；</w:t>
      </w:r>
    </w:p>
    <w:p w14:paraId="7AE332E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对不符合合同的其他工作进行修补，或者将其去除并重新实施； </w:t>
      </w:r>
    </w:p>
    <w:p w14:paraId="3272219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bookmarkStart w:id="1552" w:name="_Ref4708991"/>
      <w:r>
        <w:rPr>
          <w:rFonts w:hint="eastAsia" w:asciiTheme="minorEastAsia" w:hAnsiTheme="minorEastAsia" w:eastAsiaTheme="minorEastAsia" w:cstheme="minorEastAsia"/>
          <w:sz w:val="28"/>
          <w:szCs w:val="28"/>
        </w:rPr>
        <w:t>（3） 实施因意外、不可预见的事件或其他原因引起的、为工程的安全迫切需要的任何修补工作。</w:t>
      </w:r>
      <w:bookmarkEnd w:id="1552"/>
    </w:p>
    <w:p w14:paraId="2B5D2403">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53" w:name="_Ref11956964"/>
      <w:bookmarkStart w:id="1554" w:name="_Toc22986"/>
      <w:bookmarkStart w:id="1555" w:name="_Toc13925"/>
      <w:r>
        <w:rPr>
          <w:rFonts w:hint="eastAsia" w:asciiTheme="minorEastAsia" w:hAnsiTheme="minorEastAsia" w:eastAsiaTheme="minorEastAsia" w:cstheme="minorEastAsia"/>
          <w:sz w:val="28"/>
          <w:szCs w:val="28"/>
        </w:rPr>
        <w:t>6.6.2 承包人应遵守第6.6.1项下指示，并在合理可行的情况下，根据上述指示中规定的时间完成修补工作。除因下列原因引起的第6.6.1项第（3）目下的情形外，承包人应承担所有修补工作的费用：</w:t>
      </w:r>
      <w:bookmarkEnd w:id="1553"/>
      <w:bookmarkEnd w:id="1554"/>
      <w:bookmarkEnd w:id="1555"/>
    </w:p>
    <w:p w14:paraId="645E9B5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因发包人或其人员的任何行为导致的情形，在此情况下发包人应承担因此引起的工期延误和承包人费用损失，并向承包人支付合理的利润。</w:t>
      </w:r>
    </w:p>
    <w:p w14:paraId="6FF79BD6">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第17.4款[不可抗力后果的承担]中适用的不可抗力事件的情形。</w:t>
      </w:r>
    </w:p>
    <w:p w14:paraId="1E360688">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56" w:name="_Toc23111"/>
      <w:bookmarkStart w:id="1557" w:name="_Toc24823"/>
      <w:r>
        <w:rPr>
          <w:rFonts w:hint="eastAsia" w:asciiTheme="minorEastAsia" w:hAnsiTheme="minorEastAsia" w:eastAsiaTheme="minorEastAsia" w:cstheme="minorEastAsia"/>
          <w:sz w:val="28"/>
          <w:szCs w:val="28"/>
        </w:rPr>
        <w:t>6.6.3 如果承包人未能遵守发包人的指示，发包人可以自行决定请第三方完成上述修补工作，并有权要求承包人支付因未履行指示而产生的所有费用，但承包人根据第6.6.2项有权就修补工作获得支付的情况除外。</w:t>
      </w:r>
      <w:bookmarkEnd w:id="1556"/>
      <w:bookmarkEnd w:id="1557"/>
    </w:p>
    <w:p w14:paraId="5DCAFCC5">
      <w:pPr>
        <w:pStyle w:val="142"/>
        <w:keepNext w:val="0"/>
        <w:keepLines w:val="0"/>
        <w:pageBreakBefore w:val="0"/>
        <w:numPr>
          <w:ilvl w:val="0"/>
          <w:numId w:val="0"/>
        </w:numPr>
        <w:kinsoku/>
        <w:wordWrap/>
        <w:overflowPunct/>
        <w:topLinePunct w:val="0"/>
        <w:autoSpaceDE/>
        <w:autoSpaceDN/>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558" w:name="_Toc6826"/>
      <w:bookmarkStart w:id="1559" w:name="_Toc26053"/>
      <w:bookmarkStart w:id="1560" w:name="_Toc25708"/>
      <w:bookmarkStart w:id="1561" w:name="_Ref531954214"/>
      <w:bookmarkStart w:id="1562" w:name="_Toc30652"/>
      <w:bookmarkStart w:id="1563" w:name="_Toc2803"/>
      <w:r>
        <w:rPr>
          <w:rFonts w:hint="eastAsia" w:asciiTheme="minorEastAsia" w:hAnsiTheme="minorEastAsia" w:eastAsiaTheme="minorEastAsia" w:cstheme="minorEastAsia"/>
          <w:b w:val="0"/>
          <w:bCs/>
          <w:sz w:val="28"/>
          <w:szCs w:val="28"/>
        </w:rPr>
        <w:t>第7条 施工</w:t>
      </w:r>
      <w:bookmarkEnd w:id="1558"/>
      <w:bookmarkEnd w:id="1559"/>
      <w:bookmarkEnd w:id="1560"/>
      <w:bookmarkEnd w:id="1561"/>
      <w:bookmarkEnd w:id="1562"/>
      <w:bookmarkEnd w:id="1563"/>
    </w:p>
    <w:p w14:paraId="73481007">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564" w:name="_Ref531954272"/>
      <w:bookmarkStart w:id="1565" w:name="_Toc31215"/>
      <w:bookmarkStart w:id="1566" w:name="_Ref531954276"/>
      <w:bookmarkStart w:id="1567" w:name="_Toc30388"/>
      <w:bookmarkStart w:id="1568" w:name="_Toc17911"/>
      <w:bookmarkStart w:id="1569" w:name="_Ref531954246"/>
      <w:bookmarkStart w:id="1570" w:name="_Ref531954260"/>
      <w:r>
        <w:rPr>
          <w:rFonts w:hint="eastAsia" w:asciiTheme="minorEastAsia" w:hAnsiTheme="minorEastAsia" w:eastAsiaTheme="minorEastAsia" w:cstheme="minorEastAsia"/>
          <w:b w:val="0"/>
          <w:bCs/>
          <w:sz w:val="28"/>
          <w:szCs w:val="28"/>
        </w:rPr>
        <w:t>7.1 交通运输</w:t>
      </w:r>
      <w:bookmarkEnd w:id="1564"/>
      <w:bookmarkEnd w:id="1565"/>
      <w:bookmarkEnd w:id="1566"/>
      <w:bookmarkEnd w:id="1567"/>
      <w:bookmarkEnd w:id="1568"/>
      <w:r>
        <w:rPr>
          <w:rFonts w:hint="eastAsia" w:asciiTheme="minorEastAsia" w:hAnsiTheme="minorEastAsia" w:eastAsiaTheme="minorEastAsia" w:cstheme="minorEastAsia"/>
          <w:b w:val="0"/>
          <w:bCs/>
          <w:sz w:val="28"/>
          <w:szCs w:val="28"/>
        </w:rPr>
        <w:t xml:space="preserve"> </w:t>
      </w:r>
    </w:p>
    <w:p w14:paraId="23DB2B5B">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71" w:name="_Toc16894"/>
      <w:bookmarkStart w:id="1572" w:name="_Toc17278"/>
      <w:bookmarkStart w:id="1573" w:name="_Ref4422645"/>
      <w:r>
        <w:rPr>
          <w:rFonts w:hint="eastAsia" w:asciiTheme="minorEastAsia" w:hAnsiTheme="minorEastAsia" w:eastAsiaTheme="minorEastAsia" w:cstheme="minorEastAsia"/>
          <w:sz w:val="28"/>
          <w:szCs w:val="28"/>
        </w:rPr>
        <w:t>7.1.1 出入现场的权利</w:t>
      </w:r>
      <w:bookmarkEnd w:id="1571"/>
      <w:bookmarkEnd w:id="1572"/>
      <w:bookmarkEnd w:id="1573"/>
    </w:p>
    <w:p w14:paraId="54C7C58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51932B9F">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74" w:name="_Toc22347"/>
      <w:bookmarkStart w:id="1575" w:name="_Toc15906"/>
      <w:bookmarkStart w:id="1576" w:name="_Ref18957045"/>
      <w:r>
        <w:rPr>
          <w:rFonts w:hint="eastAsia" w:asciiTheme="minorEastAsia" w:hAnsiTheme="minorEastAsia" w:eastAsiaTheme="minorEastAsia" w:cstheme="minorEastAsia"/>
          <w:sz w:val="28"/>
          <w:szCs w:val="28"/>
        </w:rPr>
        <w:t>7.1.2 场外交通</w:t>
      </w:r>
      <w:bookmarkEnd w:id="1574"/>
      <w:bookmarkEnd w:id="1575"/>
      <w:bookmarkEnd w:id="1576"/>
    </w:p>
    <w:p w14:paraId="49D8AA5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782B651F">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77" w:name="_Toc14273"/>
      <w:bookmarkStart w:id="1578" w:name="_Toc25520"/>
      <w:bookmarkStart w:id="1579" w:name="_Ref4622358"/>
      <w:r>
        <w:rPr>
          <w:rFonts w:hint="eastAsia" w:asciiTheme="minorEastAsia" w:hAnsiTheme="minorEastAsia" w:eastAsiaTheme="minorEastAsia" w:cstheme="minorEastAsia"/>
          <w:sz w:val="28"/>
          <w:szCs w:val="28"/>
        </w:rPr>
        <w:t>7.1.3 场内交通</w:t>
      </w:r>
      <w:bookmarkEnd w:id="1577"/>
      <w:bookmarkEnd w:id="1578"/>
      <w:bookmarkEnd w:id="1579"/>
    </w:p>
    <w:p w14:paraId="1D32D83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61B63548">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80" w:name="_Toc1202"/>
      <w:bookmarkStart w:id="1581" w:name="_Ref4622376"/>
      <w:bookmarkStart w:id="1582" w:name="_Toc26723"/>
      <w:r>
        <w:rPr>
          <w:rFonts w:hint="eastAsia" w:asciiTheme="minorEastAsia" w:hAnsiTheme="minorEastAsia" w:eastAsiaTheme="minorEastAsia" w:cstheme="minorEastAsia"/>
          <w:sz w:val="28"/>
          <w:szCs w:val="28"/>
        </w:rPr>
        <w:t>7.1.4 超大件和超重件的运输</w:t>
      </w:r>
      <w:bookmarkEnd w:id="1580"/>
      <w:bookmarkEnd w:id="1581"/>
      <w:bookmarkEnd w:id="1582"/>
    </w:p>
    <w:p w14:paraId="222F918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1424C1B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83" w:name="_Toc12130"/>
      <w:bookmarkStart w:id="1584" w:name="_Toc19745"/>
      <w:r>
        <w:rPr>
          <w:rFonts w:hint="eastAsia" w:asciiTheme="minorEastAsia" w:hAnsiTheme="minorEastAsia" w:eastAsiaTheme="minorEastAsia" w:cstheme="minorEastAsia"/>
          <w:sz w:val="28"/>
          <w:szCs w:val="28"/>
        </w:rPr>
        <w:t>7.1.5 道路和桥梁的损坏责任</w:t>
      </w:r>
      <w:bookmarkEnd w:id="1583"/>
      <w:bookmarkEnd w:id="1584"/>
    </w:p>
    <w:p w14:paraId="1A24723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因承包人运输造成施工现场内外公共道路和桥梁损坏的，由承包人承担修复损坏的全部费用和可能引起的赔偿。</w:t>
      </w:r>
    </w:p>
    <w:p w14:paraId="1441BD78">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85" w:name="_Toc4096"/>
      <w:bookmarkStart w:id="1586" w:name="_Toc13776"/>
      <w:r>
        <w:rPr>
          <w:rFonts w:hint="eastAsia" w:asciiTheme="minorEastAsia" w:hAnsiTheme="minorEastAsia" w:eastAsiaTheme="minorEastAsia" w:cstheme="minorEastAsia"/>
          <w:sz w:val="28"/>
          <w:szCs w:val="28"/>
        </w:rPr>
        <w:t>7.1.6 水路和航空运输</w:t>
      </w:r>
      <w:bookmarkEnd w:id="1585"/>
      <w:bookmarkEnd w:id="1586"/>
    </w:p>
    <w:p w14:paraId="4283568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本条上述各款的内容适用于水路运输和航空运输，其中“道路”一词的</w:t>
      </w:r>
      <w:r>
        <w:rPr>
          <w:rFonts w:hint="eastAsia" w:asciiTheme="minorEastAsia" w:hAnsiTheme="minorEastAsia" w:eastAsiaTheme="minorEastAsia" w:cstheme="minorEastAsia"/>
          <w:sz w:val="28"/>
          <w:szCs w:val="28"/>
          <w:lang w:eastAsia="zh-CN"/>
        </w:rPr>
        <w:t>含义</w:t>
      </w:r>
      <w:r>
        <w:rPr>
          <w:rFonts w:hint="eastAsia" w:asciiTheme="minorEastAsia" w:hAnsiTheme="minorEastAsia" w:eastAsiaTheme="minorEastAsia" w:cstheme="minorEastAsia"/>
          <w:sz w:val="28"/>
          <w:szCs w:val="28"/>
        </w:rPr>
        <w:t>包括河道、航线、船闸、机场、码头、堤防以及水路或航空运输中其他相似结构物；“车辆”一词的</w:t>
      </w:r>
      <w:r>
        <w:rPr>
          <w:rFonts w:hint="eastAsia" w:asciiTheme="minorEastAsia" w:hAnsiTheme="minorEastAsia" w:eastAsiaTheme="minorEastAsia" w:cstheme="minorEastAsia"/>
          <w:sz w:val="28"/>
          <w:szCs w:val="28"/>
          <w:lang w:eastAsia="zh-CN"/>
        </w:rPr>
        <w:t>含义</w:t>
      </w:r>
      <w:r>
        <w:rPr>
          <w:rFonts w:hint="eastAsia" w:asciiTheme="minorEastAsia" w:hAnsiTheme="minorEastAsia" w:eastAsiaTheme="minorEastAsia" w:cstheme="minorEastAsia"/>
          <w:sz w:val="28"/>
          <w:szCs w:val="28"/>
        </w:rPr>
        <w:t>包括船舶和飞机等。</w:t>
      </w:r>
    </w:p>
    <w:p w14:paraId="5FC8ADB0">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587" w:name="_Ref11919294"/>
      <w:bookmarkStart w:id="1588" w:name="_Toc16436"/>
      <w:bookmarkStart w:id="1589" w:name="_Ref11919459"/>
      <w:bookmarkStart w:id="1590" w:name="_Toc32016"/>
      <w:bookmarkStart w:id="1591" w:name="_Toc13586"/>
      <w:r>
        <w:rPr>
          <w:rFonts w:hint="eastAsia" w:asciiTheme="minorEastAsia" w:hAnsiTheme="minorEastAsia" w:eastAsiaTheme="minorEastAsia" w:cstheme="minorEastAsia"/>
          <w:b w:val="0"/>
          <w:bCs/>
          <w:sz w:val="28"/>
          <w:szCs w:val="28"/>
        </w:rPr>
        <w:t>7.2 施工设备和临时设施</w:t>
      </w:r>
      <w:bookmarkEnd w:id="1569"/>
      <w:bookmarkEnd w:id="1570"/>
      <w:bookmarkEnd w:id="1587"/>
      <w:bookmarkEnd w:id="1588"/>
      <w:bookmarkEnd w:id="1589"/>
      <w:bookmarkEnd w:id="1590"/>
      <w:bookmarkEnd w:id="1591"/>
      <w:r>
        <w:rPr>
          <w:rFonts w:hint="eastAsia" w:asciiTheme="minorEastAsia" w:hAnsiTheme="minorEastAsia" w:eastAsiaTheme="minorEastAsia" w:cstheme="minorEastAsia"/>
          <w:b w:val="0"/>
          <w:bCs/>
          <w:sz w:val="28"/>
          <w:szCs w:val="28"/>
        </w:rPr>
        <w:t xml:space="preserve"> </w:t>
      </w:r>
    </w:p>
    <w:p w14:paraId="484895C1">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92" w:name="_Ref18990767"/>
      <w:bookmarkStart w:id="1593" w:name="_Toc30765"/>
      <w:bookmarkStart w:id="1594" w:name="_Toc30268"/>
      <w:bookmarkStart w:id="1595" w:name="_Ref509043186"/>
      <w:r>
        <w:rPr>
          <w:rFonts w:hint="eastAsia" w:asciiTheme="minorEastAsia" w:hAnsiTheme="minorEastAsia" w:eastAsiaTheme="minorEastAsia" w:cstheme="minorEastAsia"/>
          <w:sz w:val="28"/>
          <w:szCs w:val="28"/>
        </w:rPr>
        <w:t>7.2.1 承包人提供的施工设备和临时设施</w:t>
      </w:r>
      <w:bookmarkEnd w:id="1592"/>
      <w:bookmarkEnd w:id="1593"/>
      <w:bookmarkEnd w:id="1594"/>
    </w:p>
    <w:p w14:paraId="5D9E02D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1E6A913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bookmarkEnd w:id="1595"/>
    <w:p w14:paraId="6E70876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96" w:name="_Ref18990784"/>
      <w:bookmarkStart w:id="1597" w:name="_Toc31298"/>
      <w:bookmarkStart w:id="1598" w:name="_Toc30027"/>
      <w:r>
        <w:rPr>
          <w:rFonts w:hint="eastAsia" w:asciiTheme="minorEastAsia" w:hAnsiTheme="minorEastAsia" w:eastAsiaTheme="minorEastAsia" w:cstheme="minorEastAsia"/>
          <w:sz w:val="28"/>
          <w:szCs w:val="28"/>
        </w:rPr>
        <w:t>7.2.2 发包人提供的施工设备和临时设施</w:t>
      </w:r>
      <w:bookmarkEnd w:id="1596"/>
      <w:bookmarkEnd w:id="1597"/>
      <w:bookmarkEnd w:id="1598"/>
    </w:p>
    <w:p w14:paraId="4C65DFD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发包人提供的施工设备或临时设施在专用合同条件中约定。</w:t>
      </w:r>
    </w:p>
    <w:p w14:paraId="630BA2D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599" w:name="_Toc30057"/>
      <w:bookmarkStart w:id="1600" w:name="_Toc10162"/>
      <w:r>
        <w:rPr>
          <w:rFonts w:hint="eastAsia" w:asciiTheme="minorEastAsia" w:hAnsiTheme="minorEastAsia" w:eastAsiaTheme="minorEastAsia" w:cstheme="minorEastAsia"/>
          <w:sz w:val="28"/>
          <w:szCs w:val="28"/>
        </w:rPr>
        <w:t>7.2.3 要求承包人增加或更换施工设备</w:t>
      </w:r>
      <w:bookmarkEnd w:id="1599"/>
      <w:bookmarkEnd w:id="1600"/>
    </w:p>
    <w:p w14:paraId="3812ABF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承包人使用的施工设备不能满足项目进度计划和（或）</w:t>
      </w:r>
      <w:r>
        <w:rPr>
          <w:rFonts w:hint="eastAsia" w:asciiTheme="minorEastAsia" w:hAnsiTheme="minorEastAsia" w:eastAsiaTheme="minorEastAsia" w:cstheme="minorEastAsia"/>
          <w:sz w:val="28"/>
          <w:szCs w:val="28"/>
          <w:lang w:eastAsia="zh-CN"/>
        </w:rPr>
        <w:t>质量标准</w:t>
      </w:r>
      <w:r>
        <w:rPr>
          <w:rFonts w:hint="eastAsia" w:asciiTheme="minorEastAsia" w:hAnsiTheme="minorEastAsia" w:eastAsiaTheme="minorEastAsia" w:cstheme="minorEastAsia"/>
          <w:sz w:val="28"/>
          <w:szCs w:val="28"/>
        </w:rPr>
        <w:t>时，工程师有权要求承包人增加或更换施工设备，承包人应及时增加或更换，由此增加的费用和（或）延误的工期由承包人承担。</w:t>
      </w:r>
    </w:p>
    <w:p w14:paraId="42E2B7F6">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01" w:name="_Toc28255"/>
      <w:bookmarkStart w:id="1602" w:name="_Toc12105"/>
      <w:r>
        <w:rPr>
          <w:rFonts w:hint="eastAsia" w:asciiTheme="minorEastAsia" w:hAnsiTheme="minorEastAsia" w:eastAsiaTheme="minorEastAsia" w:cstheme="minorEastAsia"/>
          <w:sz w:val="28"/>
          <w:szCs w:val="28"/>
        </w:rPr>
        <w:t>7.2.4 施工设备和临时设施专用于合同工程</w:t>
      </w:r>
      <w:bookmarkEnd w:id="1601"/>
      <w:bookmarkEnd w:id="1602"/>
    </w:p>
    <w:p w14:paraId="723B4F7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18072E1B">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03" w:name="_Toc10242"/>
      <w:bookmarkStart w:id="1604" w:name="_Toc1019"/>
      <w:bookmarkStart w:id="1605" w:name="_Toc9297"/>
      <w:bookmarkStart w:id="1606" w:name="_Ref11874352"/>
      <w:r>
        <w:rPr>
          <w:rFonts w:hint="eastAsia" w:asciiTheme="minorEastAsia" w:hAnsiTheme="minorEastAsia" w:eastAsiaTheme="minorEastAsia" w:cstheme="minorEastAsia"/>
          <w:b w:val="0"/>
          <w:bCs/>
          <w:sz w:val="28"/>
          <w:szCs w:val="28"/>
        </w:rPr>
        <w:t>7.3 现场合作</w:t>
      </w:r>
      <w:bookmarkEnd w:id="1603"/>
      <w:bookmarkEnd w:id="1604"/>
      <w:bookmarkEnd w:id="1605"/>
      <w:bookmarkEnd w:id="1606"/>
    </w:p>
    <w:p w14:paraId="19C19FA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承包人应按合同约定或发包人的指示，与发包人人员、发包人的其他承包人等人员就在现场或附近实施与工程有关的各项工作进行合作并提供适当条件，包括使用承包人设备、临时工程或进入现场等。</w:t>
      </w:r>
    </w:p>
    <w:p w14:paraId="3872BB6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承包人应对其在现场的施工活动负责，并应尽合理努力按合同约定或发包人的指示，协调自身与发包人人员、发包人的其他承包人等人员的活动。</w:t>
      </w:r>
    </w:p>
    <w:p w14:paraId="35E61AB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如果承包人提供上述合作、条件或协调在考虑到《发包人要求》所列内容的情况下是不可预见的，则承包人有权就额外费用和合理利润从发包人处获得支付，因此延误的工期应相应顺延。</w:t>
      </w:r>
    </w:p>
    <w:p w14:paraId="08FE20FA">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07" w:name="_Ref531954285"/>
      <w:bookmarkStart w:id="1608" w:name="_Toc15451"/>
      <w:bookmarkStart w:id="1609" w:name="_Toc27073"/>
      <w:bookmarkStart w:id="1610" w:name="_Ref531954287"/>
      <w:bookmarkStart w:id="1611" w:name="_Toc4555"/>
      <w:r>
        <w:rPr>
          <w:rFonts w:hint="eastAsia" w:asciiTheme="minorEastAsia" w:hAnsiTheme="minorEastAsia" w:eastAsiaTheme="minorEastAsia" w:cstheme="minorEastAsia"/>
          <w:b w:val="0"/>
          <w:bCs/>
          <w:sz w:val="28"/>
          <w:szCs w:val="28"/>
        </w:rPr>
        <w:t>7.4 测量放线</w:t>
      </w:r>
      <w:bookmarkEnd w:id="1607"/>
      <w:bookmarkEnd w:id="1608"/>
      <w:bookmarkEnd w:id="1609"/>
      <w:bookmarkEnd w:id="1610"/>
      <w:bookmarkEnd w:id="1611"/>
    </w:p>
    <w:p w14:paraId="4F402AD0">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12" w:name="_Toc30610"/>
      <w:bookmarkStart w:id="1613" w:name="_Toc4413"/>
      <w:r>
        <w:rPr>
          <w:rFonts w:hint="eastAsia" w:asciiTheme="minorEastAsia" w:hAnsiTheme="minorEastAsia" w:eastAsiaTheme="minorEastAsia" w:cstheme="minorEastAsia"/>
          <w:sz w:val="28"/>
          <w:szCs w:val="28"/>
        </w:rPr>
        <w:t>7.4.1 除专用合同条件另有约定外，承包人应根据国家测绘基准、测绘系统和工程测量技术规范，按基准点（线）以及合同工程精度要求，测设施工控制网，并在专用合同条件约定的期限内，将施工控制网资料报送工程师。</w:t>
      </w:r>
      <w:bookmarkEnd w:id="1612"/>
      <w:bookmarkEnd w:id="1613"/>
    </w:p>
    <w:p w14:paraId="6A787EBD">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14" w:name="_Toc29297"/>
      <w:bookmarkStart w:id="1615" w:name="_Toc26905"/>
      <w:r>
        <w:rPr>
          <w:rFonts w:hint="eastAsia" w:asciiTheme="minorEastAsia" w:hAnsiTheme="minorEastAsia" w:eastAsiaTheme="minorEastAsia" w:cstheme="minorEastAsia"/>
          <w:sz w:val="28"/>
          <w:szCs w:val="28"/>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bookmarkEnd w:id="1614"/>
      <w:bookmarkEnd w:id="1615"/>
    </w:p>
    <w:p w14:paraId="046DB953">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16" w:name="_Toc31340"/>
      <w:bookmarkStart w:id="1617" w:name="_Toc11880"/>
      <w:r>
        <w:rPr>
          <w:rFonts w:hint="eastAsia" w:asciiTheme="minorEastAsia" w:hAnsiTheme="minorEastAsia" w:eastAsiaTheme="minorEastAsia" w:cstheme="minorEastAsia"/>
          <w:sz w:val="28"/>
          <w:szCs w:val="28"/>
        </w:rPr>
        <w:t>7.4.3 承包人负责施工过程中的全部施工测量放线工作，并配置具有相应资质的人员、合格的仪器、设备和其他物品。承包人应</w:t>
      </w:r>
      <w:r>
        <w:rPr>
          <w:rFonts w:hint="eastAsia" w:asciiTheme="minorEastAsia" w:hAnsiTheme="minorEastAsia" w:eastAsiaTheme="minorEastAsia" w:cstheme="minorEastAsia"/>
          <w:sz w:val="28"/>
          <w:szCs w:val="28"/>
          <w:lang w:eastAsia="zh-CN"/>
        </w:rPr>
        <w:t>校正</w:t>
      </w:r>
      <w:r>
        <w:rPr>
          <w:rFonts w:hint="eastAsia" w:asciiTheme="minorEastAsia" w:hAnsiTheme="minorEastAsia" w:eastAsiaTheme="minorEastAsia" w:cstheme="minorEastAsia"/>
          <w:sz w:val="28"/>
          <w:szCs w:val="28"/>
        </w:rPr>
        <w:t>工程的位置、标高、尺寸或基准线中出现的任何差错，并对工程各部分的定位负责。施工过程中对施工现场内水准点等测量标志物的保护工作由承包人负责。</w:t>
      </w:r>
      <w:bookmarkEnd w:id="1616"/>
      <w:bookmarkEnd w:id="1617"/>
    </w:p>
    <w:p w14:paraId="235C4423">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18" w:name="_Toc26956"/>
      <w:bookmarkStart w:id="1619" w:name="_Toc26217"/>
      <w:bookmarkStart w:id="1620" w:name="_Toc8509"/>
      <w:bookmarkStart w:id="1621" w:name="_Ref531954329"/>
      <w:bookmarkStart w:id="1622" w:name="_Ref4770992"/>
      <w:bookmarkStart w:id="1623" w:name="_Ref531954323"/>
      <w:r>
        <w:rPr>
          <w:rFonts w:hint="eastAsia" w:asciiTheme="minorEastAsia" w:hAnsiTheme="minorEastAsia" w:eastAsiaTheme="minorEastAsia" w:cstheme="minorEastAsia"/>
          <w:b w:val="0"/>
          <w:bCs/>
          <w:sz w:val="28"/>
          <w:szCs w:val="28"/>
        </w:rPr>
        <w:t>7.5 现场劳动用工</w:t>
      </w:r>
      <w:bookmarkEnd w:id="1618"/>
      <w:bookmarkEnd w:id="1619"/>
      <w:bookmarkEnd w:id="1620"/>
    </w:p>
    <w:p w14:paraId="2F83725B">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24" w:name="_Toc17475"/>
      <w:bookmarkStart w:id="1625" w:name="_Toc3458"/>
      <w:r>
        <w:rPr>
          <w:rFonts w:hint="eastAsia" w:asciiTheme="minorEastAsia" w:hAnsiTheme="minorEastAsia" w:eastAsiaTheme="minorEastAsia" w:cstheme="minorEastAsia"/>
          <w:sz w:val="28"/>
          <w:szCs w:val="28"/>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bookmarkEnd w:id="1624"/>
      <w:bookmarkEnd w:id="1625"/>
    </w:p>
    <w:p w14:paraId="4D8A48AA">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26" w:name="_Toc22923"/>
      <w:bookmarkStart w:id="1627" w:name="_Toc13885"/>
      <w:r>
        <w:rPr>
          <w:rFonts w:hint="eastAsia" w:asciiTheme="minorEastAsia" w:hAnsiTheme="minorEastAsia" w:eastAsiaTheme="minorEastAsia" w:cstheme="minorEastAsia"/>
          <w:sz w:val="28"/>
          <w:szCs w:val="28"/>
        </w:rPr>
        <w:t>7.5.2 承包人应当在工程项目部配备劳资专管员，对分包单位劳动用工及工资发放实施监督管理。承包人拖欠建筑工人工资的</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应当依法予以清偿。分包人拖欠建筑工人工资的</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由承包人先行清偿</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bookmarkEnd w:id="1626"/>
      <w:bookmarkEnd w:id="1627"/>
    </w:p>
    <w:p w14:paraId="32D5D8EA">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28" w:name="_Toc1128"/>
      <w:bookmarkStart w:id="1629" w:name="_Toc3030"/>
      <w:r>
        <w:rPr>
          <w:rFonts w:hint="eastAsia" w:asciiTheme="minorEastAsia" w:hAnsiTheme="minorEastAsia" w:eastAsiaTheme="minorEastAsia" w:cstheme="minorEastAsia"/>
          <w:sz w:val="28"/>
          <w:szCs w:val="28"/>
        </w:rPr>
        <w:t>7.5.3 承包人应当按照相关法律法规的要求，进行劳动用工管理和建筑工人工资支付。</w:t>
      </w:r>
      <w:bookmarkEnd w:id="1628"/>
      <w:bookmarkEnd w:id="1629"/>
    </w:p>
    <w:p w14:paraId="6439682D">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30" w:name="_Toc14025"/>
      <w:bookmarkStart w:id="1631" w:name="_Toc6524"/>
      <w:bookmarkStart w:id="1632" w:name="_Ref41554059"/>
      <w:bookmarkStart w:id="1633" w:name="_Toc5883"/>
      <w:r>
        <w:rPr>
          <w:rFonts w:hint="eastAsia" w:asciiTheme="minorEastAsia" w:hAnsiTheme="minorEastAsia" w:eastAsiaTheme="minorEastAsia" w:cstheme="minorEastAsia"/>
          <w:b w:val="0"/>
          <w:bCs/>
          <w:sz w:val="28"/>
          <w:szCs w:val="28"/>
        </w:rPr>
        <w:t>7.6 安全文明施工</w:t>
      </w:r>
      <w:bookmarkEnd w:id="1621"/>
      <w:bookmarkEnd w:id="1622"/>
      <w:bookmarkEnd w:id="1623"/>
      <w:bookmarkEnd w:id="1630"/>
      <w:bookmarkEnd w:id="1631"/>
      <w:bookmarkEnd w:id="1632"/>
      <w:bookmarkEnd w:id="1633"/>
    </w:p>
    <w:p w14:paraId="62B9827F">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34" w:name="_Toc4467"/>
      <w:bookmarkStart w:id="1635" w:name="_Ref18990822"/>
      <w:bookmarkStart w:id="1636" w:name="_Toc26155"/>
      <w:r>
        <w:rPr>
          <w:rFonts w:hint="eastAsia" w:asciiTheme="minorEastAsia" w:hAnsiTheme="minorEastAsia" w:eastAsiaTheme="minorEastAsia" w:cstheme="minorEastAsia"/>
          <w:sz w:val="28"/>
          <w:szCs w:val="28"/>
        </w:rPr>
        <w:t>7.6.1 安全生产要求</w:t>
      </w:r>
      <w:bookmarkEnd w:id="1634"/>
      <w:bookmarkEnd w:id="1635"/>
      <w:bookmarkEnd w:id="1636"/>
    </w:p>
    <w:p w14:paraId="7A8DD62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2A43138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6E217F2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因安全生产需要暂停施工的，按照第8.9款[暂停工作]的约定执行。</w:t>
      </w:r>
    </w:p>
    <w:p w14:paraId="73089AA5">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37" w:name="_Toc25264"/>
      <w:bookmarkStart w:id="1638" w:name="_Toc8745"/>
      <w:r>
        <w:rPr>
          <w:rFonts w:hint="eastAsia" w:asciiTheme="minorEastAsia" w:hAnsiTheme="minorEastAsia" w:eastAsiaTheme="minorEastAsia" w:cstheme="minorEastAsia"/>
          <w:sz w:val="28"/>
          <w:szCs w:val="28"/>
        </w:rPr>
        <w:t>7.6.2 安全生产保证措施</w:t>
      </w:r>
      <w:bookmarkEnd w:id="1637"/>
      <w:bookmarkEnd w:id="1638"/>
    </w:p>
    <w:p w14:paraId="23752EC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5DFB5136">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承包人应当按照有关规定编制安全技术措施或者专项施工方案，建立安全生产责任制度、治安保卫制度及安全生产教育培训制度，并</w:t>
      </w:r>
      <w:r>
        <w:rPr>
          <w:rFonts w:hint="eastAsia" w:asciiTheme="minorEastAsia" w:hAnsiTheme="minorEastAsia" w:eastAsiaTheme="minorEastAsia" w:cstheme="minorEastAsia"/>
          <w:sz w:val="28"/>
          <w:szCs w:val="28"/>
          <w:lang w:eastAsia="zh-CN"/>
        </w:rPr>
        <w:t>按照</w:t>
      </w:r>
      <w:r>
        <w:rPr>
          <w:rFonts w:hint="eastAsia" w:asciiTheme="minorEastAsia" w:hAnsiTheme="minorEastAsia" w:eastAsiaTheme="minorEastAsia" w:cstheme="minorEastAsia"/>
          <w:sz w:val="28"/>
          <w:szCs w:val="28"/>
        </w:rPr>
        <w:t>安全生产法律规定及合同约定履行安全职责，如实编制工程安全生产的有关记录，接受发包人、工程师及政府安全监督部门的检查与监督。</w:t>
      </w:r>
    </w:p>
    <w:p w14:paraId="1D46C6C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350A5D5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39" w:name="_Ref18990840"/>
      <w:bookmarkStart w:id="1640" w:name="_Toc27559"/>
      <w:bookmarkStart w:id="1641" w:name="_Toc15121"/>
      <w:r>
        <w:rPr>
          <w:rFonts w:hint="eastAsia" w:asciiTheme="minorEastAsia" w:hAnsiTheme="minorEastAsia" w:eastAsiaTheme="minorEastAsia" w:cstheme="minorEastAsia"/>
          <w:sz w:val="28"/>
          <w:szCs w:val="28"/>
        </w:rPr>
        <w:t>7.6.3 文明施工</w:t>
      </w:r>
      <w:bookmarkEnd w:id="1639"/>
      <w:bookmarkEnd w:id="1640"/>
      <w:bookmarkEnd w:id="1641"/>
    </w:p>
    <w:p w14:paraId="47190BB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312E351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6055D642">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42" w:name="_Toc17127"/>
      <w:bookmarkStart w:id="1643" w:name="_Toc11261"/>
      <w:r>
        <w:rPr>
          <w:rFonts w:hint="eastAsia" w:asciiTheme="minorEastAsia" w:hAnsiTheme="minorEastAsia" w:eastAsiaTheme="minorEastAsia" w:cstheme="minorEastAsia"/>
          <w:sz w:val="28"/>
          <w:szCs w:val="28"/>
        </w:rPr>
        <w:t>7.6.4 事故处理</w:t>
      </w:r>
      <w:bookmarkEnd w:id="1642"/>
      <w:bookmarkEnd w:id="1643"/>
    </w:p>
    <w:p w14:paraId="6C6C847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实施过程中发生事故的，承包人应立即通知工程师。发包人和承包人应立即组织人员和设备进行紧急抢救和抢修，减少人员伤亡和财产损失，防止事故扩大，并保护事故现场。需要移动现场物品时，应标记和书面记录，妥善保管有关证据。发包人和承包人应按国家有关规定，及时如实地向有关部门报告事故发生的情况，以及正在采取的紧急措施等。</w:t>
      </w:r>
    </w:p>
    <w:p w14:paraId="075037A6">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113E2138">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44" w:name="_Toc4444"/>
      <w:bookmarkStart w:id="1645" w:name="_Toc9595"/>
      <w:r>
        <w:rPr>
          <w:rFonts w:hint="eastAsia" w:asciiTheme="minorEastAsia" w:hAnsiTheme="minorEastAsia" w:eastAsiaTheme="minorEastAsia" w:cstheme="minorEastAsia"/>
          <w:sz w:val="28"/>
          <w:szCs w:val="28"/>
        </w:rPr>
        <w:t>7.6.5 安全生产责任</w:t>
      </w:r>
      <w:bookmarkEnd w:id="1644"/>
      <w:bookmarkEnd w:id="1645"/>
    </w:p>
    <w:p w14:paraId="39615C0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发包人应负责赔偿以下各种情况造成的损失：</w:t>
      </w:r>
    </w:p>
    <w:p w14:paraId="2D5E0D6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工程或工程的任何部分对土地的占用所造成的第三者财产损失；</w:t>
      </w:r>
    </w:p>
    <w:p w14:paraId="72D77D0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由于发包人原因在施工现场及其毗邻地带、履行合同工作中造成的第三者人身伤亡和财产损失；</w:t>
      </w:r>
    </w:p>
    <w:p w14:paraId="17F7096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由于发包人原因对发包人自身、承包人、工程师造成的人身伤害和财产损失。</w:t>
      </w:r>
    </w:p>
    <w:p w14:paraId="6437809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承包人应负责赔偿由于承包人原因在施工现场及其毗邻地带、履行合同工作中造成的第三者人身伤亡和财产损失。</w:t>
      </w:r>
    </w:p>
    <w:p w14:paraId="4C00600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如果上述损失是由于发包人和承包人共同原因导致的，则双方应根据过错情况按比例承担。</w:t>
      </w:r>
    </w:p>
    <w:p w14:paraId="01316949">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46" w:name="_Ref41554069"/>
      <w:bookmarkStart w:id="1647" w:name="_Toc30438"/>
      <w:bookmarkStart w:id="1648" w:name="_Toc17026"/>
      <w:bookmarkStart w:id="1649" w:name="_Ref11874562"/>
      <w:bookmarkStart w:id="1650" w:name="_Toc15286"/>
      <w:r>
        <w:rPr>
          <w:rFonts w:hint="eastAsia" w:asciiTheme="minorEastAsia" w:hAnsiTheme="minorEastAsia" w:eastAsiaTheme="minorEastAsia" w:cstheme="minorEastAsia"/>
          <w:b w:val="0"/>
          <w:bCs/>
          <w:sz w:val="28"/>
          <w:szCs w:val="28"/>
        </w:rPr>
        <w:t>7.7 职业健康</w:t>
      </w:r>
      <w:bookmarkEnd w:id="1646"/>
      <w:bookmarkEnd w:id="1647"/>
      <w:bookmarkEnd w:id="1648"/>
      <w:bookmarkEnd w:id="1649"/>
      <w:bookmarkEnd w:id="1650"/>
    </w:p>
    <w:p w14:paraId="65B7662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承包人应遵守适用的职业健康的法律和合同约定（包括对</w:t>
      </w:r>
      <w:r>
        <w:rPr>
          <w:rFonts w:hint="eastAsia" w:asciiTheme="minorEastAsia" w:hAnsiTheme="minorEastAsia" w:eastAsiaTheme="minorEastAsia" w:cstheme="minorEastAsia"/>
          <w:sz w:val="28"/>
          <w:szCs w:val="28"/>
          <w:lang w:eastAsia="zh-CN"/>
        </w:rPr>
        <w:t>雇佣</w:t>
      </w:r>
      <w:r>
        <w:rPr>
          <w:rFonts w:hint="eastAsia" w:asciiTheme="minorEastAsia" w:hAnsiTheme="minorEastAsia" w:eastAsiaTheme="minorEastAsia" w:cstheme="minorEastAsia"/>
          <w:sz w:val="28"/>
          <w:szCs w:val="28"/>
        </w:rPr>
        <w:t>、职业健康、安全、福利等方面的规定），负责现场实施过程</w:t>
      </w:r>
      <w:r>
        <w:rPr>
          <w:rFonts w:hint="eastAsia" w:asciiTheme="minorEastAsia" w:hAnsiTheme="minorEastAsia" w:eastAsiaTheme="minorEastAsia" w:cstheme="minorEastAsia"/>
          <w:sz w:val="28"/>
          <w:szCs w:val="28"/>
          <w:lang w:eastAsia="zh-CN"/>
        </w:rPr>
        <w:t>中</w:t>
      </w:r>
      <w:r>
        <w:rPr>
          <w:rFonts w:hint="eastAsia" w:asciiTheme="minorEastAsia" w:hAnsiTheme="minorEastAsia" w:eastAsiaTheme="minorEastAsia" w:cstheme="minorEastAsia"/>
          <w:sz w:val="28"/>
          <w:szCs w:val="28"/>
        </w:rPr>
        <w:t>人员的职业健康和保护，包括：</w:t>
      </w:r>
    </w:p>
    <w:p w14:paraId="4D27690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19F373B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（2）承包人应依法为承包人</w:t>
      </w:r>
      <w:bookmarkStart w:id="1651" w:name="_Hlk46339538"/>
      <w:r>
        <w:rPr>
          <w:rFonts w:hint="eastAsia" w:asciiTheme="minorEastAsia" w:hAnsiTheme="minorEastAsia" w:eastAsiaTheme="minorEastAsia" w:cstheme="minorEastAsia"/>
          <w:sz w:val="28"/>
          <w:szCs w:val="28"/>
        </w:rPr>
        <w:t>员工及承包人聘用的第三方人员</w:t>
      </w:r>
      <w:bookmarkEnd w:id="1651"/>
      <w:r>
        <w:rPr>
          <w:rFonts w:hint="eastAsia" w:asciiTheme="minorEastAsia" w:hAnsiTheme="minorEastAsia" w:eastAsiaTheme="minorEastAsia" w:cstheme="minorEastAsia"/>
          <w:sz w:val="28"/>
          <w:szCs w:val="28"/>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6F28E2B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承包人应对其施工人员进行相关作业的职业健康知识培训、危险及危害因素交底、安全操作规程交底、采取有效措施，按有关规定为其现场人员提供劳动保护用品、防护器具、防暑降温用品和安全生产设施。采取有效</w:t>
      </w:r>
      <w:r>
        <w:rPr>
          <w:rFonts w:hint="eastAsia" w:asciiTheme="minorEastAsia" w:hAnsiTheme="minorEastAsia" w:eastAsiaTheme="minorEastAsia" w:cstheme="minorEastAsia"/>
          <w:sz w:val="28"/>
          <w:szCs w:val="28"/>
          <w:lang w:eastAsia="zh-CN"/>
        </w:rPr>
        <w:t>地</w:t>
      </w:r>
      <w:r>
        <w:rPr>
          <w:rFonts w:hint="eastAsia" w:asciiTheme="minorEastAsia" w:hAnsiTheme="minorEastAsia" w:eastAsiaTheme="minorEastAsia" w:cstheme="minorEastAsia"/>
          <w:sz w:val="28"/>
          <w:szCs w:val="28"/>
        </w:rPr>
        <w:t>防止粉尘、降低噪声、控制有害气体和保障高温、高寒、高空作业安全等劳动保护措施。</w:t>
      </w:r>
    </w:p>
    <w:p w14:paraId="51A44EC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519E1403">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（5）承包人应采取有效措施预防传染病，保持食堂的饮食卫生，保证施工人员的健康，并定期对施工现场、施工人员生活基地和工程进行防疫和卫生的专业检查和处理</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xml:space="preserve"> 在远离城镇的施工现场，还应配备必要的伤病防治和急救的医务人员与医疗设施。承包人雇佣人员在施工中受到伤害的，承包人应立即采取有效措施进行抢救和治疗。</w:t>
      </w:r>
    </w:p>
    <w:p w14:paraId="660A5430">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52" w:name="_Toc22017"/>
      <w:bookmarkStart w:id="1653" w:name="_Toc14188"/>
      <w:bookmarkStart w:id="1654" w:name="_Toc10733"/>
      <w:bookmarkStart w:id="1655" w:name="_Ref11874570"/>
      <w:r>
        <w:rPr>
          <w:rFonts w:hint="eastAsia" w:asciiTheme="minorEastAsia" w:hAnsiTheme="minorEastAsia" w:eastAsiaTheme="minorEastAsia" w:cstheme="minorEastAsia"/>
          <w:b w:val="0"/>
          <w:bCs/>
          <w:sz w:val="28"/>
          <w:szCs w:val="28"/>
        </w:rPr>
        <w:t>7.8 环境保护</w:t>
      </w:r>
      <w:bookmarkEnd w:id="1652"/>
      <w:bookmarkEnd w:id="1653"/>
      <w:bookmarkEnd w:id="1654"/>
      <w:bookmarkEnd w:id="1655"/>
    </w:p>
    <w:p w14:paraId="1CF5F84D">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56" w:name="_Toc19307"/>
      <w:bookmarkStart w:id="1657" w:name="_Toc19494"/>
      <w:r>
        <w:rPr>
          <w:rFonts w:hint="eastAsia" w:asciiTheme="minorEastAsia" w:hAnsiTheme="minorEastAsia" w:eastAsiaTheme="minorEastAsia" w:cstheme="minorEastAsia"/>
          <w:sz w:val="28"/>
          <w:szCs w:val="28"/>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bookmarkEnd w:id="1656"/>
      <w:bookmarkEnd w:id="1657"/>
    </w:p>
    <w:p w14:paraId="058263C2">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58" w:name="_Toc16590"/>
      <w:bookmarkStart w:id="1659" w:name="_Toc25446"/>
      <w:r>
        <w:rPr>
          <w:rFonts w:hint="eastAsia" w:asciiTheme="minorEastAsia" w:hAnsiTheme="minorEastAsia" w:eastAsiaTheme="minorEastAsia" w:cstheme="minorEastAsia"/>
          <w:sz w:val="28"/>
          <w:szCs w:val="28"/>
        </w:rPr>
        <w:t>7.8.2 承包人应采取措施，并负责控制和（或）处理现场的粉尘、废气、废水、固体废物和噪声对环境的污染和危害。因此发生的伤害、赔偿、罚款等费用增加，和（或）竣工日期延误，由承包人负责。</w:t>
      </w:r>
      <w:bookmarkEnd w:id="1658"/>
      <w:bookmarkEnd w:id="1659"/>
    </w:p>
    <w:p w14:paraId="3F48FC7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60" w:name="_Toc11026"/>
      <w:bookmarkStart w:id="1661" w:name="_Toc23293"/>
      <w:r>
        <w:rPr>
          <w:rFonts w:hint="eastAsia" w:asciiTheme="minorEastAsia" w:hAnsiTheme="minorEastAsia" w:eastAsiaTheme="minorEastAsia" w:cstheme="minorEastAsia"/>
          <w:sz w:val="28"/>
          <w:szCs w:val="28"/>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bookmarkEnd w:id="1660"/>
      <w:bookmarkEnd w:id="1661"/>
    </w:p>
    <w:p w14:paraId="127790EF">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62" w:name="_Ref531954340"/>
      <w:bookmarkStart w:id="1663" w:name="_Toc17234"/>
      <w:bookmarkStart w:id="1664" w:name="_Ref531954344"/>
      <w:bookmarkStart w:id="1665" w:name="_Toc17660"/>
      <w:bookmarkStart w:id="1666" w:name="_Toc20169"/>
      <w:bookmarkStart w:id="1667" w:name="_Ref4771116"/>
      <w:r>
        <w:rPr>
          <w:rFonts w:hint="eastAsia" w:asciiTheme="minorEastAsia" w:hAnsiTheme="minorEastAsia" w:eastAsiaTheme="minorEastAsia" w:cstheme="minorEastAsia"/>
          <w:b w:val="0"/>
          <w:bCs/>
          <w:sz w:val="28"/>
          <w:szCs w:val="28"/>
        </w:rPr>
        <w:t>7.9 临时性公用设施</w:t>
      </w:r>
      <w:bookmarkEnd w:id="1662"/>
      <w:bookmarkEnd w:id="1663"/>
      <w:bookmarkEnd w:id="1664"/>
      <w:bookmarkEnd w:id="1665"/>
      <w:bookmarkEnd w:id="1666"/>
      <w:r>
        <w:rPr>
          <w:rFonts w:hint="eastAsia" w:asciiTheme="minorEastAsia" w:hAnsiTheme="minorEastAsia" w:eastAsiaTheme="minorEastAsia" w:cstheme="minorEastAsia"/>
          <w:b w:val="0"/>
          <w:bCs/>
          <w:sz w:val="28"/>
          <w:szCs w:val="28"/>
        </w:rPr>
        <w:t xml:space="preserve"> </w:t>
      </w:r>
      <w:bookmarkEnd w:id="1667"/>
    </w:p>
    <w:p w14:paraId="437438F1">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68" w:name="_Toc13304"/>
      <w:bookmarkStart w:id="1669" w:name="_Toc6346"/>
      <w:r>
        <w:rPr>
          <w:rFonts w:hint="eastAsia" w:asciiTheme="minorEastAsia" w:hAnsiTheme="minorEastAsia" w:eastAsiaTheme="minorEastAsia" w:cstheme="minorEastAsia"/>
          <w:sz w:val="28"/>
          <w:szCs w:val="28"/>
        </w:rPr>
        <w:t>7.9.1 提供临时用水、用电</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节点铺设</w:t>
      </w:r>
      <w:bookmarkEnd w:id="1668"/>
      <w:bookmarkEnd w:id="1669"/>
    </w:p>
    <w:p w14:paraId="464BBE5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4105A21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74AF5EF8">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70" w:name="_Toc30129"/>
      <w:bookmarkStart w:id="1671" w:name="_Toc24648"/>
      <w:r>
        <w:rPr>
          <w:rFonts w:hint="eastAsia" w:asciiTheme="minorEastAsia" w:hAnsiTheme="minorEastAsia" w:eastAsiaTheme="minorEastAsia" w:cstheme="minorEastAsia"/>
          <w:sz w:val="28"/>
          <w:szCs w:val="28"/>
        </w:rPr>
        <w:t>7.9.2 临时用水、用电等</w:t>
      </w:r>
      <w:bookmarkEnd w:id="1670"/>
      <w:bookmarkEnd w:id="1671"/>
    </w:p>
    <w:p w14:paraId="48A917D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承包人应在计划开始现场施工日期28天前或双方约定的</w:t>
      </w:r>
      <w:r>
        <w:rPr>
          <w:rFonts w:hint="eastAsia" w:asciiTheme="minorEastAsia" w:hAnsiTheme="minorEastAsia" w:eastAsiaTheme="minorEastAsia" w:cstheme="minorEastAsia"/>
          <w:sz w:val="28"/>
          <w:szCs w:val="28"/>
          <w:lang w:eastAsia="zh-CN"/>
        </w:rPr>
        <w:t>其他时间</w:t>
      </w:r>
      <w:r>
        <w:rPr>
          <w:rFonts w:hint="eastAsia" w:asciiTheme="minorEastAsia" w:hAnsiTheme="minorEastAsia" w:eastAsiaTheme="minorEastAsia" w:cstheme="minorEastAsia"/>
          <w:sz w:val="28"/>
          <w:szCs w:val="28"/>
        </w:rPr>
        <w:t>，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5A5330B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因承包人未能按合同约定提交上述资料，造成发包人费用增加和竣工日期延误时，由承包人负责。</w:t>
      </w:r>
      <w:bookmarkStart w:id="1672" w:name="_Ref508893743"/>
    </w:p>
    <w:p w14:paraId="7A895C60">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73" w:name="_Ref531952248"/>
      <w:bookmarkStart w:id="1674" w:name="_Toc24378"/>
      <w:bookmarkStart w:id="1675" w:name="_Toc12036"/>
      <w:bookmarkStart w:id="1676" w:name="_Toc1238"/>
      <w:bookmarkStart w:id="1677" w:name="_Ref531952239"/>
      <w:r>
        <w:rPr>
          <w:rFonts w:hint="eastAsia" w:asciiTheme="minorEastAsia" w:hAnsiTheme="minorEastAsia" w:eastAsiaTheme="minorEastAsia" w:cstheme="minorEastAsia"/>
          <w:b w:val="0"/>
          <w:bCs/>
          <w:sz w:val="28"/>
          <w:szCs w:val="28"/>
        </w:rPr>
        <w:t>7.10 现场安保</w:t>
      </w:r>
      <w:bookmarkEnd w:id="1673"/>
      <w:bookmarkEnd w:id="1674"/>
      <w:bookmarkEnd w:id="1675"/>
      <w:bookmarkEnd w:id="1676"/>
      <w:bookmarkEnd w:id="1677"/>
    </w:p>
    <w:p w14:paraId="2B7027C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5CE4ED9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承包人应将其作业限制在现场区域、合同约定的区域或为履行合同所需的区域内。承包人应采取一切必要的预防措施，以保持承包人的设备和人员处于现场区域内，避免其进入邻近地区。</w:t>
      </w:r>
    </w:p>
    <w:p w14:paraId="7E4B102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承包人为履行合同义务而占用的其他场所（如预制加工场所、办公及生活营区） 的安保适用本款前述关于现场安保的规定。</w:t>
      </w:r>
    </w:p>
    <w:p w14:paraId="5EC68163">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78" w:name="_Toc7287"/>
      <w:bookmarkStart w:id="1679" w:name="_Toc6511"/>
      <w:bookmarkStart w:id="1680" w:name="_Toc18002"/>
      <w:r>
        <w:rPr>
          <w:rFonts w:hint="eastAsia" w:asciiTheme="minorEastAsia" w:hAnsiTheme="minorEastAsia" w:eastAsiaTheme="minorEastAsia" w:cstheme="minorEastAsia"/>
          <w:b w:val="0"/>
          <w:bCs/>
          <w:sz w:val="28"/>
          <w:szCs w:val="28"/>
        </w:rPr>
        <w:t>7.11 工程照管</w:t>
      </w:r>
      <w:bookmarkEnd w:id="1678"/>
      <w:bookmarkEnd w:id="1679"/>
      <w:bookmarkEnd w:id="1680"/>
    </w:p>
    <w:p w14:paraId="4CFACC5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自开始现场施工日期起至发包人应当接收工程之日止，承包人应承担工程现场、材料、设备及承包人文件的照管和维护工作。</w:t>
      </w:r>
    </w:p>
    <w:p w14:paraId="790706A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如部分工程于竣工验收前提前交付发包人的，则自交付之日起，该部分工程照管及维护职责由发包人承担。</w:t>
      </w:r>
    </w:p>
    <w:p w14:paraId="13430B1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如发包人及承包人进行竣工验收时尚有部分未竣工工程的，承包人应负责该未竣工工程的照管和维护工作，直至竣工后移交给发包人。</w:t>
      </w:r>
    </w:p>
    <w:p w14:paraId="04CB7E4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如合同解除或终止的，承包人自合同解除或终止之日起不再对工程承担照管和维护义务。</w:t>
      </w:r>
    </w:p>
    <w:p w14:paraId="5797E38D">
      <w:pPr>
        <w:pStyle w:val="142"/>
        <w:keepNext w:val="0"/>
        <w:keepLines w:val="0"/>
        <w:pageBreakBefore w:val="0"/>
        <w:numPr>
          <w:ilvl w:val="0"/>
          <w:numId w:val="0"/>
        </w:numPr>
        <w:kinsoku/>
        <w:wordWrap/>
        <w:overflowPunct/>
        <w:topLinePunct w:val="0"/>
        <w:autoSpaceDE/>
        <w:autoSpaceDN/>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681" w:name="_Toc12180"/>
      <w:bookmarkStart w:id="1682" w:name="_Toc30876"/>
      <w:bookmarkStart w:id="1683" w:name="_Toc20520"/>
      <w:bookmarkStart w:id="1684" w:name="_Ref508998009"/>
      <w:bookmarkStart w:id="1685" w:name="_Toc2328"/>
      <w:bookmarkStart w:id="1686" w:name="_Toc28658"/>
      <w:bookmarkStart w:id="1687" w:name="_Ref531954505"/>
      <w:bookmarkStart w:id="1688" w:name="_Ref531954518"/>
      <w:r>
        <w:rPr>
          <w:rFonts w:hint="eastAsia" w:asciiTheme="minorEastAsia" w:hAnsiTheme="minorEastAsia" w:eastAsiaTheme="minorEastAsia" w:cstheme="minorEastAsia"/>
          <w:b w:val="0"/>
          <w:bCs/>
          <w:sz w:val="28"/>
          <w:szCs w:val="28"/>
        </w:rPr>
        <w:t>第8条 工期和进度</w:t>
      </w:r>
      <w:bookmarkEnd w:id="1681"/>
      <w:bookmarkEnd w:id="1682"/>
      <w:bookmarkEnd w:id="1683"/>
      <w:bookmarkEnd w:id="1684"/>
      <w:bookmarkEnd w:id="1685"/>
      <w:bookmarkEnd w:id="1686"/>
    </w:p>
    <w:p w14:paraId="54E61DCB">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689" w:name="_Ref532362774"/>
      <w:bookmarkStart w:id="1690" w:name="_Toc18631"/>
      <w:bookmarkStart w:id="1691" w:name="_Ref532362777"/>
      <w:bookmarkStart w:id="1692" w:name="_Ref532362075"/>
      <w:bookmarkStart w:id="1693" w:name="_Toc29435"/>
      <w:bookmarkStart w:id="1694" w:name="_Toc7801"/>
      <w:bookmarkStart w:id="1695" w:name="_Ref532362072"/>
      <w:r>
        <w:rPr>
          <w:rFonts w:hint="eastAsia" w:asciiTheme="minorEastAsia" w:hAnsiTheme="minorEastAsia" w:eastAsiaTheme="minorEastAsia" w:cstheme="minorEastAsia"/>
          <w:b w:val="0"/>
          <w:bCs/>
          <w:sz w:val="28"/>
          <w:szCs w:val="28"/>
        </w:rPr>
        <w:t>8.1 开始工作</w:t>
      </w:r>
      <w:bookmarkEnd w:id="1689"/>
      <w:bookmarkEnd w:id="1690"/>
      <w:bookmarkEnd w:id="1691"/>
      <w:bookmarkEnd w:id="1692"/>
      <w:bookmarkEnd w:id="1693"/>
      <w:bookmarkEnd w:id="1694"/>
      <w:bookmarkEnd w:id="1695"/>
    </w:p>
    <w:p w14:paraId="5FC6197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96" w:name="_Toc14424"/>
      <w:bookmarkStart w:id="1697" w:name="_Toc7669"/>
      <w:bookmarkStart w:id="1698" w:name="_Ref4428890"/>
      <w:r>
        <w:rPr>
          <w:rFonts w:hint="eastAsia" w:asciiTheme="minorEastAsia" w:hAnsiTheme="minorEastAsia" w:eastAsiaTheme="minorEastAsia" w:cstheme="minorEastAsia"/>
          <w:sz w:val="28"/>
          <w:szCs w:val="28"/>
        </w:rPr>
        <w:t>8.1.1 开始工作准备</w:t>
      </w:r>
      <w:bookmarkEnd w:id="1696"/>
      <w:bookmarkEnd w:id="1697"/>
      <w:bookmarkEnd w:id="1698"/>
    </w:p>
    <w:p w14:paraId="7EFA5D1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合同当事人应按专用合同条件约定完成开始工作准备工作。</w:t>
      </w:r>
    </w:p>
    <w:p w14:paraId="2331D963">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699" w:name="_Toc21055"/>
      <w:bookmarkStart w:id="1700" w:name="_Toc11348"/>
      <w:bookmarkStart w:id="1701" w:name="_Ref536790534"/>
      <w:bookmarkStart w:id="1702" w:name="_Hlk51506490"/>
      <w:r>
        <w:rPr>
          <w:rFonts w:hint="eastAsia" w:asciiTheme="minorEastAsia" w:hAnsiTheme="minorEastAsia" w:eastAsiaTheme="minorEastAsia" w:cstheme="minorEastAsia"/>
          <w:sz w:val="28"/>
          <w:szCs w:val="28"/>
        </w:rPr>
        <w:t>8.1.2 开始工作通知</w:t>
      </w:r>
      <w:bookmarkEnd w:id="1699"/>
      <w:bookmarkEnd w:id="1700"/>
      <w:bookmarkEnd w:id="1701"/>
    </w:p>
    <w:bookmarkEnd w:id="1702"/>
    <w:p w14:paraId="155E5AF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经发包人同意后，工程师应提前7天向承包人发出经发包人签认的开始工作通知，工期自开始工作通知中载明的开始工作日期起算。</w:t>
      </w:r>
    </w:p>
    <w:p w14:paraId="1212D70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除专用合同条件另有约定外，因发包人原因造成实际开始现场施工日期迟于</w:t>
      </w:r>
      <w:bookmarkStart w:id="1703" w:name="_Hlk51506566"/>
      <w:r>
        <w:rPr>
          <w:rFonts w:hint="eastAsia" w:asciiTheme="minorEastAsia" w:hAnsiTheme="minorEastAsia" w:eastAsiaTheme="minorEastAsia" w:cstheme="minorEastAsia"/>
          <w:sz w:val="28"/>
          <w:szCs w:val="28"/>
        </w:rPr>
        <w:t>计划开始现场施工日期</w:t>
      </w:r>
      <w:bookmarkEnd w:id="1703"/>
      <w:r>
        <w:rPr>
          <w:rFonts w:hint="eastAsia" w:asciiTheme="minorEastAsia" w:hAnsiTheme="minorEastAsia" w:eastAsiaTheme="minorEastAsia" w:cstheme="minorEastAsia"/>
          <w:sz w:val="28"/>
          <w:szCs w:val="28"/>
        </w:rPr>
        <w:t>后第84天的，承包人有权提出价格调整要求，或者解除合同。发包人应当承担由此增加的费用和（或）延误的工期，并向承包人支付合理利润。</w:t>
      </w:r>
    </w:p>
    <w:p w14:paraId="46D08F7A">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04" w:name="_Toc9207"/>
      <w:bookmarkStart w:id="1705" w:name="_Ref532362124"/>
      <w:bookmarkStart w:id="1706" w:name="_Toc14255"/>
      <w:bookmarkStart w:id="1707" w:name="_Toc28734"/>
      <w:r>
        <w:rPr>
          <w:rFonts w:hint="eastAsia" w:asciiTheme="minorEastAsia" w:hAnsiTheme="minorEastAsia" w:eastAsiaTheme="minorEastAsia" w:cstheme="minorEastAsia"/>
          <w:b w:val="0"/>
          <w:bCs/>
          <w:sz w:val="28"/>
          <w:szCs w:val="28"/>
        </w:rPr>
        <w:t>8.2 竣工日期</w:t>
      </w:r>
      <w:bookmarkEnd w:id="1704"/>
      <w:bookmarkEnd w:id="1705"/>
      <w:bookmarkEnd w:id="1706"/>
      <w:bookmarkEnd w:id="1707"/>
      <w:r>
        <w:rPr>
          <w:rFonts w:hint="eastAsia" w:asciiTheme="minorEastAsia" w:hAnsiTheme="minorEastAsia" w:eastAsiaTheme="minorEastAsia" w:cstheme="minorEastAsia"/>
          <w:b w:val="0"/>
          <w:bCs/>
          <w:sz w:val="28"/>
          <w:szCs w:val="28"/>
        </w:rPr>
        <w:t xml:space="preserve"> </w:t>
      </w:r>
    </w:p>
    <w:p w14:paraId="76E092A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承包人应在合同协议书约定的工期内完成合同工作。除专用合同条件另有约定外，工程的竣工日期以第10.1条[竣工验收]的约定为准，并在工程接收证书中写明。</w:t>
      </w:r>
    </w:p>
    <w:p w14:paraId="141E24B6">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因发包人原因，在工程师收到承包人竣工验收申请报告42天后未进行验收的，视为验收合格，实际竣工日期以提交竣工验收申请报告的日期为准，但发包人由于不可抗力不能进行验收的除外。</w:t>
      </w:r>
    </w:p>
    <w:p w14:paraId="3C1728D8">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08" w:name="_Toc12543"/>
      <w:bookmarkStart w:id="1709" w:name="_Ref11863334"/>
      <w:bookmarkStart w:id="1710" w:name="_Toc5654"/>
      <w:bookmarkStart w:id="1711" w:name="_Toc7013"/>
      <w:bookmarkStart w:id="1712" w:name="_Ref532352853"/>
      <w:bookmarkStart w:id="1713" w:name="_Ref532352856"/>
      <w:bookmarkStart w:id="1714" w:name="_Ref532362204"/>
      <w:bookmarkStart w:id="1715" w:name="_Ref532362207"/>
      <w:r>
        <w:rPr>
          <w:rFonts w:hint="eastAsia" w:asciiTheme="minorEastAsia" w:hAnsiTheme="minorEastAsia" w:eastAsiaTheme="minorEastAsia" w:cstheme="minorEastAsia"/>
          <w:b w:val="0"/>
          <w:bCs/>
          <w:sz w:val="28"/>
          <w:szCs w:val="28"/>
        </w:rPr>
        <w:t>8.3 项目实施计划</w:t>
      </w:r>
      <w:bookmarkEnd w:id="1708"/>
      <w:bookmarkEnd w:id="1709"/>
      <w:bookmarkEnd w:id="1710"/>
      <w:bookmarkEnd w:id="1711"/>
    </w:p>
    <w:p w14:paraId="33FBB392">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16" w:name="_Ref18990904"/>
      <w:bookmarkStart w:id="1717" w:name="_Toc9055"/>
      <w:bookmarkStart w:id="1718" w:name="_Toc7236"/>
      <w:r>
        <w:rPr>
          <w:rFonts w:hint="eastAsia" w:asciiTheme="minorEastAsia" w:hAnsiTheme="minorEastAsia" w:eastAsiaTheme="minorEastAsia" w:cstheme="minorEastAsia"/>
          <w:sz w:val="28"/>
          <w:szCs w:val="28"/>
        </w:rPr>
        <w:t>8.3.1 项目实施计划的内容</w:t>
      </w:r>
      <w:bookmarkEnd w:id="1716"/>
      <w:bookmarkEnd w:id="1717"/>
      <w:bookmarkEnd w:id="1718"/>
    </w:p>
    <w:p w14:paraId="2139900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3A122A10">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19" w:name="_Toc12642"/>
      <w:bookmarkStart w:id="1720" w:name="_Ref18990921"/>
      <w:bookmarkStart w:id="1721" w:name="_Toc25803"/>
      <w:r>
        <w:rPr>
          <w:rFonts w:hint="eastAsia" w:asciiTheme="minorEastAsia" w:hAnsiTheme="minorEastAsia" w:eastAsiaTheme="minorEastAsia" w:cstheme="minorEastAsia"/>
          <w:sz w:val="28"/>
          <w:szCs w:val="28"/>
        </w:rPr>
        <w:t>8.3.2 项目实施计划的提交和修改</w:t>
      </w:r>
      <w:bookmarkEnd w:id="1719"/>
      <w:bookmarkEnd w:id="1720"/>
      <w:bookmarkEnd w:id="1721"/>
    </w:p>
    <w:p w14:paraId="47EC7B3D">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2D61DD7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项目进度计划的编制和修改按照第8.4款[项目进度计划]执行。</w:t>
      </w:r>
    </w:p>
    <w:p w14:paraId="09AC50EA">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22" w:name="_Toc15934"/>
      <w:bookmarkStart w:id="1723" w:name="_Toc13645"/>
      <w:bookmarkStart w:id="1724" w:name="_Toc31851"/>
      <w:bookmarkStart w:id="1725" w:name="_Ref11865507"/>
      <w:r>
        <w:rPr>
          <w:rFonts w:hint="eastAsia" w:asciiTheme="minorEastAsia" w:hAnsiTheme="minorEastAsia" w:eastAsiaTheme="minorEastAsia" w:cstheme="minorEastAsia"/>
          <w:b w:val="0"/>
          <w:bCs/>
          <w:sz w:val="28"/>
          <w:szCs w:val="28"/>
        </w:rPr>
        <w:t>8.4 项目进度计划</w:t>
      </w:r>
      <w:bookmarkEnd w:id="1712"/>
      <w:bookmarkEnd w:id="1713"/>
      <w:bookmarkEnd w:id="1714"/>
      <w:bookmarkEnd w:id="1715"/>
      <w:bookmarkEnd w:id="1722"/>
      <w:bookmarkEnd w:id="1723"/>
      <w:bookmarkEnd w:id="1724"/>
      <w:bookmarkEnd w:id="1725"/>
    </w:p>
    <w:p w14:paraId="59F5293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26" w:name="_Toc10767"/>
      <w:bookmarkStart w:id="1727" w:name="_Toc20564"/>
      <w:bookmarkStart w:id="1728" w:name="_Ref4681217"/>
      <w:r>
        <w:rPr>
          <w:rFonts w:hint="eastAsia" w:asciiTheme="minorEastAsia" w:hAnsiTheme="minorEastAsia" w:eastAsiaTheme="minorEastAsia" w:cstheme="minorEastAsia"/>
          <w:sz w:val="28"/>
          <w:szCs w:val="28"/>
        </w:rPr>
        <w:t>8.4.1 项目进度计划的提交和修改</w:t>
      </w:r>
      <w:bookmarkEnd w:id="1726"/>
      <w:bookmarkEnd w:id="1727"/>
      <w:bookmarkEnd w:id="1728"/>
    </w:p>
    <w:p w14:paraId="3F08C83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6F838EA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64EDB89B">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29" w:name="_Ref4429079"/>
      <w:bookmarkStart w:id="1730" w:name="_Toc27402"/>
      <w:bookmarkStart w:id="1731" w:name="_Toc3463"/>
      <w:r>
        <w:rPr>
          <w:rFonts w:hint="eastAsia" w:asciiTheme="minorEastAsia" w:hAnsiTheme="minorEastAsia" w:eastAsiaTheme="minorEastAsia" w:cstheme="minorEastAsia"/>
          <w:sz w:val="28"/>
          <w:szCs w:val="28"/>
        </w:rPr>
        <w:t>8.4.2 项目进度计划的内容</w:t>
      </w:r>
      <w:bookmarkEnd w:id="1729"/>
      <w:bookmarkEnd w:id="1730"/>
      <w:bookmarkEnd w:id="1731"/>
    </w:p>
    <w:p w14:paraId="5F62369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5F2F7846">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32" w:name="_Toc5142"/>
      <w:bookmarkStart w:id="1733" w:name="_Ref3848203"/>
      <w:bookmarkStart w:id="1734" w:name="_Toc25402"/>
      <w:r>
        <w:rPr>
          <w:rFonts w:hint="eastAsia" w:asciiTheme="minorEastAsia" w:hAnsiTheme="minorEastAsia" w:eastAsiaTheme="minorEastAsia" w:cstheme="minorEastAsia"/>
          <w:sz w:val="28"/>
          <w:szCs w:val="28"/>
        </w:rPr>
        <w:t>8.4.3 项目进度计划的修订</w:t>
      </w:r>
      <w:bookmarkEnd w:id="1732"/>
      <w:bookmarkEnd w:id="1733"/>
      <w:bookmarkEnd w:id="1734"/>
    </w:p>
    <w:p w14:paraId="179FFCE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491E0CA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347C116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除合同当事人另有约定外，项目进度计划的修订并不能减轻或者免除双方按第8.7款[工期延误]、第8.8款[工期提前]、第8.9款[暂停工作]应承担的合同责任。</w:t>
      </w:r>
    </w:p>
    <w:p w14:paraId="3D2318CE">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35" w:name="_Toc17194"/>
      <w:bookmarkStart w:id="1736" w:name="_Ref532362278"/>
      <w:bookmarkStart w:id="1737" w:name="_Toc20636"/>
      <w:bookmarkStart w:id="1738" w:name="_Toc14316"/>
      <w:bookmarkStart w:id="1739" w:name="_Ref532362276"/>
      <w:r>
        <w:rPr>
          <w:rFonts w:hint="eastAsia" w:asciiTheme="minorEastAsia" w:hAnsiTheme="minorEastAsia" w:eastAsiaTheme="minorEastAsia" w:cstheme="minorEastAsia"/>
          <w:b w:val="0"/>
          <w:bCs/>
          <w:sz w:val="28"/>
          <w:szCs w:val="28"/>
        </w:rPr>
        <w:t>8.5 进度报告</w:t>
      </w:r>
      <w:bookmarkEnd w:id="1735"/>
      <w:bookmarkEnd w:id="1736"/>
      <w:bookmarkEnd w:id="1737"/>
      <w:bookmarkEnd w:id="1738"/>
      <w:bookmarkEnd w:id="1739"/>
    </w:p>
    <w:p w14:paraId="63C613D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项目实施过程中，承包人应进行实际进度记录，并根据工程师的要求编制月进度报告，并提交给工程师。进度报告应包含以下主要内容：</w:t>
      </w:r>
    </w:p>
    <w:p w14:paraId="3E06C30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工程设计、采购、施工等各个工作内容的进展报告；</w:t>
      </w:r>
    </w:p>
    <w:p w14:paraId="394DE383">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工程施工方法的一般说明；</w:t>
      </w:r>
    </w:p>
    <w:p w14:paraId="5360E3C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当月工程实施介入的项目人员、设备和材料的预估明细报告；</w:t>
      </w:r>
    </w:p>
    <w:p w14:paraId="7CB1926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 当月实际进度与进度计划对比分析，以及提出未来可能引起工期延误的情形，同时提出应对措施；需要修订项目进度计划的，应对项目进度计划的修订部分进行说明； </w:t>
      </w:r>
    </w:p>
    <w:p w14:paraId="63E5C08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承包人对于解决工期延误所提出的建议；</w:t>
      </w:r>
    </w:p>
    <w:p w14:paraId="564F4CF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其他与工程有关的重大事项。</w:t>
      </w:r>
    </w:p>
    <w:p w14:paraId="51C2D97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进度报告的具体要求等，在专用合同条件约定。</w:t>
      </w:r>
    </w:p>
    <w:p w14:paraId="64FFA7F7">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40" w:name="_Toc1701"/>
      <w:bookmarkStart w:id="1741" w:name="_Toc9588"/>
      <w:bookmarkStart w:id="1742" w:name="_Toc18103"/>
      <w:r>
        <w:rPr>
          <w:rFonts w:hint="eastAsia" w:asciiTheme="minorEastAsia" w:hAnsiTheme="minorEastAsia" w:eastAsiaTheme="minorEastAsia" w:cstheme="minorEastAsia"/>
          <w:b w:val="0"/>
          <w:bCs/>
          <w:sz w:val="28"/>
          <w:szCs w:val="28"/>
        </w:rPr>
        <w:t>8.6 提前预警</w:t>
      </w:r>
      <w:bookmarkEnd w:id="1740"/>
      <w:bookmarkEnd w:id="1741"/>
      <w:bookmarkEnd w:id="1742"/>
    </w:p>
    <w:p w14:paraId="44D68D5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任何一方应当在下列情形发生时尽快书面通知另一方：</w:t>
      </w:r>
    </w:p>
    <w:p w14:paraId="3D42AAD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该情形可能对合同的履行或实现合同目的产生不利影响；</w:t>
      </w:r>
    </w:p>
    <w:p w14:paraId="46A47352">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该情形可能对工程完成后的使用产生不利影响；</w:t>
      </w:r>
    </w:p>
    <w:p w14:paraId="121FC2A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该情形可能导致合同价款增加；</w:t>
      </w:r>
    </w:p>
    <w:p w14:paraId="7E4C154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该情形可能导致整个工程或单位/区段工程的工期延长。</w:t>
      </w:r>
    </w:p>
    <w:p w14:paraId="5783320B">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发包人有权要求承包人根据第13.2款[承包人的合理化建议]的约定提交变更建议，采取措施尽量避免或最小化上述情形的发生或影响。</w:t>
      </w:r>
    </w:p>
    <w:p w14:paraId="2BF74FBD">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43" w:name="_Toc4784165"/>
      <w:bookmarkEnd w:id="1743"/>
      <w:bookmarkStart w:id="1744" w:name="_Toc4784163"/>
      <w:bookmarkEnd w:id="1744"/>
      <w:bookmarkStart w:id="1745" w:name="_Toc4784157"/>
      <w:bookmarkEnd w:id="1745"/>
      <w:bookmarkStart w:id="1746" w:name="_Toc4784171"/>
      <w:bookmarkEnd w:id="1746"/>
      <w:bookmarkStart w:id="1747" w:name="_Toc4784168"/>
      <w:bookmarkEnd w:id="1747"/>
      <w:bookmarkStart w:id="1748" w:name="_Toc4784160"/>
      <w:bookmarkEnd w:id="1748"/>
      <w:bookmarkStart w:id="1749" w:name="_Toc4784173"/>
      <w:bookmarkEnd w:id="1749"/>
      <w:bookmarkStart w:id="1750" w:name="_Toc4784159"/>
      <w:bookmarkEnd w:id="1750"/>
      <w:bookmarkStart w:id="1751" w:name="_Toc4784162"/>
      <w:bookmarkEnd w:id="1751"/>
      <w:bookmarkStart w:id="1752" w:name="_Toc4784174"/>
      <w:bookmarkEnd w:id="1752"/>
      <w:bookmarkStart w:id="1753" w:name="_Toc4784164"/>
      <w:bookmarkEnd w:id="1753"/>
      <w:bookmarkStart w:id="1754" w:name="_Toc4784154"/>
      <w:bookmarkEnd w:id="1754"/>
      <w:bookmarkStart w:id="1755" w:name="_Toc4784169"/>
      <w:bookmarkEnd w:id="1755"/>
      <w:bookmarkStart w:id="1756" w:name="_Toc4784155"/>
      <w:bookmarkEnd w:id="1756"/>
      <w:bookmarkStart w:id="1757" w:name="_Toc4784175"/>
      <w:bookmarkEnd w:id="1757"/>
      <w:bookmarkStart w:id="1758" w:name="_Toc4784156"/>
      <w:bookmarkEnd w:id="1758"/>
      <w:bookmarkStart w:id="1759" w:name="_Toc4784170"/>
      <w:bookmarkEnd w:id="1759"/>
      <w:bookmarkStart w:id="1760" w:name="_Toc4784166"/>
      <w:bookmarkEnd w:id="1760"/>
      <w:bookmarkStart w:id="1761" w:name="_Toc4784161"/>
      <w:bookmarkEnd w:id="1761"/>
      <w:bookmarkStart w:id="1762" w:name="_Toc4784172"/>
      <w:bookmarkEnd w:id="1762"/>
      <w:bookmarkStart w:id="1763" w:name="_Toc4784167"/>
      <w:bookmarkEnd w:id="1763"/>
      <w:bookmarkStart w:id="1764" w:name="_Toc4784158"/>
      <w:bookmarkEnd w:id="1764"/>
      <w:bookmarkStart w:id="1765" w:name="_Toc18617"/>
      <w:bookmarkStart w:id="1766" w:name="_Ref4770106"/>
      <w:bookmarkStart w:id="1767" w:name="_Toc2625"/>
      <w:bookmarkStart w:id="1768" w:name="_Toc26167"/>
      <w:bookmarkStart w:id="1769" w:name="_Ref532362359"/>
      <w:bookmarkStart w:id="1770" w:name="_Ref532362356"/>
      <w:r>
        <w:rPr>
          <w:rFonts w:hint="eastAsia" w:asciiTheme="minorEastAsia" w:hAnsiTheme="minorEastAsia" w:eastAsiaTheme="minorEastAsia" w:cstheme="minorEastAsia"/>
          <w:b w:val="0"/>
          <w:bCs/>
          <w:sz w:val="28"/>
          <w:szCs w:val="28"/>
        </w:rPr>
        <w:t>8.7 工期延误</w:t>
      </w:r>
      <w:bookmarkEnd w:id="1765"/>
      <w:bookmarkEnd w:id="1766"/>
      <w:bookmarkEnd w:id="1767"/>
      <w:bookmarkEnd w:id="1768"/>
    </w:p>
    <w:p w14:paraId="3B67A72C">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71" w:name="_Toc13566"/>
      <w:bookmarkStart w:id="1772" w:name="_Toc20271"/>
      <w:bookmarkStart w:id="1773" w:name="_Ref4796050"/>
      <w:r>
        <w:rPr>
          <w:rFonts w:hint="eastAsia" w:asciiTheme="minorEastAsia" w:hAnsiTheme="minorEastAsia" w:eastAsiaTheme="minorEastAsia" w:cstheme="minorEastAsia"/>
          <w:sz w:val="28"/>
          <w:szCs w:val="28"/>
        </w:rPr>
        <w:t>8.7.1 因发包人原因导致工期延误</w:t>
      </w:r>
      <w:bookmarkEnd w:id="1771"/>
      <w:bookmarkEnd w:id="1772"/>
      <w:bookmarkEnd w:id="1773"/>
    </w:p>
    <w:p w14:paraId="79365744">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在合同履行过程中，因下列情况导致工期延误和（或）费用增加的，由发包人承担由此延误的工期和（或）增加的费用，发包人应支付承包人合理的利润：</w:t>
      </w:r>
    </w:p>
    <w:p w14:paraId="3C9CB5C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根据第13条[变更与调整]的约定构成一项变更的；</w:t>
      </w:r>
    </w:p>
    <w:p w14:paraId="652FED3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发包人违反本合同约定，导致工期延误和（或）费用增加的；</w:t>
      </w:r>
    </w:p>
    <w:p w14:paraId="731D76CC">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发包人、发包人代表、工程师或发包人聘请的任意第三方造成或引起的任何延误、妨碍和阻碍；</w:t>
      </w:r>
    </w:p>
    <w:p w14:paraId="7795767F">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发包人未能依据第6.2.1项[发包人提供的材料和工程设备]的约定提供材料和工程设备导致工期延误和（或）费用增加的；</w:t>
      </w:r>
    </w:p>
    <w:p w14:paraId="66979DD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因发包人原因导致的暂停施工；</w:t>
      </w:r>
    </w:p>
    <w:p w14:paraId="1A9CCA4A">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发包人未及时履行相关合同义务，造成工期延误的其他原因。</w:t>
      </w:r>
    </w:p>
    <w:p w14:paraId="2F4FAEF2">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74" w:name="_Toc16110"/>
      <w:bookmarkStart w:id="1775" w:name="_Ref4770209"/>
      <w:bookmarkStart w:id="1776" w:name="_Toc20009"/>
      <w:r>
        <w:rPr>
          <w:rFonts w:hint="eastAsia" w:asciiTheme="minorEastAsia" w:hAnsiTheme="minorEastAsia" w:eastAsiaTheme="minorEastAsia" w:cstheme="minorEastAsia"/>
          <w:sz w:val="28"/>
          <w:szCs w:val="28"/>
        </w:rPr>
        <w:t>8.7.2 因承包人原因导致工期延误</w:t>
      </w:r>
      <w:bookmarkEnd w:id="1774"/>
      <w:bookmarkEnd w:id="1775"/>
      <w:bookmarkEnd w:id="1776"/>
    </w:p>
    <w:p w14:paraId="3099125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由于承包人的原因，未能按项目进度计划完成工作，承包人应采取措施加快进度，并承担加快进度所增加的费用。</w:t>
      </w:r>
    </w:p>
    <w:p w14:paraId="201BCC2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发包人有权从工程进度款、竣工结算款或约定提交的履约担保中扣除相当于逾期竣工违约金的金额。</w:t>
      </w:r>
    </w:p>
    <w:p w14:paraId="10BA73EE">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77" w:name="_Ref4770872"/>
      <w:bookmarkStart w:id="1778" w:name="_Toc18520"/>
      <w:bookmarkStart w:id="1779" w:name="_Toc10873"/>
      <w:r>
        <w:rPr>
          <w:rFonts w:hint="eastAsia" w:asciiTheme="minorEastAsia" w:hAnsiTheme="minorEastAsia" w:eastAsiaTheme="minorEastAsia" w:cstheme="minorEastAsia"/>
          <w:sz w:val="28"/>
          <w:szCs w:val="28"/>
        </w:rPr>
        <w:t>8.7.3 行政审批迟延</w:t>
      </w:r>
      <w:bookmarkEnd w:id="1777"/>
      <w:bookmarkEnd w:id="1778"/>
      <w:bookmarkEnd w:id="1779"/>
      <w:r>
        <w:rPr>
          <w:rFonts w:hint="eastAsia" w:asciiTheme="minorEastAsia" w:hAnsiTheme="minorEastAsia" w:eastAsiaTheme="minorEastAsia" w:cstheme="minorEastAsia"/>
          <w:sz w:val="28"/>
          <w:szCs w:val="28"/>
        </w:rPr>
        <w:t xml:space="preserve"> </w:t>
      </w:r>
    </w:p>
    <w:p w14:paraId="1045F125">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333FCDA7">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80" w:name="_Toc10998"/>
      <w:bookmarkStart w:id="1781" w:name="_Toc17960"/>
      <w:bookmarkStart w:id="1782" w:name="_Ref4770933"/>
      <w:r>
        <w:rPr>
          <w:rFonts w:hint="eastAsia" w:asciiTheme="minorEastAsia" w:hAnsiTheme="minorEastAsia" w:eastAsiaTheme="minorEastAsia" w:cstheme="minorEastAsia"/>
          <w:sz w:val="28"/>
          <w:szCs w:val="28"/>
        </w:rPr>
        <w:t>8.7.4 异常恶劣的气候条件</w:t>
      </w:r>
      <w:bookmarkEnd w:id="1780"/>
      <w:bookmarkEnd w:id="1781"/>
      <w:bookmarkEnd w:id="1782"/>
    </w:p>
    <w:p w14:paraId="3BA5E96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6B871BE0">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12DE6B79">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83" w:name="_Ref4781828"/>
      <w:bookmarkStart w:id="1784" w:name="_Toc5184"/>
      <w:bookmarkStart w:id="1785" w:name="_Toc17878"/>
      <w:bookmarkStart w:id="1786" w:name="_Toc3917"/>
      <w:r>
        <w:rPr>
          <w:rFonts w:hint="eastAsia" w:asciiTheme="minorEastAsia" w:hAnsiTheme="minorEastAsia" w:eastAsiaTheme="minorEastAsia" w:cstheme="minorEastAsia"/>
          <w:b w:val="0"/>
          <w:bCs/>
          <w:sz w:val="28"/>
          <w:szCs w:val="28"/>
        </w:rPr>
        <w:t>8.8 工期提前</w:t>
      </w:r>
      <w:bookmarkEnd w:id="1769"/>
      <w:bookmarkEnd w:id="1770"/>
      <w:bookmarkEnd w:id="1783"/>
      <w:bookmarkEnd w:id="1784"/>
      <w:bookmarkEnd w:id="1785"/>
      <w:bookmarkEnd w:id="1786"/>
    </w:p>
    <w:p w14:paraId="7F3D77A4">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87" w:name="_Toc5391"/>
      <w:bookmarkStart w:id="1788" w:name="_Toc12064"/>
      <w:r>
        <w:rPr>
          <w:rFonts w:hint="eastAsia" w:asciiTheme="minorEastAsia" w:hAnsiTheme="minorEastAsia" w:eastAsiaTheme="minorEastAsia" w:cstheme="minorEastAsia"/>
          <w:sz w:val="28"/>
          <w:szCs w:val="28"/>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bookmarkEnd w:id="1787"/>
      <w:bookmarkEnd w:id="1788"/>
    </w:p>
    <w:p w14:paraId="27C93860">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89" w:name="_Toc9579"/>
      <w:bookmarkStart w:id="1790" w:name="_Toc22706"/>
      <w:bookmarkStart w:id="1791" w:name="_Ref4429347"/>
      <w:r>
        <w:rPr>
          <w:rFonts w:hint="eastAsia" w:asciiTheme="minorEastAsia" w:hAnsiTheme="minorEastAsia" w:eastAsiaTheme="minorEastAsia" w:cstheme="minorEastAsia"/>
          <w:sz w:val="28"/>
          <w:szCs w:val="28"/>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1789"/>
      <w:bookmarkEnd w:id="1790"/>
      <w:bookmarkEnd w:id="1791"/>
    </w:p>
    <w:p w14:paraId="576DE9ED">
      <w:pPr>
        <w:pStyle w:val="143"/>
        <w:keepNext w:val="0"/>
        <w:keepLines w:val="0"/>
        <w:pageBreakBefore w:val="0"/>
        <w:widowControl/>
        <w:numPr>
          <w:ilvl w:val="0"/>
          <w:numId w:val="0"/>
        </w:numPr>
        <w:kinsoku/>
        <w:wordWrap/>
        <w:overflowPunct/>
        <w:topLinePunct w:val="0"/>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792" w:name="_Toc32739"/>
      <w:bookmarkStart w:id="1793" w:name="_Ref4615031"/>
      <w:bookmarkStart w:id="1794" w:name="_Toc12830"/>
      <w:bookmarkStart w:id="1795" w:name="_Toc26077"/>
      <w:bookmarkStart w:id="1796" w:name="_Ref4615040"/>
      <w:r>
        <w:rPr>
          <w:rFonts w:hint="eastAsia" w:asciiTheme="minorEastAsia" w:hAnsiTheme="minorEastAsia" w:eastAsiaTheme="minorEastAsia" w:cstheme="minorEastAsia"/>
          <w:b w:val="0"/>
          <w:bCs/>
          <w:sz w:val="28"/>
          <w:szCs w:val="28"/>
        </w:rPr>
        <w:t>8.9 暂停工作</w:t>
      </w:r>
      <w:bookmarkEnd w:id="1792"/>
      <w:bookmarkEnd w:id="1793"/>
      <w:bookmarkEnd w:id="1794"/>
      <w:bookmarkEnd w:id="1795"/>
      <w:bookmarkEnd w:id="1796"/>
      <w:r>
        <w:rPr>
          <w:rFonts w:hint="eastAsia" w:asciiTheme="minorEastAsia" w:hAnsiTheme="minorEastAsia" w:eastAsiaTheme="minorEastAsia" w:cstheme="minorEastAsia"/>
          <w:b w:val="0"/>
          <w:bCs/>
          <w:sz w:val="28"/>
          <w:szCs w:val="28"/>
        </w:rPr>
        <w:t xml:space="preserve"> </w:t>
      </w:r>
    </w:p>
    <w:p w14:paraId="4902CB5E">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797" w:name="_Ref4709151"/>
      <w:bookmarkStart w:id="1798" w:name="_Toc20512"/>
      <w:bookmarkStart w:id="1799" w:name="_Toc15493"/>
      <w:r>
        <w:rPr>
          <w:rFonts w:hint="eastAsia" w:asciiTheme="minorEastAsia" w:hAnsiTheme="minorEastAsia" w:eastAsiaTheme="minorEastAsia" w:cstheme="minorEastAsia"/>
          <w:sz w:val="28"/>
          <w:szCs w:val="28"/>
        </w:rPr>
        <w:t>8.9.1 由发包人暂停工作</w:t>
      </w:r>
      <w:bookmarkEnd w:id="1797"/>
      <w:bookmarkEnd w:id="1798"/>
      <w:bookmarkEnd w:id="1799"/>
    </w:p>
    <w:p w14:paraId="665E7CF8">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发包人认为必要时，可通过工程师向承包人发出经发包人签认的暂停工作通知，应列明暂停原因、暂停的日期及预计暂停的期限。承包人应按该通知暂停工作。</w:t>
      </w:r>
      <w:bookmarkStart w:id="1800" w:name="_Ref4709233"/>
    </w:p>
    <w:p w14:paraId="6544E371">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承包人因执行暂停工作通知而造成费用的增加和（或）工期延误由发包人承担，并有权要求发包人支付合理利润，但</w:t>
      </w:r>
      <w:bookmarkEnd w:id="1800"/>
      <w:r>
        <w:rPr>
          <w:rFonts w:hint="eastAsia" w:asciiTheme="minorEastAsia" w:hAnsiTheme="minorEastAsia" w:eastAsiaTheme="minorEastAsia" w:cstheme="minorEastAsia"/>
          <w:sz w:val="28"/>
          <w:szCs w:val="28"/>
        </w:rPr>
        <w:t>由于承包人原因造成发包人暂停工作的除外。</w:t>
      </w:r>
    </w:p>
    <w:p w14:paraId="41876470">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801" w:name="_Toc5739"/>
      <w:bookmarkStart w:id="1802" w:name="_Toc12601"/>
      <w:bookmarkStart w:id="1803" w:name="_Ref18972173"/>
      <w:r>
        <w:rPr>
          <w:rFonts w:hint="eastAsia" w:asciiTheme="minorEastAsia" w:hAnsiTheme="minorEastAsia" w:eastAsiaTheme="minorEastAsia" w:cstheme="minorEastAsia"/>
          <w:sz w:val="28"/>
          <w:szCs w:val="28"/>
        </w:rPr>
        <w:t>8.9.2 由承包人暂停工作</w:t>
      </w:r>
      <w:bookmarkEnd w:id="1801"/>
      <w:bookmarkEnd w:id="1802"/>
      <w:bookmarkEnd w:id="1803"/>
      <w:r>
        <w:rPr>
          <w:rFonts w:hint="eastAsia" w:asciiTheme="minorEastAsia" w:hAnsiTheme="minorEastAsia" w:eastAsiaTheme="minorEastAsia" w:cstheme="minorEastAsia"/>
          <w:sz w:val="28"/>
          <w:szCs w:val="28"/>
        </w:rPr>
        <w:t xml:space="preserve"> </w:t>
      </w:r>
    </w:p>
    <w:p w14:paraId="4A7B77AE">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2CF7B517">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46D39C59">
      <w:pPr>
        <w:keepNext w:val="0"/>
        <w:keepLines w:val="0"/>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bookmarkStart w:id="1804" w:name="_Ref4709224"/>
      <w:r>
        <w:rPr>
          <w:rFonts w:hint="eastAsia" w:asciiTheme="minorEastAsia" w:hAnsiTheme="minorEastAsia" w:eastAsiaTheme="minorEastAsia" w:cstheme="minorEastAsia"/>
          <w:sz w:val="28"/>
          <w:szCs w:val="28"/>
        </w:rPr>
        <w:t>（1） 发包人拖延、拒绝批准付款申请和支付证书，或未能按合同约定支付价款，导致付款延误的；</w:t>
      </w:r>
      <w:bookmarkEnd w:id="1804"/>
    </w:p>
    <w:p w14:paraId="55FF0AF1">
      <w:pPr>
        <w:wordWrap/>
        <w:topLinePunct w:val="0"/>
        <w:ind w:firstLine="6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发包人未按约定履行合同其他义务导致承包人无法继续履行合同的，或者发包人明确表示暂停或实质上已暂停履行合同的。</w:t>
      </w:r>
    </w:p>
    <w:p w14:paraId="73BB4C30">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805" w:name="_Toc15753"/>
      <w:bookmarkStart w:id="1806" w:name="_Toc28352"/>
      <w:r>
        <w:rPr>
          <w:rFonts w:hint="eastAsia" w:asciiTheme="minorEastAsia" w:hAnsiTheme="minorEastAsia" w:eastAsiaTheme="minorEastAsia" w:cstheme="minorEastAsia"/>
          <w:sz w:val="28"/>
          <w:szCs w:val="28"/>
        </w:rPr>
        <w:t>8.9.3 除上述原因以外的暂停工作，双方应遵守第17条[不可抗力]的相关约定。</w:t>
      </w:r>
      <w:bookmarkEnd w:id="1805"/>
      <w:bookmarkEnd w:id="1806"/>
    </w:p>
    <w:p w14:paraId="20373B44">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807" w:name="_Toc7457"/>
      <w:bookmarkStart w:id="1808" w:name="_Ref4709158"/>
      <w:bookmarkStart w:id="1809" w:name="_Toc15668"/>
      <w:r>
        <w:rPr>
          <w:rFonts w:hint="eastAsia" w:asciiTheme="minorEastAsia" w:hAnsiTheme="minorEastAsia" w:eastAsiaTheme="minorEastAsia" w:cstheme="minorEastAsia"/>
          <w:sz w:val="28"/>
          <w:szCs w:val="28"/>
        </w:rPr>
        <w:t>8.9.4 暂停工作期间的工程照管</w:t>
      </w:r>
      <w:bookmarkEnd w:id="1807"/>
      <w:bookmarkEnd w:id="1808"/>
      <w:bookmarkEnd w:id="1809"/>
      <w:r>
        <w:rPr>
          <w:rFonts w:hint="eastAsia" w:asciiTheme="minorEastAsia" w:hAnsiTheme="minorEastAsia" w:eastAsiaTheme="minorEastAsia" w:cstheme="minorEastAsia"/>
          <w:sz w:val="28"/>
          <w:szCs w:val="28"/>
        </w:rPr>
        <w:t xml:space="preserve"> </w:t>
      </w:r>
    </w:p>
    <w:p w14:paraId="4FD175D0">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7924C69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因承包人未能尽到照管、保护的责任造成损失的，使发包人的费用增加，（或）竣工日期延误的，由承包人按本合同约定承担责任。</w:t>
      </w:r>
    </w:p>
    <w:p w14:paraId="741E7446">
      <w:pPr>
        <w:pStyle w:val="144"/>
        <w:keepNext w:val="0"/>
        <w:keepLines w:val="0"/>
        <w:pageBreakBefore w:val="0"/>
        <w:numPr>
          <w:ilvl w:val="0"/>
          <w:numId w:val="0"/>
        </w:numPr>
        <w:kinsoku/>
        <w:wordWrap/>
        <w:overflowPunct/>
        <w:topLinePunct w:val="0"/>
        <w:autoSpaceDE/>
        <w:autoSpaceDN/>
        <w:bidi w:val="0"/>
        <w:spacing w:line="360" w:lineRule="auto"/>
        <w:textAlignment w:val="auto"/>
        <w:outlineLvl w:val="4"/>
        <w:rPr>
          <w:rFonts w:hint="eastAsia" w:asciiTheme="minorEastAsia" w:hAnsiTheme="minorEastAsia" w:eastAsiaTheme="minorEastAsia" w:cstheme="minorEastAsia"/>
          <w:sz w:val="28"/>
          <w:szCs w:val="28"/>
        </w:rPr>
      </w:pPr>
      <w:bookmarkStart w:id="1810" w:name="_Toc209"/>
      <w:bookmarkStart w:id="1811" w:name="_Toc25810"/>
      <w:r>
        <w:rPr>
          <w:rFonts w:hint="eastAsia" w:asciiTheme="minorEastAsia" w:hAnsiTheme="minorEastAsia" w:eastAsiaTheme="minorEastAsia" w:cstheme="minorEastAsia"/>
          <w:sz w:val="28"/>
          <w:szCs w:val="28"/>
        </w:rPr>
        <w:t>8.9.5 拖长的暂停</w:t>
      </w:r>
      <w:bookmarkEnd w:id="1810"/>
      <w:bookmarkEnd w:id="1811"/>
    </w:p>
    <w:p w14:paraId="1D9CA864">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0F91CAA5">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812" w:name="_Toc10505"/>
      <w:bookmarkStart w:id="1813" w:name="_Toc6631"/>
      <w:bookmarkStart w:id="1814" w:name="_Toc24127"/>
      <w:r>
        <w:rPr>
          <w:rFonts w:hint="eastAsia" w:asciiTheme="minorEastAsia" w:hAnsiTheme="minorEastAsia" w:eastAsiaTheme="minorEastAsia" w:cstheme="minorEastAsia"/>
          <w:b w:val="0"/>
          <w:bCs/>
          <w:sz w:val="28"/>
          <w:szCs w:val="28"/>
        </w:rPr>
        <w:t>8.10 复工</w:t>
      </w:r>
      <w:bookmarkEnd w:id="1812"/>
      <w:bookmarkEnd w:id="1813"/>
      <w:bookmarkEnd w:id="1814"/>
      <w:r>
        <w:rPr>
          <w:rFonts w:hint="eastAsia" w:asciiTheme="minorEastAsia" w:hAnsiTheme="minorEastAsia" w:eastAsiaTheme="minorEastAsia" w:cstheme="minorEastAsia"/>
          <w:b w:val="0"/>
          <w:bCs/>
          <w:sz w:val="28"/>
          <w:szCs w:val="28"/>
        </w:rPr>
        <w:t xml:space="preserve"> </w:t>
      </w:r>
    </w:p>
    <w:p w14:paraId="403AAF2D">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15" w:name="_Toc24155"/>
      <w:bookmarkStart w:id="1816" w:name="_Toc28072"/>
      <w:r>
        <w:rPr>
          <w:rFonts w:hint="eastAsia" w:asciiTheme="minorEastAsia" w:hAnsiTheme="minorEastAsia" w:eastAsiaTheme="minorEastAsia" w:cstheme="minorEastAsia"/>
          <w:sz w:val="28"/>
          <w:szCs w:val="28"/>
        </w:rPr>
        <w:t>8.10.1 收到发包人的复工通知后，承包人应按通知时间复工；发包人通知的复工时间应当给予承包人必要的准备复工时间。</w:t>
      </w:r>
      <w:bookmarkEnd w:id="1815"/>
      <w:bookmarkEnd w:id="1816"/>
    </w:p>
    <w:p w14:paraId="2BC8C750">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17" w:name="_Toc24305"/>
      <w:bookmarkStart w:id="1818" w:name="_Toc17599"/>
      <w:r>
        <w:rPr>
          <w:rFonts w:hint="eastAsia" w:asciiTheme="minorEastAsia" w:hAnsiTheme="minorEastAsia" w:eastAsiaTheme="minorEastAsia" w:cstheme="minorEastAsia"/>
          <w:sz w:val="28"/>
          <w:szCs w:val="28"/>
        </w:rPr>
        <w:t>8.10.2 不论由于何种原因引起暂停工作，双方均可要求对方一同对受暂停影响的工程、工程设备和工程物资进行检查，承包人应将检查结果及需要恢复、修复的内容和估算通知发包人。</w:t>
      </w:r>
      <w:bookmarkEnd w:id="1817"/>
      <w:bookmarkEnd w:id="1818"/>
    </w:p>
    <w:p w14:paraId="2A34C0BF">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19" w:name="_Toc31283"/>
      <w:bookmarkStart w:id="1820" w:name="_Toc18494"/>
      <w:r>
        <w:rPr>
          <w:rFonts w:hint="eastAsia" w:asciiTheme="minorEastAsia" w:hAnsiTheme="minorEastAsia" w:eastAsiaTheme="minorEastAsia" w:cstheme="minorEastAsia"/>
          <w:sz w:val="28"/>
          <w:szCs w:val="28"/>
        </w:rPr>
        <w:t>8.10.3 除第17条[不可抗力]另有约定外，发生的恢复、修复价款及工期延误的后果由责任方承担。</w:t>
      </w:r>
      <w:bookmarkEnd w:id="1819"/>
      <w:bookmarkEnd w:id="1820"/>
    </w:p>
    <w:p w14:paraId="688B0A9B">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821" w:name="_Ref4621029"/>
      <w:bookmarkStart w:id="1822" w:name="_Toc9501"/>
      <w:bookmarkStart w:id="1823" w:name="_Ref4621041"/>
      <w:bookmarkStart w:id="1824" w:name="_Toc26716"/>
      <w:bookmarkStart w:id="1825" w:name="_Toc28108"/>
      <w:bookmarkStart w:id="1826" w:name="_Toc2465"/>
      <w:bookmarkStart w:id="1827" w:name="_Toc23575"/>
      <w:r>
        <w:rPr>
          <w:rFonts w:hint="eastAsia" w:asciiTheme="minorEastAsia" w:hAnsiTheme="minorEastAsia" w:eastAsiaTheme="minorEastAsia" w:cstheme="minorEastAsia"/>
          <w:b w:val="0"/>
          <w:bCs/>
          <w:sz w:val="28"/>
          <w:szCs w:val="28"/>
        </w:rPr>
        <w:t>第9条 竣工试验</w:t>
      </w:r>
      <w:bookmarkEnd w:id="1687"/>
      <w:bookmarkEnd w:id="1821"/>
      <w:bookmarkEnd w:id="1822"/>
      <w:bookmarkEnd w:id="1823"/>
      <w:bookmarkEnd w:id="1824"/>
      <w:bookmarkEnd w:id="1825"/>
      <w:bookmarkEnd w:id="1826"/>
      <w:bookmarkEnd w:id="1827"/>
      <w:r>
        <w:rPr>
          <w:rFonts w:hint="eastAsia" w:asciiTheme="minorEastAsia" w:hAnsiTheme="minorEastAsia" w:eastAsiaTheme="minorEastAsia" w:cstheme="minorEastAsia"/>
          <w:b w:val="0"/>
          <w:bCs/>
          <w:sz w:val="28"/>
          <w:szCs w:val="28"/>
        </w:rPr>
        <w:t xml:space="preserve"> </w:t>
      </w:r>
    </w:p>
    <w:p w14:paraId="6146325B">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828" w:name="_Toc27687"/>
      <w:bookmarkStart w:id="1829" w:name="_Toc12244"/>
      <w:bookmarkStart w:id="1830" w:name="_Toc30298"/>
      <w:bookmarkStart w:id="1831" w:name="_Ref532586251"/>
      <w:bookmarkStart w:id="1832" w:name="_Ref532586248"/>
      <w:r>
        <w:rPr>
          <w:rFonts w:hint="eastAsia" w:asciiTheme="minorEastAsia" w:hAnsiTheme="minorEastAsia" w:eastAsiaTheme="minorEastAsia" w:cstheme="minorEastAsia"/>
          <w:b w:val="0"/>
          <w:bCs/>
          <w:sz w:val="28"/>
          <w:szCs w:val="28"/>
        </w:rPr>
        <w:t>9.1 竣工试验的义务</w:t>
      </w:r>
      <w:bookmarkEnd w:id="1828"/>
      <w:bookmarkEnd w:id="1829"/>
      <w:bookmarkEnd w:id="1830"/>
      <w:bookmarkEnd w:id="1831"/>
      <w:bookmarkEnd w:id="1832"/>
    </w:p>
    <w:p w14:paraId="3F356714">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33" w:name="_Toc29825"/>
      <w:bookmarkStart w:id="1834" w:name="_Toc29074"/>
      <w:r>
        <w:rPr>
          <w:rFonts w:hint="eastAsia" w:asciiTheme="minorEastAsia" w:hAnsiTheme="minorEastAsia" w:eastAsiaTheme="minorEastAsia" w:cstheme="minorEastAsia"/>
          <w:sz w:val="28"/>
          <w:szCs w:val="28"/>
        </w:rPr>
        <w:t>9.1.1 承包人完成工程或区段工程进行竣工试验所需的作业，并根据第5.4款[竣工文件]和第5.5款[操作和维修手册]提交文件后，进行竣工试验。</w:t>
      </w:r>
      <w:bookmarkEnd w:id="1833"/>
      <w:bookmarkEnd w:id="1834"/>
      <w:bookmarkStart w:id="1835" w:name="_Ref532586608"/>
    </w:p>
    <w:p w14:paraId="552FEB74">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36" w:name="_Ref11919920"/>
      <w:bookmarkStart w:id="1837" w:name="_Toc31755"/>
      <w:bookmarkStart w:id="1838" w:name="_Toc26660"/>
      <w:r>
        <w:rPr>
          <w:rFonts w:hint="eastAsia" w:asciiTheme="minorEastAsia" w:hAnsiTheme="minorEastAsia" w:eastAsiaTheme="minorEastAsia" w:cstheme="minorEastAsia"/>
          <w:sz w:val="28"/>
          <w:szCs w:val="28"/>
        </w:rPr>
        <w:t>9.1.2 承包人应在进行竣工试验之前，至少提前42天向工程师提交详细的竣工试验计划，该计划应载明竣工试验的内容、地点、拟开展时间和需要发包人提供的资源条件。</w:t>
      </w:r>
      <w:bookmarkEnd w:id="1835"/>
      <w:r>
        <w:rPr>
          <w:rFonts w:hint="eastAsia" w:asciiTheme="minorEastAsia" w:hAnsiTheme="minorEastAsia" w:eastAsiaTheme="minorEastAsia" w:cstheme="minorEastAsia"/>
          <w:sz w:val="28"/>
          <w:szCs w:val="28"/>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836"/>
      <w:bookmarkEnd w:id="1837"/>
      <w:bookmarkEnd w:id="1838"/>
    </w:p>
    <w:p w14:paraId="3740818F">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39" w:name="_Toc26467"/>
      <w:bookmarkStart w:id="1840" w:name="_Toc14307"/>
      <w:bookmarkStart w:id="1841" w:name="_Ref532688147"/>
      <w:r>
        <w:rPr>
          <w:rFonts w:hint="eastAsia" w:asciiTheme="minorEastAsia" w:hAnsiTheme="minorEastAsia" w:eastAsiaTheme="minorEastAsia" w:cstheme="minorEastAsia"/>
          <w:sz w:val="28"/>
          <w:szCs w:val="28"/>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1839"/>
      <w:bookmarkEnd w:id="1840"/>
      <w:bookmarkEnd w:id="1841"/>
    </w:p>
    <w:p w14:paraId="42809707">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承包人进行启动前试验，包括适当的检查和功能性试验，以证明工程或区段工程的每一部分均能够安全地承受下一阶段试验；</w:t>
      </w:r>
    </w:p>
    <w:p w14:paraId="49C8D45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承包人进行启动试验，以证明工程或区段工程能够在所有可利用的操作条件下安全运行，并按照专用合同条件和《发包人要求》中的规定操作；</w:t>
      </w:r>
    </w:p>
    <w:p w14:paraId="39EA98C4">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承包人进行试运行试验。当工程或区段工程能稳定安全运行时，承包人应通知工程师，可以进行其他竣工试验，包括各种性能测试，以证明工程或区段工程符合《发包人要求》中列明的性能保证指标。</w:t>
      </w:r>
    </w:p>
    <w:p w14:paraId="51971AF6">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进行上述试验不应构成第10条[验收和工程接收]规定的接收，但试验所产生的任何产品或其他收益均应归属于发包人。</w:t>
      </w:r>
    </w:p>
    <w:p w14:paraId="3BCBD885">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42" w:name="_Toc10722"/>
      <w:bookmarkStart w:id="1843" w:name="_Toc13382"/>
      <w:r>
        <w:rPr>
          <w:rFonts w:hint="eastAsia" w:asciiTheme="minorEastAsia" w:hAnsiTheme="minorEastAsia" w:eastAsiaTheme="minorEastAsia" w:cstheme="minorEastAsia"/>
          <w:sz w:val="28"/>
          <w:szCs w:val="28"/>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bookmarkEnd w:id="1842"/>
      <w:bookmarkEnd w:id="1843"/>
    </w:p>
    <w:p w14:paraId="46A763BF">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844" w:name="_Toc21327"/>
      <w:bookmarkStart w:id="1845" w:name="_Toc19615"/>
      <w:bookmarkStart w:id="1846" w:name="_Toc1573"/>
      <w:r>
        <w:rPr>
          <w:rFonts w:hint="eastAsia" w:asciiTheme="minorEastAsia" w:hAnsiTheme="minorEastAsia" w:eastAsiaTheme="minorEastAsia" w:cstheme="minorEastAsia"/>
          <w:b w:val="0"/>
          <w:bCs/>
          <w:sz w:val="28"/>
          <w:szCs w:val="28"/>
        </w:rPr>
        <w:t>9.2 延误的试验</w:t>
      </w:r>
      <w:bookmarkEnd w:id="1844"/>
      <w:bookmarkEnd w:id="1845"/>
      <w:bookmarkEnd w:id="1846"/>
    </w:p>
    <w:p w14:paraId="0A6934CB">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47" w:name="_Toc25831"/>
      <w:bookmarkStart w:id="1848" w:name="_Toc3532"/>
      <w:r>
        <w:rPr>
          <w:rFonts w:hint="eastAsia" w:asciiTheme="minorEastAsia" w:hAnsiTheme="minorEastAsia" w:eastAsiaTheme="minorEastAsia" w:cstheme="minorEastAsia"/>
          <w:sz w:val="28"/>
          <w:szCs w:val="28"/>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bookmarkEnd w:id="1847"/>
      <w:bookmarkEnd w:id="1848"/>
    </w:p>
    <w:p w14:paraId="15B87165">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49" w:name="_Toc23930"/>
      <w:bookmarkStart w:id="1850" w:name="_Toc6787"/>
      <w:r>
        <w:rPr>
          <w:rFonts w:hint="eastAsia" w:asciiTheme="minorEastAsia" w:hAnsiTheme="minorEastAsia" w:eastAsiaTheme="minorEastAsia" w:cstheme="minorEastAsia"/>
          <w:sz w:val="28"/>
          <w:szCs w:val="28"/>
        </w:rPr>
        <w:t>9.2.2 承包人无正当理由延误进行竣工试验的，工程师可向其发出通知，要求其在收到通知后的21天内进行该项竣工试验。承包人应在该21天的期限内确定进行试验的日期，并至少提前7天通知工程师。</w:t>
      </w:r>
      <w:bookmarkEnd w:id="1849"/>
      <w:bookmarkEnd w:id="1850"/>
    </w:p>
    <w:p w14:paraId="2BDBDB46">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51" w:name="_Toc24365"/>
      <w:bookmarkStart w:id="1852" w:name="_Toc16008"/>
      <w:r>
        <w:rPr>
          <w:rFonts w:hint="eastAsia" w:asciiTheme="minorEastAsia" w:hAnsiTheme="minorEastAsia" w:eastAsiaTheme="minorEastAsia" w:cstheme="minorEastAsia"/>
          <w:sz w:val="28"/>
          <w:szCs w:val="28"/>
        </w:rPr>
        <w:t>9.2.3 如果承包人未在该期限内进行竣工试验，则发包人有权自行组织该项竣工试验，由此产生的合理费用由承包人承担。发包人应在试验完成后28天内向承包人发送试验结果。</w:t>
      </w:r>
      <w:bookmarkEnd w:id="1851"/>
      <w:bookmarkEnd w:id="1852"/>
    </w:p>
    <w:p w14:paraId="268895F2">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853" w:name="_Ref532594592"/>
      <w:bookmarkStart w:id="1854" w:name="_Toc27978"/>
      <w:bookmarkStart w:id="1855" w:name="_Ref532594588"/>
      <w:bookmarkStart w:id="1856" w:name="_Toc860"/>
      <w:bookmarkStart w:id="1857" w:name="_Toc32073"/>
      <w:r>
        <w:rPr>
          <w:rFonts w:hint="eastAsia" w:asciiTheme="minorEastAsia" w:hAnsiTheme="minorEastAsia" w:eastAsiaTheme="minorEastAsia" w:cstheme="minorEastAsia"/>
          <w:b w:val="0"/>
          <w:bCs/>
          <w:sz w:val="28"/>
          <w:szCs w:val="28"/>
        </w:rPr>
        <w:t>9.3 重新试验</w:t>
      </w:r>
      <w:bookmarkEnd w:id="1853"/>
      <w:bookmarkEnd w:id="1854"/>
      <w:bookmarkEnd w:id="1855"/>
      <w:bookmarkEnd w:id="1856"/>
      <w:bookmarkEnd w:id="1857"/>
      <w:r>
        <w:rPr>
          <w:rFonts w:hint="eastAsia" w:asciiTheme="minorEastAsia" w:hAnsiTheme="minorEastAsia" w:eastAsiaTheme="minorEastAsia" w:cstheme="minorEastAsia"/>
          <w:b w:val="0"/>
          <w:bCs/>
          <w:sz w:val="28"/>
          <w:szCs w:val="28"/>
        </w:rPr>
        <w:t xml:space="preserve"> </w:t>
      </w:r>
    </w:p>
    <w:p w14:paraId="03354B8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2916215D">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858" w:name="_Ref532688221"/>
      <w:bookmarkStart w:id="1859" w:name="_Toc7552"/>
      <w:bookmarkStart w:id="1860" w:name="_Ref532688226"/>
      <w:bookmarkStart w:id="1861" w:name="_Toc6411"/>
      <w:bookmarkStart w:id="1862" w:name="_Toc25571"/>
      <w:r>
        <w:rPr>
          <w:rFonts w:hint="eastAsia" w:asciiTheme="minorEastAsia" w:hAnsiTheme="minorEastAsia" w:eastAsiaTheme="minorEastAsia" w:cstheme="minorEastAsia"/>
          <w:b w:val="0"/>
          <w:bCs/>
          <w:sz w:val="28"/>
          <w:szCs w:val="28"/>
        </w:rPr>
        <w:t>9.4 未能通过竣工试验</w:t>
      </w:r>
      <w:bookmarkEnd w:id="1858"/>
      <w:bookmarkEnd w:id="1859"/>
      <w:bookmarkEnd w:id="1860"/>
      <w:bookmarkEnd w:id="1861"/>
      <w:bookmarkEnd w:id="1862"/>
    </w:p>
    <w:p w14:paraId="5E251B9C">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63" w:name="_Toc12343"/>
      <w:bookmarkStart w:id="1864" w:name="_Toc1146"/>
      <w:r>
        <w:rPr>
          <w:rFonts w:hint="eastAsia" w:asciiTheme="minorEastAsia" w:hAnsiTheme="minorEastAsia" w:eastAsiaTheme="minorEastAsia" w:cstheme="minorEastAsia"/>
          <w:sz w:val="28"/>
          <w:szCs w:val="28"/>
        </w:rPr>
        <w:t>9.4.1 因发包人原因导致竣工试验未能通过的，承包人进行竣工试验的费用由发包人承担，竣工日期相应顺延。</w:t>
      </w:r>
      <w:bookmarkEnd w:id="1863"/>
      <w:bookmarkEnd w:id="1864"/>
    </w:p>
    <w:p w14:paraId="0A1B2EBE">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65" w:name="_Toc25404"/>
      <w:bookmarkStart w:id="1866" w:name="_Toc20654"/>
      <w:r>
        <w:rPr>
          <w:rFonts w:hint="eastAsia" w:asciiTheme="minorEastAsia" w:hAnsiTheme="minorEastAsia" w:eastAsiaTheme="minorEastAsia" w:cstheme="minorEastAsia"/>
          <w:sz w:val="28"/>
          <w:szCs w:val="28"/>
        </w:rPr>
        <w:t>9.4.2 如果工程或区段工程未能通过根据第9.3款[重新试验]重新进行的竣工试验的，则：</w:t>
      </w:r>
      <w:bookmarkEnd w:id="1865"/>
      <w:bookmarkEnd w:id="1866"/>
    </w:p>
    <w:p w14:paraId="40B75F2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发包人有权要求承包人根据第6.6款[缺陷和修补]继续进行修补和改正，并根据第9.3款[重新试验]再次进行竣工试验；</w:t>
      </w:r>
    </w:p>
    <w:p w14:paraId="39CBEA0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6B89615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bookmarkStart w:id="1867" w:name="_Ref4621461"/>
      <w:r>
        <w:rPr>
          <w:rFonts w:hint="eastAsia" w:asciiTheme="minorEastAsia" w:hAnsiTheme="minorEastAsia" w:eastAsiaTheme="minorEastAsia" w:cstheme="minorEastAsia"/>
          <w:sz w:val="28"/>
          <w:szCs w:val="28"/>
        </w:rPr>
        <w:t>（3） 未能通过竣工试验，使工程或区段工程的任何主要部分丧失了生产、使用功能时，发包人有权指令承包人更换相关部分，承包人应承担因此增加的费用和误期损害赔偿责任，并赔偿发包人的相应损失</w:t>
      </w:r>
      <w:bookmarkEnd w:id="1867"/>
      <w:r>
        <w:rPr>
          <w:rFonts w:hint="eastAsia" w:asciiTheme="minorEastAsia" w:hAnsiTheme="minorEastAsia" w:eastAsiaTheme="minorEastAsia" w:cstheme="minorEastAsia"/>
          <w:sz w:val="28"/>
          <w:szCs w:val="28"/>
        </w:rPr>
        <w:t>；</w:t>
      </w:r>
    </w:p>
    <w:p w14:paraId="07698AA3">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18BF2EF6">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868" w:name="_Toc3126"/>
      <w:bookmarkStart w:id="1869" w:name="_Ref4618338"/>
      <w:bookmarkStart w:id="1870" w:name="_Ref4618348"/>
      <w:bookmarkStart w:id="1871" w:name="_Toc586"/>
      <w:bookmarkStart w:id="1872" w:name="_Toc32717"/>
      <w:bookmarkStart w:id="1873" w:name="_Toc12643"/>
      <w:bookmarkStart w:id="1874" w:name="_Toc12313"/>
      <w:bookmarkStart w:id="1875" w:name="_Ref4624043"/>
      <w:r>
        <w:rPr>
          <w:rFonts w:hint="eastAsia" w:asciiTheme="minorEastAsia" w:hAnsiTheme="minorEastAsia" w:eastAsiaTheme="minorEastAsia" w:cstheme="minorEastAsia"/>
          <w:b w:val="0"/>
          <w:bCs/>
          <w:sz w:val="28"/>
          <w:szCs w:val="28"/>
        </w:rPr>
        <w:t>第10条 验收和工程接收</w:t>
      </w:r>
      <w:bookmarkEnd w:id="1868"/>
      <w:bookmarkEnd w:id="1869"/>
      <w:bookmarkEnd w:id="1870"/>
      <w:bookmarkEnd w:id="1871"/>
      <w:bookmarkEnd w:id="1872"/>
      <w:bookmarkEnd w:id="1873"/>
      <w:bookmarkEnd w:id="1874"/>
      <w:bookmarkEnd w:id="1875"/>
    </w:p>
    <w:p w14:paraId="5F7699D3">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876" w:name="_Toc21009"/>
      <w:bookmarkStart w:id="1877" w:name="_Ref532300804"/>
      <w:bookmarkStart w:id="1878" w:name="_Toc4516"/>
      <w:bookmarkStart w:id="1879" w:name="_Ref532301199"/>
      <w:bookmarkStart w:id="1880" w:name="_Ref532300801"/>
      <w:bookmarkStart w:id="1881" w:name="_Ref532359143"/>
      <w:bookmarkStart w:id="1882" w:name="_Ref532301202"/>
      <w:bookmarkStart w:id="1883" w:name="_Ref532359152"/>
      <w:bookmarkStart w:id="1884" w:name="_Toc2099"/>
      <w:r>
        <w:rPr>
          <w:rFonts w:hint="eastAsia" w:asciiTheme="minorEastAsia" w:hAnsiTheme="minorEastAsia" w:eastAsiaTheme="minorEastAsia" w:cstheme="minorEastAsia"/>
          <w:b w:val="0"/>
          <w:bCs/>
          <w:sz w:val="28"/>
          <w:szCs w:val="28"/>
        </w:rPr>
        <w:t>10.1 竣工验收</w:t>
      </w:r>
      <w:bookmarkEnd w:id="1876"/>
      <w:bookmarkEnd w:id="1877"/>
      <w:bookmarkEnd w:id="1878"/>
      <w:bookmarkEnd w:id="1879"/>
      <w:bookmarkEnd w:id="1880"/>
      <w:bookmarkEnd w:id="1881"/>
      <w:bookmarkEnd w:id="1882"/>
      <w:bookmarkEnd w:id="1883"/>
      <w:bookmarkEnd w:id="1884"/>
    </w:p>
    <w:p w14:paraId="1CDEB6D4">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85" w:name="_Toc7022"/>
      <w:bookmarkStart w:id="1886" w:name="_Toc20399"/>
      <w:bookmarkStart w:id="1887" w:name="_Ref532628356"/>
      <w:r>
        <w:rPr>
          <w:rFonts w:hint="eastAsia" w:asciiTheme="minorEastAsia" w:hAnsiTheme="minorEastAsia" w:eastAsiaTheme="minorEastAsia" w:cstheme="minorEastAsia"/>
          <w:sz w:val="28"/>
          <w:szCs w:val="28"/>
        </w:rPr>
        <w:t>10.1.1 竣工验收条件</w:t>
      </w:r>
      <w:bookmarkEnd w:id="1885"/>
      <w:bookmarkEnd w:id="1886"/>
    </w:p>
    <w:p w14:paraId="014391B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工程具备以下条件的，承包人可以申请竣工验收：</w:t>
      </w:r>
    </w:p>
    <w:p w14:paraId="636E7C38">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12FED492">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已按合同约定编制了扫尾工作和缺陷修补工作清单以及相应实施计划；</w:t>
      </w:r>
    </w:p>
    <w:p w14:paraId="1ED08E90">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已按合同约定的内容和份数备齐竣工资料；</w:t>
      </w:r>
    </w:p>
    <w:p w14:paraId="41C66E99">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合同约定要求在竣工验收前应完成的其他工作。</w:t>
      </w:r>
    </w:p>
    <w:bookmarkEnd w:id="1887"/>
    <w:p w14:paraId="1D9796F3">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88" w:name="_Toc1877"/>
      <w:bookmarkStart w:id="1889" w:name="_Toc22838"/>
      <w:bookmarkStart w:id="1890" w:name="_Ref4429424"/>
      <w:bookmarkStart w:id="1891" w:name="_Hlk51506601"/>
      <w:r>
        <w:rPr>
          <w:rFonts w:hint="eastAsia" w:asciiTheme="minorEastAsia" w:hAnsiTheme="minorEastAsia" w:eastAsiaTheme="minorEastAsia" w:cstheme="minorEastAsia"/>
          <w:sz w:val="28"/>
          <w:szCs w:val="28"/>
        </w:rPr>
        <w:t>10.1.2 竣工验收程序</w:t>
      </w:r>
      <w:bookmarkEnd w:id="1888"/>
      <w:bookmarkEnd w:id="1889"/>
      <w:bookmarkEnd w:id="1890"/>
    </w:p>
    <w:bookmarkEnd w:id="1891"/>
    <w:p w14:paraId="45F6F5A9">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除专用合同条件另有约定外，承包人申请竣工验收的，应当按照以下程序进行：</w:t>
      </w:r>
    </w:p>
    <w:p w14:paraId="08422310">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095CB87A">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4267D008">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EA10923">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bookmarkStart w:id="1892" w:name="_Hlk51506640"/>
      <w:r>
        <w:rPr>
          <w:rFonts w:hint="eastAsia" w:asciiTheme="minorEastAsia" w:hAnsiTheme="minorEastAsia" w:eastAsiaTheme="minorEastAsia" w:cstheme="minorEastAsia"/>
          <w:sz w:val="28"/>
          <w:szCs w:val="28"/>
        </w:rPr>
        <w:t>（4） 因发包人原因，未在工程师收到承包人竣工验收申请报告之日起42天内完成竣工验收的，以承包人提交竣工验收申请报告之日作为工程实际竣工日期。</w:t>
      </w:r>
    </w:p>
    <w:bookmarkEnd w:id="1892"/>
    <w:p w14:paraId="5AB0C974">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工程未经竣工验收，发包人擅自使用的，以转移占有工程之日为实际竣工日期。</w:t>
      </w:r>
    </w:p>
    <w:p w14:paraId="05D00C57">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除专用合同条件另有约定外，发包人不按照本项和第10.4款[接收证书]约定组织竣工验收、颁发工程接收证书的，每逾期一天，应以签约合同价为基数，按照贷款市场报价利率（LPR）支付违约金。</w:t>
      </w:r>
    </w:p>
    <w:p w14:paraId="39FA8B61">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893" w:name="_Toc15738"/>
      <w:bookmarkStart w:id="1894" w:name="_Toc8321"/>
      <w:bookmarkStart w:id="1895" w:name="_Ref532301210"/>
      <w:bookmarkStart w:id="1896" w:name="_Ref532301213"/>
      <w:bookmarkStart w:id="1897" w:name="_Toc21650"/>
      <w:r>
        <w:rPr>
          <w:rFonts w:hint="eastAsia" w:asciiTheme="minorEastAsia" w:hAnsiTheme="minorEastAsia" w:eastAsiaTheme="minorEastAsia" w:cstheme="minorEastAsia"/>
          <w:b w:val="0"/>
          <w:bCs/>
          <w:sz w:val="28"/>
          <w:szCs w:val="28"/>
        </w:rPr>
        <w:t>10.2 单位/区段工程的验收</w:t>
      </w:r>
      <w:bookmarkEnd w:id="1893"/>
      <w:bookmarkEnd w:id="1894"/>
      <w:bookmarkEnd w:id="1895"/>
      <w:bookmarkEnd w:id="1896"/>
      <w:bookmarkEnd w:id="1897"/>
    </w:p>
    <w:p w14:paraId="471020E4">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898" w:name="_Toc5206"/>
      <w:bookmarkStart w:id="1899" w:name="_Toc29447"/>
      <w:r>
        <w:rPr>
          <w:rFonts w:hint="eastAsia" w:asciiTheme="minorEastAsia" w:hAnsiTheme="minorEastAsia" w:eastAsiaTheme="minorEastAsia" w:cstheme="minorEastAsia"/>
          <w:sz w:val="28"/>
          <w:szCs w:val="28"/>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bookmarkEnd w:id="1898"/>
      <w:bookmarkEnd w:id="1899"/>
    </w:p>
    <w:p w14:paraId="60935EF1">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00" w:name="_Toc15285"/>
      <w:bookmarkStart w:id="1901" w:name="_Toc30339"/>
      <w:r>
        <w:rPr>
          <w:rFonts w:hint="eastAsia" w:asciiTheme="minorEastAsia" w:hAnsiTheme="minorEastAsia" w:eastAsiaTheme="minorEastAsia" w:cstheme="minorEastAsia"/>
          <w:sz w:val="28"/>
          <w:szCs w:val="28"/>
        </w:rPr>
        <w:t>10.2.2 发包人在全部工程竣工前，使用已接收的单位/区段工程导致承包人费用增加的，发包人应承担由此增加的费用和（或）工期延误，并支付承包人合理利润。</w:t>
      </w:r>
      <w:bookmarkEnd w:id="1900"/>
      <w:bookmarkEnd w:id="1901"/>
    </w:p>
    <w:p w14:paraId="48223269">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02" w:name="_Toc14898"/>
      <w:bookmarkStart w:id="1903" w:name="_Toc29375"/>
      <w:bookmarkStart w:id="1904" w:name="_Toc24081"/>
      <w:bookmarkStart w:id="1905" w:name="_Ref4429473"/>
      <w:bookmarkStart w:id="1906" w:name="_Ref532688351"/>
      <w:bookmarkStart w:id="1907" w:name="_Ref532688354"/>
      <w:r>
        <w:rPr>
          <w:rFonts w:hint="eastAsia" w:asciiTheme="minorEastAsia" w:hAnsiTheme="minorEastAsia" w:eastAsiaTheme="minorEastAsia" w:cstheme="minorEastAsia"/>
          <w:b w:val="0"/>
          <w:bCs/>
          <w:sz w:val="28"/>
          <w:szCs w:val="28"/>
        </w:rPr>
        <w:t>10.3 工程的接收</w:t>
      </w:r>
      <w:bookmarkEnd w:id="1902"/>
      <w:bookmarkEnd w:id="1903"/>
      <w:bookmarkEnd w:id="1904"/>
    </w:p>
    <w:p w14:paraId="6C9C852E">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08" w:name="_Toc10597"/>
      <w:bookmarkStart w:id="1909" w:name="_Toc5114"/>
      <w:r>
        <w:rPr>
          <w:rFonts w:hint="eastAsia" w:asciiTheme="minorEastAsia" w:hAnsiTheme="minorEastAsia" w:eastAsiaTheme="minorEastAsia" w:cstheme="minorEastAsia"/>
          <w:sz w:val="28"/>
          <w:szCs w:val="28"/>
        </w:rPr>
        <w:t>10.3.1 根据工程项目的具体情况和特点，可按工程或单位/区段工程进行接收，并在专用合同条件约定接收的先后顺序、时间安排和其他要求。</w:t>
      </w:r>
      <w:bookmarkEnd w:id="1908"/>
      <w:bookmarkEnd w:id="1909"/>
    </w:p>
    <w:p w14:paraId="55641FF2">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10" w:name="_Toc21168"/>
      <w:bookmarkStart w:id="1911" w:name="_Toc637"/>
      <w:r>
        <w:rPr>
          <w:rFonts w:hint="eastAsia" w:asciiTheme="minorEastAsia" w:hAnsiTheme="minorEastAsia" w:eastAsiaTheme="minorEastAsia" w:cstheme="minorEastAsia"/>
          <w:sz w:val="28"/>
          <w:szCs w:val="28"/>
        </w:rPr>
        <w:t>10.3.2 除按本条约定已经提交的资料外，接收工程时承包人需提交竣工验收资料的类别、内容、份数和提交时间，在专用合同条件中约定。</w:t>
      </w:r>
      <w:bookmarkEnd w:id="1910"/>
      <w:bookmarkEnd w:id="1911"/>
    </w:p>
    <w:p w14:paraId="547D2F4E">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12" w:name="_Toc11968"/>
      <w:bookmarkStart w:id="1913" w:name="_Toc3853"/>
      <w:r>
        <w:rPr>
          <w:rFonts w:hint="eastAsia" w:asciiTheme="minorEastAsia" w:hAnsiTheme="minorEastAsia" w:eastAsiaTheme="minorEastAsia" w:cstheme="minorEastAsia"/>
          <w:sz w:val="28"/>
          <w:szCs w:val="28"/>
        </w:rPr>
        <w:t>10.3.3 发包人无正当理由不接收工程的，发包人自应当接收工程之日起，承担工程照管、成品保护、保管等与工程有关的各项费用，合同当事人可以在专用合同条件中另行约定发包人逾期接收工程的违约责任。</w:t>
      </w:r>
      <w:bookmarkEnd w:id="1912"/>
      <w:bookmarkEnd w:id="1913"/>
    </w:p>
    <w:p w14:paraId="05E69619">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14" w:name="_Toc15875"/>
      <w:bookmarkStart w:id="1915" w:name="_Toc28069"/>
      <w:r>
        <w:rPr>
          <w:rFonts w:hint="eastAsia" w:asciiTheme="minorEastAsia" w:hAnsiTheme="minorEastAsia" w:eastAsiaTheme="minorEastAsia" w:cstheme="minorEastAsia"/>
          <w:sz w:val="28"/>
          <w:szCs w:val="28"/>
        </w:rPr>
        <w:t>10.3.4 承包人无正当理由不移交工程的，承包人应承担工程照管、成品保护、保管等与工程有关的各项费用，合同当事人可以在专用合同条件中另行约定承包人无正当理由不移交工程的违约责任。</w:t>
      </w:r>
      <w:bookmarkEnd w:id="1914"/>
      <w:bookmarkEnd w:id="1915"/>
    </w:p>
    <w:p w14:paraId="0775283C">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16" w:name="_Toc9379"/>
      <w:bookmarkStart w:id="1917" w:name="_Toc7844"/>
      <w:bookmarkStart w:id="1918" w:name="_Toc19035"/>
      <w:r>
        <w:rPr>
          <w:rFonts w:hint="eastAsia" w:asciiTheme="minorEastAsia" w:hAnsiTheme="minorEastAsia" w:eastAsiaTheme="minorEastAsia" w:cstheme="minorEastAsia"/>
          <w:b w:val="0"/>
          <w:bCs/>
          <w:sz w:val="28"/>
          <w:szCs w:val="28"/>
        </w:rPr>
        <w:t>10.4 接收证书</w:t>
      </w:r>
      <w:bookmarkEnd w:id="1905"/>
      <w:bookmarkEnd w:id="1916"/>
      <w:bookmarkEnd w:id="1917"/>
      <w:bookmarkEnd w:id="1918"/>
    </w:p>
    <w:p w14:paraId="0A2020D9">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19" w:name="_Toc7637"/>
      <w:bookmarkStart w:id="1920" w:name="_Ref4429542"/>
      <w:bookmarkStart w:id="1921" w:name="_Toc12775"/>
      <w:r>
        <w:rPr>
          <w:rFonts w:hint="eastAsia" w:asciiTheme="minorEastAsia" w:hAnsiTheme="minorEastAsia" w:eastAsiaTheme="minorEastAsia" w:cstheme="minorEastAsia"/>
          <w:sz w:val="28"/>
          <w:szCs w:val="28"/>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919"/>
      <w:bookmarkEnd w:id="1920"/>
      <w:bookmarkEnd w:id="1921"/>
    </w:p>
    <w:p w14:paraId="5C9D29D8">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22" w:name="_Toc11312"/>
      <w:bookmarkStart w:id="1923" w:name="_Toc8095"/>
      <w:r>
        <w:rPr>
          <w:rFonts w:hint="eastAsia" w:asciiTheme="minorEastAsia" w:hAnsiTheme="minorEastAsia" w:eastAsiaTheme="minorEastAsia" w:cstheme="minorEastAsia"/>
          <w:sz w:val="28"/>
          <w:szCs w:val="28"/>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bookmarkEnd w:id="1922"/>
      <w:bookmarkEnd w:id="1923"/>
    </w:p>
    <w:p w14:paraId="2262BB3E">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24" w:name="_Toc19235"/>
      <w:bookmarkStart w:id="1925" w:name="_Toc22013"/>
      <w:r>
        <w:rPr>
          <w:rFonts w:hint="eastAsia" w:asciiTheme="minorEastAsia" w:hAnsiTheme="minorEastAsia" w:eastAsiaTheme="minorEastAsia" w:cstheme="minorEastAsia"/>
          <w:sz w:val="28"/>
          <w:szCs w:val="28"/>
        </w:rPr>
        <w:t>10.4.3 竣工验收合格而发包人无正当理由逾期不颁发工程接收证书的，自验收合格后第15天起视为已颁发工程接收证书。</w:t>
      </w:r>
      <w:bookmarkEnd w:id="1924"/>
      <w:bookmarkEnd w:id="1925"/>
    </w:p>
    <w:p w14:paraId="37BC571E">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26" w:name="_Toc20974"/>
      <w:bookmarkStart w:id="1927" w:name="_Toc26880"/>
      <w:r>
        <w:rPr>
          <w:rFonts w:hint="eastAsia" w:asciiTheme="minorEastAsia" w:hAnsiTheme="minorEastAsia" w:eastAsiaTheme="minorEastAsia" w:cstheme="minorEastAsia"/>
          <w:sz w:val="28"/>
          <w:szCs w:val="28"/>
        </w:rPr>
        <w:t>10.4.4 工程未经验收或验收不合格，发包人擅自使用的，应在转移占有工程后7天内向承包人颁发工程接收证书；发包人无正当理由逾期不颁发工程接收证书的，自转移占有后第15天起视为已颁发工程接收证书。</w:t>
      </w:r>
      <w:bookmarkEnd w:id="1926"/>
      <w:bookmarkEnd w:id="1927"/>
    </w:p>
    <w:p w14:paraId="0FFC5430">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28" w:name="_Toc29406"/>
      <w:bookmarkStart w:id="1929" w:name="_Toc19009"/>
      <w:r>
        <w:rPr>
          <w:rFonts w:hint="eastAsia" w:asciiTheme="minorEastAsia" w:hAnsiTheme="minorEastAsia" w:eastAsiaTheme="minorEastAsia" w:cstheme="minorEastAsia"/>
          <w:sz w:val="28"/>
          <w:szCs w:val="28"/>
        </w:rPr>
        <w:t>10.4.5 存在扫尾工作的，工程接收证书中应当将第14.5.3项[扫尾工作清单]中约定的扫尾工作清单作为工程接收证书附件。</w:t>
      </w:r>
      <w:bookmarkEnd w:id="1928"/>
      <w:bookmarkEnd w:id="1929"/>
    </w:p>
    <w:bookmarkEnd w:id="1906"/>
    <w:bookmarkEnd w:id="1907"/>
    <w:p w14:paraId="2F08374C">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30" w:name="_Toc911"/>
      <w:bookmarkStart w:id="1931" w:name="_Toc21570"/>
      <w:bookmarkStart w:id="1932" w:name="_Ref4429932"/>
      <w:bookmarkStart w:id="1933" w:name="_Ref4429935"/>
      <w:bookmarkStart w:id="1934" w:name="_Toc7384"/>
      <w:r>
        <w:rPr>
          <w:rFonts w:hint="eastAsia" w:asciiTheme="minorEastAsia" w:hAnsiTheme="minorEastAsia" w:eastAsiaTheme="minorEastAsia" w:cstheme="minorEastAsia"/>
          <w:b w:val="0"/>
          <w:bCs/>
          <w:sz w:val="28"/>
          <w:szCs w:val="28"/>
        </w:rPr>
        <w:t>10.5 竣工退场</w:t>
      </w:r>
      <w:bookmarkEnd w:id="1930"/>
      <w:bookmarkEnd w:id="1931"/>
      <w:bookmarkEnd w:id="1932"/>
      <w:bookmarkEnd w:id="1933"/>
      <w:bookmarkEnd w:id="1934"/>
    </w:p>
    <w:p w14:paraId="06880225">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35" w:name="_Toc12892"/>
      <w:bookmarkStart w:id="1936" w:name="_Ref4429943"/>
      <w:bookmarkStart w:id="1937" w:name="_Toc30464"/>
      <w:r>
        <w:rPr>
          <w:rFonts w:hint="eastAsia" w:asciiTheme="minorEastAsia" w:hAnsiTheme="minorEastAsia" w:eastAsiaTheme="minorEastAsia" w:cstheme="minorEastAsia"/>
          <w:sz w:val="28"/>
          <w:szCs w:val="28"/>
        </w:rPr>
        <w:t>10.5.1 竣工退场</w:t>
      </w:r>
      <w:bookmarkEnd w:id="1935"/>
      <w:bookmarkEnd w:id="1936"/>
      <w:bookmarkEnd w:id="1937"/>
    </w:p>
    <w:p w14:paraId="2A6E8B13">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颁发工程接收证书后，承包人应对施工现场进行清理，并撤离相关人员，使得施工现场处于以下状态，直至工程师检验合格为止：</w:t>
      </w:r>
    </w:p>
    <w:p w14:paraId="7EF6D1E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施工现场内残留的垃圾已全部清除出场；</w:t>
      </w:r>
    </w:p>
    <w:p w14:paraId="758063CD">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临时工程已拆除，场地已按合同约定进行清理、平整或复原；</w:t>
      </w:r>
    </w:p>
    <w:p w14:paraId="77B70BA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按合同约定应撤离的人员、承包人提供的施工设备和剩余的材料，包括废弃的施工设备和材料，已按计划撤离施工现场；</w:t>
      </w:r>
    </w:p>
    <w:p w14:paraId="323AD46B">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施工现场周边及其附近道路、河道的施工堆积物，已全部清理；</w:t>
      </w:r>
    </w:p>
    <w:p w14:paraId="5B1C24BF">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施工现场其他竣工退场工作已全部完成。</w:t>
      </w:r>
    </w:p>
    <w:p w14:paraId="0010C7FF">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2FE8B8F">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38" w:name="_Toc14569"/>
      <w:bookmarkStart w:id="1939" w:name="_Toc16247"/>
      <w:r>
        <w:rPr>
          <w:rFonts w:hint="eastAsia" w:asciiTheme="minorEastAsia" w:hAnsiTheme="minorEastAsia" w:eastAsiaTheme="minorEastAsia" w:cstheme="minorEastAsia"/>
          <w:sz w:val="28"/>
          <w:szCs w:val="28"/>
        </w:rPr>
        <w:t>10.5.2 地表还原</w:t>
      </w:r>
      <w:bookmarkEnd w:id="1938"/>
      <w:bookmarkEnd w:id="1939"/>
    </w:p>
    <w:p w14:paraId="0DE8D4B0">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承包人应按合同约定和工程师的要求恢复临时占地及清理场地，否则发包人有权委托其他人恢复或清理，所发生的费用由承包人承担。</w:t>
      </w:r>
    </w:p>
    <w:p w14:paraId="099E3E6A">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40" w:name="_Toc2978"/>
      <w:bookmarkStart w:id="1941" w:name="_Toc15152"/>
      <w:bookmarkStart w:id="1942" w:name="_Ref20159437"/>
      <w:r>
        <w:rPr>
          <w:rFonts w:hint="eastAsia" w:asciiTheme="minorEastAsia" w:hAnsiTheme="minorEastAsia" w:eastAsiaTheme="minorEastAsia" w:cstheme="minorEastAsia"/>
          <w:sz w:val="28"/>
          <w:szCs w:val="28"/>
        </w:rPr>
        <w:t>10.5.3 人员撤离</w:t>
      </w:r>
      <w:bookmarkEnd w:id="1940"/>
      <w:bookmarkEnd w:id="1941"/>
      <w:bookmarkEnd w:id="1942"/>
    </w:p>
    <w:p w14:paraId="4042C287">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1688"/>
    </w:p>
    <w:p w14:paraId="5C192947">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1943" w:name="_Toc21270"/>
      <w:bookmarkStart w:id="1944" w:name="_Ref4796909"/>
      <w:bookmarkStart w:id="1945" w:name="_Toc17677"/>
      <w:bookmarkStart w:id="1946" w:name="_Ref531955009"/>
      <w:bookmarkStart w:id="1947" w:name="_Ref4796906"/>
      <w:bookmarkStart w:id="1948" w:name="_Toc17860"/>
      <w:bookmarkStart w:id="1949" w:name="_Toc21643"/>
      <w:bookmarkStart w:id="1950" w:name="_Toc27981"/>
      <w:r>
        <w:rPr>
          <w:rFonts w:hint="eastAsia" w:asciiTheme="minorEastAsia" w:hAnsiTheme="minorEastAsia" w:eastAsiaTheme="minorEastAsia" w:cstheme="minorEastAsia"/>
          <w:b w:val="0"/>
          <w:bCs/>
          <w:sz w:val="28"/>
          <w:szCs w:val="28"/>
        </w:rPr>
        <w:t>第11条 缺陷责任与保修</w:t>
      </w:r>
      <w:bookmarkEnd w:id="1943"/>
      <w:bookmarkEnd w:id="1944"/>
      <w:bookmarkEnd w:id="1945"/>
      <w:bookmarkEnd w:id="1946"/>
      <w:bookmarkEnd w:id="1947"/>
      <w:bookmarkEnd w:id="1948"/>
      <w:bookmarkEnd w:id="1949"/>
      <w:bookmarkEnd w:id="1950"/>
      <w:r>
        <w:rPr>
          <w:rFonts w:hint="eastAsia" w:asciiTheme="minorEastAsia" w:hAnsiTheme="minorEastAsia" w:eastAsiaTheme="minorEastAsia" w:cstheme="minorEastAsia"/>
          <w:b w:val="0"/>
          <w:bCs/>
          <w:sz w:val="28"/>
          <w:szCs w:val="28"/>
        </w:rPr>
        <w:t xml:space="preserve"> </w:t>
      </w:r>
    </w:p>
    <w:p w14:paraId="1C25CE1E">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51" w:name="_Toc30138"/>
      <w:bookmarkStart w:id="1952" w:name="_Toc21501"/>
      <w:bookmarkStart w:id="1953" w:name="_Toc2787"/>
      <w:bookmarkStart w:id="1954" w:name="_Ref531955245"/>
      <w:bookmarkStart w:id="1955" w:name="_Ref531955248"/>
      <w:bookmarkStart w:id="1956" w:name="_Ref532362928"/>
      <w:bookmarkStart w:id="1957" w:name="_Toc296346648"/>
      <w:bookmarkStart w:id="1958" w:name="_Toc337558841"/>
      <w:bookmarkStart w:id="1959" w:name="_Toc296503147"/>
      <w:r>
        <w:rPr>
          <w:rFonts w:hint="eastAsia" w:asciiTheme="minorEastAsia" w:hAnsiTheme="minorEastAsia" w:eastAsiaTheme="minorEastAsia" w:cstheme="minorEastAsia"/>
          <w:b w:val="0"/>
          <w:bCs/>
          <w:sz w:val="28"/>
          <w:szCs w:val="28"/>
        </w:rPr>
        <w:t>11.1 工程保修的原则</w:t>
      </w:r>
      <w:bookmarkEnd w:id="1951"/>
      <w:bookmarkEnd w:id="1952"/>
      <w:bookmarkEnd w:id="1953"/>
    </w:p>
    <w:p w14:paraId="468377A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在工程移交发包人后，因承包人原因产生的质量缺陷，承包人应承担质量缺陷责任和保修义务。缺陷责任期届满，承包人仍应按合同约定的工程各部位保修年限承担保修义务。</w:t>
      </w:r>
    </w:p>
    <w:p w14:paraId="5AF46976">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60" w:name="_Toc28996"/>
      <w:bookmarkStart w:id="1961" w:name="_Ref4430062"/>
      <w:bookmarkStart w:id="1962" w:name="_Toc30711"/>
      <w:bookmarkStart w:id="1963" w:name="_Toc17136"/>
      <w:r>
        <w:rPr>
          <w:rFonts w:hint="eastAsia" w:asciiTheme="minorEastAsia" w:hAnsiTheme="minorEastAsia" w:eastAsiaTheme="minorEastAsia" w:cstheme="minorEastAsia"/>
          <w:b w:val="0"/>
          <w:bCs/>
          <w:sz w:val="28"/>
          <w:szCs w:val="28"/>
        </w:rPr>
        <w:t>11.2 缺陷责任</w:t>
      </w:r>
      <w:bookmarkEnd w:id="1954"/>
      <w:bookmarkEnd w:id="1955"/>
      <w:r>
        <w:rPr>
          <w:rFonts w:hint="eastAsia" w:asciiTheme="minorEastAsia" w:hAnsiTheme="minorEastAsia" w:eastAsiaTheme="minorEastAsia" w:cstheme="minorEastAsia"/>
          <w:b w:val="0"/>
          <w:bCs/>
          <w:sz w:val="28"/>
          <w:szCs w:val="28"/>
        </w:rPr>
        <w:t>期</w:t>
      </w:r>
      <w:bookmarkEnd w:id="1956"/>
      <w:bookmarkEnd w:id="1960"/>
      <w:bookmarkEnd w:id="1961"/>
      <w:bookmarkEnd w:id="1962"/>
      <w:bookmarkEnd w:id="1963"/>
      <w:r>
        <w:rPr>
          <w:rFonts w:hint="eastAsia" w:asciiTheme="minorEastAsia" w:hAnsiTheme="minorEastAsia" w:eastAsiaTheme="minorEastAsia" w:cstheme="minorEastAsia"/>
          <w:b w:val="0"/>
          <w:bCs/>
          <w:sz w:val="28"/>
          <w:szCs w:val="28"/>
        </w:rPr>
        <w:t xml:space="preserve"> </w:t>
      </w:r>
    </w:p>
    <w:p w14:paraId="05B2A5F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缺陷责任期原则上从工程竣工验收合格之日起计算，合同当事人应在专用合同条件约定缺陷责任期的具体期限，但该期限最长不超过24个月。</w:t>
      </w:r>
    </w:p>
    <w:p w14:paraId="557311C2">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单位/区段工程先于全部工程进行验收，经验收合格并交付使用的，该单位/区段工程缺陷责任期自单位/区段工程验收合格之日起算。因发包人原因导致工程未在合同约定期</w:t>
      </w:r>
      <w:r>
        <w:rPr>
          <w:rFonts w:hint="eastAsia" w:asciiTheme="minorEastAsia" w:hAnsiTheme="minorEastAsia" w:eastAsiaTheme="minorEastAsia" w:cstheme="minorEastAsia"/>
          <w:sz w:val="28"/>
          <w:szCs w:val="28"/>
          <w:lang w:eastAsia="zh-CN"/>
        </w:rPr>
        <w:t>限内</w:t>
      </w:r>
      <w:r>
        <w:rPr>
          <w:rFonts w:hint="eastAsia" w:asciiTheme="minorEastAsia" w:hAnsiTheme="minorEastAsia" w:eastAsiaTheme="minorEastAsia" w:cstheme="minorEastAsia"/>
          <w:sz w:val="28"/>
          <w:szCs w:val="28"/>
        </w:rPr>
        <w:t>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488710D3">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4430F9BB">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64" w:name="_Toc6489"/>
      <w:bookmarkStart w:id="1965" w:name="_Toc8861"/>
      <w:bookmarkStart w:id="1966" w:name="_Ref532662491"/>
      <w:bookmarkStart w:id="1967" w:name="_Ref532662486"/>
      <w:bookmarkStart w:id="1968" w:name="_Toc2070"/>
      <w:r>
        <w:rPr>
          <w:rFonts w:hint="eastAsia" w:asciiTheme="minorEastAsia" w:hAnsiTheme="minorEastAsia" w:eastAsiaTheme="minorEastAsia" w:cstheme="minorEastAsia"/>
          <w:b w:val="0"/>
          <w:bCs/>
          <w:sz w:val="28"/>
          <w:szCs w:val="28"/>
        </w:rPr>
        <w:t>11.3 缺陷调查</w:t>
      </w:r>
      <w:bookmarkEnd w:id="1964"/>
      <w:bookmarkEnd w:id="1965"/>
      <w:bookmarkEnd w:id="1966"/>
      <w:bookmarkEnd w:id="1967"/>
      <w:bookmarkEnd w:id="1968"/>
    </w:p>
    <w:p w14:paraId="255DD8CB">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b/>
          <w:sz w:val="28"/>
          <w:szCs w:val="28"/>
        </w:rPr>
      </w:pPr>
      <w:bookmarkStart w:id="1969" w:name="_Toc4001"/>
      <w:bookmarkStart w:id="1970" w:name="_Toc14729"/>
      <w:r>
        <w:rPr>
          <w:rFonts w:hint="eastAsia" w:asciiTheme="minorEastAsia" w:hAnsiTheme="minorEastAsia" w:eastAsiaTheme="minorEastAsia" w:cstheme="minorEastAsia"/>
          <w:sz w:val="28"/>
          <w:szCs w:val="28"/>
        </w:rPr>
        <w:t>11.3.1 承包人缺陷调查</w:t>
      </w:r>
      <w:bookmarkEnd w:id="1969"/>
      <w:bookmarkEnd w:id="1970"/>
    </w:p>
    <w:p w14:paraId="481689F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6E08BDB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46BF10F0">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71" w:name="_Toc3373"/>
      <w:bookmarkStart w:id="1972" w:name="_Toc10910"/>
      <w:r>
        <w:rPr>
          <w:rFonts w:hint="eastAsia" w:asciiTheme="minorEastAsia" w:hAnsiTheme="minorEastAsia" w:eastAsiaTheme="minorEastAsia" w:cstheme="minorEastAsia"/>
          <w:sz w:val="28"/>
          <w:szCs w:val="28"/>
        </w:rPr>
        <w:t>11.3.2 缺陷责任</w:t>
      </w:r>
      <w:bookmarkEnd w:id="1971"/>
      <w:bookmarkEnd w:id="1972"/>
    </w:p>
    <w:p w14:paraId="2BBBDC27">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704035BE">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73" w:name="_Toc12140"/>
      <w:bookmarkStart w:id="1974" w:name="_Toc28356"/>
      <w:r>
        <w:rPr>
          <w:rFonts w:hint="eastAsia" w:asciiTheme="minorEastAsia" w:hAnsiTheme="minorEastAsia" w:eastAsiaTheme="minorEastAsia" w:cstheme="minorEastAsia"/>
          <w:sz w:val="28"/>
          <w:szCs w:val="28"/>
        </w:rPr>
        <w:t>11.3.3 修复费用</w:t>
      </w:r>
      <w:bookmarkEnd w:id="1973"/>
      <w:bookmarkEnd w:id="1974"/>
    </w:p>
    <w:p w14:paraId="5FF769B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发包人和承包人应共同查清缺陷或损坏的原因。经查明属承包人原因造成的，应由承包人承担修复的费用。经查验非承包人原因造成的，发包人应承担修复的费用，并支付承包人合理利润。</w:t>
      </w:r>
    </w:p>
    <w:p w14:paraId="04FE36C8">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75" w:name="_Ref531955041"/>
      <w:bookmarkStart w:id="1976" w:name="_Toc12729"/>
      <w:bookmarkStart w:id="1977" w:name="_Toc29015"/>
      <w:r>
        <w:rPr>
          <w:rFonts w:hint="eastAsia" w:asciiTheme="minorEastAsia" w:hAnsiTheme="minorEastAsia" w:eastAsiaTheme="minorEastAsia" w:cstheme="minorEastAsia"/>
          <w:sz w:val="28"/>
          <w:szCs w:val="28"/>
        </w:rPr>
        <w:t>11.3.4 修复通知</w:t>
      </w:r>
      <w:bookmarkEnd w:id="1975"/>
      <w:bookmarkEnd w:id="1976"/>
      <w:bookmarkEnd w:id="1977"/>
    </w:p>
    <w:p w14:paraId="2C1A5B6E">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19336CFA">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78" w:name="_Toc681"/>
      <w:bookmarkStart w:id="1979" w:name="_Toc31996"/>
      <w:r>
        <w:rPr>
          <w:rFonts w:hint="eastAsia" w:asciiTheme="minorEastAsia" w:hAnsiTheme="minorEastAsia" w:eastAsiaTheme="minorEastAsia" w:cstheme="minorEastAsia"/>
          <w:sz w:val="28"/>
          <w:szCs w:val="28"/>
        </w:rPr>
        <w:t>11.3.5 在现场外修复</w:t>
      </w:r>
      <w:bookmarkEnd w:id="1978"/>
      <w:bookmarkEnd w:id="1979"/>
    </w:p>
    <w:p w14:paraId="77AAB10B">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55D9EC70">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1980" w:name="_Toc24221"/>
      <w:bookmarkStart w:id="1981" w:name="_Ref4534291"/>
      <w:bookmarkStart w:id="1982" w:name="_Toc3967"/>
      <w:bookmarkStart w:id="1983" w:name="_Hlk51506786"/>
      <w:r>
        <w:rPr>
          <w:rFonts w:hint="eastAsia" w:asciiTheme="minorEastAsia" w:hAnsiTheme="minorEastAsia" w:eastAsiaTheme="minorEastAsia" w:cstheme="minorEastAsia"/>
          <w:sz w:val="28"/>
          <w:szCs w:val="28"/>
        </w:rPr>
        <w:t>11.3.6 未能修复</w:t>
      </w:r>
      <w:bookmarkEnd w:id="1980"/>
      <w:bookmarkEnd w:id="1981"/>
      <w:bookmarkEnd w:id="1982"/>
    </w:p>
    <w:bookmarkEnd w:id="1983"/>
    <w:p w14:paraId="548AC10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造成工程的缺陷或损坏，承包人拒绝维修或未能在合理期限内修复缺陷或损坏，经发包人书面催告后仍未修复的，发包人有权自行修复或委托第三方修复，所需费用由承包人承担。但修复范围超出缺陷或损坏范围的，超出范围部分的修复费用由发包人承担。</w:t>
      </w:r>
    </w:p>
    <w:p w14:paraId="30B5806D">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如果工程或工程设备的缺陷或损害使发包人实质上失去了工程的整体功能，发包人有权向承包人追回已支付的工程款项，并要求其赔偿发包人相应损失。</w:t>
      </w:r>
    </w:p>
    <w:bookmarkEnd w:id="1957"/>
    <w:bookmarkEnd w:id="1958"/>
    <w:bookmarkEnd w:id="1959"/>
    <w:p w14:paraId="090DB6BF">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84" w:name="_Ref532662552"/>
      <w:bookmarkStart w:id="1985" w:name="_Toc12281"/>
      <w:bookmarkStart w:id="1986" w:name="_Ref532662554"/>
      <w:bookmarkStart w:id="1987" w:name="_Toc5238"/>
      <w:bookmarkStart w:id="1988" w:name="_Toc28823"/>
      <w:r>
        <w:rPr>
          <w:rFonts w:hint="eastAsia" w:asciiTheme="minorEastAsia" w:hAnsiTheme="minorEastAsia" w:eastAsiaTheme="minorEastAsia" w:cstheme="minorEastAsia"/>
          <w:b w:val="0"/>
          <w:bCs/>
          <w:sz w:val="28"/>
          <w:szCs w:val="28"/>
        </w:rPr>
        <w:t>11.4 缺陷修复后的进一步试验</w:t>
      </w:r>
      <w:bookmarkEnd w:id="1984"/>
      <w:bookmarkEnd w:id="1985"/>
      <w:bookmarkEnd w:id="1986"/>
      <w:bookmarkEnd w:id="1987"/>
      <w:bookmarkEnd w:id="1988"/>
    </w:p>
    <w:p w14:paraId="5590838F">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0781693E">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所有的重复试验应按照适用于先前试验的条款进行，但应由责任方承担修补工作的成本和重新试验的风险和费用。</w:t>
      </w:r>
    </w:p>
    <w:p w14:paraId="5908193F">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89" w:name="_Toc17368"/>
      <w:bookmarkStart w:id="1990" w:name="_Toc3415"/>
      <w:bookmarkStart w:id="1991" w:name="_Toc23968"/>
      <w:r>
        <w:rPr>
          <w:rFonts w:hint="eastAsia" w:asciiTheme="minorEastAsia" w:hAnsiTheme="minorEastAsia" w:eastAsiaTheme="minorEastAsia" w:cstheme="minorEastAsia"/>
          <w:b w:val="0"/>
          <w:bCs/>
          <w:sz w:val="28"/>
          <w:szCs w:val="28"/>
        </w:rPr>
        <w:t>11.5 承包人出入权</w:t>
      </w:r>
      <w:bookmarkEnd w:id="1989"/>
      <w:bookmarkEnd w:id="1990"/>
      <w:bookmarkEnd w:id="1991"/>
    </w:p>
    <w:p w14:paraId="35FB3B5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缺陷责任期内，为了修复缺陷或损坏，承包人有权出入工程现场，除情况紧急必须立即修复缺陷或损坏外，承包人应提前24小时通知发包人进场修复的时间。承包人进入工程现场前应获得发包人同意，不应影响发包人正常的生产经营，并应遵守发包人有关安保和保密等规定。</w:t>
      </w:r>
    </w:p>
    <w:p w14:paraId="60B29961">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92" w:name="_Ref4430223"/>
      <w:bookmarkStart w:id="1993" w:name="_Toc30927"/>
      <w:bookmarkStart w:id="1994" w:name="_Toc3949"/>
      <w:bookmarkStart w:id="1995" w:name="_Toc9304"/>
      <w:bookmarkStart w:id="1996" w:name="_Ref4430229"/>
      <w:r>
        <w:rPr>
          <w:rFonts w:hint="eastAsia" w:asciiTheme="minorEastAsia" w:hAnsiTheme="minorEastAsia" w:eastAsiaTheme="minorEastAsia" w:cstheme="minorEastAsia"/>
          <w:b w:val="0"/>
          <w:bCs/>
          <w:sz w:val="28"/>
          <w:szCs w:val="28"/>
        </w:rPr>
        <w:t>11.6 缺陷责任期终止证书</w:t>
      </w:r>
      <w:bookmarkEnd w:id="1992"/>
      <w:bookmarkEnd w:id="1993"/>
      <w:bookmarkEnd w:id="1994"/>
      <w:bookmarkEnd w:id="1995"/>
      <w:bookmarkEnd w:id="1996"/>
    </w:p>
    <w:p w14:paraId="3136D44D">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w:t>
      </w:r>
      <w:bookmarkStart w:id="1997" w:name="_Hlk4686672"/>
      <w:r>
        <w:rPr>
          <w:rFonts w:hint="eastAsia" w:asciiTheme="minorEastAsia" w:hAnsiTheme="minorEastAsia" w:eastAsiaTheme="minorEastAsia" w:cstheme="minorEastAsia"/>
          <w:sz w:val="28"/>
          <w:szCs w:val="28"/>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1997"/>
    </w:p>
    <w:p w14:paraId="733DF201">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如根据第10.5.3项[人员撤离]承包人在施工现场还留有人员、施工设备和临时工程的，承包人应当在收到缺陷责任期终止证书后28天内，将上述人员、施工设备和临时工程撤离施工现场。</w:t>
      </w:r>
    </w:p>
    <w:p w14:paraId="3A6F852F">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1998" w:name="_Toc23484"/>
      <w:bookmarkStart w:id="1999" w:name="_Toc22215"/>
      <w:bookmarkStart w:id="2000" w:name="_Toc10169"/>
      <w:bookmarkStart w:id="2001" w:name="_Ref4430272"/>
      <w:r>
        <w:rPr>
          <w:rFonts w:hint="eastAsia" w:asciiTheme="minorEastAsia" w:hAnsiTheme="minorEastAsia" w:eastAsiaTheme="minorEastAsia" w:cstheme="minorEastAsia"/>
          <w:b w:val="0"/>
          <w:bCs/>
          <w:sz w:val="28"/>
          <w:szCs w:val="28"/>
        </w:rPr>
        <w:t>11.7 保修责任</w:t>
      </w:r>
      <w:bookmarkEnd w:id="1998"/>
      <w:bookmarkEnd w:id="1999"/>
      <w:bookmarkEnd w:id="2000"/>
      <w:bookmarkEnd w:id="2001"/>
    </w:p>
    <w:p w14:paraId="0C305A1F">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因承包人原因导致的质量缺陷责任，由合同当事人根据有关法律规定，在专用合同条件和工程质量保修书中约定工程质量保修范围、期限和责任。</w:t>
      </w:r>
      <w:bookmarkEnd w:id="1672"/>
      <w:bookmarkStart w:id="2002" w:name="_Ref531957860"/>
      <w:bookmarkStart w:id="2003" w:name="_Ref531958289"/>
    </w:p>
    <w:bookmarkEnd w:id="2002"/>
    <w:p w14:paraId="7E3F9B0E">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004" w:name="_Toc27060"/>
      <w:bookmarkStart w:id="2005" w:name="_Ref4621065"/>
      <w:bookmarkStart w:id="2006" w:name="_Toc27217"/>
      <w:bookmarkStart w:id="2007" w:name="_Toc13242"/>
      <w:bookmarkStart w:id="2008" w:name="_Toc11354"/>
      <w:bookmarkStart w:id="2009" w:name="_Toc859"/>
      <w:bookmarkStart w:id="2010" w:name="_Ref4621057"/>
      <w:bookmarkStart w:id="2011" w:name="_Ref4796955"/>
      <w:bookmarkStart w:id="2012" w:name="_Ref4796958"/>
      <w:r>
        <w:rPr>
          <w:rFonts w:hint="eastAsia" w:asciiTheme="minorEastAsia" w:hAnsiTheme="minorEastAsia" w:eastAsiaTheme="minorEastAsia" w:cstheme="minorEastAsia"/>
          <w:b w:val="0"/>
          <w:bCs/>
          <w:sz w:val="28"/>
          <w:szCs w:val="28"/>
        </w:rPr>
        <w:t>第12条 竣工后试验</w:t>
      </w:r>
      <w:bookmarkEnd w:id="2004"/>
      <w:bookmarkEnd w:id="2005"/>
      <w:bookmarkEnd w:id="2006"/>
      <w:bookmarkEnd w:id="2007"/>
      <w:bookmarkEnd w:id="2008"/>
      <w:bookmarkEnd w:id="2009"/>
      <w:bookmarkEnd w:id="2010"/>
    </w:p>
    <w:p w14:paraId="3C5C6864">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本合同工程包含竣工后试验的，遵守本条约定。</w:t>
      </w:r>
    </w:p>
    <w:p w14:paraId="041A6C3B">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013" w:name="_Ref531954604"/>
      <w:bookmarkStart w:id="2014" w:name="_Ref531954601"/>
      <w:bookmarkStart w:id="2015" w:name="_Toc16977"/>
      <w:bookmarkStart w:id="2016" w:name="_Ref531954694"/>
      <w:bookmarkStart w:id="2017" w:name="_Toc18894"/>
      <w:bookmarkStart w:id="2018" w:name="_Toc12290"/>
      <w:bookmarkStart w:id="2019" w:name="_Hlk522259976"/>
      <w:r>
        <w:rPr>
          <w:rFonts w:hint="eastAsia" w:asciiTheme="minorEastAsia" w:hAnsiTheme="minorEastAsia" w:eastAsiaTheme="minorEastAsia" w:cstheme="minorEastAsia"/>
          <w:b w:val="0"/>
          <w:bCs/>
          <w:sz w:val="28"/>
          <w:szCs w:val="28"/>
        </w:rPr>
        <w:t>12.1 竣工后试验</w:t>
      </w:r>
      <w:bookmarkEnd w:id="2013"/>
      <w:bookmarkEnd w:id="2014"/>
      <w:r>
        <w:rPr>
          <w:rFonts w:hint="eastAsia" w:asciiTheme="minorEastAsia" w:hAnsiTheme="minorEastAsia" w:eastAsiaTheme="minorEastAsia" w:cstheme="minorEastAsia"/>
          <w:b w:val="0"/>
          <w:bCs/>
          <w:sz w:val="28"/>
          <w:szCs w:val="28"/>
        </w:rPr>
        <w:t>的程序</w:t>
      </w:r>
      <w:bookmarkEnd w:id="2015"/>
      <w:bookmarkEnd w:id="2016"/>
      <w:bookmarkEnd w:id="2017"/>
      <w:bookmarkEnd w:id="2018"/>
    </w:p>
    <w:p w14:paraId="681F5396">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20" w:name="_Toc17998"/>
      <w:bookmarkStart w:id="2021" w:name="_Ref11920184"/>
      <w:bookmarkStart w:id="2022" w:name="_Toc23220"/>
      <w:r>
        <w:rPr>
          <w:rFonts w:hint="eastAsia" w:asciiTheme="minorEastAsia" w:hAnsiTheme="minorEastAsia" w:eastAsiaTheme="minorEastAsia" w:cstheme="minorEastAsia"/>
          <w:sz w:val="28"/>
          <w:szCs w:val="28"/>
        </w:rPr>
        <w:t>12.1.1 工程或区段工程被发包人接收后，在合理可行的情况下应根据合同约定尽早进行竣工后试验。</w:t>
      </w:r>
      <w:bookmarkEnd w:id="2020"/>
      <w:bookmarkEnd w:id="2021"/>
      <w:bookmarkEnd w:id="2022"/>
    </w:p>
    <w:p w14:paraId="4669EA95">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23" w:name="_Toc5224"/>
      <w:bookmarkStart w:id="2024" w:name="_Toc12587"/>
      <w:r>
        <w:rPr>
          <w:rFonts w:hint="eastAsia" w:asciiTheme="minorEastAsia" w:hAnsiTheme="minorEastAsia" w:eastAsiaTheme="minorEastAsia" w:cstheme="minorEastAsia"/>
          <w:sz w:val="28"/>
          <w:szCs w:val="28"/>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bookmarkEnd w:id="2023"/>
      <w:bookmarkEnd w:id="2024"/>
    </w:p>
    <w:p w14:paraId="2A981AA5">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25" w:name="_Toc19086"/>
      <w:bookmarkStart w:id="2026" w:name="_Ref11920162"/>
      <w:bookmarkStart w:id="2027" w:name="_Toc1495"/>
      <w:r>
        <w:rPr>
          <w:rFonts w:hint="eastAsia" w:asciiTheme="minorEastAsia" w:hAnsiTheme="minorEastAsia" w:eastAsiaTheme="minorEastAsia" w:cstheme="minorEastAsia"/>
          <w:sz w:val="28"/>
          <w:szCs w:val="28"/>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2025"/>
      <w:bookmarkEnd w:id="2026"/>
      <w:bookmarkEnd w:id="2027"/>
    </w:p>
    <w:p w14:paraId="1121A1FD">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28" w:name="_Toc8329"/>
      <w:bookmarkStart w:id="2029" w:name="_Toc1725"/>
      <w:bookmarkStart w:id="2030" w:name="_Ref11920146"/>
      <w:r>
        <w:rPr>
          <w:rFonts w:hint="eastAsia" w:asciiTheme="minorEastAsia" w:hAnsiTheme="minorEastAsia" w:eastAsiaTheme="minorEastAsia" w:cstheme="minorEastAsia"/>
          <w:sz w:val="28"/>
          <w:szCs w:val="28"/>
        </w:rPr>
        <w:t>12.1.4 发包人应根据《发包人要求》、承包人按照第5.5款</w:t>
      </w:r>
      <w:bookmarkStart w:id="2031" w:name="_Hlk18943978"/>
      <w:r>
        <w:rPr>
          <w:rFonts w:hint="eastAsia" w:asciiTheme="minorEastAsia" w:hAnsiTheme="minorEastAsia" w:eastAsiaTheme="minorEastAsia" w:cstheme="minorEastAsia"/>
          <w:sz w:val="28"/>
          <w:szCs w:val="28"/>
        </w:rPr>
        <w:t>[操作和维修手册]</w:t>
      </w:r>
      <w:bookmarkEnd w:id="2031"/>
      <w:r>
        <w:rPr>
          <w:rFonts w:hint="eastAsia" w:asciiTheme="minorEastAsia" w:hAnsiTheme="minorEastAsia" w:eastAsiaTheme="minorEastAsia" w:cstheme="minorEastAsia"/>
          <w:sz w:val="28"/>
          <w:szCs w:val="28"/>
        </w:rPr>
        <w:t>提交的文件，以及承包人被要求提供的指导进行竣工后试验。如承包人未在发包人通知的时间和地点参加竣工后试验，发包人可自行进行，该试验应被视为是承包人在场的情况下进行的，承包人应视为认可试验数据。</w:t>
      </w:r>
      <w:bookmarkEnd w:id="2028"/>
      <w:bookmarkEnd w:id="2029"/>
      <w:bookmarkEnd w:id="2030"/>
    </w:p>
    <w:p w14:paraId="5153C57D">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32" w:name="_Toc15588"/>
      <w:bookmarkStart w:id="2033" w:name="_Toc23834"/>
      <w:r>
        <w:rPr>
          <w:rFonts w:hint="eastAsia" w:asciiTheme="minorEastAsia" w:hAnsiTheme="minorEastAsia" w:eastAsiaTheme="minorEastAsia" w:cstheme="minorEastAsia"/>
          <w:sz w:val="28"/>
          <w:szCs w:val="28"/>
        </w:rPr>
        <w:t>12.1.5 竣工后试验的结果应由双方进行整理和评价，并应适当考虑发包人对工程或其任何部分的使用，对工程或区段工程的性能、特性和试验结果产生的影响。</w:t>
      </w:r>
      <w:bookmarkEnd w:id="2032"/>
      <w:bookmarkEnd w:id="2033"/>
    </w:p>
    <w:p w14:paraId="450A5DA6">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034" w:name="_Toc29623"/>
      <w:bookmarkStart w:id="2035" w:name="_Ref531954781"/>
      <w:bookmarkStart w:id="2036" w:name="_Toc13872"/>
      <w:bookmarkStart w:id="2037" w:name="_Toc3453"/>
      <w:bookmarkStart w:id="2038" w:name="_Ref531954785"/>
      <w:r>
        <w:rPr>
          <w:rFonts w:hint="eastAsia" w:asciiTheme="minorEastAsia" w:hAnsiTheme="minorEastAsia" w:eastAsiaTheme="minorEastAsia" w:cstheme="minorEastAsia"/>
          <w:b w:val="0"/>
          <w:bCs/>
          <w:sz w:val="28"/>
          <w:szCs w:val="28"/>
        </w:rPr>
        <w:t>12.2 延误的试验</w:t>
      </w:r>
      <w:bookmarkEnd w:id="2034"/>
      <w:bookmarkEnd w:id="2035"/>
      <w:bookmarkEnd w:id="2036"/>
      <w:bookmarkEnd w:id="2037"/>
      <w:bookmarkEnd w:id="2038"/>
      <w:r>
        <w:rPr>
          <w:rFonts w:hint="eastAsia" w:asciiTheme="minorEastAsia" w:hAnsiTheme="minorEastAsia" w:eastAsiaTheme="minorEastAsia" w:cstheme="minorEastAsia"/>
          <w:b w:val="0"/>
          <w:bCs/>
          <w:sz w:val="28"/>
          <w:szCs w:val="28"/>
        </w:rPr>
        <w:t xml:space="preserve"> </w:t>
      </w:r>
    </w:p>
    <w:p w14:paraId="7B141B70">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39" w:name="_Toc9557"/>
      <w:bookmarkStart w:id="2040" w:name="_Toc25637"/>
      <w:r>
        <w:rPr>
          <w:rFonts w:hint="eastAsia" w:asciiTheme="minorEastAsia" w:hAnsiTheme="minorEastAsia" w:eastAsiaTheme="minorEastAsia" w:cstheme="minorEastAsia"/>
          <w:sz w:val="28"/>
          <w:szCs w:val="28"/>
        </w:rPr>
        <w:t>12.2.1 如果竣工后试验因发包人原因被延误的，发包人应承担承包人由此增加的费用并支付承包人合理利润。</w:t>
      </w:r>
      <w:bookmarkEnd w:id="2039"/>
      <w:bookmarkEnd w:id="2040"/>
    </w:p>
    <w:p w14:paraId="5AE78856">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41" w:name="_Toc22647"/>
      <w:bookmarkStart w:id="2042" w:name="_Toc15848"/>
      <w:r>
        <w:rPr>
          <w:rFonts w:hint="eastAsia" w:asciiTheme="minorEastAsia" w:hAnsiTheme="minorEastAsia" w:eastAsiaTheme="minorEastAsia" w:cstheme="minorEastAsia"/>
          <w:sz w:val="28"/>
          <w:szCs w:val="28"/>
        </w:rPr>
        <w:t>12.2.2 如果因承包人以外的原因，导致竣工后试验未能在缺陷责任期或双方另行同意的其他期限内完成，则相关工程或区段工程应视为已通过该竣工后试验。</w:t>
      </w:r>
      <w:bookmarkEnd w:id="2041"/>
      <w:bookmarkEnd w:id="2042"/>
    </w:p>
    <w:p w14:paraId="01037C86">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043" w:name="_Toc12845"/>
      <w:bookmarkStart w:id="2044" w:name="_Toc7838"/>
      <w:bookmarkStart w:id="2045" w:name="_Toc11776"/>
      <w:r>
        <w:rPr>
          <w:rFonts w:hint="eastAsia" w:asciiTheme="minorEastAsia" w:hAnsiTheme="minorEastAsia" w:eastAsiaTheme="minorEastAsia" w:cstheme="minorEastAsia"/>
          <w:b w:val="0"/>
          <w:bCs/>
          <w:sz w:val="28"/>
          <w:szCs w:val="28"/>
        </w:rPr>
        <w:t>12.3 重新试验</w:t>
      </w:r>
      <w:bookmarkEnd w:id="2043"/>
      <w:bookmarkEnd w:id="2044"/>
      <w:bookmarkEnd w:id="2045"/>
    </w:p>
    <w:p w14:paraId="1BC33605">
      <w:pPr>
        <w:keepNext w:val="0"/>
        <w:keepLines w:val="0"/>
        <w:pageBreakBefore w:val="0"/>
        <w:kinsoku/>
        <w:wordWrap/>
        <w:overflowPunct/>
        <w:topLinePunct w:val="0"/>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bookmarkEnd w:id="2019"/>
    <w:p w14:paraId="0FF709FA">
      <w:pPr>
        <w:pStyle w:val="143"/>
        <w:keepNext w:val="0"/>
        <w:keepLines w:val="0"/>
        <w:pageBreakBefore w:val="0"/>
        <w:widowControl/>
        <w:numPr>
          <w:ilvl w:val="0"/>
          <w:numId w:val="0"/>
        </w:numPr>
        <w:kinsoku/>
        <w:wordWrap/>
        <w:overflowPunct/>
        <w:topLinePunct w:val="0"/>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046" w:name="_Ref531954811"/>
      <w:bookmarkStart w:id="2047" w:name="_Toc21942"/>
      <w:bookmarkStart w:id="2048" w:name="_Toc2914"/>
      <w:bookmarkStart w:id="2049" w:name="_Ref531954819"/>
      <w:bookmarkStart w:id="2050" w:name="_Toc968"/>
      <w:r>
        <w:rPr>
          <w:rFonts w:hint="eastAsia" w:asciiTheme="minorEastAsia" w:hAnsiTheme="minorEastAsia" w:eastAsiaTheme="minorEastAsia" w:cstheme="minorEastAsia"/>
          <w:b w:val="0"/>
          <w:bCs/>
          <w:sz w:val="28"/>
          <w:szCs w:val="28"/>
        </w:rPr>
        <w:t>12.4 未能通过竣工后试验</w:t>
      </w:r>
      <w:bookmarkEnd w:id="2046"/>
      <w:bookmarkEnd w:id="2047"/>
      <w:bookmarkEnd w:id="2048"/>
      <w:bookmarkEnd w:id="2049"/>
      <w:bookmarkEnd w:id="2050"/>
    </w:p>
    <w:p w14:paraId="24A91C2B">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51" w:name="_Toc28074"/>
      <w:bookmarkStart w:id="2052" w:name="_Toc21945"/>
      <w:bookmarkStart w:id="2053" w:name="_Ref531954829"/>
      <w:r>
        <w:rPr>
          <w:rFonts w:hint="eastAsia" w:asciiTheme="minorEastAsia" w:hAnsiTheme="minorEastAsia" w:eastAsiaTheme="minorEastAsia" w:cstheme="minorEastAsia"/>
          <w:sz w:val="28"/>
          <w:szCs w:val="28"/>
        </w:rPr>
        <w:t>12.4.1 工程或区段工程未能通过竣工后试验，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2051"/>
      <w:bookmarkEnd w:id="2052"/>
      <w:bookmarkEnd w:id="2053"/>
    </w:p>
    <w:p w14:paraId="06DCD3FF">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54" w:name="_Toc8895"/>
      <w:bookmarkStart w:id="2055" w:name="_Toc3407"/>
      <w:r>
        <w:rPr>
          <w:rFonts w:hint="eastAsia" w:asciiTheme="minorEastAsia" w:hAnsiTheme="minorEastAsia" w:eastAsiaTheme="minorEastAsia" w:cstheme="minorEastAsia"/>
          <w:sz w:val="28"/>
          <w:szCs w:val="28"/>
        </w:rPr>
        <w:t>12.4.2 对未能通过</w:t>
      </w:r>
      <w:r>
        <w:rPr>
          <w:rFonts w:hint="eastAsia" w:asciiTheme="minorEastAsia" w:hAnsiTheme="minorEastAsia" w:eastAsiaTheme="minorEastAsia" w:cstheme="minorEastAsia"/>
          <w:sz w:val="28"/>
          <w:szCs w:val="28"/>
          <w:lang w:eastAsia="zh-CN"/>
        </w:rPr>
        <w:t>竣工</w:t>
      </w:r>
      <w:r>
        <w:rPr>
          <w:rFonts w:hint="eastAsia" w:asciiTheme="minorEastAsia" w:hAnsiTheme="minorEastAsia" w:eastAsiaTheme="minorEastAsia" w:cstheme="minorEastAsia"/>
          <w:sz w:val="28"/>
          <w:szCs w:val="28"/>
        </w:rPr>
        <w:t>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w:t>
      </w:r>
      <w:r>
        <w:rPr>
          <w:rFonts w:hint="eastAsia" w:asciiTheme="minorEastAsia" w:hAnsiTheme="minorEastAsia" w:eastAsiaTheme="minorEastAsia" w:cstheme="minorEastAsia"/>
          <w:sz w:val="28"/>
          <w:szCs w:val="28"/>
          <w:lang w:eastAsia="zh-CN"/>
        </w:rPr>
        <w:t>竣工</w:t>
      </w:r>
      <w:r>
        <w:rPr>
          <w:rFonts w:hint="eastAsia" w:asciiTheme="minorEastAsia" w:hAnsiTheme="minorEastAsia" w:eastAsiaTheme="minorEastAsia" w:cstheme="minorEastAsia"/>
          <w:sz w:val="28"/>
          <w:szCs w:val="28"/>
        </w:rPr>
        <w:t>试验。</w:t>
      </w:r>
      <w:bookmarkEnd w:id="2054"/>
      <w:bookmarkEnd w:id="2055"/>
    </w:p>
    <w:p w14:paraId="12022333">
      <w:pPr>
        <w:pStyle w:val="144"/>
        <w:keepNext w:val="0"/>
        <w:keepLines w:val="0"/>
        <w:pageBreakBefore w:val="0"/>
        <w:numPr>
          <w:ilvl w:val="0"/>
          <w:numId w:val="0"/>
        </w:numPr>
        <w:kinsoku/>
        <w:wordWrap/>
        <w:overflowPunct/>
        <w:topLinePunct w:val="0"/>
        <w:bidi w:val="0"/>
        <w:spacing w:line="360" w:lineRule="auto"/>
        <w:textAlignment w:val="auto"/>
        <w:outlineLvl w:val="4"/>
        <w:rPr>
          <w:rFonts w:hint="eastAsia" w:asciiTheme="minorEastAsia" w:hAnsiTheme="minorEastAsia" w:eastAsiaTheme="minorEastAsia" w:cstheme="minorEastAsia"/>
          <w:sz w:val="28"/>
          <w:szCs w:val="28"/>
        </w:rPr>
      </w:pPr>
      <w:bookmarkStart w:id="2056" w:name="_Toc32014"/>
      <w:bookmarkStart w:id="2057" w:name="_Toc12548"/>
      <w:r>
        <w:rPr>
          <w:rFonts w:hint="eastAsia" w:asciiTheme="minorEastAsia" w:hAnsiTheme="minorEastAsia" w:eastAsiaTheme="minorEastAsia" w:cstheme="minorEastAsia"/>
          <w:sz w:val="28"/>
          <w:szCs w:val="28"/>
        </w:rPr>
        <w:t>12.4.3 发包人无故拖延给予承包人进行调查、调整或修补所需的进入工程或区段工程的许可，并造成承包人费用增加的，应承担由此增加的费用并支付承包人合理利润。</w:t>
      </w:r>
      <w:bookmarkEnd w:id="2056"/>
      <w:bookmarkEnd w:id="2057"/>
    </w:p>
    <w:p w14:paraId="5943FABD">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058" w:name="_Toc20124"/>
      <w:bookmarkStart w:id="2059" w:name="_Toc11265"/>
      <w:bookmarkStart w:id="2060" w:name="_Toc4077"/>
      <w:bookmarkStart w:id="2061" w:name="_Ref4415801"/>
      <w:bookmarkStart w:id="2062" w:name="_Toc13300"/>
      <w:bookmarkStart w:id="2063" w:name="_Toc19496"/>
      <w:r>
        <w:rPr>
          <w:rFonts w:hint="eastAsia" w:asciiTheme="minorEastAsia" w:hAnsiTheme="minorEastAsia" w:eastAsiaTheme="minorEastAsia" w:cstheme="minorEastAsia"/>
          <w:b w:val="0"/>
          <w:bCs/>
          <w:sz w:val="28"/>
          <w:szCs w:val="28"/>
        </w:rPr>
        <w:t>第13条 变更与调整</w:t>
      </w:r>
      <w:bookmarkEnd w:id="2058"/>
      <w:bookmarkEnd w:id="2059"/>
      <w:bookmarkEnd w:id="2060"/>
      <w:bookmarkEnd w:id="2061"/>
      <w:bookmarkEnd w:id="2062"/>
      <w:bookmarkEnd w:id="2063"/>
    </w:p>
    <w:p w14:paraId="5D74822F">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064" w:name="_Ref532670393"/>
      <w:bookmarkStart w:id="2065" w:name="_Toc16427"/>
      <w:bookmarkStart w:id="2066" w:name="_Ref532668569"/>
      <w:bookmarkStart w:id="2067" w:name="_Ref532677084"/>
      <w:bookmarkStart w:id="2068" w:name="_Ref532670395"/>
      <w:bookmarkStart w:id="2069" w:name="_Toc19929"/>
      <w:bookmarkStart w:id="2070" w:name="_Ref532668573"/>
      <w:bookmarkStart w:id="2071" w:name="_Ref532677087"/>
      <w:bookmarkStart w:id="2072" w:name="_Toc7605"/>
      <w:r>
        <w:rPr>
          <w:rFonts w:hint="eastAsia" w:asciiTheme="minorEastAsia" w:hAnsiTheme="minorEastAsia" w:eastAsiaTheme="minorEastAsia" w:cstheme="minorEastAsia"/>
          <w:b w:val="0"/>
          <w:bCs/>
          <w:sz w:val="28"/>
          <w:szCs w:val="28"/>
        </w:rPr>
        <w:t>13.1 发包人变更权</w:t>
      </w:r>
      <w:bookmarkEnd w:id="2064"/>
      <w:bookmarkEnd w:id="2065"/>
      <w:bookmarkEnd w:id="2066"/>
      <w:bookmarkEnd w:id="2067"/>
      <w:bookmarkEnd w:id="2068"/>
      <w:bookmarkEnd w:id="2069"/>
      <w:bookmarkEnd w:id="2070"/>
      <w:bookmarkEnd w:id="2071"/>
      <w:bookmarkEnd w:id="2072"/>
      <w:r>
        <w:rPr>
          <w:rFonts w:hint="eastAsia" w:asciiTheme="minorEastAsia" w:hAnsiTheme="minorEastAsia" w:eastAsiaTheme="minorEastAsia" w:cstheme="minorEastAsia"/>
          <w:b w:val="0"/>
          <w:bCs/>
          <w:sz w:val="28"/>
          <w:szCs w:val="28"/>
        </w:rPr>
        <w:t xml:space="preserve"> </w:t>
      </w:r>
    </w:p>
    <w:p w14:paraId="73A9CA88">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073" w:name="_Ref4534979"/>
      <w:bookmarkStart w:id="2074" w:name="_Toc28396"/>
      <w:bookmarkStart w:id="2075" w:name="_Toc25396"/>
      <w:r>
        <w:rPr>
          <w:rFonts w:hint="eastAsia" w:asciiTheme="minorEastAsia" w:hAnsiTheme="minorEastAsia" w:eastAsiaTheme="minorEastAsia" w:cstheme="minorEastAsia"/>
          <w:sz w:val="28"/>
          <w:szCs w:val="28"/>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2073"/>
      <w:r>
        <w:rPr>
          <w:rFonts w:hint="eastAsia" w:asciiTheme="minorEastAsia" w:hAnsiTheme="minorEastAsia" w:eastAsiaTheme="minorEastAsia" w:cstheme="minorEastAsia"/>
          <w:sz w:val="28"/>
          <w:szCs w:val="28"/>
        </w:rPr>
        <w:t>发包人与承包人对某项指示或批准是否构成变更产生争议的，按第20条[争议解决]处理。</w:t>
      </w:r>
      <w:bookmarkEnd w:id="2074"/>
      <w:bookmarkEnd w:id="2075"/>
    </w:p>
    <w:p w14:paraId="3F8CF2BD">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076" w:name="_Toc13671"/>
      <w:bookmarkStart w:id="2077" w:name="_Toc6111"/>
      <w:r>
        <w:rPr>
          <w:rFonts w:hint="eastAsia" w:asciiTheme="minorEastAsia" w:hAnsiTheme="minorEastAsia" w:eastAsiaTheme="minorEastAsia" w:cstheme="minorEastAsia"/>
          <w:sz w:val="28"/>
          <w:szCs w:val="28"/>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bookmarkEnd w:id="2076"/>
      <w:bookmarkEnd w:id="2077"/>
    </w:p>
    <w:p w14:paraId="49BEBA6D">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078" w:name="_Ref531955590"/>
      <w:bookmarkStart w:id="2079" w:name="_Ref531955587"/>
      <w:bookmarkStart w:id="2080" w:name="_Toc26186"/>
      <w:bookmarkStart w:id="2081" w:name="_Toc25791"/>
      <w:bookmarkStart w:id="2082" w:name="_Toc14037"/>
      <w:bookmarkStart w:id="2083" w:name="_Ref4623207"/>
      <w:r>
        <w:rPr>
          <w:rFonts w:hint="eastAsia" w:asciiTheme="minorEastAsia" w:hAnsiTheme="minorEastAsia" w:eastAsiaTheme="minorEastAsia" w:cstheme="minorEastAsia"/>
          <w:b w:val="0"/>
          <w:bCs/>
          <w:sz w:val="28"/>
          <w:szCs w:val="28"/>
        </w:rPr>
        <w:t>13.2 承</w:t>
      </w:r>
      <w:bookmarkEnd w:id="2078"/>
      <w:bookmarkEnd w:id="2079"/>
      <w:r>
        <w:rPr>
          <w:rFonts w:hint="eastAsia" w:asciiTheme="minorEastAsia" w:hAnsiTheme="minorEastAsia" w:eastAsiaTheme="minorEastAsia" w:cstheme="minorEastAsia"/>
          <w:b w:val="0"/>
          <w:bCs/>
          <w:sz w:val="28"/>
          <w:szCs w:val="28"/>
        </w:rPr>
        <w:t>包人的合理化建议</w:t>
      </w:r>
      <w:bookmarkEnd w:id="2080"/>
      <w:bookmarkEnd w:id="2081"/>
      <w:bookmarkEnd w:id="2082"/>
      <w:bookmarkEnd w:id="2083"/>
    </w:p>
    <w:p w14:paraId="0092EC20">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084" w:name="_Toc32593"/>
      <w:bookmarkStart w:id="2085" w:name="_Toc32191"/>
      <w:r>
        <w:rPr>
          <w:rFonts w:hint="eastAsia" w:asciiTheme="minorEastAsia" w:hAnsiTheme="minorEastAsia" w:eastAsiaTheme="minorEastAsia" w:cstheme="minorEastAsia"/>
          <w:sz w:val="28"/>
          <w:szCs w:val="28"/>
        </w:rPr>
        <w:t>13.2.1 承包人提出合理化建议的，应向工程师提交合理化建议说明，说明建议的内容、理由以及实施该建议对合同价格和工期的影响。</w:t>
      </w:r>
      <w:bookmarkEnd w:id="2084"/>
      <w:bookmarkEnd w:id="2085"/>
    </w:p>
    <w:p w14:paraId="3CCE85E0">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086" w:name="_Ref4681686"/>
      <w:bookmarkStart w:id="2087" w:name="_Toc28047"/>
      <w:bookmarkStart w:id="2088" w:name="_Toc219"/>
      <w:r>
        <w:rPr>
          <w:rFonts w:hint="eastAsia" w:asciiTheme="minorEastAsia" w:hAnsiTheme="minorEastAsia" w:eastAsiaTheme="minorEastAsia" w:cstheme="minorEastAsia"/>
          <w:sz w:val="28"/>
          <w:szCs w:val="28"/>
        </w:rPr>
        <w:t>13.2.2 除专用合同条件另有约定外，</w:t>
      </w:r>
      <w:bookmarkStart w:id="2089" w:name="_Hlk4682273"/>
      <w:r>
        <w:rPr>
          <w:rFonts w:hint="eastAsia" w:asciiTheme="minorEastAsia" w:hAnsiTheme="minorEastAsia" w:eastAsiaTheme="minorEastAsia" w:cstheme="minorEastAsia"/>
          <w:sz w:val="28"/>
          <w:szCs w:val="28"/>
        </w:rPr>
        <w:t>工程师应在收到承包人提交的合理化建议后7天内审查完毕并报送发包人，发现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2086"/>
      <w:r>
        <w:rPr>
          <w:rFonts w:hint="eastAsia" w:asciiTheme="minorEastAsia" w:hAnsiTheme="minorEastAsia" w:eastAsiaTheme="minorEastAsia" w:cstheme="minorEastAsia"/>
          <w:sz w:val="28"/>
          <w:szCs w:val="28"/>
        </w:rPr>
        <w:t>。</w:t>
      </w:r>
      <w:bookmarkEnd w:id="2087"/>
      <w:bookmarkEnd w:id="2088"/>
    </w:p>
    <w:p w14:paraId="183899C9">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090" w:name="_Toc26447"/>
      <w:bookmarkStart w:id="2091" w:name="_Toc166"/>
      <w:r>
        <w:rPr>
          <w:rFonts w:hint="eastAsia" w:asciiTheme="minorEastAsia" w:hAnsiTheme="minorEastAsia" w:eastAsiaTheme="minorEastAsia" w:cstheme="minorEastAsia"/>
          <w:sz w:val="28"/>
          <w:szCs w:val="28"/>
        </w:rPr>
        <w:t>13.2.3 合理化建议降低了合同价格、缩短了工期或者提高了工程经济效益的，双方可以按照专用合同条件的约定进行利益分享。</w:t>
      </w:r>
      <w:bookmarkEnd w:id="2090"/>
      <w:bookmarkEnd w:id="2091"/>
    </w:p>
    <w:bookmarkEnd w:id="2089"/>
    <w:p w14:paraId="4DB6CB00">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092" w:name="_Toc20289"/>
      <w:bookmarkStart w:id="2093" w:name="_Ref532669305"/>
      <w:bookmarkStart w:id="2094" w:name="_Ref532673541"/>
      <w:bookmarkStart w:id="2095" w:name="_Toc16365"/>
      <w:bookmarkStart w:id="2096" w:name="_Ref532673538"/>
      <w:bookmarkStart w:id="2097" w:name="_Toc11002"/>
      <w:bookmarkStart w:id="2098" w:name="_Ref532671484"/>
      <w:bookmarkStart w:id="2099" w:name="_Ref532671480"/>
      <w:bookmarkStart w:id="2100" w:name="_Ref532669302"/>
      <w:r>
        <w:rPr>
          <w:rFonts w:hint="eastAsia" w:asciiTheme="minorEastAsia" w:hAnsiTheme="minorEastAsia" w:eastAsiaTheme="minorEastAsia" w:cstheme="minorEastAsia"/>
          <w:b w:val="0"/>
          <w:bCs/>
          <w:sz w:val="28"/>
          <w:szCs w:val="28"/>
        </w:rPr>
        <w:t>13.3 变更程序</w:t>
      </w:r>
      <w:bookmarkEnd w:id="2092"/>
      <w:bookmarkEnd w:id="2093"/>
      <w:bookmarkEnd w:id="2094"/>
      <w:bookmarkEnd w:id="2095"/>
      <w:bookmarkEnd w:id="2096"/>
      <w:bookmarkEnd w:id="2097"/>
      <w:bookmarkEnd w:id="2098"/>
      <w:bookmarkEnd w:id="2099"/>
      <w:bookmarkEnd w:id="2100"/>
    </w:p>
    <w:p w14:paraId="20EF067B">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01" w:name="_Toc32126"/>
      <w:bookmarkStart w:id="2102" w:name="_Ref4534600"/>
      <w:bookmarkStart w:id="2103" w:name="_Toc27283"/>
      <w:r>
        <w:rPr>
          <w:rFonts w:hint="eastAsia" w:asciiTheme="minorEastAsia" w:hAnsiTheme="minorEastAsia" w:eastAsiaTheme="minorEastAsia" w:cstheme="minorEastAsia"/>
          <w:sz w:val="28"/>
          <w:szCs w:val="28"/>
        </w:rPr>
        <w:t>13.3.1 发包人提出变更</w:t>
      </w:r>
      <w:bookmarkEnd w:id="2101"/>
      <w:bookmarkEnd w:id="2102"/>
      <w:bookmarkEnd w:id="2103"/>
    </w:p>
    <w:p w14:paraId="6368B78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发包人提出变更的，应通过工程师向承包人发出书面形式的变更指示，变更指示应说明计划变更的工程范围和变更的内容。</w:t>
      </w:r>
    </w:p>
    <w:p w14:paraId="5AA58818">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04" w:name="_Toc20364"/>
      <w:bookmarkStart w:id="2105" w:name="_Ref4534617"/>
      <w:bookmarkStart w:id="2106" w:name="_Toc983"/>
      <w:r>
        <w:rPr>
          <w:rFonts w:hint="eastAsia" w:asciiTheme="minorEastAsia" w:hAnsiTheme="minorEastAsia" w:eastAsiaTheme="minorEastAsia" w:cstheme="minorEastAsia"/>
          <w:sz w:val="28"/>
          <w:szCs w:val="28"/>
        </w:rPr>
        <w:t>13.3.2 变更执行</w:t>
      </w:r>
      <w:bookmarkEnd w:id="2104"/>
      <w:bookmarkEnd w:id="2105"/>
      <w:bookmarkEnd w:id="2106"/>
    </w:p>
    <w:p w14:paraId="1A5058B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收到工程师下达的变更指示后，认为不能执行，应在合理期限内提出不能执行该变更指示的理由。承包人认为可以执行变更的，应当书面说明实施该变更指示需要采取的具体措施及对合同价格和工期的影响，合同当事人应当按照第13.3.3项[变更估价]约定确定变更估价。</w:t>
      </w:r>
    </w:p>
    <w:p w14:paraId="7644FDBD">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07" w:name="_Toc577"/>
      <w:bookmarkStart w:id="2108" w:name="_Ref3835481"/>
      <w:bookmarkStart w:id="2109" w:name="_Toc2135"/>
      <w:r>
        <w:rPr>
          <w:rFonts w:hint="eastAsia" w:asciiTheme="minorEastAsia" w:hAnsiTheme="minorEastAsia" w:eastAsiaTheme="minorEastAsia" w:cstheme="minorEastAsia"/>
          <w:sz w:val="28"/>
          <w:szCs w:val="28"/>
        </w:rPr>
        <w:t>13.3.3 变更估价</w:t>
      </w:r>
      <w:bookmarkEnd w:id="2107"/>
      <w:bookmarkEnd w:id="2108"/>
      <w:bookmarkEnd w:id="2109"/>
    </w:p>
    <w:p w14:paraId="1689CD04">
      <w:pPr>
        <w:pStyle w:val="145"/>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13.3.3.1 变更估价原则</w:t>
      </w:r>
    </w:p>
    <w:p w14:paraId="75D2151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除专用合同条件另有约定外，变更估价按照本款约定处理：</w:t>
      </w:r>
    </w:p>
    <w:p w14:paraId="6A2BFE6B">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合同中未包含价格清单，合同价格应按照所执行的变更工程的成本加利润调整；</w:t>
      </w:r>
    </w:p>
    <w:p w14:paraId="12A1B05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合同中包含价格清单，合同价格按照如下规则调整：</w:t>
      </w:r>
    </w:p>
    <w:p w14:paraId="6974173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价格清单中有适用于变更工程项目的，应采用该项目的费率和价格；</w:t>
      </w:r>
    </w:p>
    <w:p w14:paraId="49C9961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价格清单中没有适用但有类似于变更工程项目的，可在合理范围内参照类似项目的费率或价格；</w:t>
      </w:r>
    </w:p>
    <w:p w14:paraId="3C82AE2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价格清单中没有适用也没有类似于变更工程项目的，该工程项目应按成本加利润原则调整适用新的费率或价格。</w:t>
      </w:r>
    </w:p>
    <w:p w14:paraId="5A1D19B4">
      <w:pPr>
        <w:pStyle w:val="145"/>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13.3.3.2 变更估价程序</w:t>
      </w:r>
    </w:p>
    <w:p w14:paraId="174A88E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110" w:name="_Ref531955607"/>
      <w:bookmarkStart w:id="2111" w:name="_Ref531955605"/>
      <w:bookmarkStart w:id="2112" w:name="_Toc296503150"/>
      <w:bookmarkStart w:id="2113" w:name="_Toc337558844"/>
      <w:bookmarkStart w:id="2114" w:name="_Toc296346651"/>
      <w:r>
        <w:rPr>
          <w:rFonts w:hint="eastAsia" w:asciiTheme="minorEastAsia" w:hAnsiTheme="minorEastAsia" w:eastAsiaTheme="minorEastAsia" w:cstheme="minorEastAsia"/>
          <w:sz w:val="28"/>
          <w:szCs w:val="28"/>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5776FE6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因变更引起的价格调整应计入最近一期的进度款中支付。</w:t>
      </w:r>
    </w:p>
    <w:p w14:paraId="0FA0DD1E">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15" w:name="_Toc29176"/>
      <w:bookmarkStart w:id="2116" w:name="_Toc30238"/>
      <w:r>
        <w:rPr>
          <w:rFonts w:hint="eastAsia" w:asciiTheme="minorEastAsia" w:hAnsiTheme="minorEastAsia" w:eastAsiaTheme="minorEastAsia" w:cstheme="minorEastAsia"/>
          <w:sz w:val="28"/>
          <w:szCs w:val="28"/>
        </w:rPr>
        <w:t>13.3.4 变更引起的工期调整</w:t>
      </w:r>
      <w:bookmarkEnd w:id="2115"/>
      <w:bookmarkEnd w:id="2116"/>
    </w:p>
    <w:p w14:paraId="2E04CF0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因变更引起工期变化的，合同当事人均可要求调整合同工期，由合同当事人按照第3.6款[商定或确定]并参考工程所在地的工期定额标准确定增减工期天数。</w:t>
      </w:r>
    </w:p>
    <w:p w14:paraId="76F7CA27">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117" w:name="_Toc17409"/>
      <w:bookmarkStart w:id="2118" w:name="_Ref4431237"/>
      <w:bookmarkStart w:id="2119" w:name="_Toc13922"/>
      <w:bookmarkStart w:id="2120" w:name="_Toc19827"/>
      <w:r>
        <w:rPr>
          <w:rFonts w:hint="eastAsia" w:asciiTheme="minorEastAsia" w:hAnsiTheme="minorEastAsia" w:eastAsiaTheme="minorEastAsia" w:cstheme="minorEastAsia"/>
          <w:b w:val="0"/>
          <w:bCs/>
          <w:sz w:val="28"/>
          <w:szCs w:val="28"/>
        </w:rPr>
        <w:t>13.4 暂估价</w:t>
      </w:r>
      <w:bookmarkEnd w:id="2117"/>
      <w:bookmarkEnd w:id="2118"/>
      <w:bookmarkEnd w:id="2119"/>
      <w:bookmarkEnd w:id="2120"/>
    </w:p>
    <w:p w14:paraId="1232F531">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21" w:name="_Toc79"/>
      <w:bookmarkStart w:id="2122" w:name="_Ref4616729"/>
      <w:bookmarkStart w:id="2123" w:name="_Toc9853"/>
      <w:r>
        <w:rPr>
          <w:rFonts w:hint="eastAsia" w:asciiTheme="minorEastAsia" w:hAnsiTheme="minorEastAsia" w:eastAsiaTheme="minorEastAsia" w:cstheme="minorEastAsia"/>
          <w:sz w:val="28"/>
          <w:szCs w:val="28"/>
        </w:rPr>
        <w:t>13.4.1 依法必须招标的暂估价项目</w:t>
      </w:r>
      <w:bookmarkEnd w:id="2121"/>
      <w:bookmarkEnd w:id="2122"/>
      <w:bookmarkEnd w:id="2123"/>
    </w:p>
    <w:p w14:paraId="5F83B45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353957F9">
      <w:pPr>
        <w:pStyle w:val="146"/>
        <w:keepNext w:val="0"/>
        <w:keepLines w:val="0"/>
        <w:pageBreakBefore w:val="0"/>
        <w:numPr>
          <w:ilvl w:val="0"/>
          <w:numId w:val="0"/>
        </w:numPr>
        <w:kinsoku/>
        <w:wordWrap/>
        <w:overflowPunct/>
        <w:topLinePunct w:val="0"/>
        <w:bidi w:val="0"/>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专用合同条件约定由发包人和承包人共同作为招标人的，与组织招标工作有关的费用在专用合同条件中约定。</w:t>
      </w:r>
    </w:p>
    <w:p w14:paraId="1334F1B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具体的招标程序以及发包人和承包人权利义务关系可在专用合同条件中约定。暂估价项目的中标金额与价格清单中所列暂估价的金额差以及相应的税金等其他费用应列入合同价格。</w:t>
      </w:r>
    </w:p>
    <w:p w14:paraId="4909EA4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24" w:name="_Toc12886"/>
      <w:bookmarkStart w:id="2125" w:name="_Ref4682312"/>
      <w:bookmarkStart w:id="2126" w:name="_Toc6754"/>
      <w:r>
        <w:rPr>
          <w:rFonts w:hint="eastAsia" w:asciiTheme="minorEastAsia" w:hAnsiTheme="minorEastAsia" w:eastAsiaTheme="minorEastAsia" w:cstheme="minorEastAsia"/>
          <w:sz w:val="28"/>
          <w:szCs w:val="28"/>
        </w:rPr>
        <w:t>13.4.2 不属于依法必须招标的暂估价项目</w:t>
      </w:r>
      <w:bookmarkEnd w:id="2124"/>
      <w:bookmarkEnd w:id="2125"/>
      <w:bookmarkEnd w:id="2126"/>
    </w:p>
    <w:p w14:paraId="37D6E7E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对于不属于依法必须招标的暂估价项目，承包人具备实施暂估价项目的资格和条件的，经发包人和承包人协商一致后，可由承包人自行实施暂估价项目，具体的协商和估价程序以及发包人和承包</w:t>
      </w:r>
      <w:r>
        <w:rPr>
          <w:rFonts w:hint="eastAsia" w:asciiTheme="minorEastAsia" w:hAnsiTheme="minorEastAsia" w:eastAsiaTheme="minorEastAsia" w:cstheme="minorEastAsia"/>
          <w:sz w:val="28"/>
          <w:szCs w:val="28"/>
          <w:lang w:eastAsia="zh-CN"/>
        </w:rPr>
        <w:t>人的</w:t>
      </w:r>
      <w:r>
        <w:rPr>
          <w:rFonts w:hint="eastAsia" w:asciiTheme="minorEastAsia" w:hAnsiTheme="minorEastAsia" w:eastAsiaTheme="minorEastAsia" w:cstheme="minorEastAsia"/>
          <w:sz w:val="28"/>
          <w:szCs w:val="28"/>
        </w:rPr>
        <w:t>权利义务关系可在专用合同条件中约定。确定后的暂估价项目金额与价格清单中所列暂估价的金额差以及相应的税金等其他费用应列入合同价格。</w:t>
      </w:r>
    </w:p>
    <w:p w14:paraId="34DDBD0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E34B735">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127" w:name="_Toc11587"/>
      <w:bookmarkStart w:id="2128" w:name="_Toc11481"/>
      <w:bookmarkStart w:id="2129" w:name="_Toc1210"/>
      <w:bookmarkStart w:id="2130" w:name="_Ref4431250"/>
      <w:r>
        <w:rPr>
          <w:rFonts w:hint="eastAsia" w:asciiTheme="minorEastAsia" w:hAnsiTheme="minorEastAsia" w:eastAsiaTheme="minorEastAsia" w:cstheme="minorEastAsia"/>
          <w:b w:val="0"/>
          <w:bCs/>
          <w:sz w:val="28"/>
          <w:szCs w:val="28"/>
        </w:rPr>
        <w:t>13.5 暂列金额</w:t>
      </w:r>
      <w:bookmarkEnd w:id="2127"/>
      <w:bookmarkEnd w:id="2128"/>
      <w:bookmarkEnd w:id="2129"/>
      <w:bookmarkEnd w:id="2130"/>
      <w:r>
        <w:rPr>
          <w:rFonts w:hint="eastAsia" w:asciiTheme="minorEastAsia" w:hAnsiTheme="minorEastAsia" w:eastAsiaTheme="minorEastAsia" w:cstheme="minorEastAsia"/>
          <w:b w:val="0"/>
          <w:bCs/>
          <w:sz w:val="28"/>
          <w:szCs w:val="28"/>
        </w:rPr>
        <w:t xml:space="preserve"> </w:t>
      </w:r>
      <w:bookmarkEnd w:id="2110"/>
      <w:bookmarkEnd w:id="2111"/>
    </w:p>
    <w:bookmarkEnd w:id="2112"/>
    <w:bookmarkEnd w:id="2113"/>
    <w:bookmarkEnd w:id="2114"/>
    <w:p w14:paraId="3841615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163F0C5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对于每笔暂列金额，发包人可以指示用于下列支付：</w:t>
      </w:r>
    </w:p>
    <w:p w14:paraId="2F3077E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发包人根据第13.1款[发包人变更权]指示变更，决定对合同价格和付款计划表（如有）进行调整的、由承包人实施的工作（包括要提供的工程设备、材料和服务）；</w:t>
      </w:r>
    </w:p>
    <w:p w14:paraId="6E78E30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承包人购买的工程设备、材料、工作或服务，应支付包括承包人已付（或应付）的实际金额以及相应的管理费等费用和利润（管理费和利润应以实际金额为基数根据合同约定的费率（如有）或百分比计算）。</w:t>
      </w:r>
    </w:p>
    <w:p w14:paraId="4B6346A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发包人根据上述</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和（或）</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指示支付暂列金额的，可以要求承包人提交其</w:t>
      </w:r>
      <w:r>
        <w:rPr>
          <w:rFonts w:hint="eastAsia" w:asciiTheme="minorEastAsia" w:hAnsiTheme="minorEastAsia" w:eastAsiaTheme="minorEastAsia" w:cstheme="minorEastAsia"/>
          <w:sz w:val="28"/>
          <w:szCs w:val="28"/>
          <w:lang w:eastAsia="zh-CN"/>
        </w:rPr>
        <w:t>投标人</w:t>
      </w:r>
      <w:r>
        <w:rPr>
          <w:rFonts w:hint="eastAsia" w:asciiTheme="minorEastAsia" w:hAnsiTheme="minorEastAsia" w:eastAsiaTheme="minorEastAsia" w:cstheme="minorEastAsia"/>
          <w:sz w:val="28"/>
          <w:szCs w:val="28"/>
        </w:rPr>
        <w:t>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5418305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每份包含暂列金额的文件还应包括用以证明暂列金额的所有有效的发票、凭证和账户或收据。</w:t>
      </w:r>
    </w:p>
    <w:p w14:paraId="4BA0491F">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131" w:name="_Toc337558845"/>
      <w:bookmarkStart w:id="2132" w:name="_Toc31544"/>
      <w:bookmarkStart w:id="2133" w:name="_Toc18495"/>
      <w:bookmarkStart w:id="2134" w:name="_Ref4431438"/>
      <w:bookmarkStart w:id="2135" w:name="_Toc296503152"/>
      <w:bookmarkStart w:id="2136" w:name="_Toc14174"/>
      <w:bookmarkStart w:id="2137" w:name="_Toc296346653"/>
      <w:r>
        <w:rPr>
          <w:rFonts w:hint="eastAsia" w:asciiTheme="minorEastAsia" w:hAnsiTheme="minorEastAsia" w:eastAsiaTheme="minorEastAsia" w:cstheme="minorEastAsia"/>
          <w:b w:val="0"/>
          <w:bCs/>
          <w:sz w:val="28"/>
          <w:szCs w:val="28"/>
        </w:rPr>
        <w:t>13.6 计日工</w:t>
      </w:r>
      <w:bookmarkEnd w:id="2131"/>
      <w:bookmarkEnd w:id="2132"/>
      <w:bookmarkEnd w:id="2133"/>
      <w:bookmarkEnd w:id="2134"/>
      <w:bookmarkEnd w:id="2135"/>
      <w:bookmarkEnd w:id="2136"/>
      <w:bookmarkEnd w:id="2137"/>
    </w:p>
    <w:p w14:paraId="47902F44">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38" w:name="_Toc25989"/>
      <w:bookmarkStart w:id="2139" w:name="_Toc18262"/>
      <w:r>
        <w:rPr>
          <w:rFonts w:hint="eastAsia" w:asciiTheme="minorEastAsia" w:hAnsiTheme="minorEastAsia" w:eastAsiaTheme="minorEastAsia" w:cstheme="minorEastAsia"/>
          <w:sz w:val="28"/>
          <w:szCs w:val="28"/>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bookmarkEnd w:id="2138"/>
      <w:bookmarkEnd w:id="2139"/>
    </w:p>
    <w:p w14:paraId="215C3F6A">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40" w:name="_Toc30617"/>
      <w:bookmarkStart w:id="2141" w:name="_Toc10879"/>
      <w:r>
        <w:rPr>
          <w:rFonts w:hint="eastAsia" w:asciiTheme="minorEastAsia" w:hAnsiTheme="minorEastAsia" w:eastAsiaTheme="minorEastAsia" w:cstheme="minorEastAsia"/>
          <w:sz w:val="28"/>
          <w:szCs w:val="28"/>
        </w:rPr>
        <w:t>13.6.2 采用计日工计价的任何一项工作，承包人应在该项工作实施过程中，每天提交以下报表和有关凭证报送工程师审查：</w:t>
      </w:r>
      <w:bookmarkEnd w:id="2140"/>
      <w:bookmarkEnd w:id="2141"/>
    </w:p>
    <w:p w14:paraId="7296BDA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工作名称、内容和数量；</w:t>
      </w:r>
    </w:p>
    <w:p w14:paraId="308A2C6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投入该工作的所有人员的姓名、专业、工种、级别和耗用工时；</w:t>
      </w:r>
    </w:p>
    <w:p w14:paraId="262D8F5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投入该工作的材料类别和数量；</w:t>
      </w:r>
    </w:p>
    <w:p w14:paraId="58FE873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投入该工作的施工设备型号、台数和耗用台时；</w:t>
      </w:r>
    </w:p>
    <w:p w14:paraId="0BCB029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其他有关资料和凭证。</w:t>
      </w:r>
    </w:p>
    <w:p w14:paraId="790ACE1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计日工由承包人汇总后，列入最近一期进度付款申请单，由工程师审查并经发包人批准后列入进度付款。</w:t>
      </w:r>
    </w:p>
    <w:p w14:paraId="28CBF187">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142" w:name="_Ref4617331"/>
      <w:bookmarkStart w:id="2143" w:name="_Toc12630"/>
      <w:bookmarkStart w:id="2144" w:name="_Ref4617318"/>
      <w:bookmarkStart w:id="2145" w:name="_Toc9716"/>
      <w:bookmarkStart w:id="2146" w:name="_Toc8937"/>
      <w:r>
        <w:rPr>
          <w:rFonts w:hint="eastAsia" w:asciiTheme="minorEastAsia" w:hAnsiTheme="minorEastAsia" w:eastAsiaTheme="minorEastAsia" w:cstheme="minorEastAsia"/>
          <w:b w:val="0"/>
          <w:bCs/>
          <w:sz w:val="28"/>
          <w:szCs w:val="28"/>
        </w:rPr>
        <w:t>13.7 法律变化引起的调整</w:t>
      </w:r>
      <w:bookmarkEnd w:id="2142"/>
      <w:bookmarkEnd w:id="2143"/>
      <w:bookmarkEnd w:id="2144"/>
      <w:bookmarkEnd w:id="2145"/>
      <w:bookmarkEnd w:id="2146"/>
    </w:p>
    <w:p w14:paraId="19058131">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47" w:name="_Toc32402"/>
      <w:bookmarkStart w:id="2148" w:name="_Toc10923"/>
      <w:r>
        <w:rPr>
          <w:rFonts w:hint="eastAsia" w:asciiTheme="minorEastAsia" w:hAnsiTheme="minorEastAsia" w:eastAsiaTheme="minorEastAsia" w:cstheme="minorEastAsia"/>
          <w:sz w:val="28"/>
          <w:szCs w:val="28"/>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bookmarkEnd w:id="2147"/>
      <w:bookmarkEnd w:id="2148"/>
    </w:p>
    <w:p w14:paraId="3D5D6E47">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49" w:name="_Toc31833"/>
      <w:bookmarkStart w:id="2150" w:name="_Toc21849"/>
      <w:r>
        <w:rPr>
          <w:rFonts w:hint="eastAsia" w:asciiTheme="minorEastAsia" w:hAnsiTheme="minorEastAsia" w:eastAsiaTheme="minorEastAsia" w:cstheme="minorEastAsia"/>
          <w:sz w:val="28"/>
          <w:szCs w:val="28"/>
        </w:rPr>
        <w:t>13.7.2 因法律变化引起的合同价格和工期调整，合同当事人无法达成一致的，由工程师按第3.6款[商定或确定]的约定处理。</w:t>
      </w:r>
      <w:bookmarkEnd w:id="2149"/>
      <w:bookmarkEnd w:id="2150"/>
    </w:p>
    <w:p w14:paraId="412F728D">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51" w:name="_Toc22686"/>
      <w:bookmarkStart w:id="2152" w:name="_Toc19468"/>
      <w:r>
        <w:rPr>
          <w:rFonts w:hint="eastAsia" w:asciiTheme="minorEastAsia" w:hAnsiTheme="minorEastAsia" w:eastAsiaTheme="minorEastAsia" w:cstheme="minorEastAsia"/>
          <w:sz w:val="28"/>
          <w:szCs w:val="28"/>
        </w:rPr>
        <w:t>13.7.3 因承包人原因造成工期延误，在工期延误期间出现法律变化的，由此增加的费用和（或）延误的工期由承包人承担。</w:t>
      </w:r>
      <w:bookmarkEnd w:id="2151"/>
      <w:bookmarkEnd w:id="2152"/>
    </w:p>
    <w:p w14:paraId="2C945DBD">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53" w:name="_Toc27472"/>
      <w:bookmarkStart w:id="2154" w:name="_Toc24586"/>
      <w:r>
        <w:rPr>
          <w:rFonts w:hint="eastAsia" w:asciiTheme="minorEastAsia" w:hAnsiTheme="minorEastAsia" w:eastAsiaTheme="minorEastAsia" w:cstheme="minorEastAsia"/>
          <w:sz w:val="28"/>
          <w:szCs w:val="28"/>
        </w:rPr>
        <w:t>13.7.4 因法律变化而需要对工程的实施进行任何调整的，承包人应迅速通知发包人，或者发包人应迅速通知承包人，并附上详细的辅助资料。发包人接到通知后，应根据第13.3款[变更程序]发出变更指示。</w:t>
      </w:r>
      <w:bookmarkEnd w:id="2153"/>
      <w:bookmarkEnd w:id="2154"/>
    </w:p>
    <w:p w14:paraId="72D41CFB">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155" w:name="_Ref531955630"/>
      <w:bookmarkStart w:id="2156" w:name="_Toc16446"/>
      <w:bookmarkStart w:id="2157" w:name="_Toc10859"/>
      <w:bookmarkStart w:id="2158" w:name="_Ref18977613"/>
      <w:bookmarkStart w:id="2159" w:name="_Toc19466"/>
      <w:bookmarkStart w:id="2160" w:name="_Ref531955627"/>
      <w:r>
        <w:rPr>
          <w:rFonts w:hint="eastAsia" w:asciiTheme="minorEastAsia" w:hAnsiTheme="minorEastAsia" w:eastAsiaTheme="minorEastAsia" w:cstheme="minorEastAsia"/>
          <w:b w:val="0"/>
          <w:bCs/>
          <w:sz w:val="28"/>
          <w:szCs w:val="28"/>
        </w:rPr>
        <w:t>13.8 市场价格波动引起的调整</w:t>
      </w:r>
      <w:bookmarkEnd w:id="2155"/>
      <w:bookmarkEnd w:id="2156"/>
      <w:bookmarkEnd w:id="2157"/>
      <w:bookmarkEnd w:id="2158"/>
      <w:bookmarkEnd w:id="2159"/>
      <w:bookmarkEnd w:id="2160"/>
    </w:p>
    <w:p w14:paraId="50969D8A">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61" w:name="_Toc32202"/>
      <w:bookmarkStart w:id="2162" w:name="_Toc32373"/>
      <w:bookmarkStart w:id="2163" w:name="_Ref4709841"/>
      <w:r>
        <w:rPr>
          <w:rFonts w:hint="eastAsia" w:asciiTheme="minorEastAsia" w:hAnsiTheme="minorEastAsia" w:eastAsiaTheme="minorEastAsia" w:cstheme="minorEastAsia"/>
          <w:sz w:val="28"/>
          <w:szCs w:val="28"/>
        </w:rPr>
        <w:t>13.8.1 主要工程材料、设备、人工价格与招标时基期价相比，波动幅度超过合同约定幅度的，双方按照合同约定的价格调整方式调整。</w:t>
      </w:r>
      <w:bookmarkEnd w:id="2161"/>
      <w:bookmarkEnd w:id="2162"/>
    </w:p>
    <w:p w14:paraId="139C051D">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64" w:name="_Toc10609"/>
      <w:bookmarkStart w:id="2165" w:name="_Toc21148"/>
      <w:r>
        <w:rPr>
          <w:rFonts w:hint="eastAsia" w:asciiTheme="minorEastAsia" w:hAnsiTheme="minorEastAsia" w:eastAsiaTheme="minorEastAsia" w:cstheme="minorEastAsia"/>
          <w:sz w:val="28"/>
          <w:szCs w:val="28"/>
        </w:rPr>
        <w:t>13.8.2 发包人与承包人在专用合同条件中约定采用《价格指数权重表》的，适用本项约定。</w:t>
      </w:r>
      <w:bookmarkEnd w:id="2164"/>
      <w:bookmarkEnd w:id="2165"/>
    </w:p>
    <w:p w14:paraId="23AFE08B">
      <w:pPr>
        <w:pStyle w:val="145"/>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13.8.2.1 双方当事人可以将部分主要工程材料、工程设备、人工价格及其他双方认为应当根据市场价格调整的费用列入附件6[价格指数权重表]，并根据以下公式计算差额并调整合同价格：</w:t>
      </w:r>
    </w:p>
    <w:bookmarkEnd w:id="2163"/>
    <w:p w14:paraId="365EB85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166" w:name="_Ref4616996"/>
      <w:r>
        <w:rPr>
          <w:rFonts w:hint="eastAsia" w:asciiTheme="minorEastAsia" w:hAnsiTheme="minorEastAsia" w:eastAsiaTheme="minorEastAsia" w:cstheme="minorEastAsia"/>
          <w:sz w:val="28"/>
          <w:szCs w:val="28"/>
        </w:rPr>
        <w:t>（1） 价格调整公式</w:t>
      </w:r>
      <w:bookmarkEnd w:id="2166"/>
    </w:p>
    <w:p w14:paraId="5C21D99B">
      <w:pPr>
        <w:keepNext w:val="0"/>
        <w:keepLines w:val="0"/>
        <w:pageBreakBefore w:val="0"/>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drawing>
          <wp:inline distT="0" distB="0" distL="114300" distR="114300">
            <wp:extent cx="4777740" cy="678815"/>
            <wp:effectExtent l="0" t="0" r="7620"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5"/>
                    <a:stretch>
                      <a:fillRect/>
                    </a:stretch>
                  </pic:blipFill>
                  <pic:spPr>
                    <a:xfrm>
                      <a:off x="0" y="0"/>
                      <a:ext cx="4777740" cy="678815"/>
                    </a:xfrm>
                    <a:prstGeom prst="rect">
                      <a:avLst/>
                    </a:prstGeom>
                    <a:noFill/>
                    <a:ln>
                      <a:noFill/>
                    </a:ln>
                  </pic:spPr>
                </pic:pic>
              </a:graphicData>
            </a:graphic>
          </wp:inline>
        </w:drawing>
      </w:r>
    </w:p>
    <w:p w14:paraId="028E154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公式中：△P---需调整的价格差额；</w:t>
      </w:r>
    </w:p>
    <w:p w14:paraId="000B480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P</w:t>
      </w:r>
      <w:r>
        <w:rPr>
          <w:rFonts w:hint="eastAsia" w:asciiTheme="minorEastAsia" w:hAnsiTheme="minorEastAsia" w:eastAsiaTheme="minorEastAsia" w:cstheme="minorEastAsia"/>
          <w:sz w:val="28"/>
          <w:szCs w:val="28"/>
          <w:vertAlign w:val="subscript"/>
        </w:rPr>
        <w:t>O</w:t>
      </w:r>
      <w:r>
        <w:rPr>
          <w:rFonts w:hint="eastAsia" w:asciiTheme="minorEastAsia" w:hAnsiTheme="minorEastAsia" w:eastAsiaTheme="minorEastAsia" w:cstheme="minorEastAsia"/>
          <w:sz w:val="28"/>
          <w:szCs w:val="28"/>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5EA583C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A ---定值权重（即不调部分的权重）； </w:t>
      </w:r>
    </w:p>
    <w:p w14:paraId="0904FA0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167" w:name="_Hlk24103184"/>
      <w:r>
        <w:rPr>
          <w:rFonts w:hint="eastAsia" w:asciiTheme="minorEastAsia" w:hAnsiTheme="minorEastAsia" w:eastAsiaTheme="minorEastAsia" w:cstheme="minorEastAsia"/>
          <w:sz w:val="28"/>
          <w:szCs w:val="28"/>
        </w:rPr>
        <w:t>B</w:t>
      </w:r>
      <w:r>
        <w:rPr>
          <w:rFonts w:hint="eastAsia" w:asciiTheme="minorEastAsia" w:hAnsiTheme="minorEastAsia" w:eastAsiaTheme="minorEastAsia" w:cstheme="minorEastAsia"/>
          <w:sz w:val="28"/>
          <w:szCs w:val="28"/>
          <w:vertAlign w:val="subscript"/>
        </w:rPr>
        <w:t>1</w:t>
      </w:r>
      <w:bookmarkEnd w:id="2167"/>
      <w:r>
        <w:rPr>
          <w:rFonts w:hint="eastAsia" w:asciiTheme="minorEastAsia" w:hAnsiTheme="minorEastAsia" w:eastAsiaTheme="minorEastAsia" w:cstheme="minorEastAsia"/>
          <w:sz w:val="28"/>
          <w:szCs w:val="28"/>
        </w:rPr>
        <w:t>；</w:t>
      </w:r>
      <w:bookmarkStart w:id="2168" w:name="_Hlk24103205"/>
      <w:r>
        <w:rPr>
          <w:rFonts w:hint="eastAsia" w:asciiTheme="minorEastAsia" w:hAnsiTheme="minorEastAsia" w:eastAsiaTheme="minorEastAsia" w:cstheme="minorEastAsia"/>
          <w:sz w:val="28"/>
          <w:szCs w:val="28"/>
        </w:rPr>
        <w:t>B</w:t>
      </w:r>
      <w:r>
        <w:rPr>
          <w:rFonts w:hint="eastAsia" w:asciiTheme="minorEastAsia" w:hAnsiTheme="minorEastAsia" w:eastAsiaTheme="minorEastAsia" w:cstheme="minorEastAsia"/>
          <w:sz w:val="28"/>
          <w:szCs w:val="28"/>
          <w:vertAlign w:val="subscript"/>
        </w:rPr>
        <w:t>2</w:t>
      </w:r>
      <w:bookmarkEnd w:id="2168"/>
      <w:r>
        <w:rPr>
          <w:rFonts w:hint="eastAsia" w:asciiTheme="minorEastAsia" w:hAnsiTheme="minorEastAsia" w:eastAsiaTheme="minorEastAsia" w:cstheme="minorEastAsia"/>
          <w:sz w:val="28"/>
          <w:szCs w:val="28"/>
        </w:rPr>
        <w:t>；</w:t>
      </w:r>
      <w:bookmarkStart w:id="2169" w:name="_Hlk24103220"/>
      <w:r>
        <w:rPr>
          <w:rFonts w:hint="eastAsia" w:asciiTheme="minorEastAsia" w:hAnsiTheme="minorEastAsia" w:eastAsiaTheme="minorEastAsia" w:cstheme="minorEastAsia"/>
          <w:sz w:val="28"/>
          <w:szCs w:val="28"/>
        </w:rPr>
        <w:t>B</w:t>
      </w:r>
      <w:r>
        <w:rPr>
          <w:rFonts w:hint="eastAsia" w:asciiTheme="minorEastAsia" w:hAnsiTheme="minorEastAsia" w:eastAsiaTheme="minorEastAsia" w:cstheme="minorEastAsia"/>
          <w:sz w:val="28"/>
          <w:szCs w:val="28"/>
          <w:vertAlign w:val="subscript"/>
        </w:rPr>
        <w:t>3</w:t>
      </w:r>
      <w:bookmarkEnd w:id="2169"/>
      <w:r>
        <w:rPr>
          <w:rFonts w:hint="eastAsia" w:asciiTheme="minorEastAsia" w:hAnsiTheme="minorEastAsia" w:eastAsiaTheme="minorEastAsia" w:cstheme="minorEastAsia"/>
          <w:sz w:val="28"/>
          <w:szCs w:val="28"/>
        </w:rPr>
        <w:t>；……</w:t>
      </w:r>
      <w:bookmarkStart w:id="2170" w:name="_Hlk24103245"/>
      <w:r>
        <w:rPr>
          <w:rFonts w:hint="eastAsia" w:asciiTheme="minorEastAsia" w:hAnsiTheme="minorEastAsia" w:eastAsiaTheme="minorEastAsia" w:cstheme="minorEastAsia"/>
          <w:sz w:val="28"/>
          <w:szCs w:val="28"/>
        </w:rPr>
        <w:t>B</w:t>
      </w:r>
      <w:r>
        <w:rPr>
          <w:rFonts w:hint="eastAsia" w:asciiTheme="minorEastAsia" w:hAnsiTheme="minorEastAsia" w:eastAsiaTheme="minorEastAsia" w:cstheme="minorEastAsia"/>
          <w:sz w:val="28"/>
          <w:szCs w:val="28"/>
          <w:vertAlign w:val="subscript"/>
        </w:rPr>
        <w:t>n</w:t>
      </w:r>
      <w:bookmarkEnd w:id="2170"/>
      <w:r>
        <w:rPr>
          <w:rFonts w:hint="eastAsia" w:asciiTheme="minorEastAsia" w:hAnsiTheme="minorEastAsia" w:eastAsiaTheme="minorEastAsia" w:cstheme="minorEastAsia"/>
          <w:sz w:val="28"/>
          <w:szCs w:val="28"/>
        </w:rPr>
        <w:t>---各可调因子的变值权重（即可调部分的权重）为各可调因子在投标函投标总报价中所占的比例，A+B</w:t>
      </w:r>
      <w:r>
        <w:rPr>
          <w:rFonts w:hint="eastAsia" w:asciiTheme="minorEastAsia" w:hAnsiTheme="minorEastAsia" w:eastAsiaTheme="minorEastAsia" w:cstheme="minorEastAsia"/>
          <w:sz w:val="28"/>
          <w:szCs w:val="28"/>
          <w:vertAlign w:val="subscript"/>
        </w:rPr>
        <w:t>1</w:t>
      </w:r>
      <w:r>
        <w:rPr>
          <w:rFonts w:hint="eastAsia" w:asciiTheme="minorEastAsia" w:hAnsiTheme="minorEastAsia" w:eastAsiaTheme="minorEastAsia" w:cstheme="minorEastAsia"/>
          <w:sz w:val="28"/>
          <w:szCs w:val="28"/>
        </w:rPr>
        <w:t>+B</w:t>
      </w:r>
      <w:r>
        <w:rPr>
          <w:rFonts w:hint="eastAsia" w:asciiTheme="minorEastAsia" w:hAnsiTheme="minorEastAsia" w:eastAsiaTheme="minorEastAsia" w:cstheme="minorEastAsia"/>
          <w:sz w:val="28"/>
          <w:szCs w:val="28"/>
          <w:vertAlign w:val="subscript"/>
        </w:rPr>
        <w:t>2</w:t>
      </w:r>
      <w:r>
        <w:rPr>
          <w:rFonts w:hint="eastAsia" w:asciiTheme="minorEastAsia" w:hAnsiTheme="minorEastAsia" w:eastAsiaTheme="minorEastAsia" w:cstheme="minorEastAsia"/>
          <w:sz w:val="28"/>
          <w:szCs w:val="28"/>
        </w:rPr>
        <w:t>+B</w:t>
      </w:r>
      <w:r>
        <w:rPr>
          <w:rFonts w:hint="eastAsia" w:asciiTheme="minorEastAsia" w:hAnsiTheme="minorEastAsia" w:eastAsiaTheme="minorEastAsia" w:cstheme="minorEastAsia"/>
          <w:sz w:val="28"/>
          <w:szCs w:val="28"/>
          <w:vertAlign w:val="subscript"/>
        </w:rPr>
        <w:t>3</w:t>
      </w:r>
      <w:r>
        <w:rPr>
          <w:rFonts w:hint="eastAsia" w:asciiTheme="minorEastAsia" w:hAnsiTheme="minorEastAsia" w:eastAsiaTheme="minorEastAsia" w:cstheme="minorEastAsia"/>
          <w:sz w:val="28"/>
          <w:szCs w:val="28"/>
        </w:rPr>
        <w:t>+……+B</w:t>
      </w:r>
      <w:r>
        <w:rPr>
          <w:rFonts w:hint="eastAsia" w:asciiTheme="minorEastAsia" w:hAnsiTheme="minorEastAsia" w:eastAsiaTheme="minorEastAsia" w:cstheme="minorEastAsia"/>
          <w:sz w:val="28"/>
          <w:szCs w:val="28"/>
          <w:vertAlign w:val="subscript"/>
        </w:rPr>
        <w:t>n</w:t>
      </w:r>
      <w:r>
        <w:rPr>
          <w:rFonts w:hint="eastAsia" w:asciiTheme="minorEastAsia" w:hAnsiTheme="minorEastAsia" w:eastAsiaTheme="minorEastAsia" w:cstheme="minorEastAsia"/>
          <w:sz w:val="28"/>
          <w:szCs w:val="28"/>
        </w:rPr>
        <w:t>=1；</w:t>
      </w:r>
    </w:p>
    <w:p w14:paraId="6160621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t1</w:t>
      </w: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t2</w:t>
      </w: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t3</w:t>
      </w: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tn</w:t>
      </w:r>
      <w:r>
        <w:rPr>
          <w:rFonts w:hint="eastAsia" w:asciiTheme="minorEastAsia" w:hAnsiTheme="minorEastAsia" w:eastAsiaTheme="minorEastAsia" w:cstheme="minorEastAsia"/>
          <w:sz w:val="28"/>
          <w:szCs w:val="28"/>
        </w:rPr>
        <w:t>---各可调因子的当期价格指数，指付款证书相关周期最后一天的前42天的各可调因子的价格指数；</w:t>
      </w:r>
    </w:p>
    <w:p w14:paraId="636FC2A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01</w:t>
      </w: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02</w:t>
      </w: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03</w:t>
      </w:r>
      <w:r>
        <w:rPr>
          <w:rFonts w:hint="eastAsia" w:asciiTheme="minorEastAsia" w:hAnsiTheme="minorEastAsia" w:eastAsiaTheme="minorEastAsia" w:cstheme="minorEastAsia"/>
          <w:sz w:val="28"/>
          <w:szCs w:val="28"/>
        </w:rPr>
        <w:t>；……F</w:t>
      </w:r>
      <w:r>
        <w:rPr>
          <w:rFonts w:hint="eastAsia" w:asciiTheme="minorEastAsia" w:hAnsiTheme="minorEastAsia" w:eastAsiaTheme="minorEastAsia" w:cstheme="minorEastAsia"/>
          <w:sz w:val="28"/>
          <w:szCs w:val="28"/>
          <w:vertAlign w:val="subscript"/>
        </w:rPr>
        <w:t>0n</w:t>
      </w:r>
      <w:r>
        <w:rPr>
          <w:rFonts w:hint="eastAsia" w:asciiTheme="minorEastAsia" w:hAnsiTheme="minorEastAsia" w:eastAsiaTheme="minorEastAsia" w:cstheme="minorEastAsia"/>
          <w:sz w:val="28"/>
          <w:szCs w:val="28"/>
        </w:rPr>
        <w:t>---各可调因子的基本价格指数，指基准日期的各可调因子的价格指数。</w:t>
      </w:r>
    </w:p>
    <w:p w14:paraId="3E781B7B">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1849B4A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暂时确定调整差额</w:t>
      </w:r>
    </w:p>
    <w:p w14:paraId="49EBEA6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在计算调整差额时得不到当期价格指数的，可暂用上一次价格指数计算，并在以后的付款中再按实际价格指数进行调整。</w:t>
      </w:r>
    </w:p>
    <w:p w14:paraId="397536E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权重的调整</w:t>
      </w:r>
    </w:p>
    <w:p w14:paraId="20957B1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按第13.1款[发包人变更权]约定的变更导致原定合同中的权重不合理的，由工程师与承包人和发包人协商后进行调整。</w:t>
      </w:r>
    </w:p>
    <w:p w14:paraId="1EDFC01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承包人原因工期延误后的价格调整</w:t>
      </w:r>
    </w:p>
    <w:p w14:paraId="1433752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因承包人原因未在约定的工期内竣工的，则对原约定竣工日期后继续施工的工程，在使用本款第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项价格调整公式时，应采用原约定竣工日期与实际竣工日期的两个价格指数中较低的一个作为当期价格指数。</w:t>
      </w:r>
    </w:p>
    <w:p w14:paraId="5716010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发包人引起的工期延误后的价格调整</w:t>
      </w:r>
    </w:p>
    <w:p w14:paraId="5BD2BB0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由于发包人原因未在约定的工期内竣工的，则对原约定竣工日期后继续施工的工程，在使用本款第（1）</w:t>
      </w:r>
      <w:r>
        <w:rPr>
          <w:rFonts w:hint="eastAsia" w:asciiTheme="minorEastAsia" w:hAnsiTheme="minorEastAsia" w:eastAsiaTheme="minorEastAsia" w:cstheme="minorEastAsia"/>
          <w:sz w:val="28"/>
          <w:szCs w:val="28"/>
          <w:lang w:val="en-US" w:eastAsia="zh-CN"/>
        </w:rPr>
        <w:t>项</w:t>
      </w:r>
      <w:r>
        <w:rPr>
          <w:rFonts w:hint="eastAsia" w:asciiTheme="minorEastAsia" w:hAnsiTheme="minorEastAsia" w:eastAsiaTheme="minorEastAsia" w:cstheme="minorEastAsia"/>
          <w:sz w:val="28"/>
          <w:szCs w:val="28"/>
        </w:rPr>
        <w:t>价格调整公式时，应采用原约定竣工日期与实际竣工日期的两个价格指数中较高的一个作为当期价格指数。</w:t>
      </w:r>
    </w:p>
    <w:p w14:paraId="29C6DF04">
      <w:pPr>
        <w:bidi w:val="0"/>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13.8.2.2 未列入</w:t>
      </w:r>
      <w:bookmarkStart w:id="2171" w:name="_Hlk24494865"/>
      <w:r>
        <w:rPr>
          <w:rFonts w:hint="eastAsia" w:asciiTheme="minorEastAsia" w:hAnsiTheme="minorEastAsia" w:eastAsiaTheme="minorEastAsia" w:cstheme="minorEastAsia"/>
          <w:sz w:val="28"/>
          <w:szCs w:val="28"/>
        </w:rPr>
        <w:t>《价格指数权重表》</w:t>
      </w:r>
      <w:bookmarkEnd w:id="2171"/>
      <w:r>
        <w:rPr>
          <w:rFonts w:hint="eastAsia" w:asciiTheme="minorEastAsia" w:hAnsiTheme="minorEastAsia" w:eastAsiaTheme="minorEastAsia" w:cstheme="minorEastAsia"/>
          <w:sz w:val="28"/>
          <w:szCs w:val="28"/>
        </w:rPr>
        <w:t>的费用不因市场变化而调整。</w:t>
      </w:r>
    </w:p>
    <w:p w14:paraId="568456A9">
      <w:pPr>
        <w:bidi w:val="0"/>
        <w:outlineLvl w:val="9"/>
        <w:rPr>
          <w:rFonts w:hint="eastAsia" w:asciiTheme="minorEastAsia" w:hAnsiTheme="minorEastAsia" w:eastAsiaTheme="minorEastAsia" w:cstheme="minorEastAsia"/>
          <w:sz w:val="28"/>
          <w:szCs w:val="28"/>
        </w:rPr>
      </w:pPr>
      <w:bookmarkStart w:id="2172" w:name="_Toc24996"/>
      <w:bookmarkStart w:id="2173" w:name="_Toc1221"/>
      <w:bookmarkStart w:id="2174" w:name="_Toc29647"/>
      <w:bookmarkStart w:id="2175" w:name="_Toc29688"/>
      <w:bookmarkStart w:id="2176" w:name="_Toc27650"/>
      <w:r>
        <w:rPr>
          <w:rFonts w:hint="eastAsia" w:asciiTheme="minorEastAsia" w:hAnsiTheme="minorEastAsia" w:eastAsiaTheme="minorEastAsia" w:cstheme="minorEastAsia"/>
          <w:sz w:val="28"/>
          <w:szCs w:val="28"/>
        </w:rPr>
        <w:t>13.8.3 双方约定采用其他方式调整合同价款的，以专用合同条件约定为准。</w:t>
      </w:r>
      <w:bookmarkEnd w:id="2172"/>
      <w:bookmarkEnd w:id="2173"/>
      <w:bookmarkEnd w:id="2174"/>
      <w:bookmarkEnd w:id="2175"/>
      <w:bookmarkEnd w:id="2176"/>
    </w:p>
    <w:p w14:paraId="3E91B1BC">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177" w:name="_Toc4145"/>
      <w:bookmarkStart w:id="2178" w:name="_Toc6106"/>
      <w:bookmarkStart w:id="2179" w:name="_Toc22247"/>
      <w:bookmarkStart w:id="2180" w:name="_Toc16969"/>
      <w:bookmarkStart w:id="2181" w:name="_Ref531955880"/>
      <w:bookmarkStart w:id="2182" w:name="_Toc26418"/>
      <w:bookmarkStart w:id="2183" w:name="_Ref531955885"/>
      <w:r>
        <w:rPr>
          <w:rFonts w:hint="eastAsia" w:asciiTheme="minorEastAsia" w:hAnsiTheme="minorEastAsia" w:eastAsiaTheme="minorEastAsia" w:cstheme="minorEastAsia"/>
          <w:b w:val="0"/>
          <w:bCs/>
          <w:sz w:val="28"/>
          <w:szCs w:val="28"/>
        </w:rPr>
        <w:t>第14条 合同价格与支付</w:t>
      </w:r>
      <w:bookmarkEnd w:id="2177"/>
      <w:bookmarkEnd w:id="2178"/>
      <w:bookmarkEnd w:id="2179"/>
      <w:bookmarkEnd w:id="2180"/>
      <w:bookmarkEnd w:id="2181"/>
      <w:bookmarkEnd w:id="2182"/>
      <w:bookmarkEnd w:id="2183"/>
    </w:p>
    <w:p w14:paraId="3E67E8C1">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184" w:name="_Toc7681"/>
      <w:bookmarkStart w:id="2185" w:name="_Ref4431531"/>
      <w:bookmarkStart w:id="2186" w:name="_Toc19553"/>
      <w:bookmarkStart w:id="2187" w:name="_Toc9866"/>
      <w:bookmarkStart w:id="2188" w:name="_Ref4431521"/>
      <w:r>
        <w:rPr>
          <w:rFonts w:hint="eastAsia" w:asciiTheme="minorEastAsia" w:hAnsiTheme="minorEastAsia" w:eastAsiaTheme="minorEastAsia" w:cstheme="minorEastAsia"/>
          <w:b w:val="0"/>
          <w:bCs/>
          <w:sz w:val="28"/>
          <w:szCs w:val="28"/>
        </w:rPr>
        <w:t>14.1 合同价格形式</w:t>
      </w:r>
      <w:bookmarkEnd w:id="2184"/>
      <w:bookmarkEnd w:id="2185"/>
      <w:bookmarkEnd w:id="2186"/>
      <w:bookmarkEnd w:id="2187"/>
      <w:bookmarkEnd w:id="2188"/>
    </w:p>
    <w:p w14:paraId="597415A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89" w:name="_Toc16742"/>
      <w:bookmarkStart w:id="2190" w:name="_Toc22808"/>
      <w:r>
        <w:rPr>
          <w:rFonts w:hint="eastAsia" w:asciiTheme="minorEastAsia" w:hAnsiTheme="minorEastAsia" w:eastAsiaTheme="minorEastAsia" w:cstheme="minorEastAsia"/>
          <w:sz w:val="28"/>
          <w:szCs w:val="28"/>
        </w:rPr>
        <w:t>14.1.1 除专用合同条件中另有约定外，本合同为总价合同，除根据第13条[变更与调整]，以及合同中</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相关增减金额的约定进行调整外，合同价格</w:t>
      </w:r>
      <w:r>
        <w:rPr>
          <w:rFonts w:hint="eastAsia" w:asciiTheme="minorEastAsia" w:hAnsiTheme="minorEastAsia" w:eastAsiaTheme="minorEastAsia" w:cstheme="minorEastAsia"/>
          <w:sz w:val="28"/>
          <w:szCs w:val="28"/>
          <w:lang w:eastAsia="zh-CN"/>
        </w:rPr>
        <w:t>不作</w:t>
      </w:r>
      <w:r>
        <w:rPr>
          <w:rFonts w:hint="eastAsia" w:asciiTheme="minorEastAsia" w:hAnsiTheme="minorEastAsia" w:eastAsiaTheme="minorEastAsia" w:cstheme="minorEastAsia"/>
          <w:sz w:val="28"/>
          <w:szCs w:val="28"/>
        </w:rPr>
        <w:t>调整。</w:t>
      </w:r>
      <w:bookmarkEnd w:id="2189"/>
      <w:bookmarkEnd w:id="2190"/>
    </w:p>
    <w:p w14:paraId="7F4756D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91" w:name="_Toc5727"/>
      <w:bookmarkStart w:id="2192" w:name="_Toc19306"/>
      <w:r>
        <w:rPr>
          <w:rFonts w:hint="eastAsia" w:asciiTheme="minorEastAsia" w:hAnsiTheme="minorEastAsia" w:eastAsiaTheme="minorEastAsia" w:cstheme="minorEastAsia"/>
          <w:sz w:val="28"/>
          <w:szCs w:val="28"/>
        </w:rPr>
        <w:t>14.1.2 除专用合同条件另有约定外：</w:t>
      </w:r>
      <w:bookmarkEnd w:id="2191"/>
      <w:bookmarkEnd w:id="2192"/>
    </w:p>
    <w:p w14:paraId="11BB620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工程款的支付应以合同协议书约定的签约合同价格为基础，按照合同约定进行调整；</w:t>
      </w:r>
    </w:p>
    <w:p w14:paraId="2D1E891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承包人应支付根据法律规定或合同约定应由其支付的各项税费，除第13.7款[法律变化引起的调整]约定外，合同价格不应因任何这些税费进行调整；</w:t>
      </w:r>
    </w:p>
    <w:p w14:paraId="17069C2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6986064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193" w:name="_Toc19799"/>
      <w:bookmarkStart w:id="2194" w:name="_Toc18759"/>
      <w:r>
        <w:rPr>
          <w:rFonts w:hint="eastAsia" w:asciiTheme="minorEastAsia" w:hAnsiTheme="minorEastAsia" w:eastAsiaTheme="minorEastAsia" w:cstheme="minorEastAsia"/>
          <w:sz w:val="28"/>
          <w:szCs w:val="28"/>
        </w:rPr>
        <w:t>14.1.3 合同约定工程的某部分按照实际完成的工程量进行支付的，应按照专用合同条件的约定进行计量和估价，并据此调整合同价格。</w:t>
      </w:r>
      <w:bookmarkEnd w:id="2193"/>
      <w:bookmarkEnd w:id="2194"/>
    </w:p>
    <w:p w14:paraId="573E6572">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195" w:name="_Toc20371"/>
      <w:bookmarkStart w:id="2196" w:name="_Ref531956884"/>
      <w:bookmarkStart w:id="2197" w:name="_Toc14562"/>
      <w:bookmarkStart w:id="2198" w:name="_Ref531956881"/>
      <w:bookmarkStart w:id="2199" w:name="_Toc27832"/>
      <w:r>
        <w:rPr>
          <w:rFonts w:hint="eastAsia" w:asciiTheme="minorEastAsia" w:hAnsiTheme="minorEastAsia" w:eastAsiaTheme="minorEastAsia" w:cstheme="minorEastAsia"/>
          <w:b w:val="0"/>
          <w:bCs/>
          <w:sz w:val="28"/>
          <w:szCs w:val="28"/>
        </w:rPr>
        <w:t>14.2 预付款</w:t>
      </w:r>
      <w:bookmarkEnd w:id="2195"/>
      <w:bookmarkEnd w:id="2196"/>
      <w:bookmarkEnd w:id="2197"/>
      <w:bookmarkEnd w:id="2198"/>
      <w:bookmarkEnd w:id="2199"/>
    </w:p>
    <w:p w14:paraId="5CAC00D5">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00" w:name="_Toc14256"/>
      <w:bookmarkStart w:id="2201" w:name="_Toc20390"/>
      <w:r>
        <w:rPr>
          <w:rFonts w:hint="eastAsia" w:asciiTheme="minorEastAsia" w:hAnsiTheme="minorEastAsia" w:eastAsiaTheme="minorEastAsia" w:cstheme="minorEastAsia"/>
          <w:sz w:val="28"/>
          <w:szCs w:val="28"/>
        </w:rPr>
        <w:t>14.2.1 预付款支付</w:t>
      </w:r>
      <w:bookmarkEnd w:id="2200"/>
      <w:bookmarkEnd w:id="2201"/>
    </w:p>
    <w:p w14:paraId="7383760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预付款的额度和支付按照专用合同条件约定执行。预付款应当专</w:t>
      </w:r>
      <w:r>
        <w:rPr>
          <w:rFonts w:hint="eastAsia" w:asciiTheme="minorEastAsia" w:hAnsiTheme="minorEastAsia" w:eastAsiaTheme="minorEastAsia" w:cstheme="minorEastAsia"/>
          <w:sz w:val="28"/>
          <w:szCs w:val="28"/>
          <w:lang w:val="en-US" w:eastAsia="zh-CN"/>
        </w:rPr>
        <w:t>门</w:t>
      </w:r>
      <w:r>
        <w:rPr>
          <w:rFonts w:hint="eastAsia" w:asciiTheme="minorEastAsia" w:hAnsiTheme="minorEastAsia" w:eastAsiaTheme="minorEastAsia" w:cstheme="minorEastAsia"/>
          <w:sz w:val="28"/>
          <w:szCs w:val="28"/>
        </w:rPr>
        <w:t>用于承包人为合同工程的设计和工程实施购置材料、工程设备、施工设备、修建临时设施以及组织施工队伍进场等合同工作。</w:t>
      </w:r>
    </w:p>
    <w:p w14:paraId="581C1C1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除专用合同条件另有约定外，预付款在进度付款中同比例扣回。在颁发工程接收证书前，提前解除合同的，尚未扣完的预付款应与合同价款一并结算。</w:t>
      </w:r>
    </w:p>
    <w:p w14:paraId="248879A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发包人逾期支付预付款超过7天的，承包人有权向发包人发出要求预付的催告通知，发包人收到通知后7天内仍未支付的，承包人有权暂停施工，并按第15.1.1项[发包人违约的情形]执行。</w:t>
      </w:r>
    </w:p>
    <w:p w14:paraId="65F2DA9B">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02" w:name="_Ref531956907"/>
      <w:bookmarkStart w:id="2203" w:name="_Toc30426"/>
      <w:bookmarkStart w:id="2204" w:name="_Ref4797624"/>
      <w:bookmarkStart w:id="2205" w:name="_Toc31196"/>
      <w:bookmarkStart w:id="2206" w:name="_Hlk54429963"/>
      <w:r>
        <w:rPr>
          <w:rFonts w:hint="eastAsia" w:asciiTheme="minorEastAsia" w:hAnsiTheme="minorEastAsia" w:eastAsiaTheme="minorEastAsia" w:cstheme="minorEastAsia"/>
          <w:sz w:val="28"/>
          <w:szCs w:val="28"/>
        </w:rPr>
        <w:t>14.2.2 预付款</w:t>
      </w:r>
      <w:bookmarkEnd w:id="2202"/>
      <w:r>
        <w:rPr>
          <w:rFonts w:hint="eastAsia" w:asciiTheme="minorEastAsia" w:hAnsiTheme="minorEastAsia" w:eastAsiaTheme="minorEastAsia" w:cstheme="minorEastAsia"/>
          <w:sz w:val="28"/>
          <w:szCs w:val="28"/>
        </w:rPr>
        <w:t>担保</w:t>
      </w:r>
      <w:bookmarkEnd w:id="2203"/>
      <w:bookmarkEnd w:id="2204"/>
      <w:bookmarkEnd w:id="2205"/>
    </w:p>
    <w:bookmarkEnd w:id="2206"/>
    <w:p w14:paraId="27C8804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5C317D6B">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发包人在工程款中逐期扣回预付款后，预付款担保额度应相应减少，但剩余的预付款担保金额不得低于未被扣回的预付款金额。</w:t>
      </w:r>
    </w:p>
    <w:p w14:paraId="3117EFA0">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207" w:name="_Toc4784194"/>
      <w:bookmarkEnd w:id="2207"/>
      <w:bookmarkStart w:id="2208" w:name="_Toc4784193"/>
      <w:bookmarkEnd w:id="2208"/>
      <w:bookmarkStart w:id="2209" w:name="_Toc4784195"/>
      <w:bookmarkEnd w:id="2209"/>
      <w:bookmarkStart w:id="2210" w:name="_Toc22860"/>
      <w:bookmarkStart w:id="2211" w:name="_Ref531956963"/>
      <w:bookmarkStart w:id="2212" w:name="_Ref531956967"/>
      <w:bookmarkStart w:id="2213" w:name="_Toc27058"/>
      <w:bookmarkStart w:id="2214" w:name="_Toc32680"/>
      <w:bookmarkStart w:id="2215" w:name="_Ref4623398"/>
      <w:r>
        <w:rPr>
          <w:rFonts w:hint="eastAsia" w:asciiTheme="minorEastAsia" w:hAnsiTheme="minorEastAsia" w:eastAsiaTheme="minorEastAsia" w:cstheme="minorEastAsia"/>
          <w:b w:val="0"/>
          <w:bCs/>
          <w:sz w:val="28"/>
          <w:szCs w:val="28"/>
        </w:rPr>
        <w:t>14.3 工程进度款</w:t>
      </w:r>
      <w:bookmarkEnd w:id="2210"/>
      <w:bookmarkEnd w:id="2211"/>
      <w:bookmarkEnd w:id="2212"/>
      <w:bookmarkEnd w:id="2213"/>
      <w:bookmarkEnd w:id="2214"/>
      <w:bookmarkEnd w:id="2215"/>
    </w:p>
    <w:p w14:paraId="2855A406">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16" w:name="_Toc6675"/>
      <w:bookmarkStart w:id="2217" w:name="_Toc10410"/>
      <w:bookmarkStart w:id="2218" w:name="_Ref532679934"/>
      <w:bookmarkStart w:id="2219" w:name="_Ref531956987"/>
      <w:r>
        <w:rPr>
          <w:rFonts w:hint="eastAsia" w:asciiTheme="minorEastAsia" w:hAnsiTheme="minorEastAsia" w:eastAsiaTheme="minorEastAsia" w:cstheme="minorEastAsia"/>
          <w:sz w:val="28"/>
          <w:szCs w:val="28"/>
        </w:rPr>
        <w:t>14.3.1 工程进度付款申请</w:t>
      </w:r>
      <w:bookmarkEnd w:id="2216"/>
      <w:bookmarkEnd w:id="2217"/>
      <w:bookmarkEnd w:id="2218"/>
      <w:bookmarkEnd w:id="2219"/>
    </w:p>
    <w:p w14:paraId="760803F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（1）人工费的申请</w:t>
      </w:r>
    </w:p>
    <w:p w14:paraId="17F52E1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728CA6B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（2）除专用合同条件另有约定外，承包人应在每月月末向工程师提交进度付款申请单，该进度付款申请单应包括下列内容：</w:t>
      </w:r>
    </w:p>
    <w:p w14:paraId="0023730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20" w:name="_Ref24496054"/>
      <w:r>
        <w:rPr>
          <w:rFonts w:hint="eastAsia" w:asciiTheme="minorEastAsia" w:hAnsiTheme="minorEastAsia" w:eastAsiaTheme="minorEastAsia" w:cstheme="minorEastAsia"/>
          <w:sz w:val="28"/>
          <w:szCs w:val="28"/>
        </w:rPr>
        <w:t>1） 截至本次付款周期内已完成工作对应的金额；</w:t>
      </w:r>
      <w:bookmarkEnd w:id="2220"/>
    </w:p>
    <w:p w14:paraId="346D480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扣除依据本款第（1）目约定中已扣除的人工费金额；</w:t>
      </w:r>
    </w:p>
    <w:p w14:paraId="61D6314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根据第13条[变更与调整]应增加和扣减的变更金额；</w:t>
      </w:r>
    </w:p>
    <w:p w14:paraId="7CF02B8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根据第14.2款[预付款]约定应支付的预付款和扣减的返还预付款；</w:t>
      </w:r>
    </w:p>
    <w:p w14:paraId="31A562A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根据第14.6.2项[质量保证金的预留]约定应预留的质量保证金金额；</w:t>
      </w:r>
    </w:p>
    <w:p w14:paraId="7ECD7B5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根据第19条[索赔]应增加和扣减的索赔金额；</w:t>
      </w:r>
    </w:p>
    <w:p w14:paraId="464F352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对已签发的进度款支付证书中出现错误的修正，应在本次进度付款中支付或扣除的金额；</w:t>
      </w:r>
    </w:p>
    <w:p w14:paraId="24E056B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 根据合同约定应增加和扣减的其他金额。</w:t>
      </w:r>
    </w:p>
    <w:p w14:paraId="523E0B20">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21" w:name="_Toc26469"/>
      <w:bookmarkStart w:id="2222" w:name="_Ref531957608"/>
      <w:bookmarkStart w:id="2223" w:name="_Toc1946"/>
      <w:r>
        <w:rPr>
          <w:rFonts w:hint="eastAsia" w:asciiTheme="minorEastAsia" w:hAnsiTheme="minorEastAsia" w:eastAsiaTheme="minorEastAsia" w:cstheme="minorEastAsia"/>
          <w:sz w:val="28"/>
          <w:szCs w:val="28"/>
        </w:rPr>
        <w:t>14.3.2 进度付款审核和支付</w:t>
      </w:r>
      <w:bookmarkEnd w:id="2221"/>
      <w:bookmarkEnd w:id="2222"/>
      <w:bookmarkEnd w:id="2223"/>
    </w:p>
    <w:p w14:paraId="49530128">
      <w:pPr>
        <w:pStyle w:val="146"/>
        <w:keepNext w:val="0"/>
        <w:keepLines w:val="0"/>
        <w:pageBreakBefore w:val="0"/>
        <w:numPr>
          <w:ilvl w:val="0"/>
          <w:numId w:val="0"/>
        </w:numPr>
        <w:kinsoku/>
        <w:wordWrap/>
        <w:overflowPunct/>
        <w:topLinePunct w:val="0"/>
        <w:bidi w:val="0"/>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30237CD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3F028D42">
      <w:pPr>
        <w:pStyle w:val="146"/>
        <w:keepNext w:val="0"/>
        <w:keepLines w:val="0"/>
        <w:pageBreakBefore w:val="0"/>
        <w:numPr>
          <w:ilvl w:val="0"/>
          <w:numId w:val="0"/>
        </w:numPr>
        <w:kinsoku/>
        <w:wordWrap/>
        <w:overflowPunct/>
        <w:topLinePunct w:val="0"/>
        <w:bidi w:val="0"/>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77B0ABDE">
      <w:pPr>
        <w:pStyle w:val="146"/>
        <w:keepNext w:val="0"/>
        <w:keepLines w:val="0"/>
        <w:pageBreakBefore w:val="0"/>
        <w:numPr>
          <w:ilvl w:val="0"/>
          <w:numId w:val="0"/>
        </w:numPr>
        <w:kinsoku/>
        <w:wordWrap/>
        <w:overflowPunct/>
        <w:topLinePunct w:val="0"/>
        <w:bidi w:val="0"/>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发包人签发进度款支付证书，不表明发包人已同意、批准或接受了承包人完成的相应部分的工作。</w:t>
      </w:r>
    </w:p>
    <w:p w14:paraId="3568B696">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24" w:name="_Toc805"/>
      <w:bookmarkStart w:id="2225" w:name="_Ref531957023"/>
      <w:bookmarkStart w:id="2226" w:name="_Toc14051"/>
      <w:r>
        <w:rPr>
          <w:rFonts w:hint="eastAsia" w:asciiTheme="minorEastAsia" w:hAnsiTheme="minorEastAsia" w:eastAsiaTheme="minorEastAsia" w:cstheme="minorEastAsia"/>
          <w:sz w:val="28"/>
          <w:szCs w:val="28"/>
        </w:rPr>
        <w:t>14.3.3 进度付款的修正</w:t>
      </w:r>
      <w:bookmarkEnd w:id="2224"/>
      <w:bookmarkEnd w:id="2225"/>
      <w:bookmarkEnd w:id="2226"/>
    </w:p>
    <w:p w14:paraId="5167DF5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在对已签发的进度款支付证书进行阶段汇总和复核中发现错误、遗漏或重复的，发包人和承包人均有权提出修正申请。经发包人和承包人同意的修正，应在下期进度付款中支付或扣除。</w:t>
      </w:r>
    </w:p>
    <w:p w14:paraId="455FBA21">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227" w:name="_Toc27420"/>
      <w:bookmarkStart w:id="2228" w:name="_Toc22657"/>
      <w:bookmarkStart w:id="2229" w:name="_Ref4538578"/>
      <w:bookmarkStart w:id="2230" w:name="_Toc15460"/>
      <w:bookmarkStart w:id="2231" w:name="_Ref536647814"/>
      <w:bookmarkStart w:id="2232" w:name="_Ref536647822"/>
      <w:r>
        <w:rPr>
          <w:rFonts w:hint="eastAsia" w:asciiTheme="minorEastAsia" w:hAnsiTheme="minorEastAsia" w:eastAsiaTheme="minorEastAsia" w:cstheme="minorEastAsia"/>
          <w:b w:val="0"/>
          <w:bCs/>
          <w:sz w:val="28"/>
          <w:szCs w:val="28"/>
        </w:rPr>
        <w:t>14.4 付款计划表</w:t>
      </w:r>
      <w:bookmarkEnd w:id="2227"/>
      <w:bookmarkEnd w:id="2228"/>
      <w:bookmarkEnd w:id="2229"/>
      <w:bookmarkEnd w:id="2230"/>
    </w:p>
    <w:p w14:paraId="04899B78">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33" w:name="_Ref4570974"/>
      <w:bookmarkStart w:id="2234" w:name="_Toc19238"/>
      <w:bookmarkStart w:id="2235" w:name="_Toc3399"/>
      <w:r>
        <w:rPr>
          <w:rFonts w:hint="eastAsia" w:asciiTheme="minorEastAsia" w:hAnsiTheme="minorEastAsia" w:eastAsiaTheme="minorEastAsia" w:cstheme="minorEastAsia"/>
          <w:sz w:val="28"/>
          <w:szCs w:val="28"/>
        </w:rPr>
        <w:t>14.4.1 付款计划表的编制要求</w:t>
      </w:r>
      <w:bookmarkEnd w:id="2233"/>
      <w:bookmarkEnd w:id="2234"/>
      <w:bookmarkEnd w:id="2235"/>
    </w:p>
    <w:p w14:paraId="23E2509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除专用合同条件另有约定外，付款计划表按如下要求编制：</w:t>
      </w:r>
    </w:p>
    <w:p w14:paraId="67AA299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付款计划表中所列的每期付款金额，应为第14.3.1项[工程进度付款申请]每期进度款的估算金额；</w:t>
      </w:r>
    </w:p>
    <w:p w14:paraId="075CC4D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实际进度与项目进度计划不一致的，合同当事人可按照第3.6款[商定或确定]修改付款计划表；</w:t>
      </w:r>
    </w:p>
    <w:p w14:paraId="20F6D29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不采用付款计划表的，承包人应向工程师提交按季度编制的支付估算付款计划表，用于支付参考。</w:t>
      </w:r>
    </w:p>
    <w:p w14:paraId="1AF5DCF5">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36" w:name="_Toc1104"/>
      <w:bookmarkStart w:id="2237" w:name="_Ref4571011"/>
      <w:bookmarkStart w:id="2238" w:name="_Toc11291"/>
      <w:r>
        <w:rPr>
          <w:rFonts w:hint="eastAsia" w:asciiTheme="minorEastAsia" w:hAnsiTheme="minorEastAsia" w:eastAsiaTheme="minorEastAsia" w:cstheme="minorEastAsia"/>
          <w:sz w:val="28"/>
          <w:szCs w:val="28"/>
        </w:rPr>
        <w:t>14.4.2 付款计划表的编制与审批</w:t>
      </w:r>
      <w:bookmarkEnd w:id="2236"/>
      <w:bookmarkEnd w:id="2237"/>
      <w:bookmarkEnd w:id="2238"/>
    </w:p>
    <w:p w14:paraId="37FA5FD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701F0F3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工程师应在收到付款计划表后7天内完成审核并报送发包人。发包人应在收到经工程师审核的付款计划表后7天内完成审批，经发包人批准的付款计划表为有约束力的付款计划表。</w:t>
      </w:r>
    </w:p>
    <w:p w14:paraId="410510A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发包人逾期未完成付款计划表审批的，也未及时要求承包人进行修正和提供补充资料的，则承包人提交的付款计划表视为已经获得发包人批准。</w:t>
      </w:r>
    </w:p>
    <w:p w14:paraId="5A36809F">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239" w:name="_Ref4538634"/>
      <w:bookmarkStart w:id="2240" w:name="_Toc852"/>
      <w:bookmarkStart w:id="2241" w:name="_Toc31886"/>
      <w:bookmarkStart w:id="2242" w:name="_Toc24687"/>
      <w:r>
        <w:rPr>
          <w:rFonts w:hint="eastAsia" w:asciiTheme="minorEastAsia" w:hAnsiTheme="minorEastAsia" w:eastAsiaTheme="minorEastAsia" w:cstheme="minorEastAsia"/>
          <w:b w:val="0"/>
          <w:bCs/>
          <w:sz w:val="28"/>
          <w:szCs w:val="28"/>
        </w:rPr>
        <w:t>14.5 竣工结算</w:t>
      </w:r>
      <w:bookmarkEnd w:id="2239"/>
      <w:bookmarkEnd w:id="2240"/>
      <w:bookmarkEnd w:id="2241"/>
      <w:bookmarkEnd w:id="2242"/>
    </w:p>
    <w:p w14:paraId="2D359D81">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43" w:name="_Ref4571361"/>
      <w:bookmarkStart w:id="2244" w:name="_Toc11615"/>
      <w:bookmarkStart w:id="2245" w:name="_Toc28294"/>
      <w:r>
        <w:rPr>
          <w:rFonts w:hint="eastAsia" w:asciiTheme="minorEastAsia" w:hAnsiTheme="minorEastAsia" w:eastAsiaTheme="minorEastAsia" w:cstheme="minorEastAsia"/>
          <w:sz w:val="28"/>
          <w:szCs w:val="28"/>
        </w:rPr>
        <w:t>14.5.1 竣工结算申请</w:t>
      </w:r>
      <w:bookmarkEnd w:id="2243"/>
      <w:bookmarkEnd w:id="2244"/>
      <w:bookmarkEnd w:id="2245"/>
    </w:p>
    <w:p w14:paraId="4F5004B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0CE2B52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除专用合同条件另有约定外，竣工结算申请单应包括以下内容：</w:t>
      </w:r>
    </w:p>
    <w:p w14:paraId="44255FAB">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竣工结算合同价格；</w:t>
      </w:r>
    </w:p>
    <w:p w14:paraId="77A0814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发包人已支付承包人的款项；</w:t>
      </w:r>
    </w:p>
    <w:p w14:paraId="1478042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01F5316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发包人应支付承包人的合同价款。</w:t>
      </w:r>
    </w:p>
    <w:p w14:paraId="51EAC9E2">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46" w:name="_Ref4571384"/>
      <w:bookmarkStart w:id="2247" w:name="_Toc28920"/>
      <w:bookmarkStart w:id="2248" w:name="_Toc32685"/>
      <w:r>
        <w:rPr>
          <w:rFonts w:hint="eastAsia" w:asciiTheme="minorEastAsia" w:hAnsiTheme="minorEastAsia" w:eastAsiaTheme="minorEastAsia" w:cstheme="minorEastAsia"/>
          <w:sz w:val="28"/>
          <w:szCs w:val="28"/>
        </w:rPr>
        <w:t>14.5.2 竣工结算审核</w:t>
      </w:r>
      <w:bookmarkEnd w:id="2246"/>
      <w:bookmarkEnd w:id="2247"/>
      <w:bookmarkEnd w:id="2248"/>
    </w:p>
    <w:p w14:paraId="5436D3B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5CF9E9C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AB78E3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49" w:name="_Ref4618006"/>
      <w:r>
        <w:rPr>
          <w:rFonts w:hint="eastAsia" w:asciiTheme="minorEastAsia" w:hAnsiTheme="minorEastAsia" w:eastAsiaTheme="minorEastAsia" w:cstheme="minorEastAsia"/>
          <w:sz w:val="28"/>
          <w:szCs w:val="28"/>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2249"/>
    </w:p>
    <w:p w14:paraId="071B034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28058FDD">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50" w:name="_Ref15484305"/>
      <w:bookmarkStart w:id="2251" w:name="_Toc6571"/>
      <w:bookmarkStart w:id="2252" w:name="_Toc1638"/>
      <w:r>
        <w:rPr>
          <w:rFonts w:hint="eastAsia" w:asciiTheme="minorEastAsia" w:hAnsiTheme="minorEastAsia" w:eastAsiaTheme="minorEastAsia" w:cstheme="minorEastAsia"/>
          <w:sz w:val="28"/>
          <w:szCs w:val="28"/>
        </w:rPr>
        <w:t>14.5.3 扫尾工作清单</w:t>
      </w:r>
      <w:bookmarkEnd w:id="2250"/>
      <w:bookmarkEnd w:id="2251"/>
      <w:bookmarkEnd w:id="2252"/>
    </w:p>
    <w:p w14:paraId="0447C7C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经双方协商，部分工作在工程竣工验收后进行的，承包人应当编制扫尾工作清单，扫尾工作清单中应当列明承包人应当完成的扫尾工作的内容及完成时间。</w:t>
      </w:r>
    </w:p>
    <w:p w14:paraId="42E39AF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承包人完成扫尾工作清单中的内容应取得的费用包含在第14.5.1项[竣工结算申请]及第14.5.2项[竣工结算审核]中一并结算。</w:t>
      </w:r>
    </w:p>
    <w:p w14:paraId="6A146BC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扫尾工作的缺陷责任期按第11条[缺陷责任与保修]处理。承包人未能按照扫尾工作清单约定的完成时间完成扫尾工作的，视为承包人原因导致的工程质量缺陷按照第11.3款[缺陷调查]处理。</w:t>
      </w:r>
    </w:p>
    <w:p w14:paraId="1DB8F052">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253" w:name="_Ref15395020"/>
      <w:bookmarkStart w:id="2254" w:name="_Ref4617582"/>
      <w:bookmarkStart w:id="2255" w:name="_Ref4571100"/>
      <w:bookmarkStart w:id="2256" w:name="_Toc11496"/>
      <w:bookmarkStart w:id="2257" w:name="_Toc256"/>
      <w:bookmarkStart w:id="2258" w:name="_Ref4571127"/>
      <w:bookmarkStart w:id="2259" w:name="_Ref4617592"/>
      <w:bookmarkStart w:id="2260" w:name="_Ref4582115"/>
      <w:bookmarkStart w:id="2261" w:name="_Toc27778"/>
      <w:bookmarkStart w:id="2262" w:name="_Hlk15394931"/>
      <w:r>
        <w:rPr>
          <w:rFonts w:hint="eastAsia" w:asciiTheme="minorEastAsia" w:hAnsiTheme="minorEastAsia" w:eastAsiaTheme="minorEastAsia" w:cstheme="minorEastAsia"/>
          <w:b w:val="0"/>
          <w:bCs/>
          <w:sz w:val="28"/>
          <w:szCs w:val="28"/>
        </w:rPr>
        <w:t>14.6 质量保证金</w:t>
      </w:r>
      <w:bookmarkEnd w:id="2231"/>
      <w:bookmarkEnd w:id="2232"/>
      <w:bookmarkEnd w:id="2253"/>
      <w:bookmarkEnd w:id="2254"/>
      <w:bookmarkEnd w:id="2255"/>
      <w:bookmarkEnd w:id="2256"/>
      <w:bookmarkEnd w:id="2257"/>
      <w:bookmarkEnd w:id="2258"/>
      <w:bookmarkEnd w:id="2259"/>
      <w:bookmarkEnd w:id="2260"/>
      <w:bookmarkEnd w:id="2261"/>
      <w:r>
        <w:rPr>
          <w:rFonts w:hint="eastAsia" w:asciiTheme="minorEastAsia" w:hAnsiTheme="minorEastAsia" w:eastAsiaTheme="minorEastAsia" w:cstheme="minorEastAsia"/>
          <w:b w:val="0"/>
          <w:bCs/>
          <w:sz w:val="28"/>
          <w:szCs w:val="28"/>
        </w:rPr>
        <w:t xml:space="preserve"> </w:t>
      </w:r>
    </w:p>
    <w:p w14:paraId="039ED86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经合同当事人协商一致提供质量保证金的，应在专用合同条件中予以明确。在工程项目竣工前，承包人已经提供履约担保的，发包人不得同时要求承包人提供质量保证金。</w:t>
      </w:r>
    </w:p>
    <w:bookmarkEnd w:id="2262"/>
    <w:p w14:paraId="2F32F212">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63" w:name="_Toc12744"/>
      <w:bookmarkStart w:id="2264" w:name="_Ref531955069"/>
      <w:bookmarkStart w:id="2265" w:name="_Toc13024"/>
      <w:bookmarkStart w:id="2266" w:name="_Ref531957153"/>
      <w:r>
        <w:rPr>
          <w:rFonts w:hint="eastAsia" w:asciiTheme="minorEastAsia" w:hAnsiTheme="minorEastAsia" w:eastAsiaTheme="minorEastAsia" w:cstheme="minorEastAsia"/>
          <w:sz w:val="28"/>
          <w:szCs w:val="28"/>
        </w:rPr>
        <w:t>14.6.1 承包人提供质量保证金的方式</w:t>
      </w:r>
      <w:bookmarkEnd w:id="2263"/>
      <w:bookmarkEnd w:id="2264"/>
      <w:bookmarkEnd w:id="2265"/>
    </w:p>
    <w:p w14:paraId="2562255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承包人提供质量保证金有以下三种方式：</w:t>
      </w:r>
    </w:p>
    <w:p w14:paraId="7678949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67" w:name="_Ref531955096"/>
      <w:r>
        <w:rPr>
          <w:rFonts w:hint="eastAsia" w:asciiTheme="minorEastAsia" w:hAnsiTheme="minorEastAsia" w:eastAsiaTheme="minorEastAsia" w:cstheme="minorEastAsia"/>
          <w:sz w:val="28"/>
          <w:szCs w:val="28"/>
        </w:rPr>
        <w:t>（1） 提交工程质量保证担保；</w:t>
      </w:r>
      <w:bookmarkEnd w:id="2267"/>
    </w:p>
    <w:p w14:paraId="11AF7B0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68" w:name="_Ref531955107"/>
      <w:r>
        <w:rPr>
          <w:rFonts w:hint="eastAsia" w:asciiTheme="minorEastAsia" w:hAnsiTheme="minorEastAsia" w:eastAsiaTheme="minorEastAsia" w:cstheme="minorEastAsia"/>
          <w:sz w:val="28"/>
          <w:szCs w:val="28"/>
        </w:rPr>
        <w:t>（2） 预留相应比例的工程款；</w:t>
      </w:r>
      <w:bookmarkEnd w:id="2268"/>
    </w:p>
    <w:p w14:paraId="1B2B3FF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69" w:name="_Ref531955117"/>
      <w:r>
        <w:rPr>
          <w:rFonts w:hint="eastAsia" w:asciiTheme="minorEastAsia" w:hAnsiTheme="minorEastAsia" w:eastAsiaTheme="minorEastAsia" w:cstheme="minorEastAsia"/>
          <w:sz w:val="28"/>
          <w:szCs w:val="28"/>
        </w:rPr>
        <w:t>（3） 双方约定的其他方式。</w:t>
      </w:r>
      <w:bookmarkEnd w:id="2269"/>
    </w:p>
    <w:p w14:paraId="766C1E5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质量保证金原则上采用上述第（1）种方式，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38A64582">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70" w:name="_Ref15419738"/>
      <w:bookmarkStart w:id="2271" w:name="_Toc2004"/>
      <w:bookmarkStart w:id="2272" w:name="_Ref18931667"/>
      <w:bookmarkStart w:id="2273" w:name="_Toc27361"/>
      <w:r>
        <w:rPr>
          <w:rFonts w:hint="eastAsia" w:asciiTheme="minorEastAsia" w:hAnsiTheme="minorEastAsia" w:eastAsiaTheme="minorEastAsia" w:cstheme="minorEastAsia"/>
          <w:sz w:val="28"/>
          <w:szCs w:val="28"/>
        </w:rPr>
        <w:t>14.6.2 质量保证金的预留</w:t>
      </w:r>
      <w:bookmarkEnd w:id="2270"/>
      <w:bookmarkEnd w:id="2271"/>
      <w:bookmarkEnd w:id="2272"/>
      <w:bookmarkEnd w:id="2273"/>
    </w:p>
    <w:p w14:paraId="42A7B06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双方约定采用预留相应比例的工程款方式提供质量保证金的，质量保证金的预留有以下三种方式：</w:t>
      </w:r>
    </w:p>
    <w:p w14:paraId="74066B3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74" w:name="_Hlk18840714"/>
      <w:bookmarkStart w:id="2275" w:name="_Ref531955143"/>
      <w:r>
        <w:rPr>
          <w:rFonts w:hint="eastAsia" w:asciiTheme="minorEastAsia" w:hAnsiTheme="minorEastAsia" w:eastAsiaTheme="minorEastAsia" w:cstheme="minorEastAsia"/>
          <w:sz w:val="28"/>
          <w:szCs w:val="28"/>
        </w:rPr>
        <w:t>（1） 按专用合同条件的约定在支付工程进度款时逐次预留，直至预留的质量保证金总额达到专用合同条件约定的金额或比例为止</w:t>
      </w:r>
      <w:bookmarkEnd w:id="2274"/>
      <w:r>
        <w:rPr>
          <w:rFonts w:hint="eastAsia" w:asciiTheme="minorEastAsia" w:hAnsiTheme="minorEastAsia" w:eastAsiaTheme="minorEastAsia" w:cstheme="minorEastAsia"/>
          <w:sz w:val="28"/>
          <w:szCs w:val="28"/>
        </w:rPr>
        <w:t>。在此情形下，质量保证金的计算基数不包括预付款的支付、扣回以及价格调整的金额；</w:t>
      </w:r>
      <w:bookmarkEnd w:id="2275"/>
    </w:p>
    <w:p w14:paraId="71FE8C5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76" w:name="_Ref531955151"/>
      <w:r>
        <w:rPr>
          <w:rFonts w:hint="eastAsia" w:asciiTheme="minorEastAsia" w:hAnsiTheme="minorEastAsia" w:eastAsiaTheme="minorEastAsia" w:cstheme="minorEastAsia"/>
          <w:sz w:val="28"/>
          <w:szCs w:val="28"/>
        </w:rPr>
        <w:t>（2） 工程竣工结算时一次性预留质量保证金；</w:t>
      </w:r>
      <w:bookmarkEnd w:id="2276"/>
    </w:p>
    <w:p w14:paraId="2C70BC5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277" w:name="_Ref531955161"/>
      <w:r>
        <w:rPr>
          <w:rFonts w:hint="eastAsia" w:asciiTheme="minorEastAsia" w:hAnsiTheme="minorEastAsia" w:eastAsiaTheme="minorEastAsia" w:cstheme="minorEastAsia"/>
          <w:sz w:val="28"/>
          <w:szCs w:val="28"/>
        </w:rPr>
        <w:t>（3） 双方约定的其他预留方式。</w:t>
      </w:r>
      <w:bookmarkEnd w:id="2277"/>
    </w:p>
    <w:p w14:paraId="3305B59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40339EC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78" w:name="_Ref532690096"/>
      <w:bookmarkStart w:id="2279" w:name="_Toc11784"/>
      <w:bookmarkStart w:id="2280" w:name="_Toc2646"/>
      <w:bookmarkStart w:id="2281" w:name="_Ref4571243"/>
      <w:r>
        <w:rPr>
          <w:rFonts w:hint="eastAsia" w:asciiTheme="minorEastAsia" w:hAnsiTheme="minorEastAsia" w:eastAsiaTheme="minorEastAsia" w:cstheme="minorEastAsia"/>
          <w:sz w:val="28"/>
          <w:szCs w:val="28"/>
        </w:rPr>
        <w:t>14.6.3 质量保证金的</w:t>
      </w:r>
      <w:bookmarkEnd w:id="2278"/>
      <w:r>
        <w:rPr>
          <w:rFonts w:hint="eastAsia" w:asciiTheme="minorEastAsia" w:hAnsiTheme="minorEastAsia" w:eastAsiaTheme="minorEastAsia" w:cstheme="minorEastAsia"/>
          <w:sz w:val="28"/>
          <w:szCs w:val="28"/>
        </w:rPr>
        <w:t>返还</w:t>
      </w:r>
      <w:bookmarkEnd w:id="2279"/>
      <w:bookmarkEnd w:id="2280"/>
      <w:bookmarkEnd w:id="2281"/>
    </w:p>
    <w:p w14:paraId="76CE003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缺陷责任期内，承包人认真履行合同约定的责任，缺陷责任期满，发包人根据第11.6款[缺陷责任期终止证书]向承包人颁发缺陷责任期终止证书后，承包人可向发包人申请返还质量保证金。</w:t>
      </w:r>
    </w:p>
    <w:p w14:paraId="08EED44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2F562B8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发包人和承包人对质量保证金预留、返还以及工程维修质量、费用有争议的，按本合同第20条[争议解决]约定的争议和纠纷解决程序处理。</w:t>
      </w:r>
    </w:p>
    <w:bookmarkEnd w:id="2266"/>
    <w:p w14:paraId="08400FD9">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282" w:name="_Ref531957341"/>
      <w:bookmarkStart w:id="2283" w:name="_Toc9723"/>
      <w:bookmarkStart w:id="2284" w:name="_Ref531957339"/>
      <w:bookmarkStart w:id="2285" w:name="_Toc7110"/>
      <w:bookmarkStart w:id="2286" w:name="_Toc13464"/>
      <w:r>
        <w:rPr>
          <w:rFonts w:hint="eastAsia" w:asciiTheme="minorEastAsia" w:hAnsiTheme="minorEastAsia" w:eastAsiaTheme="minorEastAsia" w:cstheme="minorEastAsia"/>
          <w:b w:val="0"/>
          <w:bCs/>
          <w:sz w:val="28"/>
          <w:szCs w:val="28"/>
        </w:rPr>
        <w:t>14.7 最终结清</w:t>
      </w:r>
      <w:bookmarkEnd w:id="2282"/>
      <w:bookmarkEnd w:id="2283"/>
      <w:bookmarkEnd w:id="2284"/>
      <w:bookmarkEnd w:id="2285"/>
      <w:bookmarkEnd w:id="2286"/>
      <w:r>
        <w:rPr>
          <w:rFonts w:hint="eastAsia" w:asciiTheme="minorEastAsia" w:hAnsiTheme="minorEastAsia" w:eastAsiaTheme="minorEastAsia" w:cstheme="minorEastAsia"/>
          <w:b w:val="0"/>
          <w:bCs/>
          <w:sz w:val="28"/>
          <w:szCs w:val="28"/>
        </w:rPr>
        <w:t xml:space="preserve"> </w:t>
      </w:r>
    </w:p>
    <w:p w14:paraId="4AC0A065">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87" w:name="_Ref531957350"/>
      <w:bookmarkStart w:id="2288" w:name="_Toc13232"/>
      <w:bookmarkStart w:id="2289" w:name="_Toc7892"/>
      <w:r>
        <w:rPr>
          <w:rFonts w:hint="eastAsia" w:asciiTheme="minorEastAsia" w:hAnsiTheme="minorEastAsia" w:eastAsiaTheme="minorEastAsia" w:cstheme="minorEastAsia"/>
          <w:sz w:val="28"/>
          <w:szCs w:val="28"/>
        </w:rPr>
        <w:t>14.7.1 最终结清申请</w:t>
      </w:r>
      <w:bookmarkEnd w:id="2287"/>
      <w:r>
        <w:rPr>
          <w:rFonts w:hint="eastAsia" w:asciiTheme="minorEastAsia" w:hAnsiTheme="minorEastAsia" w:eastAsiaTheme="minorEastAsia" w:cstheme="minorEastAsia"/>
          <w:sz w:val="28"/>
          <w:szCs w:val="28"/>
        </w:rPr>
        <w:t>单</w:t>
      </w:r>
      <w:bookmarkEnd w:id="2288"/>
      <w:bookmarkEnd w:id="2289"/>
    </w:p>
    <w:p w14:paraId="63A27F8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除专用合同条件另有约定外，承包人应在缺陷责任期终止证书颁发后7天内，按专用合同条件约定的份数向发包人提交最终结清申请单，并提供相关证明材料。</w:t>
      </w:r>
    </w:p>
    <w:p w14:paraId="0D70A3B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除专用合同条件另有约定外，最终结清申请单应列明质量保证金、应扣除的质量保证金、缺陷责任期内发生的增减费用。</w:t>
      </w:r>
    </w:p>
    <w:p w14:paraId="2A24BC2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发包人对最终结清申请单内容有异议的，有权要求承包人进行修正和提供补充资料，承包人应向发包人提交修正后的最终结清申请单。</w:t>
      </w:r>
    </w:p>
    <w:p w14:paraId="631F214D">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290" w:name="_Ref531957369"/>
      <w:bookmarkStart w:id="2291" w:name="_Ref4624099"/>
      <w:bookmarkStart w:id="2292" w:name="_Toc27144"/>
      <w:bookmarkStart w:id="2293" w:name="_Toc15508"/>
      <w:r>
        <w:rPr>
          <w:rFonts w:hint="eastAsia" w:asciiTheme="minorEastAsia" w:hAnsiTheme="minorEastAsia" w:eastAsiaTheme="minorEastAsia" w:cstheme="minorEastAsia"/>
          <w:sz w:val="28"/>
          <w:szCs w:val="28"/>
        </w:rPr>
        <w:t>14.7.2 最终结清证书</w:t>
      </w:r>
      <w:bookmarkEnd w:id="2290"/>
      <w:r>
        <w:rPr>
          <w:rFonts w:hint="eastAsia" w:asciiTheme="minorEastAsia" w:hAnsiTheme="minorEastAsia" w:eastAsiaTheme="minorEastAsia" w:cstheme="minorEastAsia"/>
          <w:sz w:val="28"/>
          <w:szCs w:val="28"/>
        </w:rPr>
        <w:t>和支付</w:t>
      </w:r>
      <w:bookmarkEnd w:id="2291"/>
      <w:bookmarkEnd w:id="2292"/>
      <w:bookmarkEnd w:id="2293"/>
    </w:p>
    <w:p w14:paraId="6370F57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自发包人收到承包人提交的最终结清申请单后15天起视为已颁发最终结清证书。</w:t>
      </w:r>
    </w:p>
    <w:p w14:paraId="540866A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除专用合同条件另有约定外，发包人应在颁发最终结清证书后7天内完成支付。发包人逾期支付的，按照贷款市场报价利率（LPR）支付利息；逾期支付超过56天的，按照贷款市场报价利率（LPR）的两倍支付利息。</w:t>
      </w:r>
    </w:p>
    <w:p w14:paraId="335F5CD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承包人对发包人颁发的最终结清证书有异议的，按第20条[争议解决]的约定办理。</w:t>
      </w:r>
    </w:p>
    <w:p w14:paraId="4CF6F87D">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294" w:name="_Toc19514"/>
      <w:bookmarkStart w:id="2295" w:name="_Ref11920407"/>
      <w:bookmarkStart w:id="2296" w:name="_Ref11874957"/>
      <w:bookmarkStart w:id="2297" w:name="_Toc26993"/>
      <w:bookmarkStart w:id="2298" w:name="_Toc20495"/>
      <w:bookmarkStart w:id="2299" w:name="_Ref11920396"/>
      <w:bookmarkStart w:id="2300" w:name="_Toc11854"/>
      <w:bookmarkStart w:id="2301" w:name="_Toc8098"/>
      <w:r>
        <w:rPr>
          <w:rFonts w:hint="eastAsia" w:asciiTheme="minorEastAsia" w:hAnsiTheme="minorEastAsia" w:eastAsiaTheme="minorEastAsia" w:cstheme="minorEastAsia"/>
          <w:b w:val="0"/>
          <w:bCs/>
          <w:sz w:val="28"/>
          <w:szCs w:val="28"/>
        </w:rPr>
        <w:t>第15条 违约</w:t>
      </w:r>
      <w:bookmarkEnd w:id="2003"/>
      <w:bookmarkEnd w:id="2011"/>
      <w:bookmarkEnd w:id="2012"/>
      <w:bookmarkEnd w:id="2294"/>
      <w:bookmarkEnd w:id="2295"/>
      <w:bookmarkEnd w:id="2296"/>
      <w:bookmarkEnd w:id="2297"/>
      <w:bookmarkEnd w:id="2298"/>
      <w:bookmarkEnd w:id="2299"/>
      <w:bookmarkEnd w:id="2300"/>
      <w:bookmarkEnd w:id="2301"/>
    </w:p>
    <w:p w14:paraId="1C3AC93D">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02" w:name="_Toc23138"/>
      <w:bookmarkStart w:id="2303" w:name="_Toc32412"/>
      <w:bookmarkStart w:id="2304" w:name="_Ref4534411"/>
      <w:bookmarkStart w:id="2305" w:name="_Ref4534384"/>
      <w:bookmarkStart w:id="2306" w:name="_Ref4534376"/>
      <w:bookmarkStart w:id="2307" w:name="_Toc31901"/>
      <w:bookmarkStart w:id="2308" w:name="_Ref4534399"/>
      <w:r>
        <w:rPr>
          <w:rFonts w:hint="eastAsia" w:asciiTheme="minorEastAsia" w:hAnsiTheme="minorEastAsia" w:eastAsiaTheme="minorEastAsia" w:cstheme="minorEastAsia"/>
          <w:b w:val="0"/>
          <w:bCs/>
          <w:sz w:val="28"/>
          <w:szCs w:val="28"/>
        </w:rPr>
        <w:t>15.1 发包人违约</w:t>
      </w:r>
      <w:bookmarkEnd w:id="2302"/>
      <w:bookmarkEnd w:id="2303"/>
      <w:bookmarkEnd w:id="2304"/>
      <w:bookmarkEnd w:id="2305"/>
      <w:bookmarkEnd w:id="2306"/>
      <w:bookmarkEnd w:id="2307"/>
      <w:bookmarkEnd w:id="2308"/>
    </w:p>
    <w:p w14:paraId="780FD181">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09" w:name="_Ref3841087"/>
      <w:bookmarkStart w:id="2310" w:name="_Toc29676"/>
      <w:bookmarkStart w:id="2311" w:name="_Toc7596"/>
      <w:r>
        <w:rPr>
          <w:rFonts w:hint="eastAsia" w:asciiTheme="minorEastAsia" w:hAnsiTheme="minorEastAsia" w:eastAsiaTheme="minorEastAsia" w:cstheme="minorEastAsia"/>
          <w:sz w:val="28"/>
          <w:szCs w:val="28"/>
        </w:rPr>
        <w:t>15.1.1 发包人违约的情形</w:t>
      </w:r>
      <w:bookmarkEnd w:id="2309"/>
      <w:bookmarkEnd w:id="2310"/>
      <w:bookmarkEnd w:id="2311"/>
    </w:p>
    <w:p w14:paraId="21B7FA6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除专用合同条件另有约定外，在合同履行过程中发生的下列情形，属于发包人违约：</w:t>
      </w:r>
    </w:p>
    <w:p w14:paraId="24F4FE8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 因发包人原因导致开始工作日期延误的； </w:t>
      </w:r>
    </w:p>
    <w:p w14:paraId="5B40F36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因发包人原因未能按合同约定支付合同价款的；</w:t>
      </w:r>
    </w:p>
    <w:p w14:paraId="33C1C2B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发包人违反第13.1.1项约定，自行实施被取消的工作或转由他人实施的；</w:t>
      </w:r>
    </w:p>
    <w:p w14:paraId="07D0CFF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因发包人违反合同约定造成工程暂停施工的；</w:t>
      </w:r>
    </w:p>
    <w:p w14:paraId="6BCDB04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工程师无正当理由没有在约定期限内发出复工指示，导致承包人无法复工的；</w:t>
      </w:r>
    </w:p>
    <w:p w14:paraId="181D81A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发包人明确表示或者以其行为表明不履行合同主要义务的；</w:t>
      </w:r>
    </w:p>
    <w:p w14:paraId="3E5A34B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发包人未能按照合同约定履行其他义务的。</w:t>
      </w:r>
    </w:p>
    <w:p w14:paraId="3631781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12" w:name="_Ref4535692"/>
      <w:bookmarkStart w:id="2313" w:name="_Toc29853"/>
      <w:bookmarkStart w:id="2314" w:name="_Toc20294"/>
      <w:r>
        <w:rPr>
          <w:rFonts w:hint="eastAsia" w:asciiTheme="minorEastAsia" w:hAnsiTheme="minorEastAsia" w:eastAsiaTheme="minorEastAsia" w:cstheme="minorEastAsia"/>
          <w:sz w:val="28"/>
          <w:szCs w:val="28"/>
        </w:rPr>
        <w:t>15.1.2 通知改正</w:t>
      </w:r>
      <w:bookmarkEnd w:id="2312"/>
      <w:bookmarkEnd w:id="2313"/>
      <w:bookmarkEnd w:id="2314"/>
    </w:p>
    <w:p w14:paraId="023A0B9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315" w:name="_Hlk16248297"/>
      <w:r>
        <w:rPr>
          <w:rFonts w:hint="eastAsia" w:asciiTheme="minorEastAsia" w:hAnsiTheme="minorEastAsia" w:eastAsiaTheme="minorEastAsia" w:cstheme="minorEastAsia"/>
          <w:sz w:val="28"/>
          <w:szCs w:val="28"/>
        </w:rPr>
        <w:t>发包人发生除第15.1.1项第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目以外的违约情况时，承包人可向发包人发出通知，要求发包人采取有效措施纠正违约行为。发包人收到承包人通知后28天内仍不纠正违约行为的，承包人有权暂停相应部位工程实施，并通知工程师。</w:t>
      </w:r>
      <w:bookmarkEnd w:id="2315"/>
    </w:p>
    <w:p w14:paraId="1A5BC7B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16" w:name="_Ref3841132"/>
      <w:bookmarkStart w:id="2317" w:name="_Toc19085"/>
      <w:bookmarkStart w:id="2318" w:name="_Toc8518"/>
      <w:r>
        <w:rPr>
          <w:rFonts w:hint="eastAsia" w:asciiTheme="minorEastAsia" w:hAnsiTheme="minorEastAsia" w:eastAsiaTheme="minorEastAsia" w:cstheme="minorEastAsia"/>
          <w:sz w:val="28"/>
          <w:szCs w:val="28"/>
        </w:rPr>
        <w:t>15.1.3 发包人违约的责任</w:t>
      </w:r>
      <w:bookmarkEnd w:id="2316"/>
      <w:bookmarkEnd w:id="2317"/>
      <w:bookmarkEnd w:id="2318"/>
    </w:p>
    <w:p w14:paraId="2753EB0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319" w:name="_Hlk16247984"/>
      <w:r>
        <w:rPr>
          <w:rFonts w:hint="eastAsia" w:asciiTheme="minorEastAsia" w:hAnsiTheme="minorEastAsia" w:eastAsiaTheme="minorEastAsia" w:cstheme="minorEastAsia"/>
          <w:sz w:val="28"/>
          <w:szCs w:val="28"/>
        </w:rPr>
        <w:t>发包人应承担因其违约给承包人增加的费用和（或）延误的工期，并支付承包人合理的利润。此外，合同当事人可在专用合同条件中另行约定发包人违约责任的承担方式和计算方法。</w:t>
      </w:r>
      <w:bookmarkEnd w:id="2319"/>
    </w:p>
    <w:p w14:paraId="1621BA97">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20" w:name="_Toc16613"/>
      <w:bookmarkStart w:id="2321" w:name="_Ref11958660"/>
      <w:bookmarkStart w:id="2322" w:name="_Toc32074"/>
      <w:bookmarkStart w:id="2323" w:name="_Toc13488"/>
      <w:bookmarkStart w:id="2324" w:name="_Ref11958663"/>
      <w:r>
        <w:rPr>
          <w:rFonts w:hint="eastAsia" w:asciiTheme="minorEastAsia" w:hAnsiTheme="minorEastAsia" w:eastAsiaTheme="minorEastAsia" w:cstheme="minorEastAsia"/>
          <w:b w:val="0"/>
          <w:bCs/>
          <w:sz w:val="28"/>
          <w:szCs w:val="28"/>
        </w:rPr>
        <w:t>15.2 承包人违约</w:t>
      </w:r>
      <w:bookmarkEnd w:id="2320"/>
      <w:bookmarkEnd w:id="2321"/>
      <w:bookmarkEnd w:id="2322"/>
      <w:bookmarkEnd w:id="2323"/>
      <w:bookmarkEnd w:id="2324"/>
    </w:p>
    <w:p w14:paraId="6CFD31F1">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25" w:name="_Toc8165"/>
      <w:bookmarkStart w:id="2326" w:name="_Ref3841153"/>
      <w:bookmarkStart w:id="2327" w:name="_Toc13522"/>
      <w:r>
        <w:rPr>
          <w:rFonts w:hint="eastAsia" w:asciiTheme="minorEastAsia" w:hAnsiTheme="minorEastAsia" w:eastAsiaTheme="minorEastAsia" w:cstheme="minorEastAsia"/>
          <w:sz w:val="28"/>
          <w:szCs w:val="28"/>
        </w:rPr>
        <w:t>15.2.1 承包人违约的情形</w:t>
      </w:r>
      <w:bookmarkEnd w:id="2325"/>
      <w:bookmarkEnd w:id="2326"/>
      <w:bookmarkEnd w:id="2327"/>
    </w:p>
    <w:p w14:paraId="60DAFAF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除专用合同条件另有约定外，在履行合同过程中</w:t>
      </w:r>
      <w:r>
        <w:rPr>
          <w:rFonts w:hint="eastAsia" w:asciiTheme="minorEastAsia" w:hAnsiTheme="minorEastAsia" w:eastAsiaTheme="minorEastAsia" w:cstheme="minorEastAsia"/>
          <w:sz w:val="28"/>
          <w:szCs w:val="28"/>
          <w:lang w:eastAsia="zh-CN"/>
        </w:rPr>
        <w:t>发生</w:t>
      </w:r>
      <w:r>
        <w:rPr>
          <w:rFonts w:hint="eastAsia" w:asciiTheme="minorEastAsia" w:hAnsiTheme="minorEastAsia" w:eastAsiaTheme="minorEastAsia" w:cstheme="minorEastAsia"/>
          <w:sz w:val="28"/>
          <w:szCs w:val="28"/>
        </w:rPr>
        <w:t>下列情况之一的，属于承包人违约：</w:t>
      </w:r>
    </w:p>
    <w:p w14:paraId="32C0A7C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承包人的原因导致的承包人文件、实施和竣工的工程不符合法律法规、工程质量验收标准以及合同约定；</w:t>
      </w:r>
    </w:p>
    <w:p w14:paraId="5FCE46B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承包人违反合同约定进行转包或违法分包的；</w:t>
      </w:r>
    </w:p>
    <w:p w14:paraId="2DE65E0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承包人违反约定采购和使用不合格材料或工程设备；</w:t>
      </w:r>
    </w:p>
    <w:p w14:paraId="7BBAD87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因承包人原因导致工程质量不符合合同要求的；</w:t>
      </w:r>
    </w:p>
    <w:p w14:paraId="26CDD32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承包人未经工程师批准，擅自将已按合同约定进入施工现场的施工设备、临时设施或材料撤离施工现场；</w:t>
      </w:r>
    </w:p>
    <w:p w14:paraId="5C96EB8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承包人未能按项目进度计划及时完成合同约定的工作，造成工期延误；</w:t>
      </w:r>
    </w:p>
    <w:p w14:paraId="6557F24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由于承包人原因未能通过竣工试验或竣工后试验的；</w:t>
      </w:r>
    </w:p>
    <w:p w14:paraId="6A9949C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 承包人在缺陷责任期及保修期内，未能在合理期限对工程缺陷进行修复，或拒绝按发包人指示进行修复的；</w:t>
      </w:r>
    </w:p>
    <w:p w14:paraId="638ECA5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 承包人明确表示或者以其行为表明不履行合同主要义务的；</w:t>
      </w:r>
    </w:p>
    <w:p w14:paraId="026A69F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 承包人未能按照合同约定履行其他义务的。</w:t>
      </w:r>
    </w:p>
    <w:p w14:paraId="00B769DC">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28" w:name="_Toc21982"/>
      <w:bookmarkStart w:id="2329" w:name="_Toc5053"/>
      <w:bookmarkStart w:id="2330" w:name="_Ref531958512"/>
      <w:r>
        <w:rPr>
          <w:rFonts w:hint="eastAsia" w:asciiTheme="minorEastAsia" w:hAnsiTheme="minorEastAsia" w:eastAsiaTheme="minorEastAsia" w:cstheme="minorEastAsia"/>
          <w:sz w:val="28"/>
          <w:szCs w:val="28"/>
        </w:rPr>
        <w:t>15.2.2 通知改正</w:t>
      </w:r>
      <w:bookmarkEnd w:id="2328"/>
      <w:bookmarkEnd w:id="2329"/>
      <w:bookmarkEnd w:id="2330"/>
    </w:p>
    <w:p w14:paraId="62D6524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承包人发生除第15.2.1项第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目、第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9</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目约定以外的其他违约情况时，工程师可在专用合同条件约定的合理期限内向承包人发出整改通知，要求其在指定的期限内改正。</w:t>
      </w:r>
    </w:p>
    <w:p w14:paraId="6B6EEB37">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31" w:name="_Toc23444"/>
      <w:bookmarkStart w:id="2332" w:name="_Ref3841166"/>
      <w:bookmarkStart w:id="2333" w:name="_Toc14132"/>
      <w:r>
        <w:rPr>
          <w:rFonts w:hint="eastAsia" w:asciiTheme="minorEastAsia" w:hAnsiTheme="minorEastAsia" w:eastAsiaTheme="minorEastAsia" w:cstheme="minorEastAsia"/>
          <w:sz w:val="28"/>
          <w:szCs w:val="28"/>
        </w:rPr>
        <w:t>15.2.3 承包人违约的责任</w:t>
      </w:r>
      <w:bookmarkEnd w:id="2331"/>
      <w:bookmarkEnd w:id="2332"/>
      <w:bookmarkEnd w:id="2333"/>
    </w:p>
    <w:p w14:paraId="6131D20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承包人应承担因其违约行为而增加的费用和（或）延误的工期。此外，合同当事人可在专用合同条件中另行约定承包人违约责任的承担方式和计算方法。</w:t>
      </w:r>
    </w:p>
    <w:p w14:paraId="6FE21C85">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34" w:name="_Toc21747"/>
      <w:bookmarkStart w:id="2335" w:name="_Toc17767"/>
      <w:bookmarkStart w:id="2336" w:name="_Toc23871"/>
      <w:r>
        <w:rPr>
          <w:rFonts w:hint="eastAsia" w:asciiTheme="minorEastAsia" w:hAnsiTheme="minorEastAsia" w:eastAsiaTheme="minorEastAsia" w:cstheme="minorEastAsia"/>
          <w:b w:val="0"/>
          <w:bCs/>
          <w:sz w:val="28"/>
          <w:szCs w:val="28"/>
        </w:rPr>
        <w:t>15.3 第三人造成的违约</w:t>
      </w:r>
      <w:bookmarkEnd w:id="2334"/>
      <w:bookmarkEnd w:id="2335"/>
      <w:bookmarkEnd w:id="2336"/>
    </w:p>
    <w:p w14:paraId="52E8FCF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在履行合同过程中，一方当事人因第三人的原因造成违约的，应当向对方当事人承担违约责任。一方当事人和第三人之间的纠纷，依照法律规定或者按照约定解决。</w:t>
      </w:r>
    </w:p>
    <w:p w14:paraId="7429136F">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337" w:name="_Toc18657"/>
      <w:bookmarkStart w:id="2338" w:name="_Toc1581"/>
      <w:bookmarkStart w:id="2339" w:name="_Toc17054"/>
      <w:bookmarkStart w:id="2340" w:name="_Toc24273"/>
      <w:bookmarkStart w:id="2341" w:name="_Toc8605"/>
      <w:bookmarkStart w:id="2342" w:name="_Ref4510572"/>
      <w:bookmarkStart w:id="2343" w:name="_Ref532142069"/>
      <w:bookmarkStart w:id="2344" w:name="_Ref3840457"/>
      <w:r>
        <w:rPr>
          <w:rFonts w:hint="eastAsia" w:asciiTheme="minorEastAsia" w:hAnsiTheme="minorEastAsia" w:eastAsiaTheme="minorEastAsia" w:cstheme="minorEastAsia"/>
          <w:b w:val="0"/>
          <w:bCs/>
          <w:sz w:val="28"/>
          <w:szCs w:val="28"/>
        </w:rPr>
        <w:t>第16条 合同解除</w:t>
      </w:r>
      <w:bookmarkEnd w:id="2337"/>
      <w:bookmarkEnd w:id="2338"/>
      <w:bookmarkEnd w:id="2339"/>
      <w:bookmarkEnd w:id="2340"/>
      <w:bookmarkEnd w:id="2341"/>
      <w:bookmarkEnd w:id="2342"/>
    </w:p>
    <w:p w14:paraId="6FD57B03">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45" w:name="_Ref531958499"/>
      <w:bookmarkStart w:id="2346" w:name="_Toc28241"/>
      <w:bookmarkStart w:id="2347" w:name="_Toc14743"/>
      <w:bookmarkStart w:id="2348" w:name="_Toc3654"/>
      <w:bookmarkStart w:id="2349" w:name="_Ref531958502"/>
      <w:r>
        <w:rPr>
          <w:rFonts w:hint="eastAsia" w:asciiTheme="minorEastAsia" w:hAnsiTheme="minorEastAsia" w:eastAsiaTheme="minorEastAsia" w:cstheme="minorEastAsia"/>
          <w:b w:val="0"/>
          <w:bCs/>
          <w:sz w:val="28"/>
          <w:szCs w:val="28"/>
        </w:rPr>
        <w:t>16.1 由发包人解除合同</w:t>
      </w:r>
      <w:bookmarkEnd w:id="2345"/>
      <w:bookmarkEnd w:id="2346"/>
      <w:bookmarkEnd w:id="2347"/>
      <w:bookmarkEnd w:id="2348"/>
      <w:bookmarkEnd w:id="2349"/>
    </w:p>
    <w:p w14:paraId="0D63F979">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50" w:name="_Toc16092"/>
      <w:bookmarkStart w:id="2351" w:name="_Toc118"/>
      <w:bookmarkStart w:id="2352" w:name="_Ref4535422"/>
      <w:r>
        <w:rPr>
          <w:rFonts w:hint="eastAsia" w:asciiTheme="minorEastAsia" w:hAnsiTheme="minorEastAsia" w:eastAsiaTheme="minorEastAsia" w:cstheme="minorEastAsia"/>
          <w:sz w:val="28"/>
          <w:szCs w:val="28"/>
        </w:rPr>
        <w:t>16.1.1 因承包人违约解除合同</w:t>
      </w:r>
      <w:bookmarkEnd w:id="2350"/>
      <w:bookmarkEnd w:id="2351"/>
      <w:bookmarkEnd w:id="2352"/>
    </w:p>
    <w:p w14:paraId="18AD783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目的情况下，发包人无须提前告知承包人其解除合同意向，可直接发出正式解除合同通知立即解除合同：</w:t>
      </w:r>
    </w:p>
    <w:p w14:paraId="4A9DD40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353" w:name="_Ref531958536"/>
      <w:r>
        <w:rPr>
          <w:rFonts w:hint="eastAsia" w:asciiTheme="minorEastAsia" w:hAnsiTheme="minorEastAsia" w:eastAsiaTheme="minorEastAsia" w:cstheme="minorEastAsia"/>
          <w:sz w:val="28"/>
          <w:szCs w:val="28"/>
        </w:rPr>
        <w:t>（1） 承包人未能遵守第4.2款</w:t>
      </w:r>
      <w:bookmarkStart w:id="2354" w:name="_Hlk18839947"/>
      <w:r>
        <w:rPr>
          <w:rFonts w:hint="eastAsia" w:asciiTheme="minorEastAsia" w:hAnsiTheme="minorEastAsia" w:eastAsiaTheme="minorEastAsia" w:cstheme="minorEastAsia"/>
          <w:sz w:val="28"/>
          <w:szCs w:val="28"/>
        </w:rPr>
        <w:t>[履约担保]</w:t>
      </w:r>
      <w:bookmarkEnd w:id="2354"/>
      <w:r>
        <w:rPr>
          <w:rFonts w:hint="eastAsia" w:asciiTheme="minorEastAsia" w:hAnsiTheme="minorEastAsia" w:eastAsiaTheme="minorEastAsia" w:cstheme="minorEastAsia"/>
          <w:sz w:val="28"/>
          <w:szCs w:val="28"/>
        </w:rPr>
        <w:t>的约定；</w:t>
      </w:r>
    </w:p>
    <w:p w14:paraId="123B50B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承包人未能遵守第4.5款[分包]有关分包和转包的约定；</w:t>
      </w:r>
    </w:p>
    <w:p w14:paraId="254B5C1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承包人实际进度明显落后于进度计划，未按发包人的指令采取措施并修正进度计划；</w:t>
      </w:r>
    </w:p>
    <w:p w14:paraId="56383B2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工程质量有严重缺陷，承包人无正当理由使修复开始日期拖延达28天以上；</w:t>
      </w:r>
    </w:p>
    <w:p w14:paraId="357D816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FC1B15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承包人明确表示或以自己的行为表明不履行合同</w:t>
      </w:r>
      <w:r>
        <w:rPr>
          <w:rFonts w:hint="eastAsia" w:asciiTheme="minorEastAsia" w:hAnsiTheme="minorEastAsia" w:eastAsiaTheme="minorEastAsia" w:cstheme="minorEastAsia"/>
          <w:sz w:val="28"/>
          <w:szCs w:val="28"/>
          <w:lang w:eastAsia="zh-CN"/>
        </w:rPr>
        <w:t>或</w:t>
      </w:r>
      <w:r>
        <w:rPr>
          <w:rFonts w:hint="eastAsia" w:asciiTheme="minorEastAsia" w:hAnsiTheme="minorEastAsia" w:eastAsiaTheme="minorEastAsia" w:cstheme="minorEastAsia"/>
          <w:sz w:val="28"/>
          <w:szCs w:val="28"/>
        </w:rPr>
        <w:t>经发包人以书面形式通知其履约后仍未能依约履行合同</w:t>
      </w:r>
      <w:r>
        <w:rPr>
          <w:rFonts w:hint="eastAsia" w:asciiTheme="minorEastAsia" w:hAnsiTheme="minorEastAsia" w:eastAsiaTheme="minorEastAsia" w:cstheme="minorEastAsia"/>
          <w:sz w:val="28"/>
          <w:szCs w:val="28"/>
          <w:lang w:eastAsia="zh-CN"/>
        </w:rPr>
        <w:t>或</w:t>
      </w:r>
      <w:r>
        <w:rPr>
          <w:rFonts w:hint="eastAsia" w:asciiTheme="minorEastAsia" w:hAnsiTheme="minorEastAsia" w:eastAsiaTheme="minorEastAsia" w:cstheme="minorEastAsia"/>
          <w:sz w:val="28"/>
          <w:szCs w:val="28"/>
        </w:rPr>
        <w:t>以不适当的方式履行合同；</w:t>
      </w:r>
    </w:p>
    <w:p w14:paraId="054D15C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未能通过的竣工试验、未能通过的竣工后试验，使工程的任何部分和（或）整个工程丧失了主要使用功能、生产功能；</w:t>
      </w:r>
    </w:p>
    <w:p w14:paraId="3B80CC5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 因承包人的原因暂停工作超过56天且暂停</w:t>
      </w:r>
      <w:r>
        <w:rPr>
          <w:rFonts w:hint="eastAsia" w:asciiTheme="minorEastAsia" w:hAnsiTheme="minorEastAsia" w:eastAsiaTheme="minorEastAsia" w:cstheme="minorEastAsia"/>
          <w:sz w:val="28"/>
          <w:szCs w:val="28"/>
          <w:lang w:eastAsia="zh-CN"/>
        </w:rPr>
        <w:t>影响</w:t>
      </w:r>
      <w:r>
        <w:rPr>
          <w:rFonts w:hint="eastAsia" w:asciiTheme="minorEastAsia" w:hAnsiTheme="minorEastAsia" w:eastAsiaTheme="minorEastAsia" w:cstheme="minorEastAsia"/>
          <w:sz w:val="28"/>
          <w:szCs w:val="28"/>
        </w:rPr>
        <w:t>整个工程，或因承包人的原因暂停工作超过182天；</w:t>
      </w:r>
    </w:p>
    <w:p w14:paraId="62AD42C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 承包人未能遵守第8.2款[竣工日期]规定，延误超过182天；</w:t>
      </w:r>
    </w:p>
    <w:p w14:paraId="2E6B7DC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 工程师根据第15.2.2项[通知改正]发出整改通知后，承包人在指定的合理期限内仍不纠正违约行为并致使合同目的不能实现的。</w:t>
      </w:r>
    </w:p>
    <w:bookmarkEnd w:id="2353"/>
    <w:p w14:paraId="2D9E3025">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55" w:name="_Ref3841839"/>
      <w:bookmarkStart w:id="2356" w:name="_Ref4624315"/>
      <w:bookmarkStart w:id="2357" w:name="_Toc4644"/>
      <w:bookmarkStart w:id="2358" w:name="_Toc12540"/>
      <w:r>
        <w:rPr>
          <w:rFonts w:hint="eastAsia" w:asciiTheme="minorEastAsia" w:hAnsiTheme="minorEastAsia" w:eastAsiaTheme="minorEastAsia" w:cstheme="minorEastAsia"/>
          <w:sz w:val="28"/>
          <w:szCs w:val="28"/>
        </w:rPr>
        <w:t>16.1.2 因承包人违约解除合同后</w:t>
      </w:r>
      <w:bookmarkEnd w:id="2355"/>
      <w:r>
        <w:rPr>
          <w:rFonts w:hint="eastAsia" w:asciiTheme="minorEastAsia" w:hAnsiTheme="minorEastAsia" w:eastAsiaTheme="minorEastAsia" w:cstheme="minorEastAsia"/>
          <w:sz w:val="28"/>
          <w:szCs w:val="28"/>
        </w:rPr>
        <w:t>承包人的义务</w:t>
      </w:r>
      <w:bookmarkEnd w:id="2356"/>
      <w:bookmarkEnd w:id="2357"/>
      <w:bookmarkEnd w:id="2358"/>
    </w:p>
    <w:p w14:paraId="38EA29E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合同解除后，承包人应按以下约定执行：</w:t>
      </w:r>
    </w:p>
    <w:p w14:paraId="755FAAB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除了为保护生命、财产或工程安全、清理和必须执行的工作外，停止执行所有被通知解除的工作，并将相关人员撤离现场；</w:t>
      </w:r>
    </w:p>
    <w:p w14:paraId="3043A7D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经发包人批准，承包人应将与被解除合同相关的和正在执行的分包合同及相关的责任和义务转让至发包人和（或）发包人指定方的名下，包括永久性工程及工程物资，以及相关工作；</w:t>
      </w:r>
    </w:p>
    <w:p w14:paraId="79B0CBC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移交已完成的永久性工程及负责已运抵现场的工程物资。在移交前，妥善做好</w:t>
      </w:r>
      <w:r>
        <w:rPr>
          <w:rFonts w:hint="eastAsia" w:asciiTheme="minorEastAsia" w:hAnsiTheme="minorEastAsia" w:eastAsiaTheme="minorEastAsia" w:cstheme="minorEastAsia"/>
          <w:sz w:val="28"/>
          <w:szCs w:val="28"/>
          <w:lang w:val="en-US" w:eastAsia="zh-CN"/>
        </w:rPr>
        <w:t>已</w:t>
      </w:r>
      <w:r>
        <w:rPr>
          <w:rFonts w:hint="eastAsia" w:asciiTheme="minorEastAsia" w:hAnsiTheme="minorEastAsia" w:eastAsiaTheme="minorEastAsia" w:cstheme="minorEastAsia"/>
          <w:sz w:val="28"/>
          <w:szCs w:val="28"/>
        </w:rPr>
        <w:t>完工程和已运抵现场的工程物资的保管、维护和保养；</w:t>
      </w:r>
    </w:p>
    <w:p w14:paraId="0FBC891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将发包人提供的所有信息及承包人为本工程编制的设计文件、技术资料及其</w:t>
      </w:r>
      <w:r>
        <w:rPr>
          <w:rFonts w:hint="eastAsia" w:asciiTheme="minorEastAsia" w:hAnsiTheme="minorEastAsia" w:eastAsiaTheme="minorEastAsia" w:cstheme="minorEastAsia"/>
          <w:sz w:val="28"/>
          <w:szCs w:val="28"/>
          <w:lang w:eastAsia="zh-CN"/>
        </w:rPr>
        <w:t>他</w:t>
      </w:r>
      <w:r>
        <w:rPr>
          <w:rFonts w:hint="eastAsia" w:asciiTheme="minorEastAsia" w:hAnsiTheme="minorEastAsia" w:eastAsiaTheme="minorEastAsia" w:cstheme="minorEastAsia"/>
          <w:sz w:val="28"/>
          <w:szCs w:val="28"/>
        </w:rPr>
        <w:t>文件移交给发包人。在承包人留有的资料文件中，销毁与发包人提供的所有信息相关的数据及资料的备份；</w:t>
      </w:r>
    </w:p>
    <w:p w14:paraId="0733F42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移交相应实施阶段已经付款的并已完成的和尚待完成的设计文件、图纸、资料、操作维修手册、施工组织设计、质检资料、竣工资料等；</w:t>
      </w:r>
    </w:p>
    <w:p w14:paraId="263B8B3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59" w:name="_Toc20214"/>
      <w:bookmarkStart w:id="2360" w:name="_Toc24471"/>
      <w:r>
        <w:rPr>
          <w:rFonts w:hint="eastAsia" w:asciiTheme="minorEastAsia" w:hAnsiTheme="minorEastAsia" w:eastAsiaTheme="minorEastAsia" w:cstheme="minorEastAsia"/>
          <w:sz w:val="28"/>
          <w:szCs w:val="28"/>
        </w:rPr>
        <w:t>16.1.3 因承包人违约解除合同后的估价、付款和结算</w:t>
      </w:r>
      <w:bookmarkEnd w:id="2359"/>
      <w:bookmarkEnd w:id="2360"/>
    </w:p>
    <w:p w14:paraId="6BD8217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因承包人原因导致合同解除的，则合同当事人应在合同解除后28天内完成估价、付款和清算，并按以下约定执行：</w:t>
      </w:r>
    </w:p>
    <w:p w14:paraId="4034536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合同解除后，按第3.6款[商定或确定]商定或确定承包人实际完成工作对应的合同价款，以及承包人已提供的材料、工程设备、施工设备和临时工程等的价值；</w:t>
      </w:r>
    </w:p>
    <w:p w14:paraId="3E285ADB">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合同解除后，承包人应支付的违约金；</w:t>
      </w:r>
    </w:p>
    <w:p w14:paraId="252B35F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合同解除后，因解除合同给发包人造成的损失；</w:t>
      </w:r>
    </w:p>
    <w:p w14:paraId="7ED3972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合同解除后，承包人应按照发包人的指示完成现场的清理和撤离；</w:t>
      </w:r>
    </w:p>
    <w:p w14:paraId="78A1926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发包人和承包人应在合同解除后进行清算，出具最终结清付款证书，结清全部款项。</w:t>
      </w:r>
    </w:p>
    <w:p w14:paraId="200DDFC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因承包人违约解除合同的，发包人有权暂停对承包人的付款，查清各项付款和已扣款项，发包人和承包人未能就合同解除后的清算和款项支付达成一致的，按照第20条[争议解决]的约定处理。</w:t>
      </w:r>
    </w:p>
    <w:p w14:paraId="0B22FE16">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61" w:name="_Toc21235"/>
      <w:bookmarkStart w:id="2362" w:name="_Toc5298"/>
      <w:r>
        <w:rPr>
          <w:rFonts w:hint="eastAsia" w:asciiTheme="minorEastAsia" w:hAnsiTheme="minorEastAsia" w:eastAsiaTheme="minorEastAsia" w:cstheme="minorEastAsia"/>
          <w:sz w:val="28"/>
          <w:szCs w:val="28"/>
        </w:rPr>
        <w:t>16.1.4 因承包人违约解除合同的合同权益转让</w:t>
      </w:r>
      <w:bookmarkEnd w:id="2361"/>
      <w:bookmarkEnd w:id="2362"/>
    </w:p>
    <w:p w14:paraId="6B761D2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06E426C0">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63" w:name="_Toc31820"/>
      <w:bookmarkStart w:id="2364" w:name="_Ref531958554"/>
      <w:bookmarkStart w:id="2365" w:name="_Toc11490"/>
      <w:bookmarkStart w:id="2366" w:name="_Toc11867"/>
      <w:bookmarkStart w:id="2367" w:name="_Ref531958549"/>
      <w:r>
        <w:rPr>
          <w:rFonts w:hint="eastAsia" w:asciiTheme="minorEastAsia" w:hAnsiTheme="minorEastAsia" w:eastAsiaTheme="minorEastAsia" w:cstheme="minorEastAsia"/>
          <w:b w:val="0"/>
          <w:bCs/>
          <w:sz w:val="28"/>
          <w:szCs w:val="28"/>
        </w:rPr>
        <w:t>16.2 由承包人解除合同</w:t>
      </w:r>
      <w:bookmarkEnd w:id="2363"/>
      <w:bookmarkEnd w:id="2364"/>
      <w:bookmarkEnd w:id="2365"/>
      <w:bookmarkEnd w:id="2366"/>
      <w:bookmarkEnd w:id="2367"/>
    </w:p>
    <w:p w14:paraId="6FC285C2">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68" w:name="_Ref3841758"/>
      <w:bookmarkStart w:id="2369" w:name="_Toc13095"/>
      <w:bookmarkStart w:id="2370" w:name="_Toc17017"/>
      <w:r>
        <w:rPr>
          <w:rFonts w:hint="eastAsia" w:asciiTheme="minorEastAsia" w:hAnsiTheme="minorEastAsia" w:eastAsiaTheme="minorEastAsia" w:cstheme="minorEastAsia"/>
          <w:sz w:val="28"/>
          <w:szCs w:val="28"/>
        </w:rPr>
        <w:t>16.2.1 因发包人违约解除合同</w:t>
      </w:r>
      <w:bookmarkEnd w:id="2368"/>
      <w:bookmarkEnd w:id="2369"/>
      <w:bookmarkEnd w:id="2370"/>
    </w:p>
    <w:p w14:paraId="67B8B24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目的情况下，承包人无须提前告知发包人其解除合同意向，可直接发出正式解除合同通知立即解除合同：</w:t>
      </w:r>
    </w:p>
    <w:p w14:paraId="1167E62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承包人就发包人未能遵守第2.5.2项关于发包人的资金安排发出通知后42天内，仍未收到合理的证明；</w:t>
      </w:r>
    </w:p>
    <w:p w14:paraId="4546991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在第14条规定的付款时间到期后42天内，承包人仍未收到应付款项； </w:t>
      </w:r>
    </w:p>
    <w:p w14:paraId="5BD72E4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发包人实质上未能根据合同约定履行其义务，构成根本性违约；</w:t>
      </w:r>
    </w:p>
    <w:p w14:paraId="353E16B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发承包双方订立本合同协议书后的84天内，承包人未收到根据第8.1款[开始工作]的开始工作通知；</w:t>
      </w:r>
    </w:p>
    <w:p w14:paraId="7A67690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55C741D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发包人未能遵守第2.5.3项的约定提交支付担保；</w:t>
      </w:r>
    </w:p>
    <w:p w14:paraId="5B0A6ED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发包人未能执行第15.1.2项[通知改正]的约定，致使合同目的不能实现的；</w:t>
      </w:r>
    </w:p>
    <w:p w14:paraId="7F5ADBB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 因发包人的原因暂停工作超过56天且暂停</w:t>
      </w:r>
      <w:r>
        <w:rPr>
          <w:rFonts w:hint="eastAsia" w:asciiTheme="minorEastAsia" w:hAnsiTheme="minorEastAsia" w:eastAsiaTheme="minorEastAsia" w:cstheme="minorEastAsia"/>
          <w:sz w:val="28"/>
          <w:szCs w:val="28"/>
          <w:lang w:eastAsia="zh-CN"/>
        </w:rPr>
        <w:t>影响</w:t>
      </w:r>
      <w:r>
        <w:rPr>
          <w:rFonts w:hint="eastAsia" w:asciiTheme="minorEastAsia" w:hAnsiTheme="minorEastAsia" w:eastAsiaTheme="minorEastAsia" w:cstheme="minorEastAsia"/>
          <w:sz w:val="28"/>
          <w:szCs w:val="28"/>
        </w:rPr>
        <w:t>整个工程，或因发包人的原因暂停工作超过182天的；</w:t>
      </w:r>
    </w:p>
    <w:p w14:paraId="2A5BFCF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 因发包人原因造成开始工作日期迟于承包人收到中标通知书（或在无中标通知书的情况下，订立本合同之日）后第84天的。</w:t>
      </w:r>
    </w:p>
    <w:p w14:paraId="03FFC23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发包人接到承包人解除合同意向通知后14天内，发包人随后给予了付款，或同意复工</w:t>
      </w:r>
      <w:r>
        <w:rPr>
          <w:rFonts w:hint="eastAsia" w:asciiTheme="minorEastAsia" w:hAnsiTheme="minorEastAsia" w:eastAsiaTheme="minorEastAsia" w:cstheme="minorEastAsia"/>
          <w:sz w:val="28"/>
          <w:szCs w:val="28"/>
          <w:lang w:eastAsia="zh-CN"/>
        </w:rPr>
        <w:t>或</w:t>
      </w:r>
      <w:r>
        <w:rPr>
          <w:rFonts w:hint="eastAsia" w:asciiTheme="minorEastAsia" w:hAnsiTheme="minorEastAsia" w:eastAsiaTheme="minorEastAsia" w:cstheme="minorEastAsia"/>
          <w:sz w:val="28"/>
          <w:szCs w:val="28"/>
        </w:rPr>
        <w:t>继续履行其义务</w:t>
      </w:r>
      <w:r>
        <w:rPr>
          <w:rFonts w:hint="eastAsia" w:asciiTheme="minorEastAsia" w:hAnsiTheme="minorEastAsia" w:eastAsiaTheme="minorEastAsia" w:cstheme="minorEastAsia"/>
          <w:sz w:val="28"/>
          <w:szCs w:val="28"/>
          <w:lang w:eastAsia="zh-CN"/>
        </w:rPr>
        <w:t>或</w:t>
      </w:r>
      <w:r>
        <w:rPr>
          <w:rFonts w:hint="eastAsia" w:asciiTheme="minorEastAsia" w:hAnsiTheme="minorEastAsia" w:eastAsiaTheme="minorEastAsia" w:cstheme="minorEastAsia"/>
          <w:sz w:val="28"/>
          <w:szCs w:val="28"/>
        </w:rPr>
        <w:t>提供了支付担保等，承包人应尽快安排并恢复正常工作；因此造成工期延误的，竣工日期顺延；承包人因此增加的费用，由发包人承担。</w:t>
      </w:r>
    </w:p>
    <w:p w14:paraId="61DDFD52">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71" w:name="_Ref3842018"/>
      <w:bookmarkStart w:id="2372" w:name="_Toc15808"/>
      <w:bookmarkStart w:id="2373" w:name="_Ref4624336"/>
      <w:bookmarkStart w:id="2374" w:name="_Toc32336"/>
      <w:r>
        <w:rPr>
          <w:rFonts w:hint="eastAsia" w:asciiTheme="minorEastAsia" w:hAnsiTheme="minorEastAsia" w:eastAsiaTheme="minorEastAsia" w:cstheme="minorEastAsia"/>
          <w:sz w:val="28"/>
          <w:szCs w:val="28"/>
        </w:rPr>
        <w:t>16.2.2 因发包人违约解除合同后</w:t>
      </w:r>
      <w:bookmarkEnd w:id="2371"/>
      <w:r>
        <w:rPr>
          <w:rFonts w:hint="eastAsia" w:asciiTheme="minorEastAsia" w:hAnsiTheme="minorEastAsia" w:eastAsiaTheme="minorEastAsia" w:cstheme="minorEastAsia"/>
          <w:sz w:val="28"/>
          <w:szCs w:val="28"/>
        </w:rPr>
        <w:t>承包人的义务</w:t>
      </w:r>
      <w:bookmarkEnd w:id="2372"/>
      <w:bookmarkEnd w:id="2373"/>
      <w:bookmarkEnd w:id="2374"/>
    </w:p>
    <w:p w14:paraId="549F1BB3">
      <w:pPr>
        <w:pStyle w:val="146"/>
        <w:keepNext w:val="0"/>
        <w:keepLines w:val="0"/>
        <w:pageBreakBefore w:val="0"/>
        <w:numPr>
          <w:ilvl w:val="0"/>
          <w:numId w:val="0"/>
        </w:numPr>
        <w:kinsoku/>
        <w:wordWrap/>
        <w:overflowPunct/>
        <w:topLinePunct w:val="0"/>
        <w:bidi w:val="0"/>
        <w:spacing w:line="360" w:lineRule="auto"/>
        <w:ind w:left="400" w:firstLine="425"/>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合同解除后，承包人应按以下约定执行：</w:t>
      </w:r>
    </w:p>
    <w:p w14:paraId="67E95FE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除为保护生命、财产、工程安全的工作外，停止所有进一步的工作；承包人因执行该保护工作而产生费用的，由发包人承担；</w:t>
      </w:r>
    </w:p>
    <w:p w14:paraId="5690A41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向发包人移交承包人已获得支付的承包人文件、生产设备、材料和其他工作；</w:t>
      </w:r>
    </w:p>
    <w:p w14:paraId="7AE7B5B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从现场运走除安全需要以外的所有属于承包人的其他货物，并撤离现场。</w:t>
      </w:r>
    </w:p>
    <w:p w14:paraId="34786786">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75" w:name="_Toc21558"/>
      <w:bookmarkStart w:id="2376" w:name="_Toc29783"/>
      <w:r>
        <w:rPr>
          <w:rFonts w:hint="eastAsia" w:asciiTheme="minorEastAsia" w:hAnsiTheme="minorEastAsia" w:eastAsiaTheme="minorEastAsia" w:cstheme="minorEastAsia"/>
          <w:sz w:val="28"/>
          <w:szCs w:val="28"/>
        </w:rPr>
        <w:t>16.2.3 因发包人违约解除合同后的付款</w:t>
      </w:r>
      <w:bookmarkEnd w:id="2375"/>
      <w:bookmarkEnd w:id="2376"/>
    </w:p>
    <w:p w14:paraId="394B3E1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承包人按照本款约定解除合同的，发包人应在解除合同后28天内支付下列款项，并退还履约担保：</w:t>
      </w:r>
    </w:p>
    <w:p w14:paraId="4C3B863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合同解除前所完成工作的价款；</w:t>
      </w:r>
    </w:p>
    <w:p w14:paraId="69E44A5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承包人为工程施工订购并已付款的材料、工程设备和其他物品的价款；发包人付款后，该材料、工程设备和其他物品归发包人所有；</w:t>
      </w:r>
    </w:p>
    <w:p w14:paraId="5167EE4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承包人为完成工程所发生的，而发包人未支付的金额；</w:t>
      </w:r>
    </w:p>
    <w:p w14:paraId="53C44F7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承包人撤离施工现场以及遣散承包人人员的款项；</w:t>
      </w:r>
    </w:p>
    <w:p w14:paraId="04E2D05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按照合同约定在合同解除前应支付的违约金；</w:t>
      </w:r>
    </w:p>
    <w:p w14:paraId="5646630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按照合同约定应当支付给承包人的其他款项；</w:t>
      </w:r>
    </w:p>
    <w:p w14:paraId="7C52BF2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按照合同约定应返还的质量保证金；</w:t>
      </w:r>
    </w:p>
    <w:p w14:paraId="2FF0AF3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 因解除合同给承包人造成的损失。</w:t>
      </w:r>
    </w:p>
    <w:p w14:paraId="428228C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承包人应妥善做好已</w:t>
      </w:r>
      <w:r>
        <w:rPr>
          <w:rFonts w:hint="eastAsia" w:asciiTheme="minorEastAsia" w:hAnsiTheme="minorEastAsia" w:eastAsiaTheme="minorEastAsia" w:cstheme="minorEastAsia"/>
          <w:sz w:val="28"/>
          <w:szCs w:val="28"/>
          <w:lang w:eastAsia="zh-CN"/>
        </w:rPr>
        <w:t>完成</w:t>
      </w:r>
      <w:r>
        <w:rPr>
          <w:rFonts w:hint="eastAsia" w:asciiTheme="minorEastAsia" w:hAnsiTheme="minorEastAsia" w:eastAsiaTheme="minorEastAsia" w:cstheme="minorEastAsia"/>
          <w:sz w:val="28"/>
          <w:szCs w:val="28"/>
        </w:rPr>
        <w:t>工程和与工程有关的已购材料、工程设备的保护和移交工作，并将施工设备和人员撤出施工现场，发包人应为承包人撤出提供必要条件。</w:t>
      </w:r>
    </w:p>
    <w:p w14:paraId="1BC8BE0A">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77" w:name="_Toc10853"/>
      <w:bookmarkStart w:id="2378" w:name="_Toc22444"/>
      <w:bookmarkStart w:id="2379" w:name="_Ref3841966"/>
      <w:bookmarkStart w:id="2380" w:name="_Toc26911"/>
      <w:r>
        <w:rPr>
          <w:rFonts w:hint="eastAsia" w:asciiTheme="minorEastAsia" w:hAnsiTheme="minorEastAsia" w:eastAsiaTheme="minorEastAsia" w:cstheme="minorEastAsia"/>
          <w:b w:val="0"/>
          <w:bCs/>
          <w:sz w:val="28"/>
          <w:szCs w:val="28"/>
        </w:rPr>
        <w:t>16.3 合同解除后的事项</w:t>
      </w:r>
      <w:bookmarkEnd w:id="2377"/>
      <w:bookmarkEnd w:id="2378"/>
      <w:bookmarkEnd w:id="2379"/>
      <w:bookmarkEnd w:id="2380"/>
    </w:p>
    <w:p w14:paraId="4E7A6F7E">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81" w:name="_Toc977"/>
      <w:bookmarkStart w:id="2382" w:name="_Toc14753"/>
      <w:r>
        <w:rPr>
          <w:rFonts w:hint="eastAsia" w:asciiTheme="minorEastAsia" w:hAnsiTheme="minorEastAsia" w:eastAsiaTheme="minorEastAsia" w:cstheme="minorEastAsia"/>
          <w:sz w:val="28"/>
          <w:szCs w:val="28"/>
        </w:rPr>
        <w:t>16.3.1 结算约定依然有效</w:t>
      </w:r>
      <w:bookmarkEnd w:id="2381"/>
      <w:bookmarkEnd w:id="2382"/>
    </w:p>
    <w:p w14:paraId="10FEAFF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合同解除后，由发包人或由承包人解除合同的结算及结算后的付款约定仍然有效，直至解除合同的结算工作结清。</w:t>
      </w:r>
    </w:p>
    <w:p w14:paraId="00202E37">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383" w:name="_Toc6996"/>
      <w:bookmarkStart w:id="2384" w:name="_Toc10642"/>
      <w:r>
        <w:rPr>
          <w:rFonts w:hint="eastAsia" w:asciiTheme="minorEastAsia" w:hAnsiTheme="minorEastAsia" w:eastAsiaTheme="minorEastAsia" w:cstheme="minorEastAsia"/>
          <w:sz w:val="28"/>
          <w:szCs w:val="28"/>
        </w:rPr>
        <w:t>16.3.2 解除合同的争议</w:t>
      </w:r>
      <w:bookmarkEnd w:id="2383"/>
      <w:bookmarkEnd w:id="2384"/>
    </w:p>
    <w:p w14:paraId="283D221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385" w:name="_Hlk18988355"/>
      <w:r>
        <w:rPr>
          <w:rFonts w:hint="eastAsia" w:asciiTheme="minorEastAsia" w:hAnsiTheme="minorEastAsia" w:eastAsiaTheme="minorEastAsia" w:cstheme="minorEastAsia"/>
          <w:sz w:val="28"/>
          <w:szCs w:val="28"/>
        </w:rPr>
        <w:t>双方对解除合同或解除合同后的结算有争议的，按照第20条[争议解决]的约定处理。</w:t>
      </w:r>
      <w:bookmarkEnd w:id="2385"/>
    </w:p>
    <w:p w14:paraId="7FEF699F">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386" w:name="_Ref3840974"/>
      <w:bookmarkStart w:id="2387" w:name="_Toc7473"/>
      <w:bookmarkStart w:id="2388" w:name="_Toc9565"/>
      <w:bookmarkStart w:id="2389" w:name="_Toc21959"/>
      <w:bookmarkStart w:id="2390" w:name="_Toc4206"/>
      <w:bookmarkStart w:id="2391" w:name="_Toc20907"/>
      <w:bookmarkStart w:id="2392" w:name="_Ref3840605"/>
      <w:r>
        <w:rPr>
          <w:rFonts w:hint="eastAsia" w:asciiTheme="minorEastAsia" w:hAnsiTheme="minorEastAsia" w:eastAsiaTheme="minorEastAsia" w:cstheme="minorEastAsia"/>
          <w:b w:val="0"/>
          <w:bCs/>
          <w:sz w:val="28"/>
          <w:szCs w:val="28"/>
        </w:rPr>
        <w:t>第17条 不可抗力</w:t>
      </w:r>
      <w:bookmarkEnd w:id="2386"/>
      <w:bookmarkEnd w:id="2387"/>
      <w:bookmarkEnd w:id="2388"/>
      <w:bookmarkEnd w:id="2389"/>
      <w:bookmarkEnd w:id="2390"/>
      <w:bookmarkEnd w:id="2391"/>
    </w:p>
    <w:p w14:paraId="3CD264DA">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93" w:name="_Ref531958161"/>
      <w:bookmarkStart w:id="2394" w:name="_Ref531958158"/>
      <w:bookmarkStart w:id="2395" w:name="_Toc18670"/>
      <w:bookmarkStart w:id="2396" w:name="_Toc10669"/>
      <w:bookmarkStart w:id="2397" w:name="_Toc20515"/>
      <w:r>
        <w:rPr>
          <w:rFonts w:hint="eastAsia" w:asciiTheme="minorEastAsia" w:hAnsiTheme="minorEastAsia" w:eastAsiaTheme="minorEastAsia" w:cstheme="minorEastAsia"/>
          <w:b w:val="0"/>
          <w:bCs/>
          <w:sz w:val="28"/>
          <w:szCs w:val="28"/>
        </w:rPr>
        <w:t>17.1 不可抗力的</w:t>
      </w:r>
      <w:bookmarkEnd w:id="2393"/>
      <w:bookmarkEnd w:id="2394"/>
      <w:r>
        <w:rPr>
          <w:rFonts w:hint="eastAsia" w:asciiTheme="minorEastAsia" w:hAnsiTheme="minorEastAsia" w:eastAsiaTheme="minorEastAsia" w:cstheme="minorEastAsia"/>
          <w:b w:val="0"/>
          <w:bCs/>
          <w:sz w:val="28"/>
          <w:szCs w:val="28"/>
        </w:rPr>
        <w:t>定义</w:t>
      </w:r>
      <w:bookmarkEnd w:id="2395"/>
      <w:bookmarkEnd w:id="2396"/>
      <w:bookmarkEnd w:id="2397"/>
    </w:p>
    <w:p w14:paraId="5E9AAB7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64004E5A">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398" w:name="_Toc29377"/>
      <w:bookmarkStart w:id="2399" w:name="_Toc14305"/>
      <w:bookmarkStart w:id="2400" w:name="_Toc31029"/>
      <w:r>
        <w:rPr>
          <w:rFonts w:hint="eastAsia" w:asciiTheme="minorEastAsia" w:hAnsiTheme="minorEastAsia" w:eastAsiaTheme="minorEastAsia" w:cstheme="minorEastAsia"/>
          <w:b w:val="0"/>
          <w:bCs/>
          <w:sz w:val="28"/>
          <w:szCs w:val="28"/>
        </w:rPr>
        <w:t>17.2 不可抗力的通知</w:t>
      </w:r>
      <w:bookmarkEnd w:id="2398"/>
      <w:bookmarkEnd w:id="2399"/>
      <w:bookmarkEnd w:id="2400"/>
      <w:r>
        <w:rPr>
          <w:rFonts w:hint="eastAsia" w:asciiTheme="minorEastAsia" w:hAnsiTheme="minorEastAsia" w:eastAsiaTheme="minorEastAsia" w:cstheme="minorEastAsia"/>
          <w:b w:val="0"/>
          <w:bCs/>
          <w:sz w:val="28"/>
          <w:szCs w:val="28"/>
        </w:rPr>
        <w:t xml:space="preserve"> </w:t>
      </w:r>
    </w:p>
    <w:p w14:paraId="2BA5F3A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合同一方当事人觉察或发现不可抗力事件发生，使其履行合同义务受到阻碍时，有义务立即通知合同另一方当事人和工程师，书面说明不可抗力和受阻碍的详细情况，并提供必要的证明。</w:t>
      </w:r>
    </w:p>
    <w:p w14:paraId="2E60009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不可抗力持续发生的，合同一方当事人应每隔28天向合同另一方当事人和工程师提交中间报告，说明不可抗力和履行合同受阻的情况，并于不可抗力事件结束后28天内提交最终报告及有关资料。</w:t>
      </w:r>
    </w:p>
    <w:p w14:paraId="184A98DB">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01" w:name="_Toc27156"/>
      <w:bookmarkStart w:id="2402" w:name="_Toc7620"/>
      <w:bookmarkStart w:id="2403" w:name="_Toc30935"/>
      <w:r>
        <w:rPr>
          <w:rFonts w:hint="eastAsia" w:asciiTheme="minorEastAsia" w:hAnsiTheme="minorEastAsia" w:eastAsiaTheme="minorEastAsia" w:cstheme="minorEastAsia"/>
          <w:b w:val="0"/>
          <w:bCs/>
          <w:sz w:val="28"/>
          <w:szCs w:val="28"/>
        </w:rPr>
        <w:t>17.3 将损失减至最小的义务</w:t>
      </w:r>
      <w:bookmarkEnd w:id="2401"/>
      <w:bookmarkEnd w:id="2402"/>
      <w:bookmarkEnd w:id="2403"/>
    </w:p>
    <w:p w14:paraId="571281E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76C170EC">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04" w:name="_Ref531958172"/>
      <w:bookmarkStart w:id="2405" w:name="_Ref531958170"/>
      <w:bookmarkStart w:id="2406" w:name="_Ref3840916"/>
      <w:bookmarkStart w:id="2407" w:name="_Toc32187"/>
      <w:bookmarkStart w:id="2408" w:name="_Toc31566"/>
      <w:bookmarkStart w:id="2409" w:name="_Toc19541"/>
      <w:r>
        <w:rPr>
          <w:rFonts w:hint="eastAsia" w:asciiTheme="minorEastAsia" w:hAnsiTheme="minorEastAsia" w:eastAsiaTheme="minorEastAsia" w:cstheme="minorEastAsia"/>
          <w:b w:val="0"/>
          <w:bCs/>
          <w:sz w:val="28"/>
          <w:szCs w:val="28"/>
        </w:rPr>
        <w:t>17.4 不可抗力后果</w:t>
      </w:r>
      <w:bookmarkEnd w:id="2404"/>
      <w:bookmarkEnd w:id="2405"/>
      <w:r>
        <w:rPr>
          <w:rFonts w:hint="eastAsia" w:asciiTheme="minorEastAsia" w:hAnsiTheme="minorEastAsia" w:eastAsiaTheme="minorEastAsia" w:cstheme="minorEastAsia"/>
          <w:b w:val="0"/>
          <w:bCs/>
          <w:sz w:val="28"/>
          <w:szCs w:val="28"/>
        </w:rPr>
        <w:t>的承担</w:t>
      </w:r>
      <w:bookmarkEnd w:id="2406"/>
      <w:bookmarkEnd w:id="2407"/>
      <w:bookmarkEnd w:id="2408"/>
      <w:bookmarkEnd w:id="2409"/>
      <w:r>
        <w:rPr>
          <w:rFonts w:hint="eastAsia" w:asciiTheme="minorEastAsia" w:hAnsiTheme="minorEastAsia" w:eastAsiaTheme="minorEastAsia" w:cstheme="minorEastAsia"/>
          <w:b w:val="0"/>
          <w:bCs/>
          <w:sz w:val="28"/>
          <w:szCs w:val="28"/>
        </w:rPr>
        <w:t xml:space="preserve"> </w:t>
      </w:r>
    </w:p>
    <w:p w14:paraId="3623923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不可抗力导致的人员伤亡、财产损失、费用增加和（或）工期延误等后果，由合同当事人按以下原则承担：</w:t>
      </w:r>
    </w:p>
    <w:p w14:paraId="4FE63A7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永久工程，包括已运至施工现场的材料和工程设备的损害，以及因工程损害造成的第三人人员伤亡和财产损失由发包人承担；</w:t>
      </w:r>
    </w:p>
    <w:p w14:paraId="74C974F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承包人提供的施工设备的损坏由承包人承担；</w:t>
      </w:r>
    </w:p>
    <w:p w14:paraId="41437A7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发包人和承包人各自承担其人员伤亡及其他财产损失；</w:t>
      </w:r>
    </w:p>
    <w:p w14:paraId="3D1330E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因不可抗力影响承包人履行合同约定的义务，已经引起或将引起工期延误的，应当顺延工期，由此导致承包人停工的费用损失由发包人和承包人合理分担，</w:t>
      </w:r>
      <w:bookmarkStart w:id="2410" w:name="_Hlk51507024"/>
      <w:r>
        <w:rPr>
          <w:rFonts w:hint="eastAsia" w:asciiTheme="minorEastAsia" w:hAnsiTheme="minorEastAsia" w:eastAsiaTheme="minorEastAsia" w:cstheme="minorEastAsia"/>
          <w:sz w:val="28"/>
          <w:szCs w:val="28"/>
        </w:rPr>
        <w:t>停工期间必须支付的现场必要的工人工资</w:t>
      </w:r>
      <w:bookmarkEnd w:id="2410"/>
      <w:r>
        <w:rPr>
          <w:rFonts w:hint="eastAsia" w:asciiTheme="minorEastAsia" w:hAnsiTheme="minorEastAsia" w:eastAsiaTheme="minorEastAsia" w:cstheme="minorEastAsia"/>
          <w:sz w:val="28"/>
          <w:szCs w:val="28"/>
        </w:rPr>
        <w:t>由发包人承担；</w:t>
      </w:r>
    </w:p>
    <w:p w14:paraId="0021C9A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因不可抗力引起或将引起工期延误，发包人指示赶工的，由此增加的赶工费用由发包人承担；</w:t>
      </w:r>
    </w:p>
    <w:p w14:paraId="64BF23F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承包人在停工期间按照工程师或发包人要求照管、清理和修复工程的费用由发包人承担。</w:t>
      </w:r>
    </w:p>
    <w:p w14:paraId="36DE247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不可抗力引起的后果及造成的损失由合同当事人按照法律规定及合同约定各自承担。不可抗力发生前已完成的工程应当按照合同约定进行支付。</w:t>
      </w:r>
    </w:p>
    <w:p w14:paraId="06E06314">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11" w:name="_Toc14658"/>
      <w:bookmarkStart w:id="2412" w:name="_Toc19253"/>
      <w:bookmarkStart w:id="2413" w:name="_Toc16875"/>
      <w:r>
        <w:rPr>
          <w:rFonts w:hint="eastAsia" w:asciiTheme="minorEastAsia" w:hAnsiTheme="minorEastAsia" w:eastAsiaTheme="minorEastAsia" w:cstheme="minorEastAsia"/>
          <w:b w:val="0"/>
          <w:bCs/>
          <w:sz w:val="28"/>
          <w:szCs w:val="28"/>
        </w:rPr>
        <w:t>17.5 不可抗力影响分包人</w:t>
      </w:r>
      <w:bookmarkEnd w:id="2411"/>
      <w:bookmarkEnd w:id="2412"/>
      <w:bookmarkEnd w:id="2413"/>
      <w:r>
        <w:rPr>
          <w:rFonts w:hint="eastAsia" w:asciiTheme="minorEastAsia" w:hAnsiTheme="minorEastAsia" w:eastAsiaTheme="minorEastAsia" w:cstheme="minorEastAsia"/>
          <w:b w:val="0"/>
          <w:bCs/>
          <w:sz w:val="28"/>
          <w:szCs w:val="28"/>
        </w:rPr>
        <w:t xml:space="preserve"> </w:t>
      </w:r>
    </w:p>
    <w:p w14:paraId="1CC49FDB">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分包人根据分包合同的约定，有权获得更多或者更广的不可抗力而免除某些义务时，承包人不得以分包合同中不可抗力约定向发包人抗辩免除其义务。</w:t>
      </w:r>
    </w:p>
    <w:p w14:paraId="3B8E29AB">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14" w:name="_Ref531958181"/>
      <w:bookmarkStart w:id="2415" w:name="_Ref531958184"/>
      <w:bookmarkStart w:id="2416" w:name="_Ref4538024"/>
      <w:bookmarkStart w:id="2417" w:name="_Toc16785"/>
      <w:bookmarkStart w:id="2418" w:name="_Toc12878"/>
      <w:bookmarkStart w:id="2419" w:name="_Ref3840892"/>
      <w:bookmarkStart w:id="2420" w:name="_Toc8734"/>
      <w:r>
        <w:rPr>
          <w:rFonts w:hint="eastAsia" w:asciiTheme="minorEastAsia" w:hAnsiTheme="minorEastAsia" w:eastAsiaTheme="minorEastAsia" w:cstheme="minorEastAsia"/>
          <w:b w:val="0"/>
          <w:bCs/>
          <w:sz w:val="28"/>
          <w:szCs w:val="28"/>
        </w:rPr>
        <w:t>17.6 因不可抗力解除</w:t>
      </w:r>
      <w:bookmarkEnd w:id="2414"/>
      <w:bookmarkEnd w:id="2415"/>
      <w:r>
        <w:rPr>
          <w:rFonts w:hint="eastAsia" w:asciiTheme="minorEastAsia" w:hAnsiTheme="minorEastAsia" w:eastAsiaTheme="minorEastAsia" w:cstheme="minorEastAsia"/>
          <w:b w:val="0"/>
          <w:bCs/>
          <w:sz w:val="28"/>
          <w:szCs w:val="28"/>
        </w:rPr>
        <w:t>合同</w:t>
      </w:r>
      <w:bookmarkEnd w:id="2416"/>
      <w:bookmarkEnd w:id="2417"/>
      <w:bookmarkEnd w:id="2418"/>
      <w:bookmarkEnd w:id="2419"/>
      <w:bookmarkEnd w:id="2420"/>
      <w:r>
        <w:rPr>
          <w:rFonts w:hint="eastAsia" w:asciiTheme="minorEastAsia" w:hAnsiTheme="minorEastAsia" w:eastAsiaTheme="minorEastAsia" w:cstheme="minorEastAsia"/>
          <w:b w:val="0"/>
          <w:bCs/>
          <w:sz w:val="28"/>
          <w:szCs w:val="28"/>
        </w:rPr>
        <w:t xml:space="preserve"> </w:t>
      </w:r>
    </w:p>
    <w:p w14:paraId="49C8301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298E55F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合同解除前承包人已完成工作的价款；</w:t>
      </w:r>
    </w:p>
    <w:p w14:paraId="39589E8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5DBC0C4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发包人指示承包人退货或解除订货合同而产生的费用，或因不能退货或解除合同而产生的损失；</w:t>
      </w:r>
    </w:p>
    <w:p w14:paraId="5E61ACB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承包人撤离施工现场以及遣散承包人人员的费用；</w:t>
      </w:r>
    </w:p>
    <w:p w14:paraId="7865321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按照合同约定在合同解除前应支付给承包人的其他款项；</w:t>
      </w:r>
    </w:p>
    <w:p w14:paraId="53CF748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 扣减承包人按照合同约定应向发包人支付的款项；</w:t>
      </w:r>
    </w:p>
    <w:p w14:paraId="1969B64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 双方商定或确定的其他款项。</w:t>
      </w:r>
    </w:p>
    <w:p w14:paraId="060916A4">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除专用合同条件另有约定外，合同解除后，发包人应当在商定或确定上述款项后28天内完成上述款项的支付。</w:t>
      </w:r>
    </w:p>
    <w:p w14:paraId="3DA911AE">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421" w:name="_Ref11848274"/>
      <w:bookmarkStart w:id="2422" w:name="_Toc15660"/>
      <w:bookmarkStart w:id="2423" w:name="_Toc19104"/>
      <w:bookmarkStart w:id="2424" w:name="_Ref11848264"/>
      <w:bookmarkStart w:id="2425" w:name="_Toc15302"/>
      <w:bookmarkStart w:id="2426" w:name="_Toc15537"/>
      <w:bookmarkStart w:id="2427" w:name="_Toc10359"/>
      <w:r>
        <w:rPr>
          <w:rFonts w:hint="eastAsia" w:asciiTheme="minorEastAsia" w:hAnsiTheme="minorEastAsia" w:eastAsiaTheme="minorEastAsia" w:cstheme="minorEastAsia"/>
          <w:b w:val="0"/>
          <w:bCs/>
          <w:sz w:val="28"/>
          <w:szCs w:val="28"/>
        </w:rPr>
        <w:t>第18条 保险</w:t>
      </w:r>
      <w:bookmarkEnd w:id="2392"/>
      <w:bookmarkEnd w:id="2421"/>
      <w:bookmarkEnd w:id="2422"/>
      <w:bookmarkEnd w:id="2423"/>
      <w:bookmarkEnd w:id="2424"/>
      <w:bookmarkEnd w:id="2425"/>
      <w:bookmarkEnd w:id="2426"/>
      <w:bookmarkEnd w:id="2427"/>
      <w:r>
        <w:rPr>
          <w:rFonts w:hint="eastAsia" w:asciiTheme="minorEastAsia" w:hAnsiTheme="minorEastAsia" w:eastAsiaTheme="minorEastAsia" w:cstheme="minorEastAsia"/>
          <w:b w:val="0"/>
          <w:bCs/>
          <w:sz w:val="28"/>
          <w:szCs w:val="28"/>
        </w:rPr>
        <w:t xml:space="preserve"> </w:t>
      </w:r>
    </w:p>
    <w:p w14:paraId="0F1E1BC9">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28" w:name="_Toc14117"/>
      <w:bookmarkStart w:id="2429" w:name="_Ref3840734"/>
      <w:bookmarkStart w:id="2430" w:name="_Toc28285"/>
      <w:bookmarkStart w:id="2431" w:name="_Toc24897"/>
      <w:bookmarkStart w:id="2432" w:name="_Ref3840730"/>
      <w:bookmarkStart w:id="2433" w:name="_Ref531957911"/>
      <w:bookmarkStart w:id="2434" w:name="_Ref531957914"/>
      <w:bookmarkStart w:id="2435" w:name="_Toc351203616"/>
      <w:r>
        <w:rPr>
          <w:rFonts w:hint="eastAsia" w:asciiTheme="minorEastAsia" w:hAnsiTheme="minorEastAsia" w:eastAsiaTheme="minorEastAsia" w:cstheme="minorEastAsia"/>
          <w:b w:val="0"/>
          <w:bCs/>
          <w:sz w:val="28"/>
          <w:szCs w:val="28"/>
        </w:rPr>
        <w:t>18.1 设计和工程保险</w:t>
      </w:r>
      <w:bookmarkEnd w:id="2428"/>
      <w:bookmarkEnd w:id="2429"/>
      <w:bookmarkEnd w:id="2430"/>
      <w:bookmarkEnd w:id="2431"/>
      <w:bookmarkEnd w:id="2432"/>
    </w:p>
    <w:bookmarkEnd w:id="2433"/>
    <w:bookmarkEnd w:id="2434"/>
    <w:p w14:paraId="3E6CCBCE">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36" w:name="_Toc19489"/>
      <w:bookmarkStart w:id="2437" w:name="_Toc13869"/>
      <w:r>
        <w:rPr>
          <w:rFonts w:hint="eastAsia" w:asciiTheme="minorEastAsia" w:hAnsiTheme="minorEastAsia" w:eastAsiaTheme="minorEastAsia" w:cstheme="minorEastAsia"/>
          <w:sz w:val="28"/>
          <w:szCs w:val="28"/>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bookmarkEnd w:id="2436"/>
      <w:bookmarkEnd w:id="2437"/>
    </w:p>
    <w:p w14:paraId="12B7DE99">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38" w:name="_Toc18201"/>
      <w:bookmarkStart w:id="2439" w:name="_Toc29371"/>
      <w:r>
        <w:rPr>
          <w:rFonts w:hint="eastAsia" w:asciiTheme="minorEastAsia" w:hAnsiTheme="minorEastAsia" w:eastAsiaTheme="minorEastAsia" w:cstheme="minorEastAsia"/>
          <w:sz w:val="28"/>
          <w:szCs w:val="28"/>
        </w:rPr>
        <w:t>18.1.2 双方应按照专用合同条件的约定投保第三者责任险，并在缺陷责任期终止证书颁发前维持其持续有效。第三者责任险最低投保额应在专用合同条件内约定。</w:t>
      </w:r>
      <w:bookmarkEnd w:id="2438"/>
      <w:bookmarkEnd w:id="2439"/>
    </w:p>
    <w:p w14:paraId="27261723">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40" w:name="_Toc7870"/>
      <w:bookmarkStart w:id="2441" w:name="_Ref3840683"/>
      <w:bookmarkStart w:id="2442" w:name="_Toc5849"/>
      <w:bookmarkStart w:id="2443" w:name="_Toc5232"/>
      <w:r>
        <w:rPr>
          <w:rFonts w:hint="eastAsia" w:asciiTheme="minorEastAsia" w:hAnsiTheme="minorEastAsia" w:eastAsiaTheme="minorEastAsia" w:cstheme="minorEastAsia"/>
          <w:b w:val="0"/>
          <w:bCs/>
          <w:sz w:val="28"/>
          <w:szCs w:val="28"/>
        </w:rPr>
        <w:t>18.2 工伤和意外伤害保险</w:t>
      </w:r>
      <w:bookmarkEnd w:id="2440"/>
      <w:bookmarkEnd w:id="2441"/>
      <w:bookmarkEnd w:id="2442"/>
      <w:bookmarkEnd w:id="2443"/>
    </w:p>
    <w:p w14:paraId="59EDBCB8">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44" w:name="_Toc6979"/>
      <w:bookmarkStart w:id="2445" w:name="_Toc19762"/>
      <w:r>
        <w:rPr>
          <w:rFonts w:hint="eastAsia" w:asciiTheme="minorEastAsia" w:hAnsiTheme="minorEastAsia" w:eastAsiaTheme="minorEastAsia" w:cstheme="minorEastAsia"/>
          <w:sz w:val="28"/>
          <w:szCs w:val="28"/>
        </w:rPr>
        <w:t>18.2.1 发包人应依照法律规定为其在施工现场的雇用人员办理工伤保险，缴纳工伤保险费；并要求工程师及由发包人为履行合同聘请的第三方在施工现场的雇用人员依法办理工伤保险。</w:t>
      </w:r>
      <w:bookmarkEnd w:id="2444"/>
      <w:bookmarkEnd w:id="2445"/>
    </w:p>
    <w:p w14:paraId="6F97B184">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46" w:name="_Toc28153"/>
      <w:bookmarkStart w:id="2447" w:name="_Toc29509"/>
      <w:r>
        <w:rPr>
          <w:rFonts w:hint="eastAsia" w:asciiTheme="minorEastAsia" w:hAnsiTheme="minorEastAsia" w:eastAsiaTheme="minorEastAsia" w:cstheme="minorEastAsia"/>
          <w:sz w:val="28"/>
          <w:szCs w:val="28"/>
        </w:rPr>
        <w:t>18.2.2 承包人应依照法律规定为其履行合同雇用的全部人员办理工伤保险，缴纳工伤保险费，并要求分包人及由承包人为履行合同聘请的第三方雇用的全部人员依法办理工伤保险。</w:t>
      </w:r>
      <w:bookmarkEnd w:id="2446"/>
      <w:bookmarkEnd w:id="2447"/>
    </w:p>
    <w:p w14:paraId="59C6B1B1">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48" w:name="_Toc15038"/>
      <w:bookmarkStart w:id="2449" w:name="_Toc31856"/>
      <w:r>
        <w:rPr>
          <w:rFonts w:hint="eastAsia" w:asciiTheme="minorEastAsia" w:hAnsiTheme="minorEastAsia" w:eastAsiaTheme="minorEastAsia" w:cstheme="minorEastAsia"/>
          <w:sz w:val="28"/>
          <w:szCs w:val="28"/>
        </w:rPr>
        <w:t>18.2.3 发包人和承包人可以为其施工现场的全部人员办理意外伤害保险并支付保险费，包括其员工及为履行合同聘请的第三方的人员，具体事项由合同当事人在专用合同条件约定。</w:t>
      </w:r>
      <w:bookmarkEnd w:id="2448"/>
      <w:bookmarkEnd w:id="2449"/>
    </w:p>
    <w:p w14:paraId="5ED3AF7C">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50" w:name="_Toc18645"/>
      <w:bookmarkStart w:id="2451" w:name="_Toc4762"/>
      <w:bookmarkStart w:id="2452" w:name="_Ref3840782"/>
      <w:bookmarkStart w:id="2453" w:name="_Toc5251"/>
      <w:r>
        <w:rPr>
          <w:rFonts w:hint="eastAsia" w:asciiTheme="minorEastAsia" w:hAnsiTheme="minorEastAsia" w:eastAsiaTheme="minorEastAsia" w:cstheme="minorEastAsia"/>
          <w:b w:val="0"/>
          <w:bCs/>
          <w:sz w:val="28"/>
          <w:szCs w:val="28"/>
        </w:rPr>
        <w:t>18.3 货物保险</w:t>
      </w:r>
      <w:bookmarkEnd w:id="2450"/>
      <w:bookmarkEnd w:id="2451"/>
      <w:bookmarkEnd w:id="2452"/>
      <w:bookmarkEnd w:id="2453"/>
    </w:p>
    <w:p w14:paraId="41B2A53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w:t>
      </w:r>
      <w:r>
        <w:rPr>
          <w:rFonts w:hint="eastAsia" w:asciiTheme="minorEastAsia" w:hAnsiTheme="minorEastAsia" w:eastAsiaTheme="minorEastAsia" w:cstheme="minorEastAsia"/>
          <w:iCs/>
          <w:sz w:val="28"/>
          <w:szCs w:val="28"/>
        </w:rPr>
        <w:t>按照</w:t>
      </w:r>
      <w:r>
        <w:rPr>
          <w:rFonts w:hint="eastAsia" w:asciiTheme="minorEastAsia" w:hAnsiTheme="minorEastAsia" w:eastAsiaTheme="minorEastAsia" w:cstheme="minorEastAsia"/>
          <w:sz w:val="28"/>
          <w:szCs w:val="28"/>
        </w:rPr>
        <w:t>专用合同条件的约定为</w:t>
      </w:r>
      <w:r>
        <w:rPr>
          <w:rFonts w:hint="eastAsia" w:asciiTheme="minorEastAsia" w:hAnsiTheme="minorEastAsia" w:eastAsiaTheme="minorEastAsia" w:cstheme="minorEastAsia"/>
          <w:iCs/>
          <w:sz w:val="28"/>
          <w:szCs w:val="28"/>
        </w:rPr>
        <w:t>运抵现场的</w:t>
      </w:r>
      <w:r>
        <w:rPr>
          <w:rFonts w:hint="eastAsia" w:asciiTheme="minorEastAsia" w:hAnsiTheme="minorEastAsia" w:eastAsiaTheme="minorEastAsia" w:cstheme="minorEastAsia"/>
          <w:sz w:val="28"/>
          <w:szCs w:val="28"/>
        </w:rPr>
        <w:t>施工设备、材料、工程设备和临时工程等办理财产保险，保险期限自上述货物运抵现场至其不再为工程所需要为止。</w:t>
      </w:r>
    </w:p>
    <w:p w14:paraId="1CA3F8C2">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54" w:name="_Toc23993"/>
      <w:bookmarkStart w:id="2455" w:name="_Ref4692238"/>
      <w:bookmarkStart w:id="2456" w:name="_Ref4692231"/>
      <w:bookmarkStart w:id="2457" w:name="_Toc28366"/>
      <w:bookmarkStart w:id="2458" w:name="_Toc21816"/>
      <w:r>
        <w:rPr>
          <w:rFonts w:hint="eastAsia" w:asciiTheme="minorEastAsia" w:hAnsiTheme="minorEastAsia" w:eastAsiaTheme="minorEastAsia" w:cstheme="minorEastAsia"/>
          <w:b w:val="0"/>
          <w:bCs/>
          <w:sz w:val="28"/>
          <w:szCs w:val="28"/>
        </w:rPr>
        <w:t>18.4 其他保险</w:t>
      </w:r>
      <w:bookmarkEnd w:id="2454"/>
      <w:bookmarkEnd w:id="2455"/>
      <w:bookmarkEnd w:id="2456"/>
      <w:bookmarkEnd w:id="2457"/>
      <w:bookmarkEnd w:id="2458"/>
    </w:p>
    <w:p w14:paraId="3E39EC52">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发包人应按照工程总承包模式所适用的法律法规和专用合同条件约定，投保其他保险并保持保险有效，其投保费</w:t>
      </w:r>
      <w:r>
        <w:rPr>
          <w:rFonts w:hint="eastAsia" w:asciiTheme="minorEastAsia" w:hAnsiTheme="minorEastAsia" w:eastAsiaTheme="minorEastAsia" w:cstheme="minorEastAsia"/>
          <w:sz w:val="28"/>
          <w:szCs w:val="28"/>
          <w:lang w:eastAsia="zh-CN"/>
        </w:rPr>
        <w:t>用由</w:t>
      </w:r>
      <w:r>
        <w:rPr>
          <w:rFonts w:hint="eastAsia" w:asciiTheme="minorEastAsia" w:hAnsiTheme="minorEastAsia" w:eastAsiaTheme="minorEastAsia" w:cstheme="minorEastAsia"/>
          <w:sz w:val="28"/>
          <w:szCs w:val="28"/>
        </w:rPr>
        <w:t>发包人自行承担。承包人应按照工程总承包模式所适</w:t>
      </w:r>
      <w:r>
        <w:rPr>
          <w:rFonts w:hint="eastAsia" w:asciiTheme="minorEastAsia" w:hAnsiTheme="minorEastAsia" w:eastAsiaTheme="minorEastAsia" w:cstheme="minorEastAsia"/>
          <w:sz w:val="28"/>
          <w:szCs w:val="28"/>
          <w:lang w:eastAsia="zh-CN"/>
        </w:rPr>
        <w:t>用的</w:t>
      </w:r>
      <w:r>
        <w:rPr>
          <w:rFonts w:hint="eastAsia" w:asciiTheme="minorEastAsia" w:hAnsiTheme="minorEastAsia" w:eastAsiaTheme="minorEastAsia" w:cstheme="minorEastAsia"/>
          <w:sz w:val="28"/>
          <w:szCs w:val="28"/>
        </w:rPr>
        <w:t>法律法规和专用合同条件约定投保相应保险并保持保险有效，其投</w:t>
      </w:r>
      <w:bookmarkEnd w:id="2435"/>
      <w:r>
        <w:rPr>
          <w:rFonts w:hint="eastAsia" w:asciiTheme="minorEastAsia" w:hAnsiTheme="minorEastAsia" w:eastAsiaTheme="minorEastAsia" w:cstheme="minorEastAsia"/>
          <w:sz w:val="28"/>
          <w:szCs w:val="28"/>
        </w:rPr>
        <w:t>保费用包含在合同价格中，但在合同执行过程中，新颁布适用的法律法规规定由承包人投保的强制保险，应根据本合同</w:t>
      </w:r>
      <w:bookmarkStart w:id="2459" w:name="_Toc351203617"/>
      <w:bookmarkStart w:id="2460" w:name="_Toc296503126"/>
      <w:bookmarkStart w:id="2461" w:name="_Toc337558832"/>
      <w:bookmarkStart w:id="2462" w:name="_Toc296346627"/>
      <w:r>
        <w:rPr>
          <w:rFonts w:hint="eastAsia" w:asciiTheme="minorEastAsia" w:hAnsiTheme="minorEastAsia" w:eastAsiaTheme="minorEastAsia" w:cstheme="minorEastAsia"/>
          <w:sz w:val="28"/>
          <w:szCs w:val="28"/>
        </w:rPr>
        <w:t>第13条[变更与调整]的约定增加合同价款。</w:t>
      </w:r>
    </w:p>
    <w:p w14:paraId="28A0494E">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63" w:name="_Ref3840659"/>
      <w:bookmarkStart w:id="2464" w:name="_Toc19588"/>
      <w:bookmarkStart w:id="2465" w:name="_Toc8697"/>
      <w:bookmarkStart w:id="2466" w:name="_Toc22287"/>
      <w:r>
        <w:rPr>
          <w:rFonts w:hint="eastAsia" w:asciiTheme="minorEastAsia" w:hAnsiTheme="minorEastAsia" w:eastAsiaTheme="minorEastAsia" w:cstheme="minorEastAsia"/>
          <w:b w:val="0"/>
          <w:bCs/>
          <w:sz w:val="28"/>
          <w:szCs w:val="28"/>
        </w:rPr>
        <w:t>18.5 对各项保险的一般要求</w:t>
      </w:r>
      <w:bookmarkEnd w:id="2463"/>
      <w:bookmarkEnd w:id="2464"/>
      <w:bookmarkEnd w:id="2465"/>
      <w:bookmarkEnd w:id="2466"/>
    </w:p>
    <w:p w14:paraId="3A0196A6">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67" w:name="_Toc25774"/>
      <w:bookmarkStart w:id="2468" w:name="_Toc28690"/>
      <w:r>
        <w:rPr>
          <w:rFonts w:hint="eastAsia" w:asciiTheme="minorEastAsia" w:hAnsiTheme="minorEastAsia" w:eastAsiaTheme="minorEastAsia" w:cstheme="minorEastAsia"/>
          <w:sz w:val="28"/>
          <w:szCs w:val="28"/>
        </w:rPr>
        <w:t>18.5.1 持续保险</w:t>
      </w:r>
      <w:bookmarkEnd w:id="2467"/>
      <w:bookmarkEnd w:id="2468"/>
    </w:p>
    <w:p w14:paraId="37A5BA0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合同当事人应与保险人保持联系，使保险人能够随时了</w:t>
      </w:r>
      <w:bookmarkEnd w:id="2459"/>
      <w:r>
        <w:rPr>
          <w:rFonts w:hint="eastAsia" w:asciiTheme="minorEastAsia" w:hAnsiTheme="minorEastAsia" w:eastAsiaTheme="minorEastAsia" w:cstheme="minorEastAsia"/>
          <w:sz w:val="28"/>
          <w:szCs w:val="28"/>
        </w:rPr>
        <w:t>解</w:t>
      </w:r>
      <w:bookmarkEnd w:id="2460"/>
      <w:bookmarkEnd w:id="2461"/>
      <w:bookmarkEnd w:id="2462"/>
      <w:r>
        <w:rPr>
          <w:rFonts w:hint="eastAsia" w:asciiTheme="minorEastAsia" w:hAnsiTheme="minorEastAsia" w:eastAsiaTheme="minorEastAsia" w:cstheme="minorEastAsia"/>
          <w:sz w:val="28"/>
          <w:szCs w:val="28"/>
        </w:rPr>
        <w:t>工程实施中的变动，并确保按保险合同条款要求持续保险。</w:t>
      </w:r>
    </w:p>
    <w:p w14:paraId="1788E906">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69" w:name="_Toc18977"/>
      <w:bookmarkStart w:id="2470" w:name="_Toc26556"/>
      <w:bookmarkStart w:id="2471" w:name="_Ref4777650"/>
      <w:r>
        <w:rPr>
          <w:rFonts w:hint="eastAsia" w:asciiTheme="minorEastAsia" w:hAnsiTheme="minorEastAsia" w:eastAsiaTheme="minorEastAsia" w:cstheme="minorEastAsia"/>
          <w:sz w:val="28"/>
          <w:szCs w:val="28"/>
        </w:rPr>
        <w:t>18.5.2 保险凭证</w:t>
      </w:r>
      <w:bookmarkEnd w:id="2469"/>
      <w:bookmarkEnd w:id="2470"/>
      <w:bookmarkEnd w:id="2471"/>
    </w:p>
    <w:p w14:paraId="7F303D2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合同当事人应及时向另一方当事人提交其已投保的各项保险的凭证和保险单复印件，保险单必须与专用合同条件约定的条件保持一致。</w:t>
      </w:r>
    </w:p>
    <w:p w14:paraId="0737E11B">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72" w:name="_Toc2719"/>
      <w:bookmarkStart w:id="2473" w:name="_Toc20578"/>
      <w:r>
        <w:rPr>
          <w:rFonts w:hint="eastAsia" w:asciiTheme="minorEastAsia" w:hAnsiTheme="minorEastAsia" w:eastAsiaTheme="minorEastAsia" w:cstheme="minorEastAsia"/>
          <w:sz w:val="28"/>
          <w:szCs w:val="28"/>
        </w:rPr>
        <w:t>18.5.3 未按约定投保的补救</w:t>
      </w:r>
      <w:bookmarkEnd w:id="2472"/>
      <w:bookmarkEnd w:id="2473"/>
    </w:p>
    <w:p w14:paraId="1534A7C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负有投保义务的一方当事人未按合同约定办理保险，或未能使保险持续有效的，则另一方当事人可代为办理，所需费用由负有投保义务的一方当事人承担。</w:t>
      </w:r>
    </w:p>
    <w:p w14:paraId="51D4C63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负有投保</w:t>
      </w:r>
      <w:bookmarkStart w:id="2474" w:name="_Toc351203619"/>
      <w:bookmarkStart w:id="2475" w:name="_Toc337558834"/>
      <w:r>
        <w:rPr>
          <w:rFonts w:hint="eastAsia" w:asciiTheme="minorEastAsia" w:hAnsiTheme="minorEastAsia" w:eastAsiaTheme="minorEastAsia" w:cstheme="minorEastAsia"/>
          <w:sz w:val="28"/>
          <w:szCs w:val="28"/>
        </w:rPr>
        <w:t>义务的一方当事人未</w:t>
      </w:r>
      <w:bookmarkEnd w:id="2474"/>
      <w:r>
        <w:rPr>
          <w:rFonts w:hint="eastAsia" w:asciiTheme="minorEastAsia" w:hAnsiTheme="minorEastAsia" w:eastAsiaTheme="minorEastAsia" w:cstheme="minorEastAsia"/>
          <w:sz w:val="28"/>
          <w:szCs w:val="28"/>
        </w:rPr>
        <w:t>按</w:t>
      </w:r>
      <w:bookmarkEnd w:id="2475"/>
      <w:r>
        <w:rPr>
          <w:rFonts w:hint="eastAsia" w:asciiTheme="minorEastAsia" w:hAnsiTheme="minorEastAsia" w:eastAsiaTheme="minorEastAsia" w:cstheme="minorEastAsia"/>
          <w:sz w:val="28"/>
          <w:szCs w:val="28"/>
        </w:rPr>
        <w:t>合同约定办理某项保险，导致受益人未能得到足额赔偿的，由负有投保义务的一方当事人负责按照原应从该项保险得到的保险金数额进行补足。</w:t>
      </w:r>
    </w:p>
    <w:p w14:paraId="38368539">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476" w:name="_Toc25426"/>
      <w:bookmarkStart w:id="2477" w:name="_Ref4692685"/>
      <w:bookmarkStart w:id="2478" w:name="_Toc943"/>
      <w:r>
        <w:rPr>
          <w:rFonts w:hint="eastAsia" w:asciiTheme="minorEastAsia" w:hAnsiTheme="minorEastAsia" w:eastAsiaTheme="minorEastAsia" w:cstheme="minorEastAsia"/>
          <w:sz w:val="28"/>
          <w:szCs w:val="28"/>
        </w:rPr>
        <w:t>18.5.4 通知义务</w:t>
      </w:r>
      <w:bookmarkEnd w:id="2476"/>
      <w:bookmarkEnd w:id="2477"/>
      <w:bookmarkEnd w:id="2478"/>
    </w:p>
    <w:p w14:paraId="17F05CB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除专用合同条件另有约定外，任何一方当事人变更除工伤保险之外的保险合同时，应事先征得另一方当事人同意，并通知工程师。</w:t>
      </w:r>
    </w:p>
    <w:p w14:paraId="14FFDDC3">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保险事故发生时，投保人应按照保险合同规定的条件和期限及时向保险人报告。发包人和承包人应当在知道保险事故发生后及时通知对方。</w:t>
      </w:r>
    </w:p>
    <w:p w14:paraId="091FC7C1">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双方按本条规定投保不减少双方在合同下的其他义务。</w:t>
      </w:r>
    </w:p>
    <w:p w14:paraId="79A40B18">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479" w:name="_Toc20112"/>
      <w:bookmarkStart w:id="2480" w:name="_Ref11874997"/>
      <w:bookmarkStart w:id="2481" w:name="_Toc25247"/>
      <w:bookmarkStart w:id="2482" w:name="_Toc14372"/>
      <w:bookmarkStart w:id="2483" w:name="_Toc8876"/>
      <w:bookmarkStart w:id="2484" w:name="_Toc6655"/>
      <w:r>
        <w:rPr>
          <w:rFonts w:hint="eastAsia" w:asciiTheme="minorEastAsia" w:hAnsiTheme="minorEastAsia" w:eastAsiaTheme="minorEastAsia" w:cstheme="minorEastAsia"/>
          <w:b w:val="0"/>
          <w:bCs/>
          <w:sz w:val="28"/>
          <w:szCs w:val="28"/>
        </w:rPr>
        <w:t>第19条 索赔</w:t>
      </w:r>
      <w:bookmarkEnd w:id="2343"/>
      <w:bookmarkEnd w:id="2344"/>
      <w:bookmarkEnd w:id="2479"/>
      <w:bookmarkEnd w:id="2480"/>
      <w:bookmarkEnd w:id="2481"/>
      <w:bookmarkEnd w:id="2482"/>
      <w:bookmarkEnd w:id="2483"/>
      <w:bookmarkEnd w:id="2484"/>
      <w:r>
        <w:rPr>
          <w:rFonts w:hint="eastAsia" w:asciiTheme="minorEastAsia" w:hAnsiTheme="minorEastAsia" w:eastAsiaTheme="minorEastAsia" w:cstheme="minorEastAsia"/>
          <w:b w:val="0"/>
          <w:bCs/>
          <w:sz w:val="28"/>
          <w:szCs w:val="28"/>
        </w:rPr>
        <w:t xml:space="preserve"> </w:t>
      </w:r>
    </w:p>
    <w:p w14:paraId="6B5B7AC0">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85" w:name="_Ref4798173"/>
      <w:bookmarkStart w:id="2486" w:name="_Ref4798164"/>
      <w:bookmarkStart w:id="2487" w:name="_Toc21662"/>
      <w:bookmarkStart w:id="2488" w:name="_Toc7829"/>
      <w:bookmarkStart w:id="2489" w:name="_Toc24120"/>
      <w:r>
        <w:rPr>
          <w:rFonts w:hint="eastAsia" w:asciiTheme="minorEastAsia" w:hAnsiTheme="minorEastAsia" w:eastAsiaTheme="minorEastAsia" w:cstheme="minorEastAsia"/>
          <w:b w:val="0"/>
          <w:bCs/>
          <w:sz w:val="28"/>
          <w:szCs w:val="28"/>
        </w:rPr>
        <w:t>19.1 索赔</w:t>
      </w:r>
      <w:bookmarkEnd w:id="2485"/>
      <w:bookmarkEnd w:id="2486"/>
      <w:r>
        <w:rPr>
          <w:rFonts w:hint="eastAsia" w:asciiTheme="minorEastAsia" w:hAnsiTheme="minorEastAsia" w:eastAsiaTheme="minorEastAsia" w:cstheme="minorEastAsia"/>
          <w:b w:val="0"/>
          <w:bCs/>
          <w:sz w:val="28"/>
          <w:szCs w:val="28"/>
        </w:rPr>
        <w:t>的提出</w:t>
      </w:r>
      <w:bookmarkEnd w:id="2487"/>
      <w:bookmarkEnd w:id="2488"/>
      <w:bookmarkEnd w:id="2489"/>
    </w:p>
    <w:p w14:paraId="38F54D6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根据合同约定，任意一方认为有权得到追加/减少付款、延长缺陷责任期和（或）延长工期的，应按以下程序向对方提出索赔：</w:t>
      </w:r>
    </w:p>
    <w:p w14:paraId="7D18864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594AFFC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索赔方应在发出索赔意向通知书后28天内，向对方正式递交索赔报告；索赔报告应详细说明索赔理由以及要求追加的付款金额、延长缺陷责任期和（或）延长的工期，并附必要的记录和证明材料；</w:t>
      </w:r>
    </w:p>
    <w:p w14:paraId="086FC75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索赔事件具有持续影响的，索赔方应每月递交延续索赔通知，说明持续影响的实际情况和记录，列出累计的追加付款金额、延长缺陷责任期和（或）工期延长天数；</w:t>
      </w:r>
    </w:p>
    <w:p w14:paraId="5F6854D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490" w:name="_Ref4796178"/>
      <w:r>
        <w:rPr>
          <w:rFonts w:hint="eastAsia" w:asciiTheme="minorEastAsia" w:hAnsiTheme="minorEastAsia" w:eastAsiaTheme="minorEastAsia" w:cstheme="minorEastAsia"/>
          <w:sz w:val="28"/>
          <w:szCs w:val="28"/>
        </w:rPr>
        <w:t>（4） 在索赔事件影响结束后28天内，索赔方应向对方递交最终索赔报告，说明最终要求索赔的追加付款金额、延长缺陷责任期和（或）延长的工期，并附必要的记录和证明材料。</w:t>
      </w:r>
      <w:bookmarkEnd w:id="2490"/>
    </w:p>
    <w:p w14:paraId="63B62D4D">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3F8FA92E">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91" w:name="_Toc30695"/>
      <w:bookmarkStart w:id="2492" w:name="_Toc29104"/>
      <w:bookmarkStart w:id="2493" w:name="_Toc18253"/>
      <w:bookmarkStart w:id="2494" w:name="_Ref4796254"/>
      <w:bookmarkStart w:id="2495" w:name="_Ref4796262"/>
      <w:r>
        <w:rPr>
          <w:rFonts w:hint="eastAsia" w:asciiTheme="minorEastAsia" w:hAnsiTheme="minorEastAsia" w:eastAsiaTheme="minorEastAsia" w:cstheme="minorEastAsia"/>
          <w:b w:val="0"/>
          <w:bCs/>
          <w:sz w:val="28"/>
          <w:szCs w:val="28"/>
        </w:rPr>
        <w:t>19.2 承包人索赔的处理程序</w:t>
      </w:r>
      <w:bookmarkEnd w:id="2491"/>
      <w:bookmarkEnd w:id="2492"/>
      <w:bookmarkEnd w:id="2493"/>
      <w:bookmarkEnd w:id="2494"/>
      <w:bookmarkEnd w:id="2495"/>
    </w:p>
    <w:p w14:paraId="2EB89F7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工程师收到承包人提交的索赔报告后，应及时审查索赔报告的内容、查验承包人的记录和证明材料，必要时工程师可要求承包人提交全部原始记录副本。</w:t>
      </w:r>
    </w:p>
    <w:p w14:paraId="7458414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3E1FC67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承包人接受索赔处理结果的，发包人应在作出索赔处理结果答复后28天内完成支付。承包人不接受索赔处理结果的，按照第20条[争议解决]约定处理。</w:t>
      </w:r>
    </w:p>
    <w:p w14:paraId="31C1A1D8">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96" w:name="_Toc28543"/>
      <w:bookmarkStart w:id="2497" w:name="_Toc3100"/>
      <w:bookmarkStart w:id="2498" w:name="_Toc30227"/>
      <w:r>
        <w:rPr>
          <w:rFonts w:hint="eastAsia" w:asciiTheme="minorEastAsia" w:hAnsiTheme="minorEastAsia" w:eastAsiaTheme="minorEastAsia" w:cstheme="minorEastAsia"/>
          <w:b w:val="0"/>
          <w:bCs/>
          <w:sz w:val="28"/>
          <w:szCs w:val="28"/>
        </w:rPr>
        <w:t>19.3 发包人索赔的处理程序</w:t>
      </w:r>
      <w:bookmarkEnd w:id="2496"/>
      <w:bookmarkEnd w:id="2497"/>
      <w:bookmarkEnd w:id="2498"/>
    </w:p>
    <w:p w14:paraId="6A74130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承包人收到发包人提交的索赔报告后，应及时审查索赔报告的内容、查验发包人证明材料；</w:t>
      </w:r>
    </w:p>
    <w:p w14:paraId="1DDB072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承包人应在收到上述索赔报告或有关索赔的进一步证明材料后42天内，将索赔处理结果答复发包人。承包人在收到索赔通知书或有关索赔的进一步证明材料后的42天内不予答复的，视为认可索赔。</w:t>
      </w:r>
    </w:p>
    <w:p w14:paraId="55F9EBCE">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发包人接受索赔处理结果的，发包人可从应支付给承包人的合同价款中扣除赔付的金额或延长缺陷责任期；发包人不接受索赔处理结果的，按第20条[争议解决]约定处理。</w:t>
      </w:r>
    </w:p>
    <w:p w14:paraId="4DF6F808">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499" w:name="_Toc18311"/>
      <w:bookmarkStart w:id="2500" w:name="_Toc27221"/>
      <w:bookmarkStart w:id="2501" w:name="_Toc929"/>
      <w:r>
        <w:rPr>
          <w:rFonts w:hint="eastAsia" w:asciiTheme="minorEastAsia" w:hAnsiTheme="minorEastAsia" w:eastAsiaTheme="minorEastAsia" w:cstheme="minorEastAsia"/>
          <w:b w:val="0"/>
          <w:bCs/>
          <w:sz w:val="28"/>
          <w:szCs w:val="28"/>
        </w:rPr>
        <w:t>19.4 提出索赔的期限</w:t>
      </w:r>
      <w:bookmarkEnd w:id="2499"/>
      <w:bookmarkEnd w:id="2500"/>
      <w:bookmarkEnd w:id="2501"/>
    </w:p>
    <w:p w14:paraId="2E8DAFE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承包人按第14.5款[竣工结算</w:t>
      </w:r>
      <w:bookmarkStart w:id="2502" w:name="_Ref3826629"/>
      <w:bookmarkStart w:id="2503" w:name="_Ref3826634"/>
      <w:r>
        <w:rPr>
          <w:rFonts w:hint="eastAsia" w:asciiTheme="minorEastAsia" w:hAnsiTheme="minorEastAsia" w:eastAsiaTheme="minorEastAsia" w:cstheme="minorEastAsia"/>
          <w:sz w:val="28"/>
          <w:szCs w:val="28"/>
        </w:rPr>
        <w:t>]约定接收竣工付款证书后，应被认为已无权再提出在合同工程接收证书颁发前所发生的任何索赔。</w:t>
      </w:r>
    </w:p>
    <w:p w14:paraId="71C6A0A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承包人按第14.7款[最终结清]提交的最终结清申请单中，只限于提出工程接收证书颁发后发生的索赔。提出索赔的期限均自接受最终结清证书时终止。</w:t>
      </w:r>
      <w:bookmarkEnd w:id="2502"/>
      <w:bookmarkEnd w:id="2503"/>
    </w:p>
    <w:p w14:paraId="4A9CEBFA">
      <w:pPr>
        <w:pStyle w:val="142"/>
        <w:keepNext w:val="0"/>
        <w:keepLines w:val="0"/>
        <w:pageBreakBefore w:val="0"/>
        <w:numPr>
          <w:ilvl w:val="0"/>
          <w:numId w:val="0"/>
        </w:numPr>
        <w:kinsoku/>
        <w:wordWrap/>
        <w:overflowPunct/>
        <w:topLinePunct w:val="0"/>
        <w:bidi w:val="0"/>
        <w:spacing w:line="360" w:lineRule="auto"/>
        <w:textAlignment w:val="auto"/>
        <w:outlineLvl w:val="2"/>
        <w:rPr>
          <w:rFonts w:hint="eastAsia" w:asciiTheme="minorEastAsia" w:hAnsiTheme="minorEastAsia" w:eastAsiaTheme="minorEastAsia" w:cstheme="minorEastAsia"/>
          <w:b w:val="0"/>
          <w:bCs/>
          <w:sz w:val="28"/>
          <w:szCs w:val="28"/>
        </w:rPr>
      </w:pPr>
      <w:bookmarkStart w:id="2504" w:name="_Toc1466"/>
      <w:bookmarkStart w:id="2505" w:name="_Toc4082"/>
      <w:bookmarkStart w:id="2506" w:name="_Ref532142075"/>
      <w:bookmarkStart w:id="2507" w:name="_Toc5742"/>
      <w:bookmarkStart w:id="2508" w:name="_Toc23956"/>
      <w:bookmarkStart w:id="2509" w:name="_Toc26616"/>
      <w:bookmarkStart w:id="2510" w:name="_Ref532197861"/>
      <w:r>
        <w:rPr>
          <w:rFonts w:hint="eastAsia" w:asciiTheme="minorEastAsia" w:hAnsiTheme="minorEastAsia" w:eastAsiaTheme="minorEastAsia" w:cstheme="minorEastAsia"/>
          <w:b w:val="0"/>
          <w:bCs/>
          <w:sz w:val="28"/>
          <w:szCs w:val="28"/>
        </w:rPr>
        <w:t>第20条 争议解决</w:t>
      </w:r>
      <w:bookmarkEnd w:id="2504"/>
      <w:bookmarkEnd w:id="2505"/>
      <w:bookmarkEnd w:id="2506"/>
      <w:bookmarkEnd w:id="2507"/>
      <w:bookmarkEnd w:id="2508"/>
      <w:bookmarkEnd w:id="2509"/>
      <w:bookmarkEnd w:id="2510"/>
      <w:r>
        <w:rPr>
          <w:rFonts w:hint="eastAsia" w:asciiTheme="minorEastAsia" w:hAnsiTheme="minorEastAsia" w:eastAsiaTheme="minorEastAsia" w:cstheme="minorEastAsia"/>
          <w:b w:val="0"/>
          <w:bCs/>
          <w:sz w:val="28"/>
          <w:szCs w:val="28"/>
        </w:rPr>
        <w:t xml:space="preserve"> </w:t>
      </w:r>
    </w:p>
    <w:p w14:paraId="0D6D5B59">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511" w:name="_Ref415507198"/>
      <w:bookmarkStart w:id="2512" w:name="_Toc2610"/>
      <w:bookmarkStart w:id="2513" w:name="_Toc20065"/>
      <w:bookmarkStart w:id="2514" w:name="_Toc27615"/>
      <w:r>
        <w:rPr>
          <w:rFonts w:hint="eastAsia" w:asciiTheme="minorEastAsia" w:hAnsiTheme="minorEastAsia" w:eastAsiaTheme="minorEastAsia" w:cstheme="minorEastAsia"/>
          <w:b w:val="0"/>
          <w:bCs/>
          <w:sz w:val="28"/>
          <w:szCs w:val="28"/>
        </w:rPr>
        <w:t>20.1 和解</w:t>
      </w:r>
      <w:bookmarkEnd w:id="2511"/>
      <w:bookmarkEnd w:id="2512"/>
      <w:bookmarkEnd w:id="2513"/>
      <w:bookmarkEnd w:id="2514"/>
    </w:p>
    <w:p w14:paraId="1E30C3C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合同当事人可以就争议自行和解，自行和解达成协议的经双方签字并盖章后作为合同补充文件，双方均应遵照执行。</w:t>
      </w:r>
    </w:p>
    <w:p w14:paraId="15D93AB9">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515" w:name="_Toc10313"/>
      <w:bookmarkStart w:id="2516" w:name="_Toc8623"/>
      <w:bookmarkStart w:id="2517" w:name="_Toc13823"/>
      <w:r>
        <w:rPr>
          <w:rFonts w:hint="eastAsia" w:asciiTheme="minorEastAsia" w:hAnsiTheme="minorEastAsia" w:eastAsiaTheme="minorEastAsia" w:cstheme="minorEastAsia"/>
          <w:b w:val="0"/>
          <w:bCs/>
          <w:sz w:val="28"/>
          <w:szCs w:val="28"/>
        </w:rPr>
        <w:t>20.2 调解</w:t>
      </w:r>
      <w:bookmarkEnd w:id="2515"/>
      <w:bookmarkEnd w:id="2516"/>
      <w:bookmarkEnd w:id="2517"/>
      <w:r>
        <w:rPr>
          <w:rFonts w:hint="eastAsia" w:asciiTheme="minorEastAsia" w:hAnsiTheme="minorEastAsia" w:eastAsiaTheme="minorEastAsia" w:cstheme="minorEastAsia"/>
          <w:b w:val="0"/>
          <w:bCs/>
          <w:sz w:val="28"/>
          <w:szCs w:val="28"/>
        </w:rPr>
        <w:t xml:space="preserve"> </w:t>
      </w:r>
    </w:p>
    <w:p w14:paraId="02067FB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合同当事人可以就争议请求建设行政主管部门、行业协会或其他第三方进行调解，调解达成协议的，经双方签字盖章后作为合同补充文件，双方均应遵照执行。</w:t>
      </w:r>
    </w:p>
    <w:p w14:paraId="2F20E4C1">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518" w:name="_Toc12636"/>
      <w:bookmarkStart w:id="2519" w:name="_Ref532221532"/>
      <w:bookmarkStart w:id="2520" w:name="_Ref532221527"/>
      <w:bookmarkStart w:id="2521" w:name="_Toc23781"/>
      <w:bookmarkStart w:id="2522" w:name="_Toc1611"/>
      <w:r>
        <w:rPr>
          <w:rFonts w:hint="eastAsia" w:asciiTheme="minorEastAsia" w:hAnsiTheme="minorEastAsia" w:eastAsiaTheme="minorEastAsia" w:cstheme="minorEastAsia"/>
          <w:b w:val="0"/>
          <w:bCs/>
          <w:sz w:val="28"/>
          <w:szCs w:val="28"/>
        </w:rPr>
        <w:t>20.3 争议评审</w:t>
      </w:r>
      <w:bookmarkEnd w:id="2518"/>
      <w:bookmarkEnd w:id="2519"/>
      <w:bookmarkEnd w:id="2520"/>
      <w:bookmarkEnd w:id="2521"/>
      <w:bookmarkEnd w:id="2522"/>
    </w:p>
    <w:p w14:paraId="167BB5C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合同当事人在专用合同条件中约定采取争议评审方式及评审规则解决争议的，按下列约定执行：</w:t>
      </w:r>
    </w:p>
    <w:p w14:paraId="35DBB286">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523" w:name="_Toc3313"/>
      <w:bookmarkStart w:id="2524" w:name="_Toc7751"/>
      <w:r>
        <w:rPr>
          <w:rFonts w:hint="eastAsia" w:asciiTheme="minorEastAsia" w:hAnsiTheme="minorEastAsia" w:eastAsiaTheme="minorEastAsia" w:cstheme="minorEastAsia"/>
          <w:sz w:val="28"/>
          <w:szCs w:val="28"/>
        </w:rPr>
        <w:t>20.3.1 争议评审小组的确定</w:t>
      </w:r>
      <w:bookmarkEnd w:id="2523"/>
      <w:bookmarkEnd w:id="2524"/>
    </w:p>
    <w:p w14:paraId="43BA0FC9">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01CAAB4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2F618FE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除专用合同条件另有约定外，争议评审员报酬由发包人和承包人各承担一半。</w:t>
      </w:r>
    </w:p>
    <w:p w14:paraId="0300B2BA">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525" w:name="_Toc2548"/>
      <w:bookmarkStart w:id="2526" w:name="_Ref532287270"/>
      <w:bookmarkStart w:id="2527" w:name="_Toc31359"/>
      <w:r>
        <w:rPr>
          <w:rFonts w:hint="eastAsia" w:asciiTheme="minorEastAsia" w:hAnsiTheme="minorEastAsia" w:eastAsiaTheme="minorEastAsia" w:cstheme="minorEastAsia"/>
          <w:sz w:val="28"/>
          <w:szCs w:val="28"/>
        </w:rPr>
        <w:t>20.3.2 争议的避免</w:t>
      </w:r>
      <w:bookmarkEnd w:id="2525"/>
      <w:bookmarkEnd w:id="2526"/>
      <w:bookmarkEnd w:id="2527"/>
    </w:p>
    <w:p w14:paraId="293FE35C">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合同当事人协商一致，可以共同书面请求争议评审小组，就合同履行过程中可能出现争议的情况提供协助或进行非正式讨论，争议评审小组应给出公正的意见或建议。</w:t>
      </w:r>
    </w:p>
    <w:p w14:paraId="2635D190">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此类协助或非正式讨论可在任何会议、施工现场视察或其他场合进行，除专用合同条件另有约定外，发包人和承包人均应出席。</w:t>
      </w:r>
    </w:p>
    <w:p w14:paraId="020029A8">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争议评审小组在此类非正式讨论上给出的任何意见或建议，无论是口头还是书面的，对发包人和承包人不具有约束力，争议评审小组在之后的争议评审程序或决定中也不受此类意见或建议的约束。</w:t>
      </w:r>
    </w:p>
    <w:p w14:paraId="1BEAD3F5">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528" w:name="_Ref4695594"/>
      <w:bookmarkStart w:id="2529" w:name="_Toc4229"/>
      <w:bookmarkStart w:id="2530" w:name="_Toc3877"/>
      <w:r>
        <w:rPr>
          <w:rFonts w:hint="eastAsia" w:asciiTheme="minorEastAsia" w:hAnsiTheme="minorEastAsia" w:eastAsiaTheme="minorEastAsia" w:cstheme="minorEastAsia"/>
          <w:sz w:val="28"/>
          <w:szCs w:val="28"/>
        </w:rPr>
        <w:t>20.3.3 争议评审小组的决定</w:t>
      </w:r>
      <w:bookmarkEnd w:id="2528"/>
      <w:bookmarkEnd w:id="2529"/>
      <w:bookmarkEnd w:id="2530"/>
    </w:p>
    <w:p w14:paraId="2E1DE365">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w:t>
      </w:r>
      <w:r>
        <w:rPr>
          <w:rFonts w:hint="eastAsia" w:asciiTheme="minorEastAsia" w:hAnsiTheme="minorEastAsia" w:eastAsiaTheme="minorEastAsia" w:cstheme="minorEastAsia"/>
          <w:sz w:val="28"/>
          <w:szCs w:val="28"/>
          <w:lang w:eastAsia="zh-CN"/>
        </w:rPr>
        <w:t>本</w:t>
      </w:r>
      <w:r>
        <w:rPr>
          <w:rFonts w:hint="eastAsia" w:asciiTheme="minorEastAsia" w:hAnsiTheme="minorEastAsia" w:eastAsiaTheme="minorEastAsia" w:cstheme="minorEastAsia"/>
          <w:sz w:val="28"/>
          <w:szCs w:val="28"/>
        </w:rPr>
        <w:t>事项另行约定。</w:t>
      </w:r>
    </w:p>
    <w:p w14:paraId="5728EF2F">
      <w:pPr>
        <w:pStyle w:val="144"/>
        <w:keepNext w:val="0"/>
        <w:keepLines w:val="0"/>
        <w:pageBreakBefore w:val="0"/>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sz w:val="28"/>
          <w:szCs w:val="28"/>
        </w:rPr>
      </w:pPr>
      <w:bookmarkStart w:id="2531" w:name="_Toc18635"/>
      <w:bookmarkStart w:id="2532" w:name="_Toc24533"/>
      <w:r>
        <w:rPr>
          <w:rFonts w:hint="eastAsia" w:asciiTheme="minorEastAsia" w:hAnsiTheme="minorEastAsia" w:eastAsiaTheme="minorEastAsia" w:cstheme="minorEastAsia"/>
          <w:sz w:val="28"/>
          <w:szCs w:val="28"/>
        </w:rPr>
        <w:t>20.3.4 争议评审小组决定的效力</w:t>
      </w:r>
      <w:bookmarkEnd w:id="2531"/>
      <w:bookmarkEnd w:id="2532"/>
    </w:p>
    <w:p w14:paraId="311109C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争议评审小组作出的书面决定经合同当事人签字确认后，对双方具有约束力，双方应遵照执行。</w:t>
      </w:r>
    </w:p>
    <w:p w14:paraId="13D93CEA">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任何一方当事人不接受争议评审小组决定或不履行争议评审小组决定的，双方可选择采用其他争议解决方式。</w:t>
      </w:r>
    </w:p>
    <w:p w14:paraId="2CA159C6">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任何一方当事人不接受争议评审小组的决定，并不影响暂时执行争议评审小组的决定，直到在后续的采用其他争议解决方式中对争议评审小组的决定进行了改变。</w:t>
      </w:r>
    </w:p>
    <w:p w14:paraId="045450DB">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533" w:name="_Toc25131"/>
      <w:bookmarkStart w:id="2534" w:name="_Toc6075"/>
      <w:bookmarkStart w:id="2535" w:name="_Ref532221752"/>
      <w:bookmarkStart w:id="2536" w:name="_Ref532221748"/>
      <w:bookmarkStart w:id="2537" w:name="_Toc11684"/>
      <w:r>
        <w:rPr>
          <w:rFonts w:hint="eastAsia" w:asciiTheme="minorEastAsia" w:hAnsiTheme="minorEastAsia" w:eastAsiaTheme="minorEastAsia" w:cstheme="minorEastAsia"/>
          <w:b w:val="0"/>
          <w:bCs/>
          <w:sz w:val="28"/>
          <w:szCs w:val="28"/>
        </w:rPr>
        <w:t>20.4 仲裁或诉讼</w:t>
      </w:r>
      <w:bookmarkEnd w:id="2533"/>
      <w:bookmarkEnd w:id="2534"/>
      <w:bookmarkEnd w:id="2535"/>
      <w:bookmarkEnd w:id="2536"/>
      <w:bookmarkEnd w:id="2537"/>
    </w:p>
    <w:p w14:paraId="16B7DF17">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因合同及合同有关事项产生的争议，合同当事人可以在专用合同条件中约定以下一种方式解决争议：</w:t>
      </w:r>
    </w:p>
    <w:p w14:paraId="561ECDCE">
      <w:pPr>
        <w:pStyle w:val="146"/>
        <w:keepNext w:val="0"/>
        <w:keepLines w:val="0"/>
        <w:pageBreakBefore w:val="0"/>
        <w:numPr>
          <w:ilvl w:val="0"/>
          <w:numId w:val="0"/>
        </w:numPr>
        <w:kinsoku/>
        <w:wordWrap/>
        <w:overflowPunct/>
        <w:topLinePunct w:val="0"/>
        <w:bidi w:val="0"/>
        <w:spacing w:line="360" w:lineRule="auto"/>
        <w:ind w:left="841"/>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向约定的仲裁委员会申请仲裁；</w:t>
      </w:r>
    </w:p>
    <w:p w14:paraId="67B29E37">
      <w:pPr>
        <w:pStyle w:val="146"/>
        <w:keepNext w:val="0"/>
        <w:keepLines w:val="0"/>
        <w:pageBreakBefore w:val="0"/>
        <w:numPr>
          <w:ilvl w:val="0"/>
          <w:numId w:val="0"/>
        </w:numPr>
        <w:kinsoku/>
        <w:wordWrap/>
        <w:overflowPunct/>
        <w:topLinePunct w:val="0"/>
        <w:bidi w:val="0"/>
        <w:spacing w:line="360" w:lineRule="auto"/>
        <w:ind w:left="841"/>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向有管辖权的人民法院起诉。</w:t>
      </w:r>
    </w:p>
    <w:p w14:paraId="002F8611">
      <w:pPr>
        <w:pStyle w:val="143"/>
        <w:keepNext w:val="0"/>
        <w:keepLines w:val="0"/>
        <w:pageBreakBefore w:val="0"/>
        <w:widowControl/>
        <w:numPr>
          <w:ilvl w:val="0"/>
          <w:numId w:val="0"/>
        </w:numPr>
        <w:kinsoku/>
        <w:wordWrap/>
        <w:overflowPunct/>
        <w:topLinePunct w:val="0"/>
        <w:bidi w:val="0"/>
        <w:spacing w:line="360" w:lineRule="auto"/>
        <w:textAlignment w:val="auto"/>
        <w:outlineLvl w:val="9"/>
        <w:rPr>
          <w:rFonts w:hint="eastAsia" w:asciiTheme="minorEastAsia" w:hAnsiTheme="minorEastAsia" w:eastAsiaTheme="minorEastAsia" w:cstheme="minorEastAsia"/>
          <w:b w:val="0"/>
          <w:bCs/>
          <w:sz w:val="28"/>
          <w:szCs w:val="28"/>
        </w:rPr>
      </w:pPr>
      <w:bookmarkStart w:id="2538" w:name="_Toc8203"/>
      <w:bookmarkStart w:id="2539" w:name="_Toc27177"/>
      <w:bookmarkStart w:id="2540" w:name="_Toc32361"/>
      <w:r>
        <w:rPr>
          <w:rFonts w:hint="eastAsia" w:asciiTheme="minorEastAsia" w:hAnsiTheme="minorEastAsia" w:eastAsiaTheme="minorEastAsia" w:cstheme="minorEastAsia"/>
          <w:b w:val="0"/>
          <w:bCs/>
          <w:sz w:val="28"/>
          <w:szCs w:val="28"/>
        </w:rPr>
        <w:t>20.5 争议解决条款效力</w:t>
      </w:r>
      <w:bookmarkEnd w:id="2538"/>
      <w:bookmarkEnd w:id="2539"/>
      <w:bookmarkEnd w:id="2540"/>
    </w:p>
    <w:p w14:paraId="1914E20F">
      <w:pPr>
        <w:keepNext w:val="0"/>
        <w:keepLines w:val="0"/>
        <w:pageBreakBefore w:val="0"/>
        <w:kinsoku/>
        <w:wordWrap/>
        <w:overflowPunct/>
        <w:topLinePunct w:val="0"/>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合同有关争议解决的条款独立存在，合同的不生效、无效、被撤销或者终止的，不影响合同中有关争议解决条款的效力。</w:t>
      </w:r>
    </w:p>
    <w:p w14:paraId="61C222EF">
      <w:pPr>
        <w:pStyle w:val="139"/>
        <w:keepNext w:val="0"/>
        <w:keepLines w:val="0"/>
        <w:widowControl/>
        <w:adjustRightInd w:val="0"/>
        <w:snapToGrid w:val="0"/>
        <w:spacing w:before="0" w:after="50" w:line="360" w:lineRule="auto"/>
        <w:jc w:val="center"/>
        <w:outlineLvl w:val="1"/>
        <w:rPr>
          <w:rFonts w:hint="eastAsia" w:asciiTheme="minorEastAsia" w:hAnsiTheme="minorEastAsia" w:eastAsiaTheme="minorEastAsia" w:cstheme="minorEastAsia"/>
          <w:sz w:val="44"/>
          <w:szCs w:val="52"/>
        </w:rPr>
      </w:pPr>
      <w:bookmarkStart w:id="2541" w:name="_Toc18477"/>
      <w:bookmarkStart w:id="2542" w:name="_Toc2544"/>
      <w:bookmarkStart w:id="2543" w:name="_Toc7349"/>
      <w:bookmarkStart w:id="2544" w:name="_Toc32416"/>
      <w:bookmarkStart w:id="2545" w:name="_Toc30061"/>
      <w:bookmarkStart w:id="2546" w:name="_Toc10520"/>
      <w:r>
        <w:rPr>
          <w:rFonts w:hint="eastAsia" w:asciiTheme="minorEastAsia" w:hAnsiTheme="minorEastAsia" w:eastAsiaTheme="minorEastAsia" w:cstheme="minorEastAsia"/>
          <w:sz w:val="44"/>
          <w:szCs w:val="52"/>
        </w:rPr>
        <w:t>第三部分 专用合同条件</w:t>
      </w:r>
      <w:bookmarkEnd w:id="2541"/>
      <w:bookmarkEnd w:id="2542"/>
      <w:bookmarkEnd w:id="2543"/>
      <w:bookmarkEnd w:id="2544"/>
      <w:bookmarkEnd w:id="2545"/>
      <w:bookmarkEnd w:id="2546"/>
    </w:p>
    <w:p w14:paraId="10E68B04">
      <w:pPr>
        <w:pStyle w:val="133"/>
        <w:outlineLvl w:val="3"/>
        <w:rPr>
          <w:rFonts w:hint="eastAsia" w:asciiTheme="minorEastAsia" w:hAnsiTheme="minorEastAsia" w:eastAsiaTheme="minorEastAsia" w:cstheme="minorEastAsia"/>
          <w:b w:val="0"/>
          <w:bCs/>
          <w:sz w:val="28"/>
          <w:szCs w:val="28"/>
        </w:rPr>
      </w:pPr>
      <w:bookmarkStart w:id="2547" w:name="_Toc793"/>
      <w:bookmarkStart w:id="2548" w:name="_Toc28399"/>
      <w:bookmarkStart w:id="2549" w:name="_Toc21092"/>
      <w:bookmarkStart w:id="2550" w:name="_Toc31984"/>
      <w:bookmarkStart w:id="2551" w:name="_Toc27442"/>
      <w:r>
        <w:rPr>
          <w:rFonts w:hint="eastAsia" w:asciiTheme="minorEastAsia" w:hAnsiTheme="minorEastAsia" w:eastAsiaTheme="minorEastAsia" w:cstheme="minorEastAsia"/>
          <w:b w:val="0"/>
          <w:bCs/>
          <w:sz w:val="28"/>
          <w:szCs w:val="28"/>
        </w:rPr>
        <w:t>第1条 一般约定</w:t>
      </w:r>
      <w:bookmarkEnd w:id="2547"/>
      <w:bookmarkEnd w:id="2548"/>
      <w:bookmarkEnd w:id="2549"/>
      <w:bookmarkEnd w:id="2550"/>
      <w:bookmarkEnd w:id="2551"/>
    </w:p>
    <w:p w14:paraId="1ABEACB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 词语定义和解释</w:t>
      </w:r>
    </w:p>
    <w:p w14:paraId="6B9CF74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1.1.1 合同</w:t>
      </w:r>
    </w:p>
    <w:p w14:paraId="3BCF7EE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1.1.1.10 其他合同文件：</w:t>
      </w:r>
      <w:r>
        <w:rPr>
          <w:rFonts w:hint="eastAsia" w:asciiTheme="minorEastAsia" w:hAnsiTheme="minorEastAsia" w:eastAsiaTheme="minorEastAsia" w:cstheme="minorEastAsia"/>
          <w:sz w:val="28"/>
          <w:szCs w:val="28"/>
          <w:u w:val="single"/>
          <w:lang w:val="en-US" w:eastAsia="zh-CN"/>
        </w:rPr>
        <w:t>本合同协议书、</w:t>
      </w:r>
      <w:r>
        <w:rPr>
          <w:rFonts w:hint="eastAsia" w:asciiTheme="minorEastAsia" w:hAnsiTheme="minorEastAsia" w:eastAsiaTheme="minorEastAsia" w:cstheme="minorEastAsia"/>
          <w:sz w:val="28"/>
          <w:szCs w:val="28"/>
          <w:u w:val="single"/>
        </w:rPr>
        <w:t>中标通知书（如果有）；投标函及投标函附录（如果有）；招标文件、招标文件补充文件及其附件；专用合同条件及《发包人要求》等附件；</w:t>
      </w:r>
      <w:r>
        <w:rPr>
          <w:rFonts w:hint="eastAsia" w:asciiTheme="minorEastAsia" w:hAnsiTheme="minorEastAsia" w:eastAsiaTheme="minorEastAsia" w:cstheme="minorEastAsia"/>
          <w:sz w:val="28"/>
          <w:szCs w:val="28"/>
          <w:u w:val="single"/>
          <w:lang w:val="en-US" w:eastAsia="zh-CN"/>
        </w:rPr>
        <w:t>投标书及其附件；</w:t>
      </w:r>
      <w:r>
        <w:rPr>
          <w:rFonts w:hint="eastAsia" w:asciiTheme="minorEastAsia" w:hAnsiTheme="minorEastAsia" w:eastAsiaTheme="minorEastAsia" w:cstheme="minorEastAsia"/>
          <w:sz w:val="28"/>
          <w:szCs w:val="28"/>
          <w:u w:val="single"/>
        </w:rPr>
        <w:t>通用合同条件；</w:t>
      </w:r>
      <w:r>
        <w:rPr>
          <w:rFonts w:hint="eastAsia" w:asciiTheme="minorEastAsia" w:hAnsiTheme="minorEastAsia" w:eastAsiaTheme="minorEastAsia" w:cstheme="minorEastAsia"/>
          <w:sz w:val="28"/>
          <w:szCs w:val="28"/>
          <w:u w:val="single"/>
          <w:lang w:val="en-US" w:eastAsia="zh-CN"/>
        </w:rPr>
        <w:t>规范、标准及技术文件</w:t>
      </w:r>
      <w:r>
        <w:rPr>
          <w:rFonts w:hint="eastAsia" w:asciiTheme="minorEastAsia" w:hAnsiTheme="minorEastAsia" w:eastAsiaTheme="minorEastAsia" w:cstheme="minorEastAsia"/>
          <w:sz w:val="28"/>
          <w:szCs w:val="28"/>
          <w:u w:val="single"/>
        </w:rPr>
        <w:t>；双方约定的其他合同文件。</w:t>
      </w:r>
    </w:p>
    <w:p w14:paraId="35B8C43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 工程和设备</w:t>
      </w:r>
    </w:p>
    <w:p w14:paraId="5E9CE70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1.1.3.5 单位/区段工程的范围：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336B4E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1.1.3.9 作为施工场所组成部分的其他场所包括：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A3FC6B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1.1.3.10 永久占地包括：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C09C80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1.1.3.11 临时占地包括：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7B11B2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 语言文字</w:t>
      </w:r>
    </w:p>
    <w:p w14:paraId="0605320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本合同除使用汉语外，还使用</w:t>
      </w:r>
      <w:r>
        <w:rPr>
          <w:rFonts w:hint="eastAsia" w:asciiTheme="minorEastAsia" w:hAnsiTheme="minorEastAsia" w:eastAsiaTheme="minorEastAsia" w:cstheme="minorEastAsia"/>
          <w:sz w:val="28"/>
          <w:szCs w:val="28"/>
          <w:u w:val="single"/>
          <w:lang w:val="en-US" w:eastAsia="zh-CN"/>
        </w:rPr>
        <w:t>/</w:t>
      </w:r>
      <w:r>
        <w:rPr>
          <w:rFonts w:hint="eastAsia" w:asciiTheme="minorEastAsia" w:hAnsiTheme="minorEastAsia" w:eastAsiaTheme="minorEastAsia" w:cstheme="minorEastAsia"/>
          <w:sz w:val="28"/>
          <w:szCs w:val="28"/>
        </w:rPr>
        <w:t>语言。</w:t>
      </w:r>
    </w:p>
    <w:p w14:paraId="08872E1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 法律</w:t>
      </w:r>
    </w:p>
    <w:p w14:paraId="304237D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适用于合同的其他规范性文件：</w:t>
      </w:r>
      <w:r>
        <w:rPr>
          <w:rFonts w:hint="eastAsia" w:asciiTheme="minorEastAsia" w:hAnsiTheme="minorEastAsia" w:eastAsiaTheme="minorEastAsia" w:cstheme="minorEastAsia"/>
          <w:sz w:val="28"/>
          <w:szCs w:val="28"/>
          <w:u w:val="single"/>
          <w:lang w:val="en-US" w:eastAsia="zh-CN"/>
        </w:rPr>
        <w:t>《中华人民共和国建筑法》《中华人民共和国民法典》。本合同适用于中华人民共和国本土使用，其全部内容均应遵从国家颁布的法律、法规及云南省颁布的相关条例、规定，和当地政府的有关规定</w:t>
      </w:r>
      <w:r>
        <w:rPr>
          <w:rFonts w:hint="eastAsia" w:asciiTheme="minorEastAsia" w:hAnsiTheme="minorEastAsia" w:eastAsiaTheme="minorEastAsia" w:cstheme="minorEastAsia"/>
          <w:sz w:val="28"/>
          <w:szCs w:val="28"/>
        </w:rPr>
        <w:t>。</w:t>
      </w:r>
    </w:p>
    <w:p w14:paraId="08F8E97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 标准和规范</w:t>
      </w:r>
    </w:p>
    <w:p w14:paraId="783A29A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1.4.1 适用于本合同的标准、规范（名称）包括：国家、行业及云南省现行的有关标准、规范。</w:t>
      </w:r>
    </w:p>
    <w:p w14:paraId="570A577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1.4.2 发包人提供的国外标准、规范的名称：</w:t>
      </w:r>
      <w:r>
        <w:rPr>
          <w:rFonts w:hint="eastAsia" w:asciiTheme="minorEastAsia" w:hAnsiTheme="minorEastAsia" w:eastAsiaTheme="minorEastAsia" w:cstheme="minorEastAsia"/>
          <w:sz w:val="28"/>
          <w:szCs w:val="28"/>
          <w:u w:val="single"/>
          <w:lang w:val="en-US" w:eastAsia="zh-CN"/>
        </w:rPr>
        <w:t>/</w:t>
      </w:r>
      <w:r>
        <w:rPr>
          <w:rFonts w:hint="eastAsia" w:asciiTheme="minorEastAsia" w:hAnsiTheme="minorEastAsia" w:eastAsiaTheme="minorEastAsia" w:cstheme="minorEastAsia"/>
          <w:sz w:val="28"/>
          <w:szCs w:val="28"/>
        </w:rPr>
        <w:t>；发包人提供的国外标准、规范的份数：</w:t>
      </w:r>
      <w:r>
        <w:rPr>
          <w:rFonts w:hint="eastAsia" w:asciiTheme="minorEastAsia" w:hAnsiTheme="minorEastAsia" w:eastAsiaTheme="minorEastAsia" w:cstheme="minorEastAsia"/>
          <w:sz w:val="28"/>
          <w:szCs w:val="28"/>
          <w:u w:val="single"/>
          <w:lang w:val="en-US" w:eastAsia="zh-CN"/>
        </w:rPr>
        <w:t>/</w:t>
      </w:r>
      <w:r>
        <w:rPr>
          <w:rFonts w:hint="eastAsia" w:asciiTheme="minorEastAsia" w:hAnsiTheme="minorEastAsia" w:eastAsiaTheme="minorEastAsia" w:cstheme="minorEastAsia"/>
          <w:sz w:val="28"/>
          <w:szCs w:val="28"/>
        </w:rPr>
        <w:t>；发包人提供的国外标准、规范的时间：</w:t>
      </w:r>
      <w:r>
        <w:rPr>
          <w:rFonts w:hint="eastAsia" w:asciiTheme="minorEastAsia" w:hAnsiTheme="minorEastAsia" w:eastAsiaTheme="minorEastAsia" w:cstheme="minorEastAsia"/>
          <w:sz w:val="28"/>
          <w:szCs w:val="28"/>
          <w:u w:val="single"/>
          <w:lang w:val="en-US" w:eastAsia="zh-CN"/>
        </w:rPr>
        <w:t>/</w:t>
      </w:r>
      <w:r>
        <w:rPr>
          <w:rFonts w:hint="eastAsia" w:asciiTheme="minorEastAsia" w:hAnsiTheme="minorEastAsia" w:eastAsiaTheme="minorEastAsia" w:cstheme="minorEastAsia"/>
          <w:sz w:val="28"/>
          <w:szCs w:val="28"/>
        </w:rPr>
        <w:t>。</w:t>
      </w:r>
    </w:p>
    <w:p w14:paraId="47473E1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1.4.3 没有成文规范、标准规定的约定：</w:t>
      </w:r>
      <w:r>
        <w:rPr>
          <w:rFonts w:hint="eastAsia" w:asciiTheme="minorEastAsia" w:hAnsiTheme="minorEastAsia" w:eastAsiaTheme="minorEastAsia" w:cstheme="minorEastAsia"/>
          <w:sz w:val="28"/>
          <w:szCs w:val="28"/>
          <w:u w:val="single"/>
          <w:lang w:val="en-US" w:eastAsia="zh-CN"/>
        </w:rPr>
        <w:t>/</w:t>
      </w:r>
      <w:r>
        <w:rPr>
          <w:rFonts w:hint="eastAsia" w:asciiTheme="minorEastAsia" w:hAnsiTheme="minorEastAsia" w:eastAsiaTheme="minorEastAsia" w:cstheme="minorEastAsia"/>
          <w:sz w:val="28"/>
          <w:szCs w:val="28"/>
        </w:rPr>
        <w:t>。</w:t>
      </w:r>
    </w:p>
    <w:p w14:paraId="457C512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 发包人对于工程的技术标准、功能要求：</w:t>
      </w:r>
      <w:r>
        <w:rPr>
          <w:rFonts w:hint="eastAsia" w:asciiTheme="minorEastAsia" w:hAnsiTheme="minorEastAsia" w:eastAsiaTheme="minorEastAsia" w:cstheme="minorEastAsia"/>
          <w:sz w:val="28"/>
          <w:szCs w:val="28"/>
          <w:u w:val="single"/>
          <w:lang w:val="en-US" w:eastAsia="zh-CN"/>
        </w:rPr>
        <w:t>满足使用功能</w:t>
      </w:r>
      <w:r>
        <w:rPr>
          <w:rFonts w:hint="eastAsia" w:asciiTheme="minorEastAsia" w:hAnsiTheme="minorEastAsia" w:eastAsiaTheme="minorEastAsia" w:cstheme="minorEastAsia"/>
          <w:sz w:val="28"/>
          <w:szCs w:val="28"/>
        </w:rPr>
        <w:t>。</w:t>
      </w:r>
    </w:p>
    <w:p w14:paraId="23A7F1B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 合同文件的优先顺序</w:t>
      </w:r>
    </w:p>
    <w:p w14:paraId="76D1D7C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合同文件组成及优先顺序为：</w:t>
      </w:r>
      <w:r>
        <w:rPr>
          <w:rFonts w:hint="eastAsia" w:asciiTheme="minorEastAsia" w:hAnsiTheme="minorEastAsia" w:eastAsiaTheme="minorEastAsia" w:cstheme="minorEastAsia"/>
          <w:sz w:val="28"/>
          <w:szCs w:val="28"/>
          <w:u w:val="single"/>
          <w:lang w:val="en-US" w:eastAsia="zh-CN"/>
        </w:rPr>
        <w:t>本合同协议书、</w:t>
      </w:r>
      <w:r>
        <w:rPr>
          <w:rFonts w:hint="eastAsia" w:asciiTheme="minorEastAsia" w:hAnsiTheme="minorEastAsia" w:eastAsiaTheme="minorEastAsia" w:cstheme="minorEastAsia"/>
          <w:sz w:val="28"/>
          <w:szCs w:val="28"/>
          <w:u w:val="single"/>
        </w:rPr>
        <w:t>中标通知书（如果有）；投标函及投标函附录（如果有）；招标文件、招标文件补充文件及其附件；专用合同条件及《发包人要求》等附件；</w:t>
      </w:r>
      <w:r>
        <w:rPr>
          <w:rFonts w:hint="eastAsia" w:asciiTheme="minorEastAsia" w:hAnsiTheme="minorEastAsia" w:eastAsiaTheme="minorEastAsia" w:cstheme="minorEastAsia"/>
          <w:sz w:val="28"/>
          <w:szCs w:val="28"/>
          <w:u w:val="single"/>
          <w:lang w:val="en-US" w:eastAsia="zh-CN"/>
        </w:rPr>
        <w:t>投标书及其附件；</w:t>
      </w:r>
      <w:r>
        <w:rPr>
          <w:rFonts w:hint="eastAsia" w:asciiTheme="minorEastAsia" w:hAnsiTheme="minorEastAsia" w:eastAsiaTheme="minorEastAsia" w:cstheme="minorEastAsia"/>
          <w:sz w:val="28"/>
          <w:szCs w:val="28"/>
          <w:u w:val="single"/>
        </w:rPr>
        <w:t>通用合同条件；</w:t>
      </w:r>
      <w:r>
        <w:rPr>
          <w:rFonts w:hint="eastAsia" w:asciiTheme="minorEastAsia" w:hAnsiTheme="minorEastAsia" w:eastAsiaTheme="minorEastAsia" w:cstheme="minorEastAsia"/>
          <w:sz w:val="28"/>
          <w:szCs w:val="28"/>
          <w:u w:val="single"/>
          <w:lang w:val="en-US" w:eastAsia="zh-CN"/>
        </w:rPr>
        <w:t>规范、标准及技术文件</w:t>
      </w:r>
      <w:r>
        <w:rPr>
          <w:rFonts w:hint="eastAsia" w:asciiTheme="minorEastAsia" w:hAnsiTheme="minorEastAsia" w:eastAsiaTheme="minorEastAsia" w:cstheme="minorEastAsia"/>
          <w:sz w:val="28"/>
          <w:szCs w:val="28"/>
          <w:u w:val="single"/>
        </w:rPr>
        <w:t>；双方约定的其他合同文件。</w:t>
      </w:r>
    </w:p>
    <w:p w14:paraId="28E28FC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 文件的提供和照管</w:t>
      </w:r>
    </w:p>
    <w:p w14:paraId="018DC14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1.6.1 发包人文件的提供</w:t>
      </w:r>
    </w:p>
    <w:p w14:paraId="2A608E3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发包人文件的提供期限、名称、数量和形式：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1BC8BE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1.6.2 承包人文件的提供</w:t>
      </w:r>
    </w:p>
    <w:p w14:paraId="6BEDFC3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承包人文件的内容、提供期限、名称、数量和形式：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DC1C7E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1.6.4 文件的照管</w:t>
      </w:r>
    </w:p>
    <w:p w14:paraId="36A9C13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关于现场文件准备的约定：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24013B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1.7 联络</w:t>
      </w:r>
    </w:p>
    <w:p w14:paraId="79EADAF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1.7.2 发包人指定的送达方式（包括电子传输方式）：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DB75F8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发包人的送达地址：</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B4D269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承包人指定的送达方式（包括电子传输方式）：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1B60EC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承包人的送达地址：</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5FABE85">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52" w:name="_Toc6783"/>
      <w:bookmarkStart w:id="2553" w:name="_Toc12910"/>
      <w:bookmarkStart w:id="2554" w:name="_Toc27621"/>
      <w:bookmarkStart w:id="2555" w:name="_Toc31857"/>
      <w:bookmarkStart w:id="2556" w:name="_Toc9113"/>
      <w:r>
        <w:rPr>
          <w:rFonts w:hint="eastAsia" w:asciiTheme="minorEastAsia" w:hAnsiTheme="minorEastAsia" w:eastAsiaTheme="minorEastAsia" w:cstheme="minorEastAsia"/>
          <w:b w:val="0"/>
          <w:bCs/>
          <w:sz w:val="28"/>
          <w:szCs w:val="28"/>
        </w:rPr>
        <w:t>第2条 发包人</w:t>
      </w:r>
      <w:bookmarkEnd w:id="2552"/>
      <w:bookmarkEnd w:id="2553"/>
      <w:bookmarkEnd w:id="2554"/>
      <w:bookmarkEnd w:id="2555"/>
      <w:bookmarkEnd w:id="2556"/>
    </w:p>
    <w:p w14:paraId="1CECB2F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 提供施工现场和工作条件</w:t>
      </w:r>
    </w:p>
    <w:p w14:paraId="214618B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2.2.1 提供施工现场</w:t>
      </w:r>
    </w:p>
    <w:p w14:paraId="6570E05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关于发包人提供施工现场的范围和期限：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496EC4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2.2.2 提供工作条件</w:t>
      </w:r>
    </w:p>
    <w:p w14:paraId="7698E5E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关于发包人应负责提供的工作条件包括：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EFE88D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2.3 提供基础资料</w:t>
      </w:r>
    </w:p>
    <w:p w14:paraId="53C92A6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关于发包人应提供的基础资料的范围和期限：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E084B9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 支付合同价款</w:t>
      </w:r>
    </w:p>
    <w:p w14:paraId="6435EF2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2.5.2 发包人提供资金来源证明及资金安排的期限要求：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BF440B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2.5.3 发包人提供支付担保的形式、期限、金额（或比例）：</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815042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2.7 其他义务</w:t>
      </w:r>
    </w:p>
    <w:p w14:paraId="5048E01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发包人应履行的其他义务：</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7401EF0">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57" w:name="_Toc1756"/>
      <w:bookmarkStart w:id="2558" w:name="_Toc31478"/>
      <w:bookmarkStart w:id="2559" w:name="_Toc18466"/>
      <w:bookmarkStart w:id="2560" w:name="_Toc2376"/>
      <w:bookmarkStart w:id="2561" w:name="_Toc27669"/>
      <w:r>
        <w:rPr>
          <w:rFonts w:hint="eastAsia" w:asciiTheme="minorEastAsia" w:hAnsiTheme="minorEastAsia" w:eastAsiaTheme="minorEastAsia" w:cstheme="minorEastAsia"/>
          <w:b w:val="0"/>
          <w:bCs/>
          <w:sz w:val="28"/>
          <w:szCs w:val="28"/>
        </w:rPr>
        <w:t>第3条 发包人的管理</w:t>
      </w:r>
      <w:bookmarkEnd w:id="2557"/>
      <w:bookmarkEnd w:id="2558"/>
      <w:bookmarkEnd w:id="2559"/>
      <w:bookmarkEnd w:id="2560"/>
      <w:bookmarkEnd w:id="2561"/>
    </w:p>
    <w:p w14:paraId="1487039A">
      <w:pPr>
        <w:pageBreakBefore w:val="0"/>
        <w:kinsoku/>
        <w:wordWrap/>
        <w:overflowPunct/>
        <w:topLinePunct w:val="0"/>
        <w:autoSpaceDE/>
        <w:autoSpaceDN/>
        <w:bidi w:val="0"/>
        <w:spacing w:line="360" w:lineRule="auto"/>
        <w:ind w:firstLine="64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3.1 发包人代表</w:t>
      </w:r>
    </w:p>
    <w:p w14:paraId="4BC76A9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发包人代表的姓名：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35D633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发包人代表的身份证号：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BB6668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发包人代表的职务：</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D00C61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发包人代表的联系电话：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CCD495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发包人代表的电子邮箱：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443FA4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发包人代表的通信地址：</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CE88CA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发包人对发包人代表的授权范围如下：</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F0BEAD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发包人代表的职责：</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8E60682">
      <w:pPr>
        <w:pageBreakBefore w:val="0"/>
        <w:kinsoku/>
        <w:wordWrap/>
        <w:overflowPunct/>
        <w:topLinePunct w:val="0"/>
        <w:autoSpaceDE/>
        <w:autoSpaceDN/>
        <w:bidi w:val="0"/>
        <w:spacing w:line="360" w:lineRule="auto"/>
        <w:ind w:firstLine="64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 发包人人员</w:t>
      </w:r>
    </w:p>
    <w:p w14:paraId="00827EA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发包人人员姓名：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B2284C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发包人人员职务：</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E868F3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发包人人员职责：</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5DF669A">
      <w:pPr>
        <w:pageBreakBefore w:val="0"/>
        <w:kinsoku/>
        <w:wordWrap/>
        <w:overflowPunct/>
        <w:topLinePunct w:val="0"/>
        <w:autoSpaceDE/>
        <w:autoSpaceDN/>
        <w:bidi w:val="0"/>
        <w:spacing w:line="360" w:lineRule="auto"/>
        <w:ind w:firstLine="64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3.6 商定或确定</w:t>
      </w:r>
    </w:p>
    <w:p w14:paraId="1F0E386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3.6.2 关于商定时间限制的具体约定：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FF6287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3.6.3 关于商定或确定效力的具体约定：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；关于对工程师的确定提出异议的具体约定：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F0482D3">
      <w:pPr>
        <w:pageBreakBefore w:val="0"/>
        <w:kinsoku/>
        <w:wordWrap/>
        <w:overflowPunct/>
        <w:topLinePunct w:val="0"/>
        <w:autoSpaceDE/>
        <w:autoSpaceDN/>
        <w:bidi w:val="0"/>
        <w:spacing w:line="360" w:lineRule="auto"/>
        <w:ind w:firstLine="64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3.7 会议</w:t>
      </w:r>
    </w:p>
    <w:p w14:paraId="7B5766E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3.7.1 关于召开会议的具体约定：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3CB82C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3.7.2 关于保存和提供会议纪要的具体约定：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9BAB5E6">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62" w:name="_Toc1110"/>
      <w:bookmarkStart w:id="2563" w:name="_Toc19295"/>
      <w:bookmarkStart w:id="2564" w:name="_Toc21878"/>
      <w:bookmarkStart w:id="2565" w:name="_Toc23211"/>
      <w:bookmarkStart w:id="2566" w:name="_Toc29617"/>
      <w:r>
        <w:rPr>
          <w:rFonts w:hint="eastAsia" w:asciiTheme="minorEastAsia" w:hAnsiTheme="minorEastAsia" w:eastAsiaTheme="minorEastAsia" w:cstheme="minorEastAsia"/>
          <w:b w:val="0"/>
          <w:bCs/>
          <w:sz w:val="28"/>
          <w:szCs w:val="28"/>
        </w:rPr>
        <w:t>第4条 承包人</w:t>
      </w:r>
      <w:bookmarkEnd w:id="2562"/>
      <w:bookmarkEnd w:id="2563"/>
      <w:bookmarkEnd w:id="2564"/>
      <w:bookmarkEnd w:id="2565"/>
      <w:bookmarkEnd w:id="2566"/>
    </w:p>
    <w:p w14:paraId="530504B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4.1 承包人的一般义务</w:t>
      </w:r>
    </w:p>
    <w:p w14:paraId="32A3EE6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承包人应履行的其他义务：</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5E504A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4.2 履约担保</w:t>
      </w:r>
    </w:p>
    <w:p w14:paraId="5DB92E4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承包人是否提供履约担保：</w:t>
      </w:r>
      <w:r>
        <w:rPr>
          <w:rFonts w:hint="eastAsia" w:asciiTheme="minorEastAsia" w:hAnsiTheme="minorEastAsia" w:eastAsiaTheme="minorEastAsia" w:cstheme="minorEastAsia"/>
          <w:sz w:val="28"/>
          <w:szCs w:val="28"/>
          <w:u w:val="single"/>
          <w:lang w:val="en-US" w:eastAsia="zh-CN"/>
        </w:rPr>
        <w:t>是</w:t>
      </w:r>
      <w:r>
        <w:rPr>
          <w:rFonts w:hint="eastAsia" w:asciiTheme="minorEastAsia" w:hAnsiTheme="minorEastAsia" w:eastAsiaTheme="minorEastAsia" w:cstheme="minorEastAsia"/>
          <w:sz w:val="28"/>
          <w:szCs w:val="28"/>
        </w:rPr>
        <w:t>。</w:t>
      </w:r>
    </w:p>
    <w:p w14:paraId="5B3CEB5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highlight w:val="none"/>
          <w:u w:val="single"/>
          <w:lang w:val="en-US" w:eastAsia="zh-CN"/>
        </w:rPr>
      </w:pPr>
      <w:r>
        <w:rPr>
          <w:rFonts w:hint="eastAsia" w:asciiTheme="minorEastAsia" w:hAnsiTheme="minorEastAsia" w:eastAsiaTheme="minorEastAsia" w:cstheme="minorEastAsia"/>
          <w:sz w:val="28"/>
          <w:szCs w:val="28"/>
        </w:rPr>
        <w:t>履约担保的方式、金额及期限</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u w:val="single"/>
          <w:lang w:val="en-US" w:eastAsia="zh-CN"/>
        </w:rPr>
        <w:t>。</w:t>
      </w:r>
    </w:p>
    <w:p w14:paraId="2F1FE98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4.3 工程总承包项目经理</w:t>
      </w:r>
    </w:p>
    <w:p w14:paraId="6FD0B86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4.3.1 工程总承包项目经理姓名：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872D07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执业资格或职称类型：</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B2F020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执业资格证或职称证号码：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4D722D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4596EA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电子邮箱：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E59BF0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通信地址：</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6A537A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承包人未提交劳动合同，以及没有为工程总承包项目经理缴纳社会保险证明的违约责任：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187A54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4.3.2 工程总承包项目经理每月在现场的时间要求：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4ED686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工程总承包项目经理未经批准擅自离开施工现场的违约责任：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5F47B4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4.3.3 承包人对工程总承包项目经理的授权范围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768D09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4.3.4 承包人擅自更换工程总承包项目经理的违约责任：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00EE40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4.3.5 承包人无正当理由拒绝更换工程总承包项目经理的违约责任</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73DDB1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4.4 承包人人员</w:t>
      </w:r>
    </w:p>
    <w:p w14:paraId="0B64470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4.4.1 人员安排</w:t>
      </w:r>
    </w:p>
    <w:p w14:paraId="570AB3E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承包人提交项目管理机构及施工现场人员安排的报告的期限：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D127CE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承包人提交关键人员信息及注册执业资格等证明其具备担任关键人员能力的相关文件的期限：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0D576C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4.4.2 关键人员更换</w:t>
      </w:r>
    </w:p>
    <w:p w14:paraId="1EE50B7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承包人擅自更换关键人员的违约责任：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09153D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承包人无正当理由拒绝撤换关键人员的违约责任：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79F810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4.4.3 现场管理关键人员在岗要求</w:t>
      </w:r>
    </w:p>
    <w:p w14:paraId="773E318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承包人现场管理关键人员离开施工现场的批准要求：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50D3B0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承包人现场管理关键人员擅自离开施工现场的违约责任：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A7D1B2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4.5 分包</w:t>
      </w:r>
    </w:p>
    <w:p w14:paraId="01CB6D1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4.5.1 一般约定</w:t>
      </w:r>
    </w:p>
    <w:p w14:paraId="59CB7AB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禁止分包的工程包括：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82A2C2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4.5.2 分包的确定</w:t>
      </w:r>
    </w:p>
    <w:p w14:paraId="4F9C844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允许分包的工程包括：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D50036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其他关于分包的约定：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0628F4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4.5.5 分包合同价款支付</w:t>
      </w:r>
    </w:p>
    <w:p w14:paraId="7FE792A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关于分包合同价款支付的约定：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8E1E39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4.6 联合体</w:t>
      </w:r>
    </w:p>
    <w:p w14:paraId="68C0553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4.6.2 联合体各成员的分工、费用收取、发票开具等事项：</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A909F2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4.7 承包人现场查勘</w:t>
      </w:r>
    </w:p>
    <w:p w14:paraId="1C04ED4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4.7.1 双方当事人对现场查勘的责任承担的约定：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7B3A3F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4.8 不可预见的困难</w:t>
      </w:r>
    </w:p>
    <w:p w14:paraId="5E2DE4D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不可预见的困难包括：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30B78A2">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67" w:name="_Toc32089"/>
      <w:bookmarkStart w:id="2568" w:name="_Toc32377"/>
      <w:bookmarkStart w:id="2569" w:name="_Toc829"/>
      <w:bookmarkStart w:id="2570" w:name="_Toc17981"/>
      <w:bookmarkStart w:id="2571" w:name="_Toc20252"/>
      <w:r>
        <w:rPr>
          <w:rFonts w:hint="eastAsia" w:asciiTheme="minorEastAsia" w:hAnsiTheme="minorEastAsia" w:eastAsiaTheme="minorEastAsia" w:cstheme="minorEastAsia"/>
          <w:b w:val="0"/>
          <w:bCs/>
          <w:sz w:val="28"/>
          <w:szCs w:val="28"/>
        </w:rPr>
        <w:t>第5条 设计</w:t>
      </w:r>
      <w:bookmarkEnd w:id="2567"/>
      <w:bookmarkEnd w:id="2568"/>
      <w:bookmarkEnd w:id="2569"/>
      <w:bookmarkEnd w:id="2570"/>
      <w:bookmarkEnd w:id="2571"/>
    </w:p>
    <w:p w14:paraId="74EED21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5.2 承包人文件审查</w:t>
      </w:r>
    </w:p>
    <w:p w14:paraId="7F8AC22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5.2.1 承包人文件审查的期限：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D417B6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5.2.2 审查会议的审查形式和时间安排为：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，审查会议的相关费用由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承担。</w:t>
      </w:r>
    </w:p>
    <w:p w14:paraId="28B2AE1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5.2.3 关于第三方审查单位的约定：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771506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5.3 培训</w:t>
      </w:r>
    </w:p>
    <w:p w14:paraId="4CCDA4C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培训的时长为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，承包人应为培训提供的人员、设施和</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必要条件为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D76706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5.4 竣工文件</w:t>
      </w:r>
    </w:p>
    <w:p w14:paraId="63040E2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5.4.1 竣工文件的形式、提供的份数、技术标准以及</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相关要求：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4EB140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5.4.3 关于竣工文件的其他约定：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74452C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5.5 操作和维修手册</w:t>
      </w:r>
    </w:p>
    <w:p w14:paraId="5DBBE33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5.5.3 对最终操作和维修手册的约定：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851EAEF">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72" w:name="_Toc28695"/>
      <w:bookmarkStart w:id="2573" w:name="_Toc15825"/>
      <w:bookmarkStart w:id="2574" w:name="_Toc13751"/>
      <w:bookmarkStart w:id="2575" w:name="_Toc14996"/>
      <w:bookmarkStart w:id="2576" w:name="_Toc292"/>
      <w:r>
        <w:rPr>
          <w:rFonts w:hint="eastAsia" w:asciiTheme="minorEastAsia" w:hAnsiTheme="minorEastAsia" w:eastAsiaTheme="minorEastAsia" w:cstheme="minorEastAsia"/>
          <w:b w:val="0"/>
          <w:bCs/>
          <w:sz w:val="28"/>
          <w:szCs w:val="28"/>
        </w:rPr>
        <w:t>第6条 材料、工程设备</w:t>
      </w:r>
      <w:bookmarkEnd w:id="2572"/>
      <w:bookmarkEnd w:id="2573"/>
      <w:bookmarkEnd w:id="2574"/>
      <w:bookmarkEnd w:id="2575"/>
      <w:bookmarkEnd w:id="2576"/>
    </w:p>
    <w:p w14:paraId="5F29225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6.1 实施方法</w:t>
      </w:r>
    </w:p>
    <w:p w14:paraId="6268286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双方当事人约定的实施方法、设备、设施和材料：</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7E9834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 材料和工程设备</w:t>
      </w:r>
    </w:p>
    <w:p w14:paraId="702559C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6.2.1 发包人提供的材料和工程设备</w:t>
      </w:r>
    </w:p>
    <w:p w14:paraId="43B56DA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发包人提供的材料和工程设备验收后，由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负责接收、运输和保管。</w:t>
      </w:r>
    </w:p>
    <w:p w14:paraId="6B8226A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6.2.2 承包人提供的材料和工程设备</w:t>
      </w:r>
    </w:p>
    <w:p w14:paraId="12C8BC0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材料和工程设备的类别、估算数量：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EFF166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竣工后试验的生产性材料的类别或（和）清单：</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2F1029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6.2.3 材料和工程设备的保管</w:t>
      </w:r>
    </w:p>
    <w:p w14:paraId="27925AF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发包人供应的材料和工程设备的保管费用由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承担。</w:t>
      </w:r>
    </w:p>
    <w:p w14:paraId="018C469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承包人提交保管、维护方案的时间：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4D70C4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发包人提供的库房、堆场、设施和设备：</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7170CB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6.3 样品</w:t>
      </w:r>
    </w:p>
    <w:p w14:paraId="2FB2081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6.3.1 样品的报送与封存</w:t>
      </w:r>
    </w:p>
    <w:p w14:paraId="0102B1C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需要承包人报送样品的材料或工程设备，样品种类、名称、规格、数量：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F246E6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6.4 质量检查</w:t>
      </w:r>
    </w:p>
    <w:p w14:paraId="311ABC4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6.4.1 工程</w:t>
      </w:r>
      <w:r>
        <w:rPr>
          <w:rFonts w:hint="eastAsia" w:asciiTheme="minorEastAsia" w:hAnsiTheme="minorEastAsia" w:eastAsiaTheme="minorEastAsia" w:cstheme="minorEastAsia"/>
          <w:sz w:val="28"/>
          <w:szCs w:val="28"/>
          <w:lang w:eastAsia="zh-CN"/>
        </w:rPr>
        <w:t>质量标准</w:t>
      </w:r>
    </w:p>
    <w:p w14:paraId="7EC69AF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工程质量的特殊标准或要求：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3BA8CE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6.4.2 质量检查</w:t>
      </w:r>
    </w:p>
    <w:p w14:paraId="13C35F1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除通用合同条件已列明的质量检查的地点外，发包人有权进行质量检查的其他地点：</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8D5E81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6.4.3 隐蔽工程检查</w:t>
      </w:r>
    </w:p>
    <w:p w14:paraId="5AE06F1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关于隐蔽工程和中间验收的特别约定：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A03E81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6.5 由承包人试验和检验</w:t>
      </w:r>
    </w:p>
    <w:p w14:paraId="00F145A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6.5.1 试验设备与试验人员</w:t>
      </w:r>
    </w:p>
    <w:p w14:paraId="5E9ACF7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试验的内容、时间和地点：</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225B18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试验所需要的试验设备、取样装置、试验场所和试验条件：</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C4373B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试验和检验费用的计价原则：</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1533931">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sz w:val="28"/>
          <w:szCs w:val="28"/>
        </w:rPr>
      </w:pPr>
      <w:bookmarkStart w:id="2577" w:name="_Toc21300"/>
      <w:bookmarkStart w:id="2578" w:name="_Toc16012"/>
      <w:bookmarkStart w:id="2579" w:name="_Toc10724"/>
      <w:bookmarkStart w:id="2580" w:name="_Toc17771"/>
      <w:bookmarkStart w:id="2581" w:name="_Toc19628"/>
      <w:r>
        <w:rPr>
          <w:rFonts w:hint="eastAsia" w:asciiTheme="minorEastAsia" w:hAnsiTheme="minorEastAsia" w:eastAsiaTheme="minorEastAsia" w:cstheme="minorEastAsia"/>
          <w:sz w:val="28"/>
          <w:szCs w:val="28"/>
        </w:rPr>
        <w:t>第7条 施工</w:t>
      </w:r>
      <w:bookmarkEnd w:id="2577"/>
      <w:bookmarkEnd w:id="2578"/>
      <w:bookmarkEnd w:id="2579"/>
      <w:bookmarkEnd w:id="2580"/>
      <w:bookmarkEnd w:id="2581"/>
    </w:p>
    <w:p w14:paraId="1CB5AF9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7.1 交通运输</w:t>
      </w:r>
    </w:p>
    <w:p w14:paraId="0D996DC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7.1.1 出入现场的权利</w:t>
      </w:r>
    </w:p>
    <w:p w14:paraId="34E0154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关于出入现场的权利的约定：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62185F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7.1.2 场外交通</w:t>
      </w:r>
    </w:p>
    <w:p w14:paraId="1D9CD29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关于场外交通的特别约定：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AE301A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7.1.3 场内交通</w:t>
      </w:r>
    </w:p>
    <w:p w14:paraId="2FB6FF8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关于场内交通的特别约定：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B22ED3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关于场内交通与场外交通边界的约定：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933ABA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7.1.4 超大件和超重件的运输</w:t>
      </w:r>
    </w:p>
    <w:p w14:paraId="0F2BC8B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运输超大件或超重件所需的道路和桥梁临时加固改造费用和其他有关费用由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承担。</w:t>
      </w:r>
    </w:p>
    <w:p w14:paraId="69A374C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7.2 施工设备和临时设施</w:t>
      </w:r>
    </w:p>
    <w:p w14:paraId="0104E9D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7.2.1 承包人提供的施工设备和临时设施</w:t>
      </w:r>
    </w:p>
    <w:p w14:paraId="5ADBCE8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临时设施的费用和临时占地手续和费用承担的特别约定：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47E05E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7.2.2 发包人提供的施工设备和临时设施</w:t>
      </w:r>
    </w:p>
    <w:p w14:paraId="715CB48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发包人提供的施工设备或临时设施范围：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5757EA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7.3 现场合作</w:t>
      </w:r>
    </w:p>
    <w:p w14:paraId="7B8C4A9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关于现场合作费用的特别约定：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B307B2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7.4 测量放线</w:t>
      </w:r>
    </w:p>
    <w:p w14:paraId="0A3D816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7.4.1 关于测量放线的特别约定的技术规范：</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。施工控制网资料的告知期限：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E033CA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7.5 现场劳动用工</w:t>
      </w:r>
    </w:p>
    <w:p w14:paraId="12AF5D9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7.5.2 合同当事人对建筑工人工资清偿事宜和违约责任的约定：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317BBF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7.6 安全文明施工</w:t>
      </w:r>
    </w:p>
    <w:p w14:paraId="0A2FB94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7.6.1 安全生产要求</w:t>
      </w:r>
    </w:p>
    <w:p w14:paraId="2DBE61D6">
      <w:pPr>
        <w:pageBreakBefore w:val="0"/>
        <w:kinsoku/>
        <w:wordWrap/>
        <w:overflowPunct/>
        <w:topLinePunct w:val="0"/>
        <w:autoSpaceDE/>
        <w:autoSpaceDN/>
        <w:bidi w:val="0"/>
        <w:spacing w:line="360" w:lineRule="auto"/>
        <w:ind w:left="124" w:leftChars="59"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合同当事人对安全施工的要求：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1BE8B4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7.6.3 文明施工</w:t>
      </w:r>
    </w:p>
    <w:p w14:paraId="0D6D34E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合同当事人对文明施工的要求：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D9E036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7.9 临时性公用设施</w:t>
      </w:r>
    </w:p>
    <w:p w14:paraId="15456DE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关于临时性公用设施的特别约定：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7D3CAA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7.10 现场安保</w:t>
      </w:r>
    </w:p>
    <w:p w14:paraId="125ED86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承包人现场安保义务的特别约定：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56A3951">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82" w:name="_Toc17135"/>
      <w:bookmarkStart w:id="2583" w:name="_Toc12088"/>
      <w:bookmarkStart w:id="2584" w:name="_Toc21207"/>
      <w:bookmarkStart w:id="2585" w:name="_Toc23990"/>
      <w:bookmarkStart w:id="2586" w:name="_Toc11306"/>
      <w:r>
        <w:rPr>
          <w:rFonts w:hint="eastAsia" w:asciiTheme="minorEastAsia" w:hAnsiTheme="minorEastAsia" w:eastAsiaTheme="minorEastAsia" w:cstheme="minorEastAsia"/>
          <w:b w:val="0"/>
          <w:bCs/>
          <w:sz w:val="28"/>
          <w:szCs w:val="28"/>
        </w:rPr>
        <w:t>第8条 工期和进度</w:t>
      </w:r>
      <w:bookmarkEnd w:id="2582"/>
      <w:bookmarkEnd w:id="2583"/>
      <w:bookmarkEnd w:id="2584"/>
      <w:bookmarkEnd w:id="2585"/>
      <w:bookmarkEnd w:id="2586"/>
    </w:p>
    <w:p w14:paraId="1ACB830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8.1 开始工作</w:t>
      </w:r>
    </w:p>
    <w:p w14:paraId="7E351F0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8.1.1 开始准备工作：</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C79CA5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8.1.2 发包人可在计划开始工作之日起84日后发出开始工作通知的特殊情形：</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EF4EE8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8.2 竣工日期</w:t>
      </w:r>
    </w:p>
    <w:p w14:paraId="04CD243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竣工日期的约定：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97136A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8.3 项目实施计划</w:t>
      </w:r>
    </w:p>
    <w:p w14:paraId="5B0AD09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8.3.1 项目实施计划的内容</w:t>
      </w:r>
    </w:p>
    <w:p w14:paraId="1E267BF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项目实施计划的内容：</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D2F248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8.3.2 项目实施计划的提交和修改</w:t>
      </w:r>
    </w:p>
    <w:p w14:paraId="06F9D7C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项目实施计划的提交及修改期限：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9FC6FB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8.4 项目进度计划</w:t>
      </w:r>
    </w:p>
    <w:p w14:paraId="033C2AC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8.4.1 工程师在收到进度计划后确认或提出修改意见的期限：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5CA7A0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8.4.2 进度计划的具体要求：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6189BF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关键路径及关键路径变化的确定原则：</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7F5293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承包人提交项目进度计划的份数和时间：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FCFBE0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8.4.3 进度计划的修订</w:t>
      </w:r>
    </w:p>
    <w:p w14:paraId="76FE259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承包人提交修订项目进度计划申请报告的期限：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611FB0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发包人批复修订项目进度计划申请报告的期限：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6CF2E2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承包人答复发包人提出修订合同计划的期限：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7E8E70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8.5 进度报告</w:t>
      </w:r>
    </w:p>
    <w:p w14:paraId="0608686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进度报告的具体要求：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2AD7AE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8.7 工期延误</w:t>
      </w:r>
    </w:p>
    <w:p w14:paraId="601CD88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8.7.2 因承包人原因导致工期延误</w:t>
      </w:r>
    </w:p>
    <w:p w14:paraId="1BA1F33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因承包人原因使竣工日期延误，每延误1日的误期赔偿金额为合同协议书的合同价格的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%或人民币金额为：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、累计最高赔偿金额为合同协议书的合同价格的：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%或人民币金额为：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2F4764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8.7.3 行政审批迟延</w:t>
      </w:r>
    </w:p>
    <w:p w14:paraId="5B66A08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行政审批报送的职责分工：</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86992B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8.7.4 异常恶劣的气候条件</w:t>
      </w:r>
    </w:p>
    <w:p w14:paraId="245CDD3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双方约定视为异常恶劣的气候条件的情形：</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FC0DC6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8.8 工期提前</w:t>
      </w:r>
    </w:p>
    <w:p w14:paraId="0E31F87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8.8.2 承包人提前竣工的奖励：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E186A79">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87" w:name="_Toc20319"/>
      <w:bookmarkStart w:id="2588" w:name="_Toc42"/>
      <w:bookmarkStart w:id="2589" w:name="_Toc24898"/>
      <w:bookmarkStart w:id="2590" w:name="_Toc14727"/>
      <w:bookmarkStart w:id="2591" w:name="_Toc3690"/>
      <w:r>
        <w:rPr>
          <w:rFonts w:hint="eastAsia" w:asciiTheme="minorEastAsia" w:hAnsiTheme="minorEastAsia" w:eastAsiaTheme="minorEastAsia" w:cstheme="minorEastAsia"/>
          <w:b w:val="0"/>
          <w:bCs/>
          <w:sz w:val="28"/>
          <w:szCs w:val="28"/>
        </w:rPr>
        <w:t>第9条 竣工试验</w:t>
      </w:r>
      <w:bookmarkEnd w:id="2587"/>
      <w:bookmarkEnd w:id="2588"/>
      <w:bookmarkEnd w:id="2589"/>
      <w:bookmarkEnd w:id="2590"/>
      <w:bookmarkEnd w:id="2591"/>
    </w:p>
    <w:p w14:paraId="4ED5687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9.1 竣工试验的义务</w:t>
      </w:r>
    </w:p>
    <w:p w14:paraId="66DCBEE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9.1.3 竣工试验的阶段、内容和顺序：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D978DD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竣工试验的操作要求：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DB202A1">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592" w:name="_Toc4784273"/>
      <w:bookmarkEnd w:id="2592"/>
      <w:bookmarkStart w:id="2593" w:name="_Toc4784272"/>
      <w:bookmarkEnd w:id="2593"/>
      <w:bookmarkStart w:id="2594" w:name="_Toc13123"/>
      <w:bookmarkStart w:id="2595" w:name="_Toc14808"/>
      <w:bookmarkStart w:id="2596" w:name="_Toc20339"/>
      <w:bookmarkStart w:id="2597" w:name="_Toc5602"/>
      <w:bookmarkStart w:id="2598" w:name="_Toc27223"/>
      <w:r>
        <w:rPr>
          <w:rFonts w:hint="eastAsia" w:asciiTheme="minorEastAsia" w:hAnsiTheme="minorEastAsia" w:eastAsiaTheme="minorEastAsia" w:cstheme="minorEastAsia"/>
          <w:b w:val="0"/>
          <w:bCs/>
          <w:sz w:val="28"/>
          <w:szCs w:val="28"/>
        </w:rPr>
        <w:t>第10条 验收和工程接收</w:t>
      </w:r>
      <w:bookmarkEnd w:id="2594"/>
      <w:bookmarkEnd w:id="2595"/>
      <w:bookmarkEnd w:id="2596"/>
      <w:bookmarkEnd w:id="2597"/>
      <w:bookmarkEnd w:id="2598"/>
    </w:p>
    <w:p w14:paraId="3888975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10.1 竣工验收</w:t>
      </w:r>
    </w:p>
    <w:p w14:paraId="1F4FC37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10.1.2 关于竣工验收程序的约定：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4C60FF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bookmarkStart w:id="2599" w:name="_Hlk46406260"/>
      <w:r>
        <w:rPr>
          <w:rFonts w:hint="eastAsia" w:asciiTheme="minorEastAsia" w:hAnsiTheme="minorEastAsia" w:eastAsiaTheme="minorEastAsia" w:cstheme="minorEastAsia"/>
          <w:sz w:val="28"/>
          <w:szCs w:val="28"/>
        </w:rPr>
        <w:t>发包人不按照合同约定组织竣工验收、颁发工程接受证书的违约金的计算方式：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bookmarkEnd w:id="2599"/>
    <w:p w14:paraId="263A57E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10.3</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 工程的接收</w:t>
      </w:r>
    </w:p>
    <w:p w14:paraId="0F67CD8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10.3.1工程接收的先后顺序、时间安排和其他要求：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B9CEDE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10.3.2 </w:t>
      </w:r>
      <w:r>
        <w:rPr>
          <w:rFonts w:hint="eastAsia" w:asciiTheme="minorEastAsia" w:hAnsiTheme="minorEastAsia" w:eastAsiaTheme="minorEastAsia" w:cstheme="minorEastAsia"/>
          <w:sz w:val="28"/>
          <w:szCs w:val="28"/>
          <w:lang w:eastAsia="zh-CN"/>
        </w:rPr>
        <w:t>接收</w:t>
      </w:r>
      <w:r>
        <w:rPr>
          <w:rFonts w:hint="eastAsia" w:asciiTheme="minorEastAsia" w:hAnsiTheme="minorEastAsia" w:eastAsiaTheme="minorEastAsia" w:cstheme="minorEastAsia"/>
          <w:sz w:val="28"/>
          <w:szCs w:val="28"/>
        </w:rPr>
        <w:t>工程时承包人需提交竣工验收资料的类别、内容、份数和提交时间：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2EE7B7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10.3.3 发包人逾期接收工程的违约责任：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48234C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10.3.4 承包人无正当理由不移交工程的违约责任：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483DB5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10.4 接收证书</w:t>
      </w:r>
    </w:p>
    <w:p w14:paraId="50DE779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10.4.1 工程接收证书颁发时间：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47DD2A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10.5 竣工退场</w:t>
      </w:r>
    </w:p>
    <w:p w14:paraId="0868BCE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10.5.1 竣工退场的相关约定：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266812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10.5.3人员撤离</w:t>
      </w:r>
    </w:p>
    <w:p w14:paraId="1E73E48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工程师同意需在缺陷责任期内继续工作和使用的人员、施工设备和临时工程的内容：</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6AB4BB8">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00" w:name="_Toc22442"/>
      <w:bookmarkStart w:id="2601" w:name="_Toc21729"/>
      <w:bookmarkStart w:id="2602" w:name="_Toc20249"/>
      <w:bookmarkStart w:id="2603" w:name="_Toc28697"/>
      <w:bookmarkStart w:id="2604" w:name="_Toc13164"/>
      <w:r>
        <w:rPr>
          <w:rFonts w:hint="eastAsia" w:asciiTheme="minorEastAsia" w:hAnsiTheme="minorEastAsia" w:eastAsiaTheme="minorEastAsia" w:cstheme="minorEastAsia"/>
          <w:b w:val="0"/>
          <w:bCs/>
          <w:sz w:val="28"/>
          <w:szCs w:val="28"/>
        </w:rPr>
        <w:t>第11条 缺陷责任与保修</w:t>
      </w:r>
      <w:bookmarkEnd w:id="2600"/>
      <w:bookmarkEnd w:id="2601"/>
      <w:bookmarkEnd w:id="2602"/>
      <w:bookmarkEnd w:id="2603"/>
      <w:bookmarkEnd w:id="2604"/>
    </w:p>
    <w:p w14:paraId="36852C4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11.2 缺陷责任期</w:t>
      </w:r>
    </w:p>
    <w:p w14:paraId="25F31D0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缺陷责任期的期限：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AFB72A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 缺陷调查</w:t>
      </w:r>
    </w:p>
    <w:p w14:paraId="553DD32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11.3.4 修复通知</w:t>
      </w:r>
    </w:p>
    <w:p w14:paraId="55867D4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承包人收到保修通知并到达工程现场的合理时间：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2F50B6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11.6 缺陷责任期终止证书</w:t>
      </w:r>
    </w:p>
    <w:p w14:paraId="571B835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承包人应于缺陷责任期届满后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天内向发包人发出缺陷责任期届满通知，发包人应在收到缺陷责任期满通知后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天内核实承包人是否履行缺陷修复义务，承包人未能履行缺陷修复义务的，发包人有权扣除相应金额的维修费用。发包人应在收到缺陷责任期届满通知后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天内，向承包人颁发缺陷责任期终止证书。</w:t>
      </w:r>
    </w:p>
    <w:p w14:paraId="2C98508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11.7 保修责任</w:t>
      </w:r>
    </w:p>
    <w:p w14:paraId="1220059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工程质量保修范围、期限和责任为：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0C9E6B7">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05" w:name="_Toc11286"/>
      <w:bookmarkStart w:id="2606" w:name="_Toc15325"/>
      <w:bookmarkStart w:id="2607" w:name="_Toc23901"/>
      <w:bookmarkStart w:id="2608" w:name="_Toc18988"/>
      <w:bookmarkStart w:id="2609" w:name="_Toc32165"/>
      <w:r>
        <w:rPr>
          <w:rFonts w:hint="eastAsia" w:asciiTheme="minorEastAsia" w:hAnsiTheme="minorEastAsia" w:eastAsiaTheme="minorEastAsia" w:cstheme="minorEastAsia"/>
          <w:b w:val="0"/>
          <w:bCs/>
          <w:sz w:val="28"/>
          <w:szCs w:val="28"/>
        </w:rPr>
        <w:t>第12条 竣工后试验</w:t>
      </w:r>
      <w:bookmarkEnd w:id="2605"/>
      <w:bookmarkEnd w:id="2606"/>
      <w:bookmarkEnd w:id="2607"/>
      <w:bookmarkEnd w:id="2608"/>
      <w:bookmarkEnd w:id="2609"/>
    </w:p>
    <w:p w14:paraId="064D4B8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本合同工程是否包含竣工后试验：</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38D3B0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12.1 竣工后试验的程序</w:t>
      </w:r>
    </w:p>
    <w:p w14:paraId="0D7509F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9D9D201">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10" w:name="_Toc9141"/>
      <w:bookmarkStart w:id="2611" w:name="_Toc16358"/>
      <w:bookmarkStart w:id="2612" w:name="_Toc1393"/>
      <w:bookmarkStart w:id="2613" w:name="_Toc24764"/>
      <w:bookmarkStart w:id="2614" w:name="_Toc20552"/>
      <w:r>
        <w:rPr>
          <w:rFonts w:hint="eastAsia" w:asciiTheme="minorEastAsia" w:hAnsiTheme="minorEastAsia" w:eastAsiaTheme="minorEastAsia" w:cstheme="minorEastAsia"/>
          <w:b w:val="0"/>
          <w:bCs/>
          <w:sz w:val="28"/>
          <w:szCs w:val="28"/>
        </w:rPr>
        <w:t>第13条 变更与调整</w:t>
      </w:r>
      <w:bookmarkEnd w:id="2610"/>
      <w:bookmarkEnd w:id="2611"/>
      <w:bookmarkEnd w:id="2612"/>
      <w:bookmarkEnd w:id="2613"/>
      <w:bookmarkEnd w:id="2614"/>
    </w:p>
    <w:p w14:paraId="688C5D6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13.2 承包人的合理化建议</w:t>
      </w:r>
    </w:p>
    <w:p w14:paraId="5FC009D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13.2.2 工程师应在收到承包人提交的合理化建议后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日内审查完毕并报送发包人，发现存在技术上的缺陷，应通知承包人修改。发包人应在收到工程师报送的合理化建议后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日内审批完毕。合理化建议经发包人批准的，工程师应及时发出变更指示，由此引起的合同价格调整按照</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执行。发包人不同意变更的，工程师应书面通知承包人</w:t>
      </w:r>
    </w:p>
    <w:p w14:paraId="53F8F32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13.3 变更程序</w:t>
      </w:r>
    </w:p>
    <w:p w14:paraId="6190D21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13.3.3 变更估价</w:t>
      </w:r>
    </w:p>
    <w:p w14:paraId="1988B23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13.3.3.1 变更估价原则</w:t>
      </w:r>
    </w:p>
    <w:p w14:paraId="77D34D1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关于变更估价原则的约定：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5DB539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13.4 暂列金额</w:t>
      </w:r>
    </w:p>
    <w:p w14:paraId="67D94C5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其他关于暂列金额使用的约定：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2A1A2B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13.8 市场价格波动引起的调整</w:t>
      </w:r>
    </w:p>
    <w:p w14:paraId="08725FC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13.8.2 关于是否采用《价格指数权重表》的约定：</w:t>
      </w:r>
      <w:r>
        <w:rPr>
          <w:rFonts w:hint="eastAsia" w:asciiTheme="minorEastAsia" w:hAnsiTheme="minorEastAsia" w:eastAsiaTheme="minorEastAsia" w:cstheme="minorEastAsia"/>
          <w:sz w:val="28"/>
          <w:szCs w:val="28"/>
          <w:u w:val="single"/>
          <w:lang w:val="en-US" w:eastAsia="zh-CN"/>
        </w:rPr>
        <w:t>否</w:t>
      </w:r>
      <w:r>
        <w:rPr>
          <w:rFonts w:hint="eastAsia" w:asciiTheme="minorEastAsia" w:hAnsiTheme="minorEastAsia" w:eastAsiaTheme="minorEastAsia" w:cstheme="minorEastAsia"/>
          <w:sz w:val="28"/>
          <w:szCs w:val="28"/>
        </w:rPr>
        <w:t>。</w:t>
      </w:r>
    </w:p>
    <w:p w14:paraId="223C87A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13.8.3 关于采用其他方式调整合同价款的约定：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64195C3">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15" w:name="_Toc8436"/>
      <w:bookmarkStart w:id="2616" w:name="_Toc21346"/>
      <w:bookmarkStart w:id="2617" w:name="_Toc421"/>
      <w:bookmarkStart w:id="2618" w:name="_Toc5160"/>
      <w:bookmarkStart w:id="2619" w:name="_Toc30897"/>
      <w:r>
        <w:rPr>
          <w:rFonts w:hint="eastAsia" w:asciiTheme="minorEastAsia" w:hAnsiTheme="minorEastAsia" w:eastAsiaTheme="minorEastAsia" w:cstheme="minorEastAsia"/>
          <w:b w:val="0"/>
          <w:bCs/>
          <w:sz w:val="28"/>
          <w:szCs w:val="28"/>
        </w:rPr>
        <w:t>第14条 合同价格与支付</w:t>
      </w:r>
      <w:bookmarkEnd w:id="2615"/>
      <w:bookmarkEnd w:id="2616"/>
      <w:bookmarkEnd w:id="2617"/>
      <w:bookmarkEnd w:id="2618"/>
      <w:bookmarkEnd w:id="2619"/>
    </w:p>
    <w:p w14:paraId="05363AD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14.1 合同价格形式</w:t>
      </w:r>
    </w:p>
    <w:p w14:paraId="3E6FFDF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14.1.1 关于合同价格形式的约定：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7CBFA1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14.1.2 关于合同价格调整的约定：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D4098C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14.1.3 按实际完成的工程量支付工程价款的计量方法、估价方法：</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93D260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14.2 预付款</w:t>
      </w:r>
    </w:p>
    <w:p w14:paraId="2B6B91E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14.2.1 预付款支付</w:t>
      </w:r>
    </w:p>
    <w:p w14:paraId="1E57B4D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预付款的金额或比例为：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C64CB8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预付款支付期限：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5510FD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预付款扣回的方式：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90CD8C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14.2.2预付款担保</w:t>
      </w:r>
    </w:p>
    <w:p w14:paraId="3C2E241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提供预付款担保期限：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32BBE1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预付款担保形式：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A27A0B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14.3 工程进度款</w:t>
      </w:r>
    </w:p>
    <w:p w14:paraId="7E0A6A5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14.3.1 工程进度付款申请</w:t>
      </w:r>
    </w:p>
    <w:p w14:paraId="5932763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工程进度付款申请方式：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4BCBD8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承包人提交进度付款申请单的格式、内容、份数和时间：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C408F2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进度付款申请单应包括的内容：</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322971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14.3.2 进度付款审核和支付</w:t>
      </w:r>
    </w:p>
    <w:p w14:paraId="0C00A12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进度付款的审核方式和支付的约定：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79E05B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发包人应在进度款支付证书或临时进度款支付证书签发后的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天内完成支付，发包人逾期支付进度款的，应按照</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支付违约金。</w:t>
      </w:r>
    </w:p>
    <w:p w14:paraId="3B8D22F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 付款计划表</w:t>
      </w:r>
    </w:p>
    <w:p w14:paraId="755C9BB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14.4.1 付款计划表的编制要求：</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EA0213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14.4.2 付款计划表的编制与审批</w:t>
      </w:r>
    </w:p>
    <w:p w14:paraId="4BBCABF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付款计划表的编制：</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39C2C1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14.5 竣工结算</w:t>
      </w:r>
    </w:p>
    <w:p w14:paraId="257F434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14.5.1 竣工结算申请</w:t>
      </w:r>
    </w:p>
    <w:p w14:paraId="1B1489F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承包人提交竣工结算申请的时间：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9DCE19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竣工结算申请的资料清单和份数：</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437551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竣工结算申请单的内容应包括：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58EF8E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14.5.2 竣工结算审核</w:t>
      </w:r>
    </w:p>
    <w:p w14:paraId="29F2EB8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发包人审批竣工付款申请单的期限：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CF9CBF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发包人完成竣工付款的期限：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C36BFB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关于竣工付款证书异议部分复核的方式和程序：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A4C029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14.6 质量保证金</w:t>
      </w:r>
    </w:p>
    <w:p w14:paraId="5951996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14.6.1 承包人提供质量保证金的方式</w:t>
      </w:r>
    </w:p>
    <w:p w14:paraId="5371DE8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质量保证金采用以下第</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种方式：</w:t>
      </w:r>
    </w:p>
    <w:p w14:paraId="537410E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rPr>
        <w:t xml:space="preserve"> 工程质量保证担保，保证金额为：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w:t>
      </w:r>
    </w:p>
    <w:p w14:paraId="3B3D5D0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none"/>
        </w:rPr>
        <w:t>的工程款</w:t>
      </w:r>
      <w:r>
        <w:rPr>
          <w:rFonts w:hint="eastAsia" w:asciiTheme="minorEastAsia" w:hAnsiTheme="minorEastAsia" w:eastAsiaTheme="minorEastAsia" w:cstheme="minorEastAsia"/>
          <w:sz w:val="28"/>
          <w:szCs w:val="28"/>
        </w:rPr>
        <w:t>；</w:t>
      </w:r>
    </w:p>
    <w:p w14:paraId="0FE1077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（3）</w:t>
      </w:r>
      <w:r>
        <w:rPr>
          <w:rFonts w:hint="eastAsia" w:asciiTheme="minorEastAsia" w:hAnsiTheme="minorEastAsia" w:eastAsiaTheme="minorEastAsia" w:cstheme="minorEastAsia"/>
          <w:sz w:val="28"/>
          <w:szCs w:val="28"/>
        </w:rPr>
        <w:t xml:space="preserve"> 其他方式：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048450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14.6.2 质量保证金的预留</w:t>
      </w:r>
    </w:p>
    <w:p w14:paraId="35211FA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质量保证金的预留采取以下第</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种方式：</w:t>
      </w:r>
    </w:p>
    <w:p w14:paraId="580E415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rPr>
        <w:t>在支付工程进度款时逐次预留的质量保证金的比例</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，在此情形下，质量保证金的计算基数不包括预付款的支付、扣回以及价格调整的金额；</w:t>
      </w:r>
    </w:p>
    <w:p w14:paraId="75A15DF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（2）</w:t>
      </w:r>
      <w:r>
        <w:rPr>
          <w:rFonts w:hint="eastAsia" w:asciiTheme="minorEastAsia" w:hAnsiTheme="minorEastAsia" w:eastAsiaTheme="minorEastAsia" w:cstheme="minorEastAsia"/>
          <w:sz w:val="28"/>
          <w:szCs w:val="28"/>
        </w:rPr>
        <w:t>工程竣工结算时一次性预留专用合同条件第14.6.1项第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目约定的工程款预留比例的质量保证金；</w:t>
      </w:r>
    </w:p>
    <w:p w14:paraId="0C53480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（3）</w:t>
      </w:r>
      <w:r>
        <w:rPr>
          <w:rFonts w:hint="eastAsia" w:asciiTheme="minorEastAsia" w:hAnsiTheme="minorEastAsia" w:eastAsiaTheme="minorEastAsia" w:cstheme="minorEastAsia"/>
          <w:sz w:val="28"/>
          <w:szCs w:val="28"/>
        </w:rPr>
        <w:t>其他预留方式</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 xml:space="preserve"> </w:t>
      </w:r>
    </w:p>
    <w:p w14:paraId="5CCFE2F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关于质量保证金的补充约定</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u w:val="single"/>
          <w:lang w:val="en-US" w:eastAsia="zh-CN"/>
        </w:rPr>
        <w:t xml:space="preserve">        </w:t>
      </w:r>
    </w:p>
    <w:p w14:paraId="6A1A31B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14.7 最终结清</w:t>
      </w:r>
    </w:p>
    <w:p w14:paraId="5C14065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14.7.1 最终结清申请单</w:t>
      </w:r>
    </w:p>
    <w:p w14:paraId="3B88E71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当事人双方关于最终结清申请的其他约定：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5D6293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14.7.2 最终结清证书和支付</w:t>
      </w:r>
    </w:p>
    <w:p w14:paraId="5BC7B73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当事人双方关于最终结清支付的其他约定：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6C179A1">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20" w:name="_Toc1257"/>
      <w:bookmarkStart w:id="2621" w:name="_Toc15692"/>
      <w:bookmarkStart w:id="2622" w:name="_Toc27989"/>
      <w:bookmarkStart w:id="2623" w:name="_Toc24881"/>
      <w:bookmarkStart w:id="2624" w:name="_Toc29504"/>
      <w:r>
        <w:rPr>
          <w:rFonts w:hint="eastAsia" w:asciiTheme="minorEastAsia" w:hAnsiTheme="minorEastAsia" w:eastAsiaTheme="minorEastAsia" w:cstheme="minorEastAsia"/>
          <w:b w:val="0"/>
          <w:bCs/>
          <w:sz w:val="28"/>
          <w:szCs w:val="28"/>
        </w:rPr>
        <w:t>第15条 违约</w:t>
      </w:r>
      <w:bookmarkEnd w:id="2620"/>
      <w:bookmarkEnd w:id="2621"/>
      <w:bookmarkEnd w:id="2622"/>
      <w:bookmarkEnd w:id="2623"/>
      <w:bookmarkEnd w:id="2624"/>
    </w:p>
    <w:p w14:paraId="3B9A0C0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15.1 发包人违约</w:t>
      </w:r>
    </w:p>
    <w:p w14:paraId="605CD1B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15.1.1 发包人违约的情形</w:t>
      </w:r>
    </w:p>
    <w:p w14:paraId="202D3622">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发包人违约的其他情形</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6563C2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15.1.3 发包人违约的责任</w:t>
      </w:r>
    </w:p>
    <w:p w14:paraId="12BC3C6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发包人违约责任的承担方式和计算方法：</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4D532D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15.2 承包人违约</w:t>
      </w:r>
    </w:p>
    <w:p w14:paraId="162A59F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15.2.1 承包人违约的情形</w:t>
      </w:r>
    </w:p>
    <w:p w14:paraId="2FBEA54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承包人违约的其他情形：</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3D403E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15.2.2 通知改正</w:t>
      </w:r>
    </w:p>
    <w:p w14:paraId="5897FF0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工程师通知承包人改正的合理期限是：</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6F451C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15.2.3 承包人违约的责任</w:t>
      </w:r>
    </w:p>
    <w:p w14:paraId="45F8098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承包人违约责任的承担方式和计算方法：</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5605E99">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25" w:name="_Toc31633"/>
      <w:bookmarkStart w:id="2626" w:name="_Toc23800"/>
      <w:bookmarkStart w:id="2627" w:name="_Toc24162"/>
      <w:bookmarkStart w:id="2628" w:name="_Toc27781"/>
      <w:bookmarkStart w:id="2629" w:name="_Toc11313"/>
      <w:r>
        <w:rPr>
          <w:rFonts w:hint="eastAsia" w:asciiTheme="minorEastAsia" w:hAnsiTheme="minorEastAsia" w:eastAsiaTheme="minorEastAsia" w:cstheme="minorEastAsia"/>
          <w:b w:val="0"/>
          <w:bCs/>
          <w:sz w:val="28"/>
          <w:szCs w:val="28"/>
        </w:rPr>
        <w:t>第16条 合同解除</w:t>
      </w:r>
      <w:bookmarkEnd w:id="2625"/>
      <w:bookmarkEnd w:id="2626"/>
      <w:bookmarkEnd w:id="2627"/>
      <w:bookmarkEnd w:id="2628"/>
      <w:bookmarkEnd w:id="2629"/>
    </w:p>
    <w:p w14:paraId="6327AD6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16.1 由发包人解除合同</w:t>
      </w:r>
    </w:p>
    <w:p w14:paraId="25A90B5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16.1.1 因承包人违约解除合同</w:t>
      </w:r>
    </w:p>
    <w:p w14:paraId="0E3A57B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双方约定可由发包人解除合同的其他事由：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7F1E39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16.2 由承包人解除合同</w:t>
      </w:r>
    </w:p>
    <w:p w14:paraId="4EC76CE4">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16.2.1 因发包人违约解除合同</w:t>
      </w:r>
    </w:p>
    <w:p w14:paraId="463B7B8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双方约定可由承包人解除合同的其他事由：</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24313F0">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30" w:name="_Toc5722"/>
      <w:bookmarkStart w:id="2631" w:name="_Toc19735"/>
      <w:bookmarkStart w:id="2632" w:name="_Toc8171"/>
      <w:bookmarkStart w:id="2633" w:name="_Toc12657"/>
      <w:bookmarkStart w:id="2634" w:name="_Toc1600"/>
      <w:r>
        <w:rPr>
          <w:rFonts w:hint="eastAsia" w:asciiTheme="minorEastAsia" w:hAnsiTheme="minorEastAsia" w:eastAsiaTheme="minorEastAsia" w:cstheme="minorEastAsia"/>
          <w:b w:val="0"/>
          <w:bCs/>
          <w:sz w:val="28"/>
          <w:szCs w:val="28"/>
        </w:rPr>
        <w:t>第17条 不可抗力</w:t>
      </w:r>
      <w:bookmarkEnd w:id="2630"/>
      <w:bookmarkEnd w:id="2631"/>
      <w:bookmarkEnd w:id="2632"/>
      <w:bookmarkEnd w:id="2633"/>
      <w:bookmarkEnd w:id="2634"/>
    </w:p>
    <w:p w14:paraId="11DAFBAD">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17.1 不可抗力的定义</w:t>
      </w:r>
    </w:p>
    <w:p w14:paraId="510BE74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除通用合同条件约定的不可抗力事件之外，视为不可抗力的其他情形：</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714D69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17.6 因不可抗力解除合同</w:t>
      </w:r>
    </w:p>
    <w:p w14:paraId="14C214EC">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合同解除后，发包人应当在商定或确定发包人应支付款项后的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天内完成款项的支付。</w:t>
      </w:r>
    </w:p>
    <w:p w14:paraId="19B2CF2B">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bookmarkStart w:id="2635" w:name="_Toc4784277"/>
      <w:bookmarkEnd w:id="2635"/>
      <w:bookmarkStart w:id="2636" w:name="_Toc4784276"/>
      <w:bookmarkEnd w:id="2636"/>
      <w:bookmarkStart w:id="2637" w:name="_Toc9875"/>
      <w:bookmarkStart w:id="2638" w:name="_Toc12522"/>
      <w:bookmarkStart w:id="2639" w:name="_Toc32257"/>
      <w:bookmarkStart w:id="2640" w:name="_Toc1829"/>
      <w:bookmarkStart w:id="2641" w:name="_Toc15871"/>
      <w:r>
        <w:rPr>
          <w:rFonts w:hint="eastAsia" w:asciiTheme="minorEastAsia" w:hAnsiTheme="minorEastAsia" w:eastAsiaTheme="minorEastAsia" w:cstheme="minorEastAsia"/>
          <w:b w:val="0"/>
          <w:bCs/>
          <w:sz w:val="28"/>
          <w:szCs w:val="28"/>
        </w:rPr>
        <w:t>第18条 保险</w:t>
      </w:r>
      <w:bookmarkEnd w:id="2637"/>
      <w:bookmarkEnd w:id="2638"/>
      <w:bookmarkEnd w:id="2639"/>
      <w:bookmarkEnd w:id="2640"/>
      <w:bookmarkEnd w:id="2641"/>
    </w:p>
    <w:p w14:paraId="7B26EB8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18.1 设计和工程保险</w:t>
      </w:r>
    </w:p>
    <w:p w14:paraId="34F7C1D9">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18.1.1 双方当事人关于设计和工程保险的特别约定：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BD6735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18.1.2 双方当事人关于第三方责任险的特别约定：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03163C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18.2 工伤和意外伤害保险</w:t>
      </w:r>
    </w:p>
    <w:p w14:paraId="70166E1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18.2.3 关于工伤保险和意外伤害保险的特别约定：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561FB15">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18.3 货物保险</w:t>
      </w:r>
    </w:p>
    <w:p w14:paraId="70E4A7C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关于承包人应为其施工设备、材料、工程设备和临时工程等办理财产保险的特别约定：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67980BF">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18.4 其他保险</w:t>
      </w:r>
    </w:p>
    <w:p w14:paraId="271E115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关于其他保险的约定：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DEC27D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18.5 对各项保险的一般要求</w:t>
      </w:r>
    </w:p>
    <w:p w14:paraId="76580B1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18.5.2 保险凭证</w:t>
      </w:r>
    </w:p>
    <w:p w14:paraId="2C24D0EB">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保险单的条件：</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3180CC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18.5.4 通知义务</w:t>
      </w:r>
    </w:p>
    <w:p w14:paraId="34BFABFD">
      <w:pPr>
        <w:pStyle w:val="133"/>
        <w:pageBreakBefore w:val="0"/>
        <w:kinsoku/>
        <w:wordWrap/>
        <w:overflowPunct/>
        <w:autoSpaceDE/>
        <w:autoSpaceDN/>
        <w:bidi w:val="0"/>
        <w:spacing w:line="360" w:lineRule="auto"/>
        <w:textAlignment w:val="auto"/>
        <w:outlineLvl w:val="9"/>
        <w:rPr>
          <w:rFonts w:hint="eastAsia" w:asciiTheme="minorEastAsia" w:hAnsiTheme="minorEastAsia" w:eastAsiaTheme="minorEastAsia" w:cstheme="minorEastAsia"/>
          <w:sz w:val="28"/>
          <w:szCs w:val="28"/>
        </w:rPr>
      </w:pPr>
      <w:bookmarkStart w:id="2642" w:name="_Toc1862"/>
      <w:bookmarkStart w:id="2643" w:name="_Toc32176"/>
      <w:bookmarkStart w:id="2644" w:name="_Toc23407"/>
      <w:r>
        <w:rPr>
          <w:rFonts w:hint="eastAsia" w:asciiTheme="minorEastAsia" w:hAnsiTheme="minorEastAsia" w:eastAsiaTheme="minorEastAsia" w:cstheme="minorEastAsia"/>
          <w:sz w:val="28"/>
          <w:szCs w:val="28"/>
        </w:rPr>
        <w:t>关于变更保险合同时的通知义务的约定：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32E4D43D">
      <w:pPr>
        <w:pStyle w:val="133"/>
        <w:pageBreakBefore w:val="0"/>
        <w:kinsoku/>
        <w:wordWrap/>
        <w:overflowPunct/>
        <w:autoSpaceDE/>
        <w:autoSpaceDN/>
        <w:bidi w:val="0"/>
        <w:spacing w:line="360" w:lineRule="auto"/>
        <w:textAlignment w:val="auto"/>
        <w:outlineLvl w:val="3"/>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第20条 争议解决</w:t>
      </w:r>
      <w:bookmarkEnd w:id="2642"/>
      <w:bookmarkEnd w:id="2643"/>
      <w:bookmarkEnd w:id="2644"/>
    </w:p>
    <w:p w14:paraId="0F513A8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20.3 争议评审</w:t>
      </w:r>
    </w:p>
    <w:p w14:paraId="12AE050E">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合同当事人是否同意将工程争议提交争议评审小组决定：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06D21C1">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20.3.1 争议评审小组的确定</w:t>
      </w:r>
    </w:p>
    <w:p w14:paraId="58A8E5B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争议评审小组成员的人数：</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261CF303">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争议评审小组成员的确定：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65F2866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选定争议避免/评审组的期限：</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076289D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评审机构：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A3C4FB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其他事项的约定：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529865E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争议评审员报酬的承担人：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6EE7F17">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20.3.2 争议的避免</w:t>
      </w:r>
    </w:p>
    <w:p w14:paraId="56E24C7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发包人和承包人是否均出席争议避免的非正式讨论：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7239BFA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20.3.3 争议评审小组的决定</w:t>
      </w:r>
    </w:p>
    <w:p w14:paraId="1DD88FA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关于争议评审小组的决定的特别约定：</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12BEF2C6">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20.4 仲裁或诉讼</w:t>
      </w:r>
    </w:p>
    <w:p w14:paraId="618749FA">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因合同及合同有关事项发生的争议，按下列第</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种方式解决：</w:t>
      </w:r>
    </w:p>
    <w:p w14:paraId="4EF6C0B0">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（1）向</w:t>
      </w:r>
      <w:r>
        <w:rPr>
          <w:rFonts w:hint="eastAsia" w:asciiTheme="minorEastAsia" w:hAnsiTheme="minorEastAsia" w:eastAsiaTheme="minorEastAsia" w:cstheme="minorEastAsia"/>
          <w:sz w:val="28"/>
          <w:szCs w:val="28"/>
          <w:u w:val="single"/>
          <w:lang w:val="en-US" w:eastAsia="zh-CN"/>
        </w:rPr>
        <w:t>/</w:t>
      </w:r>
      <w:r>
        <w:rPr>
          <w:rFonts w:hint="eastAsia" w:asciiTheme="minorEastAsia" w:hAnsiTheme="minorEastAsia" w:eastAsiaTheme="minorEastAsia" w:cstheme="minorEastAsia"/>
          <w:sz w:val="28"/>
          <w:szCs w:val="28"/>
        </w:rPr>
        <w:t>仲裁委员会申请仲裁；</w:t>
      </w:r>
    </w:p>
    <w:p w14:paraId="5ABCDC18">
      <w:pPr>
        <w:pageBreakBefore w:val="0"/>
        <w:kinsoku/>
        <w:wordWrap/>
        <w:overflowPunct/>
        <w:topLinePunct w:val="0"/>
        <w:autoSpaceDE/>
        <w:autoSpaceDN/>
        <w:bidi w:val="0"/>
        <w:spacing w:line="360" w:lineRule="auto"/>
        <w:ind w:firstLine="6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（2）向</w:t>
      </w:r>
      <w:r>
        <w:rPr>
          <w:rFonts w:hint="eastAsia" w:asciiTheme="minorEastAsia" w:hAnsiTheme="minorEastAsia" w:eastAsiaTheme="minorEastAsia" w:cstheme="minorEastAsia"/>
          <w:sz w:val="28"/>
          <w:szCs w:val="28"/>
          <w:lang w:val="en-US" w:eastAsia="zh-CN"/>
        </w:rPr>
        <w:t>项目所在地</w:t>
      </w:r>
      <w:r>
        <w:rPr>
          <w:rFonts w:hint="eastAsia" w:asciiTheme="minorEastAsia" w:hAnsiTheme="minorEastAsia" w:eastAsiaTheme="minorEastAsia" w:cstheme="minorEastAsia"/>
          <w:sz w:val="28"/>
          <w:szCs w:val="28"/>
        </w:rPr>
        <w:t>人民法院起诉。</w:t>
      </w:r>
    </w:p>
    <w:p w14:paraId="645BF7F9">
      <w:pPr>
        <w:rPr>
          <w:rFonts w:hint="eastAsia" w:asciiTheme="minorEastAsia" w:hAnsiTheme="minorEastAsia" w:eastAsiaTheme="minorEastAsia" w:cstheme="minorEastAsia"/>
          <w:sz w:val="28"/>
          <w:szCs w:val="28"/>
        </w:rPr>
      </w:pPr>
      <w:bookmarkStart w:id="2645" w:name="_Toc3544"/>
      <w:bookmarkStart w:id="2646" w:name="_Toc4046"/>
      <w:bookmarkStart w:id="2647" w:name="_Hlk38571789"/>
      <w:bookmarkStart w:id="2648" w:name="_Toc532"/>
      <w:bookmarkStart w:id="2649" w:name="_Toc19738"/>
      <w:r>
        <w:rPr>
          <w:rFonts w:hint="eastAsia" w:asciiTheme="minorEastAsia" w:hAnsiTheme="minorEastAsia" w:eastAsiaTheme="minorEastAsia" w:cstheme="minorEastAsia"/>
          <w:sz w:val="28"/>
          <w:szCs w:val="28"/>
        </w:rPr>
        <w:br w:type="page"/>
      </w:r>
    </w:p>
    <w:bookmarkEnd w:id="2645"/>
    <w:bookmarkEnd w:id="2646"/>
    <w:bookmarkEnd w:id="2647"/>
    <w:bookmarkEnd w:id="2648"/>
    <w:bookmarkEnd w:id="2649"/>
    <w:p w14:paraId="60EC8384">
      <w:pPr>
        <w:bidi w:val="0"/>
        <w:rPr>
          <w:rFonts w:hint="eastAsia" w:asciiTheme="minorEastAsia" w:hAnsiTheme="minorEastAsia" w:eastAsiaTheme="minorEastAsia" w:cstheme="minorEastAsia"/>
          <w:sz w:val="28"/>
          <w:szCs w:val="28"/>
        </w:rPr>
      </w:pPr>
      <w:bookmarkStart w:id="2650" w:name="_Toc3628"/>
      <w:bookmarkStart w:id="2651" w:name="_Toc3347"/>
      <w:bookmarkStart w:id="2652" w:name="_Toc12814"/>
      <w:bookmarkStart w:id="2653" w:name="_Toc28582"/>
      <w:bookmarkStart w:id="2654" w:name="_Toc3363"/>
      <w:bookmarkStart w:id="2655" w:name="_Toc22400"/>
      <w:r>
        <w:rPr>
          <w:rFonts w:hint="eastAsia" w:asciiTheme="minorEastAsia" w:hAnsiTheme="minorEastAsia" w:eastAsiaTheme="minorEastAsia" w:cstheme="minorEastAsia"/>
          <w:sz w:val="28"/>
          <w:szCs w:val="28"/>
        </w:rPr>
        <w:t>专用合同条件附件</w:t>
      </w:r>
      <w:bookmarkEnd w:id="2650"/>
      <w:bookmarkEnd w:id="2651"/>
      <w:bookmarkEnd w:id="2652"/>
      <w:bookmarkEnd w:id="2653"/>
      <w:bookmarkEnd w:id="2654"/>
      <w:bookmarkEnd w:id="2655"/>
    </w:p>
    <w:p w14:paraId="170F8B71">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14:paraId="0FAF57E0">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附件1：发包人要求</w:t>
      </w:r>
    </w:p>
    <w:p w14:paraId="17275BE2">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附件2：发包人供应材料设备一览表</w:t>
      </w:r>
    </w:p>
    <w:p w14:paraId="07CD04E5">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附件3：工程质量保修书</w:t>
      </w:r>
    </w:p>
    <w:p w14:paraId="7D837638">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附件4：主要建设工程文件目录</w:t>
      </w:r>
    </w:p>
    <w:p w14:paraId="5A4C838F">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附件5：承包人主要管理人员表</w:t>
      </w:r>
    </w:p>
    <w:p w14:paraId="6425D2E6">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附件6：价格指数权重表</w:t>
      </w:r>
    </w:p>
    <w:p w14:paraId="1A6DC6EA">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p>
    <w:p w14:paraId="28EA6F31">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14:paraId="33F34830">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14:paraId="391973D7">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14:paraId="66257F7F">
      <w:pPr>
        <w:pageBreakBefore w:val="0"/>
        <w:kinsoku/>
        <w:wordWrap/>
        <w:overflowPunct/>
        <w:topLinePunct w:val="0"/>
        <w:autoSpaceDE/>
        <w:autoSpaceDN/>
        <w:bidi w:val="0"/>
        <w:adjustRightInd/>
        <w:snapToGrid/>
        <w:spacing w:after="0" w:afterLines="0" w:line="360" w:lineRule="auto"/>
        <w:ind w:firstLine="0" w:firstLineChars="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14:paraId="1B169AF8">
      <w:pPr>
        <w:pStyle w:val="147"/>
        <w:pageBreakBefore w:val="0"/>
        <w:numPr>
          <w:ilvl w:val="0"/>
          <w:numId w:val="0"/>
        </w:numPr>
        <w:kinsoku/>
        <w:wordWrap/>
        <w:overflowPunct/>
        <w:autoSpaceDE/>
        <w:autoSpaceDN/>
        <w:bidi w:val="0"/>
        <w:spacing w:line="360" w:lineRule="auto"/>
        <w:textAlignment w:val="auto"/>
        <w:outlineLvl w:val="3"/>
        <w:rPr>
          <w:rFonts w:hint="eastAsia" w:asciiTheme="minorEastAsia" w:hAnsiTheme="minorEastAsia" w:eastAsiaTheme="minorEastAsia" w:cstheme="minorEastAsia"/>
          <w:sz w:val="28"/>
          <w:szCs w:val="28"/>
        </w:rPr>
      </w:pPr>
      <w:bookmarkStart w:id="2656" w:name="_Toc21423"/>
      <w:bookmarkStart w:id="2657" w:name="_Toc21857"/>
      <w:bookmarkStart w:id="2658" w:name="_Toc2690"/>
      <w:bookmarkStart w:id="2659" w:name="_Toc372"/>
      <w:bookmarkStart w:id="2660" w:name="_Toc20171895"/>
      <w:bookmarkStart w:id="2661" w:name="_Toc32492"/>
      <w:r>
        <w:rPr>
          <w:rFonts w:hint="eastAsia" w:asciiTheme="minorEastAsia" w:hAnsiTheme="minorEastAsia" w:eastAsiaTheme="minorEastAsia" w:cstheme="minorEastAsia"/>
          <w:sz w:val="28"/>
          <w:szCs w:val="28"/>
        </w:rPr>
        <w:t>附件1 《发包人要求》</w:t>
      </w:r>
      <w:bookmarkEnd w:id="2656"/>
      <w:bookmarkEnd w:id="2657"/>
      <w:bookmarkEnd w:id="2658"/>
    </w:p>
    <w:p w14:paraId="4DFA7540">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要求》应尽可能清晰准确，对于可以进行定量评估的工作，《发包人要求》不仅应明确规定其产能、功能、用途、质量、环境、安全，要规定偏离的范围和计算方法，以及检验、试验、试运行的具体要求。对于承包人负责提供的有关设备和服务，对发包人人员进行培训和提供一些消耗品等，在《发包人要求》中应一并明确规定。</w:t>
      </w:r>
    </w:p>
    <w:p w14:paraId="1FF14B8A">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《发包人要求》通常包括但不限于以下内容：</w:t>
      </w:r>
    </w:p>
    <w:p w14:paraId="3FE9892A">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一、功能要求</w:t>
      </w:r>
    </w:p>
    <w:p w14:paraId="3BD4474D">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（一）工程目的</w:t>
      </w:r>
      <w:r>
        <w:rPr>
          <w:rFonts w:hint="eastAsia" w:asciiTheme="minorEastAsia" w:hAnsiTheme="minorEastAsia" w:eastAsiaTheme="minorEastAsia" w:cstheme="minorEastAsia"/>
          <w:sz w:val="28"/>
          <w:szCs w:val="28"/>
          <w:lang w:eastAsia="zh-CN"/>
        </w:rPr>
        <w:t>：</w:t>
      </w:r>
    </w:p>
    <w:p w14:paraId="66E16F43">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u w:val="none"/>
          <w:lang w:val="en-US" w:eastAsia="zh-CN"/>
        </w:rPr>
      </w:pPr>
      <w:r>
        <w:rPr>
          <w:rFonts w:hint="eastAsia" w:asciiTheme="minorEastAsia" w:hAnsiTheme="minorEastAsia" w:eastAsiaTheme="minorEastAsia" w:cstheme="minorEastAsia"/>
          <w:sz w:val="28"/>
          <w:szCs w:val="28"/>
        </w:rPr>
        <w:t>（二）工程规模</w:t>
      </w:r>
      <w:r>
        <w:rPr>
          <w:rFonts w:hint="eastAsia" w:asciiTheme="minorEastAsia" w:hAnsiTheme="minorEastAsia" w:eastAsiaTheme="minorEastAsia" w:cstheme="minorEastAsia"/>
          <w:sz w:val="28"/>
          <w:szCs w:val="28"/>
          <w:u w:val="none"/>
          <w:lang w:val="en-US" w:eastAsia="zh-CN"/>
        </w:rPr>
        <w:t>：</w:t>
      </w:r>
    </w:p>
    <w:p w14:paraId="59768EBC">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二、工程范围</w:t>
      </w:r>
    </w:p>
    <w:p w14:paraId="3F31CD6E">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（一）概述</w:t>
      </w:r>
      <w:r>
        <w:rPr>
          <w:rFonts w:hint="eastAsia" w:asciiTheme="minorEastAsia" w:hAnsiTheme="minorEastAsia" w:eastAsiaTheme="minorEastAsia" w:cstheme="minorEastAsia"/>
          <w:sz w:val="28"/>
          <w:szCs w:val="28"/>
          <w:lang w:eastAsia="zh-CN"/>
        </w:rPr>
        <w:t>：</w:t>
      </w:r>
    </w:p>
    <w:p w14:paraId="0513C89D">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（二）包括的工作</w:t>
      </w:r>
    </w:p>
    <w:p w14:paraId="40EF94C5">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设计、采购、施工范围</w:t>
      </w:r>
    </w:p>
    <w:p w14:paraId="7A640C25">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临时工程的设计与施工范围</w:t>
      </w:r>
    </w:p>
    <w:p w14:paraId="5E5FA744">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竣工验收工作范围</w:t>
      </w:r>
    </w:p>
    <w:p w14:paraId="2F6ADB01">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技术服务工作范围</w:t>
      </w:r>
    </w:p>
    <w:p w14:paraId="1A47711F">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 保修工作范围。</w:t>
      </w:r>
    </w:p>
    <w:p w14:paraId="620263CF">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（三）工作界区</w:t>
      </w:r>
    </w:p>
    <w:p w14:paraId="3306E434">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本项目采用</w:t>
      </w:r>
      <w:r>
        <w:rPr>
          <w:rFonts w:hint="eastAsia" w:asciiTheme="minorEastAsia" w:hAnsiTheme="minorEastAsia" w:eastAsiaTheme="minorEastAsia" w:cstheme="minorEastAsia"/>
          <w:sz w:val="28"/>
          <w:szCs w:val="28"/>
          <w:lang w:val="en-US" w:eastAsia="zh-CN"/>
        </w:rPr>
        <w:t>工程</w:t>
      </w:r>
      <w:r>
        <w:rPr>
          <w:rFonts w:hint="eastAsia" w:asciiTheme="minorEastAsia" w:hAnsiTheme="minorEastAsia" w:eastAsiaTheme="minorEastAsia" w:cstheme="minorEastAsia"/>
          <w:sz w:val="28"/>
          <w:szCs w:val="28"/>
        </w:rPr>
        <w:t>总承包模式。整个项目的起始工作界面为发包人为承包人提供项目的前一阶段工作成果（规划文件、立项文件和发包人已委托完成的初步设计）开始，直至本项目通过竣工验收后</w:t>
      </w:r>
      <w:r>
        <w:rPr>
          <w:rFonts w:hint="eastAsia" w:asciiTheme="minorEastAsia" w:hAnsiTheme="minorEastAsia" w:eastAsiaTheme="minorEastAsia" w:cstheme="minorEastAsia"/>
          <w:sz w:val="28"/>
          <w:szCs w:val="28"/>
          <w:lang w:val="en-US" w:eastAsia="zh-CN"/>
        </w:rPr>
        <w:t>止</w:t>
      </w:r>
      <w:r>
        <w:rPr>
          <w:rFonts w:hint="eastAsia" w:asciiTheme="minorEastAsia" w:hAnsiTheme="minorEastAsia" w:eastAsiaTheme="minorEastAsia" w:cstheme="minorEastAsia"/>
          <w:sz w:val="28"/>
          <w:szCs w:val="28"/>
        </w:rPr>
        <w:t>。</w:t>
      </w:r>
    </w:p>
    <w:p w14:paraId="4A9188DE">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（四）发包人提供的现场条件</w:t>
      </w:r>
    </w:p>
    <w:p w14:paraId="53DAE330">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施工用电。</w:t>
      </w:r>
    </w:p>
    <w:p w14:paraId="24505AFB">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施工用水。</w:t>
      </w:r>
    </w:p>
    <w:p w14:paraId="71B0E2E3">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 施工排水。</w:t>
      </w:r>
    </w:p>
    <w:p w14:paraId="439A4547">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 施工道路。</w:t>
      </w:r>
    </w:p>
    <w:p w14:paraId="1F9487CE">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（五）发包人提供的技术文件</w:t>
      </w:r>
    </w:p>
    <w:p w14:paraId="43FF9E2A">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除另有批准外，承包人的工作需要遵照发包人的下列技术文件</w:t>
      </w:r>
      <w:r>
        <w:rPr>
          <w:rFonts w:hint="eastAsia" w:asciiTheme="minorEastAsia" w:hAnsiTheme="minorEastAsia" w:eastAsiaTheme="minorEastAsia" w:cstheme="minorEastAsia"/>
          <w:sz w:val="28"/>
          <w:szCs w:val="28"/>
          <w:lang w:eastAsia="zh-CN"/>
        </w:rPr>
        <w:t>：</w:t>
      </w:r>
    </w:p>
    <w:p w14:paraId="4BADBEC9">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发包人需求任务书。</w:t>
      </w:r>
    </w:p>
    <w:p w14:paraId="609D2071">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发包人已完成的设计文件。</w:t>
      </w:r>
    </w:p>
    <w:p w14:paraId="08775EE6">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三、工艺安排或要求（如有）</w:t>
      </w:r>
    </w:p>
    <w:p w14:paraId="51504783">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四、时间要求</w:t>
      </w:r>
    </w:p>
    <w:p w14:paraId="04814BFA">
      <w:pPr>
        <w:pageBreakBefore w:val="0"/>
        <w:kinsoku/>
        <w:wordWrap/>
        <w:overflowPunct/>
        <w:bidi w:val="0"/>
        <w:spacing w:before="60" w:beforeLines="25" w:after="60" w:afterLines="25"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（一）开始工作时间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以监理单位发布的开工令为准。</w:t>
      </w:r>
    </w:p>
    <w:p w14:paraId="5C6B1480">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（二）设计完成时间</w:t>
      </w:r>
      <w:r>
        <w:rPr>
          <w:rFonts w:hint="eastAsia" w:asciiTheme="minorEastAsia" w:hAnsiTheme="minorEastAsia" w:eastAsiaTheme="minorEastAsia" w:cstheme="minorEastAsia"/>
          <w:sz w:val="28"/>
          <w:szCs w:val="28"/>
          <w:lang w:eastAsia="zh-CN"/>
        </w:rPr>
        <w:t>：</w:t>
      </w:r>
    </w:p>
    <w:p w14:paraId="1711DDD6">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（三）进度计划</w:t>
      </w:r>
      <w:r>
        <w:rPr>
          <w:rFonts w:hint="eastAsia" w:asciiTheme="minorEastAsia" w:hAnsiTheme="minorEastAsia" w:eastAsiaTheme="minorEastAsia" w:cstheme="minorEastAsia"/>
          <w:sz w:val="28"/>
          <w:szCs w:val="28"/>
          <w:lang w:eastAsia="zh-CN"/>
        </w:rPr>
        <w:t>：具体的施工进度计划按发包人的要求执行。</w:t>
      </w:r>
    </w:p>
    <w:p w14:paraId="141B72BA">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（四）竣工时间</w:t>
      </w:r>
      <w:r>
        <w:rPr>
          <w:rFonts w:hint="eastAsia" w:asciiTheme="minorEastAsia" w:hAnsiTheme="minorEastAsia" w:eastAsiaTheme="minorEastAsia" w:cstheme="minorEastAsia"/>
          <w:sz w:val="28"/>
          <w:szCs w:val="28"/>
          <w:lang w:eastAsia="zh-CN"/>
        </w:rPr>
        <w:t>：具体以发包人的要求为准。</w:t>
      </w:r>
    </w:p>
    <w:p w14:paraId="16D3B18F">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（五）缺陷责任期</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缺陷责任期2年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起算日期自实际</w:t>
      </w:r>
      <w:r>
        <w:rPr>
          <w:rFonts w:hint="eastAsia" w:asciiTheme="minorEastAsia" w:hAnsiTheme="minorEastAsia" w:eastAsiaTheme="minorEastAsia" w:cstheme="minorEastAsia"/>
          <w:sz w:val="28"/>
          <w:szCs w:val="28"/>
          <w:lang w:val="en-US" w:eastAsia="zh-CN"/>
        </w:rPr>
        <w:t>竣</w:t>
      </w:r>
      <w:r>
        <w:rPr>
          <w:rFonts w:hint="eastAsia" w:asciiTheme="minorEastAsia" w:hAnsiTheme="minorEastAsia" w:eastAsiaTheme="minorEastAsia" w:cstheme="minorEastAsia"/>
          <w:sz w:val="28"/>
          <w:szCs w:val="28"/>
        </w:rPr>
        <w:t>工之日起。</w:t>
      </w:r>
    </w:p>
    <w:p w14:paraId="31501F60">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（六）其他时间要求</w:t>
      </w:r>
      <w:r>
        <w:rPr>
          <w:rFonts w:hint="eastAsia" w:asciiTheme="minorEastAsia" w:hAnsiTheme="minorEastAsia" w:eastAsiaTheme="minorEastAsia" w:cstheme="minorEastAsia"/>
          <w:sz w:val="28"/>
          <w:szCs w:val="28"/>
          <w:lang w:eastAsia="zh-CN"/>
        </w:rPr>
        <w:t>：不同分项工程的具体完工时间按发包人的要求执行。</w:t>
      </w:r>
    </w:p>
    <w:p w14:paraId="6C3C4D8F">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五、技术要求</w:t>
      </w:r>
    </w:p>
    <w:p w14:paraId="1D93E692">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（一）设计阶段和设计任务。</w:t>
      </w:r>
    </w:p>
    <w:p w14:paraId="66EECA32">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（二）设计标准和规范。</w:t>
      </w:r>
    </w:p>
    <w:p w14:paraId="264C3B64">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（三）技术标准和要求。</w:t>
      </w:r>
    </w:p>
    <w:p w14:paraId="159EA010">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（四）质量标准。</w:t>
      </w:r>
    </w:p>
    <w:p w14:paraId="18AE0212">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（五）设计、施工和设备监造、试验（如有）。</w:t>
      </w:r>
    </w:p>
    <w:p w14:paraId="444246B0">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（六）样品。</w:t>
      </w:r>
    </w:p>
    <w:p w14:paraId="4FB1695E">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（七）发包人提供的其他条件，如发包人或其委托的第三人提供的设计、工艺包、用于试验检验的工器具等，以及据此对承包人提出的予以配套的要求。</w:t>
      </w:r>
    </w:p>
    <w:p w14:paraId="53B1816C">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六、竣工试验</w:t>
      </w:r>
    </w:p>
    <w:p w14:paraId="4C877036">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（一）第一阶段，如对单车试验等的要求，包括试验前准备。</w:t>
      </w:r>
    </w:p>
    <w:p w14:paraId="4C3E6882">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（二）第二阶段，如对联动试车、投料试车等的要求，包括人员、设备、材料、燃料、电力、消耗品、工具等必要条件。</w:t>
      </w:r>
    </w:p>
    <w:p w14:paraId="0EEDBA84">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（三）第三阶段，如对性能测试及其他竣工试验的要求，包括产能指标、产品质量标准、运营指标、环保指标等。</w:t>
      </w:r>
    </w:p>
    <w:p w14:paraId="311DC0E6">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七、竣工验收</w:t>
      </w:r>
    </w:p>
    <w:p w14:paraId="382D984D">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八、竣工后试验（如有）</w:t>
      </w:r>
    </w:p>
    <w:p w14:paraId="457A9483">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九、文件要求</w:t>
      </w:r>
    </w:p>
    <w:p w14:paraId="37C159FF">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（一）设计文件，及其相关审批、核准、备案要求。</w:t>
      </w:r>
    </w:p>
    <w:p w14:paraId="344D4DFB">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（二）沟通计划。</w:t>
      </w:r>
    </w:p>
    <w:p w14:paraId="12907B27">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（三）风险管理计划。</w:t>
      </w:r>
    </w:p>
    <w:p w14:paraId="16816E76">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（四）竣工文件和工程的其他记录。</w:t>
      </w:r>
    </w:p>
    <w:p w14:paraId="49A72FC7">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（五）操作和维修手册。</w:t>
      </w:r>
    </w:p>
    <w:p w14:paraId="42396D46">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（六）其他承包人文件。</w:t>
      </w:r>
    </w:p>
    <w:p w14:paraId="5DB0DCF8">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十、工程项目管理规定</w:t>
      </w:r>
    </w:p>
    <w:p w14:paraId="382591F9">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（一）质量</w:t>
      </w:r>
      <w:r>
        <w:rPr>
          <w:rFonts w:hint="eastAsia" w:asciiTheme="minorEastAsia" w:hAnsiTheme="minorEastAsia" w:eastAsiaTheme="minorEastAsia" w:cstheme="minorEastAsia"/>
          <w:sz w:val="28"/>
          <w:szCs w:val="28"/>
          <w:lang w:eastAsia="zh-CN"/>
        </w:rPr>
        <w:t>：按招标文件的相关要求执行</w:t>
      </w:r>
    </w:p>
    <w:p w14:paraId="518B6A01">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（二）进度，包括里程碑进度计划（如果有）。</w:t>
      </w:r>
    </w:p>
    <w:p w14:paraId="07143C8D">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（三）支付。</w:t>
      </w:r>
    </w:p>
    <w:p w14:paraId="34B0C2E6">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（四）HSE（健康、安全与环境管理体系）。</w:t>
      </w:r>
    </w:p>
    <w:p w14:paraId="069AF867">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（五）沟通。</w:t>
      </w:r>
    </w:p>
    <w:p w14:paraId="7579F548">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（六）变更。</w:t>
      </w:r>
    </w:p>
    <w:p w14:paraId="12B4A92C">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十一、其他要求</w:t>
      </w:r>
    </w:p>
    <w:p w14:paraId="6A6D1894">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（一）对承包人的主要人员资格要求</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详见招标文件</w:t>
      </w:r>
    </w:p>
    <w:p w14:paraId="78A2B712">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（二）相关审批、核准和备案手续的办理</w:t>
      </w:r>
      <w:r>
        <w:rPr>
          <w:rFonts w:hint="eastAsia" w:asciiTheme="minorEastAsia" w:hAnsiTheme="minorEastAsia" w:eastAsiaTheme="minorEastAsia" w:cstheme="minorEastAsia"/>
          <w:sz w:val="28"/>
          <w:szCs w:val="28"/>
          <w:lang w:eastAsia="zh-CN"/>
        </w:rPr>
        <w:t>：由发包人在签订合同协议书后提供。</w:t>
      </w:r>
    </w:p>
    <w:p w14:paraId="0EC2A728">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（三）对项目业主人员的操作培训。</w:t>
      </w:r>
    </w:p>
    <w:p w14:paraId="1333DDE1">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（四）分包</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不允许违法分包</w:t>
      </w:r>
    </w:p>
    <w:p w14:paraId="71035E80">
      <w:pPr>
        <w:pageBreakBefore w:val="0"/>
        <w:kinsoku/>
        <w:wordWrap/>
        <w:overflowPunct/>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（五）设备</w:t>
      </w:r>
      <w:r>
        <w:rPr>
          <w:rFonts w:hint="eastAsia" w:asciiTheme="minorEastAsia" w:hAnsiTheme="minorEastAsia" w:eastAsiaTheme="minorEastAsia" w:cstheme="minorEastAsia"/>
          <w:sz w:val="28"/>
          <w:szCs w:val="28"/>
          <w:lang w:eastAsia="zh-CN"/>
        </w:rPr>
        <w:t>投标人</w:t>
      </w:r>
      <w:r>
        <w:rPr>
          <w:rFonts w:hint="eastAsia" w:asciiTheme="minorEastAsia" w:hAnsiTheme="minorEastAsia" w:eastAsiaTheme="minorEastAsia" w:cstheme="minorEastAsia"/>
          <w:sz w:val="28"/>
          <w:szCs w:val="28"/>
        </w:rPr>
        <w:t>。</w:t>
      </w:r>
    </w:p>
    <w:p w14:paraId="2D0CC3AD">
      <w:pPr>
        <w:pageBreakBefore w:val="0"/>
        <w:kinsoku/>
        <w:wordWrap/>
        <w:overflowPunct/>
        <w:autoSpaceDE/>
        <w:autoSpaceDN/>
        <w:bidi w:val="0"/>
        <w:spacing w:line="360" w:lineRule="auto"/>
        <w:ind w:left="600" w:firstLine="0" w:firstLineChars="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（六）缺陷责任期的服务要求</w:t>
      </w:r>
      <w:r>
        <w:rPr>
          <w:rFonts w:hint="eastAsia" w:asciiTheme="minorEastAsia" w:hAnsiTheme="minorEastAsia" w:eastAsiaTheme="minorEastAsia" w:cstheme="minorEastAsia"/>
          <w:sz w:val="28"/>
          <w:szCs w:val="28"/>
          <w:lang w:eastAsia="zh-CN"/>
        </w:rPr>
        <w:t>：按招标文件及现行的工程相关管理办法执行。</w:t>
      </w:r>
    </w:p>
    <w:p w14:paraId="5F0A0968">
      <w:pPr>
        <w:pageBreakBefore w:val="0"/>
        <w:kinsoku/>
        <w:wordWrap/>
        <w:overflowPunct/>
        <w:topLinePunct w:val="0"/>
        <w:autoSpaceDE/>
        <w:autoSpaceDN/>
        <w:bidi w:val="0"/>
        <w:adjustRightInd/>
        <w:snapToGrid/>
        <w:spacing w:after="0" w:afterLines="0" w:line="360" w:lineRule="auto"/>
        <w:ind w:firstLine="0" w:firstLineChars="0"/>
        <w:jc w:val="left"/>
        <w:textAlignment w:val="auto"/>
        <w:rPr>
          <w:rFonts w:hint="eastAsia" w:asciiTheme="minorEastAsia" w:hAnsiTheme="minorEastAsia" w:eastAsiaTheme="minorEastAsia" w:cstheme="minorEastAsia"/>
          <w:sz w:val="28"/>
          <w:szCs w:val="28"/>
        </w:rPr>
      </w:pPr>
    </w:p>
    <w:p w14:paraId="379F6BAA">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14:paraId="446432F3">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14:paraId="762EE203">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14:paraId="0226BBAF">
      <w:pPr>
        <w:pStyle w:val="147"/>
        <w:pageBreakBefore w:val="0"/>
        <w:numPr>
          <w:ilvl w:val="0"/>
          <w:numId w:val="0"/>
        </w:numPr>
        <w:kinsoku/>
        <w:wordWrap/>
        <w:overflowPunct/>
        <w:autoSpaceDE/>
        <w:autoSpaceDN/>
        <w:bidi w:val="0"/>
        <w:spacing w:line="360" w:lineRule="auto"/>
        <w:textAlignment w:val="auto"/>
        <w:outlineLvl w:val="9"/>
        <w:rPr>
          <w:rFonts w:hint="eastAsia" w:asciiTheme="minorEastAsia" w:hAnsiTheme="minorEastAsia" w:eastAsiaTheme="minorEastAsia" w:cstheme="minorEastAsia"/>
          <w:sz w:val="28"/>
          <w:szCs w:val="28"/>
        </w:rPr>
        <w:sectPr>
          <w:headerReference r:id="rId8" w:type="default"/>
          <w:footerReference r:id="rId9" w:type="default"/>
          <w:footerReference r:id="rId10" w:type="even"/>
          <w:pgSz w:w="11906" w:h="16838"/>
          <w:pgMar w:top="1418" w:right="1134" w:bottom="1418" w:left="1134" w:header="993" w:footer="943" w:gutter="0"/>
          <w:pgNumType w:fmt="decimal"/>
          <w:cols w:space="425" w:num="1"/>
          <w:docGrid w:linePitch="312" w:charSpace="0"/>
        </w:sectPr>
      </w:pPr>
    </w:p>
    <w:p w14:paraId="46E84D95">
      <w:pPr>
        <w:pStyle w:val="147"/>
        <w:pageBreakBefore w:val="0"/>
        <w:numPr>
          <w:ilvl w:val="0"/>
          <w:numId w:val="0"/>
        </w:numPr>
        <w:kinsoku/>
        <w:wordWrap/>
        <w:overflowPunct/>
        <w:autoSpaceDE/>
        <w:autoSpaceDN/>
        <w:bidi w:val="0"/>
        <w:spacing w:line="360" w:lineRule="auto"/>
        <w:textAlignment w:val="auto"/>
        <w:outlineLvl w:val="3"/>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bookmarkStart w:id="2662" w:name="_Toc23062"/>
      <w:bookmarkStart w:id="2663" w:name="_Toc29791"/>
      <w:bookmarkStart w:id="2664" w:name="_Toc13555"/>
      <w:bookmarkStart w:id="2665" w:name="_Toc16484"/>
      <w:bookmarkStart w:id="2666" w:name="_Toc3036"/>
      <w:bookmarkStart w:id="2667" w:name="_Toc1421"/>
      <w:bookmarkStart w:id="2668" w:name="_Toc15006"/>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附件2 发包人</w:t>
      </w:r>
      <w:r>
        <w:rPr>
          <w:rFonts w:hint="eastAsia" w:asciiTheme="minorEastAsia" w:hAnsiTheme="minorEastAsia" w:eastAsiaTheme="minorEastAsia" w:cstheme="minorEastAsia"/>
          <w:sz w:val="28"/>
          <w:szCs w:val="28"/>
        </w:rPr>
        <w:t>供应</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材料设备一览表</w:t>
      </w:r>
      <w:bookmarkEnd w:id="2662"/>
      <w:bookmarkEnd w:id="2663"/>
      <w:bookmarkEnd w:id="2664"/>
      <w:bookmarkEnd w:id="2665"/>
      <w:bookmarkEnd w:id="2666"/>
      <w:bookmarkEnd w:id="2667"/>
      <w:bookmarkEnd w:id="2668"/>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7BA04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noWrap w:val="0"/>
            <w:vAlign w:val="center"/>
          </w:tcPr>
          <w:p w14:paraId="6D0A1D91">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序号</w:t>
            </w:r>
          </w:p>
        </w:tc>
        <w:tc>
          <w:tcPr>
            <w:tcW w:w="1165" w:type="dxa"/>
            <w:tcBorders>
              <w:top w:val="single" w:color="auto" w:sz="12" w:space="0"/>
              <w:bottom w:val="double" w:color="auto" w:sz="6" w:space="0"/>
            </w:tcBorders>
            <w:noWrap w:val="0"/>
            <w:vAlign w:val="center"/>
          </w:tcPr>
          <w:p w14:paraId="4091F8AB">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材料、设备品种</w:t>
            </w:r>
          </w:p>
        </w:tc>
        <w:tc>
          <w:tcPr>
            <w:tcW w:w="1126" w:type="dxa"/>
            <w:tcBorders>
              <w:top w:val="single" w:color="auto" w:sz="12" w:space="0"/>
              <w:bottom w:val="double" w:color="auto" w:sz="6" w:space="0"/>
            </w:tcBorders>
            <w:noWrap w:val="0"/>
            <w:vAlign w:val="center"/>
          </w:tcPr>
          <w:p w14:paraId="47AED9B3">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规格型号</w:t>
            </w:r>
          </w:p>
        </w:tc>
        <w:tc>
          <w:tcPr>
            <w:tcW w:w="567" w:type="dxa"/>
            <w:tcBorders>
              <w:top w:val="single" w:color="auto" w:sz="12" w:space="0"/>
              <w:bottom w:val="double" w:color="auto" w:sz="6" w:space="0"/>
            </w:tcBorders>
            <w:noWrap w:val="0"/>
            <w:vAlign w:val="center"/>
          </w:tcPr>
          <w:p w14:paraId="231E6DDE">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单位</w:t>
            </w:r>
          </w:p>
        </w:tc>
        <w:tc>
          <w:tcPr>
            <w:tcW w:w="686" w:type="dxa"/>
            <w:tcBorders>
              <w:top w:val="single" w:color="auto" w:sz="12" w:space="0"/>
              <w:bottom w:val="double" w:color="auto" w:sz="6" w:space="0"/>
            </w:tcBorders>
            <w:noWrap w:val="0"/>
            <w:vAlign w:val="center"/>
          </w:tcPr>
          <w:p w14:paraId="16D1819E">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数量</w:t>
            </w:r>
          </w:p>
        </w:tc>
        <w:tc>
          <w:tcPr>
            <w:tcW w:w="992" w:type="dxa"/>
            <w:tcBorders>
              <w:top w:val="single" w:color="auto" w:sz="12" w:space="0"/>
              <w:bottom w:val="double" w:color="auto" w:sz="6" w:space="0"/>
            </w:tcBorders>
            <w:noWrap w:val="0"/>
            <w:vAlign w:val="center"/>
          </w:tcPr>
          <w:p w14:paraId="54A30B08">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单价（元）</w:t>
            </w:r>
          </w:p>
        </w:tc>
        <w:tc>
          <w:tcPr>
            <w:tcW w:w="1134" w:type="dxa"/>
            <w:tcBorders>
              <w:top w:val="single" w:color="auto" w:sz="12" w:space="0"/>
              <w:bottom w:val="double" w:color="auto" w:sz="6" w:space="0"/>
            </w:tcBorders>
            <w:noWrap w:val="0"/>
            <w:vAlign w:val="center"/>
          </w:tcPr>
          <w:p w14:paraId="2A4EE2F6">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质量等级</w:t>
            </w:r>
          </w:p>
        </w:tc>
        <w:tc>
          <w:tcPr>
            <w:tcW w:w="1134" w:type="dxa"/>
            <w:tcBorders>
              <w:top w:val="single" w:color="auto" w:sz="12" w:space="0"/>
              <w:bottom w:val="double" w:color="auto" w:sz="6" w:space="0"/>
            </w:tcBorders>
            <w:noWrap w:val="0"/>
            <w:vAlign w:val="center"/>
          </w:tcPr>
          <w:p w14:paraId="6ECD98E9">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供应时间</w:t>
            </w:r>
          </w:p>
        </w:tc>
        <w:tc>
          <w:tcPr>
            <w:tcW w:w="1134" w:type="dxa"/>
            <w:tcBorders>
              <w:top w:val="single" w:color="auto" w:sz="12" w:space="0"/>
              <w:bottom w:val="double" w:color="auto" w:sz="6" w:space="0"/>
            </w:tcBorders>
            <w:noWrap w:val="0"/>
            <w:vAlign w:val="center"/>
          </w:tcPr>
          <w:p w14:paraId="2FE35A31">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送达地点</w:t>
            </w:r>
          </w:p>
        </w:tc>
        <w:tc>
          <w:tcPr>
            <w:tcW w:w="709" w:type="dxa"/>
            <w:tcBorders>
              <w:top w:val="single" w:color="auto" w:sz="12" w:space="0"/>
              <w:bottom w:val="double" w:color="auto" w:sz="6" w:space="0"/>
            </w:tcBorders>
            <w:noWrap w:val="0"/>
            <w:vAlign w:val="center"/>
          </w:tcPr>
          <w:p w14:paraId="223ECD16">
            <w:pPr>
              <w:adjustRightInd w:val="0"/>
              <w:snapToGrid w:val="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备注</w:t>
            </w:r>
          </w:p>
        </w:tc>
      </w:tr>
      <w:tr w14:paraId="39A034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noWrap w:val="0"/>
            <w:vAlign w:val="center"/>
          </w:tcPr>
          <w:p w14:paraId="0F7AB42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tcBorders>
              <w:top w:val="double" w:color="auto" w:sz="6" w:space="0"/>
              <w:bottom w:val="single" w:color="auto" w:sz="6" w:space="0"/>
            </w:tcBorders>
            <w:noWrap w:val="0"/>
            <w:vAlign w:val="center"/>
          </w:tcPr>
          <w:p w14:paraId="3F0B1DB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tcBorders>
              <w:top w:val="double" w:color="auto" w:sz="6" w:space="0"/>
              <w:bottom w:val="single" w:color="auto" w:sz="6" w:space="0"/>
            </w:tcBorders>
            <w:noWrap w:val="0"/>
            <w:vAlign w:val="center"/>
          </w:tcPr>
          <w:p w14:paraId="664975E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tcBorders>
              <w:top w:val="double" w:color="auto" w:sz="6" w:space="0"/>
              <w:bottom w:val="single" w:color="auto" w:sz="6" w:space="0"/>
            </w:tcBorders>
            <w:noWrap w:val="0"/>
            <w:vAlign w:val="center"/>
          </w:tcPr>
          <w:p w14:paraId="2F5A8FC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tcBorders>
              <w:top w:val="double" w:color="auto" w:sz="6" w:space="0"/>
              <w:bottom w:val="single" w:color="auto" w:sz="6" w:space="0"/>
            </w:tcBorders>
            <w:noWrap w:val="0"/>
            <w:vAlign w:val="center"/>
          </w:tcPr>
          <w:p w14:paraId="1038F57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tcBorders>
              <w:top w:val="double" w:color="auto" w:sz="6" w:space="0"/>
              <w:bottom w:val="single" w:color="auto" w:sz="6" w:space="0"/>
            </w:tcBorders>
            <w:noWrap w:val="0"/>
            <w:vAlign w:val="top"/>
          </w:tcPr>
          <w:p w14:paraId="2A29B65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tcBorders>
              <w:top w:val="double" w:color="auto" w:sz="6" w:space="0"/>
              <w:bottom w:val="single" w:color="auto" w:sz="6" w:space="0"/>
            </w:tcBorders>
            <w:noWrap w:val="0"/>
            <w:vAlign w:val="center"/>
          </w:tcPr>
          <w:p w14:paraId="5F9B037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tcBorders>
              <w:top w:val="double" w:color="auto" w:sz="6" w:space="0"/>
              <w:bottom w:val="single" w:color="auto" w:sz="6" w:space="0"/>
            </w:tcBorders>
            <w:noWrap w:val="0"/>
            <w:vAlign w:val="center"/>
          </w:tcPr>
          <w:p w14:paraId="2F14486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tcBorders>
              <w:top w:val="double" w:color="auto" w:sz="6" w:space="0"/>
              <w:bottom w:val="single" w:color="auto" w:sz="6" w:space="0"/>
            </w:tcBorders>
            <w:noWrap w:val="0"/>
            <w:vAlign w:val="center"/>
          </w:tcPr>
          <w:p w14:paraId="77037B8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tcBorders>
              <w:top w:val="double" w:color="auto" w:sz="6" w:space="0"/>
              <w:bottom w:val="single" w:color="auto" w:sz="6" w:space="0"/>
            </w:tcBorders>
            <w:noWrap w:val="0"/>
            <w:vAlign w:val="center"/>
          </w:tcPr>
          <w:p w14:paraId="77DB3AF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22D70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noWrap w:val="0"/>
            <w:vAlign w:val="center"/>
          </w:tcPr>
          <w:p w14:paraId="65CA3E0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tcBorders>
              <w:top w:val="nil"/>
            </w:tcBorders>
            <w:noWrap w:val="0"/>
            <w:vAlign w:val="center"/>
          </w:tcPr>
          <w:p w14:paraId="664D5FA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tcBorders>
              <w:top w:val="nil"/>
            </w:tcBorders>
            <w:noWrap w:val="0"/>
            <w:vAlign w:val="center"/>
          </w:tcPr>
          <w:p w14:paraId="451A509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tcBorders>
              <w:top w:val="nil"/>
            </w:tcBorders>
            <w:noWrap w:val="0"/>
            <w:vAlign w:val="center"/>
          </w:tcPr>
          <w:p w14:paraId="27BBAF5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tcBorders>
              <w:top w:val="nil"/>
            </w:tcBorders>
            <w:noWrap w:val="0"/>
            <w:vAlign w:val="center"/>
          </w:tcPr>
          <w:p w14:paraId="5358C44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tcBorders>
              <w:top w:val="nil"/>
            </w:tcBorders>
            <w:noWrap w:val="0"/>
            <w:vAlign w:val="top"/>
          </w:tcPr>
          <w:p w14:paraId="444CEB8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tcBorders>
              <w:top w:val="nil"/>
            </w:tcBorders>
            <w:noWrap w:val="0"/>
            <w:vAlign w:val="center"/>
          </w:tcPr>
          <w:p w14:paraId="17198D1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tcBorders>
              <w:top w:val="nil"/>
            </w:tcBorders>
            <w:noWrap w:val="0"/>
            <w:vAlign w:val="center"/>
          </w:tcPr>
          <w:p w14:paraId="39A0116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tcBorders>
              <w:top w:val="nil"/>
            </w:tcBorders>
            <w:noWrap w:val="0"/>
            <w:vAlign w:val="center"/>
          </w:tcPr>
          <w:p w14:paraId="0288652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tcBorders>
              <w:top w:val="nil"/>
            </w:tcBorders>
            <w:noWrap w:val="0"/>
            <w:vAlign w:val="center"/>
          </w:tcPr>
          <w:p w14:paraId="27E34A6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51B885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028827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78592B6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7ECEAF3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2583268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16E9998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28AD74F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6C4644E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7DBE251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4643515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567F61D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2705FD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72D65C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1EBA402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66E4C2A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6E8B710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470BF7B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78748F4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5AFE2F0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94EC9B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550E3B6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6269436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7D2AF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42A8EE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0690FDF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08A2C26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79F6BE2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70D59D4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276D7A3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4EB858B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6ACE2EC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12C958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13C25B0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556737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56E7CD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17996A4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5A8BC58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0EC8A03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1290E24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05DF58A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6BBCF91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269ED1D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620142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29001EC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5640B5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7EEE32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1D597BE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74BE6F3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494CAE2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402CF50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41A0425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4B3ED8E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087D8B0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472F016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5E01428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1D24C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97E865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2378791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616DE07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58B8A69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7107EB8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2CFB26E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73E8B9F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D29EEE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3B32169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7E9A4D9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4248A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4294AE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3310A67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0306E90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55B2FC4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0B8A90E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12764F0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9F7020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6889B38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4ED6C06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4DB0249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22998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07E9BF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07FAFA0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4A88A15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0C00AE1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4EA8555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44D9A16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2EC2BB6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2F739B9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3D0467B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4B60E2C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01BD9F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EE35FD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58FF2A9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4A0398C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0C14AD2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23A7D6D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5180E61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6B89542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B92D11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2CE69E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626A1F2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3570B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98A561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0A7C8F5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76CEF34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515E399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5D0EDA0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63C6521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0521157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71D85B8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53A5FC5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0C78C0C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0847B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01A01A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49ED3ED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1D710F2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3F1707B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0B7B628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2F7056E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3B2EB9D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0E3A5D3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C54F23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1E8F259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184D0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2D0B2D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32AEFC8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1F6D104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2D20F74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09E6825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1A48D42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64F7700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1C3DEA2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6E627DF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41932B6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62DB4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FC8600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65" w:type="dxa"/>
            <w:noWrap w:val="0"/>
            <w:vAlign w:val="center"/>
          </w:tcPr>
          <w:p w14:paraId="28D48C8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26" w:type="dxa"/>
            <w:noWrap w:val="0"/>
            <w:vAlign w:val="center"/>
          </w:tcPr>
          <w:p w14:paraId="332C762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567" w:type="dxa"/>
            <w:noWrap w:val="0"/>
            <w:vAlign w:val="center"/>
          </w:tcPr>
          <w:p w14:paraId="4837987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686" w:type="dxa"/>
            <w:noWrap w:val="0"/>
            <w:vAlign w:val="center"/>
          </w:tcPr>
          <w:p w14:paraId="2611DF0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992" w:type="dxa"/>
            <w:noWrap w:val="0"/>
            <w:vAlign w:val="top"/>
          </w:tcPr>
          <w:p w14:paraId="2CD7D79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4BE28C0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218562F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134" w:type="dxa"/>
            <w:noWrap w:val="0"/>
            <w:vAlign w:val="center"/>
          </w:tcPr>
          <w:p w14:paraId="2B4BBCD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709" w:type="dxa"/>
            <w:noWrap w:val="0"/>
            <w:vAlign w:val="center"/>
          </w:tcPr>
          <w:p w14:paraId="7F3008B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bl>
    <w:p w14:paraId="63472E1C">
      <w:pPr>
        <w:bidi w:val="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43F957AF">
      <w:pPr>
        <w:pStyle w:val="147"/>
        <w:pageBreakBefore w:val="0"/>
        <w:numPr>
          <w:ilvl w:val="0"/>
          <w:numId w:val="0"/>
        </w:numPr>
        <w:kinsoku/>
        <w:wordWrap/>
        <w:overflowPunct/>
        <w:autoSpaceDE/>
        <w:autoSpaceDN/>
        <w:bidi w:val="0"/>
        <w:spacing w:line="360" w:lineRule="auto"/>
        <w:textAlignment w:val="auto"/>
        <w:outlineLvl w:val="9"/>
        <w:rPr>
          <w:rFonts w:hint="eastAsia" w:asciiTheme="minorEastAsia" w:hAnsiTheme="minorEastAsia" w:eastAsiaTheme="minorEastAsia" w:cstheme="minorEastAsia"/>
          <w:sz w:val="28"/>
          <w:szCs w:val="28"/>
        </w:rPr>
        <w:sectPr>
          <w:pgSz w:w="11906" w:h="16838"/>
          <w:pgMar w:top="1418" w:right="1134" w:bottom="1418" w:left="1134" w:header="993" w:footer="943" w:gutter="0"/>
          <w:pgNumType w:fmt="decimal"/>
          <w:cols w:space="425" w:num="1"/>
          <w:docGrid w:linePitch="312" w:charSpace="0"/>
        </w:sectPr>
      </w:pPr>
    </w:p>
    <w:p w14:paraId="062EF378">
      <w:pPr>
        <w:pStyle w:val="147"/>
        <w:pageBreakBefore w:val="0"/>
        <w:numPr>
          <w:ilvl w:val="0"/>
          <w:numId w:val="0"/>
        </w:numPr>
        <w:kinsoku/>
        <w:wordWrap/>
        <w:overflowPunct/>
        <w:autoSpaceDE/>
        <w:autoSpaceDN/>
        <w:bidi w:val="0"/>
        <w:spacing w:line="360" w:lineRule="auto"/>
        <w:textAlignment w:val="auto"/>
        <w:outlineLvl w:val="3"/>
        <w:rPr>
          <w:rFonts w:hint="eastAsia" w:asciiTheme="minorEastAsia" w:hAnsiTheme="minorEastAsia" w:eastAsiaTheme="minorEastAsia" w:cstheme="minorEastAsia"/>
          <w:sz w:val="28"/>
          <w:szCs w:val="28"/>
        </w:rPr>
      </w:pPr>
      <w:bookmarkStart w:id="2669" w:name="_Toc9325"/>
      <w:bookmarkStart w:id="2670" w:name="_Toc13015"/>
      <w:bookmarkStart w:id="2671" w:name="_Toc30635"/>
      <w:r>
        <w:rPr>
          <w:rFonts w:hint="eastAsia" w:asciiTheme="minorEastAsia" w:hAnsiTheme="minorEastAsia" w:eastAsiaTheme="minorEastAsia" w:cstheme="minorEastAsia"/>
          <w:sz w:val="28"/>
          <w:szCs w:val="28"/>
        </w:rPr>
        <w:t>附件</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 xml:space="preserve"> 工程质量保修书</w:t>
      </w:r>
      <w:bookmarkEnd w:id="2659"/>
      <w:bookmarkEnd w:id="2660"/>
      <w:bookmarkEnd w:id="2661"/>
      <w:bookmarkEnd w:id="2669"/>
      <w:bookmarkEnd w:id="2670"/>
      <w:bookmarkEnd w:id="2671"/>
    </w:p>
    <w:p w14:paraId="29C7F95B">
      <w:pPr>
        <w:pageBreakBefore w:val="0"/>
        <w:kinsoku/>
        <w:wordWrap/>
        <w:overflowPunct/>
        <w:topLinePunct w:val="0"/>
        <w:autoSpaceDE/>
        <w:autoSpaceDN/>
        <w:bidi w:val="0"/>
        <w:spacing w:line="360" w:lineRule="auto"/>
        <w:ind w:firstLine="0" w:firstLineChars="0"/>
        <w:textAlignment w:val="auto"/>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发包人（全称）：</w:t>
      </w:r>
      <w:r>
        <w:rPr>
          <w:rFonts w:hint="eastAsia" w:asciiTheme="minorEastAsia" w:hAnsiTheme="minorEastAsia" w:eastAsiaTheme="minorEastAsia" w:cstheme="minorEastAsia"/>
          <w:sz w:val="28"/>
          <w:szCs w:val="28"/>
          <w:u w:val="single"/>
          <w:lang w:val="en-US" w:eastAsia="zh-CN"/>
        </w:rPr>
        <w:t xml:space="preserve">                                  </w:t>
      </w:r>
    </w:p>
    <w:p w14:paraId="0B7A41AF">
      <w:pPr>
        <w:pageBreakBefore w:val="0"/>
        <w:kinsoku/>
        <w:wordWrap/>
        <w:overflowPunct/>
        <w:topLinePunct w:val="0"/>
        <w:autoSpaceDE/>
        <w:autoSpaceDN/>
        <w:bidi w:val="0"/>
        <w:spacing w:line="360" w:lineRule="auto"/>
        <w:ind w:firstLine="0" w:firstLineChars="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承包人（全称）：</w:t>
      </w:r>
      <w:r>
        <w:rPr>
          <w:rFonts w:hint="eastAsia" w:asciiTheme="minorEastAsia" w:hAnsiTheme="minorEastAsia" w:eastAsiaTheme="minorEastAsia" w:cstheme="minorEastAsia"/>
          <w:sz w:val="28"/>
          <w:szCs w:val="28"/>
          <w:u w:val="single"/>
        </w:rPr>
        <w:t xml:space="preserve">                                  </w:t>
      </w:r>
    </w:p>
    <w:p w14:paraId="2365593C">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发包人和承包人根据《中华人民共和国建筑法》和《建设工程质量管理条例》，经协商一致就</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（工程全称）订立工程质量保修书。</w:t>
      </w:r>
    </w:p>
    <w:p w14:paraId="34F9341A">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一、工程质量保修范围和内容</w:t>
      </w:r>
    </w:p>
    <w:p w14:paraId="0E1905B8">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承包人在质量保修期内，按照有关法律规定和合同约定，承担工程质量保修责任。</w:t>
      </w:r>
    </w:p>
    <w:p w14:paraId="4B28573F">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inorEastAsia" w:hAnsiTheme="minorEastAsia" w:eastAsiaTheme="minorEastAsia" w:cstheme="minorEastAsia"/>
          <w:sz w:val="28"/>
          <w:szCs w:val="28"/>
          <w:u w:val="single"/>
        </w:rPr>
        <w:t>施工范围内的所有工程内容均属保修范围。保修费用由造成质量缺陷的责任方承担。承包方承建的工程范围，属于施工质量造成的问题承包方应及时组织维护，所发生的费用由承包方</w:t>
      </w:r>
      <w:r>
        <w:rPr>
          <w:rFonts w:hint="eastAsia" w:asciiTheme="minorEastAsia" w:hAnsiTheme="minorEastAsia" w:eastAsiaTheme="minorEastAsia" w:cstheme="minorEastAsia"/>
          <w:sz w:val="28"/>
          <w:szCs w:val="28"/>
          <w:u w:val="single"/>
          <w:lang w:val="en-US" w:eastAsia="zh-CN"/>
        </w:rPr>
        <w:t>承担</w:t>
      </w:r>
      <w:r>
        <w:rPr>
          <w:rFonts w:hint="eastAsia" w:asciiTheme="minorEastAsia" w:hAnsiTheme="minorEastAsia" w:eastAsiaTheme="minorEastAsia" w:cstheme="minorEastAsia"/>
          <w:sz w:val="28"/>
          <w:szCs w:val="28"/>
        </w:rPr>
        <w:t>。</w:t>
      </w:r>
    </w:p>
    <w:p w14:paraId="0A555AE4">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二、质量保修期</w:t>
      </w:r>
    </w:p>
    <w:p w14:paraId="06B14889">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根据《建设工程质量管理条例》及有关规定，工程的质量保修期如下：</w:t>
      </w:r>
    </w:p>
    <w:p w14:paraId="60E53ACB">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1．地基基础工程和主体结构工程为设计文件规定的工程合理使用年限；</w:t>
      </w:r>
    </w:p>
    <w:p w14:paraId="6D348090">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2．屋面防水工程、有防水要求的卫生间、房间和外墙面的防渗为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p>
    <w:p w14:paraId="099E82B9">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3．装修工程为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p>
    <w:p w14:paraId="2955A604">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4．电气管线、给排水管道、设备安装工程为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p>
    <w:p w14:paraId="27A9BA50">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5．供热与供冷系统为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个采暖期、供冷期；</w:t>
      </w:r>
    </w:p>
    <w:p w14:paraId="433A4124">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6．住宅小区内的给排水设施、道路等配套工程为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p>
    <w:p w14:paraId="0F9EFFF1">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7．其他项目保修期限约定如下：</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p>
    <w:p w14:paraId="4D45F9FC">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质量保修期自工程竣工验收合格之日起计算。</w:t>
      </w:r>
    </w:p>
    <w:p w14:paraId="05A135C3">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三、缺陷责任期</w:t>
      </w:r>
    </w:p>
    <w:p w14:paraId="39FEE8D9">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highlight w:val="none"/>
        </w:rPr>
        <w:t>工程缺陷责任期为</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个月，缺陷责</w:t>
      </w:r>
      <w:r>
        <w:rPr>
          <w:rFonts w:hint="eastAsia" w:asciiTheme="minorEastAsia" w:hAnsiTheme="minorEastAsia" w:eastAsiaTheme="minorEastAsia" w:cstheme="minorEastAsia"/>
          <w:sz w:val="28"/>
          <w:szCs w:val="28"/>
        </w:rPr>
        <w:t>任期自工程通过竣工验收之日起计算。单位/区段工程先于全部工程进行验收，单位/区段工程缺陷责任期自单位/区段工程验收合格之日起算。</w:t>
      </w:r>
    </w:p>
    <w:p w14:paraId="7AA44F7D">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缺陷责任期终止后，发包人应返还剩余的质量保证金。</w:t>
      </w:r>
    </w:p>
    <w:p w14:paraId="31483857">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四、质量保修责任</w:t>
      </w:r>
    </w:p>
    <w:p w14:paraId="3F7F926C">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rPr>
        <w:t>属于保修范围、内容的项目，承包人应当在接到保修通知之日起7天内派人保修。承包人不在约定期限内派人保修的，发包人可以委托他人修理。</w:t>
      </w:r>
    </w:p>
    <w:p w14:paraId="4B8C33A9">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2.</w:t>
      </w:r>
      <w:r>
        <w:rPr>
          <w:rFonts w:hint="eastAsia" w:asciiTheme="minorEastAsia" w:hAnsiTheme="minorEastAsia" w:eastAsiaTheme="minorEastAsia" w:cstheme="minorEastAsia"/>
          <w:sz w:val="28"/>
          <w:szCs w:val="28"/>
        </w:rPr>
        <w:t>发生紧急事故需抢修的，承包人在接到事故通知后，应当立即到达事故现场抢修。</w:t>
      </w:r>
    </w:p>
    <w:p w14:paraId="5883BE07">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3.</w:t>
      </w:r>
      <w:r>
        <w:rPr>
          <w:rFonts w:hint="eastAsia" w:asciiTheme="minorEastAsia" w:hAnsiTheme="minorEastAsia" w:eastAsiaTheme="minorEastAsia" w:cstheme="minorEastAsia"/>
          <w:sz w:val="28"/>
          <w:szCs w:val="28"/>
        </w:rPr>
        <w:t>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215A7C65">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4.</w:t>
      </w:r>
      <w:r>
        <w:rPr>
          <w:rFonts w:hint="eastAsia" w:asciiTheme="minorEastAsia" w:hAnsiTheme="minorEastAsia" w:eastAsiaTheme="minorEastAsia" w:cstheme="minorEastAsia"/>
          <w:sz w:val="28"/>
          <w:szCs w:val="28"/>
        </w:rPr>
        <w:t>质量保修完成后，由发包人组织验收。</w:t>
      </w:r>
    </w:p>
    <w:p w14:paraId="2D360F83">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五、保修费用</w:t>
      </w:r>
    </w:p>
    <w:p w14:paraId="5D6672F7">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保修费用由造成质量缺陷的责任方承担。</w:t>
      </w:r>
    </w:p>
    <w:p w14:paraId="0D39C779">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六、双方约定的其他工程质量保修事项：</w:t>
      </w:r>
      <w:r>
        <w:rPr>
          <w:rFonts w:hint="eastAsia" w:asciiTheme="minorEastAsia" w:hAnsiTheme="minorEastAsia" w:eastAsiaTheme="minorEastAsia" w:cstheme="minorEastAsia"/>
          <w:sz w:val="28"/>
          <w:szCs w:val="28"/>
          <w:u w:val="single"/>
          <w:lang w:val="en-US" w:eastAsia="zh-CN"/>
        </w:rPr>
        <w:t>无</w:t>
      </w:r>
      <w:r>
        <w:rPr>
          <w:rFonts w:hint="eastAsia" w:asciiTheme="minorEastAsia" w:hAnsiTheme="minorEastAsia" w:eastAsiaTheme="minorEastAsia" w:cstheme="minorEastAsia"/>
          <w:sz w:val="28"/>
          <w:szCs w:val="28"/>
        </w:rPr>
        <w:t>。</w:t>
      </w:r>
    </w:p>
    <w:p w14:paraId="01526A42">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工程质量保修书由发包人、承包人在工程竣工验收前共同签署，作为工程总承包合同附件，其有效期限至保修期满。</w:t>
      </w:r>
    </w:p>
    <w:p w14:paraId="1B37B8F5">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p>
    <w:p w14:paraId="444D431A">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发包人</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公章</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承包人</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公章</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xml:space="preserve">：          </w:t>
      </w:r>
    </w:p>
    <w:p w14:paraId="2F43847D">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                     地  址：       </w:t>
      </w:r>
    </w:p>
    <w:p w14:paraId="6E7DA05A">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签字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法定代表人</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签字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xml:space="preserve">：       </w:t>
      </w:r>
    </w:p>
    <w:p w14:paraId="21BE1667">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委托代理人</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签字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委托代理人</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签字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 xml:space="preserve">：       </w:t>
      </w:r>
    </w:p>
    <w:p w14:paraId="3A079A45">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                     电  话：</w:t>
      </w:r>
    </w:p>
    <w:p w14:paraId="3C30FD95">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传  真：                     传  真：  </w:t>
      </w:r>
    </w:p>
    <w:p w14:paraId="751545A9">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开户银行：                   开户银行：</w:t>
      </w:r>
    </w:p>
    <w:p w14:paraId="38DFEBCE">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账  号：                     账  号： </w:t>
      </w:r>
    </w:p>
    <w:p w14:paraId="578FE8BF">
      <w:pPr>
        <w:pageBreakBefore w:val="0"/>
        <w:kinsoku/>
        <w:wordWrap/>
        <w:overflowPunct/>
        <w:topLinePunct w:val="0"/>
        <w:autoSpaceDE/>
        <w:autoSpaceDN/>
        <w:bidi w:val="0"/>
        <w:spacing w:line="360" w:lineRule="auto"/>
        <w:ind w:firstLine="6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邮政编码：                   邮政编码：   </w:t>
      </w:r>
    </w:p>
    <w:p w14:paraId="70960222">
      <w:pPr>
        <w:pageBreakBefore w:val="0"/>
        <w:kinsoku/>
        <w:wordWrap/>
        <w:overflowPunct/>
        <w:topLinePunct w:val="0"/>
        <w:autoSpaceDE/>
        <w:autoSpaceDN/>
        <w:bidi w:val="0"/>
        <w:adjustRightInd/>
        <w:snapToGrid/>
        <w:spacing w:after="0" w:afterLines="0" w:line="360" w:lineRule="auto"/>
        <w:ind w:firstLine="0" w:firstLineChars="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14:paraId="235D8E94">
      <w:pPr>
        <w:pStyle w:val="147"/>
        <w:numPr>
          <w:ilvl w:val="0"/>
          <w:numId w:val="0"/>
        </w:numPr>
        <w:outlineLvl w:val="9"/>
        <w:rPr>
          <w:rFonts w:hint="eastAsia" w:asciiTheme="minorEastAsia" w:hAnsiTheme="minorEastAsia" w:eastAsiaTheme="minorEastAsia" w:cstheme="minorEastAsia"/>
          <w:sz w:val="28"/>
          <w:szCs w:val="28"/>
        </w:rPr>
        <w:sectPr>
          <w:pgSz w:w="11906" w:h="16838"/>
          <w:pgMar w:top="1418" w:right="1134" w:bottom="1418" w:left="1134" w:header="993" w:footer="943" w:gutter="0"/>
          <w:pgNumType w:fmt="decimal"/>
          <w:cols w:space="425" w:num="1"/>
          <w:docGrid w:linePitch="312" w:charSpace="0"/>
        </w:sectPr>
      </w:pPr>
      <w:bookmarkStart w:id="2672" w:name="_Toc23798"/>
      <w:bookmarkStart w:id="2673" w:name="_Toc25686"/>
      <w:bookmarkStart w:id="2674" w:name="_Toc20171897"/>
    </w:p>
    <w:p w14:paraId="35D20A80">
      <w:pPr>
        <w:pStyle w:val="147"/>
        <w:pageBreakBefore w:val="0"/>
        <w:numPr>
          <w:ilvl w:val="0"/>
          <w:numId w:val="0"/>
        </w:numPr>
        <w:kinsoku/>
        <w:wordWrap/>
        <w:overflowPunct/>
        <w:autoSpaceDE/>
        <w:autoSpaceDN/>
        <w:bidi w:val="0"/>
        <w:spacing w:line="360" w:lineRule="auto"/>
        <w:textAlignment w:val="auto"/>
        <w:outlineLvl w:val="3"/>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bookmarkStart w:id="2675" w:name="_Toc12510"/>
      <w:bookmarkStart w:id="2676" w:name="_Toc6253"/>
      <w:bookmarkStart w:id="2677" w:name="_Toc6950"/>
      <w:bookmarkStart w:id="2678" w:name="_Toc30773"/>
      <w:bookmarkStart w:id="2679" w:name="_Toc22520"/>
      <w:bookmarkStart w:id="2680" w:name="_Toc18467"/>
      <w:bookmarkStart w:id="2681" w:name="_Toc27370"/>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附件4 主要</w:t>
      </w:r>
      <w:r>
        <w:rPr>
          <w:rFonts w:hint="eastAsia" w:asciiTheme="minorEastAsia" w:hAnsiTheme="minorEastAsia" w:eastAsiaTheme="minorEastAsia" w:cstheme="minorEastAsia"/>
          <w:sz w:val="28"/>
          <w:szCs w:val="28"/>
          <w:lang w:val="en-US" w:eastAsia="zh-CN"/>
        </w:rPr>
        <w:t>建设</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工程文件目录</w:t>
      </w:r>
      <w:bookmarkEnd w:id="2675"/>
      <w:bookmarkEnd w:id="2676"/>
      <w:bookmarkEnd w:id="2677"/>
      <w:bookmarkEnd w:id="2678"/>
      <w:bookmarkEnd w:id="2679"/>
      <w:bookmarkEnd w:id="2680"/>
      <w:bookmarkEnd w:id="2681"/>
    </w:p>
    <w:tbl>
      <w:tblPr>
        <w:tblStyle w:val="45"/>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622ACC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noWrap w:val="0"/>
            <w:vAlign w:val="center"/>
          </w:tcPr>
          <w:p w14:paraId="55E2F3D7">
            <w:pPr>
              <w:adjustRightInd w:val="0"/>
              <w:snapToGrid w:val="0"/>
              <w:spacing w:line="360" w:lineRule="auto"/>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文件名称</w:t>
            </w:r>
          </w:p>
        </w:tc>
        <w:tc>
          <w:tcPr>
            <w:tcW w:w="1276" w:type="dxa"/>
            <w:tcBorders>
              <w:top w:val="single" w:color="auto" w:sz="12" w:space="0"/>
              <w:bottom w:val="double" w:color="auto" w:sz="6" w:space="0"/>
            </w:tcBorders>
            <w:noWrap w:val="0"/>
            <w:vAlign w:val="center"/>
          </w:tcPr>
          <w:p w14:paraId="515EB900">
            <w:pPr>
              <w:adjustRightInd w:val="0"/>
              <w:snapToGrid w:val="0"/>
              <w:spacing w:line="360" w:lineRule="auto"/>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套数</w:t>
            </w:r>
          </w:p>
        </w:tc>
        <w:tc>
          <w:tcPr>
            <w:tcW w:w="1450" w:type="dxa"/>
            <w:tcBorders>
              <w:top w:val="single" w:color="auto" w:sz="12" w:space="0"/>
              <w:bottom w:val="double" w:color="auto" w:sz="6" w:space="0"/>
            </w:tcBorders>
            <w:noWrap w:val="0"/>
            <w:vAlign w:val="center"/>
          </w:tcPr>
          <w:p w14:paraId="1BB7CA70">
            <w:pPr>
              <w:adjustRightInd w:val="0"/>
              <w:snapToGrid w:val="0"/>
              <w:spacing w:line="360" w:lineRule="auto"/>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费用（元）</w:t>
            </w:r>
          </w:p>
        </w:tc>
        <w:tc>
          <w:tcPr>
            <w:tcW w:w="1243" w:type="dxa"/>
            <w:tcBorders>
              <w:top w:val="single" w:color="auto" w:sz="12" w:space="0"/>
              <w:bottom w:val="double" w:color="auto" w:sz="6" w:space="0"/>
            </w:tcBorders>
            <w:noWrap w:val="0"/>
            <w:vAlign w:val="center"/>
          </w:tcPr>
          <w:p w14:paraId="44111D0B">
            <w:pPr>
              <w:adjustRightInd w:val="0"/>
              <w:snapToGrid w:val="0"/>
              <w:spacing w:line="360" w:lineRule="auto"/>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质量</w:t>
            </w:r>
          </w:p>
        </w:tc>
        <w:tc>
          <w:tcPr>
            <w:tcW w:w="1450" w:type="dxa"/>
            <w:tcBorders>
              <w:top w:val="single" w:color="auto" w:sz="12" w:space="0"/>
              <w:bottom w:val="double" w:color="auto" w:sz="6" w:space="0"/>
            </w:tcBorders>
            <w:noWrap w:val="0"/>
            <w:vAlign w:val="top"/>
          </w:tcPr>
          <w:p w14:paraId="050C3517">
            <w:pPr>
              <w:adjustRightInd w:val="0"/>
              <w:snapToGrid w:val="0"/>
              <w:spacing w:line="360" w:lineRule="auto"/>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移交时间</w:t>
            </w:r>
          </w:p>
        </w:tc>
        <w:tc>
          <w:tcPr>
            <w:tcW w:w="1670" w:type="dxa"/>
            <w:tcBorders>
              <w:top w:val="single" w:color="auto" w:sz="12" w:space="0"/>
              <w:bottom w:val="double" w:color="auto" w:sz="6" w:space="0"/>
            </w:tcBorders>
            <w:noWrap w:val="0"/>
            <w:vAlign w:val="top"/>
          </w:tcPr>
          <w:p w14:paraId="46A7A21D">
            <w:pPr>
              <w:adjustRightInd w:val="0"/>
              <w:snapToGrid w:val="0"/>
              <w:spacing w:line="360" w:lineRule="auto"/>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责任人</w:t>
            </w:r>
          </w:p>
        </w:tc>
      </w:tr>
      <w:tr w14:paraId="7E4F95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noWrap w:val="0"/>
            <w:vAlign w:val="center"/>
          </w:tcPr>
          <w:p w14:paraId="74130F1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tcBorders>
              <w:top w:val="double" w:color="auto" w:sz="6" w:space="0"/>
              <w:bottom w:val="single" w:color="auto" w:sz="6" w:space="0"/>
            </w:tcBorders>
            <w:noWrap w:val="0"/>
            <w:vAlign w:val="center"/>
          </w:tcPr>
          <w:p w14:paraId="0D34BE3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tcBorders>
              <w:top w:val="double" w:color="auto" w:sz="6" w:space="0"/>
              <w:bottom w:val="single" w:color="auto" w:sz="6" w:space="0"/>
            </w:tcBorders>
            <w:noWrap w:val="0"/>
            <w:vAlign w:val="center"/>
          </w:tcPr>
          <w:p w14:paraId="701BD0B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tcBorders>
              <w:top w:val="double" w:color="auto" w:sz="6" w:space="0"/>
              <w:bottom w:val="single" w:color="auto" w:sz="6" w:space="0"/>
            </w:tcBorders>
            <w:noWrap w:val="0"/>
            <w:vAlign w:val="center"/>
          </w:tcPr>
          <w:p w14:paraId="5AC3EBD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tcBorders>
              <w:top w:val="double" w:color="auto" w:sz="6" w:space="0"/>
              <w:bottom w:val="single" w:color="auto" w:sz="6" w:space="0"/>
            </w:tcBorders>
            <w:noWrap w:val="0"/>
            <w:vAlign w:val="center"/>
          </w:tcPr>
          <w:p w14:paraId="2306896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tcBorders>
              <w:top w:val="double" w:color="auto" w:sz="6" w:space="0"/>
              <w:bottom w:val="single" w:color="auto" w:sz="6" w:space="0"/>
            </w:tcBorders>
            <w:noWrap w:val="0"/>
            <w:vAlign w:val="center"/>
          </w:tcPr>
          <w:p w14:paraId="2252747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73E8B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noWrap w:val="0"/>
            <w:vAlign w:val="center"/>
          </w:tcPr>
          <w:p w14:paraId="3A23578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tcBorders>
              <w:top w:val="nil"/>
            </w:tcBorders>
            <w:noWrap w:val="0"/>
            <w:vAlign w:val="center"/>
          </w:tcPr>
          <w:p w14:paraId="4F2F84A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tcBorders>
              <w:top w:val="nil"/>
            </w:tcBorders>
            <w:noWrap w:val="0"/>
            <w:vAlign w:val="center"/>
          </w:tcPr>
          <w:p w14:paraId="4ACF93F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tcBorders>
              <w:top w:val="nil"/>
            </w:tcBorders>
            <w:noWrap w:val="0"/>
            <w:vAlign w:val="center"/>
          </w:tcPr>
          <w:p w14:paraId="195172F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tcBorders>
              <w:top w:val="nil"/>
            </w:tcBorders>
            <w:noWrap w:val="0"/>
            <w:vAlign w:val="center"/>
          </w:tcPr>
          <w:p w14:paraId="1F64DBE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tcBorders>
              <w:top w:val="nil"/>
            </w:tcBorders>
            <w:noWrap w:val="0"/>
            <w:vAlign w:val="center"/>
          </w:tcPr>
          <w:p w14:paraId="256A903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2B33F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5310C6A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center"/>
          </w:tcPr>
          <w:p w14:paraId="4E76C8C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7794E6A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center"/>
          </w:tcPr>
          <w:p w14:paraId="6A30920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07FFEB4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center"/>
          </w:tcPr>
          <w:p w14:paraId="305520C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1E3693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7224979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center"/>
          </w:tcPr>
          <w:p w14:paraId="16E97F1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6E4A541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center"/>
          </w:tcPr>
          <w:p w14:paraId="4206A1F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7997CA7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center"/>
          </w:tcPr>
          <w:p w14:paraId="7D072A0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6087E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4B90785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center"/>
          </w:tcPr>
          <w:p w14:paraId="09CC9D0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31479F3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center"/>
          </w:tcPr>
          <w:p w14:paraId="12AAA5E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1007EF9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center"/>
          </w:tcPr>
          <w:p w14:paraId="725A510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3C531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9E76D6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center"/>
          </w:tcPr>
          <w:p w14:paraId="387C1EC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59C2B2E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center"/>
          </w:tcPr>
          <w:p w14:paraId="1715F2D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146167D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center"/>
          </w:tcPr>
          <w:p w14:paraId="68CE301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71F14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7BAECA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center"/>
          </w:tcPr>
          <w:p w14:paraId="492A718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208A81D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center"/>
          </w:tcPr>
          <w:p w14:paraId="14E7E11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611E5F9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center"/>
          </w:tcPr>
          <w:p w14:paraId="5ABBC38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45DE9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5C55B39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center"/>
          </w:tcPr>
          <w:p w14:paraId="391EEC1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70BEFDF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center"/>
          </w:tcPr>
          <w:p w14:paraId="1D2948F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48EE175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center"/>
          </w:tcPr>
          <w:p w14:paraId="7246BE5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37FF3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5C0DB88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top"/>
          </w:tcPr>
          <w:p w14:paraId="48C14E0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12B7F7B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top"/>
          </w:tcPr>
          <w:p w14:paraId="5967055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0C0E813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top"/>
          </w:tcPr>
          <w:p w14:paraId="5F69D7A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5BF265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1607875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center"/>
          </w:tcPr>
          <w:p w14:paraId="13F4AB9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3E97E52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center"/>
          </w:tcPr>
          <w:p w14:paraId="4875ED68">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center"/>
          </w:tcPr>
          <w:p w14:paraId="1753CB8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center"/>
          </w:tcPr>
          <w:p w14:paraId="0AFC9CF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62957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16FB6804">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top"/>
          </w:tcPr>
          <w:p w14:paraId="32BFBAE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0F25D31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top"/>
          </w:tcPr>
          <w:p w14:paraId="2AF299B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5642DE4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top"/>
          </w:tcPr>
          <w:p w14:paraId="529999C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47561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74E3969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top"/>
          </w:tcPr>
          <w:p w14:paraId="34B095D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38C85E86">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top"/>
          </w:tcPr>
          <w:p w14:paraId="15CD255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4F074F40">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top"/>
          </w:tcPr>
          <w:p w14:paraId="421FDFD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34D62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62904E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top"/>
          </w:tcPr>
          <w:p w14:paraId="58716B4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5E2FEF7B">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top"/>
          </w:tcPr>
          <w:p w14:paraId="6E8574A5">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08D624D1">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top"/>
          </w:tcPr>
          <w:p w14:paraId="204A267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7B87B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182E50C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top"/>
          </w:tcPr>
          <w:p w14:paraId="28ADE313">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2C9A26BC">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top"/>
          </w:tcPr>
          <w:p w14:paraId="57903D7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699715F9">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top"/>
          </w:tcPr>
          <w:p w14:paraId="4F2B5EB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556BDF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7D331D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top"/>
          </w:tcPr>
          <w:p w14:paraId="24EC665E">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3231B75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top"/>
          </w:tcPr>
          <w:p w14:paraId="2903F04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5611773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top"/>
          </w:tcPr>
          <w:p w14:paraId="263B5C0F">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r w14:paraId="7D7DE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3D94FA57">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76" w:type="dxa"/>
            <w:noWrap w:val="0"/>
            <w:vAlign w:val="top"/>
          </w:tcPr>
          <w:p w14:paraId="22F43FD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16689A1A">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243" w:type="dxa"/>
            <w:noWrap w:val="0"/>
            <w:vAlign w:val="top"/>
          </w:tcPr>
          <w:p w14:paraId="086E392D">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450" w:type="dxa"/>
            <w:noWrap w:val="0"/>
            <w:vAlign w:val="top"/>
          </w:tcPr>
          <w:p w14:paraId="350D73D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c>
          <w:tcPr>
            <w:tcW w:w="1670" w:type="dxa"/>
            <w:noWrap w:val="0"/>
            <w:vAlign w:val="top"/>
          </w:tcPr>
          <w:p w14:paraId="18C39DC2">
            <w:pPr>
              <w:adjustRightInd w:val="0"/>
              <w:snapToGrid w:val="0"/>
              <w:spacing w:after="120" w:afterLines="50"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tc>
      </w:tr>
    </w:tbl>
    <w:p w14:paraId="093E5DD6">
      <w:pPr>
        <w:adjustRightInd w:val="0"/>
        <w:snapToGrid w:val="0"/>
        <w:spacing w:after="120" w:afterLines="50"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01A10A9F">
      <w:pPr>
        <w:pStyle w:val="147"/>
        <w:numPr>
          <w:ilvl w:val="0"/>
          <w:numId w:val="0"/>
        </w:numPr>
        <w:outlineLvl w:val="9"/>
        <w:rPr>
          <w:rFonts w:hint="eastAsia" w:asciiTheme="minorEastAsia" w:hAnsiTheme="minorEastAsia" w:eastAsiaTheme="minorEastAsia" w:cstheme="minorEastAsia"/>
          <w:sz w:val="28"/>
          <w:szCs w:val="28"/>
        </w:rPr>
        <w:sectPr>
          <w:pgSz w:w="11906" w:h="16838"/>
          <w:pgMar w:top="1418" w:right="1134" w:bottom="1418" w:left="1134" w:header="993" w:footer="943" w:gutter="0"/>
          <w:pgNumType w:fmt="decimal"/>
          <w:cols w:space="425" w:num="1"/>
          <w:docGrid w:linePitch="312" w:charSpace="0"/>
        </w:sectPr>
      </w:pPr>
    </w:p>
    <w:p w14:paraId="429E7934">
      <w:pPr>
        <w:pStyle w:val="147"/>
        <w:pageBreakBefore w:val="0"/>
        <w:numPr>
          <w:ilvl w:val="0"/>
          <w:numId w:val="0"/>
        </w:numPr>
        <w:kinsoku/>
        <w:wordWrap/>
        <w:overflowPunct/>
        <w:autoSpaceDE/>
        <w:autoSpaceDN/>
        <w:bidi w:val="0"/>
        <w:spacing w:line="360" w:lineRule="auto"/>
        <w:textAlignment w:val="auto"/>
        <w:outlineLvl w:val="3"/>
        <w:rPr>
          <w:rFonts w:hint="eastAsia" w:asciiTheme="minorEastAsia" w:hAnsiTheme="minorEastAsia" w:eastAsiaTheme="minorEastAsia" w:cstheme="minorEastAsia"/>
          <w:sz w:val="28"/>
          <w:szCs w:val="28"/>
        </w:rPr>
      </w:pPr>
      <w:bookmarkStart w:id="2682" w:name="_Toc2664"/>
      <w:bookmarkStart w:id="2683" w:name="_Toc26699"/>
      <w:bookmarkStart w:id="2684" w:name="_Toc21753"/>
      <w:r>
        <w:rPr>
          <w:rFonts w:hint="eastAsia" w:asciiTheme="minorEastAsia" w:hAnsiTheme="minorEastAsia" w:eastAsiaTheme="minorEastAsia" w:cstheme="minorEastAsia"/>
          <w:sz w:val="28"/>
          <w:szCs w:val="28"/>
        </w:rPr>
        <w:t>附件</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 xml:space="preserve"> 承包人主要管理人员表</w:t>
      </w:r>
      <w:bookmarkEnd w:id="2672"/>
      <w:bookmarkEnd w:id="2673"/>
      <w:bookmarkEnd w:id="2674"/>
      <w:bookmarkEnd w:id="2682"/>
      <w:bookmarkEnd w:id="2683"/>
      <w:bookmarkEnd w:id="2684"/>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1B538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noWrap w:val="0"/>
            <w:vAlign w:val="center"/>
          </w:tcPr>
          <w:p w14:paraId="3DB7BDB8">
            <w:pPr>
              <w:pStyle w:val="18"/>
              <w:wordWrap/>
              <w:topLinePunct w:val="0"/>
              <w:spacing w:after="0" w:afterLines="0"/>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    称</w:t>
            </w:r>
          </w:p>
        </w:tc>
        <w:tc>
          <w:tcPr>
            <w:tcW w:w="1418" w:type="dxa"/>
            <w:tcBorders>
              <w:top w:val="single" w:color="auto" w:sz="12" w:space="0"/>
              <w:bottom w:val="double" w:color="auto" w:sz="6" w:space="0"/>
            </w:tcBorders>
            <w:noWrap w:val="0"/>
            <w:vAlign w:val="center"/>
          </w:tcPr>
          <w:p w14:paraId="470878FC">
            <w:pPr>
              <w:pStyle w:val="18"/>
              <w:wordWrap/>
              <w:topLinePunct w:val="0"/>
              <w:spacing w:after="0" w:afterLines="0"/>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姓名</w:t>
            </w:r>
          </w:p>
        </w:tc>
        <w:tc>
          <w:tcPr>
            <w:tcW w:w="1134" w:type="dxa"/>
            <w:tcBorders>
              <w:top w:val="single" w:color="auto" w:sz="12" w:space="0"/>
              <w:bottom w:val="double" w:color="auto" w:sz="6" w:space="0"/>
            </w:tcBorders>
            <w:noWrap w:val="0"/>
            <w:vAlign w:val="center"/>
          </w:tcPr>
          <w:p w14:paraId="490FCFE7">
            <w:pPr>
              <w:pStyle w:val="18"/>
              <w:wordWrap/>
              <w:topLinePunct w:val="0"/>
              <w:spacing w:after="0" w:afterLines="0"/>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职务</w:t>
            </w:r>
          </w:p>
        </w:tc>
        <w:tc>
          <w:tcPr>
            <w:tcW w:w="1134" w:type="dxa"/>
            <w:tcBorders>
              <w:top w:val="single" w:color="auto" w:sz="12" w:space="0"/>
              <w:bottom w:val="double" w:color="auto" w:sz="6" w:space="0"/>
            </w:tcBorders>
            <w:noWrap w:val="0"/>
            <w:vAlign w:val="center"/>
          </w:tcPr>
          <w:p w14:paraId="367798C1">
            <w:pPr>
              <w:pStyle w:val="18"/>
              <w:wordWrap/>
              <w:topLinePunct w:val="0"/>
              <w:spacing w:after="0" w:afterLines="0"/>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职称</w:t>
            </w:r>
          </w:p>
        </w:tc>
        <w:tc>
          <w:tcPr>
            <w:tcW w:w="3896" w:type="dxa"/>
            <w:tcBorders>
              <w:top w:val="single" w:color="auto" w:sz="12" w:space="0"/>
              <w:bottom w:val="double" w:color="auto" w:sz="6" w:space="0"/>
            </w:tcBorders>
            <w:noWrap w:val="0"/>
            <w:vAlign w:val="center"/>
          </w:tcPr>
          <w:p w14:paraId="7B09956E">
            <w:pPr>
              <w:pStyle w:val="18"/>
              <w:wordWrap/>
              <w:topLinePunct w:val="0"/>
              <w:spacing w:after="0" w:afterLines="0"/>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主要资历、经验及承担过的项目</w:t>
            </w:r>
          </w:p>
        </w:tc>
      </w:tr>
      <w:tr w14:paraId="078D4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noWrap w:val="0"/>
            <w:vAlign w:val="center"/>
          </w:tcPr>
          <w:p w14:paraId="6B52CD3C">
            <w:pPr>
              <w:pStyle w:val="18"/>
              <w:wordWrap/>
              <w:topLinePunct w:val="0"/>
              <w:spacing w:after="0" w:afterLines="0"/>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一、总部人员</w:t>
            </w:r>
          </w:p>
        </w:tc>
      </w:tr>
      <w:tr w14:paraId="6F756F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3CBF3895">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项目主管</w:t>
            </w:r>
          </w:p>
        </w:tc>
        <w:tc>
          <w:tcPr>
            <w:tcW w:w="1418" w:type="dxa"/>
            <w:tcBorders>
              <w:top w:val="nil"/>
            </w:tcBorders>
            <w:noWrap w:val="0"/>
            <w:vAlign w:val="center"/>
          </w:tcPr>
          <w:p w14:paraId="35E2E391">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tcBorders>
              <w:top w:val="nil"/>
            </w:tcBorders>
            <w:noWrap w:val="0"/>
            <w:vAlign w:val="center"/>
          </w:tcPr>
          <w:p w14:paraId="5380A958">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tcBorders>
              <w:top w:val="nil"/>
            </w:tcBorders>
            <w:noWrap w:val="0"/>
            <w:vAlign w:val="center"/>
          </w:tcPr>
          <w:p w14:paraId="6A5F66CF">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tcBorders>
              <w:top w:val="nil"/>
            </w:tcBorders>
            <w:noWrap w:val="0"/>
            <w:vAlign w:val="center"/>
          </w:tcPr>
          <w:p w14:paraId="0DC45C77">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484C37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noWrap w:val="0"/>
            <w:vAlign w:val="center"/>
          </w:tcPr>
          <w:p w14:paraId="13629B59">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418" w:type="dxa"/>
            <w:noWrap w:val="0"/>
            <w:vAlign w:val="center"/>
          </w:tcPr>
          <w:p w14:paraId="7EF7661B">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1F4486F6">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2D3E2DE8">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14093415">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7BEEE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3A9B4A44">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其他人员</w:t>
            </w:r>
          </w:p>
        </w:tc>
        <w:tc>
          <w:tcPr>
            <w:tcW w:w="1418" w:type="dxa"/>
            <w:noWrap w:val="0"/>
            <w:vAlign w:val="center"/>
          </w:tcPr>
          <w:p w14:paraId="01EAA2A7">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18EC3AEC">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18310C6A">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56C59D65">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1953C7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284CAB3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418" w:type="dxa"/>
            <w:noWrap w:val="0"/>
            <w:vAlign w:val="center"/>
          </w:tcPr>
          <w:p w14:paraId="4AE91F2C">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2C9496AA">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08D464D5">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6D866307">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722595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noWrap w:val="0"/>
            <w:vAlign w:val="center"/>
          </w:tcPr>
          <w:p w14:paraId="2E7BC64A">
            <w:pPr>
              <w:pStyle w:val="18"/>
              <w:wordWrap/>
              <w:topLinePunct w:val="0"/>
              <w:spacing w:after="0" w:afterLines="0"/>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二、现场人员</w:t>
            </w:r>
          </w:p>
        </w:tc>
      </w:tr>
      <w:tr w14:paraId="7B95A8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C75C272">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工程总承包</w:t>
            </w:r>
          </w:p>
          <w:p w14:paraId="0B4D9271">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项目经理</w:t>
            </w:r>
          </w:p>
        </w:tc>
        <w:tc>
          <w:tcPr>
            <w:tcW w:w="1418" w:type="dxa"/>
            <w:noWrap w:val="0"/>
            <w:vAlign w:val="center"/>
          </w:tcPr>
          <w:p w14:paraId="3E7E17FD">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0658B154">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3309015E">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41F88119">
            <w:pPr>
              <w:pStyle w:val="18"/>
              <w:wordWrap/>
              <w:topLinePunct w:val="0"/>
              <w:spacing w:after="0" w:afterLines="0"/>
              <w:ind w:firstLine="420"/>
              <w:rPr>
                <w:rFonts w:hint="eastAsia" w:asciiTheme="minorEastAsia" w:hAnsiTheme="minorEastAsia" w:eastAsiaTheme="minorEastAsia" w:cstheme="minorEastAsia"/>
                <w:sz w:val="28"/>
                <w:szCs w:val="28"/>
              </w:rPr>
            </w:pPr>
          </w:p>
          <w:p w14:paraId="2C54714D">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4B4966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0AB11342">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项目副经理</w:t>
            </w:r>
          </w:p>
        </w:tc>
        <w:tc>
          <w:tcPr>
            <w:tcW w:w="1418" w:type="dxa"/>
            <w:noWrap w:val="0"/>
            <w:vAlign w:val="center"/>
          </w:tcPr>
          <w:p w14:paraId="59D87649">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2877C88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503C48E4">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2D3A81A4">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43954A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57A286B5">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设计负责人</w:t>
            </w:r>
          </w:p>
        </w:tc>
        <w:tc>
          <w:tcPr>
            <w:tcW w:w="1418" w:type="dxa"/>
            <w:noWrap w:val="0"/>
            <w:vAlign w:val="center"/>
          </w:tcPr>
          <w:p w14:paraId="0A8D718B">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20BB0B74">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50967026">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60DECB11">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7CEEB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132CD5B">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采购负责人</w:t>
            </w:r>
          </w:p>
        </w:tc>
        <w:tc>
          <w:tcPr>
            <w:tcW w:w="1418" w:type="dxa"/>
            <w:noWrap w:val="0"/>
            <w:vAlign w:val="center"/>
          </w:tcPr>
          <w:p w14:paraId="66E3B7A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0FA90819">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6FA29568">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4574FD14">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61EDC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2E82513">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施工负责人</w:t>
            </w:r>
          </w:p>
        </w:tc>
        <w:tc>
          <w:tcPr>
            <w:tcW w:w="1418" w:type="dxa"/>
            <w:noWrap w:val="0"/>
            <w:vAlign w:val="center"/>
          </w:tcPr>
          <w:p w14:paraId="469C9AC4">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2D6C3D86">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3A97365B">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6A840597">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4FCAF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54C63C0C">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技术负责人</w:t>
            </w:r>
          </w:p>
        </w:tc>
        <w:tc>
          <w:tcPr>
            <w:tcW w:w="1418" w:type="dxa"/>
            <w:noWrap w:val="0"/>
            <w:vAlign w:val="center"/>
          </w:tcPr>
          <w:p w14:paraId="5D7F83E7">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7C8F3F36">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0DB0D208">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4CD3FA62">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6B6270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6130ADA">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造价管理</w:t>
            </w:r>
          </w:p>
        </w:tc>
        <w:tc>
          <w:tcPr>
            <w:tcW w:w="1418" w:type="dxa"/>
            <w:noWrap w:val="0"/>
            <w:vAlign w:val="center"/>
          </w:tcPr>
          <w:p w14:paraId="4977BFDB">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7C6C441A">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17109C98">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64D8B78E">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7625CE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2D01079">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质量管理</w:t>
            </w:r>
          </w:p>
        </w:tc>
        <w:tc>
          <w:tcPr>
            <w:tcW w:w="1418" w:type="dxa"/>
            <w:noWrap w:val="0"/>
            <w:vAlign w:val="center"/>
          </w:tcPr>
          <w:p w14:paraId="23183533">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43F02E3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44FF7F87">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32762630">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729B5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5C3C6C1">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计划管理</w:t>
            </w:r>
          </w:p>
        </w:tc>
        <w:tc>
          <w:tcPr>
            <w:tcW w:w="1418" w:type="dxa"/>
            <w:noWrap w:val="0"/>
            <w:vAlign w:val="center"/>
          </w:tcPr>
          <w:p w14:paraId="4EE0F929">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1A583983">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588AB72D">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33D55F41">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2DF63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0AB731CA">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安全管理</w:t>
            </w:r>
          </w:p>
        </w:tc>
        <w:tc>
          <w:tcPr>
            <w:tcW w:w="1418" w:type="dxa"/>
            <w:noWrap w:val="0"/>
            <w:vAlign w:val="center"/>
          </w:tcPr>
          <w:p w14:paraId="30C2D998">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55CBA6C8">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4FB7AD0D">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398FE172">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6B97F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6A2883B">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环境管理</w:t>
            </w:r>
          </w:p>
        </w:tc>
        <w:tc>
          <w:tcPr>
            <w:tcW w:w="1418" w:type="dxa"/>
            <w:noWrap w:val="0"/>
            <w:vAlign w:val="center"/>
          </w:tcPr>
          <w:p w14:paraId="34C0ACA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3654DD94">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2C7D526A">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5C94296C">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3C6F1F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noWrap w:val="0"/>
            <w:vAlign w:val="center"/>
          </w:tcPr>
          <w:p w14:paraId="225F22E7">
            <w:pPr>
              <w:pStyle w:val="18"/>
              <w:wordWrap/>
              <w:topLinePunct w:val="0"/>
              <w:spacing w:after="0" w:afterLines="0"/>
              <w:ind w:firstLine="0" w:firstLineChars="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其他人员</w:t>
            </w:r>
          </w:p>
        </w:tc>
        <w:tc>
          <w:tcPr>
            <w:tcW w:w="1418" w:type="dxa"/>
            <w:noWrap w:val="0"/>
            <w:vAlign w:val="center"/>
          </w:tcPr>
          <w:p w14:paraId="36455E14">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67E86DB5">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03F9A75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0B4C416B">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15CFF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2BFD997">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418" w:type="dxa"/>
            <w:tcBorders>
              <w:bottom w:val="nil"/>
            </w:tcBorders>
            <w:noWrap w:val="0"/>
            <w:vAlign w:val="center"/>
          </w:tcPr>
          <w:p w14:paraId="0A5BA69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tcBorders>
              <w:bottom w:val="nil"/>
            </w:tcBorders>
            <w:noWrap w:val="0"/>
            <w:vAlign w:val="center"/>
          </w:tcPr>
          <w:p w14:paraId="7E5FF4AD">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tcBorders>
              <w:bottom w:val="nil"/>
            </w:tcBorders>
            <w:noWrap w:val="0"/>
            <w:vAlign w:val="center"/>
          </w:tcPr>
          <w:p w14:paraId="2759638E">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tcBorders>
              <w:bottom w:val="nil"/>
            </w:tcBorders>
            <w:noWrap w:val="0"/>
            <w:vAlign w:val="center"/>
          </w:tcPr>
          <w:p w14:paraId="60D7BAE6">
            <w:pPr>
              <w:pStyle w:val="18"/>
              <w:wordWrap/>
              <w:topLinePunct w:val="0"/>
              <w:spacing w:after="0" w:afterLines="0"/>
              <w:ind w:firstLine="420"/>
              <w:rPr>
                <w:rFonts w:hint="eastAsia" w:asciiTheme="minorEastAsia" w:hAnsiTheme="minorEastAsia" w:eastAsiaTheme="minorEastAsia" w:cstheme="minorEastAsia"/>
                <w:sz w:val="28"/>
                <w:szCs w:val="28"/>
              </w:rPr>
            </w:pPr>
          </w:p>
        </w:tc>
      </w:tr>
      <w:tr w14:paraId="3A6D0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1B68D59C">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418" w:type="dxa"/>
            <w:noWrap w:val="0"/>
            <w:vAlign w:val="center"/>
          </w:tcPr>
          <w:p w14:paraId="4029B411">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080DF5B9">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1134" w:type="dxa"/>
            <w:noWrap w:val="0"/>
            <w:vAlign w:val="center"/>
          </w:tcPr>
          <w:p w14:paraId="43CFE222">
            <w:pPr>
              <w:pStyle w:val="18"/>
              <w:wordWrap/>
              <w:topLinePunct w:val="0"/>
              <w:spacing w:after="0" w:afterLines="0"/>
              <w:ind w:firstLine="420"/>
              <w:rPr>
                <w:rFonts w:hint="eastAsia" w:asciiTheme="minorEastAsia" w:hAnsiTheme="minorEastAsia" w:eastAsiaTheme="minorEastAsia" w:cstheme="minorEastAsia"/>
                <w:sz w:val="28"/>
                <w:szCs w:val="28"/>
              </w:rPr>
            </w:pPr>
          </w:p>
        </w:tc>
        <w:tc>
          <w:tcPr>
            <w:tcW w:w="3896" w:type="dxa"/>
            <w:noWrap w:val="0"/>
            <w:vAlign w:val="center"/>
          </w:tcPr>
          <w:p w14:paraId="561DCF2E">
            <w:pPr>
              <w:pStyle w:val="18"/>
              <w:wordWrap/>
              <w:topLinePunct w:val="0"/>
              <w:spacing w:after="0" w:afterLines="0"/>
              <w:ind w:firstLine="420"/>
              <w:rPr>
                <w:rFonts w:hint="eastAsia" w:asciiTheme="minorEastAsia" w:hAnsiTheme="minorEastAsia" w:eastAsiaTheme="minorEastAsia" w:cstheme="minorEastAsia"/>
                <w:sz w:val="28"/>
                <w:szCs w:val="28"/>
              </w:rPr>
            </w:pPr>
          </w:p>
        </w:tc>
      </w:tr>
    </w:tbl>
    <w:p w14:paraId="75C18414">
      <w:pPr>
        <w:wordWrap/>
        <w:topLinePunct w:val="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sz w:val="28"/>
          <w:szCs w:val="28"/>
        </w:rPr>
        <w:br w:type="page"/>
      </w:r>
    </w:p>
    <w:p w14:paraId="14B5BE00">
      <w:pPr>
        <w:pStyle w:val="2"/>
        <w:pageBreakBefore w:val="0"/>
        <w:kinsoku/>
        <w:wordWrap/>
        <w:overflowPunct/>
        <w:bidi w:val="0"/>
        <w:spacing w:line="360" w:lineRule="auto"/>
        <w:jc w:val="center"/>
        <w:rPr>
          <w:rFonts w:hint="eastAsia" w:asciiTheme="minorEastAsia" w:hAnsiTheme="minorEastAsia" w:eastAsiaTheme="minorEastAsia" w:cstheme="minorEastAsia"/>
          <w:b/>
          <w:bCs w:val="0"/>
          <w:color w:val="auto"/>
          <w:kern w:val="2"/>
          <w:sz w:val="32"/>
          <w:szCs w:val="32"/>
          <w:highlight w:val="none"/>
          <w:lang w:val="en-US" w:eastAsia="zh-CN"/>
        </w:rPr>
      </w:pPr>
      <w:bookmarkStart w:id="2685" w:name="_Toc8724"/>
      <w:bookmarkStart w:id="2686" w:name="_Toc27946"/>
      <w:bookmarkStart w:id="2687" w:name="_Toc17307"/>
      <w:bookmarkStart w:id="2688" w:name="_Toc212"/>
      <w:bookmarkStart w:id="2689" w:name="_Toc1642"/>
      <w:bookmarkStart w:id="2690" w:name="_Toc88917976"/>
      <w:r>
        <w:rPr>
          <w:rFonts w:hint="eastAsia" w:asciiTheme="minorEastAsia" w:hAnsiTheme="minorEastAsia" w:eastAsiaTheme="minorEastAsia" w:cstheme="minorEastAsia"/>
          <w:b/>
          <w:bCs w:val="0"/>
          <w:color w:val="auto"/>
          <w:kern w:val="2"/>
          <w:sz w:val="32"/>
          <w:szCs w:val="32"/>
          <w:highlight w:val="none"/>
          <w:lang w:val="en-US" w:eastAsia="zh-CN"/>
        </w:rPr>
        <w:t>第五章  发包人要求</w:t>
      </w:r>
      <w:bookmarkEnd w:id="2685"/>
      <w:bookmarkEnd w:id="2686"/>
      <w:bookmarkEnd w:id="2687"/>
      <w:bookmarkEnd w:id="2688"/>
      <w:bookmarkEnd w:id="2689"/>
    </w:p>
    <w:p w14:paraId="0F04A9AF">
      <w:pPr>
        <w:pageBreakBefore w:val="0"/>
        <w:widowControl/>
        <w:kinsoku/>
        <w:wordWrap/>
        <w:overflowPunct/>
        <w:bidi w:val="0"/>
        <w:spacing w:line="360" w:lineRule="auto"/>
        <w:jc w:val="left"/>
        <w:rPr>
          <w:rFonts w:hint="eastAsia" w:asciiTheme="minorEastAsia" w:hAnsiTheme="minorEastAsia" w:eastAsiaTheme="minorEastAsia" w:cstheme="minorEastAsia"/>
          <w:b/>
          <w:bCs/>
          <w:color w:val="auto"/>
          <w:position w:val="0"/>
          <w:sz w:val="28"/>
          <w:szCs w:val="28"/>
          <w:highlight w:val="none"/>
          <w:lang w:val="en-US" w:eastAsia="zh-CN"/>
        </w:rPr>
      </w:pPr>
      <w:r>
        <w:rPr>
          <w:rFonts w:hint="eastAsia" w:asciiTheme="minorEastAsia" w:hAnsiTheme="minorEastAsia" w:eastAsiaTheme="minorEastAsia" w:cstheme="minorEastAsia"/>
          <w:b/>
          <w:bCs/>
          <w:color w:val="auto"/>
          <w:position w:val="0"/>
          <w:sz w:val="28"/>
          <w:szCs w:val="28"/>
          <w:highlight w:val="none"/>
          <w:lang w:val="en-US" w:eastAsia="zh-CN"/>
        </w:rPr>
        <w:t>一</w:t>
      </w:r>
      <w:r>
        <w:rPr>
          <w:rFonts w:hint="eastAsia" w:asciiTheme="minorEastAsia" w:hAnsiTheme="minorEastAsia" w:eastAsiaTheme="minorEastAsia" w:cstheme="minorEastAsia"/>
          <w:b/>
          <w:bCs/>
          <w:color w:val="auto"/>
          <w:position w:val="0"/>
          <w:sz w:val="28"/>
          <w:szCs w:val="28"/>
          <w:highlight w:val="none"/>
        </w:rPr>
        <w:t>、建设内容</w:t>
      </w:r>
    </w:p>
    <w:p w14:paraId="3CA9A21A">
      <w:pPr>
        <w:keepNext w:val="0"/>
        <w:keepLines w:val="0"/>
        <w:pageBreakBefore w:val="0"/>
        <w:widowControl w:val="0"/>
        <w:kinsoku/>
        <w:wordWrap/>
        <w:overflowPunct/>
        <w:topLinePunct/>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b w:val="0"/>
          <w:bCs/>
          <w:color w:val="auto"/>
          <w:kern w:val="2"/>
          <w:position w:val="0"/>
          <w:sz w:val="24"/>
          <w:szCs w:val="24"/>
          <w:highlight w:val="none"/>
          <w:lang w:val="en-US" w:eastAsia="zh-CN" w:bidi="ar-SA"/>
        </w:rPr>
      </w:pPr>
      <w:r>
        <w:rPr>
          <w:rFonts w:hint="eastAsia" w:asciiTheme="minorEastAsia" w:hAnsiTheme="minorEastAsia" w:eastAsiaTheme="minorEastAsia" w:cstheme="minorEastAsia"/>
          <w:b w:val="0"/>
          <w:bCs/>
          <w:color w:val="auto"/>
          <w:kern w:val="2"/>
          <w:position w:val="0"/>
          <w:sz w:val="24"/>
          <w:szCs w:val="24"/>
          <w:highlight w:val="none"/>
          <w:lang w:val="en-US" w:eastAsia="zh-CN" w:bidi="ar-SA"/>
        </w:rPr>
        <w:t>联珠镇愧竜村咖啡加工仓储车间设施项目位于墨江县联珠镇愧竜村，项目建设总用地面积1833平方米（约2.75亩），拟建设1栋咖啡精加工、体验销售、仓储、研发为一体的咖啡中心，总建筑面积1968平方米，其中咖啡精加工车间600平方米，咖啡加工体验、销售和仓储区1068平方米，拼配、杯测、研发车间300平方米，室内外给排水、电力配套等附属设施1项，场地平整1900平方米。</w:t>
      </w:r>
    </w:p>
    <w:p w14:paraId="73F1DA6A">
      <w:pPr>
        <w:pageBreakBefore w:val="0"/>
        <w:widowControl/>
        <w:kinsoku/>
        <w:wordWrap/>
        <w:overflowPunct/>
        <w:bidi w:val="0"/>
        <w:spacing w:line="360" w:lineRule="auto"/>
        <w:jc w:val="left"/>
        <w:rPr>
          <w:rFonts w:hint="eastAsia" w:asciiTheme="minorEastAsia" w:hAnsiTheme="minorEastAsia" w:eastAsiaTheme="minorEastAsia" w:cstheme="minorEastAsia"/>
          <w:b/>
          <w:bCs/>
          <w:color w:val="auto"/>
          <w:position w:val="0"/>
          <w:sz w:val="28"/>
          <w:szCs w:val="28"/>
          <w:highlight w:val="none"/>
          <w:lang w:val="en-US" w:eastAsia="zh-CN"/>
        </w:rPr>
      </w:pPr>
      <w:r>
        <w:rPr>
          <w:rFonts w:hint="eastAsia" w:asciiTheme="minorEastAsia" w:hAnsiTheme="minorEastAsia" w:eastAsiaTheme="minorEastAsia" w:cstheme="minorEastAsia"/>
          <w:b/>
          <w:bCs/>
          <w:color w:val="auto"/>
          <w:position w:val="0"/>
          <w:sz w:val="28"/>
          <w:szCs w:val="28"/>
          <w:highlight w:val="none"/>
          <w:lang w:val="en-US" w:eastAsia="zh-CN"/>
        </w:rPr>
        <w:t>二</w:t>
      </w:r>
      <w:r>
        <w:rPr>
          <w:rFonts w:hint="eastAsia" w:asciiTheme="minorEastAsia" w:hAnsiTheme="minorEastAsia" w:eastAsiaTheme="minorEastAsia" w:cstheme="minorEastAsia"/>
          <w:b/>
          <w:bCs/>
          <w:color w:val="auto"/>
          <w:position w:val="0"/>
          <w:sz w:val="28"/>
          <w:szCs w:val="28"/>
          <w:highlight w:val="none"/>
        </w:rPr>
        <w:t>、</w:t>
      </w:r>
      <w:bookmarkStart w:id="2691" w:name="_Toc7132"/>
      <w:bookmarkStart w:id="2692" w:name="_Toc20288"/>
      <w:bookmarkStart w:id="2693" w:name="_Toc9161"/>
      <w:r>
        <w:rPr>
          <w:rFonts w:hint="eastAsia" w:asciiTheme="minorEastAsia" w:hAnsiTheme="minorEastAsia" w:eastAsiaTheme="minorEastAsia" w:cstheme="minorEastAsia"/>
          <w:b/>
          <w:bCs/>
          <w:color w:val="auto"/>
          <w:position w:val="0"/>
          <w:sz w:val="28"/>
          <w:szCs w:val="28"/>
          <w:highlight w:val="none"/>
          <w:lang w:val="en-US" w:eastAsia="zh-CN"/>
        </w:rPr>
        <w:t>发包人要求</w:t>
      </w:r>
      <w:bookmarkEnd w:id="2691"/>
      <w:bookmarkEnd w:id="2692"/>
    </w:p>
    <w:p w14:paraId="78F22291">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1、总承包牵头单位必须负责设计单位的统筹设计协调，保证施工设计图满足施工进度要求；</w:t>
      </w:r>
    </w:p>
    <w:p w14:paraId="37791072">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2、阶段性的设计施工图、设计变更必须经甲方签字同意后，才能作为施工依据；</w:t>
      </w:r>
    </w:p>
    <w:p w14:paraId="76ACF2A8">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3、设计单位必须严格进行限额设计、不能超过本项目已批准的投资概算；</w:t>
      </w:r>
    </w:p>
    <w:p w14:paraId="01179D17">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4、本项目建筑安装工程造价费概算：820万元，即施工总投资控制价，联合体各方须按招标人要求对项目进行限额设计和施工总投资进行控制。建筑安装工程费不得超过施工总投资控制价。由于联合体单位未按限额设计或施工总投资控制要求实施项目，造成投资金额超过招标人要求的施工总投资控制价，由联合体各方承担责任。</w:t>
      </w:r>
    </w:p>
    <w:p w14:paraId="14F71A36">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5、总工期按招投标文件要求，但阶段性项目工期均必须依据项目要求双方书面确定；</w:t>
      </w:r>
    </w:p>
    <w:p w14:paraId="329F8685">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6、项目经理必须符合招标文件要求，除甲方提出外原则不得更换（附施工单位项目经理不更换承诺）；项目部组织机构必须按投标文件配置，满足施工组织和相应管理的要求；</w:t>
      </w:r>
    </w:p>
    <w:p w14:paraId="1F77BA55">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7、设计负责人、专项设计人员必须按投标配置，并满足现场施工的服务要求，实行现场服务内容登记制度；</w:t>
      </w:r>
    </w:p>
    <w:p w14:paraId="0DF922EF">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8、施工进度款资料、进度设计成果必须按合同约定按月提供，否则，甲方不予支付进度款；</w:t>
      </w:r>
    </w:p>
    <w:p w14:paraId="673F7DE2">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9、阶段性项目工期应按双方书面约定的时间完成；</w:t>
      </w:r>
    </w:p>
    <w:p w14:paraId="67CCF485">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10、有效的工程资料以正式纸质签字盖章的为准；</w:t>
      </w:r>
      <w:bookmarkEnd w:id="2693"/>
    </w:p>
    <w:p w14:paraId="46D960F7">
      <w:pPr>
        <w:pageBreakBefore w:val="0"/>
        <w:widowControl/>
        <w:kinsoku/>
        <w:wordWrap/>
        <w:overflowPunct/>
        <w:bidi w:val="0"/>
        <w:spacing w:line="360" w:lineRule="auto"/>
        <w:jc w:val="left"/>
        <w:rPr>
          <w:rFonts w:hint="eastAsia" w:asciiTheme="minorEastAsia" w:hAnsiTheme="minorEastAsia" w:eastAsiaTheme="minorEastAsia" w:cstheme="minorEastAsia"/>
          <w:b/>
          <w:bCs/>
          <w:color w:val="auto"/>
          <w:position w:val="0"/>
          <w:sz w:val="28"/>
          <w:szCs w:val="28"/>
          <w:highlight w:val="none"/>
          <w:lang w:val="en-US" w:eastAsia="zh-CN"/>
        </w:rPr>
      </w:pPr>
      <w:bookmarkStart w:id="2694" w:name="_Toc24156"/>
      <w:bookmarkStart w:id="2695" w:name="_Toc7285"/>
      <w:bookmarkStart w:id="2696" w:name="_Toc806"/>
      <w:bookmarkStart w:id="2697" w:name="_Toc495524406"/>
      <w:bookmarkStart w:id="2698" w:name="_Toc445301022"/>
      <w:bookmarkStart w:id="2699" w:name="_Toc237061062"/>
      <w:bookmarkStart w:id="2700" w:name="_Toc6011"/>
      <w:r>
        <w:rPr>
          <w:rFonts w:hint="eastAsia" w:asciiTheme="minorEastAsia" w:hAnsiTheme="minorEastAsia" w:eastAsiaTheme="minorEastAsia" w:cstheme="minorEastAsia"/>
          <w:b/>
          <w:bCs/>
          <w:color w:val="auto"/>
          <w:position w:val="0"/>
          <w:sz w:val="28"/>
          <w:szCs w:val="28"/>
          <w:highlight w:val="none"/>
          <w:lang w:val="en-US" w:eastAsia="zh-CN"/>
        </w:rPr>
        <w:t>二、设计、施工技术标准及要求</w:t>
      </w:r>
      <w:bookmarkEnd w:id="2694"/>
    </w:p>
    <w:p w14:paraId="4D92B361">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本招标工程项目图纸设计、材料、设备、施工须达到现行中华人民共和国以及省、自治区、直辖市或行业的工程建设标准、规范的要求；严格遵照国家或行业有关标准、规范执行。</w:t>
      </w:r>
    </w:p>
    <w:p w14:paraId="42C9318C">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本招标工程项目的安全生产、文明施工、环境保护措施应符合中华人民共和国以及省、市、自治区、直辖市或行业以及当地政府的有关法律法规的要求。</w:t>
      </w:r>
    </w:p>
    <w:p w14:paraId="55E3427D">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根据工程设计要求及所处地域当地政府的相关规定，适用本招标工程项目的材料、设备、施工必须达到现行标准或规范及其最新版本的要求以及国家现行相关的验收规范。</w:t>
      </w:r>
    </w:p>
    <w:p w14:paraId="246FA2D4">
      <w:pPr>
        <w:pageBreakBefore w:val="0"/>
        <w:widowControl/>
        <w:kinsoku/>
        <w:wordWrap/>
        <w:overflowPunct/>
        <w:bidi w:val="0"/>
        <w:spacing w:line="360" w:lineRule="auto"/>
        <w:ind w:firstLine="480" w:firstLineChars="200"/>
        <w:jc w:val="left"/>
        <w:rPr>
          <w:rFonts w:hint="eastAsia" w:asciiTheme="minorEastAsia" w:hAnsiTheme="minorEastAsia" w:eastAsiaTheme="minorEastAsia" w:cstheme="minorEastAsia"/>
          <w:color w:val="auto"/>
          <w:position w:val="0"/>
          <w:sz w:val="24"/>
          <w:szCs w:val="24"/>
          <w:highlight w:val="none"/>
          <w:lang w:val="en-US" w:eastAsia="zh-CN"/>
        </w:rPr>
      </w:pPr>
      <w:r>
        <w:rPr>
          <w:rFonts w:hint="eastAsia" w:asciiTheme="minorEastAsia" w:hAnsiTheme="minorEastAsia" w:eastAsiaTheme="minorEastAsia" w:cstheme="minorEastAsia"/>
          <w:color w:val="auto"/>
          <w:position w:val="0"/>
          <w:sz w:val="24"/>
          <w:szCs w:val="24"/>
          <w:highlight w:val="none"/>
          <w:lang w:val="en-US" w:eastAsia="zh-CN"/>
        </w:rPr>
        <w:t>本工程所使用的材料、成品、半成品、施工技术、工程质量等应符合现行国家、行业、地方的标准、规范、规程，必须执行工程建设强制性条文；施工图纸（包括变更）、安全文明施工、绿色施工等，有特殊要求的，应执行该要求；若地方政府部门、建设单位或合同专用条款有更高的要求，则须执行该更高要求。</w:t>
      </w:r>
    </w:p>
    <w:p w14:paraId="6F378997">
      <w:pPr>
        <w:rPr>
          <w:rFonts w:hint="eastAsia" w:asciiTheme="minorEastAsia" w:hAnsiTheme="minorEastAsia" w:eastAsiaTheme="minorEastAsia" w:cstheme="minorEastAsia"/>
          <w:b/>
          <w:bCs w:val="0"/>
          <w:color w:val="auto"/>
          <w:kern w:val="2"/>
          <w:sz w:val="32"/>
          <w:szCs w:val="32"/>
          <w:highlight w:val="none"/>
          <w:lang w:val="en-US" w:eastAsia="zh-CN"/>
        </w:rPr>
      </w:pPr>
    </w:p>
    <w:p w14:paraId="3BA05838">
      <w:pPr>
        <w:rPr>
          <w:rFonts w:hint="eastAsia" w:asciiTheme="minorEastAsia" w:hAnsiTheme="minorEastAsia" w:eastAsiaTheme="minorEastAsia" w:cstheme="minorEastAsia"/>
          <w:b/>
          <w:bCs w:val="0"/>
          <w:color w:val="auto"/>
          <w:kern w:val="2"/>
          <w:sz w:val="32"/>
          <w:szCs w:val="32"/>
          <w:highlight w:val="none"/>
          <w:lang w:val="en-US" w:eastAsia="zh-CN"/>
        </w:rPr>
      </w:pPr>
      <w:r>
        <w:rPr>
          <w:rFonts w:hint="eastAsia" w:asciiTheme="minorEastAsia" w:hAnsiTheme="minorEastAsia" w:eastAsiaTheme="minorEastAsia" w:cstheme="minorEastAsia"/>
          <w:b/>
          <w:bCs w:val="0"/>
          <w:color w:val="auto"/>
          <w:kern w:val="2"/>
          <w:sz w:val="32"/>
          <w:szCs w:val="32"/>
          <w:highlight w:val="none"/>
          <w:lang w:val="en-US" w:eastAsia="zh-CN"/>
        </w:rPr>
        <w:br w:type="page"/>
      </w:r>
    </w:p>
    <w:p w14:paraId="376FF5EE">
      <w:pPr>
        <w:pStyle w:val="2"/>
        <w:pageBreakBefore w:val="0"/>
        <w:kinsoku/>
        <w:wordWrap/>
        <w:overflowPunct/>
        <w:bidi w:val="0"/>
        <w:spacing w:line="360" w:lineRule="auto"/>
        <w:jc w:val="center"/>
        <w:rPr>
          <w:rFonts w:hint="eastAsia" w:asciiTheme="minorEastAsia" w:hAnsiTheme="minorEastAsia" w:eastAsiaTheme="minorEastAsia" w:cstheme="minorEastAsia"/>
          <w:b/>
          <w:bCs w:val="0"/>
          <w:color w:val="auto"/>
          <w:kern w:val="2"/>
          <w:sz w:val="32"/>
          <w:szCs w:val="32"/>
          <w:highlight w:val="none"/>
          <w:lang w:val="en-US" w:eastAsia="zh-CN"/>
        </w:rPr>
      </w:pPr>
      <w:r>
        <w:rPr>
          <w:rFonts w:hint="eastAsia" w:asciiTheme="minorEastAsia" w:hAnsiTheme="minorEastAsia" w:eastAsiaTheme="minorEastAsia" w:cstheme="minorEastAsia"/>
          <w:b/>
          <w:bCs w:val="0"/>
          <w:color w:val="auto"/>
          <w:kern w:val="2"/>
          <w:sz w:val="32"/>
          <w:szCs w:val="32"/>
          <w:highlight w:val="none"/>
          <w:lang w:val="en-US" w:eastAsia="zh-CN"/>
        </w:rPr>
        <w:t>第六章  投标文件格式</w:t>
      </w:r>
      <w:bookmarkEnd w:id="2695"/>
      <w:bookmarkEnd w:id="2696"/>
      <w:bookmarkEnd w:id="2697"/>
      <w:bookmarkEnd w:id="2698"/>
      <w:bookmarkEnd w:id="2699"/>
      <w:bookmarkEnd w:id="2700"/>
    </w:p>
    <w:bookmarkEnd w:id="2690"/>
    <w:p w14:paraId="53C3019D">
      <w:pPr>
        <w:pageBreakBefore w:val="0"/>
        <w:kinsoku/>
        <w:wordWrap/>
        <w:overflowPunct/>
        <w:bidi w:val="0"/>
        <w:spacing w:line="360" w:lineRule="auto"/>
        <w:ind w:firstLine="964" w:firstLineChars="200"/>
        <w:jc w:val="center"/>
        <w:rPr>
          <w:rFonts w:hint="eastAsia" w:asciiTheme="minorEastAsia" w:hAnsiTheme="minorEastAsia" w:eastAsiaTheme="minorEastAsia" w:cstheme="minorEastAsia"/>
          <w:b/>
          <w:color w:val="auto"/>
          <w:position w:val="0"/>
          <w:sz w:val="48"/>
          <w:szCs w:val="48"/>
          <w:highlight w:val="none"/>
          <w:u w:val="single"/>
          <w:lang w:val="en-US" w:eastAsia="zh-CN"/>
        </w:rPr>
      </w:pPr>
      <w:bookmarkStart w:id="2701" w:name="_Toc266451852"/>
    </w:p>
    <w:p w14:paraId="5E06C102">
      <w:pPr>
        <w:pageBreakBefore w:val="0"/>
        <w:kinsoku/>
        <w:wordWrap/>
        <w:overflowPunct/>
        <w:bidi w:val="0"/>
        <w:spacing w:line="360" w:lineRule="auto"/>
        <w:ind w:firstLine="960" w:firstLineChars="200"/>
        <w:jc w:val="center"/>
        <w:rPr>
          <w:rFonts w:hint="eastAsia" w:asciiTheme="minorEastAsia" w:hAnsiTheme="minorEastAsia" w:eastAsiaTheme="minorEastAsia" w:cstheme="minorEastAsia"/>
          <w:b w:val="0"/>
          <w:bCs/>
          <w:color w:val="auto"/>
          <w:position w:val="0"/>
          <w:sz w:val="48"/>
          <w:szCs w:val="48"/>
          <w:highlight w:val="none"/>
          <w:u w:val="single"/>
          <w:lang w:val="en-US" w:eastAsia="zh-CN"/>
        </w:rPr>
      </w:pPr>
      <w:r>
        <w:rPr>
          <w:rFonts w:hint="eastAsia" w:asciiTheme="minorEastAsia" w:hAnsiTheme="minorEastAsia" w:eastAsiaTheme="minorEastAsia" w:cstheme="minorEastAsia"/>
          <w:b w:val="0"/>
          <w:bCs/>
          <w:color w:val="auto"/>
          <w:position w:val="0"/>
          <w:sz w:val="48"/>
          <w:szCs w:val="48"/>
          <w:highlight w:val="none"/>
          <w:u w:val="single"/>
          <w:lang w:val="en-US" w:eastAsia="zh-CN"/>
        </w:rPr>
        <w:t xml:space="preserve">                     （项目名称）</w:t>
      </w:r>
    </w:p>
    <w:p w14:paraId="6651FA37">
      <w:pPr>
        <w:pageBreakBefore w:val="0"/>
        <w:kinsoku/>
        <w:wordWrap/>
        <w:overflowPunct/>
        <w:bidi w:val="0"/>
        <w:spacing w:line="360" w:lineRule="auto"/>
        <w:jc w:val="center"/>
        <w:rPr>
          <w:rFonts w:hint="eastAsia" w:asciiTheme="minorEastAsia" w:hAnsiTheme="minorEastAsia" w:eastAsiaTheme="minorEastAsia" w:cstheme="minorEastAsia"/>
          <w:bCs/>
          <w:color w:val="auto"/>
          <w:position w:val="0"/>
          <w:sz w:val="96"/>
          <w:szCs w:val="96"/>
          <w:highlight w:val="none"/>
        </w:rPr>
      </w:pPr>
    </w:p>
    <w:p w14:paraId="4D3D4399">
      <w:pPr>
        <w:pageBreakBefore w:val="0"/>
        <w:kinsoku/>
        <w:wordWrap/>
        <w:overflowPunct/>
        <w:bidi w:val="0"/>
        <w:spacing w:line="360" w:lineRule="auto"/>
        <w:jc w:val="center"/>
        <w:rPr>
          <w:rFonts w:hint="eastAsia" w:asciiTheme="minorEastAsia" w:hAnsiTheme="minorEastAsia" w:eastAsiaTheme="minorEastAsia" w:cstheme="minorEastAsia"/>
          <w:bCs/>
          <w:color w:val="auto"/>
          <w:position w:val="0"/>
          <w:sz w:val="96"/>
          <w:szCs w:val="96"/>
          <w:highlight w:val="none"/>
        </w:rPr>
      </w:pPr>
      <w:r>
        <w:rPr>
          <w:rFonts w:hint="eastAsia" w:asciiTheme="minorEastAsia" w:hAnsiTheme="minorEastAsia" w:eastAsiaTheme="minorEastAsia" w:cstheme="minorEastAsia"/>
          <w:bCs/>
          <w:color w:val="auto"/>
          <w:position w:val="0"/>
          <w:sz w:val="96"/>
          <w:szCs w:val="96"/>
          <w:highlight w:val="none"/>
        </w:rPr>
        <w:t>投标文件</w:t>
      </w:r>
    </w:p>
    <w:p w14:paraId="6B5A120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auto"/>
          <w:sz w:val="28"/>
          <w:szCs w:val="21"/>
          <w:highlight w:val="none"/>
          <w:lang w:val="en-US" w:eastAsia="zh-CN"/>
        </w:rPr>
      </w:pPr>
      <w:r>
        <w:rPr>
          <w:rFonts w:hint="eastAsia" w:ascii="仿宋" w:hAnsi="仿宋" w:cs="仿宋"/>
          <w:color w:val="auto"/>
          <w:sz w:val="28"/>
          <w:szCs w:val="28"/>
          <w:highlight w:val="none"/>
          <w:lang w:val="en-US" w:eastAsia="zh-CN"/>
        </w:rPr>
        <w:t>招标</w:t>
      </w:r>
      <w:r>
        <w:rPr>
          <w:rFonts w:hint="eastAsia" w:ascii="仿宋" w:hAnsi="仿宋" w:eastAsia="仿宋" w:cs="仿宋"/>
          <w:color w:val="auto"/>
          <w:sz w:val="28"/>
          <w:szCs w:val="28"/>
          <w:highlight w:val="none"/>
        </w:rPr>
        <w:t>编号：</w:t>
      </w:r>
    </w:p>
    <w:p w14:paraId="2630DAB1">
      <w:pPr>
        <w:pStyle w:val="18"/>
        <w:pageBreakBefore w:val="0"/>
        <w:kinsoku/>
        <w:wordWrap/>
        <w:overflowPunct/>
        <w:bidi w:val="0"/>
        <w:spacing w:line="360" w:lineRule="auto"/>
        <w:rPr>
          <w:rFonts w:hint="eastAsia" w:asciiTheme="minorEastAsia" w:hAnsiTheme="minorEastAsia" w:eastAsiaTheme="minorEastAsia" w:cstheme="minorEastAsia"/>
          <w:b/>
          <w:color w:val="auto"/>
          <w:sz w:val="32"/>
          <w:szCs w:val="32"/>
          <w:highlight w:val="none"/>
        </w:rPr>
      </w:pPr>
    </w:p>
    <w:p w14:paraId="53209AA0">
      <w:pPr>
        <w:pageBreakBefore w:val="0"/>
        <w:kinsoku/>
        <w:wordWrap/>
        <w:overflowPunct/>
        <w:bidi w:val="0"/>
        <w:spacing w:line="360" w:lineRule="auto"/>
        <w:ind w:firstLine="1673" w:firstLineChars="595"/>
        <w:rPr>
          <w:rFonts w:hint="eastAsia" w:asciiTheme="minorEastAsia" w:hAnsiTheme="minorEastAsia" w:eastAsiaTheme="minorEastAsia" w:cstheme="minorEastAsia"/>
          <w:b/>
          <w:color w:val="auto"/>
          <w:position w:val="0"/>
          <w:sz w:val="28"/>
          <w:szCs w:val="28"/>
          <w:highlight w:val="none"/>
        </w:rPr>
      </w:pPr>
    </w:p>
    <w:p w14:paraId="59B11882">
      <w:pPr>
        <w:pageBreakBefore w:val="0"/>
        <w:kinsoku/>
        <w:wordWrap/>
        <w:overflowPunct/>
        <w:bidi w:val="0"/>
        <w:spacing w:line="360" w:lineRule="auto"/>
        <w:ind w:firstLine="1673" w:firstLineChars="595"/>
        <w:rPr>
          <w:rFonts w:hint="eastAsia" w:asciiTheme="minorEastAsia" w:hAnsiTheme="minorEastAsia" w:eastAsiaTheme="minorEastAsia" w:cstheme="minorEastAsia"/>
          <w:b/>
          <w:color w:val="auto"/>
          <w:position w:val="0"/>
          <w:sz w:val="28"/>
          <w:szCs w:val="28"/>
          <w:highlight w:val="none"/>
        </w:rPr>
      </w:pPr>
    </w:p>
    <w:p w14:paraId="479DF75F">
      <w:pPr>
        <w:pageBreakBefore w:val="0"/>
        <w:kinsoku/>
        <w:wordWrap/>
        <w:overflowPunct/>
        <w:bidi w:val="0"/>
        <w:spacing w:line="360" w:lineRule="auto"/>
        <w:ind w:firstLine="1673" w:firstLineChars="595"/>
        <w:rPr>
          <w:rFonts w:hint="eastAsia" w:asciiTheme="minorEastAsia" w:hAnsiTheme="minorEastAsia" w:eastAsiaTheme="minorEastAsia" w:cstheme="minorEastAsia"/>
          <w:b/>
          <w:color w:val="auto"/>
          <w:position w:val="0"/>
          <w:sz w:val="28"/>
          <w:szCs w:val="28"/>
          <w:highlight w:val="none"/>
        </w:rPr>
      </w:pPr>
    </w:p>
    <w:p w14:paraId="0E9A935A">
      <w:pPr>
        <w:pageBreakBefore w:val="0"/>
        <w:kinsoku/>
        <w:wordWrap/>
        <w:overflowPunct/>
        <w:bidi w:val="0"/>
        <w:spacing w:line="360" w:lineRule="auto"/>
        <w:ind w:firstLine="1673" w:firstLineChars="595"/>
        <w:rPr>
          <w:rFonts w:hint="eastAsia" w:asciiTheme="minorEastAsia" w:hAnsiTheme="minorEastAsia" w:eastAsiaTheme="minorEastAsia" w:cstheme="minorEastAsia"/>
          <w:b/>
          <w:color w:val="auto"/>
          <w:position w:val="0"/>
          <w:sz w:val="28"/>
          <w:szCs w:val="28"/>
          <w:highlight w:val="none"/>
        </w:rPr>
      </w:pPr>
    </w:p>
    <w:p w14:paraId="3DD68FD4">
      <w:pPr>
        <w:pageBreakBefore w:val="0"/>
        <w:kinsoku/>
        <w:wordWrap/>
        <w:overflowPunct/>
        <w:bidi w:val="0"/>
        <w:spacing w:line="360" w:lineRule="auto"/>
        <w:ind w:firstLine="1673" w:firstLineChars="595"/>
        <w:rPr>
          <w:rFonts w:hint="eastAsia" w:asciiTheme="minorEastAsia" w:hAnsiTheme="minorEastAsia" w:eastAsiaTheme="minorEastAsia" w:cstheme="minorEastAsia"/>
          <w:b/>
          <w:color w:val="auto"/>
          <w:position w:val="0"/>
          <w:sz w:val="28"/>
          <w:szCs w:val="28"/>
          <w:highlight w:val="none"/>
        </w:rPr>
      </w:pPr>
    </w:p>
    <w:p w14:paraId="3CC8B222">
      <w:pPr>
        <w:pageBreakBefore w:val="0"/>
        <w:kinsoku/>
        <w:wordWrap/>
        <w:overflowPunct/>
        <w:bidi w:val="0"/>
        <w:spacing w:line="360" w:lineRule="auto"/>
        <w:ind w:firstLine="1673" w:firstLineChars="595"/>
        <w:rPr>
          <w:rFonts w:hint="eastAsia" w:asciiTheme="minorEastAsia" w:hAnsiTheme="minorEastAsia" w:eastAsiaTheme="minorEastAsia" w:cstheme="minorEastAsia"/>
          <w:b/>
          <w:color w:val="auto"/>
          <w:position w:val="0"/>
          <w:sz w:val="28"/>
          <w:szCs w:val="28"/>
          <w:highlight w:val="none"/>
        </w:rPr>
      </w:pPr>
    </w:p>
    <w:p w14:paraId="3F5800D7">
      <w:pPr>
        <w:pageBreakBefore w:val="0"/>
        <w:kinsoku/>
        <w:wordWrap/>
        <w:overflowPunct/>
        <w:bidi w:val="0"/>
        <w:spacing w:line="360" w:lineRule="auto"/>
        <w:ind w:firstLine="1673" w:firstLineChars="595"/>
        <w:rPr>
          <w:rFonts w:hint="eastAsia" w:asciiTheme="minorEastAsia" w:hAnsiTheme="minorEastAsia" w:eastAsiaTheme="minorEastAsia" w:cstheme="minorEastAsia"/>
          <w:b/>
          <w:color w:val="auto"/>
          <w:position w:val="0"/>
          <w:sz w:val="28"/>
          <w:szCs w:val="28"/>
          <w:highlight w:val="none"/>
        </w:rPr>
      </w:pPr>
    </w:p>
    <w:p w14:paraId="750D055D">
      <w:pPr>
        <w:pageBreakBefore w:val="0"/>
        <w:kinsoku/>
        <w:wordWrap/>
        <w:overflowPunct/>
        <w:bidi w:val="0"/>
        <w:spacing w:line="360" w:lineRule="auto"/>
        <w:ind w:firstLine="360" w:firstLineChars="100"/>
        <w:jc w:val="both"/>
        <w:rPr>
          <w:rFonts w:hint="eastAsia" w:asciiTheme="minorEastAsia" w:hAnsiTheme="minorEastAsia" w:eastAsiaTheme="minorEastAsia" w:cstheme="minorEastAsia"/>
          <w:color w:val="auto"/>
          <w:position w:val="0"/>
          <w:sz w:val="36"/>
          <w:szCs w:val="36"/>
          <w:highlight w:val="none"/>
        </w:rPr>
      </w:pPr>
      <w:r>
        <w:rPr>
          <w:rFonts w:hint="eastAsia" w:asciiTheme="minorEastAsia" w:hAnsiTheme="minorEastAsia" w:eastAsiaTheme="minorEastAsia" w:cstheme="minorEastAsia"/>
          <w:color w:val="auto"/>
          <w:position w:val="0"/>
          <w:sz w:val="36"/>
          <w:szCs w:val="36"/>
          <w:highlight w:val="none"/>
        </w:rPr>
        <w:t>投标人：</w:t>
      </w:r>
      <w:r>
        <w:rPr>
          <w:rFonts w:hint="eastAsia" w:asciiTheme="minorEastAsia" w:hAnsiTheme="minorEastAsia" w:eastAsiaTheme="minorEastAsia" w:cstheme="minorEastAsia"/>
          <w:color w:val="auto"/>
          <w:position w:val="0"/>
          <w:sz w:val="36"/>
          <w:szCs w:val="36"/>
          <w:highlight w:val="none"/>
          <w:u w:val="single"/>
          <w:lang w:val="en-US" w:eastAsia="zh-CN"/>
        </w:rPr>
        <w:t xml:space="preserve">           </w:t>
      </w:r>
      <w:r>
        <w:rPr>
          <w:rFonts w:hint="eastAsia" w:asciiTheme="minorEastAsia" w:hAnsiTheme="minorEastAsia" w:eastAsiaTheme="minorEastAsia" w:cstheme="minorEastAsia"/>
          <w:color w:val="auto"/>
          <w:position w:val="0"/>
          <w:sz w:val="36"/>
          <w:szCs w:val="36"/>
          <w:highlight w:val="none"/>
        </w:rPr>
        <w:t>（电子签章）</w:t>
      </w:r>
    </w:p>
    <w:p w14:paraId="386645DA">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36"/>
          <w:szCs w:val="36"/>
          <w:highlight w:val="none"/>
        </w:rPr>
      </w:pPr>
      <w:r>
        <w:rPr>
          <w:rFonts w:hint="eastAsia" w:asciiTheme="minorEastAsia" w:hAnsiTheme="minorEastAsia" w:eastAsiaTheme="minorEastAsia" w:cstheme="minorEastAsia"/>
          <w:color w:val="auto"/>
          <w:position w:val="0"/>
          <w:sz w:val="36"/>
          <w:szCs w:val="36"/>
          <w:highlight w:val="none"/>
        </w:rPr>
        <w:t>法定代表人或其委托代理人：</w:t>
      </w:r>
      <w:r>
        <w:rPr>
          <w:rFonts w:hint="eastAsia" w:asciiTheme="minorEastAsia" w:hAnsiTheme="minorEastAsia" w:eastAsiaTheme="minorEastAsia" w:cstheme="minorEastAsia"/>
          <w:color w:val="auto"/>
          <w:position w:val="0"/>
          <w:sz w:val="36"/>
          <w:szCs w:val="36"/>
          <w:highlight w:val="none"/>
          <w:u w:val="single"/>
          <w:lang w:val="en-US" w:eastAsia="zh-CN"/>
        </w:rPr>
        <w:t xml:space="preserve">           </w:t>
      </w:r>
      <w:r>
        <w:rPr>
          <w:rFonts w:hint="eastAsia" w:asciiTheme="minorEastAsia" w:hAnsiTheme="minorEastAsia" w:eastAsiaTheme="minorEastAsia" w:cstheme="minorEastAsia"/>
          <w:color w:val="auto"/>
          <w:position w:val="0"/>
          <w:sz w:val="36"/>
          <w:szCs w:val="36"/>
          <w:highlight w:val="none"/>
        </w:rPr>
        <w:t>（电子签章）</w:t>
      </w:r>
    </w:p>
    <w:p w14:paraId="5C3FEF83">
      <w:pPr>
        <w:pageBreakBefore w:val="0"/>
        <w:kinsoku/>
        <w:wordWrap/>
        <w:overflowPunct/>
        <w:bidi w:val="0"/>
        <w:spacing w:line="360" w:lineRule="auto"/>
        <w:jc w:val="center"/>
        <w:rPr>
          <w:rFonts w:hint="eastAsia" w:asciiTheme="minorEastAsia" w:hAnsiTheme="minorEastAsia" w:eastAsiaTheme="minorEastAsia" w:cstheme="minorEastAsia"/>
          <w:b w:val="0"/>
          <w:bCs/>
          <w:color w:val="auto"/>
          <w:position w:val="0"/>
          <w:sz w:val="28"/>
          <w:szCs w:val="28"/>
          <w:highlight w:val="none"/>
        </w:rPr>
      </w:pPr>
    </w:p>
    <w:p w14:paraId="1C8C8E03">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30"/>
          <w:szCs w:val="30"/>
          <w:highlight w:val="none"/>
        </w:rPr>
      </w:pPr>
      <w:r>
        <w:rPr>
          <w:rFonts w:hint="eastAsia" w:asciiTheme="minorEastAsia" w:hAnsiTheme="minorEastAsia" w:eastAsiaTheme="minorEastAsia" w:cstheme="minorEastAsia"/>
          <w:b w:val="0"/>
          <w:bCs/>
          <w:color w:val="auto"/>
          <w:position w:val="0"/>
          <w:sz w:val="28"/>
          <w:szCs w:val="28"/>
          <w:highlight w:val="none"/>
        </w:rPr>
        <w:t>日  期：   年  月  日</w:t>
      </w:r>
      <w:r>
        <w:rPr>
          <w:rFonts w:hint="eastAsia" w:asciiTheme="minorEastAsia" w:hAnsiTheme="minorEastAsia" w:eastAsiaTheme="minorEastAsia" w:cstheme="minorEastAsia"/>
          <w:b w:val="0"/>
          <w:bCs/>
          <w:color w:val="auto"/>
          <w:position w:val="0"/>
          <w:sz w:val="28"/>
          <w:szCs w:val="28"/>
          <w:highlight w:val="none"/>
        </w:rPr>
        <w:br w:type="page"/>
      </w:r>
      <w:bookmarkEnd w:id="2701"/>
      <w:bookmarkStart w:id="2702" w:name="_Toc266451859"/>
      <w:bookmarkStart w:id="2703" w:name="_Toc184635143"/>
      <w:bookmarkStart w:id="2704" w:name="_Toc445301030"/>
      <w:r>
        <w:rPr>
          <w:rFonts w:hint="eastAsia" w:asciiTheme="minorEastAsia" w:hAnsiTheme="minorEastAsia" w:eastAsiaTheme="minorEastAsia" w:cstheme="minorEastAsia"/>
          <w:color w:val="auto"/>
          <w:position w:val="0"/>
          <w:sz w:val="30"/>
          <w:szCs w:val="30"/>
          <w:highlight w:val="none"/>
        </w:rPr>
        <w:t>目   录</w:t>
      </w:r>
    </w:p>
    <w:p w14:paraId="40DB5D54">
      <w:pPr>
        <w:pageBreakBefore w:val="0"/>
        <w:kinsoku/>
        <w:wordWrap/>
        <w:overflowPunct/>
        <w:bidi w:val="0"/>
        <w:spacing w:before="120" w:beforeLines="50" w:after="120" w:afterLines="50" w:line="360" w:lineRule="auto"/>
        <w:ind w:firstLine="4080" w:firstLineChars="1700"/>
        <w:jc w:val="both"/>
        <w:rPr>
          <w:rFonts w:hint="eastAsia" w:asciiTheme="minorEastAsia" w:hAnsiTheme="minorEastAsia" w:eastAsiaTheme="minorEastAsia" w:cstheme="minorEastAsia"/>
          <w:color w:val="auto"/>
          <w:position w:val="0"/>
          <w:sz w:val="24"/>
          <w:szCs w:val="24"/>
          <w:highlight w:val="none"/>
          <w:lang w:eastAsia="zh-CN"/>
        </w:rPr>
      </w:pPr>
      <w:r>
        <w:rPr>
          <w:rFonts w:hint="eastAsia" w:asciiTheme="minorEastAsia" w:hAnsiTheme="minorEastAsia" w:eastAsiaTheme="minorEastAsia" w:cstheme="minorEastAsia"/>
          <w:color w:val="auto"/>
          <w:position w:val="0"/>
          <w:sz w:val="24"/>
          <w:szCs w:val="24"/>
          <w:highlight w:val="none"/>
          <w:lang w:eastAsia="zh-CN"/>
        </w:rPr>
        <w:t>（</w:t>
      </w:r>
      <w:r>
        <w:rPr>
          <w:rFonts w:hint="eastAsia" w:asciiTheme="minorEastAsia" w:hAnsiTheme="minorEastAsia" w:eastAsiaTheme="minorEastAsia" w:cstheme="minorEastAsia"/>
          <w:color w:val="auto"/>
          <w:position w:val="0"/>
          <w:sz w:val="24"/>
          <w:szCs w:val="24"/>
          <w:highlight w:val="none"/>
          <w:lang w:val="en-US" w:eastAsia="zh-CN"/>
        </w:rPr>
        <w:t>格式自拟</w:t>
      </w:r>
      <w:r>
        <w:rPr>
          <w:rFonts w:hint="eastAsia" w:asciiTheme="minorEastAsia" w:hAnsiTheme="minorEastAsia" w:eastAsiaTheme="minorEastAsia" w:cstheme="minorEastAsia"/>
          <w:color w:val="auto"/>
          <w:position w:val="0"/>
          <w:sz w:val="24"/>
          <w:szCs w:val="24"/>
          <w:highlight w:val="none"/>
          <w:lang w:eastAsia="zh-CN"/>
        </w:rPr>
        <w:t>）</w:t>
      </w:r>
    </w:p>
    <w:p w14:paraId="346AA760">
      <w:pPr>
        <w:pageBreakBefore w:val="0"/>
        <w:kinsoku/>
        <w:wordWrap/>
        <w:overflowPunct/>
        <w:bidi w:val="0"/>
        <w:spacing w:line="360" w:lineRule="auto"/>
        <w:ind w:firstLine="3078" w:firstLineChars="1095"/>
        <w:rPr>
          <w:rFonts w:hint="eastAsia" w:asciiTheme="minorEastAsia" w:hAnsiTheme="minorEastAsia" w:eastAsiaTheme="minorEastAsia" w:cstheme="minorEastAsia"/>
          <w:b/>
          <w:color w:val="auto"/>
          <w:position w:val="0"/>
          <w:sz w:val="28"/>
          <w:szCs w:val="28"/>
          <w:highlight w:val="none"/>
        </w:rPr>
      </w:pPr>
    </w:p>
    <w:p w14:paraId="31C552FA">
      <w:pPr>
        <w:pageBreakBefore w:val="0"/>
        <w:kinsoku/>
        <w:wordWrap/>
        <w:overflowPunct/>
        <w:bidi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1C3AECFD">
      <w:pPr>
        <w:pStyle w:val="3"/>
        <w:pageBreakBefore w:val="0"/>
        <w:kinsoku/>
        <w:wordWrap/>
        <w:overflowPunct/>
        <w:bidi w:val="0"/>
        <w:spacing w:line="360" w:lineRule="auto"/>
        <w:jc w:val="left"/>
        <w:rPr>
          <w:rFonts w:hint="eastAsia" w:asciiTheme="minorEastAsia" w:hAnsiTheme="minorEastAsia" w:eastAsiaTheme="minorEastAsia" w:cstheme="minorEastAsia"/>
          <w:color w:val="auto"/>
          <w:sz w:val="28"/>
          <w:szCs w:val="28"/>
          <w:highlight w:val="none"/>
        </w:rPr>
      </w:pPr>
      <w:bookmarkStart w:id="2705" w:name="_Toc495524408"/>
      <w:bookmarkStart w:id="2706" w:name="_Toc13210"/>
      <w:bookmarkStart w:id="2707" w:name="_Toc445301023"/>
      <w:bookmarkStart w:id="2708" w:name="_Toc466896370"/>
      <w:r>
        <w:rPr>
          <w:rFonts w:hint="eastAsia" w:asciiTheme="minorEastAsia" w:hAnsiTheme="minorEastAsia" w:eastAsiaTheme="minorEastAsia" w:cstheme="minorEastAsia"/>
          <w:color w:val="auto"/>
          <w:sz w:val="28"/>
          <w:szCs w:val="28"/>
          <w:highlight w:val="none"/>
        </w:rPr>
        <w:t>一</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rPr>
        <w:t>投标函格式</w:t>
      </w:r>
      <w:bookmarkEnd w:id="2705"/>
      <w:bookmarkEnd w:id="2706"/>
      <w:bookmarkEnd w:id="2707"/>
      <w:bookmarkEnd w:id="2708"/>
    </w:p>
    <w:p w14:paraId="29A07F37">
      <w:pPr>
        <w:pStyle w:val="4"/>
        <w:pageBreakBefore w:val="0"/>
        <w:widowControl/>
        <w:kinsoku/>
        <w:wordWrap/>
        <w:overflowPunct/>
        <w:bidi w:val="0"/>
        <w:spacing w:line="360" w:lineRule="auto"/>
        <w:jc w:val="center"/>
        <w:rPr>
          <w:rFonts w:hint="eastAsia" w:asciiTheme="minorEastAsia" w:hAnsiTheme="minorEastAsia" w:eastAsiaTheme="minorEastAsia" w:cstheme="minorEastAsia"/>
          <w:b w:val="0"/>
          <w:color w:val="auto"/>
          <w:sz w:val="28"/>
          <w:szCs w:val="28"/>
          <w:highlight w:val="none"/>
        </w:rPr>
      </w:pPr>
      <w:bookmarkStart w:id="2709" w:name="_Toc27252"/>
      <w:bookmarkStart w:id="2710" w:name="_Toc266451853"/>
      <w:bookmarkStart w:id="2711" w:name="_Toc532562657"/>
      <w:bookmarkStart w:id="2712" w:name="_Toc510531442"/>
      <w:bookmarkStart w:id="2713" w:name="_Toc466896371"/>
      <w:bookmarkStart w:id="2714" w:name="_Toc519779702"/>
      <w:bookmarkStart w:id="2715" w:name="_Toc445301024"/>
      <w:bookmarkStart w:id="2716" w:name="_Toc495524409"/>
      <w:bookmarkStart w:id="2717" w:name="_Toc24979"/>
      <w:bookmarkStart w:id="2718" w:name="_Toc14368"/>
      <w:r>
        <w:rPr>
          <w:rFonts w:hint="eastAsia" w:asciiTheme="minorEastAsia" w:hAnsiTheme="minorEastAsia" w:eastAsiaTheme="minorEastAsia" w:cstheme="minorEastAsia"/>
          <w:b w:val="0"/>
          <w:color w:val="auto"/>
          <w:sz w:val="28"/>
          <w:szCs w:val="28"/>
          <w:highlight w:val="none"/>
        </w:rPr>
        <w:t>（一）投 标 函</w:t>
      </w:r>
      <w:bookmarkEnd w:id="2709"/>
      <w:bookmarkEnd w:id="2710"/>
      <w:bookmarkEnd w:id="2711"/>
      <w:bookmarkEnd w:id="2712"/>
      <w:bookmarkEnd w:id="2713"/>
      <w:bookmarkEnd w:id="2714"/>
      <w:bookmarkEnd w:id="2715"/>
      <w:bookmarkEnd w:id="2716"/>
      <w:bookmarkEnd w:id="2717"/>
      <w:bookmarkEnd w:id="2718"/>
    </w:p>
    <w:p w14:paraId="337BA74B">
      <w:pPr>
        <w:pageBreakBefore w:val="0"/>
        <w:kinsoku/>
        <w:wordWrap/>
        <w:overflowPunct/>
        <w:bidi w:val="0"/>
        <w:snapToGrid w:val="0"/>
        <w:spacing w:line="360" w:lineRule="auto"/>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u w:val="single"/>
        </w:rPr>
        <w:t>（招标人名称）</w:t>
      </w:r>
      <w:r>
        <w:rPr>
          <w:rFonts w:hint="eastAsia" w:asciiTheme="minorEastAsia" w:hAnsiTheme="minorEastAsia" w:eastAsiaTheme="minorEastAsia" w:cstheme="minorEastAsia"/>
          <w:color w:val="auto"/>
          <w:position w:val="0"/>
          <w:sz w:val="24"/>
          <w:szCs w:val="24"/>
          <w:highlight w:val="none"/>
          <w:u w:val="single"/>
          <w:lang w:eastAsia="zh-CN"/>
        </w:rPr>
        <w:t>：</w:t>
      </w:r>
    </w:p>
    <w:p w14:paraId="2250B4C1">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1.我方</w:t>
      </w:r>
      <w:r>
        <w:rPr>
          <w:rFonts w:hint="eastAsia" w:asciiTheme="minorEastAsia" w:hAnsiTheme="minorEastAsia" w:eastAsiaTheme="minorEastAsia" w:cstheme="minorEastAsia"/>
          <w:color w:val="auto"/>
          <w:position w:val="0"/>
          <w:sz w:val="24"/>
          <w:szCs w:val="24"/>
          <w:highlight w:val="none"/>
          <w:lang w:val="en-US" w:eastAsia="zh-CN"/>
        </w:rPr>
        <w:t>已</w:t>
      </w:r>
      <w:r>
        <w:rPr>
          <w:rFonts w:hint="eastAsia" w:asciiTheme="minorEastAsia" w:hAnsiTheme="minorEastAsia" w:eastAsiaTheme="minorEastAsia" w:cstheme="minorEastAsia"/>
          <w:color w:val="auto"/>
          <w:position w:val="0"/>
          <w:sz w:val="24"/>
          <w:szCs w:val="24"/>
          <w:highlight w:val="none"/>
        </w:rPr>
        <w:t>仔细研究了</w:t>
      </w:r>
      <w:r>
        <w:rPr>
          <w:rFonts w:hint="eastAsia" w:asciiTheme="minorEastAsia" w:hAnsiTheme="minorEastAsia" w:eastAsiaTheme="minorEastAsia" w:cstheme="minorEastAsia"/>
          <w:color w:val="auto"/>
          <w:position w:val="0"/>
          <w:sz w:val="24"/>
          <w:szCs w:val="24"/>
          <w:highlight w:val="none"/>
          <w:u w:val="single"/>
        </w:rPr>
        <w:t>（项目名称）</w:t>
      </w:r>
      <w:r>
        <w:rPr>
          <w:rFonts w:hint="eastAsia" w:asciiTheme="minorEastAsia" w:hAnsiTheme="minorEastAsia" w:eastAsiaTheme="minorEastAsia" w:cstheme="minorEastAsia"/>
          <w:color w:val="auto"/>
          <w:position w:val="0"/>
          <w:sz w:val="24"/>
          <w:szCs w:val="24"/>
          <w:highlight w:val="none"/>
        </w:rPr>
        <w:t>招标文件的全部内容（含补遗书第</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号至第</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号）后就上述设计</w:t>
      </w:r>
      <w:r>
        <w:rPr>
          <w:rFonts w:hint="eastAsia" w:asciiTheme="minorEastAsia" w:hAnsiTheme="minorEastAsia" w:eastAsiaTheme="minorEastAsia" w:cstheme="minorEastAsia"/>
          <w:color w:val="auto"/>
          <w:position w:val="0"/>
          <w:sz w:val="24"/>
          <w:szCs w:val="24"/>
          <w:highlight w:val="none"/>
          <w:lang w:val="en-US" w:eastAsia="zh-CN"/>
        </w:rPr>
        <w:t>施工</w:t>
      </w:r>
      <w:r>
        <w:rPr>
          <w:rFonts w:hint="eastAsia" w:asciiTheme="minorEastAsia" w:hAnsiTheme="minorEastAsia" w:eastAsiaTheme="minorEastAsia" w:cstheme="minorEastAsia"/>
          <w:color w:val="auto"/>
          <w:position w:val="0"/>
          <w:sz w:val="24"/>
          <w:szCs w:val="24"/>
          <w:highlight w:val="none"/>
        </w:rPr>
        <w:t>任务及相关服务进行投标，</w:t>
      </w:r>
      <w:r>
        <w:rPr>
          <w:rFonts w:hint="eastAsia" w:asciiTheme="minorEastAsia" w:hAnsiTheme="minorEastAsia" w:eastAsiaTheme="minorEastAsia" w:cstheme="minorEastAsia"/>
          <w:b/>
          <w:bCs/>
          <w:color w:val="auto"/>
          <w:position w:val="0"/>
          <w:sz w:val="24"/>
          <w:szCs w:val="24"/>
          <w:highlight w:val="none"/>
          <w:lang w:val="en-US" w:eastAsia="zh-CN"/>
        </w:rPr>
        <w:t>设计费</w:t>
      </w:r>
      <w:r>
        <w:rPr>
          <w:rFonts w:hint="eastAsia" w:asciiTheme="minorEastAsia" w:hAnsiTheme="minorEastAsia" w:eastAsiaTheme="minorEastAsia" w:cstheme="minorEastAsia"/>
          <w:b/>
          <w:bCs/>
          <w:color w:val="auto"/>
          <w:position w:val="0"/>
          <w:sz w:val="24"/>
          <w:szCs w:val="24"/>
          <w:highlight w:val="none"/>
        </w:rPr>
        <w:t>投标报价为：</w:t>
      </w:r>
      <w:r>
        <w:rPr>
          <w:rFonts w:hint="eastAsia" w:asciiTheme="minorEastAsia" w:hAnsiTheme="minorEastAsia" w:eastAsiaTheme="minorEastAsia" w:cstheme="minorEastAsia"/>
          <w:b/>
          <w:bCs/>
          <w:color w:val="auto"/>
          <w:position w:val="0"/>
          <w:sz w:val="24"/>
          <w:szCs w:val="24"/>
          <w:highlight w:val="none"/>
          <w:u w:val="single"/>
        </w:rPr>
        <w:t xml:space="preserve">  </w:t>
      </w:r>
      <w:r>
        <w:rPr>
          <w:rFonts w:hint="eastAsia" w:asciiTheme="minorEastAsia" w:hAnsiTheme="minorEastAsia" w:eastAsiaTheme="minorEastAsia" w:cstheme="minorEastAsia"/>
          <w:b/>
          <w:bCs/>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b/>
          <w:bCs/>
          <w:color w:val="auto"/>
          <w:position w:val="0"/>
          <w:sz w:val="24"/>
          <w:szCs w:val="24"/>
          <w:highlight w:val="none"/>
          <w:u w:val="single"/>
        </w:rPr>
        <w:t xml:space="preserve">  </w:t>
      </w:r>
      <w:r>
        <w:rPr>
          <w:rFonts w:hint="eastAsia" w:asciiTheme="minorEastAsia" w:hAnsiTheme="minorEastAsia" w:eastAsiaTheme="minorEastAsia" w:cstheme="minorEastAsia"/>
          <w:b/>
          <w:bCs/>
          <w:color w:val="auto"/>
          <w:position w:val="0"/>
          <w:sz w:val="24"/>
          <w:szCs w:val="24"/>
          <w:highlight w:val="none"/>
          <w:u w:val="single"/>
          <w:lang w:val="en-US" w:eastAsia="zh-CN"/>
        </w:rPr>
        <w:t>元（大写： ）</w:t>
      </w:r>
      <w:r>
        <w:rPr>
          <w:rFonts w:hint="eastAsia" w:asciiTheme="minorEastAsia" w:hAnsiTheme="minorEastAsia" w:eastAsiaTheme="minorEastAsia" w:cstheme="minorEastAsia"/>
          <w:b/>
          <w:bCs/>
          <w:color w:val="auto"/>
          <w:position w:val="0"/>
          <w:sz w:val="24"/>
          <w:szCs w:val="24"/>
          <w:highlight w:val="none"/>
          <w:lang w:eastAsia="zh-CN"/>
        </w:rPr>
        <w:t>；</w:t>
      </w:r>
      <w:r>
        <w:rPr>
          <w:rFonts w:hint="eastAsia" w:asciiTheme="minorEastAsia" w:hAnsiTheme="minorEastAsia" w:eastAsiaTheme="minorEastAsia" w:cstheme="minorEastAsia"/>
          <w:b/>
          <w:bCs/>
          <w:color w:val="auto"/>
          <w:position w:val="0"/>
          <w:sz w:val="24"/>
          <w:szCs w:val="24"/>
          <w:highlight w:val="none"/>
          <w:lang w:val="en-US" w:eastAsia="zh-CN"/>
        </w:rPr>
        <w:t>施工费</w:t>
      </w:r>
      <w:r>
        <w:rPr>
          <w:rFonts w:hint="eastAsia" w:asciiTheme="minorEastAsia" w:hAnsiTheme="minorEastAsia" w:eastAsiaTheme="minorEastAsia" w:cstheme="minorEastAsia"/>
          <w:b/>
          <w:bCs/>
          <w:color w:val="auto"/>
          <w:position w:val="0"/>
          <w:sz w:val="24"/>
          <w:szCs w:val="24"/>
          <w:highlight w:val="none"/>
        </w:rPr>
        <w:t>（下浮率）为：</w:t>
      </w:r>
      <w:r>
        <w:rPr>
          <w:rFonts w:hint="eastAsia" w:asciiTheme="minorEastAsia" w:hAnsiTheme="minorEastAsia" w:eastAsiaTheme="minorEastAsia" w:cstheme="minorEastAsia"/>
          <w:b/>
          <w:bCs/>
          <w:color w:val="auto"/>
          <w:position w:val="0"/>
          <w:sz w:val="24"/>
          <w:szCs w:val="24"/>
          <w:highlight w:val="none"/>
          <w:u w:val="single"/>
        </w:rPr>
        <w:t xml:space="preserve">   %</w:t>
      </w:r>
      <w:r>
        <w:rPr>
          <w:rFonts w:hint="eastAsia" w:asciiTheme="minorEastAsia" w:hAnsiTheme="minorEastAsia" w:eastAsiaTheme="minorEastAsia" w:cstheme="minorEastAsia"/>
          <w:b/>
          <w:bCs/>
          <w:color w:val="auto"/>
          <w:position w:val="0"/>
          <w:sz w:val="24"/>
          <w:szCs w:val="24"/>
          <w:highlight w:val="none"/>
          <w:lang w:eastAsia="zh-CN"/>
        </w:rPr>
        <w:t>，</w:t>
      </w:r>
      <w:r>
        <w:rPr>
          <w:rFonts w:hint="eastAsia" w:asciiTheme="minorEastAsia" w:hAnsiTheme="minorEastAsia" w:eastAsiaTheme="minorEastAsia" w:cstheme="minorEastAsia"/>
          <w:b/>
          <w:bCs/>
          <w:color w:val="auto"/>
          <w:position w:val="0"/>
          <w:sz w:val="24"/>
          <w:szCs w:val="24"/>
          <w:highlight w:val="none"/>
          <w:lang w:val="en-US" w:eastAsia="zh-CN"/>
        </w:rPr>
        <w:t>施工费</w:t>
      </w:r>
      <w:r>
        <w:rPr>
          <w:rFonts w:hint="eastAsia" w:asciiTheme="minorEastAsia" w:hAnsiTheme="minorEastAsia" w:eastAsiaTheme="minorEastAsia" w:cstheme="minorEastAsia"/>
          <w:b/>
          <w:bCs/>
          <w:color w:val="auto"/>
          <w:position w:val="0"/>
          <w:sz w:val="24"/>
          <w:szCs w:val="24"/>
          <w:highlight w:val="none"/>
        </w:rPr>
        <w:t>投标报价</w:t>
      </w:r>
      <w:r>
        <w:rPr>
          <w:rFonts w:hint="eastAsia" w:asciiTheme="minorEastAsia" w:hAnsiTheme="minorEastAsia" w:eastAsiaTheme="minorEastAsia" w:cstheme="minorEastAsia"/>
          <w:b/>
          <w:bCs/>
          <w:color w:val="auto"/>
          <w:position w:val="0"/>
          <w:sz w:val="24"/>
          <w:szCs w:val="24"/>
          <w:highlight w:val="none"/>
          <w:lang w:eastAsia="zh-CN"/>
        </w:rPr>
        <w:t>（</w:t>
      </w:r>
      <w:r>
        <w:rPr>
          <w:rFonts w:hint="eastAsia" w:asciiTheme="minorEastAsia" w:hAnsiTheme="minorEastAsia" w:eastAsiaTheme="minorEastAsia" w:cstheme="minorEastAsia"/>
          <w:b/>
          <w:bCs/>
          <w:color w:val="auto"/>
          <w:position w:val="0"/>
          <w:sz w:val="24"/>
          <w:szCs w:val="24"/>
          <w:highlight w:val="none"/>
          <w:lang w:val="en-US" w:eastAsia="zh-CN"/>
        </w:rPr>
        <w:t>1－下浮率</w:t>
      </w:r>
      <w:r>
        <w:rPr>
          <w:rFonts w:hint="eastAsia" w:asciiTheme="minorEastAsia" w:hAnsiTheme="minorEastAsia" w:eastAsiaTheme="minorEastAsia" w:cstheme="minorEastAsia"/>
          <w:b/>
          <w:bCs/>
          <w:color w:val="auto"/>
          <w:position w:val="0"/>
          <w:sz w:val="24"/>
          <w:szCs w:val="24"/>
          <w:highlight w:val="none"/>
          <w:lang w:eastAsia="zh-CN"/>
        </w:rPr>
        <w:t>）</w:t>
      </w:r>
      <w:r>
        <w:rPr>
          <w:rFonts w:hint="eastAsia" w:asciiTheme="minorEastAsia" w:hAnsiTheme="minorEastAsia" w:eastAsiaTheme="minorEastAsia" w:cstheme="minorEastAsia"/>
          <w:b/>
          <w:bCs/>
          <w:color w:val="auto"/>
          <w:position w:val="0"/>
          <w:sz w:val="24"/>
          <w:szCs w:val="24"/>
          <w:highlight w:val="none"/>
        </w:rPr>
        <w:t>为：</w:t>
      </w:r>
      <w:r>
        <w:rPr>
          <w:rFonts w:hint="eastAsia" w:asciiTheme="minorEastAsia" w:hAnsiTheme="minorEastAsia" w:eastAsiaTheme="minorEastAsia" w:cstheme="minorEastAsia"/>
          <w:b/>
          <w:bCs/>
          <w:color w:val="auto"/>
          <w:position w:val="0"/>
          <w:sz w:val="24"/>
          <w:szCs w:val="24"/>
          <w:highlight w:val="none"/>
          <w:u w:val="single"/>
        </w:rPr>
        <w:t xml:space="preserve"> </w:t>
      </w:r>
      <w:r>
        <w:rPr>
          <w:rFonts w:hint="eastAsia" w:asciiTheme="minorEastAsia" w:hAnsiTheme="minorEastAsia" w:eastAsiaTheme="minorEastAsia" w:cstheme="minorEastAsia"/>
          <w:b/>
          <w:bCs/>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b/>
          <w:bCs/>
          <w:color w:val="auto"/>
          <w:position w:val="0"/>
          <w:sz w:val="24"/>
          <w:szCs w:val="24"/>
          <w:highlight w:val="none"/>
          <w:u w:val="single"/>
        </w:rPr>
        <w:t xml:space="preserve"> %</w:t>
      </w:r>
      <w:r>
        <w:rPr>
          <w:rFonts w:hint="eastAsia" w:asciiTheme="minorEastAsia" w:hAnsiTheme="minorEastAsia" w:eastAsiaTheme="minorEastAsia" w:cstheme="minorEastAsia"/>
          <w:b/>
          <w:bCs/>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。按合同约定进行设计</w:t>
      </w:r>
      <w:r>
        <w:rPr>
          <w:rFonts w:hint="eastAsia" w:asciiTheme="minorEastAsia" w:hAnsiTheme="minorEastAsia" w:eastAsiaTheme="minorEastAsia" w:cstheme="minorEastAsia"/>
          <w:color w:val="auto"/>
          <w:position w:val="0"/>
          <w:sz w:val="24"/>
          <w:szCs w:val="24"/>
          <w:highlight w:val="none"/>
          <w:lang w:val="en-US" w:eastAsia="zh-CN"/>
        </w:rPr>
        <w:t>和</w:t>
      </w:r>
      <w:r>
        <w:rPr>
          <w:rFonts w:hint="eastAsia" w:asciiTheme="minorEastAsia" w:hAnsiTheme="minorEastAsia" w:eastAsiaTheme="minorEastAsia" w:cstheme="minorEastAsia"/>
          <w:color w:val="auto"/>
          <w:position w:val="0"/>
          <w:sz w:val="24"/>
          <w:szCs w:val="24"/>
          <w:highlight w:val="none"/>
        </w:rPr>
        <w:t>施工，修补工程中的任何缺陷，实现工程目的。</w:t>
      </w:r>
    </w:p>
    <w:p w14:paraId="566F6A01">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2.我方承诺在招标文件规定的投标有效期内不修改、不撤销投标文件。</w:t>
      </w:r>
    </w:p>
    <w:p w14:paraId="5A8F8329">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3.设计质量：</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，施工质量：</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none"/>
        </w:rPr>
        <w:t>，</w:t>
      </w:r>
      <w:r>
        <w:rPr>
          <w:rFonts w:hint="eastAsia" w:asciiTheme="minorEastAsia" w:hAnsiTheme="minorEastAsia" w:eastAsiaTheme="minorEastAsia" w:cstheme="minorEastAsia"/>
          <w:color w:val="auto"/>
          <w:position w:val="0"/>
          <w:sz w:val="24"/>
          <w:szCs w:val="24"/>
          <w:highlight w:val="none"/>
          <w:u w:val="none"/>
          <w:lang w:val="en-US" w:eastAsia="zh-CN"/>
        </w:rPr>
        <w:t>建设</w:t>
      </w:r>
      <w:r>
        <w:rPr>
          <w:rFonts w:hint="eastAsia" w:asciiTheme="minorEastAsia" w:hAnsiTheme="minorEastAsia" w:eastAsiaTheme="minorEastAsia" w:cstheme="minorEastAsia"/>
          <w:color w:val="auto"/>
          <w:position w:val="0"/>
          <w:sz w:val="24"/>
          <w:szCs w:val="24"/>
          <w:highlight w:val="none"/>
        </w:rPr>
        <w:t>工期：</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w:t>
      </w:r>
    </w:p>
    <w:p w14:paraId="0CF82680">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我方拟投入的设计负责人姓名：</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，施工项目负责人姓名：</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w:t>
      </w:r>
    </w:p>
    <w:p w14:paraId="1CAB4E12">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val="en-US" w:eastAsia="zh-CN"/>
        </w:rPr>
        <w:t>4.</w:t>
      </w:r>
      <w:r>
        <w:rPr>
          <w:rFonts w:hint="eastAsia" w:asciiTheme="minorEastAsia" w:hAnsiTheme="minorEastAsia" w:eastAsiaTheme="minorEastAsia" w:cstheme="minorEastAsia"/>
          <w:color w:val="auto"/>
          <w:position w:val="0"/>
          <w:sz w:val="24"/>
          <w:szCs w:val="24"/>
          <w:highlight w:val="none"/>
        </w:rPr>
        <w:t>如我方中标：</w:t>
      </w:r>
    </w:p>
    <w:p w14:paraId="4CDA1542">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（1）我方承诺在收到中标通知书后，在中标通知书规定的期限内与你方签订合同。</w:t>
      </w:r>
    </w:p>
    <w:p w14:paraId="59E81431">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（2）本投标函属于合同文件的组成部分。</w:t>
      </w:r>
    </w:p>
    <w:p w14:paraId="33555E92">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w:t>
      </w:r>
      <w:r>
        <w:rPr>
          <w:rFonts w:hint="eastAsia" w:asciiTheme="minorEastAsia" w:hAnsiTheme="minorEastAsia" w:eastAsiaTheme="minorEastAsia" w:cstheme="minorEastAsia"/>
          <w:color w:val="auto"/>
          <w:position w:val="0"/>
          <w:sz w:val="24"/>
          <w:szCs w:val="24"/>
          <w:highlight w:val="none"/>
          <w:lang w:val="en-US" w:eastAsia="zh-CN"/>
        </w:rPr>
        <w:t>3</w:t>
      </w:r>
      <w:r>
        <w:rPr>
          <w:rFonts w:hint="eastAsia" w:asciiTheme="minorEastAsia" w:hAnsiTheme="minorEastAsia" w:eastAsiaTheme="minorEastAsia" w:cstheme="minorEastAsia"/>
          <w:color w:val="auto"/>
          <w:position w:val="0"/>
          <w:sz w:val="24"/>
          <w:szCs w:val="24"/>
          <w:highlight w:val="none"/>
        </w:rPr>
        <w:t>）我方承诺在合同约定的期限内完成并移交全部合同工程。</w:t>
      </w:r>
    </w:p>
    <w:p w14:paraId="20B1C2B0">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val="en-US" w:eastAsia="zh-CN"/>
        </w:rPr>
        <w:t>5.</w:t>
      </w:r>
      <w:r>
        <w:rPr>
          <w:rFonts w:hint="eastAsia" w:asciiTheme="minorEastAsia" w:hAnsiTheme="minorEastAsia" w:eastAsiaTheme="minorEastAsia" w:cstheme="minorEastAsia"/>
          <w:color w:val="auto"/>
          <w:position w:val="0"/>
          <w:sz w:val="24"/>
          <w:szCs w:val="24"/>
          <w:highlight w:val="none"/>
        </w:rPr>
        <w:t>我方在此声明，所递交的投标文件及有关资料内容完整、真实和准确，不存在第二章“投标人须知”第1.4.3项和第1.4.4项规定的任何一种情形。</w:t>
      </w:r>
    </w:p>
    <w:p w14:paraId="4117F680">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lang w:val="en-US" w:eastAsia="zh-CN"/>
        </w:rPr>
        <w:t>6.</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（其他补充说明）。</w:t>
      </w:r>
    </w:p>
    <w:p w14:paraId="54D24EA9">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p>
    <w:p w14:paraId="212CE74A">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（电子签章）</w:t>
      </w:r>
    </w:p>
    <w:p w14:paraId="0384138F">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法定代表人或其委托代理人：</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（电子签章）</w:t>
      </w:r>
    </w:p>
    <w:p w14:paraId="0F7BA145">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地址：</w:t>
      </w:r>
      <w:r>
        <w:rPr>
          <w:rFonts w:hint="eastAsia" w:asciiTheme="minorEastAsia" w:hAnsiTheme="minorEastAsia" w:eastAsiaTheme="minorEastAsia" w:cstheme="minorEastAsia"/>
          <w:color w:val="auto"/>
          <w:position w:val="0"/>
          <w:sz w:val="24"/>
          <w:szCs w:val="24"/>
          <w:highlight w:val="none"/>
          <w:u w:val="single"/>
        </w:rPr>
        <w:t xml:space="preserve">   </w:t>
      </w:r>
    </w:p>
    <w:p w14:paraId="7D0A2AD7">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网址：</w:t>
      </w:r>
      <w:r>
        <w:rPr>
          <w:rFonts w:hint="eastAsia" w:asciiTheme="minorEastAsia" w:hAnsiTheme="minorEastAsia" w:eastAsiaTheme="minorEastAsia" w:cstheme="minorEastAsia"/>
          <w:color w:val="auto"/>
          <w:position w:val="0"/>
          <w:sz w:val="24"/>
          <w:szCs w:val="24"/>
          <w:highlight w:val="none"/>
          <w:u w:val="single"/>
        </w:rPr>
        <w:t xml:space="preserve">   </w:t>
      </w:r>
    </w:p>
    <w:p w14:paraId="2260C83D">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电话：</w:t>
      </w:r>
      <w:r>
        <w:rPr>
          <w:rFonts w:hint="eastAsia" w:asciiTheme="minorEastAsia" w:hAnsiTheme="minorEastAsia" w:eastAsiaTheme="minorEastAsia" w:cstheme="minorEastAsia"/>
          <w:color w:val="auto"/>
          <w:position w:val="0"/>
          <w:sz w:val="24"/>
          <w:szCs w:val="24"/>
          <w:highlight w:val="none"/>
          <w:u w:val="single"/>
        </w:rPr>
        <w:t xml:space="preserve">   </w:t>
      </w:r>
    </w:p>
    <w:p w14:paraId="208FAB7F">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传真：</w:t>
      </w:r>
      <w:r>
        <w:rPr>
          <w:rFonts w:hint="eastAsia" w:asciiTheme="minorEastAsia" w:hAnsiTheme="minorEastAsia" w:eastAsiaTheme="minorEastAsia" w:cstheme="minorEastAsia"/>
          <w:color w:val="auto"/>
          <w:position w:val="0"/>
          <w:sz w:val="24"/>
          <w:szCs w:val="24"/>
          <w:highlight w:val="none"/>
          <w:u w:val="single"/>
        </w:rPr>
        <w:t xml:space="preserve">   </w:t>
      </w:r>
    </w:p>
    <w:p w14:paraId="6A0DA135">
      <w:pPr>
        <w:pageBreakBefore w:val="0"/>
        <w:kinsoku/>
        <w:wordWrap/>
        <w:overflowPunct/>
        <w:bidi w:val="0"/>
        <w:snapToGrid w:val="0"/>
        <w:spacing w:line="360" w:lineRule="auto"/>
        <w:ind w:firstLine="2834" w:firstLineChars="1181"/>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邮政编码：</w:t>
      </w:r>
      <w:r>
        <w:rPr>
          <w:rFonts w:hint="eastAsia" w:asciiTheme="minorEastAsia" w:hAnsiTheme="minorEastAsia" w:eastAsiaTheme="minorEastAsia" w:cstheme="minorEastAsia"/>
          <w:color w:val="auto"/>
          <w:position w:val="0"/>
          <w:sz w:val="24"/>
          <w:szCs w:val="24"/>
          <w:highlight w:val="none"/>
          <w:u w:val="single"/>
        </w:rPr>
        <w:t xml:space="preserve">   </w:t>
      </w:r>
    </w:p>
    <w:p w14:paraId="293F4451">
      <w:pPr>
        <w:pageBreakBefore w:val="0"/>
        <w:kinsoku/>
        <w:wordWrap/>
        <w:overflowPunct/>
        <w:bidi w:val="0"/>
        <w:snapToGrid w:val="0"/>
        <w:spacing w:line="360" w:lineRule="auto"/>
        <w:ind w:firstLine="2760" w:firstLineChars="115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u w:val="none"/>
          <w:lang w:val="en-US" w:eastAsia="zh-CN"/>
        </w:rPr>
        <w:t>日期：</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年</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月</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日</w:t>
      </w:r>
    </w:p>
    <w:p w14:paraId="09788A5E">
      <w:pPr>
        <w:pageBreakBefore w:val="0"/>
        <w:kinsoku/>
        <w:wordWrap/>
        <w:overflowPunct/>
        <w:bidi w:val="0"/>
        <w:spacing w:line="360" w:lineRule="auto"/>
        <w:rPr>
          <w:rFonts w:hint="eastAsia" w:asciiTheme="minorEastAsia" w:hAnsiTheme="minorEastAsia" w:eastAsiaTheme="minorEastAsia" w:cstheme="minorEastAsia"/>
          <w:color w:val="auto"/>
          <w:highlight w:val="none"/>
        </w:rPr>
      </w:pPr>
      <w:bookmarkStart w:id="2719" w:name="_Toc510531443"/>
      <w:bookmarkStart w:id="2720" w:name="_Toc266451854"/>
      <w:bookmarkStart w:id="2721" w:name="_Toc445301025"/>
      <w:bookmarkStart w:id="2722" w:name="_Toc88917977"/>
      <w:bookmarkStart w:id="2723" w:name="_Toc466896372"/>
      <w:bookmarkStart w:id="2724" w:name="_Toc495524410"/>
      <w:r>
        <w:rPr>
          <w:rFonts w:hint="eastAsia" w:asciiTheme="minorEastAsia" w:hAnsiTheme="minorEastAsia" w:eastAsiaTheme="minorEastAsia" w:cstheme="minorEastAsia"/>
          <w:color w:val="auto"/>
          <w:highlight w:val="none"/>
        </w:rPr>
        <w:br w:type="page"/>
      </w:r>
    </w:p>
    <w:bookmarkEnd w:id="2719"/>
    <w:bookmarkEnd w:id="2720"/>
    <w:bookmarkEnd w:id="2721"/>
    <w:bookmarkEnd w:id="2722"/>
    <w:bookmarkEnd w:id="2723"/>
    <w:bookmarkEnd w:id="2724"/>
    <w:p w14:paraId="4F003BBF">
      <w:pPr>
        <w:pStyle w:val="4"/>
        <w:pageBreakBefore w:val="0"/>
        <w:widowControl/>
        <w:kinsoku/>
        <w:wordWrap/>
        <w:overflowPunct/>
        <w:bidi w:val="0"/>
        <w:spacing w:line="360" w:lineRule="auto"/>
        <w:jc w:val="center"/>
        <w:rPr>
          <w:rFonts w:hint="eastAsia" w:asciiTheme="minorEastAsia" w:hAnsiTheme="minorEastAsia" w:eastAsiaTheme="minorEastAsia" w:cstheme="minorEastAsia"/>
          <w:b w:val="0"/>
          <w:color w:val="auto"/>
          <w:sz w:val="28"/>
          <w:szCs w:val="28"/>
          <w:highlight w:val="none"/>
          <w:lang w:val="en-US" w:eastAsia="zh-CN"/>
        </w:rPr>
      </w:pPr>
      <w:r>
        <w:rPr>
          <w:rFonts w:hint="eastAsia" w:asciiTheme="minorEastAsia" w:hAnsiTheme="minorEastAsia" w:eastAsiaTheme="minorEastAsia" w:cstheme="minorEastAsia"/>
          <w:b w:val="0"/>
          <w:color w:val="auto"/>
          <w:sz w:val="28"/>
          <w:szCs w:val="28"/>
          <w:highlight w:val="none"/>
          <w:lang w:val="en-US" w:eastAsia="zh-CN"/>
        </w:rPr>
        <w:t>（二）投标函附录</w:t>
      </w:r>
    </w:p>
    <w:p w14:paraId="76E49E15">
      <w:pPr>
        <w:spacing w:line="240" w:lineRule="auto"/>
        <w:ind w:firstLine="240" w:firstLineChars="10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项目名称：</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   </w:t>
      </w:r>
    </w:p>
    <w:tbl>
      <w:tblPr>
        <w:tblStyle w:val="45"/>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944"/>
        <w:gridCol w:w="4326"/>
        <w:gridCol w:w="2154"/>
      </w:tblGrid>
      <w:tr w14:paraId="70AA4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53" w:type="dxa"/>
            <w:tcBorders>
              <w:tl2br w:val="nil"/>
              <w:tr2bl w:val="nil"/>
            </w:tcBorders>
            <w:vAlign w:val="center"/>
          </w:tcPr>
          <w:p w14:paraId="1E645403">
            <w:pPr>
              <w:spacing w:line="240" w:lineRule="auto"/>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1944" w:type="dxa"/>
            <w:tcBorders>
              <w:tl2br w:val="nil"/>
              <w:tr2bl w:val="nil"/>
            </w:tcBorders>
            <w:vAlign w:val="center"/>
          </w:tcPr>
          <w:p w14:paraId="470AFFB9">
            <w:pPr>
              <w:spacing w:line="240" w:lineRule="auto"/>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条款名称</w:t>
            </w:r>
          </w:p>
        </w:tc>
        <w:tc>
          <w:tcPr>
            <w:tcW w:w="4326" w:type="dxa"/>
            <w:tcBorders>
              <w:tl2br w:val="nil"/>
              <w:tr2bl w:val="nil"/>
            </w:tcBorders>
            <w:vAlign w:val="center"/>
          </w:tcPr>
          <w:p w14:paraId="0CDCC285">
            <w:pPr>
              <w:spacing w:line="240" w:lineRule="auto"/>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约定内容</w:t>
            </w:r>
          </w:p>
        </w:tc>
        <w:tc>
          <w:tcPr>
            <w:tcW w:w="2154" w:type="dxa"/>
            <w:tcBorders>
              <w:tl2br w:val="nil"/>
              <w:tr2bl w:val="nil"/>
            </w:tcBorders>
            <w:vAlign w:val="center"/>
          </w:tcPr>
          <w:p w14:paraId="5BA869DC">
            <w:pPr>
              <w:spacing w:line="240" w:lineRule="auto"/>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备注</w:t>
            </w:r>
          </w:p>
        </w:tc>
      </w:tr>
      <w:tr w14:paraId="7CB2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853" w:type="dxa"/>
            <w:tcBorders>
              <w:tl2br w:val="nil"/>
              <w:tr2bl w:val="nil"/>
            </w:tcBorders>
            <w:vAlign w:val="center"/>
          </w:tcPr>
          <w:p w14:paraId="0DECE540">
            <w:pPr>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1944" w:type="dxa"/>
            <w:tcBorders>
              <w:tl2br w:val="nil"/>
              <w:tr2bl w:val="nil"/>
            </w:tcBorders>
            <w:vAlign w:val="center"/>
          </w:tcPr>
          <w:p w14:paraId="179CD127">
            <w:pPr>
              <w:spacing w:line="360" w:lineRule="auto"/>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设计负责人</w:t>
            </w:r>
          </w:p>
        </w:tc>
        <w:tc>
          <w:tcPr>
            <w:tcW w:w="4326" w:type="dxa"/>
            <w:tcBorders>
              <w:tl2br w:val="nil"/>
              <w:tr2bl w:val="nil"/>
            </w:tcBorders>
            <w:vAlign w:val="center"/>
          </w:tcPr>
          <w:p w14:paraId="53C43981">
            <w:pPr>
              <w:spacing w:line="360" w:lineRule="auto"/>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6DF5D08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身份证号码：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FDB1FB5">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注册建筑师</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注册结构工程师</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证书编号：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tc>
        <w:tc>
          <w:tcPr>
            <w:tcW w:w="2154" w:type="dxa"/>
            <w:tcBorders>
              <w:tl2br w:val="nil"/>
              <w:tr2bl w:val="nil"/>
            </w:tcBorders>
            <w:vAlign w:val="center"/>
          </w:tcPr>
          <w:p w14:paraId="7AC5106F">
            <w:pPr>
              <w:spacing w:line="240" w:lineRule="auto"/>
              <w:jc w:val="center"/>
              <w:rPr>
                <w:rFonts w:hint="eastAsia" w:asciiTheme="minorEastAsia" w:hAnsiTheme="minorEastAsia" w:eastAsiaTheme="minorEastAsia" w:cstheme="minorEastAsia"/>
                <w:color w:val="auto"/>
                <w:sz w:val="24"/>
                <w:szCs w:val="24"/>
                <w:highlight w:val="none"/>
              </w:rPr>
            </w:pPr>
          </w:p>
        </w:tc>
      </w:tr>
      <w:tr w14:paraId="794E9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853" w:type="dxa"/>
            <w:tcBorders>
              <w:tl2br w:val="nil"/>
              <w:tr2bl w:val="nil"/>
            </w:tcBorders>
            <w:vAlign w:val="center"/>
          </w:tcPr>
          <w:p w14:paraId="5C2B2907">
            <w:pPr>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944" w:type="dxa"/>
            <w:tcBorders>
              <w:tl2br w:val="nil"/>
              <w:tr2bl w:val="nil"/>
            </w:tcBorders>
            <w:vAlign w:val="center"/>
          </w:tcPr>
          <w:p w14:paraId="4B596C5D">
            <w:pPr>
              <w:spacing w:line="360" w:lineRule="auto"/>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施工</w:t>
            </w:r>
            <w:r>
              <w:rPr>
                <w:rFonts w:hint="eastAsia" w:asciiTheme="minorEastAsia" w:hAnsiTheme="minorEastAsia" w:eastAsiaTheme="minorEastAsia" w:cstheme="minorEastAsia"/>
                <w:color w:val="auto"/>
                <w:sz w:val="24"/>
                <w:szCs w:val="24"/>
                <w:highlight w:val="none"/>
              </w:rPr>
              <w:t>项目负责人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项目经理</w:t>
            </w:r>
            <w:r>
              <w:rPr>
                <w:rFonts w:hint="eastAsia" w:asciiTheme="minorEastAsia" w:hAnsiTheme="minorEastAsia" w:eastAsiaTheme="minorEastAsia" w:cstheme="minorEastAsia"/>
                <w:color w:val="auto"/>
                <w:sz w:val="24"/>
                <w:szCs w:val="24"/>
                <w:highlight w:val="none"/>
                <w:lang w:eastAsia="zh-CN"/>
              </w:rPr>
              <w:t>）</w:t>
            </w:r>
          </w:p>
        </w:tc>
        <w:tc>
          <w:tcPr>
            <w:tcW w:w="4326" w:type="dxa"/>
            <w:tcBorders>
              <w:tl2br w:val="nil"/>
              <w:tr2bl w:val="nil"/>
            </w:tcBorders>
            <w:vAlign w:val="center"/>
          </w:tcPr>
          <w:p w14:paraId="27964D9F">
            <w:pPr>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C57970A">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身份证号码：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1C07682">
            <w:pPr>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注册建造师</w:t>
            </w:r>
            <w:r>
              <w:rPr>
                <w:rFonts w:hint="eastAsia" w:asciiTheme="minorEastAsia" w:hAnsiTheme="minorEastAsia" w:eastAsiaTheme="minorEastAsia" w:cstheme="minorEastAsia"/>
                <w:color w:val="auto"/>
                <w:sz w:val="24"/>
                <w:szCs w:val="24"/>
                <w:highlight w:val="none"/>
                <w:lang w:val="en-US" w:eastAsia="zh-CN"/>
              </w:rPr>
              <w:t>证书编号：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tc>
        <w:tc>
          <w:tcPr>
            <w:tcW w:w="2154" w:type="dxa"/>
            <w:tcBorders>
              <w:tl2br w:val="nil"/>
              <w:tr2bl w:val="nil"/>
            </w:tcBorders>
            <w:vAlign w:val="center"/>
          </w:tcPr>
          <w:p w14:paraId="1EF4A752">
            <w:pPr>
              <w:spacing w:line="240" w:lineRule="auto"/>
              <w:jc w:val="center"/>
              <w:rPr>
                <w:rFonts w:hint="eastAsia" w:asciiTheme="minorEastAsia" w:hAnsiTheme="minorEastAsia" w:eastAsiaTheme="minorEastAsia" w:cstheme="minorEastAsia"/>
                <w:color w:val="auto"/>
                <w:sz w:val="24"/>
                <w:szCs w:val="24"/>
                <w:highlight w:val="none"/>
              </w:rPr>
            </w:pPr>
          </w:p>
        </w:tc>
      </w:tr>
      <w:tr w14:paraId="59C8C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853" w:type="dxa"/>
            <w:tcBorders>
              <w:tl2br w:val="nil"/>
              <w:tr2bl w:val="nil"/>
            </w:tcBorders>
            <w:vAlign w:val="center"/>
          </w:tcPr>
          <w:p w14:paraId="0B99A0B8">
            <w:pPr>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944" w:type="dxa"/>
            <w:tcBorders>
              <w:tl2br w:val="nil"/>
              <w:tr2bl w:val="nil"/>
            </w:tcBorders>
            <w:vAlign w:val="center"/>
          </w:tcPr>
          <w:p w14:paraId="6D4ADFD4">
            <w:pPr>
              <w:spacing w:line="360" w:lineRule="auto"/>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施工技术负责人</w:t>
            </w:r>
          </w:p>
        </w:tc>
        <w:tc>
          <w:tcPr>
            <w:tcW w:w="4326" w:type="dxa"/>
            <w:tcBorders>
              <w:tl2br w:val="nil"/>
              <w:tr2bl w:val="nil"/>
            </w:tcBorders>
            <w:vAlign w:val="center"/>
          </w:tcPr>
          <w:p w14:paraId="6744695A">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p>
          <w:p w14:paraId="1AE7F1F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身份证号码：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4DBE2F1">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职称证书编号：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tc>
        <w:tc>
          <w:tcPr>
            <w:tcW w:w="2154" w:type="dxa"/>
            <w:tcBorders>
              <w:tl2br w:val="nil"/>
              <w:tr2bl w:val="nil"/>
            </w:tcBorders>
            <w:vAlign w:val="center"/>
          </w:tcPr>
          <w:p w14:paraId="78F8806B">
            <w:pPr>
              <w:spacing w:line="240" w:lineRule="auto"/>
              <w:jc w:val="center"/>
              <w:rPr>
                <w:rFonts w:hint="eastAsia" w:asciiTheme="minorEastAsia" w:hAnsiTheme="minorEastAsia" w:eastAsiaTheme="minorEastAsia" w:cstheme="minorEastAsia"/>
                <w:color w:val="auto"/>
                <w:sz w:val="24"/>
                <w:szCs w:val="24"/>
                <w:highlight w:val="none"/>
              </w:rPr>
            </w:pPr>
          </w:p>
        </w:tc>
      </w:tr>
      <w:tr w14:paraId="3B88F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53" w:type="dxa"/>
            <w:tcBorders>
              <w:tl2br w:val="nil"/>
              <w:tr2bl w:val="nil"/>
            </w:tcBorders>
            <w:vAlign w:val="center"/>
          </w:tcPr>
          <w:p w14:paraId="6D1E83E5">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1944" w:type="dxa"/>
            <w:tcBorders>
              <w:tl2br w:val="nil"/>
              <w:tr2bl w:val="nil"/>
            </w:tcBorders>
            <w:vAlign w:val="center"/>
          </w:tcPr>
          <w:p w14:paraId="7C1F6CB9">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缺陷责任期</w:t>
            </w:r>
          </w:p>
        </w:tc>
        <w:tc>
          <w:tcPr>
            <w:tcW w:w="4326" w:type="dxa"/>
            <w:tcBorders>
              <w:tl2br w:val="nil"/>
              <w:tr2bl w:val="nil"/>
            </w:tcBorders>
            <w:vAlign w:val="center"/>
          </w:tcPr>
          <w:p w14:paraId="461FCD54">
            <w:pPr>
              <w:spacing w:line="24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缺陷责任期的期限：</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p>
        </w:tc>
        <w:tc>
          <w:tcPr>
            <w:tcW w:w="2154" w:type="dxa"/>
            <w:tcBorders>
              <w:tl2br w:val="nil"/>
              <w:tr2bl w:val="nil"/>
            </w:tcBorders>
            <w:vAlign w:val="center"/>
          </w:tcPr>
          <w:p w14:paraId="0B530ABB">
            <w:pPr>
              <w:spacing w:line="240" w:lineRule="auto"/>
              <w:jc w:val="center"/>
              <w:rPr>
                <w:rFonts w:hint="eastAsia" w:asciiTheme="minorEastAsia" w:hAnsiTheme="minorEastAsia" w:eastAsiaTheme="minorEastAsia" w:cstheme="minorEastAsia"/>
                <w:color w:val="auto"/>
                <w:sz w:val="24"/>
                <w:szCs w:val="24"/>
                <w:highlight w:val="none"/>
              </w:rPr>
            </w:pPr>
          </w:p>
        </w:tc>
      </w:tr>
      <w:tr w14:paraId="2EEF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53" w:type="dxa"/>
            <w:tcBorders>
              <w:tl2br w:val="nil"/>
              <w:tr2bl w:val="nil"/>
            </w:tcBorders>
            <w:vAlign w:val="center"/>
          </w:tcPr>
          <w:p w14:paraId="0C5AA998">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1944" w:type="dxa"/>
            <w:tcBorders>
              <w:tl2br w:val="nil"/>
              <w:tr2bl w:val="nil"/>
            </w:tcBorders>
            <w:vAlign w:val="center"/>
          </w:tcPr>
          <w:p w14:paraId="294A10A0">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工期承诺</w:t>
            </w:r>
          </w:p>
        </w:tc>
        <w:tc>
          <w:tcPr>
            <w:tcW w:w="4326" w:type="dxa"/>
            <w:tcBorders>
              <w:tl2br w:val="nil"/>
              <w:tr2bl w:val="nil"/>
            </w:tcBorders>
            <w:vAlign w:val="center"/>
          </w:tcPr>
          <w:p w14:paraId="4A060877">
            <w:pPr>
              <w:spacing w:line="240" w:lineRule="auto"/>
              <w:jc w:val="left"/>
              <w:rPr>
                <w:rFonts w:hint="eastAsia" w:asciiTheme="minorEastAsia" w:hAnsiTheme="minorEastAsia" w:eastAsiaTheme="minorEastAsia" w:cstheme="minorEastAsia"/>
                <w:color w:val="auto"/>
                <w:sz w:val="24"/>
                <w:szCs w:val="24"/>
                <w:highlight w:val="none"/>
              </w:rPr>
            </w:pPr>
          </w:p>
        </w:tc>
        <w:tc>
          <w:tcPr>
            <w:tcW w:w="2154" w:type="dxa"/>
            <w:tcBorders>
              <w:tl2br w:val="nil"/>
              <w:tr2bl w:val="nil"/>
            </w:tcBorders>
            <w:vAlign w:val="center"/>
          </w:tcPr>
          <w:p w14:paraId="51080E74">
            <w:pPr>
              <w:spacing w:line="240" w:lineRule="auto"/>
              <w:jc w:val="center"/>
              <w:rPr>
                <w:rFonts w:hint="eastAsia" w:asciiTheme="minorEastAsia" w:hAnsiTheme="minorEastAsia" w:eastAsiaTheme="minorEastAsia" w:cstheme="minorEastAsia"/>
                <w:color w:val="auto"/>
                <w:sz w:val="24"/>
                <w:szCs w:val="24"/>
                <w:highlight w:val="none"/>
              </w:rPr>
            </w:pPr>
          </w:p>
        </w:tc>
      </w:tr>
      <w:tr w14:paraId="6B75E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853" w:type="dxa"/>
            <w:tcBorders>
              <w:tl2br w:val="nil"/>
              <w:tr2bl w:val="nil"/>
            </w:tcBorders>
            <w:vAlign w:val="center"/>
          </w:tcPr>
          <w:p w14:paraId="00562D34">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1944" w:type="dxa"/>
            <w:tcBorders>
              <w:tl2br w:val="nil"/>
              <w:tr2bl w:val="nil"/>
            </w:tcBorders>
            <w:vAlign w:val="center"/>
          </w:tcPr>
          <w:p w14:paraId="7DD07671">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质量承诺</w:t>
            </w:r>
          </w:p>
        </w:tc>
        <w:tc>
          <w:tcPr>
            <w:tcW w:w="4326" w:type="dxa"/>
            <w:tcBorders>
              <w:tl2br w:val="nil"/>
              <w:tr2bl w:val="nil"/>
            </w:tcBorders>
            <w:vAlign w:val="center"/>
          </w:tcPr>
          <w:p w14:paraId="6201606D">
            <w:pPr>
              <w:spacing w:line="240" w:lineRule="auto"/>
              <w:jc w:val="left"/>
              <w:rPr>
                <w:rFonts w:hint="eastAsia" w:asciiTheme="minorEastAsia" w:hAnsiTheme="minorEastAsia" w:eastAsiaTheme="minorEastAsia" w:cstheme="minorEastAsia"/>
                <w:color w:val="auto"/>
                <w:sz w:val="24"/>
                <w:szCs w:val="24"/>
                <w:highlight w:val="none"/>
              </w:rPr>
            </w:pPr>
          </w:p>
        </w:tc>
        <w:tc>
          <w:tcPr>
            <w:tcW w:w="2154" w:type="dxa"/>
            <w:tcBorders>
              <w:tl2br w:val="nil"/>
              <w:tr2bl w:val="nil"/>
            </w:tcBorders>
            <w:vAlign w:val="center"/>
          </w:tcPr>
          <w:p w14:paraId="081495A9">
            <w:pPr>
              <w:spacing w:line="240" w:lineRule="auto"/>
              <w:jc w:val="center"/>
              <w:rPr>
                <w:rFonts w:hint="eastAsia" w:asciiTheme="minorEastAsia" w:hAnsiTheme="minorEastAsia" w:eastAsiaTheme="minorEastAsia" w:cstheme="minorEastAsia"/>
                <w:color w:val="auto"/>
                <w:sz w:val="24"/>
                <w:szCs w:val="24"/>
                <w:highlight w:val="none"/>
              </w:rPr>
            </w:pPr>
          </w:p>
        </w:tc>
      </w:tr>
      <w:tr w14:paraId="5140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53" w:type="dxa"/>
            <w:tcBorders>
              <w:tl2br w:val="nil"/>
              <w:tr2bl w:val="nil"/>
            </w:tcBorders>
            <w:vAlign w:val="center"/>
          </w:tcPr>
          <w:p w14:paraId="179C53C0">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w:t>
            </w:r>
          </w:p>
        </w:tc>
        <w:tc>
          <w:tcPr>
            <w:tcW w:w="1944" w:type="dxa"/>
            <w:tcBorders>
              <w:tl2br w:val="nil"/>
              <w:tr2bl w:val="nil"/>
            </w:tcBorders>
            <w:vAlign w:val="center"/>
          </w:tcPr>
          <w:p w14:paraId="1C2D74CB">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4326" w:type="dxa"/>
            <w:tcBorders>
              <w:tl2br w:val="nil"/>
              <w:tr2bl w:val="nil"/>
            </w:tcBorders>
            <w:vAlign w:val="center"/>
          </w:tcPr>
          <w:p w14:paraId="4BF9AC8A">
            <w:pPr>
              <w:spacing w:line="240" w:lineRule="auto"/>
              <w:jc w:val="left"/>
              <w:rPr>
                <w:rFonts w:hint="eastAsia" w:asciiTheme="minorEastAsia" w:hAnsiTheme="minorEastAsia" w:eastAsiaTheme="minorEastAsia" w:cstheme="minorEastAsia"/>
                <w:color w:val="auto"/>
                <w:sz w:val="24"/>
                <w:szCs w:val="24"/>
                <w:highlight w:val="none"/>
              </w:rPr>
            </w:pPr>
          </w:p>
        </w:tc>
        <w:tc>
          <w:tcPr>
            <w:tcW w:w="2154" w:type="dxa"/>
            <w:tcBorders>
              <w:tl2br w:val="nil"/>
              <w:tr2bl w:val="nil"/>
            </w:tcBorders>
            <w:vAlign w:val="center"/>
          </w:tcPr>
          <w:p w14:paraId="223C85F4">
            <w:pPr>
              <w:spacing w:line="240" w:lineRule="auto"/>
              <w:jc w:val="center"/>
              <w:rPr>
                <w:rFonts w:hint="eastAsia" w:asciiTheme="minorEastAsia" w:hAnsiTheme="minorEastAsia" w:eastAsiaTheme="minorEastAsia" w:cstheme="minorEastAsia"/>
                <w:color w:val="auto"/>
                <w:sz w:val="24"/>
                <w:szCs w:val="24"/>
                <w:highlight w:val="none"/>
              </w:rPr>
            </w:pPr>
          </w:p>
        </w:tc>
      </w:tr>
      <w:tr w14:paraId="0409A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53" w:type="dxa"/>
            <w:tcBorders>
              <w:tl2br w:val="nil"/>
              <w:tr2bl w:val="nil"/>
            </w:tcBorders>
            <w:vAlign w:val="center"/>
          </w:tcPr>
          <w:p w14:paraId="1087F088">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c>
          <w:tcPr>
            <w:tcW w:w="1944" w:type="dxa"/>
            <w:tcBorders>
              <w:tl2br w:val="nil"/>
              <w:tr2bl w:val="nil"/>
            </w:tcBorders>
            <w:vAlign w:val="center"/>
          </w:tcPr>
          <w:p w14:paraId="5D24EA6B">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逾期提交设计成果资料违约金</w:t>
            </w:r>
          </w:p>
        </w:tc>
        <w:tc>
          <w:tcPr>
            <w:tcW w:w="4326" w:type="dxa"/>
            <w:tcBorders>
              <w:tl2br w:val="nil"/>
              <w:tr2bl w:val="nil"/>
            </w:tcBorders>
            <w:vAlign w:val="center"/>
          </w:tcPr>
          <w:p w14:paraId="42FAB700">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元/日历天</w:t>
            </w:r>
          </w:p>
        </w:tc>
        <w:tc>
          <w:tcPr>
            <w:tcW w:w="2154" w:type="dxa"/>
            <w:tcBorders>
              <w:tl2br w:val="nil"/>
              <w:tr2bl w:val="nil"/>
            </w:tcBorders>
            <w:vAlign w:val="center"/>
          </w:tcPr>
          <w:p w14:paraId="29F73FC7">
            <w:pPr>
              <w:spacing w:line="240" w:lineRule="auto"/>
              <w:jc w:val="center"/>
              <w:rPr>
                <w:rFonts w:hint="eastAsia" w:asciiTheme="minorEastAsia" w:hAnsiTheme="minorEastAsia" w:eastAsiaTheme="minorEastAsia" w:cstheme="minorEastAsia"/>
                <w:color w:val="auto"/>
                <w:sz w:val="24"/>
                <w:szCs w:val="24"/>
                <w:highlight w:val="none"/>
              </w:rPr>
            </w:pPr>
          </w:p>
        </w:tc>
      </w:tr>
      <w:tr w14:paraId="5DFD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853" w:type="dxa"/>
            <w:tcBorders>
              <w:tl2br w:val="nil"/>
              <w:tr2bl w:val="nil"/>
            </w:tcBorders>
            <w:vAlign w:val="center"/>
          </w:tcPr>
          <w:p w14:paraId="7DFE762C">
            <w:pPr>
              <w:pStyle w:val="25"/>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c>
          <w:tcPr>
            <w:tcW w:w="1944" w:type="dxa"/>
            <w:tcBorders>
              <w:tl2br w:val="nil"/>
              <w:tr2bl w:val="nil"/>
            </w:tcBorders>
            <w:vAlign w:val="center"/>
          </w:tcPr>
          <w:p w14:paraId="06E93ABA">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逾期提交设计成果资料违约金最高限额</w:t>
            </w:r>
          </w:p>
        </w:tc>
        <w:tc>
          <w:tcPr>
            <w:tcW w:w="4326" w:type="dxa"/>
            <w:tcBorders>
              <w:tl2br w:val="nil"/>
              <w:tr2bl w:val="nil"/>
            </w:tcBorders>
            <w:vAlign w:val="center"/>
          </w:tcPr>
          <w:p w14:paraId="2DFDF5B6">
            <w:pPr>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tcBorders>
              <w:tl2br w:val="nil"/>
              <w:tr2bl w:val="nil"/>
            </w:tcBorders>
            <w:vAlign w:val="center"/>
          </w:tcPr>
          <w:p w14:paraId="4B52ECBC">
            <w:pPr>
              <w:spacing w:line="240" w:lineRule="auto"/>
              <w:jc w:val="center"/>
              <w:rPr>
                <w:rFonts w:hint="eastAsia" w:asciiTheme="minorEastAsia" w:hAnsiTheme="minorEastAsia" w:eastAsiaTheme="minorEastAsia" w:cstheme="minorEastAsia"/>
                <w:color w:val="auto"/>
                <w:sz w:val="24"/>
                <w:szCs w:val="24"/>
                <w:highlight w:val="none"/>
              </w:rPr>
            </w:pPr>
          </w:p>
        </w:tc>
      </w:tr>
      <w:tr w14:paraId="05773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53" w:type="dxa"/>
            <w:tcBorders>
              <w:tl2br w:val="nil"/>
              <w:tr2bl w:val="nil"/>
            </w:tcBorders>
            <w:vAlign w:val="center"/>
          </w:tcPr>
          <w:p w14:paraId="31368152">
            <w:pPr>
              <w:pStyle w:val="25"/>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c>
          <w:tcPr>
            <w:tcW w:w="1944" w:type="dxa"/>
            <w:tcBorders>
              <w:tl2br w:val="nil"/>
              <w:tr2bl w:val="nil"/>
            </w:tcBorders>
            <w:vAlign w:val="center"/>
          </w:tcPr>
          <w:p w14:paraId="3A2C2238">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逾期竣工违约金</w:t>
            </w:r>
          </w:p>
        </w:tc>
        <w:tc>
          <w:tcPr>
            <w:tcW w:w="4326" w:type="dxa"/>
            <w:tcBorders>
              <w:tl2br w:val="nil"/>
              <w:tr2bl w:val="nil"/>
            </w:tcBorders>
            <w:vAlign w:val="center"/>
          </w:tcPr>
          <w:p w14:paraId="77F749B0">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元/日历天</w:t>
            </w:r>
          </w:p>
        </w:tc>
        <w:tc>
          <w:tcPr>
            <w:tcW w:w="2154" w:type="dxa"/>
            <w:tcBorders>
              <w:tl2br w:val="nil"/>
              <w:tr2bl w:val="nil"/>
            </w:tcBorders>
            <w:vAlign w:val="center"/>
          </w:tcPr>
          <w:p w14:paraId="48A5AFF5">
            <w:pPr>
              <w:spacing w:line="240" w:lineRule="auto"/>
              <w:jc w:val="center"/>
              <w:rPr>
                <w:rFonts w:hint="eastAsia" w:asciiTheme="minorEastAsia" w:hAnsiTheme="minorEastAsia" w:eastAsiaTheme="minorEastAsia" w:cstheme="minorEastAsia"/>
                <w:color w:val="auto"/>
                <w:sz w:val="24"/>
                <w:szCs w:val="24"/>
                <w:highlight w:val="none"/>
              </w:rPr>
            </w:pPr>
          </w:p>
        </w:tc>
      </w:tr>
      <w:tr w14:paraId="2D640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53" w:type="dxa"/>
            <w:tcBorders>
              <w:tl2br w:val="nil"/>
              <w:tr2bl w:val="nil"/>
            </w:tcBorders>
            <w:vAlign w:val="center"/>
          </w:tcPr>
          <w:p w14:paraId="21EF92CC">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w:t>
            </w:r>
          </w:p>
        </w:tc>
        <w:tc>
          <w:tcPr>
            <w:tcW w:w="1944" w:type="dxa"/>
            <w:tcBorders>
              <w:tl2br w:val="nil"/>
              <w:tr2bl w:val="nil"/>
            </w:tcBorders>
            <w:vAlign w:val="center"/>
          </w:tcPr>
          <w:p w14:paraId="177CD425">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逾期竣工违约金最高限额</w:t>
            </w:r>
          </w:p>
        </w:tc>
        <w:tc>
          <w:tcPr>
            <w:tcW w:w="4326" w:type="dxa"/>
            <w:tcBorders>
              <w:tl2br w:val="nil"/>
              <w:tr2bl w:val="nil"/>
            </w:tcBorders>
            <w:vAlign w:val="center"/>
          </w:tcPr>
          <w:p w14:paraId="4C70B762">
            <w:pPr>
              <w:spacing w:line="240" w:lineRule="auto"/>
              <w:jc w:val="center"/>
              <w:rPr>
                <w:rFonts w:hint="eastAsia" w:asciiTheme="minorEastAsia" w:hAnsiTheme="minorEastAsia" w:eastAsiaTheme="minorEastAsia" w:cstheme="minorEastAsia"/>
                <w:color w:val="auto"/>
                <w:sz w:val="24"/>
                <w:szCs w:val="24"/>
                <w:highlight w:val="none"/>
              </w:rPr>
            </w:pPr>
          </w:p>
        </w:tc>
        <w:tc>
          <w:tcPr>
            <w:tcW w:w="2154" w:type="dxa"/>
            <w:tcBorders>
              <w:tl2br w:val="nil"/>
              <w:tr2bl w:val="nil"/>
            </w:tcBorders>
            <w:vAlign w:val="center"/>
          </w:tcPr>
          <w:p w14:paraId="63EC4EF0">
            <w:pPr>
              <w:spacing w:line="240" w:lineRule="auto"/>
              <w:jc w:val="center"/>
              <w:rPr>
                <w:rFonts w:hint="eastAsia" w:asciiTheme="minorEastAsia" w:hAnsiTheme="minorEastAsia" w:eastAsiaTheme="minorEastAsia" w:cstheme="minorEastAsia"/>
                <w:color w:val="auto"/>
                <w:sz w:val="24"/>
                <w:szCs w:val="24"/>
                <w:highlight w:val="none"/>
              </w:rPr>
            </w:pPr>
          </w:p>
        </w:tc>
      </w:tr>
      <w:tr w14:paraId="6108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53" w:type="dxa"/>
            <w:tcBorders>
              <w:tl2br w:val="nil"/>
              <w:tr2bl w:val="nil"/>
            </w:tcBorders>
            <w:vAlign w:val="center"/>
          </w:tcPr>
          <w:p w14:paraId="72E47D18">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c>
          <w:tcPr>
            <w:tcW w:w="1944" w:type="dxa"/>
            <w:tcBorders>
              <w:tl2br w:val="nil"/>
              <w:tr2bl w:val="nil"/>
            </w:tcBorders>
            <w:vAlign w:val="center"/>
          </w:tcPr>
          <w:p w14:paraId="1A93D021">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履约担保</w:t>
            </w:r>
          </w:p>
        </w:tc>
        <w:tc>
          <w:tcPr>
            <w:tcW w:w="4326" w:type="dxa"/>
            <w:tcBorders>
              <w:tl2br w:val="nil"/>
              <w:tr2bl w:val="nil"/>
            </w:tcBorders>
            <w:vAlign w:val="center"/>
          </w:tcPr>
          <w:p w14:paraId="2BCFA29D">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p>
        </w:tc>
        <w:tc>
          <w:tcPr>
            <w:tcW w:w="2154" w:type="dxa"/>
            <w:tcBorders>
              <w:tl2br w:val="nil"/>
              <w:tr2bl w:val="nil"/>
            </w:tcBorders>
            <w:vAlign w:val="center"/>
          </w:tcPr>
          <w:p w14:paraId="41EDB2F5">
            <w:pPr>
              <w:spacing w:line="240" w:lineRule="auto"/>
              <w:jc w:val="center"/>
              <w:rPr>
                <w:rFonts w:hint="eastAsia" w:asciiTheme="minorEastAsia" w:hAnsiTheme="minorEastAsia" w:eastAsiaTheme="minorEastAsia" w:cstheme="minorEastAsia"/>
                <w:color w:val="auto"/>
                <w:sz w:val="24"/>
                <w:szCs w:val="24"/>
                <w:highlight w:val="none"/>
              </w:rPr>
            </w:pPr>
          </w:p>
        </w:tc>
      </w:tr>
      <w:tr w14:paraId="669A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853" w:type="dxa"/>
            <w:tcBorders>
              <w:tl2br w:val="nil"/>
              <w:tr2bl w:val="nil"/>
            </w:tcBorders>
            <w:vAlign w:val="center"/>
          </w:tcPr>
          <w:p w14:paraId="683ED936">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p>
        </w:tc>
        <w:tc>
          <w:tcPr>
            <w:tcW w:w="1944" w:type="dxa"/>
            <w:tcBorders>
              <w:tl2br w:val="nil"/>
              <w:tr2bl w:val="nil"/>
            </w:tcBorders>
            <w:vAlign w:val="center"/>
          </w:tcPr>
          <w:p w14:paraId="2FF38654">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发包人要求</w:t>
            </w:r>
          </w:p>
        </w:tc>
        <w:tc>
          <w:tcPr>
            <w:tcW w:w="4326" w:type="dxa"/>
            <w:tcBorders>
              <w:tl2br w:val="nil"/>
              <w:tr2bl w:val="nil"/>
            </w:tcBorders>
            <w:vAlign w:val="center"/>
          </w:tcPr>
          <w:p w14:paraId="6F1B0D3F">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我方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b w:val="0"/>
                <w:bCs w:val="0"/>
                <w:color w:val="auto"/>
                <w:sz w:val="24"/>
                <w:szCs w:val="24"/>
                <w:highlight w:val="none"/>
                <w:u w:val="none"/>
                <w:lang w:val="en-US" w:eastAsia="zh-CN"/>
              </w:rPr>
              <w:t>填写：完全同意并响应或不响应</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rPr>
              <w:t>第</w:t>
            </w:r>
            <w:r>
              <w:rPr>
                <w:rFonts w:hint="eastAsia" w:asciiTheme="minorEastAsia" w:hAnsiTheme="minorEastAsia" w:eastAsiaTheme="minorEastAsia" w:cstheme="minorEastAsia"/>
                <w:color w:val="auto"/>
                <w:sz w:val="24"/>
                <w:szCs w:val="24"/>
                <w:highlight w:val="none"/>
                <w:lang w:val="en-US" w:eastAsia="zh-CN"/>
              </w:rPr>
              <w:t>五</w:t>
            </w:r>
            <w:r>
              <w:rPr>
                <w:rFonts w:hint="eastAsia" w:asciiTheme="minorEastAsia" w:hAnsiTheme="minorEastAsia" w:eastAsiaTheme="minorEastAsia" w:cstheme="minorEastAsia"/>
                <w:color w:val="auto"/>
                <w:sz w:val="24"/>
                <w:szCs w:val="24"/>
                <w:highlight w:val="none"/>
              </w:rPr>
              <w:t>章“</w:t>
            </w:r>
            <w:r>
              <w:rPr>
                <w:rFonts w:hint="eastAsia" w:asciiTheme="minorEastAsia" w:hAnsiTheme="minorEastAsia" w:eastAsiaTheme="minorEastAsia" w:cstheme="minorEastAsia"/>
                <w:color w:val="auto"/>
                <w:sz w:val="24"/>
                <w:szCs w:val="24"/>
                <w:highlight w:val="none"/>
                <w:lang w:val="en-US" w:eastAsia="zh-CN"/>
              </w:rPr>
              <w:t>技术标准和发包人要求</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的全部内容</w:t>
            </w:r>
            <w:r>
              <w:rPr>
                <w:rFonts w:hint="eastAsia" w:asciiTheme="minorEastAsia" w:hAnsiTheme="minorEastAsia" w:eastAsiaTheme="minorEastAsia" w:cstheme="minorEastAsia"/>
                <w:color w:val="auto"/>
                <w:sz w:val="24"/>
                <w:szCs w:val="24"/>
                <w:highlight w:val="none"/>
              </w:rPr>
              <w:t>。</w:t>
            </w:r>
          </w:p>
        </w:tc>
        <w:tc>
          <w:tcPr>
            <w:tcW w:w="2154" w:type="dxa"/>
            <w:tcBorders>
              <w:tl2br w:val="nil"/>
              <w:tr2bl w:val="nil"/>
            </w:tcBorders>
            <w:vAlign w:val="center"/>
          </w:tcPr>
          <w:p w14:paraId="3E187C69">
            <w:pPr>
              <w:spacing w:line="240" w:lineRule="auto"/>
              <w:jc w:val="center"/>
              <w:rPr>
                <w:rFonts w:hint="eastAsia" w:asciiTheme="minorEastAsia" w:hAnsiTheme="minorEastAsia" w:eastAsiaTheme="minorEastAsia" w:cstheme="minorEastAsia"/>
                <w:color w:val="auto"/>
                <w:sz w:val="24"/>
                <w:szCs w:val="24"/>
                <w:highlight w:val="none"/>
              </w:rPr>
            </w:pPr>
          </w:p>
        </w:tc>
      </w:tr>
      <w:tr w14:paraId="2D04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53" w:type="dxa"/>
            <w:tcBorders>
              <w:tl2br w:val="nil"/>
              <w:tr2bl w:val="nil"/>
            </w:tcBorders>
            <w:vAlign w:val="center"/>
          </w:tcPr>
          <w:p w14:paraId="4D28ECD8">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w:t>
            </w:r>
          </w:p>
        </w:tc>
        <w:tc>
          <w:tcPr>
            <w:tcW w:w="1944" w:type="dxa"/>
            <w:tcBorders>
              <w:tl2br w:val="nil"/>
              <w:tr2bl w:val="nil"/>
            </w:tcBorders>
            <w:vAlign w:val="center"/>
          </w:tcPr>
          <w:p w14:paraId="40541046">
            <w:pPr>
              <w:spacing w:line="240" w:lineRule="auto"/>
              <w:jc w:val="center"/>
              <w:rPr>
                <w:rFonts w:hint="eastAsia" w:asciiTheme="minorEastAsia" w:hAnsiTheme="minorEastAsia" w:eastAsiaTheme="minorEastAsia" w:cstheme="minorEastAsia"/>
                <w:color w:val="auto"/>
                <w:sz w:val="24"/>
                <w:szCs w:val="24"/>
                <w:highlight w:val="none"/>
                <w:lang w:val="en-US" w:eastAsia="zh-CN"/>
              </w:rPr>
            </w:pPr>
          </w:p>
        </w:tc>
        <w:tc>
          <w:tcPr>
            <w:tcW w:w="4326" w:type="dxa"/>
            <w:tcBorders>
              <w:tl2br w:val="nil"/>
              <w:tr2bl w:val="nil"/>
            </w:tcBorders>
            <w:vAlign w:val="center"/>
          </w:tcPr>
          <w:p w14:paraId="7790CD3D">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p>
        </w:tc>
        <w:tc>
          <w:tcPr>
            <w:tcW w:w="2154" w:type="dxa"/>
            <w:tcBorders>
              <w:tl2br w:val="nil"/>
              <w:tr2bl w:val="nil"/>
            </w:tcBorders>
            <w:vAlign w:val="center"/>
          </w:tcPr>
          <w:p w14:paraId="15593100">
            <w:pPr>
              <w:spacing w:line="240" w:lineRule="auto"/>
              <w:jc w:val="center"/>
              <w:rPr>
                <w:rFonts w:hint="eastAsia" w:asciiTheme="minorEastAsia" w:hAnsiTheme="minorEastAsia" w:eastAsiaTheme="minorEastAsia" w:cstheme="minorEastAsia"/>
                <w:color w:val="auto"/>
                <w:sz w:val="24"/>
                <w:szCs w:val="24"/>
                <w:highlight w:val="none"/>
              </w:rPr>
            </w:pPr>
          </w:p>
        </w:tc>
      </w:tr>
    </w:tbl>
    <w:p w14:paraId="20BC5653">
      <w:pPr>
        <w:spacing w:line="240" w:lineRule="atLeast"/>
        <w:jc w:val="left"/>
        <w:rPr>
          <w:rFonts w:hint="eastAsia" w:asciiTheme="minorEastAsia" w:hAnsiTheme="minorEastAsia" w:eastAsiaTheme="minorEastAsia" w:cstheme="minorEastAsia"/>
          <w:b/>
          <w:bCs/>
          <w:color w:val="auto"/>
          <w:sz w:val="24"/>
          <w:szCs w:val="24"/>
          <w:highlight w:val="none"/>
        </w:rPr>
      </w:pPr>
    </w:p>
    <w:p w14:paraId="71955EC5">
      <w:pPr>
        <w:pageBreakBefore w:val="0"/>
        <w:kinsoku/>
        <w:wordWrap/>
        <w:overflowPunct/>
        <w:bidi w:val="0"/>
        <w:spacing w:line="360" w:lineRule="auto"/>
        <w:jc w:val="left"/>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b w:val="0"/>
          <w:bCs w:val="0"/>
          <w:color w:val="auto"/>
          <w:sz w:val="24"/>
          <w:szCs w:val="24"/>
          <w:highlight w:val="none"/>
          <w:u w:val="none"/>
          <w:lang w:val="en-US" w:eastAsia="zh-CN"/>
        </w:rPr>
        <w:t>备注：投标人在响应招标文件中规定的实质性要求和条件的基础上，可做出其他有利于招标人的承诺。此类承诺可在本表中予以补充填写。</w:t>
      </w:r>
    </w:p>
    <w:p w14:paraId="254BCA38">
      <w:pPr>
        <w:rPr>
          <w:rFonts w:hint="eastAsia" w:asciiTheme="minorEastAsia" w:hAnsiTheme="minorEastAsia" w:eastAsiaTheme="minorEastAsia" w:cstheme="minorEastAsia"/>
          <w:color w:val="auto"/>
          <w:sz w:val="21"/>
          <w:szCs w:val="21"/>
          <w:highlight w:val="none"/>
        </w:rPr>
      </w:pPr>
      <w:bookmarkStart w:id="2725" w:name="_Toc266451855"/>
      <w:bookmarkStart w:id="2726" w:name="_Toc445301026"/>
      <w:bookmarkStart w:id="2727" w:name="_Toc510531444"/>
      <w:bookmarkStart w:id="2728" w:name="_Toc466896373"/>
      <w:bookmarkStart w:id="2729" w:name="_Toc495524411"/>
      <w:bookmarkStart w:id="2730" w:name="_Toc10386"/>
      <w:bookmarkStart w:id="2731" w:name="_Toc2353"/>
      <w:r>
        <w:rPr>
          <w:rFonts w:hint="eastAsia" w:asciiTheme="minorEastAsia" w:hAnsiTheme="minorEastAsia" w:eastAsiaTheme="minorEastAsia" w:cstheme="minorEastAsia"/>
          <w:color w:val="auto"/>
          <w:sz w:val="21"/>
          <w:szCs w:val="21"/>
          <w:highlight w:val="none"/>
        </w:rPr>
        <w:br w:type="page"/>
      </w:r>
    </w:p>
    <w:p w14:paraId="649D024A">
      <w:pPr>
        <w:pStyle w:val="3"/>
        <w:pageBreakBefore w:val="0"/>
        <w:kinsoku/>
        <w:wordWrap/>
        <w:overflowPunct/>
        <w:bidi w:val="0"/>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rPr>
        <w:t>法定代表人身份证明</w:t>
      </w:r>
      <w:bookmarkEnd w:id="2725"/>
      <w:bookmarkEnd w:id="2726"/>
      <w:bookmarkEnd w:id="2727"/>
      <w:bookmarkEnd w:id="2728"/>
      <w:bookmarkEnd w:id="2729"/>
      <w:r>
        <w:rPr>
          <w:rFonts w:hint="eastAsia" w:asciiTheme="minorEastAsia" w:hAnsiTheme="minorEastAsia" w:eastAsiaTheme="minorEastAsia" w:cstheme="minorEastAsia"/>
          <w:color w:val="auto"/>
          <w:sz w:val="28"/>
          <w:szCs w:val="28"/>
          <w:highlight w:val="none"/>
          <w:lang w:val="en-US" w:eastAsia="zh-CN"/>
        </w:rPr>
        <w:t>及</w:t>
      </w:r>
      <w:r>
        <w:rPr>
          <w:rFonts w:hint="eastAsia" w:asciiTheme="minorEastAsia" w:hAnsiTheme="minorEastAsia" w:eastAsiaTheme="minorEastAsia" w:cstheme="minorEastAsia"/>
          <w:color w:val="auto"/>
          <w:sz w:val="28"/>
          <w:szCs w:val="28"/>
          <w:highlight w:val="none"/>
        </w:rPr>
        <w:t>授权委托书</w:t>
      </w:r>
      <w:bookmarkEnd w:id="2730"/>
      <w:bookmarkEnd w:id="2731"/>
    </w:p>
    <w:p w14:paraId="7CE3E9A4">
      <w:pPr>
        <w:pageBreakBefore w:val="0"/>
        <w:widowControl/>
        <w:kinsoku/>
        <w:wordWrap/>
        <w:overflowPunct/>
        <w:bidi w:val="0"/>
        <w:spacing w:line="360" w:lineRule="auto"/>
        <w:jc w:val="center"/>
        <w:outlineLvl w:val="9"/>
        <w:rPr>
          <w:rFonts w:hint="eastAsia" w:asciiTheme="minorEastAsia" w:hAnsiTheme="minorEastAsia" w:eastAsiaTheme="minorEastAsia" w:cstheme="minorEastAsia"/>
          <w:b w:val="0"/>
          <w:color w:val="auto"/>
          <w:sz w:val="28"/>
          <w:szCs w:val="28"/>
          <w:highlight w:val="none"/>
        </w:rPr>
      </w:pPr>
      <w:bookmarkStart w:id="2732" w:name="_Toc266451857"/>
      <w:bookmarkStart w:id="2733" w:name="_Toc495524413"/>
      <w:bookmarkStart w:id="2734" w:name="_Toc332873127"/>
      <w:bookmarkStart w:id="2735" w:name="_Toc466896375"/>
      <w:bookmarkStart w:id="2736" w:name="_Toc445301028"/>
      <w:bookmarkStart w:id="2737" w:name="_Toc5179"/>
      <w:bookmarkStart w:id="2738" w:name="_Toc16084"/>
      <w:bookmarkStart w:id="2739" w:name="_Toc519779706"/>
      <w:bookmarkStart w:id="2740" w:name="_Toc1134"/>
      <w:bookmarkStart w:id="2741" w:name="_Toc510531446"/>
      <w:bookmarkStart w:id="2742" w:name="_Toc532562662"/>
      <w:bookmarkStart w:id="2743" w:name="_Toc24236"/>
    </w:p>
    <w:p w14:paraId="2D96FAD7">
      <w:pPr>
        <w:pStyle w:val="4"/>
        <w:pageBreakBefore w:val="0"/>
        <w:widowControl/>
        <w:kinsoku/>
        <w:wordWrap/>
        <w:overflowPunct/>
        <w:bidi w:val="0"/>
        <w:spacing w:line="360" w:lineRule="auto"/>
        <w:jc w:val="center"/>
        <w:rPr>
          <w:rFonts w:hint="eastAsia" w:asciiTheme="minorEastAsia" w:hAnsiTheme="minorEastAsia" w:eastAsiaTheme="minorEastAsia" w:cstheme="minorEastAsia"/>
          <w:b w:val="0"/>
          <w:color w:val="auto"/>
          <w:sz w:val="28"/>
          <w:szCs w:val="28"/>
          <w:highlight w:val="none"/>
        </w:rPr>
      </w:pPr>
      <w:r>
        <w:rPr>
          <w:rFonts w:hint="eastAsia" w:asciiTheme="minorEastAsia" w:hAnsiTheme="minorEastAsia" w:eastAsiaTheme="minorEastAsia" w:cstheme="minorEastAsia"/>
          <w:b w:val="0"/>
          <w:color w:val="auto"/>
          <w:sz w:val="28"/>
          <w:szCs w:val="28"/>
          <w:highlight w:val="none"/>
        </w:rPr>
        <w:t>（</w:t>
      </w:r>
      <w:r>
        <w:rPr>
          <w:rFonts w:hint="eastAsia" w:asciiTheme="minorEastAsia" w:hAnsiTheme="minorEastAsia" w:eastAsiaTheme="minorEastAsia" w:cstheme="minorEastAsia"/>
          <w:b w:val="0"/>
          <w:color w:val="auto"/>
          <w:sz w:val="28"/>
          <w:szCs w:val="28"/>
          <w:highlight w:val="none"/>
          <w:lang w:val="en-US" w:eastAsia="zh-CN"/>
        </w:rPr>
        <w:t>一</w:t>
      </w:r>
      <w:r>
        <w:rPr>
          <w:rFonts w:hint="eastAsia" w:asciiTheme="minorEastAsia" w:hAnsiTheme="minorEastAsia" w:eastAsiaTheme="minorEastAsia" w:cstheme="minorEastAsia"/>
          <w:b w:val="0"/>
          <w:color w:val="auto"/>
          <w:sz w:val="28"/>
          <w:szCs w:val="28"/>
          <w:highlight w:val="none"/>
        </w:rPr>
        <w:t>）</w:t>
      </w:r>
      <w:bookmarkEnd w:id="2732"/>
      <w:bookmarkEnd w:id="2733"/>
      <w:bookmarkEnd w:id="2734"/>
      <w:bookmarkEnd w:id="2735"/>
      <w:bookmarkEnd w:id="2736"/>
      <w:r>
        <w:rPr>
          <w:rFonts w:hint="eastAsia" w:asciiTheme="minorEastAsia" w:hAnsiTheme="minorEastAsia" w:eastAsiaTheme="minorEastAsia" w:cstheme="minorEastAsia"/>
          <w:b w:val="0"/>
          <w:color w:val="auto"/>
          <w:sz w:val="28"/>
          <w:szCs w:val="28"/>
          <w:highlight w:val="none"/>
        </w:rPr>
        <w:t>法定代表人身份证明</w:t>
      </w:r>
      <w:bookmarkEnd w:id="2737"/>
      <w:bookmarkEnd w:id="2738"/>
      <w:bookmarkEnd w:id="2739"/>
      <w:bookmarkEnd w:id="2740"/>
      <w:bookmarkEnd w:id="2741"/>
      <w:bookmarkEnd w:id="2742"/>
      <w:bookmarkEnd w:id="2743"/>
    </w:p>
    <w:p w14:paraId="1932EA9B">
      <w:pPr>
        <w:pageBreakBefore w:val="0"/>
        <w:kinsoku/>
        <w:wordWrap/>
        <w:overflowPunct/>
        <w:bidi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p>
    <w:p w14:paraId="36007C97">
      <w:pPr>
        <w:pageBreakBefore w:val="0"/>
        <w:kinsoku/>
        <w:wordWrap/>
        <w:overflowPunct/>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p>
    <w:p w14:paraId="148E5CB4">
      <w:pPr>
        <w:pageBreakBefore w:val="0"/>
        <w:kinsoku/>
        <w:wordWrap/>
        <w:overflowPunct/>
        <w:bidi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p>
    <w:p w14:paraId="1209716E">
      <w:pPr>
        <w:pageBreakBefore w:val="0"/>
        <w:kinsoku/>
        <w:wordWrap/>
        <w:overflowPunct/>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p>
    <w:p w14:paraId="45552795">
      <w:pPr>
        <w:pageBreakBefore w:val="0"/>
        <w:kinsoku/>
        <w:wordWrap/>
        <w:overflowPunct/>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663E4540">
      <w:pPr>
        <w:pageBreakBefore w:val="0"/>
        <w:kinsoku/>
        <w:wordWrap/>
        <w:overflowPunct/>
        <w:bidi w:val="0"/>
        <w:spacing w:line="360" w:lineRule="auto"/>
        <w:ind w:firstLine="480" w:firstLineChars="200"/>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7849DC59">
      <w:pPr>
        <w:pageBreakBefore w:val="0"/>
        <w:kinsoku/>
        <w:wordWrap/>
        <w:overflowPunct/>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（投标人名称）</w:t>
      </w:r>
      <w:r>
        <w:rPr>
          <w:rFonts w:hint="eastAsia" w:asciiTheme="minorEastAsia" w:hAnsiTheme="minorEastAsia" w:eastAsiaTheme="minorEastAsia" w:cstheme="minorEastAsia"/>
          <w:color w:val="auto"/>
          <w:sz w:val="24"/>
          <w:szCs w:val="24"/>
          <w:highlight w:val="none"/>
        </w:rPr>
        <w:t>的法定代表人。</w:t>
      </w:r>
    </w:p>
    <w:p w14:paraId="2017C324">
      <w:pPr>
        <w:pageBreakBefore w:val="0"/>
        <w:kinsoku/>
        <w:wordWrap/>
        <w:overflowPunct/>
        <w:bidi w:val="0"/>
        <w:spacing w:line="360" w:lineRule="auto"/>
        <w:ind w:firstLine="960" w:firstLineChars="4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14:paraId="35AE1357">
      <w:pPr>
        <w:pageBreakBefore w:val="0"/>
        <w:kinsoku/>
        <w:wordWrap/>
        <w:overflowPunct/>
        <w:bidi w:val="0"/>
        <w:spacing w:line="360" w:lineRule="auto"/>
        <w:ind w:firstLine="4200" w:firstLineChars="1750"/>
        <w:rPr>
          <w:rFonts w:hint="eastAsia" w:asciiTheme="minorEastAsia" w:hAnsiTheme="minorEastAsia" w:eastAsiaTheme="minorEastAsia" w:cstheme="minorEastAsia"/>
          <w:color w:val="auto"/>
          <w:sz w:val="24"/>
          <w:szCs w:val="24"/>
          <w:highlight w:val="none"/>
        </w:rPr>
      </w:pPr>
    </w:p>
    <w:p w14:paraId="54617067">
      <w:pPr>
        <w:pageBreakBefore w:val="0"/>
        <w:kinsoku/>
        <w:wordWrap/>
        <w:overflowPunct/>
        <w:bidi w:val="0"/>
        <w:spacing w:line="360" w:lineRule="auto"/>
        <w:ind w:firstLine="4200" w:firstLineChars="175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snapToGrid w:val="0"/>
          <w:color w:val="auto"/>
          <w:kern w:val="0"/>
          <w:sz w:val="24"/>
          <w:szCs w:val="24"/>
          <w:highlight w:val="none"/>
        </w:rPr>
        <w:t>（电子签章）</w:t>
      </w:r>
    </w:p>
    <w:p w14:paraId="7F2A39B7">
      <w:pPr>
        <w:pageBreakBefore w:val="0"/>
        <w:kinsoku/>
        <w:wordWrap/>
        <w:overflowPunct/>
        <w:bidi w:val="0"/>
        <w:snapToGrid w:val="0"/>
        <w:spacing w:line="360" w:lineRule="auto"/>
        <w:ind w:firstLine="4200" w:firstLineChars="175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u w:val="none"/>
          <w:lang w:val="en-US" w:eastAsia="zh-CN"/>
        </w:rPr>
        <w:t>日期：</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年</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月</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日</w:t>
      </w:r>
    </w:p>
    <w:p w14:paraId="2D9AB42F">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p>
    <w:p w14:paraId="7EB19002">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mc:AlternateContent>
          <mc:Choice Requires="wps">
            <w:drawing>
              <wp:anchor distT="0" distB="0" distL="114300" distR="114300" simplePos="0" relativeHeight="251661312" behindDoc="1" locked="0" layoutInCell="1" allowOverlap="1">
                <wp:simplePos x="0" y="0"/>
                <wp:positionH relativeFrom="column">
                  <wp:posOffset>491490</wp:posOffset>
                </wp:positionH>
                <wp:positionV relativeFrom="paragraph">
                  <wp:posOffset>13970</wp:posOffset>
                </wp:positionV>
                <wp:extent cx="4600575" cy="2216785"/>
                <wp:effectExtent l="4445" t="5080" r="5080" b="6985"/>
                <wp:wrapTight wrapText="bothSides">
                  <wp:wrapPolygon>
                    <wp:start x="-21" y="-49"/>
                    <wp:lineTo x="-21" y="21482"/>
                    <wp:lineTo x="21534" y="21482"/>
                    <wp:lineTo x="21534" y="-49"/>
                    <wp:lineTo x="-21" y="-49"/>
                  </wp:wrapPolygon>
                </wp:wrapTight>
                <wp:docPr id="2" name="文本框 2"/>
                <wp:cNvGraphicFramePr/>
                <a:graphic xmlns:a="http://schemas.openxmlformats.org/drawingml/2006/main">
                  <a:graphicData uri="http://schemas.microsoft.com/office/word/2010/wordprocessingShape">
                    <wps:wsp>
                      <wps:cNvSpPr txBox="1"/>
                      <wps:spPr>
                        <a:xfrm>
                          <a:off x="0" y="0"/>
                          <a:ext cx="4600575" cy="2216785"/>
                        </a:xfrm>
                        <a:prstGeom prst="rect">
                          <a:avLst/>
                        </a:prstGeom>
                        <a:solidFill>
                          <a:srgbClr val="FFFFFF"/>
                        </a:solidFill>
                        <a:ln w="9525">
                          <a:solidFill>
                            <a:srgbClr val="000000"/>
                          </a:solidFill>
                          <a:prstDash val="sysDot"/>
                          <a:miter lim="0"/>
                        </a:ln>
                      </wps:spPr>
                      <wps:txbx>
                        <w:txbxContent>
                          <w:p w14:paraId="51ED4FE0">
                            <w:pPr>
                              <w:jc w:val="center"/>
                              <w:rPr>
                                <w:rFonts w:ascii="宋体" w:hAnsi="宋体"/>
                                <w:sz w:val="24"/>
                                <w:szCs w:val="24"/>
                              </w:rPr>
                            </w:pPr>
                          </w:p>
                          <w:p w14:paraId="3BDCF4EE">
                            <w:pPr>
                              <w:jc w:val="center"/>
                              <w:rPr>
                                <w:rFonts w:ascii="宋体" w:hAnsi="宋体"/>
                                <w:sz w:val="24"/>
                                <w:szCs w:val="24"/>
                              </w:rPr>
                            </w:pPr>
                          </w:p>
                          <w:p w14:paraId="6753AC71">
                            <w:pPr>
                              <w:jc w:val="center"/>
                              <w:rPr>
                                <w:rFonts w:ascii="宋体" w:hAnsi="宋体"/>
                                <w:sz w:val="24"/>
                                <w:szCs w:val="24"/>
                              </w:rPr>
                            </w:pPr>
                          </w:p>
                          <w:p w14:paraId="681FC19C">
                            <w:pPr>
                              <w:jc w:val="center"/>
                              <w:rPr>
                                <w:rFonts w:ascii="宋体" w:hAnsi="宋体"/>
                                <w:sz w:val="24"/>
                                <w:szCs w:val="24"/>
                              </w:rPr>
                            </w:pPr>
                          </w:p>
                          <w:p w14:paraId="40E9FD99">
                            <w:pPr>
                              <w:jc w:val="center"/>
                              <w:rPr>
                                <w:rFonts w:ascii="宋体" w:hAnsi="宋体"/>
                                <w:sz w:val="24"/>
                                <w:szCs w:val="24"/>
                              </w:rPr>
                            </w:pPr>
                          </w:p>
                          <w:p w14:paraId="3777227D">
                            <w:pPr>
                              <w:ind w:firstLine="630" w:firstLineChars="300"/>
                              <w:jc w:val="center"/>
                              <w:rPr>
                                <w:rFonts w:hint="eastAsia" w:ascii="黑体" w:hAnsi="黑体" w:eastAsia="黑体" w:cs="黑体"/>
                                <w:szCs w:val="21"/>
                              </w:rPr>
                            </w:pPr>
                            <w:r>
                              <w:rPr>
                                <w:rFonts w:hint="eastAsia" w:ascii="黑体" w:hAnsi="黑体" w:eastAsia="黑体" w:cs="黑体"/>
                                <w:szCs w:val="21"/>
                              </w:rPr>
                              <w:t>法定代表人第二代身份证</w:t>
                            </w:r>
                            <w:r>
                              <w:rPr>
                                <w:rFonts w:hint="eastAsia" w:ascii="黑体" w:hAnsi="黑体" w:eastAsia="黑体" w:cs="黑体"/>
                                <w:szCs w:val="21"/>
                                <w:lang w:val="en-US" w:eastAsia="zh-CN"/>
                              </w:rPr>
                              <w:t>原件</w:t>
                            </w:r>
                            <w:r>
                              <w:rPr>
                                <w:rFonts w:hint="eastAsia" w:ascii="黑体" w:hAnsi="黑体" w:eastAsia="黑体" w:cs="黑体"/>
                                <w:szCs w:val="21"/>
                              </w:rPr>
                              <w:t>扫描件（正反面）</w:t>
                            </w:r>
                          </w:p>
                        </w:txbxContent>
                      </wps:txbx>
                      <wps:bodyPr upright="1"/>
                    </wps:wsp>
                  </a:graphicData>
                </a:graphic>
              </wp:anchor>
            </w:drawing>
          </mc:Choice>
          <mc:Fallback>
            <w:pict>
              <v:shape id="_x0000_s1026" o:spid="_x0000_s1026" o:spt="202" type="#_x0000_t202" style="position:absolute;left:0pt;margin-left:38.7pt;margin-top:1.1pt;height:174.55pt;width:362.25pt;mso-wrap-distance-left:9pt;mso-wrap-distance-right:9pt;z-index:-251655168;mso-width-relative:page;mso-height-relative:page;" fillcolor="#FFFFFF" filled="t" stroked="t" coordsize="21600,21600" wrapcoords="-21 -49 -21 21482 21534 21482 21534 -49 -21 -49" o:gfxdata="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3MaGs1gAAAAgB&#10;AAAPAAAAAAAAAAEAIAAAACIAAABkcnMvZG93bnJldi54bWxQSwECFAAUAAAACACHTuJAl/2gqOQB&#10;AADWAwAADgAAAAAAAAABACAAAAAlAQAAZHJzL2Uyb0RvYy54bWxQSwUGAAAAAAYABgBZAQAAewUA&#10;AAAA&#10;">
                <v:fill on="t" focussize="0,0"/>
                <v:stroke color="#000000" miterlimit="0" joinstyle="miter" dashstyle="1 1"/>
                <v:imagedata o:title=""/>
                <o:lock v:ext="edit" aspectratio="f"/>
                <v:textbox>
                  <w:txbxContent>
                    <w:p w14:paraId="51ED4FE0">
                      <w:pPr>
                        <w:jc w:val="center"/>
                        <w:rPr>
                          <w:rFonts w:ascii="宋体" w:hAnsi="宋体"/>
                          <w:sz w:val="24"/>
                          <w:szCs w:val="24"/>
                        </w:rPr>
                      </w:pPr>
                    </w:p>
                    <w:p w14:paraId="3BDCF4EE">
                      <w:pPr>
                        <w:jc w:val="center"/>
                        <w:rPr>
                          <w:rFonts w:ascii="宋体" w:hAnsi="宋体"/>
                          <w:sz w:val="24"/>
                          <w:szCs w:val="24"/>
                        </w:rPr>
                      </w:pPr>
                    </w:p>
                    <w:p w14:paraId="6753AC71">
                      <w:pPr>
                        <w:jc w:val="center"/>
                        <w:rPr>
                          <w:rFonts w:ascii="宋体" w:hAnsi="宋体"/>
                          <w:sz w:val="24"/>
                          <w:szCs w:val="24"/>
                        </w:rPr>
                      </w:pPr>
                    </w:p>
                    <w:p w14:paraId="681FC19C">
                      <w:pPr>
                        <w:jc w:val="center"/>
                        <w:rPr>
                          <w:rFonts w:ascii="宋体" w:hAnsi="宋体"/>
                          <w:sz w:val="24"/>
                          <w:szCs w:val="24"/>
                        </w:rPr>
                      </w:pPr>
                    </w:p>
                    <w:p w14:paraId="40E9FD99">
                      <w:pPr>
                        <w:jc w:val="center"/>
                        <w:rPr>
                          <w:rFonts w:ascii="宋体" w:hAnsi="宋体"/>
                          <w:sz w:val="24"/>
                          <w:szCs w:val="24"/>
                        </w:rPr>
                      </w:pPr>
                    </w:p>
                    <w:p w14:paraId="3777227D">
                      <w:pPr>
                        <w:ind w:firstLine="630" w:firstLineChars="300"/>
                        <w:jc w:val="center"/>
                        <w:rPr>
                          <w:rFonts w:hint="eastAsia" w:ascii="黑体" w:hAnsi="黑体" w:eastAsia="黑体" w:cs="黑体"/>
                          <w:szCs w:val="21"/>
                        </w:rPr>
                      </w:pPr>
                      <w:r>
                        <w:rPr>
                          <w:rFonts w:hint="eastAsia" w:ascii="黑体" w:hAnsi="黑体" w:eastAsia="黑体" w:cs="黑体"/>
                          <w:szCs w:val="21"/>
                        </w:rPr>
                        <w:t>法定代表人第二代身份证</w:t>
                      </w:r>
                      <w:r>
                        <w:rPr>
                          <w:rFonts w:hint="eastAsia" w:ascii="黑体" w:hAnsi="黑体" w:eastAsia="黑体" w:cs="黑体"/>
                          <w:szCs w:val="21"/>
                          <w:lang w:val="en-US" w:eastAsia="zh-CN"/>
                        </w:rPr>
                        <w:t>原件</w:t>
                      </w:r>
                      <w:r>
                        <w:rPr>
                          <w:rFonts w:hint="eastAsia" w:ascii="黑体" w:hAnsi="黑体" w:eastAsia="黑体" w:cs="黑体"/>
                          <w:szCs w:val="21"/>
                        </w:rPr>
                        <w:t>扫描件（正反面）</w:t>
                      </w:r>
                    </w:p>
                  </w:txbxContent>
                </v:textbox>
                <w10:wrap type="tight"/>
              </v:shape>
            </w:pict>
          </mc:Fallback>
        </mc:AlternateContent>
      </w:r>
    </w:p>
    <w:p w14:paraId="5EA0DCA3">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p>
    <w:p w14:paraId="4C693F3D">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p>
    <w:p w14:paraId="774BC4D4">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p>
    <w:p w14:paraId="582BD3D1">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p>
    <w:p w14:paraId="343B4B13">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p>
    <w:p w14:paraId="5299E3F2">
      <w:pPr>
        <w:pageBreakBefore w:val="0"/>
        <w:tabs>
          <w:tab w:val="left" w:pos="-840"/>
          <w:tab w:val="left" w:pos="3444"/>
        </w:tabs>
        <w:kinsoku/>
        <w:wordWrap/>
        <w:overflowPunct/>
        <w:bidi w:val="0"/>
        <w:spacing w:line="360" w:lineRule="auto"/>
        <w:ind w:left="540" w:right="399" w:hanging="540" w:hangingChars="225"/>
        <w:rPr>
          <w:rFonts w:hint="eastAsia" w:asciiTheme="minorEastAsia" w:hAnsiTheme="minorEastAsia" w:eastAsiaTheme="minorEastAsia" w:cstheme="minorEastAsia"/>
          <w:color w:val="auto"/>
          <w:position w:val="0"/>
          <w:sz w:val="24"/>
          <w:szCs w:val="24"/>
          <w:highlight w:val="none"/>
        </w:rPr>
      </w:pPr>
    </w:p>
    <w:p w14:paraId="790964E8">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20B8DAD8">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1BC80F0C">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5111338A">
      <w:pPr>
        <w:pageBreakBefore w:val="0"/>
        <w:tabs>
          <w:tab w:val="left" w:pos="-840"/>
          <w:tab w:val="left" w:pos="3444"/>
        </w:tabs>
        <w:kinsoku/>
        <w:wordWrap/>
        <w:overflowPunct/>
        <w:bidi w:val="0"/>
        <w:spacing w:line="360" w:lineRule="auto"/>
        <w:ind w:left="405" w:right="399" w:hanging="407" w:hangingChars="225"/>
        <w:rPr>
          <w:rFonts w:hint="eastAsia" w:asciiTheme="minorEastAsia" w:hAnsiTheme="minorEastAsia" w:eastAsiaTheme="minorEastAsia" w:cstheme="minorEastAsia"/>
          <w:b/>
          <w:bCs/>
          <w:color w:val="auto"/>
          <w:position w:val="0"/>
          <w:sz w:val="18"/>
          <w:szCs w:val="18"/>
          <w:highlight w:val="none"/>
        </w:rPr>
      </w:pPr>
      <w:r>
        <w:rPr>
          <w:rFonts w:hint="eastAsia" w:asciiTheme="minorEastAsia" w:hAnsiTheme="minorEastAsia" w:eastAsiaTheme="minorEastAsia" w:cstheme="minorEastAsia"/>
          <w:b/>
          <w:bCs/>
          <w:color w:val="auto"/>
          <w:position w:val="0"/>
          <w:sz w:val="18"/>
          <w:szCs w:val="18"/>
          <w:highlight w:val="none"/>
        </w:rPr>
        <w:t>注：若为联合体投标的，由联合体牵头人提供。</w:t>
      </w:r>
    </w:p>
    <w:p w14:paraId="4BB7E0D4">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32FDCE70">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7471AC6A">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15050024">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120B66A3">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3FDF1DC2">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322CDC39">
      <w:pPr>
        <w:pStyle w:val="4"/>
        <w:pageBreakBefore w:val="0"/>
        <w:widowControl/>
        <w:kinsoku/>
        <w:wordWrap/>
        <w:overflowPunct/>
        <w:bidi w:val="0"/>
        <w:spacing w:line="360" w:lineRule="auto"/>
        <w:jc w:val="center"/>
        <w:rPr>
          <w:rFonts w:hint="eastAsia" w:asciiTheme="minorEastAsia" w:hAnsiTheme="minorEastAsia" w:eastAsiaTheme="minorEastAsia" w:cstheme="minorEastAsia"/>
          <w:b w:val="0"/>
          <w:color w:val="auto"/>
          <w:sz w:val="28"/>
          <w:szCs w:val="28"/>
          <w:highlight w:val="none"/>
        </w:rPr>
      </w:pPr>
      <w:bookmarkStart w:id="2744" w:name="_Toc519779705"/>
      <w:bookmarkStart w:id="2745" w:name="_Toc510531445"/>
      <w:bookmarkStart w:id="2746" w:name="_Toc532562661"/>
      <w:bookmarkStart w:id="2747" w:name="_Toc16218"/>
      <w:bookmarkStart w:id="2748" w:name="_Toc19088"/>
      <w:bookmarkStart w:id="2749" w:name="_Toc20611"/>
      <w:bookmarkStart w:id="2750" w:name="_Toc12637"/>
      <w:bookmarkStart w:id="2751" w:name="_Toc495524412"/>
      <w:bookmarkStart w:id="2752" w:name="_Toc266451856"/>
      <w:bookmarkStart w:id="2753" w:name="_Toc466896374"/>
      <w:bookmarkStart w:id="2754" w:name="_Toc445301027"/>
      <w:r>
        <w:rPr>
          <w:rFonts w:hint="eastAsia" w:asciiTheme="minorEastAsia" w:hAnsiTheme="minorEastAsia" w:eastAsiaTheme="minorEastAsia" w:cstheme="minorEastAsia"/>
          <w:b w:val="0"/>
          <w:color w:val="auto"/>
          <w:sz w:val="28"/>
          <w:szCs w:val="28"/>
          <w:highlight w:val="none"/>
        </w:rPr>
        <w:t>（</w:t>
      </w:r>
      <w:r>
        <w:rPr>
          <w:rFonts w:hint="eastAsia" w:asciiTheme="minorEastAsia" w:hAnsiTheme="minorEastAsia" w:eastAsiaTheme="minorEastAsia" w:cstheme="minorEastAsia"/>
          <w:b w:val="0"/>
          <w:color w:val="auto"/>
          <w:sz w:val="28"/>
          <w:szCs w:val="28"/>
          <w:highlight w:val="none"/>
          <w:lang w:val="en-US" w:eastAsia="zh-CN"/>
        </w:rPr>
        <w:t>二</w:t>
      </w:r>
      <w:r>
        <w:rPr>
          <w:rFonts w:hint="eastAsia" w:asciiTheme="minorEastAsia" w:hAnsiTheme="minorEastAsia" w:eastAsiaTheme="minorEastAsia" w:cstheme="minorEastAsia"/>
          <w:b w:val="0"/>
          <w:color w:val="auto"/>
          <w:sz w:val="28"/>
          <w:szCs w:val="28"/>
          <w:highlight w:val="none"/>
        </w:rPr>
        <w:t>）授权委托书</w:t>
      </w:r>
      <w:bookmarkEnd w:id="2744"/>
      <w:bookmarkEnd w:id="2745"/>
      <w:bookmarkEnd w:id="2746"/>
      <w:bookmarkEnd w:id="2747"/>
      <w:bookmarkEnd w:id="2748"/>
      <w:bookmarkEnd w:id="2749"/>
      <w:bookmarkEnd w:id="2750"/>
    </w:p>
    <w:p w14:paraId="12E6659D">
      <w:pPr>
        <w:pageBreakBefore w:val="0"/>
        <w:kinsoku/>
        <w:wordWrap/>
        <w:overflowPunct/>
        <w:bidi w:val="0"/>
        <w:spacing w:line="360" w:lineRule="auto"/>
        <w:jc w:val="center"/>
        <w:rPr>
          <w:rFonts w:hint="eastAsia" w:asciiTheme="minorEastAsia" w:hAnsiTheme="minorEastAsia" w:eastAsiaTheme="minorEastAsia" w:cstheme="minorEastAsia"/>
          <w:b/>
          <w:bCs/>
          <w:color w:val="auto"/>
          <w:position w:val="0"/>
          <w:sz w:val="24"/>
          <w:szCs w:val="24"/>
          <w:highlight w:val="none"/>
        </w:rPr>
      </w:pPr>
    </w:p>
    <w:p w14:paraId="28CBD36E">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本人</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（姓名）系</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（投标人名称）的法定代表人，现委托</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（姓名）为我方代理人。代理人根据授权，以我方名义签署、澄清确认、递交、撤回、修改</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rPr>
        <w:t>（项目名称）投标文件、签订合同和处理有关事宜，其法律后果由我方承担。</w:t>
      </w:r>
    </w:p>
    <w:p w14:paraId="613B2B2A">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委托期限：自本委托书签署之日起至投标有效期满。</w:t>
      </w:r>
    </w:p>
    <w:p w14:paraId="495AE990">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代理人无转委托权。</w:t>
      </w:r>
    </w:p>
    <w:p w14:paraId="41F207E3">
      <w:pPr>
        <w:pageBreakBefore w:val="0"/>
        <w:kinsoku/>
        <w:wordWrap/>
        <w:overflowPunct/>
        <w:bidi w:val="0"/>
        <w:spacing w:line="360" w:lineRule="auto"/>
        <w:rPr>
          <w:rFonts w:hint="eastAsia" w:asciiTheme="minorEastAsia" w:hAnsiTheme="minorEastAsia" w:eastAsiaTheme="minorEastAsia" w:cstheme="minorEastAsia"/>
          <w:color w:val="auto"/>
          <w:position w:val="0"/>
          <w:sz w:val="24"/>
          <w:szCs w:val="24"/>
          <w:highlight w:val="none"/>
        </w:rPr>
      </w:pPr>
    </w:p>
    <w:p w14:paraId="3FE93264">
      <w:pPr>
        <w:pageBreakBefore w:val="0"/>
        <w:kinsoku/>
        <w:wordWrap/>
        <w:overflowPunct/>
        <w:bidi w:val="0"/>
        <w:spacing w:line="360" w:lineRule="auto"/>
        <w:rPr>
          <w:rFonts w:hint="eastAsia" w:asciiTheme="minorEastAsia" w:hAnsiTheme="minorEastAsia" w:eastAsiaTheme="minorEastAsia" w:cstheme="minorEastAsia"/>
          <w:color w:val="auto"/>
          <w:position w:val="0"/>
          <w:sz w:val="24"/>
          <w:szCs w:val="24"/>
          <w:highlight w:val="none"/>
        </w:rPr>
      </w:pPr>
    </w:p>
    <w:p w14:paraId="7BB73892">
      <w:pPr>
        <w:pageBreakBefore w:val="0"/>
        <w:kinsoku/>
        <w:wordWrap/>
        <w:overflowPunct/>
        <w:bidi w:val="0"/>
        <w:spacing w:line="360" w:lineRule="auto"/>
        <w:ind w:firstLine="3400" w:firstLineChars="1417"/>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（电子签章）</w:t>
      </w:r>
    </w:p>
    <w:p w14:paraId="3784A24D">
      <w:pPr>
        <w:pageBreakBefore w:val="0"/>
        <w:kinsoku/>
        <w:wordWrap/>
        <w:overflowPunct/>
        <w:bidi w:val="0"/>
        <w:spacing w:line="360" w:lineRule="auto"/>
        <w:ind w:firstLine="3400" w:firstLineChars="1417"/>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法定代表人：</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（电子签章）</w:t>
      </w:r>
    </w:p>
    <w:p w14:paraId="76A3FF77">
      <w:pPr>
        <w:pageBreakBefore w:val="0"/>
        <w:kinsoku/>
        <w:wordWrap/>
        <w:overflowPunct/>
        <w:bidi w:val="0"/>
        <w:spacing w:line="360" w:lineRule="auto"/>
        <w:ind w:firstLine="3400" w:firstLineChars="1417"/>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身份证号码：</w:t>
      </w:r>
      <w:r>
        <w:rPr>
          <w:rFonts w:hint="eastAsia" w:asciiTheme="minorEastAsia" w:hAnsiTheme="minorEastAsia" w:eastAsiaTheme="minorEastAsia" w:cstheme="minorEastAsia"/>
          <w:color w:val="auto"/>
          <w:position w:val="0"/>
          <w:sz w:val="24"/>
          <w:szCs w:val="24"/>
          <w:highlight w:val="none"/>
          <w:u w:val="single"/>
        </w:rPr>
        <w:t xml:space="preserve">   </w:t>
      </w:r>
    </w:p>
    <w:p w14:paraId="101B4472">
      <w:pPr>
        <w:pageBreakBefore w:val="0"/>
        <w:kinsoku/>
        <w:wordWrap/>
        <w:overflowPunct/>
        <w:bidi w:val="0"/>
        <w:spacing w:line="360" w:lineRule="auto"/>
        <w:ind w:firstLine="3400" w:firstLineChars="1417"/>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委托代理人：</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（签字）</w:t>
      </w:r>
    </w:p>
    <w:p w14:paraId="12F47B23">
      <w:pPr>
        <w:pageBreakBefore w:val="0"/>
        <w:kinsoku/>
        <w:wordWrap/>
        <w:overflowPunct/>
        <w:bidi w:val="0"/>
        <w:spacing w:line="360" w:lineRule="auto"/>
        <w:ind w:firstLine="3400" w:firstLineChars="1417"/>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身份证号码：</w:t>
      </w:r>
      <w:r>
        <w:rPr>
          <w:rFonts w:hint="eastAsia" w:asciiTheme="minorEastAsia" w:hAnsiTheme="minorEastAsia" w:eastAsiaTheme="minorEastAsia" w:cstheme="minorEastAsia"/>
          <w:color w:val="auto"/>
          <w:position w:val="0"/>
          <w:sz w:val="24"/>
          <w:szCs w:val="24"/>
          <w:highlight w:val="none"/>
          <w:u w:val="single"/>
        </w:rPr>
        <w:t xml:space="preserve">   </w:t>
      </w:r>
    </w:p>
    <w:p w14:paraId="7D33D797">
      <w:pPr>
        <w:pageBreakBefore w:val="0"/>
        <w:kinsoku/>
        <w:wordWrap/>
        <w:overflowPunct/>
        <w:bidi w:val="0"/>
        <w:snapToGrid w:val="0"/>
        <w:spacing w:line="360" w:lineRule="auto"/>
        <w:ind w:firstLine="3480" w:firstLineChars="145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u w:val="none"/>
          <w:lang w:val="en-US" w:eastAsia="zh-CN"/>
        </w:rPr>
        <w:t>日期：</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年</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月</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日</w:t>
      </w:r>
    </w:p>
    <w:p w14:paraId="72FDEFDC">
      <w:pPr>
        <w:pageBreakBefore w:val="0"/>
        <w:kinsoku/>
        <w:wordWrap/>
        <w:overflowPunct/>
        <w:bidi w:val="0"/>
        <w:spacing w:line="360" w:lineRule="auto"/>
        <w:ind w:firstLine="5148" w:firstLineChars="2145"/>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mc:AlternateContent>
          <mc:Choice Requires="wps">
            <w:drawing>
              <wp:anchor distT="0" distB="0" distL="114300" distR="114300" simplePos="0" relativeHeight="251660288" behindDoc="1" locked="0" layoutInCell="1" allowOverlap="1">
                <wp:simplePos x="0" y="0"/>
                <wp:positionH relativeFrom="column">
                  <wp:posOffset>558165</wp:posOffset>
                </wp:positionH>
                <wp:positionV relativeFrom="paragraph">
                  <wp:posOffset>233680</wp:posOffset>
                </wp:positionV>
                <wp:extent cx="4672330" cy="1864360"/>
                <wp:effectExtent l="4445" t="4445" r="9525" b="17145"/>
                <wp:wrapTight wrapText="bothSides">
                  <wp:wrapPolygon>
                    <wp:start x="-21" y="-51"/>
                    <wp:lineTo x="-21" y="21357"/>
                    <wp:lineTo x="21556" y="21357"/>
                    <wp:lineTo x="21556" y="-51"/>
                    <wp:lineTo x="-21" y="-51"/>
                  </wp:wrapPolygon>
                </wp:wrapTight>
                <wp:docPr id="1" name="文本框 1"/>
                <wp:cNvGraphicFramePr/>
                <a:graphic xmlns:a="http://schemas.openxmlformats.org/drawingml/2006/main">
                  <a:graphicData uri="http://schemas.microsoft.com/office/word/2010/wordprocessingShape">
                    <wps:wsp>
                      <wps:cNvSpPr txBox="1"/>
                      <wps:spPr>
                        <a:xfrm>
                          <a:off x="0" y="0"/>
                          <a:ext cx="4672330" cy="1864360"/>
                        </a:xfrm>
                        <a:prstGeom prst="rect">
                          <a:avLst/>
                        </a:prstGeom>
                        <a:solidFill>
                          <a:srgbClr val="FFFFFF"/>
                        </a:solidFill>
                        <a:ln w="9525">
                          <a:solidFill>
                            <a:srgbClr val="000000"/>
                          </a:solidFill>
                          <a:prstDash val="sysDot"/>
                          <a:miter lim="0"/>
                        </a:ln>
                      </wps:spPr>
                      <wps:txbx>
                        <w:txbxContent>
                          <w:p w14:paraId="24E8446E">
                            <w:pPr>
                              <w:ind w:firstLine="630" w:firstLineChars="300"/>
                              <w:jc w:val="center"/>
                              <w:rPr>
                                <w:rFonts w:ascii="宋体" w:hAnsi="宋体"/>
                                <w:szCs w:val="21"/>
                              </w:rPr>
                            </w:pPr>
                          </w:p>
                          <w:p w14:paraId="2DB86639">
                            <w:pPr>
                              <w:ind w:firstLine="630" w:firstLineChars="300"/>
                              <w:jc w:val="center"/>
                              <w:rPr>
                                <w:rFonts w:ascii="宋体" w:hAnsi="宋体"/>
                                <w:szCs w:val="21"/>
                              </w:rPr>
                            </w:pPr>
                          </w:p>
                          <w:p w14:paraId="41DA7C71">
                            <w:pPr>
                              <w:ind w:firstLine="630" w:firstLineChars="300"/>
                              <w:jc w:val="center"/>
                              <w:rPr>
                                <w:rFonts w:ascii="宋体" w:hAnsi="宋体"/>
                                <w:szCs w:val="21"/>
                              </w:rPr>
                            </w:pPr>
                          </w:p>
                          <w:p w14:paraId="0B4F081E">
                            <w:pPr>
                              <w:ind w:firstLine="630" w:firstLineChars="300"/>
                              <w:jc w:val="center"/>
                              <w:rPr>
                                <w:rFonts w:ascii="宋体" w:hAnsi="宋体"/>
                                <w:szCs w:val="21"/>
                              </w:rPr>
                            </w:pPr>
                          </w:p>
                          <w:p w14:paraId="3F54953E">
                            <w:pPr>
                              <w:ind w:firstLine="630" w:firstLineChars="300"/>
                              <w:jc w:val="center"/>
                              <w:rPr>
                                <w:rFonts w:hint="eastAsia" w:ascii="黑体" w:hAnsi="黑体" w:eastAsia="黑体" w:cs="黑体"/>
                                <w:szCs w:val="21"/>
                              </w:rPr>
                            </w:pPr>
                            <w:r>
                              <w:rPr>
                                <w:rFonts w:hint="eastAsia" w:ascii="黑体" w:hAnsi="黑体" w:eastAsia="黑体" w:cs="黑体"/>
                                <w:szCs w:val="21"/>
                              </w:rPr>
                              <w:t>被授权代理人身份证</w:t>
                            </w:r>
                            <w:r>
                              <w:rPr>
                                <w:rFonts w:hint="eastAsia" w:ascii="黑体" w:hAnsi="黑体" w:eastAsia="黑体" w:cs="黑体"/>
                                <w:szCs w:val="21"/>
                                <w:lang w:val="en-US" w:eastAsia="zh-CN"/>
                              </w:rPr>
                              <w:t>原件</w:t>
                            </w:r>
                            <w:r>
                              <w:rPr>
                                <w:rFonts w:hint="eastAsia" w:ascii="黑体" w:hAnsi="黑体" w:eastAsia="黑体" w:cs="黑体"/>
                                <w:szCs w:val="21"/>
                              </w:rPr>
                              <w:t>扫描件（正反面）</w:t>
                            </w:r>
                          </w:p>
                          <w:p w14:paraId="4590A0E7">
                            <w:pPr>
                              <w:jc w:val="center"/>
                              <w:rPr>
                                <w:rFonts w:hint="eastAsia" w:ascii="黑体" w:hAnsi="黑体" w:eastAsia="黑体" w:cs="黑体"/>
                                <w:sz w:val="24"/>
                                <w:szCs w:val="24"/>
                              </w:rPr>
                            </w:pPr>
                          </w:p>
                          <w:p w14:paraId="7FAFEFA8">
                            <w:pPr>
                              <w:ind w:firstLine="630" w:firstLineChars="300"/>
                              <w:jc w:val="center"/>
                              <w:rPr>
                                <w:szCs w:val="21"/>
                              </w:rPr>
                            </w:pPr>
                          </w:p>
                          <w:p w14:paraId="04205B74">
                            <w:pPr>
                              <w:ind w:firstLine="630" w:firstLineChars="300"/>
                              <w:jc w:val="center"/>
                              <w:rPr>
                                <w:szCs w:val="21"/>
                              </w:rPr>
                            </w:pPr>
                          </w:p>
                          <w:p w14:paraId="39D48267">
                            <w:pPr>
                              <w:ind w:firstLine="630" w:firstLineChars="300"/>
                              <w:jc w:val="center"/>
                              <w:rPr>
                                <w:szCs w:val="21"/>
                              </w:rPr>
                            </w:pPr>
                          </w:p>
                          <w:p w14:paraId="080ADED7">
                            <w:pPr>
                              <w:ind w:firstLine="630" w:firstLineChars="300"/>
                              <w:jc w:val="center"/>
                              <w:rPr>
                                <w:szCs w:val="21"/>
                              </w:rPr>
                            </w:pPr>
                          </w:p>
                          <w:p w14:paraId="111AF72F">
                            <w:pPr>
                              <w:ind w:firstLine="630" w:firstLineChars="300"/>
                              <w:jc w:val="center"/>
                              <w:rPr>
                                <w:szCs w:val="21"/>
                              </w:rPr>
                            </w:pPr>
                          </w:p>
                          <w:p w14:paraId="27FAB146">
                            <w:pPr>
                              <w:ind w:firstLine="630" w:firstLineChars="300"/>
                              <w:jc w:val="center"/>
                              <w:rPr>
                                <w:szCs w:val="21"/>
                              </w:rPr>
                            </w:pPr>
                          </w:p>
                          <w:p w14:paraId="62152248">
                            <w:pPr>
                              <w:ind w:firstLine="630" w:firstLineChars="300"/>
                              <w:jc w:val="center"/>
                              <w:rPr>
                                <w:szCs w:val="21"/>
                              </w:rPr>
                            </w:pPr>
                          </w:p>
                          <w:p w14:paraId="472C13F0">
                            <w:pPr>
                              <w:ind w:firstLine="630" w:firstLineChars="300"/>
                              <w:jc w:val="center"/>
                              <w:rPr>
                                <w:szCs w:val="21"/>
                              </w:rPr>
                            </w:pPr>
                          </w:p>
                          <w:p w14:paraId="7E4A547B">
                            <w:pPr>
                              <w:ind w:firstLine="630" w:firstLineChars="300"/>
                              <w:jc w:val="center"/>
                              <w:rPr>
                                <w:szCs w:val="21"/>
                              </w:rPr>
                            </w:pPr>
                          </w:p>
                          <w:p w14:paraId="42503525">
                            <w:pPr>
                              <w:ind w:firstLine="630" w:firstLineChars="300"/>
                              <w:jc w:val="center"/>
                              <w:rPr>
                                <w:szCs w:val="21"/>
                              </w:rPr>
                            </w:pPr>
                          </w:p>
                          <w:p w14:paraId="308A5B6E">
                            <w:pPr>
                              <w:ind w:firstLine="630" w:firstLineChars="300"/>
                              <w:jc w:val="center"/>
                              <w:rPr>
                                <w:szCs w:val="21"/>
                              </w:rPr>
                            </w:pPr>
                          </w:p>
                          <w:p w14:paraId="4D34CC59">
                            <w:pPr>
                              <w:ind w:firstLine="630" w:firstLineChars="300"/>
                              <w:jc w:val="center"/>
                              <w:rPr>
                                <w:szCs w:val="21"/>
                              </w:rPr>
                            </w:pPr>
                          </w:p>
                        </w:txbxContent>
                      </wps:txbx>
                      <wps:bodyPr upright="1"/>
                    </wps:wsp>
                  </a:graphicData>
                </a:graphic>
              </wp:anchor>
            </w:drawing>
          </mc:Choice>
          <mc:Fallback>
            <w:pict>
              <v:shape id="_x0000_s1026" o:spid="_x0000_s1026" o:spt="202" type="#_x0000_t202" style="position:absolute;left:0pt;margin-left:43.95pt;margin-top:18.4pt;height:146.8pt;width:367.9pt;mso-wrap-distance-left:9pt;mso-wrap-distance-right:9pt;z-index:-251656192;mso-width-relative:page;mso-height-relative:page;" fillcolor="#FFFFFF" filled="t" stroked="t" coordsize="21600,21600" wrapcoords="-21 -51 -21 21357 21556 21357 21556 -51 -21 -51" o:gfxdata="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4HNJNcA&#10;AAAJAQAADwAAAAAAAAABACAAAAAiAAAAZHJzL2Rvd25yZXYueG1sUEsBAhQAFAAAAAgAh07iQEea&#10;C3HnAQAA1gMAAA4AAAAAAAAAAQAgAAAAJgEAAGRycy9lMm9Eb2MueG1sUEsFBgAAAAAGAAYAWQEA&#10;AH8FAAAAAA==&#10;">
                <v:fill on="t" focussize="0,0"/>
                <v:stroke color="#000000" miterlimit="0" joinstyle="miter" dashstyle="1 1"/>
                <v:imagedata o:title=""/>
                <o:lock v:ext="edit" aspectratio="f"/>
                <v:textbox>
                  <w:txbxContent>
                    <w:p w14:paraId="24E8446E">
                      <w:pPr>
                        <w:ind w:firstLine="630" w:firstLineChars="300"/>
                        <w:jc w:val="center"/>
                        <w:rPr>
                          <w:rFonts w:ascii="宋体" w:hAnsi="宋体"/>
                          <w:szCs w:val="21"/>
                        </w:rPr>
                      </w:pPr>
                    </w:p>
                    <w:p w14:paraId="2DB86639">
                      <w:pPr>
                        <w:ind w:firstLine="630" w:firstLineChars="300"/>
                        <w:jc w:val="center"/>
                        <w:rPr>
                          <w:rFonts w:ascii="宋体" w:hAnsi="宋体"/>
                          <w:szCs w:val="21"/>
                        </w:rPr>
                      </w:pPr>
                    </w:p>
                    <w:p w14:paraId="41DA7C71">
                      <w:pPr>
                        <w:ind w:firstLine="630" w:firstLineChars="300"/>
                        <w:jc w:val="center"/>
                        <w:rPr>
                          <w:rFonts w:ascii="宋体" w:hAnsi="宋体"/>
                          <w:szCs w:val="21"/>
                        </w:rPr>
                      </w:pPr>
                    </w:p>
                    <w:p w14:paraId="0B4F081E">
                      <w:pPr>
                        <w:ind w:firstLine="630" w:firstLineChars="300"/>
                        <w:jc w:val="center"/>
                        <w:rPr>
                          <w:rFonts w:ascii="宋体" w:hAnsi="宋体"/>
                          <w:szCs w:val="21"/>
                        </w:rPr>
                      </w:pPr>
                    </w:p>
                    <w:p w14:paraId="3F54953E">
                      <w:pPr>
                        <w:ind w:firstLine="630" w:firstLineChars="300"/>
                        <w:jc w:val="center"/>
                        <w:rPr>
                          <w:rFonts w:hint="eastAsia" w:ascii="黑体" w:hAnsi="黑体" w:eastAsia="黑体" w:cs="黑体"/>
                          <w:szCs w:val="21"/>
                        </w:rPr>
                      </w:pPr>
                      <w:r>
                        <w:rPr>
                          <w:rFonts w:hint="eastAsia" w:ascii="黑体" w:hAnsi="黑体" w:eastAsia="黑体" w:cs="黑体"/>
                          <w:szCs w:val="21"/>
                        </w:rPr>
                        <w:t>被授权代理人身份证</w:t>
                      </w:r>
                      <w:r>
                        <w:rPr>
                          <w:rFonts w:hint="eastAsia" w:ascii="黑体" w:hAnsi="黑体" w:eastAsia="黑体" w:cs="黑体"/>
                          <w:szCs w:val="21"/>
                          <w:lang w:val="en-US" w:eastAsia="zh-CN"/>
                        </w:rPr>
                        <w:t>原件</w:t>
                      </w:r>
                      <w:r>
                        <w:rPr>
                          <w:rFonts w:hint="eastAsia" w:ascii="黑体" w:hAnsi="黑体" w:eastAsia="黑体" w:cs="黑体"/>
                          <w:szCs w:val="21"/>
                        </w:rPr>
                        <w:t>扫描件（正反面）</w:t>
                      </w:r>
                    </w:p>
                    <w:p w14:paraId="4590A0E7">
                      <w:pPr>
                        <w:jc w:val="center"/>
                        <w:rPr>
                          <w:rFonts w:hint="eastAsia" w:ascii="黑体" w:hAnsi="黑体" w:eastAsia="黑体" w:cs="黑体"/>
                          <w:sz w:val="24"/>
                          <w:szCs w:val="24"/>
                        </w:rPr>
                      </w:pPr>
                    </w:p>
                    <w:p w14:paraId="7FAFEFA8">
                      <w:pPr>
                        <w:ind w:firstLine="630" w:firstLineChars="300"/>
                        <w:jc w:val="center"/>
                        <w:rPr>
                          <w:szCs w:val="21"/>
                        </w:rPr>
                      </w:pPr>
                    </w:p>
                    <w:p w14:paraId="04205B74">
                      <w:pPr>
                        <w:ind w:firstLine="630" w:firstLineChars="300"/>
                        <w:jc w:val="center"/>
                        <w:rPr>
                          <w:szCs w:val="21"/>
                        </w:rPr>
                      </w:pPr>
                    </w:p>
                    <w:p w14:paraId="39D48267">
                      <w:pPr>
                        <w:ind w:firstLine="630" w:firstLineChars="300"/>
                        <w:jc w:val="center"/>
                        <w:rPr>
                          <w:szCs w:val="21"/>
                        </w:rPr>
                      </w:pPr>
                    </w:p>
                    <w:p w14:paraId="080ADED7">
                      <w:pPr>
                        <w:ind w:firstLine="630" w:firstLineChars="300"/>
                        <w:jc w:val="center"/>
                        <w:rPr>
                          <w:szCs w:val="21"/>
                        </w:rPr>
                      </w:pPr>
                    </w:p>
                    <w:p w14:paraId="111AF72F">
                      <w:pPr>
                        <w:ind w:firstLine="630" w:firstLineChars="300"/>
                        <w:jc w:val="center"/>
                        <w:rPr>
                          <w:szCs w:val="21"/>
                        </w:rPr>
                      </w:pPr>
                    </w:p>
                    <w:p w14:paraId="27FAB146">
                      <w:pPr>
                        <w:ind w:firstLine="630" w:firstLineChars="300"/>
                        <w:jc w:val="center"/>
                        <w:rPr>
                          <w:szCs w:val="21"/>
                        </w:rPr>
                      </w:pPr>
                    </w:p>
                    <w:p w14:paraId="62152248">
                      <w:pPr>
                        <w:ind w:firstLine="630" w:firstLineChars="300"/>
                        <w:jc w:val="center"/>
                        <w:rPr>
                          <w:szCs w:val="21"/>
                        </w:rPr>
                      </w:pPr>
                    </w:p>
                    <w:p w14:paraId="472C13F0">
                      <w:pPr>
                        <w:ind w:firstLine="630" w:firstLineChars="300"/>
                        <w:jc w:val="center"/>
                        <w:rPr>
                          <w:szCs w:val="21"/>
                        </w:rPr>
                      </w:pPr>
                    </w:p>
                    <w:p w14:paraId="7E4A547B">
                      <w:pPr>
                        <w:ind w:firstLine="630" w:firstLineChars="300"/>
                        <w:jc w:val="center"/>
                        <w:rPr>
                          <w:szCs w:val="21"/>
                        </w:rPr>
                      </w:pPr>
                    </w:p>
                    <w:p w14:paraId="42503525">
                      <w:pPr>
                        <w:ind w:firstLine="630" w:firstLineChars="300"/>
                        <w:jc w:val="center"/>
                        <w:rPr>
                          <w:szCs w:val="21"/>
                        </w:rPr>
                      </w:pPr>
                    </w:p>
                    <w:p w14:paraId="308A5B6E">
                      <w:pPr>
                        <w:ind w:firstLine="630" w:firstLineChars="300"/>
                        <w:jc w:val="center"/>
                        <w:rPr>
                          <w:szCs w:val="21"/>
                        </w:rPr>
                      </w:pPr>
                    </w:p>
                    <w:p w14:paraId="4D34CC59">
                      <w:pPr>
                        <w:ind w:firstLine="630" w:firstLineChars="300"/>
                        <w:jc w:val="center"/>
                        <w:rPr>
                          <w:szCs w:val="21"/>
                        </w:rPr>
                      </w:pPr>
                    </w:p>
                  </w:txbxContent>
                </v:textbox>
                <w10:wrap type="tight"/>
              </v:shape>
            </w:pict>
          </mc:Fallback>
        </mc:AlternateContent>
      </w:r>
    </w:p>
    <w:p w14:paraId="0528D9E6">
      <w:pPr>
        <w:pageBreakBefore w:val="0"/>
        <w:kinsoku/>
        <w:wordWrap/>
        <w:overflowPunct/>
        <w:bidi w:val="0"/>
        <w:spacing w:line="360" w:lineRule="auto"/>
        <w:ind w:firstLine="5148" w:firstLineChars="2145"/>
        <w:rPr>
          <w:rFonts w:hint="eastAsia" w:asciiTheme="minorEastAsia" w:hAnsiTheme="minorEastAsia" w:eastAsiaTheme="minorEastAsia" w:cstheme="minorEastAsia"/>
          <w:color w:val="auto"/>
          <w:position w:val="0"/>
          <w:sz w:val="24"/>
          <w:szCs w:val="24"/>
          <w:highlight w:val="none"/>
        </w:rPr>
      </w:pPr>
    </w:p>
    <w:p w14:paraId="51C9FC58">
      <w:pPr>
        <w:pageBreakBefore w:val="0"/>
        <w:kinsoku/>
        <w:wordWrap/>
        <w:overflowPunct/>
        <w:bidi w:val="0"/>
        <w:spacing w:line="360" w:lineRule="auto"/>
        <w:ind w:firstLine="5148" w:firstLineChars="2145"/>
        <w:rPr>
          <w:rFonts w:hint="eastAsia" w:asciiTheme="minorEastAsia" w:hAnsiTheme="minorEastAsia" w:eastAsiaTheme="minorEastAsia" w:cstheme="minorEastAsia"/>
          <w:color w:val="auto"/>
          <w:position w:val="0"/>
          <w:sz w:val="24"/>
          <w:szCs w:val="24"/>
          <w:highlight w:val="none"/>
        </w:rPr>
      </w:pPr>
    </w:p>
    <w:p w14:paraId="29EF3ED1">
      <w:pPr>
        <w:pageBreakBefore w:val="0"/>
        <w:kinsoku/>
        <w:wordWrap/>
        <w:overflowPunct/>
        <w:bidi w:val="0"/>
        <w:spacing w:line="360" w:lineRule="auto"/>
        <w:ind w:firstLine="5148" w:firstLineChars="2145"/>
        <w:rPr>
          <w:rFonts w:hint="eastAsia" w:asciiTheme="minorEastAsia" w:hAnsiTheme="minorEastAsia" w:eastAsiaTheme="minorEastAsia" w:cstheme="minorEastAsia"/>
          <w:color w:val="auto"/>
          <w:position w:val="0"/>
          <w:sz w:val="24"/>
          <w:szCs w:val="24"/>
          <w:highlight w:val="none"/>
        </w:rPr>
      </w:pPr>
    </w:p>
    <w:p w14:paraId="03A0D8B3">
      <w:pPr>
        <w:pageBreakBefore w:val="0"/>
        <w:kinsoku/>
        <w:wordWrap/>
        <w:overflowPunct/>
        <w:bidi w:val="0"/>
        <w:spacing w:line="360" w:lineRule="auto"/>
        <w:ind w:firstLine="5148" w:firstLineChars="2145"/>
        <w:rPr>
          <w:rFonts w:hint="eastAsia" w:asciiTheme="minorEastAsia" w:hAnsiTheme="minorEastAsia" w:eastAsiaTheme="minorEastAsia" w:cstheme="minorEastAsia"/>
          <w:color w:val="auto"/>
          <w:position w:val="0"/>
          <w:sz w:val="24"/>
          <w:szCs w:val="24"/>
          <w:highlight w:val="none"/>
        </w:rPr>
      </w:pPr>
    </w:p>
    <w:p w14:paraId="24B1C4CC">
      <w:pPr>
        <w:pageBreakBefore w:val="0"/>
        <w:kinsoku/>
        <w:wordWrap/>
        <w:overflowPunct/>
        <w:bidi w:val="0"/>
        <w:spacing w:line="360" w:lineRule="auto"/>
        <w:ind w:firstLine="5148" w:firstLineChars="2145"/>
        <w:rPr>
          <w:rFonts w:hint="eastAsia" w:asciiTheme="minorEastAsia" w:hAnsiTheme="minorEastAsia" w:eastAsiaTheme="minorEastAsia" w:cstheme="minorEastAsia"/>
          <w:color w:val="auto"/>
          <w:position w:val="0"/>
          <w:sz w:val="24"/>
          <w:szCs w:val="24"/>
          <w:highlight w:val="none"/>
        </w:rPr>
      </w:pPr>
    </w:p>
    <w:p w14:paraId="3C493AAF">
      <w:pPr>
        <w:pageBreakBefore w:val="0"/>
        <w:kinsoku/>
        <w:wordWrap/>
        <w:overflowPunct/>
        <w:bidi w:val="0"/>
        <w:spacing w:line="360" w:lineRule="auto"/>
        <w:ind w:firstLine="5148" w:firstLineChars="2145"/>
        <w:rPr>
          <w:rFonts w:hint="eastAsia" w:asciiTheme="minorEastAsia" w:hAnsiTheme="minorEastAsia" w:eastAsiaTheme="minorEastAsia" w:cstheme="minorEastAsia"/>
          <w:color w:val="auto"/>
          <w:position w:val="0"/>
          <w:sz w:val="24"/>
          <w:szCs w:val="24"/>
          <w:highlight w:val="none"/>
        </w:rPr>
      </w:pPr>
    </w:p>
    <w:p w14:paraId="213704D8">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p w14:paraId="508D976B">
      <w:pPr>
        <w:pageBreakBefore w:val="0"/>
        <w:tabs>
          <w:tab w:val="left" w:pos="-840"/>
          <w:tab w:val="left" w:pos="3444"/>
        </w:tabs>
        <w:kinsoku/>
        <w:wordWrap/>
        <w:overflowPunct/>
        <w:bidi w:val="0"/>
        <w:spacing w:line="360" w:lineRule="auto"/>
        <w:ind w:left="405" w:right="399" w:hanging="405" w:hangingChars="225"/>
        <w:rPr>
          <w:rFonts w:hint="eastAsia" w:asciiTheme="minorEastAsia" w:hAnsiTheme="minorEastAsia" w:eastAsiaTheme="minorEastAsia" w:cstheme="minorEastAsia"/>
          <w:color w:val="auto"/>
          <w:position w:val="0"/>
          <w:sz w:val="18"/>
          <w:szCs w:val="18"/>
          <w:highlight w:val="none"/>
        </w:rPr>
      </w:pPr>
    </w:p>
    <w:bookmarkEnd w:id="2751"/>
    <w:bookmarkEnd w:id="2752"/>
    <w:bookmarkEnd w:id="2753"/>
    <w:bookmarkEnd w:id="2754"/>
    <w:p w14:paraId="6FD207CD">
      <w:pPr>
        <w:pageBreakBefore w:val="0"/>
        <w:tabs>
          <w:tab w:val="left" w:pos="-840"/>
          <w:tab w:val="left" w:pos="3444"/>
        </w:tabs>
        <w:kinsoku/>
        <w:wordWrap/>
        <w:overflowPunct/>
        <w:bidi w:val="0"/>
        <w:spacing w:line="360" w:lineRule="auto"/>
        <w:ind w:left="405" w:right="399" w:hanging="407" w:hangingChars="225"/>
        <w:rPr>
          <w:rFonts w:hint="eastAsia" w:asciiTheme="minorEastAsia" w:hAnsiTheme="minorEastAsia" w:eastAsiaTheme="minorEastAsia" w:cstheme="minorEastAsia"/>
          <w:b/>
          <w:bCs/>
          <w:color w:val="auto"/>
          <w:position w:val="0"/>
          <w:sz w:val="18"/>
          <w:szCs w:val="18"/>
          <w:highlight w:val="none"/>
        </w:rPr>
      </w:pPr>
      <w:r>
        <w:rPr>
          <w:rFonts w:hint="eastAsia" w:asciiTheme="minorEastAsia" w:hAnsiTheme="minorEastAsia" w:eastAsiaTheme="minorEastAsia" w:cstheme="minorEastAsia"/>
          <w:b/>
          <w:bCs/>
          <w:color w:val="auto"/>
          <w:position w:val="0"/>
          <w:sz w:val="18"/>
          <w:szCs w:val="18"/>
          <w:highlight w:val="none"/>
        </w:rPr>
        <w:t>注：若为联合体投标的，由联合体牵头人提供。</w:t>
      </w:r>
    </w:p>
    <w:p w14:paraId="565FAC00">
      <w:pPr>
        <w:pageBreakBefore w:val="0"/>
        <w:widowControl/>
        <w:kinsoku/>
        <w:wordWrap/>
        <w:overflowPunct/>
        <w:bidi w:val="0"/>
        <w:spacing w:line="360" w:lineRule="auto"/>
        <w:jc w:val="left"/>
        <w:rPr>
          <w:rFonts w:hint="eastAsia" w:asciiTheme="minorEastAsia" w:hAnsiTheme="minorEastAsia" w:eastAsiaTheme="minorEastAsia" w:cstheme="minorEastAsia"/>
          <w:color w:val="auto"/>
          <w:position w:val="0"/>
          <w:sz w:val="18"/>
          <w:szCs w:val="18"/>
          <w:highlight w:val="none"/>
        </w:rPr>
      </w:pPr>
      <w:r>
        <w:rPr>
          <w:rFonts w:hint="eastAsia" w:asciiTheme="minorEastAsia" w:hAnsiTheme="minorEastAsia" w:eastAsiaTheme="minorEastAsia" w:cstheme="minorEastAsia"/>
          <w:color w:val="auto"/>
          <w:position w:val="0"/>
          <w:sz w:val="24"/>
          <w:szCs w:val="24"/>
          <w:highlight w:val="none"/>
        </w:rPr>
        <w:br w:type="page"/>
      </w:r>
    </w:p>
    <w:p w14:paraId="2B50EC69">
      <w:pPr>
        <w:pStyle w:val="3"/>
        <w:pageBreakBefore w:val="0"/>
        <w:kinsoku/>
        <w:wordWrap/>
        <w:overflowPunct/>
        <w:bidi w:val="0"/>
        <w:spacing w:line="360" w:lineRule="auto"/>
        <w:jc w:val="left"/>
        <w:rPr>
          <w:rFonts w:hint="eastAsia" w:asciiTheme="minorEastAsia" w:hAnsiTheme="minorEastAsia" w:eastAsiaTheme="minorEastAsia" w:cstheme="minorEastAsia"/>
          <w:color w:val="auto"/>
          <w:sz w:val="28"/>
          <w:szCs w:val="28"/>
          <w:highlight w:val="none"/>
        </w:rPr>
      </w:pPr>
      <w:bookmarkStart w:id="2755" w:name="_Toc152045793"/>
      <w:bookmarkStart w:id="2756" w:name="_Toc247514285"/>
      <w:bookmarkStart w:id="2757" w:name="_Toc152042582"/>
      <w:bookmarkStart w:id="2758" w:name="_Toc247527833"/>
      <w:bookmarkStart w:id="2759" w:name="_Toc300835215"/>
      <w:bookmarkStart w:id="2760" w:name="_Toc14922"/>
      <w:r>
        <w:rPr>
          <w:rFonts w:hint="eastAsia" w:asciiTheme="minorEastAsia" w:hAnsiTheme="minorEastAsia" w:eastAsiaTheme="minorEastAsia" w:cstheme="minorEastAsia"/>
          <w:color w:val="auto"/>
          <w:sz w:val="28"/>
          <w:szCs w:val="28"/>
          <w:highlight w:val="none"/>
        </w:rPr>
        <w:t>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rPr>
        <w:t>联合体协议书</w:t>
      </w:r>
      <w:bookmarkEnd w:id="2755"/>
      <w:bookmarkEnd w:id="2756"/>
      <w:bookmarkEnd w:id="2757"/>
      <w:bookmarkEnd w:id="2758"/>
      <w:bookmarkEnd w:id="2759"/>
      <w:bookmarkEnd w:id="2760"/>
    </w:p>
    <w:p w14:paraId="0EDB1C8D">
      <w:pPr>
        <w:pStyle w:val="3"/>
        <w:pageBreakBefore w:val="0"/>
        <w:kinsoku/>
        <w:wordWrap/>
        <w:overflowPunct/>
        <w:bidi w:val="0"/>
        <w:spacing w:line="360" w:lineRule="auto"/>
        <w:jc w:val="center"/>
        <w:rPr>
          <w:rFonts w:hint="eastAsia" w:asciiTheme="minorEastAsia" w:hAnsiTheme="minorEastAsia" w:eastAsiaTheme="minorEastAsia" w:cstheme="minorEastAsia"/>
          <w:color w:val="auto"/>
          <w:sz w:val="28"/>
          <w:szCs w:val="28"/>
          <w:highlight w:val="none"/>
        </w:rPr>
      </w:pPr>
      <w:bookmarkStart w:id="2761" w:name="_Toc27973"/>
      <w:r>
        <w:rPr>
          <w:rFonts w:hint="eastAsia" w:asciiTheme="minorEastAsia" w:hAnsiTheme="minorEastAsia" w:eastAsiaTheme="minorEastAsia" w:cstheme="minorEastAsia"/>
          <w:b w:val="0"/>
          <w:bCs/>
          <w:color w:val="auto"/>
          <w:kern w:val="2"/>
          <w:position w:val="-6"/>
          <w:sz w:val="28"/>
          <w:szCs w:val="28"/>
          <w:highlight w:val="none"/>
          <w:lang w:val="en-US" w:eastAsia="zh-CN" w:bidi="ar-SA"/>
        </w:rPr>
        <w:t>联合体协议书</w:t>
      </w:r>
      <w:bookmarkEnd w:id="2761"/>
    </w:p>
    <w:p w14:paraId="42BEB540">
      <w:pPr>
        <w:pageBreakBefore w:val="0"/>
        <w:kinsoku/>
        <w:wordWrap/>
        <w:overflowPunct/>
        <w:topLinePunct/>
        <w:bidi w:val="0"/>
        <w:spacing w:line="360" w:lineRule="auto"/>
        <w:ind w:firstLine="420" w:firstLineChars="0"/>
        <w:rPr>
          <w:rFonts w:hint="eastAsia" w:asciiTheme="minorEastAsia" w:hAnsiTheme="minorEastAsia" w:eastAsiaTheme="minorEastAsia" w:cstheme="minorEastAsia"/>
          <w:color w:val="FFFFFF" w:themeColor="background1"/>
          <w:sz w:val="24"/>
          <w:szCs w:val="24"/>
          <w:highlight w:val="none"/>
          <w:u w:val="single"/>
          <w:lang w:val="en-US" w:eastAsia="zh-CN"/>
          <w14:textFill>
            <w14:solidFill>
              <w14:schemeClr w14:val="bg1"/>
            </w14:solidFill>
          </w14:textFill>
        </w:rPr>
      </w:pPr>
    </w:p>
    <w:p w14:paraId="5A0A990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（所有成员单位名称）</w:t>
      </w:r>
      <w:r>
        <w:rPr>
          <w:rFonts w:hint="eastAsia" w:asciiTheme="minorEastAsia" w:hAnsiTheme="minorEastAsia" w:eastAsiaTheme="minorEastAsia" w:cstheme="minorEastAsia"/>
          <w:color w:val="auto"/>
          <w:sz w:val="24"/>
          <w:szCs w:val="24"/>
          <w:highlight w:val="none"/>
        </w:rPr>
        <w:t>自愿组成联合体，共同参加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｛填写项目名称｝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none"/>
          <w:lang w:val="en-US" w:eastAsia="zh-CN"/>
        </w:rPr>
        <w:t>项目的投标</w:t>
      </w:r>
      <w:r>
        <w:rPr>
          <w:rFonts w:hint="eastAsia" w:asciiTheme="minorEastAsia" w:hAnsiTheme="minorEastAsia" w:eastAsiaTheme="minorEastAsia" w:cstheme="minorEastAsia"/>
          <w:color w:val="auto"/>
          <w:sz w:val="24"/>
          <w:szCs w:val="24"/>
          <w:highlight w:val="none"/>
        </w:rPr>
        <w:t>。现就联合体</w:t>
      </w:r>
      <w:r>
        <w:rPr>
          <w:rFonts w:hint="eastAsia" w:asciiTheme="minorEastAsia" w:hAnsiTheme="minorEastAsia" w:eastAsiaTheme="minorEastAsia" w:cstheme="minorEastAsia"/>
          <w:color w:val="auto"/>
          <w:sz w:val="24"/>
          <w:szCs w:val="24"/>
          <w:highlight w:val="none"/>
          <w:u w:val="none"/>
          <w:lang w:val="en-US" w:eastAsia="zh-CN"/>
        </w:rPr>
        <w:t>投标事</w:t>
      </w:r>
      <w:r>
        <w:rPr>
          <w:rFonts w:hint="eastAsia" w:asciiTheme="minorEastAsia" w:hAnsiTheme="minorEastAsia" w:eastAsiaTheme="minorEastAsia" w:cstheme="minorEastAsia"/>
          <w:color w:val="auto"/>
          <w:sz w:val="24"/>
          <w:szCs w:val="24"/>
          <w:highlight w:val="none"/>
        </w:rPr>
        <w:t xml:space="preserve">宜订立如下协议。 </w:t>
      </w:r>
    </w:p>
    <w:p w14:paraId="0F363F5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 xml:space="preserve">                   （某成员单位名称）</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联合体</w:t>
      </w:r>
      <w:r>
        <w:rPr>
          <w:rFonts w:hint="eastAsia" w:asciiTheme="minorEastAsia" w:hAnsiTheme="minorEastAsia" w:eastAsiaTheme="minorEastAsia" w:cstheme="minorEastAsia"/>
          <w:color w:val="auto"/>
          <w:sz w:val="24"/>
          <w:szCs w:val="24"/>
          <w:highlight w:val="none"/>
        </w:rPr>
        <w:t>牵头人。</w:t>
      </w:r>
    </w:p>
    <w:p w14:paraId="5315731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2、联合体牵头人合法代表联合体各成员负责本项目投标文件编制和合同谈判活动，代表联合体提交和接收相关的资料、信息及指示，处理与之有关的一切事务，并负责合同实施阶段的主办、组织和协调工作。</w:t>
      </w:r>
    </w:p>
    <w:p w14:paraId="742988F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3、联合体将严格按照招标文件的各项要求，递交投标文件，履行合同，并对外承担连带责任。</w:t>
      </w:r>
    </w:p>
    <w:p w14:paraId="6055F83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4、联合体各成员单位内部的职责分工如下：</w:t>
      </w:r>
    </w:p>
    <w:p w14:paraId="683B2A7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p>
    <w:p w14:paraId="6E4AE77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p>
    <w:p w14:paraId="65C377B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p>
    <w:p w14:paraId="29D9D3C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p>
    <w:p w14:paraId="79E8DDE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bCs/>
          <w:color w:val="auto"/>
          <w:sz w:val="24"/>
          <w:szCs w:val="24"/>
          <w:highlight w:val="none"/>
          <w:u w:val="single"/>
        </w:rPr>
      </w:pPr>
    </w:p>
    <w:p w14:paraId="54471B3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5、本协议书自签署之日起生效，合同履行完毕后自动失效。</w:t>
      </w:r>
    </w:p>
    <w:p w14:paraId="5956E2A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6、本协议书一式</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份，联合体成员和招标人各执一份。</w:t>
      </w:r>
    </w:p>
    <w:p w14:paraId="53131DA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1277654E">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联合体牵头人</w:t>
      </w:r>
      <w:r>
        <w:rPr>
          <w:rFonts w:hint="eastAsia" w:asciiTheme="minorEastAsia" w:hAnsiTheme="minorEastAsia" w:eastAsiaTheme="minorEastAsia" w:cstheme="minorEastAsia"/>
          <w:b/>
          <w:bCs/>
          <w:color w:val="auto"/>
          <w:sz w:val="24"/>
          <w:szCs w:val="24"/>
          <w:highlight w:val="none"/>
        </w:rPr>
        <w:t>名称：</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（盖单位公</w:t>
      </w:r>
      <w:r>
        <w:rPr>
          <w:rFonts w:hint="eastAsia" w:asciiTheme="minorEastAsia" w:hAnsiTheme="minorEastAsia" w:eastAsiaTheme="minorEastAsia" w:cstheme="minorEastAsia"/>
          <w:b/>
          <w:bCs/>
          <w:color w:val="auto"/>
          <w:sz w:val="24"/>
          <w:szCs w:val="24"/>
          <w:highlight w:val="none"/>
          <w:lang w:val="en-US" w:eastAsia="zh-CN"/>
        </w:rPr>
        <w:t>章或电子签章</w:t>
      </w:r>
      <w:r>
        <w:rPr>
          <w:rFonts w:hint="eastAsia" w:asciiTheme="minorEastAsia" w:hAnsiTheme="minorEastAsia" w:eastAsiaTheme="minorEastAsia" w:cstheme="minorEastAsia"/>
          <w:b/>
          <w:bCs/>
          <w:color w:val="auto"/>
          <w:sz w:val="24"/>
          <w:szCs w:val="24"/>
          <w:highlight w:val="none"/>
        </w:rPr>
        <w:t>）</w:t>
      </w:r>
    </w:p>
    <w:p w14:paraId="33C59D3E">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法定代表人：</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（签字</w:t>
      </w:r>
      <w:r>
        <w:rPr>
          <w:rFonts w:hint="eastAsia" w:asciiTheme="minorEastAsia" w:hAnsiTheme="minorEastAsia" w:eastAsiaTheme="minorEastAsia" w:cstheme="minorEastAsia"/>
          <w:b/>
          <w:bCs/>
          <w:color w:val="auto"/>
          <w:sz w:val="24"/>
          <w:szCs w:val="24"/>
          <w:highlight w:val="none"/>
          <w:lang w:val="en-US" w:eastAsia="zh-CN"/>
        </w:rPr>
        <w:t>或电子签章</w:t>
      </w:r>
      <w:r>
        <w:rPr>
          <w:rFonts w:hint="eastAsia" w:asciiTheme="minorEastAsia" w:hAnsiTheme="minorEastAsia" w:eastAsiaTheme="minorEastAsia" w:cstheme="minorEastAsia"/>
          <w:b/>
          <w:bCs/>
          <w:color w:val="auto"/>
          <w:sz w:val="24"/>
          <w:szCs w:val="24"/>
          <w:highlight w:val="none"/>
        </w:rPr>
        <w:t>）</w:t>
      </w:r>
    </w:p>
    <w:p w14:paraId="6210AD3B">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rPr>
      </w:pPr>
    </w:p>
    <w:p w14:paraId="7C6CA20F">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成员名称：</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（盖单位公</w:t>
      </w:r>
      <w:r>
        <w:rPr>
          <w:rFonts w:hint="eastAsia" w:asciiTheme="minorEastAsia" w:hAnsiTheme="minorEastAsia" w:eastAsiaTheme="minorEastAsia" w:cstheme="minorEastAsia"/>
          <w:b/>
          <w:bCs/>
          <w:color w:val="auto"/>
          <w:sz w:val="24"/>
          <w:szCs w:val="24"/>
          <w:highlight w:val="none"/>
          <w:lang w:val="en-US" w:eastAsia="zh-CN"/>
        </w:rPr>
        <w:t>章或电子签章</w:t>
      </w:r>
      <w:r>
        <w:rPr>
          <w:rFonts w:hint="eastAsia" w:asciiTheme="minorEastAsia" w:hAnsiTheme="minorEastAsia" w:eastAsiaTheme="minorEastAsia" w:cstheme="minorEastAsia"/>
          <w:b/>
          <w:bCs/>
          <w:color w:val="auto"/>
          <w:sz w:val="24"/>
          <w:szCs w:val="24"/>
          <w:highlight w:val="none"/>
        </w:rPr>
        <w:t>）</w:t>
      </w:r>
    </w:p>
    <w:p w14:paraId="4EA6B4DF">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法定代表人：</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（签字</w:t>
      </w:r>
      <w:r>
        <w:rPr>
          <w:rFonts w:hint="eastAsia" w:asciiTheme="minorEastAsia" w:hAnsiTheme="minorEastAsia" w:eastAsiaTheme="minorEastAsia" w:cstheme="minorEastAsia"/>
          <w:b/>
          <w:bCs/>
          <w:color w:val="auto"/>
          <w:sz w:val="24"/>
          <w:szCs w:val="24"/>
          <w:highlight w:val="none"/>
          <w:lang w:val="en-US" w:eastAsia="zh-CN"/>
        </w:rPr>
        <w:t>或电子签章</w:t>
      </w:r>
      <w:r>
        <w:rPr>
          <w:rFonts w:hint="eastAsia" w:asciiTheme="minorEastAsia" w:hAnsiTheme="minorEastAsia" w:eastAsiaTheme="minorEastAsia" w:cstheme="minorEastAsia"/>
          <w:b/>
          <w:bCs/>
          <w:color w:val="auto"/>
          <w:sz w:val="24"/>
          <w:szCs w:val="24"/>
          <w:highlight w:val="none"/>
        </w:rPr>
        <w:t>）</w:t>
      </w:r>
    </w:p>
    <w:p w14:paraId="0857D139">
      <w:pPr>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4485961B">
      <w:pPr>
        <w:spacing w:line="240" w:lineRule="atLeast"/>
        <w:ind w:left="1680" w:leftChars="800"/>
        <w:jc w:val="righ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日</w:t>
      </w:r>
    </w:p>
    <w:p w14:paraId="71D53BF8">
      <w:pPr>
        <w:spacing w:line="240" w:lineRule="auto"/>
        <w:rPr>
          <w:rFonts w:hint="eastAsia" w:asciiTheme="minorEastAsia" w:hAnsiTheme="minorEastAsia" w:eastAsiaTheme="minorEastAsia" w:cstheme="minorEastAsia"/>
          <w:color w:val="auto"/>
          <w:sz w:val="24"/>
          <w:szCs w:val="24"/>
          <w:highlight w:val="none"/>
        </w:rPr>
      </w:pPr>
    </w:p>
    <w:p w14:paraId="33A7D5B3">
      <w:pPr>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（联合体投标</w:t>
      </w:r>
      <w:r>
        <w:rPr>
          <w:rFonts w:hint="eastAsia" w:asciiTheme="minorEastAsia" w:hAnsiTheme="minorEastAsia" w:eastAsiaTheme="minorEastAsia" w:cstheme="minorEastAsia"/>
          <w:b/>
          <w:color w:val="auto"/>
          <w:sz w:val="24"/>
          <w:szCs w:val="24"/>
          <w:highlight w:val="none"/>
          <w:lang w:val="en-US" w:eastAsia="zh-CN"/>
        </w:rPr>
        <w:t>的</w:t>
      </w:r>
      <w:r>
        <w:rPr>
          <w:rFonts w:hint="eastAsia" w:asciiTheme="minorEastAsia" w:hAnsiTheme="minorEastAsia" w:eastAsiaTheme="minorEastAsia" w:cstheme="minorEastAsia"/>
          <w:b/>
          <w:color w:val="auto"/>
          <w:sz w:val="24"/>
          <w:szCs w:val="24"/>
          <w:highlight w:val="none"/>
        </w:rPr>
        <w:t>提供</w:t>
      </w:r>
      <w:r>
        <w:rPr>
          <w:rFonts w:hint="eastAsia" w:asciiTheme="minorEastAsia" w:hAnsiTheme="minorEastAsia" w:eastAsiaTheme="minorEastAsia" w:cstheme="minorEastAsia"/>
          <w:color w:val="auto"/>
          <w:sz w:val="24"/>
          <w:szCs w:val="24"/>
          <w:highlight w:val="none"/>
        </w:rPr>
        <w:t>）</w:t>
      </w:r>
    </w:p>
    <w:p w14:paraId="0829AF20">
      <w:pPr>
        <w:pageBreakBefore w:val="0"/>
        <w:kinsoku/>
        <w:wordWrap/>
        <w:overflowPunct/>
        <w:topLinePunct/>
        <w:bidi w:val="0"/>
        <w:spacing w:line="360" w:lineRule="auto"/>
        <w:rPr>
          <w:rFonts w:hint="eastAsia" w:asciiTheme="minorEastAsia" w:hAnsiTheme="minorEastAsia" w:eastAsiaTheme="minorEastAsia" w:cstheme="minorEastAsia"/>
          <w:color w:val="auto"/>
          <w:sz w:val="24"/>
          <w:szCs w:val="24"/>
          <w:highlight w:val="none"/>
        </w:rPr>
      </w:pPr>
    </w:p>
    <w:p w14:paraId="38632313">
      <w:pPr>
        <w:pageBreakBefore w:val="0"/>
        <w:kinsoku/>
        <w:wordWrap/>
        <w:overflowPunct/>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注：1.未组成联合体的，无需</w:t>
      </w:r>
      <w:r>
        <w:rPr>
          <w:rFonts w:hint="eastAsia" w:asciiTheme="minorEastAsia" w:hAnsiTheme="minorEastAsia" w:eastAsiaTheme="minorEastAsia" w:cstheme="minorEastAsia"/>
          <w:color w:val="auto"/>
          <w:sz w:val="24"/>
          <w:szCs w:val="24"/>
          <w:highlight w:val="none"/>
          <w:lang w:val="en-US" w:eastAsia="zh-CN"/>
        </w:rPr>
        <w:t>填写</w:t>
      </w:r>
      <w:r>
        <w:rPr>
          <w:rFonts w:hint="eastAsia" w:asciiTheme="minorEastAsia" w:hAnsiTheme="minorEastAsia" w:eastAsiaTheme="minorEastAsia" w:cstheme="minorEastAsia"/>
          <w:color w:val="auto"/>
          <w:sz w:val="24"/>
          <w:szCs w:val="24"/>
          <w:highlight w:val="none"/>
        </w:rPr>
        <w:t>；</w:t>
      </w:r>
    </w:p>
    <w:p w14:paraId="1D1B6B68">
      <w:pPr>
        <w:pageBreakBefore w:val="0"/>
        <w:tabs>
          <w:tab w:val="left" w:pos="-840"/>
          <w:tab w:val="left" w:pos="3444"/>
        </w:tabs>
        <w:kinsoku/>
        <w:wordWrap/>
        <w:overflowPunct/>
        <w:bidi w:val="0"/>
        <w:spacing w:line="360" w:lineRule="auto"/>
        <w:ind w:right="399"/>
        <w:rPr>
          <w:rFonts w:hint="eastAsia" w:asciiTheme="minorEastAsia" w:hAnsiTheme="minorEastAsia" w:eastAsiaTheme="minorEastAsia" w:cstheme="minorEastAsia"/>
          <w:color w:val="auto"/>
          <w:position w:val="0"/>
          <w:sz w:val="18"/>
          <w:szCs w:val="18"/>
          <w:highlight w:val="none"/>
        </w:rPr>
      </w:pPr>
      <w:r>
        <w:rPr>
          <w:rFonts w:hint="eastAsia" w:asciiTheme="minorEastAsia" w:hAnsiTheme="minorEastAsia" w:eastAsiaTheme="minorEastAsia" w:cstheme="minorEastAsia"/>
          <w:color w:val="auto"/>
          <w:sz w:val="24"/>
          <w:szCs w:val="24"/>
          <w:highlight w:val="none"/>
        </w:rPr>
        <w:t>2.电子投标文件需上传</w:t>
      </w:r>
      <w:r>
        <w:rPr>
          <w:rFonts w:hint="eastAsia" w:asciiTheme="minorEastAsia" w:hAnsiTheme="minorEastAsia" w:eastAsiaTheme="minorEastAsia" w:cstheme="minorEastAsia"/>
          <w:color w:val="auto"/>
          <w:sz w:val="24"/>
          <w:szCs w:val="24"/>
          <w:highlight w:val="none"/>
          <w:lang w:val="en-US" w:eastAsia="zh-CN"/>
        </w:rPr>
        <w:t>原件</w:t>
      </w:r>
      <w:r>
        <w:rPr>
          <w:rFonts w:hint="eastAsia" w:asciiTheme="minorEastAsia" w:hAnsiTheme="minorEastAsia" w:eastAsiaTheme="minorEastAsia" w:cstheme="minorEastAsia"/>
          <w:color w:val="auto"/>
          <w:sz w:val="24"/>
          <w:szCs w:val="24"/>
          <w:highlight w:val="none"/>
        </w:rPr>
        <w:t>扫描件</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position w:val="0"/>
          <w:sz w:val="24"/>
          <w:szCs w:val="24"/>
          <w:highlight w:val="none"/>
        </w:rPr>
        <w:br w:type="page"/>
      </w:r>
    </w:p>
    <w:p w14:paraId="3486BD53">
      <w:pPr>
        <w:pStyle w:val="3"/>
        <w:pageBreakBefore w:val="0"/>
        <w:kinsoku/>
        <w:wordWrap/>
        <w:overflowPunct/>
        <w:bidi w:val="0"/>
        <w:spacing w:line="360" w:lineRule="auto"/>
        <w:rPr>
          <w:rFonts w:hint="eastAsia" w:asciiTheme="minorEastAsia" w:hAnsiTheme="minorEastAsia" w:eastAsiaTheme="minorEastAsia" w:cstheme="minorEastAsia"/>
          <w:sz w:val="28"/>
          <w:szCs w:val="28"/>
          <w:highlight w:val="none"/>
          <w:lang w:val="en-US" w:eastAsia="zh-CN"/>
        </w:rPr>
      </w:pPr>
      <w:bookmarkStart w:id="2762" w:name="_Toc13378"/>
      <w:r>
        <w:rPr>
          <w:rFonts w:hint="eastAsia" w:asciiTheme="minorEastAsia" w:hAnsiTheme="minorEastAsia" w:eastAsiaTheme="minorEastAsia" w:cstheme="minorEastAsia"/>
          <w:sz w:val="28"/>
          <w:szCs w:val="28"/>
          <w:lang w:val="en-US" w:eastAsia="zh-CN"/>
        </w:rPr>
        <w:t>四、投标</w:t>
      </w:r>
      <w:r>
        <w:rPr>
          <w:rFonts w:hint="eastAsia" w:asciiTheme="minorEastAsia" w:hAnsiTheme="minorEastAsia" w:eastAsiaTheme="minorEastAsia" w:cstheme="minorEastAsia"/>
          <w:sz w:val="28"/>
          <w:szCs w:val="28"/>
          <w:highlight w:val="none"/>
          <w:lang w:val="en-US" w:eastAsia="zh-CN"/>
        </w:rPr>
        <w:t>报价</w:t>
      </w:r>
      <w:bookmarkEnd w:id="2762"/>
    </w:p>
    <w:p w14:paraId="17232AD7">
      <w:pPr>
        <w:pageBreakBefore w:val="0"/>
        <w:kinsoku/>
        <w:wordWrap/>
        <w:overflowPunct/>
        <w:bidi w:val="0"/>
        <w:spacing w:line="360" w:lineRule="auto"/>
        <w:jc w:val="center"/>
        <w:rPr>
          <w:rFonts w:hint="eastAsia" w:asciiTheme="minorEastAsia" w:hAnsiTheme="minorEastAsia" w:eastAsiaTheme="minorEastAsia" w:cstheme="minorEastAsia"/>
          <w:color w:val="auto"/>
          <w:position w:val="0"/>
          <w:sz w:val="28"/>
          <w:szCs w:val="28"/>
          <w:highlight w:val="none"/>
        </w:rPr>
      </w:pPr>
      <w:r>
        <w:rPr>
          <w:rFonts w:hint="eastAsia" w:asciiTheme="minorEastAsia" w:hAnsiTheme="minorEastAsia" w:eastAsiaTheme="minorEastAsia" w:cstheme="minorEastAsia"/>
          <w:color w:val="auto"/>
          <w:position w:val="0"/>
          <w:sz w:val="28"/>
          <w:szCs w:val="28"/>
          <w:highlight w:val="none"/>
          <w:lang w:eastAsia="zh-CN"/>
        </w:rPr>
        <w:t>投标报价</w:t>
      </w:r>
      <w:r>
        <w:rPr>
          <w:rFonts w:hint="eastAsia" w:asciiTheme="minorEastAsia" w:hAnsiTheme="minorEastAsia" w:eastAsiaTheme="minorEastAsia" w:cstheme="minorEastAsia"/>
          <w:color w:val="auto"/>
          <w:position w:val="0"/>
          <w:sz w:val="28"/>
          <w:szCs w:val="28"/>
          <w:highlight w:val="none"/>
        </w:rPr>
        <w:t>一览表</w:t>
      </w:r>
    </w:p>
    <w:p w14:paraId="4F53F97D">
      <w:pPr>
        <w:pageBreakBefore w:val="0"/>
        <w:kinsoku/>
        <w:wordWrap/>
        <w:overflowPunct/>
        <w:bidi w:val="0"/>
        <w:spacing w:line="360" w:lineRule="auto"/>
        <w:rPr>
          <w:rFonts w:hint="eastAsia" w:asciiTheme="minorEastAsia" w:hAnsiTheme="minorEastAsia" w:eastAsiaTheme="minorEastAsia" w:cstheme="minorEastAsia"/>
          <w:color w:val="auto"/>
          <w:szCs w:val="21"/>
          <w:highlight w:val="none"/>
        </w:rPr>
      </w:pPr>
    </w:p>
    <w:tbl>
      <w:tblPr>
        <w:tblStyle w:val="45"/>
        <w:tblW w:w="8522" w:type="dxa"/>
        <w:jc w:val="center"/>
        <w:tblLayout w:type="fixed"/>
        <w:tblCellMar>
          <w:top w:w="0" w:type="dxa"/>
          <w:left w:w="108" w:type="dxa"/>
          <w:bottom w:w="0" w:type="dxa"/>
          <w:right w:w="108" w:type="dxa"/>
        </w:tblCellMar>
      </w:tblPr>
      <w:tblGrid>
        <w:gridCol w:w="915"/>
        <w:gridCol w:w="2771"/>
        <w:gridCol w:w="3554"/>
        <w:gridCol w:w="1282"/>
      </w:tblGrid>
      <w:tr w14:paraId="361F6596">
        <w:tblPrEx>
          <w:tblCellMar>
            <w:top w:w="0" w:type="dxa"/>
            <w:left w:w="108" w:type="dxa"/>
            <w:bottom w:w="0" w:type="dxa"/>
            <w:right w:w="108" w:type="dxa"/>
          </w:tblCellMar>
        </w:tblPrEx>
        <w:trPr>
          <w:trHeight w:val="567"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14:paraId="16803986">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2771" w:type="dxa"/>
            <w:tcBorders>
              <w:top w:val="single" w:color="auto" w:sz="4" w:space="0"/>
              <w:left w:val="nil"/>
              <w:bottom w:val="single" w:color="auto" w:sz="4" w:space="0"/>
              <w:right w:val="single" w:color="auto" w:sz="4" w:space="0"/>
            </w:tcBorders>
            <w:vAlign w:val="center"/>
          </w:tcPr>
          <w:p w14:paraId="2F0CCA0B">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w:t>
            </w:r>
          </w:p>
        </w:tc>
        <w:tc>
          <w:tcPr>
            <w:tcW w:w="3554" w:type="dxa"/>
            <w:tcBorders>
              <w:top w:val="single" w:color="auto" w:sz="4" w:space="0"/>
              <w:left w:val="nil"/>
              <w:bottom w:val="single" w:color="auto" w:sz="4" w:space="0"/>
              <w:right w:val="single" w:color="auto" w:sz="4" w:space="0"/>
            </w:tcBorders>
            <w:vAlign w:val="center"/>
          </w:tcPr>
          <w:p w14:paraId="3F20B1F2">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投标报价</w:t>
            </w:r>
          </w:p>
        </w:tc>
        <w:tc>
          <w:tcPr>
            <w:tcW w:w="1282" w:type="dxa"/>
            <w:tcBorders>
              <w:top w:val="single" w:color="auto" w:sz="4" w:space="0"/>
              <w:left w:val="nil"/>
              <w:bottom w:val="single" w:color="auto" w:sz="4" w:space="0"/>
              <w:right w:val="single" w:color="auto" w:sz="4" w:space="0"/>
            </w:tcBorders>
            <w:vAlign w:val="center"/>
          </w:tcPr>
          <w:p w14:paraId="2A99F723">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14:paraId="5540CB48">
        <w:tblPrEx>
          <w:tblCellMar>
            <w:top w:w="0" w:type="dxa"/>
            <w:left w:w="108" w:type="dxa"/>
            <w:bottom w:w="0" w:type="dxa"/>
            <w:right w:w="108" w:type="dxa"/>
          </w:tblCellMar>
        </w:tblPrEx>
        <w:trPr>
          <w:trHeight w:val="653" w:hRule="atLeast"/>
          <w:jc w:val="center"/>
        </w:trPr>
        <w:tc>
          <w:tcPr>
            <w:tcW w:w="915" w:type="dxa"/>
            <w:tcBorders>
              <w:top w:val="nil"/>
              <w:left w:val="single" w:color="auto" w:sz="4" w:space="0"/>
              <w:bottom w:val="single" w:color="auto" w:sz="4" w:space="0"/>
              <w:right w:val="single" w:color="auto" w:sz="4" w:space="0"/>
            </w:tcBorders>
            <w:vAlign w:val="center"/>
          </w:tcPr>
          <w:p w14:paraId="43895B43">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2771" w:type="dxa"/>
            <w:tcBorders>
              <w:top w:val="single" w:color="auto" w:sz="4" w:space="0"/>
              <w:left w:val="nil"/>
              <w:bottom w:val="single" w:color="auto" w:sz="4" w:space="0"/>
              <w:right w:val="single" w:color="auto" w:sz="4" w:space="0"/>
            </w:tcBorders>
            <w:vAlign w:val="center"/>
          </w:tcPr>
          <w:p w14:paraId="3E6DB3C3">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b/>
                <w:bCs/>
                <w:color w:val="auto"/>
                <w:kern w:val="0"/>
                <w:position w:val="0"/>
                <w:sz w:val="24"/>
                <w:szCs w:val="24"/>
                <w:highlight w:val="none"/>
              </w:rPr>
              <w:t>设计</w:t>
            </w:r>
            <w:r>
              <w:rPr>
                <w:rFonts w:hint="eastAsia" w:asciiTheme="minorEastAsia" w:hAnsiTheme="minorEastAsia" w:eastAsiaTheme="minorEastAsia" w:cstheme="minorEastAsia"/>
                <w:b/>
                <w:bCs/>
                <w:color w:val="auto"/>
                <w:kern w:val="0"/>
                <w:position w:val="0"/>
                <w:sz w:val="24"/>
                <w:szCs w:val="24"/>
                <w:highlight w:val="none"/>
                <w:lang w:val="en-US" w:eastAsia="zh-CN"/>
              </w:rPr>
              <w:t>费投标</w:t>
            </w:r>
            <w:r>
              <w:rPr>
                <w:rFonts w:hint="eastAsia" w:asciiTheme="minorEastAsia" w:hAnsiTheme="minorEastAsia" w:eastAsiaTheme="minorEastAsia" w:cstheme="minorEastAsia"/>
                <w:b/>
                <w:bCs/>
                <w:color w:val="auto"/>
                <w:kern w:val="0"/>
                <w:position w:val="0"/>
                <w:sz w:val="24"/>
                <w:szCs w:val="24"/>
                <w:highlight w:val="none"/>
              </w:rPr>
              <w:t>报价</w:t>
            </w:r>
          </w:p>
        </w:tc>
        <w:tc>
          <w:tcPr>
            <w:tcW w:w="3554" w:type="dxa"/>
            <w:tcBorders>
              <w:top w:val="nil"/>
              <w:left w:val="nil"/>
              <w:bottom w:val="single" w:color="auto" w:sz="4" w:space="0"/>
              <w:right w:val="single" w:color="auto" w:sz="4" w:space="0"/>
            </w:tcBorders>
            <w:vAlign w:val="center"/>
          </w:tcPr>
          <w:p w14:paraId="3F140DB9">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 元（大写：）</w:t>
            </w:r>
          </w:p>
        </w:tc>
        <w:tc>
          <w:tcPr>
            <w:tcW w:w="1282" w:type="dxa"/>
            <w:tcBorders>
              <w:top w:val="nil"/>
              <w:left w:val="nil"/>
              <w:bottom w:val="single" w:color="auto" w:sz="4" w:space="0"/>
              <w:right w:val="single" w:color="auto" w:sz="4" w:space="0"/>
            </w:tcBorders>
            <w:vAlign w:val="center"/>
          </w:tcPr>
          <w:p w14:paraId="0841882C">
            <w:pPr>
              <w:pageBreakBefore w:val="0"/>
              <w:widowControl/>
              <w:kinsoku/>
              <w:wordWrap/>
              <w:overflowPunct/>
              <w:bidi w:val="0"/>
              <w:spacing w:line="360" w:lineRule="auto"/>
              <w:jc w:val="righ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lang w:val="en-US" w:eastAsia="zh-CN"/>
              </w:rPr>
              <w:t>固定总价</w:t>
            </w:r>
          </w:p>
        </w:tc>
      </w:tr>
      <w:tr w14:paraId="7CA71129">
        <w:tblPrEx>
          <w:tblCellMar>
            <w:top w:w="0" w:type="dxa"/>
            <w:left w:w="108" w:type="dxa"/>
            <w:bottom w:w="0" w:type="dxa"/>
            <w:right w:w="108" w:type="dxa"/>
          </w:tblCellMar>
        </w:tblPrEx>
        <w:trPr>
          <w:trHeight w:val="653"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14:paraId="66A15BB8">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w:t>
            </w:r>
          </w:p>
        </w:tc>
        <w:tc>
          <w:tcPr>
            <w:tcW w:w="2771" w:type="dxa"/>
            <w:tcBorders>
              <w:top w:val="single" w:color="auto" w:sz="4" w:space="0"/>
              <w:left w:val="single" w:color="auto" w:sz="4" w:space="0"/>
              <w:bottom w:val="single" w:color="auto" w:sz="4" w:space="0"/>
              <w:right w:val="single" w:color="auto" w:sz="4" w:space="0"/>
            </w:tcBorders>
            <w:vAlign w:val="center"/>
          </w:tcPr>
          <w:p w14:paraId="7E47CE3C">
            <w:pPr>
              <w:pageBreakBefore w:val="0"/>
              <w:widowControl/>
              <w:kinsoku/>
              <w:wordWrap/>
              <w:overflowPunct/>
              <w:bidi w:val="0"/>
              <w:spacing w:line="360" w:lineRule="auto"/>
              <w:jc w:val="center"/>
              <w:rPr>
                <w:rFonts w:hint="eastAsia" w:asciiTheme="minorEastAsia" w:hAnsiTheme="minorEastAsia" w:eastAsiaTheme="minorEastAsia" w:cstheme="minorEastAsia"/>
                <w:b/>
                <w:bCs/>
                <w:color w:val="auto"/>
                <w:kern w:val="0"/>
                <w:position w:val="0"/>
                <w:sz w:val="24"/>
                <w:szCs w:val="24"/>
                <w:highlight w:val="none"/>
              </w:rPr>
            </w:pPr>
            <w:r>
              <w:rPr>
                <w:rFonts w:hint="eastAsia" w:asciiTheme="minorEastAsia" w:hAnsiTheme="minorEastAsia" w:eastAsiaTheme="minorEastAsia" w:cstheme="minorEastAsia"/>
                <w:b/>
                <w:bCs/>
                <w:color w:val="auto"/>
                <w:kern w:val="0"/>
                <w:position w:val="0"/>
                <w:sz w:val="24"/>
                <w:szCs w:val="24"/>
                <w:highlight w:val="none"/>
              </w:rPr>
              <w:t>施工</w:t>
            </w:r>
            <w:r>
              <w:rPr>
                <w:rFonts w:hint="eastAsia" w:asciiTheme="minorEastAsia" w:hAnsiTheme="minorEastAsia" w:eastAsiaTheme="minorEastAsia" w:cstheme="minorEastAsia"/>
                <w:b/>
                <w:bCs/>
                <w:color w:val="auto"/>
                <w:kern w:val="0"/>
                <w:position w:val="0"/>
                <w:sz w:val="24"/>
                <w:szCs w:val="24"/>
                <w:highlight w:val="none"/>
                <w:lang w:val="en-US" w:eastAsia="zh-CN"/>
              </w:rPr>
              <w:t>费投标</w:t>
            </w:r>
            <w:r>
              <w:rPr>
                <w:rFonts w:hint="eastAsia" w:asciiTheme="minorEastAsia" w:hAnsiTheme="minorEastAsia" w:eastAsiaTheme="minorEastAsia" w:cstheme="minorEastAsia"/>
                <w:b/>
                <w:bCs/>
                <w:color w:val="auto"/>
                <w:kern w:val="0"/>
                <w:position w:val="0"/>
                <w:sz w:val="24"/>
                <w:szCs w:val="24"/>
                <w:highlight w:val="none"/>
              </w:rPr>
              <w:t>报价</w:t>
            </w:r>
          </w:p>
          <w:p w14:paraId="022025FA">
            <w:pPr>
              <w:pageBreakBefore w:val="0"/>
              <w:widowControl/>
              <w:kinsoku/>
              <w:wordWrap/>
              <w:overflowPunct/>
              <w:bidi w:val="0"/>
              <w:spacing w:line="360" w:lineRule="auto"/>
              <w:jc w:val="center"/>
              <w:rPr>
                <w:rFonts w:hint="eastAsia" w:asciiTheme="minorEastAsia" w:hAnsiTheme="minorEastAsia" w:eastAsiaTheme="minorEastAsia" w:cstheme="minorEastAsia"/>
                <w:b/>
                <w:bCs/>
                <w:color w:val="auto"/>
                <w:kern w:val="0"/>
                <w:position w:val="0"/>
                <w:sz w:val="24"/>
                <w:szCs w:val="24"/>
                <w:highlight w:val="none"/>
                <w:lang w:eastAsia="zh-CN"/>
              </w:rPr>
            </w:pPr>
            <w:r>
              <w:rPr>
                <w:rFonts w:hint="eastAsia" w:asciiTheme="minorEastAsia" w:hAnsiTheme="minorEastAsia" w:eastAsiaTheme="minorEastAsia" w:cstheme="minorEastAsia"/>
                <w:b/>
                <w:bCs/>
                <w:color w:val="auto"/>
                <w:kern w:val="0"/>
                <w:position w:val="0"/>
                <w:sz w:val="24"/>
                <w:szCs w:val="24"/>
                <w:highlight w:val="none"/>
                <w:lang w:eastAsia="zh-CN"/>
              </w:rPr>
              <w:t>（</w:t>
            </w:r>
            <w:r>
              <w:rPr>
                <w:rFonts w:hint="eastAsia" w:asciiTheme="minorEastAsia" w:hAnsiTheme="minorEastAsia" w:eastAsiaTheme="minorEastAsia" w:cstheme="minorEastAsia"/>
                <w:b/>
                <w:bCs/>
                <w:color w:val="auto"/>
                <w:kern w:val="0"/>
                <w:position w:val="0"/>
                <w:sz w:val="24"/>
                <w:szCs w:val="24"/>
                <w:highlight w:val="none"/>
                <w:lang w:val="en-US" w:eastAsia="zh-CN"/>
              </w:rPr>
              <w:t>1－下浮率</w:t>
            </w:r>
            <w:r>
              <w:rPr>
                <w:rFonts w:hint="eastAsia" w:asciiTheme="minorEastAsia" w:hAnsiTheme="minorEastAsia" w:eastAsiaTheme="minorEastAsia" w:cstheme="minorEastAsia"/>
                <w:b/>
                <w:bCs/>
                <w:color w:val="auto"/>
                <w:kern w:val="0"/>
                <w:position w:val="0"/>
                <w:sz w:val="24"/>
                <w:szCs w:val="24"/>
                <w:highlight w:val="none"/>
                <w:lang w:eastAsia="zh-CN"/>
              </w:rPr>
              <w:t>）</w:t>
            </w:r>
          </w:p>
        </w:tc>
        <w:tc>
          <w:tcPr>
            <w:tcW w:w="3554" w:type="dxa"/>
            <w:tcBorders>
              <w:top w:val="single" w:color="auto" w:sz="4" w:space="0"/>
              <w:left w:val="single" w:color="auto" w:sz="4" w:space="0"/>
              <w:bottom w:val="single" w:color="auto" w:sz="4" w:space="0"/>
              <w:right w:val="single" w:color="auto" w:sz="4" w:space="0"/>
            </w:tcBorders>
            <w:vAlign w:val="center"/>
          </w:tcPr>
          <w:p w14:paraId="13876963">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lang w:val="en-US" w:eastAsia="zh-CN"/>
              </w:rPr>
              <w:t>%</w:t>
            </w:r>
          </w:p>
        </w:tc>
        <w:tc>
          <w:tcPr>
            <w:tcW w:w="1282" w:type="dxa"/>
            <w:tcBorders>
              <w:top w:val="single" w:color="auto" w:sz="4" w:space="0"/>
              <w:left w:val="single" w:color="auto" w:sz="4" w:space="0"/>
              <w:bottom w:val="single" w:color="auto" w:sz="4" w:space="0"/>
              <w:right w:val="single" w:color="auto" w:sz="4" w:space="0"/>
            </w:tcBorders>
            <w:vAlign w:val="center"/>
          </w:tcPr>
          <w:p w14:paraId="51F6D9D2">
            <w:pPr>
              <w:pageBreakBefore w:val="0"/>
              <w:widowControl/>
              <w:kinsoku/>
              <w:wordWrap/>
              <w:overflowPunct/>
              <w:bidi w:val="0"/>
              <w:spacing w:line="360" w:lineRule="auto"/>
              <w:jc w:val="right"/>
              <w:rPr>
                <w:rFonts w:hint="eastAsia" w:asciiTheme="minorEastAsia" w:hAnsiTheme="minorEastAsia" w:eastAsiaTheme="minorEastAsia" w:cstheme="minorEastAsia"/>
                <w:color w:val="auto"/>
                <w:kern w:val="0"/>
                <w:szCs w:val="21"/>
                <w:highlight w:val="none"/>
              </w:rPr>
            </w:pPr>
          </w:p>
        </w:tc>
      </w:tr>
      <w:tr w14:paraId="58979ED1">
        <w:tblPrEx>
          <w:tblCellMar>
            <w:top w:w="0" w:type="dxa"/>
            <w:left w:w="108" w:type="dxa"/>
            <w:bottom w:w="0" w:type="dxa"/>
            <w:right w:w="108" w:type="dxa"/>
          </w:tblCellMar>
        </w:tblPrEx>
        <w:trPr>
          <w:trHeight w:val="653"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14:paraId="4C25FE47">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w:t>
            </w:r>
          </w:p>
        </w:tc>
        <w:tc>
          <w:tcPr>
            <w:tcW w:w="2771" w:type="dxa"/>
            <w:tcBorders>
              <w:top w:val="single" w:color="auto" w:sz="4" w:space="0"/>
              <w:left w:val="single" w:color="auto" w:sz="4" w:space="0"/>
              <w:bottom w:val="single" w:color="auto" w:sz="4" w:space="0"/>
              <w:right w:val="single" w:color="auto" w:sz="4" w:space="0"/>
            </w:tcBorders>
            <w:vAlign w:val="center"/>
          </w:tcPr>
          <w:p w14:paraId="0D9234FF">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center"/>
              <w:textAlignment w:val="baseline"/>
              <w:outlineLvl w:val="9"/>
              <w:rPr>
                <w:rFonts w:hint="eastAsia" w:asciiTheme="minorEastAsia" w:hAnsiTheme="minorEastAsia" w:eastAsiaTheme="minorEastAsia" w:cstheme="minorEastAsia"/>
                <w:b/>
                <w:bCs/>
                <w:color w:val="auto"/>
                <w:kern w:val="0"/>
                <w:position w:val="0"/>
                <w:sz w:val="24"/>
                <w:szCs w:val="24"/>
                <w:highlight w:val="none"/>
                <w:lang w:eastAsia="zh-CN"/>
              </w:rPr>
            </w:pPr>
            <w:r>
              <w:rPr>
                <w:rFonts w:hint="eastAsia" w:asciiTheme="minorEastAsia" w:hAnsiTheme="minorEastAsia" w:eastAsiaTheme="minorEastAsia" w:cstheme="minorEastAsia"/>
                <w:color w:val="auto"/>
                <w:sz w:val="24"/>
                <w:szCs w:val="24"/>
                <w:highlight w:val="none"/>
              </w:rPr>
              <w:t>工期</w:t>
            </w:r>
            <w:r>
              <w:rPr>
                <w:rFonts w:hint="eastAsia" w:asciiTheme="minorEastAsia" w:hAnsiTheme="minorEastAsia" w:eastAsiaTheme="minorEastAsia" w:cstheme="minorEastAsia"/>
                <w:color w:val="auto"/>
                <w:sz w:val="24"/>
                <w:szCs w:val="24"/>
                <w:highlight w:val="none"/>
                <w:lang w:eastAsia="zh-CN"/>
              </w:rPr>
              <w:t>承诺</w:t>
            </w:r>
          </w:p>
        </w:tc>
        <w:tc>
          <w:tcPr>
            <w:tcW w:w="3554" w:type="dxa"/>
            <w:tcBorders>
              <w:top w:val="single" w:color="auto" w:sz="4" w:space="0"/>
              <w:left w:val="single" w:color="auto" w:sz="4" w:space="0"/>
              <w:bottom w:val="single" w:color="auto" w:sz="4" w:space="0"/>
              <w:right w:val="single" w:color="auto" w:sz="4" w:space="0"/>
            </w:tcBorders>
            <w:vAlign w:val="center"/>
          </w:tcPr>
          <w:p w14:paraId="19F5C23D">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7C4BC88B">
            <w:pPr>
              <w:pageBreakBefore w:val="0"/>
              <w:widowControl/>
              <w:kinsoku/>
              <w:wordWrap/>
              <w:overflowPunct/>
              <w:bidi w:val="0"/>
              <w:spacing w:line="360" w:lineRule="auto"/>
              <w:jc w:val="right"/>
              <w:rPr>
                <w:rFonts w:hint="eastAsia" w:asciiTheme="minorEastAsia" w:hAnsiTheme="minorEastAsia" w:eastAsiaTheme="minorEastAsia" w:cstheme="minorEastAsia"/>
                <w:color w:val="auto"/>
                <w:kern w:val="0"/>
                <w:szCs w:val="21"/>
                <w:highlight w:val="none"/>
              </w:rPr>
            </w:pPr>
          </w:p>
        </w:tc>
      </w:tr>
      <w:tr w14:paraId="2283839A">
        <w:tblPrEx>
          <w:tblCellMar>
            <w:top w:w="0" w:type="dxa"/>
            <w:left w:w="108" w:type="dxa"/>
            <w:bottom w:w="0" w:type="dxa"/>
            <w:right w:w="108" w:type="dxa"/>
          </w:tblCellMar>
        </w:tblPrEx>
        <w:trPr>
          <w:trHeight w:val="610"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14:paraId="528A389F">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c>
          <w:tcPr>
            <w:tcW w:w="2771" w:type="dxa"/>
            <w:tcBorders>
              <w:top w:val="single" w:color="auto" w:sz="4" w:space="0"/>
              <w:left w:val="single" w:color="auto" w:sz="4" w:space="0"/>
              <w:bottom w:val="single" w:color="auto" w:sz="4" w:space="0"/>
              <w:right w:val="single" w:color="auto" w:sz="4" w:space="0"/>
            </w:tcBorders>
            <w:vAlign w:val="center"/>
          </w:tcPr>
          <w:p w14:paraId="2073E382">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设计质量</w:t>
            </w:r>
            <w:r>
              <w:rPr>
                <w:rFonts w:hint="eastAsia" w:asciiTheme="minorEastAsia" w:hAnsiTheme="minorEastAsia" w:eastAsiaTheme="minorEastAsia" w:cstheme="minorEastAsia"/>
                <w:color w:val="auto"/>
                <w:sz w:val="24"/>
                <w:szCs w:val="24"/>
                <w:highlight w:val="none"/>
                <w:lang w:val="en-US" w:eastAsia="zh-CN"/>
              </w:rPr>
              <w:t>承诺</w:t>
            </w:r>
          </w:p>
        </w:tc>
        <w:tc>
          <w:tcPr>
            <w:tcW w:w="3554" w:type="dxa"/>
            <w:tcBorders>
              <w:top w:val="single" w:color="auto" w:sz="4" w:space="0"/>
              <w:left w:val="single" w:color="auto" w:sz="4" w:space="0"/>
              <w:bottom w:val="single" w:color="auto" w:sz="4" w:space="0"/>
              <w:right w:val="single" w:color="auto" w:sz="4" w:space="0"/>
            </w:tcBorders>
            <w:vAlign w:val="center"/>
          </w:tcPr>
          <w:p w14:paraId="5D9308AF">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0F484DFD">
            <w:pPr>
              <w:pageBreakBefore w:val="0"/>
              <w:widowControl/>
              <w:kinsoku/>
              <w:wordWrap/>
              <w:overflowPunct/>
              <w:bidi w:val="0"/>
              <w:spacing w:line="360" w:lineRule="auto"/>
              <w:jc w:val="right"/>
              <w:rPr>
                <w:rFonts w:hint="eastAsia" w:asciiTheme="minorEastAsia" w:hAnsiTheme="minorEastAsia" w:eastAsiaTheme="minorEastAsia" w:cstheme="minorEastAsia"/>
                <w:color w:val="auto"/>
                <w:kern w:val="0"/>
                <w:szCs w:val="21"/>
                <w:highlight w:val="none"/>
              </w:rPr>
            </w:pPr>
          </w:p>
        </w:tc>
      </w:tr>
      <w:tr w14:paraId="4FAB0FB0">
        <w:tblPrEx>
          <w:tblCellMar>
            <w:top w:w="0" w:type="dxa"/>
            <w:left w:w="108" w:type="dxa"/>
            <w:bottom w:w="0" w:type="dxa"/>
            <w:right w:w="108" w:type="dxa"/>
          </w:tblCellMar>
        </w:tblPrEx>
        <w:trPr>
          <w:trHeight w:val="653"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14:paraId="3C2C589F">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w:t>
            </w:r>
          </w:p>
        </w:tc>
        <w:tc>
          <w:tcPr>
            <w:tcW w:w="2771" w:type="dxa"/>
            <w:tcBorders>
              <w:top w:val="single" w:color="auto" w:sz="4" w:space="0"/>
              <w:left w:val="single" w:color="auto" w:sz="4" w:space="0"/>
              <w:bottom w:val="single" w:color="auto" w:sz="4" w:space="0"/>
              <w:right w:val="single" w:color="auto" w:sz="4" w:space="0"/>
            </w:tcBorders>
            <w:vAlign w:val="center"/>
          </w:tcPr>
          <w:p w14:paraId="5DDDCC05">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施工质量承诺</w:t>
            </w:r>
          </w:p>
        </w:tc>
        <w:tc>
          <w:tcPr>
            <w:tcW w:w="3554" w:type="dxa"/>
            <w:tcBorders>
              <w:top w:val="single" w:color="auto" w:sz="4" w:space="0"/>
              <w:left w:val="single" w:color="auto" w:sz="4" w:space="0"/>
              <w:bottom w:val="single" w:color="auto" w:sz="4" w:space="0"/>
              <w:right w:val="single" w:color="auto" w:sz="4" w:space="0"/>
            </w:tcBorders>
            <w:vAlign w:val="center"/>
          </w:tcPr>
          <w:p w14:paraId="4F17F378">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581B479D">
            <w:pPr>
              <w:pageBreakBefore w:val="0"/>
              <w:widowControl/>
              <w:kinsoku/>
              <w:wordWrap/>
              <w:overflowPunct/>
              <w:bidi w:val="0"/>
              <w:spacing w:line="360" w:lineRule="auto"/>
              <w:jc w:val="right"/>
              <w:rPr>
                <w:rFonts w:hint="eastAsia" w:asciiTheme="minorEastAsia" w:hAnsiTheme="minorEastAsia" w:eastAsiaTheme="minorEastAsia" w:cstheme="minorEastAsia"/>
                <w:color w:val="auto"/>
                <w:kern w:val="0"/>
                <w:szCs w:val="21"/>
                <w:highlight w:val="none"/>
              </w:rPr>
            </w:pPr>
          </w:p>
        </w:tc>
      </w:tr>
      <w:tr w14:paraId="3CC7D4E2">
        <w:tblPrEx>
          <w:tblCellMar>
            <w:top w:w="0" w:type="dxa"/>
            <w:left w:w="108" w:type="dxa"/>
            <w:bottom w:w="0" w:type="dxa"/>
            <w:right w:w="108" w:type="dxa"/>
          </w:tblCellMar>
        </w:tblPrEx>
        <w:trPr>
          <w:trHeight w:val="653"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14:paraId="2C5376AD">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6</w:t>
            </w:r>
          </w:p>
        </w:tc>
        <w:tc>
          <w:tcPr>
            <w:tcW w:w="2771" w:type="dxa"/>
            <w:tcBorders>
              <w:top w:val="single" w:color="auto" w:sz="4" w:space="0"/>
              <w:left w:val="single" w:color="auto" w:sz="4" w:space="0"/>
              <w:bottom w:val="single" w:color="auto" w:sz="4" w:space="0"/>
              <w:right w:val="single" w:color="auto" w:sz="4" w:space="0"/>
            </w:tcBorders>
            <w:vAlign w:val="center"/>
          </w:tcPr>
          <w:p w14:paraId="098276CD">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总承包项目负责人</w:t>
            </w:r>
          </w:p>
        </w:tc>
        <w:tc>
          <w:tcPr>
            <w:tcW w:w="3554" w:type="dxa"/>
            <w:tcBorders>
              <w:top w:val="single" w:color="auto" w:sz="4" w:space="0"/>
              <w:left w:val="single" w:color="auto" w:sz="4" w:space="0"/>
              <w:bottom w:val="single" w:color="auto" w:sz="4" w:space="0"/>
              <w:right w:val="single" w:color="auto" w:sz="4" w:space="0"/>
            </w:tcBorders>
            <w:vAlign w:val="center"/>
          </w:tcPr>
          <w:p w14:paraId="66CBDA82">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left"/>
              <w:textAlignment w:val="baseline"/>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姓名：</w:t>
            </w:r>
          </w:p>
          <w:p w14:paraId="52C87D11">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left"/>
              <w:textAlignment w:val="baseline"/>
              <w:outlineLvl w:val="9"/>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居民身份证号码：</w:t>
            </w:r>
          </w:p>
        </w:tc>
        <w:tc>
          <w:tcPr>
            <w:tcW w:w="1282" w:type="dxa"/>
            <w:tcBorders>
              <w:top w:val="single" w:color="auto" w:sz="4" w:space="0"/>
              <w:left w:val="single" w:color="auto" w:sz="4" w:space="0"/>
              <w:bottom w:val="single" w:color="auto" w:sz="4" w:space="0"/>
              <w:right w:val="single" w:color="auto" w:sz="4" w:space="0"/>
            </w:tcBorders>
            <w:vAlign w:val="center"/>
          </w:tcPr>
          <w:p w14:paraId="26452616">
            <w:pPr>
              <w:pageBreakBefore w:val="0"/>
              <w:widowControl/>
              <w:kinsoku/>
              <w:wordWrap/>
              <w:overflowPunct/>
              <w:bidi w:val="0"/>
              <w:spacing w:line="360" w:lineRule="auto"/>
              <w:jc w:val="right"/>
              <w:rPr>
                <w:rFonts w:hint="eastAsia" w:asciiTheme="minorEastAsia" w:hAnsiTheme="minorEastAsia" w:eastAsiaTheme="minorEastAsia" w:cstheme="minorEastAsia"/>
                <w:color w:val="auto"/>
                <w:kern w:val="0"/>
                <w:szCs w:val="21"/>
                <w:highlight w:val="none"/>
              </w:rPr>
            </w:pPr>
          </w:p>
        </w:tc>
      </w:tr>
      <w:tr w14:paraId="2D0A1B06">
        <w:tblPrEx>
          <w:tblCellMar>
            <w:top w:w="0" w:type="dxa"/>
            <w:left w:w="108" w:type="dxa"/>
            <w:bottom w:w="0" w:type="dxa"/>
            <w:right w:w="108" w:type="dxa"/>
          </w:tblCellMar>
        </w:tblPrEx>
        <w:trPr>
          <w:trHeight w:val="653"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14:paraId="51739A1B">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7</w:t>
            </w:r>
          </w:p>
        </w:tc>
        <w:tc>
          <w:tcPr>
            <w:tcW w:w="2771" w:type="dxa"/>
            <w:tcBorders>
              <w:top w:val="single" w:color="auto" w:sz="4" w:space="0"/>
              <w:left w:val="single" w:color="auto" w:sz="4" w:space="0"/>
              <w:bottom w:val="single" w:color="auto" w:sz="4" w:space="0"/>
              <w:right w:val="single" w:color="auto" w:sz="4" w:space="0"/>
            </w:tcBorders>
            <w:vAlign w:val="center"/>
          </w:tcPr>
          <w:p w14:paraId="0003D5F5">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center"/>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其他说明</w:t>
            </w:r>
          </w:p>
        </w:tc>
        <w:tc>
          <w:tcPr>
            <w:tcW w:w="3554" w:type="dxa"/>
            <w:tcBorders>
              <w:top w:val="single" w:color="auto" w:sz="4" w:space="0"/>
              <w:left w:val="single" w:color="auto" w:sz="4" w:space="0"/>
              <w:bottom w:val="single" w:color="auto" w:sz="4" w:space="0"/>
              <w:right w:val="single" w:color="auto" w:sz="4" w:space="0"/>
            </w:tcBorders>
            <w:vAlign w:val="center"/>
          </w:tcPr>
          <w:p w14:paraId="024B5B39">
            <w:pPr>
              <w:pageBreakBefore w:val="0"/>
              <w:widowControl/>
              <w:kinsoku/>
              <w:wordWrap/>
              <w:overflowPunct/>
              <w:bidi w:val="0"/>
              <w:spacing w:line="360" w:lineRule="auto"/>
              <w:jc w:val="center"/>
              <w:rPr>
                <w:rFonts w:hint="eastAsia" w:asciiTheme="minorEastAsia" w:hAnsiTheme="minorEastAsia" w:eastAsiaTheme="minorEastAsia" w:cstheme="minorEastAsia"/>
                <w:color w:val="auto"/>
                <w:kern w:val="0"/>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1B7FEEA0">
            <w:pPr>
              <w:pageBreakBefore w:val="0"/>
              <w:widowControl/>
              <w:kinsoku/>
              <w:wordWrap/>
              <w:overflowPunct/>
              <w:bidi w:val="0"/>
              <w:spacing w:line="360" w:lineRule="auto"/>
              <w:jc w:val="right"/>
              <w:rPr>
                <w:rFonts w:hint="eastAsia" w:asciiTheme="minorEastAsia" w:hAnsiTheme="minorEastAsia" w:eastAsiaTheme="minorEastAsia" w:cstheme="minorEastAsia"/>
                <w:color w:val="auto"/>
                <w:kern w:val="0"/>
                <w:szCs w:val="21"/>
                <w:highlight w:val="none"/>
              </w:rPr>
            </w:pPr>
          </w:p>
        </w:tc>
      </w:tr>
    </w:tbl>
    <w:p w14:paraId="30E5BA0B">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p>
    <w:p w14:paraId="7C1926D9">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p>
    <w:p w14:paraId="32B2F68D">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p>
    <w:p w14:paraId="6046A37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（电子签章）</w:t>
      </w:r>
    </w:p>
    <w:p w14:paraId="07A1C5D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（电子签章）</w:t>
      </w:r>
    </w:p>
    <w:p w14:paraId="7C82B988">
      <w:pPr>
        <w:pageBreakBefore w:val="0"/>
        <w:kinsoku/>
        <w:wordWrap/>
        <w:overflowPunct/>
        <w:bidi w:val="0"/>
        <w:snapToGrid w:val="0"/>
        <w:spacing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u w:val="none"/>
          <w:lang w:val="en-US" w:eastAsia="zh-CN"/>
        </w:rPr>
        <w:t>日   期：</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年</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月</w:t>
      </w:r>
      <w:r>
        <w:rPr>
          <w:rFonts w:hint="eastAsia" w:asciiTheme="minorEastAsia" w:hAnsiTheme="minorEastAsia" w:eastAsiaTheme="minorEastAsia" w:cstheme="minorEastAsia"/>
          <w:color w:val="auto"/>
          <w:position w:val="0"/>
          <w:sz w:val="24"/>
          <w:szCs w:val="24"/>
          <w:highlight w:val="none"/>
          <w:u w:val="single"/>
        </w:rPr>
        <w:t xml:space="preserve">   </w:t>
      </w:r>
      <w:r>
        <w:rPr>
          <w:rFonts w:hint="eastAsia" w:asciiTheme="minorEastAsia" w:hAnsiTheme="minorEastAsia" w:eastAsiaTheme="minorEastAsia" w:cstheme="minorEastAsia"/>
          <w:color w:val="auto"/>
          <w:position w:val="0"/>
          <w:sz w:val="24"/>
          <w:szCs w:val="24"/>
          <w:highlight w:val="none"/>
        </w:rPr>
        <w:t>日</w:t>
      </w:r>
    </w:p>
    <w:p w14:paraId="3CD71C19">
      <w:pPr>
        <w:pageBreakBefore w:val="0"/>
        <w:widowControl/>
        <w:kinsoku/>
        <w:wordWrap/>
        <w:overflowPunct/>
        <w:bidi w:val="0"/>
        <w:spacing w:line="360" w:lineRule="auto"/>
        <w:jc w:val="left"/>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br w:type="page"/>
      </w:r>
    </w:p>
    <w:p w14:paraId="73CE2B62">
      <w:pPr>
        <w:pStyle w:val="3"/>
        <w:pageBreakBefore w:val="0"/>
        <w:kinsoku/>
        <w:wordWrap/>
        <w:overflowPunct/>
        <w:bidi w:val="0"/>
        <w:spacing w:line="360" w:lineRule="auto"/>
        <w:jc w:val="left"/>
        <w:rPr>
          <w:rFonts w:hint="eastAsia" w:asciiTheme="minorEastAsia" w:hAnsiTheme="minorEastAsia" w:eastAsiaTheme="minorEastAsia" w:cstheme="minorEastAsia"/>
          <w:color w:val="auto"/>
          <w:sz w:val="28"/>
          <w:szCs w:val="28"/>
          <w:highlight w:val="none"/>
        </w:rPr>
      </w:pPr>
      <w:bookmarkStart w:id="2763" w:name="_Toc466896379"/>
      <w:bookmarkStart w:id="2764" w:name="_Toc25553"/>
      <w:bookmarkStart w:id="2765" w:name="_Toc28311"/>
      <w:bookmarkStart w:id="2766" w:name="_Toc495524417"/>
      <w:bookmarkStart w:id="2767" w:name="_Toc495524422"/>
      <w:bookmarkStart w:id="2768" w:name="_Toc9199"/>
      <w:r>
        <w:rPr>
          <w:rFonts w:hint="eastAsia" w:asciiTheme="minorEastAsia" w:hAnsiTheme="minorEastAsia" w:eastAsiaTheme="minorEastAsia" w:cstheme="minorEastAsia"/>
          <w:color w:val="auto"/>
          <w:sz w:val="28"/>
          <w:szCs w:val="28"/>
          <w:highlight w:val="none"/>
          <w:lang w:val="en-US" w:eastAsia="zh-CN"/>
        </w:rPr>
        <w:t>五、</w:t>
      </w:r>
      <w:r>
        <w:rPr>
          <w:rFonts w:hint="eastAsia" w:asciiTheme="minorEastAsia" w:hAnsiTheme="minorEastAsia" w:eastAsiaTheme="minorEastAsia" w:cstheme="minorEastAsia"/>
          <w:color w:val="auto"/>
          <w:sz w:val="28"/>
          <w:szCs w:val="28"/>
          <w:highlight w:val="none"/>
        </w:rPr>
        <w:t>资格审查资料</w:t>
      </w:r>
      <w:bookmarkEnd w:id="2763"/>
      <w:bookmarkEnd w:id="2764"/>
      <w:bookmarkEnd w:id="2765"/>
      <w:bookmarkEnd w:id="2766"/>
    </w:p>
    <w:p w14:paraId="5A06FF9C">
      <w:pPr>
        <w:pStyle w:val="4"/>
        <w:pageBreakBefore w:val="0"/>
        <w:widowControl/>
        <w:kinsoku/>
        <w:wordWrap/>
        <w:overflowPunct/>
        <w:bidi w:val="0"/>
        <w:spacing w:line="360" w:lineRule="auto"/>
        <w:jc w:val="center"/>
        <w:rPr>
          <w:rFonts w:hint="eastAsia" w:asciiTheme="minorEastAsia" w:hAnsiTheme="minorEastAsia" w:eastAsiaTheme="minorEastAsia" w:cstheme="minorEastAsia"/>
          <w:b w:val="0"/>
          <w:color w:val="auto"/>
          <w:sz w:val="28"/>
          <w:szCs w:val="28"/>
          <w:highlight w:val="none"/>
        </w:rPr>
      </w:pPr>
      <w:bookmarkStart w:id="2769" w:name="_Toc21070"/>
      <w:bookmarkStart w:id="2770" w:name="_Toc519779715"/>
      <w:bookmarkStart w:id="2771" w:name="_Toc31361"/>
      <w:bookmarkStart w:id="2772" w:name="_Toc25801"/>
      <w:bookmarkStart w:id="2773" w:name="_Toc532562667"/>
      <w:r>
        <w:rPr>
          <w:rFonts w:hint="eastAsia" w:asciiTheme="minorEastAsia" w:hAnsiTheme="minorEastAsia" w:eastAsiaTheme="minorEastAsia" w:cstheme="minorEastAsia"/>
          <w:b w:val="0"/>
          <w:color w:val="auto"/>
          <w:sz w:val="28"/>
          <w:szCs w:val="28"/>
          <w:highlight w:val="none"/>
        </w:rPr>
        <w:t>（一）投标人基本情况表</w:t>
      </w:r>
      <w:bookmarkEnd w:id="2769"/>
      <w:bookmarkEnd w:id="2770"/>
      <w:bookmarkEnd w:id="2771"/>
      <w:bookmarkEnd w:id="2772"/>
      <w:bookmarkEnd w:id="2773"/>
    </w:p>
    <w:tbl>
      <w:tblPr>
        <w:tblStyle w:val="45"/>
        <w:tblW w:w="9664"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74"/>
        <w:gridCol w:w="1054"/>
        <w:gridCol w:w="974"/>
        <w:gridCol w:w="1361"/>
        <w:gridCol w:w="193"/>
        <w:gridCol w:w="1185"/>
        <w:gridCol w:w="371"/>
        <w:gridCol w:w="973"/>
        <w:gridCol w:w="1379"/>
      </w:tblGrid>
      <w:tr w14:paraId="669D394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2174" w:type="dxa"/>
            <w:vAlign w:val="center"/>
          </w:tcPr>
          <w:p w14:paraId="5217E609">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投标人名称</w:t>
            </w:r>
          </w:p>
        </w:tc>
        <w:tc>
          <w:tcPr>
            <w:tcW w:w="7490" w:type="dxa"/>
            <w:gridSpan w:val="8"/>
            <w:vAlign w:val="center"/>
          </w:tcPr>
          <w:p w14:paraId="000D45AF">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5AEF8CD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2174" w:type="dxa"/>
            <w:vAlign w:val="center"/>
          </w:tcPr>
          <w:p w14:paraId="0AC3A1C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注册地址</w:t>
            </w:r>
          </w:p>
        </w:tc>
        <w:tc>
          <w:tcPr>
            <w:tcW w:w="3582" w:type="dxa"/>
            <w:gridSpan w:val="4"/>
            <w:vAlign w:val="center"/>
          </w:tcPr>
          <w:p w14:paraId="17FB0D0C">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185" w:type="dxa"/>
            <w:vAlign w:val="center"/>
          </w:tcPr>
          <w:p w14:paraId="29683DA2">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邮政编码</w:t>
            </w:r>
          </w:p>
        </w:tc>
        <w:tc>
          <w:tcPr>
            <w:tcW w:w="2723" w:type="dxa"/>
            <w:gridSpan w:val="3"/>
            <w:vAlign w:val="center"/>
          </w:tcPr>
          <w:p w14:paraId="709F7C6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57C6B06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2174" w:type="dxa"/>
            <w:vMerge w:val="restart"/>
            <w:vAlign w:val="center"/>
          </w:tcPr>
          <w:p w14:paraId="26105911">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联系方式</w:t>
            </w:r>
          </w:p>
        </w:tc>
        <w:tc>
          <w:tcPr>
            <w:tcW w:w="1054" w:type="dxa"/>
            <w:vAlign w:val="center"/>
          </w:tcPr>
          <w:p w14:paraId="6BD370E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联系人</w:t>
            </w:r>
          </w:p>
        </w:tc>
        <w:tc>
          <w:tcPr>
            <w:tcW w:w="2528" w:type="dxa"/>
            <w:gridSpan w:val="3"/>
            <w:vAlign w:val="center"/>
          </w:tcPr>
          <w:p w14:paraId="298C3092">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185" w:type="dxa"/>
            <w:vAlign w:val="center"/>
          </w:tcPr>
          <w:p w14:paraId="383BF05A">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电　话</w:t>
            </w:r>
          </w:p>
        </w:tc>
        <w:tc>
          <w:tcPr>
            <w:tcW w:w="2723" w:type="dxa"/>
            <w:gridSpan w:val="3"/>
            <w:vAlign w:val="center"/>
          </w:tcPr>
          <w:p w14:paraId="3EE745A4">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2105719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2174" w:type="dxa"/>
            <w:vMerge w:val="continue"/>
            <w:vAlign w:val="center"/>
          </w:tcPr>
          <w:p w14:paraId="34E27013">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054" w:type="dxa"/>
            <w:vAlign w:val="center"/>
          </w:tcPr>
          <w:p w14:paraId="1F8DC260">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传　真</w:t>
            </w:r>
          </w:p>
        </w:tc>
        <w:tc>
          <w:tcPr>
            <w:tcW w:w="2528" w:type="dxa"/>
            <w:gridSpan w:val="3"/>
            <w:vAlign w:val="center"/>
          </w:tcPr>
          <w:p w14:paraId="60AD3BD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185" w:type="dxa"/>
            <w:vAlign w:val="center"/>
          </w:tcPr>
          <w:p w14:paraId="464076A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电子邮件</w:t>
            </w:r>
          </w:p>
        </w:tc>
        <w:tc>
          <w:tcPr>
            <w:tcW w:w="2723" w:type="dxa"/>
            <w:gridSpan w:val="3"/>
            <w:vAlign w:val="center"/>
          </w:tcPr>
          <w:p w14:paraId="57733E19">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77D74CB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2174" w:type="dxa"/>
            <w:vAlign w:val="center"/>
          </w:tcPr>
          <w:p w14:paraId="0C979BF1">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法定代表人</w:t>
            </w:r>
          </w:p>
        </w:tc>
        <w:tc>
          <w:tcPr>
            <w:tcW w:w="1054" w:type="dxa"/>
            <w:vAlign w:val="center"/>
          </w:tcPr>
          <w:p w14:paraId="079848FE">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姓名</w:t>
            </w:r>
          </w:p>
        </w:tc>
        <w:tc>
          <w:tcPr>
            <w:tcW w:w="974" w:type="dxa"/>
            <w:vAlign w:val="center"/>
          </w:tcPr>
          <w:p w14:paraId="2320CB9E">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361" w:type="dxa"/>
            <w:vAlign w:val="center"/>
          </w:tcPr>
          <w:p w14:paraId="4DBCC988">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技术职称</w:t>
            </w:r>
          </w:p>
        </w:tc>
        <w:tc>
          <w:tcPr>
            <w:tcW w:w="1749" w:type="dxa"/>
            <w:gridSpan w:val="3"/>
            <w:vAlign w:val="center"/>
          </w:tcPr>
          <w:p w14:paraId="0B916774">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973" w:type="dxa"/>
            <w:vAlign w:val="center"/>
          </w:tcPr>
          <w:p w14:paraId="52114640">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电话</w:t>
            </w:r>
          </w:p>
        </w:tc>
        <w:tc>
          <w:tcPr>
            <w:tcW w:w="1379" w:type="dxa"/>
            <w:vAlign w:val="center"/>
          </w:tcPr>
          <w:p w14:paraId="234E5225">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7BAF827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2174" w:type="dxa"/>
            <w:vAlign w:val="center"/>
          </w:tcPr>
          <w:p w14:paraId="4E50D90B">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技术负责人</w:t>
            </w:r>
          </w:p>
        </w:tc>
        <w:tc>
          <w:tcPr>
            <w:tcW w:w="1054" w:type="dxa"/>
            <w:vAlign w:val="center"/>
          </w:tcPr>
          <w:p w14:paraId="7429C283">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姓名</w:t>
            </w:r>
          </w:p>
        </w:tc>
        <w:tc>
          <w:tcPr>
            <w:tcW w:w="974" w:type="dxa"/>
            <w:vAlign w:val="center"/>
          </w:tcPr>
          <w:p w14:paraId="79C93F04">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361" w:type="dxa"/>
            <w:vAlign w:val="center"/>
          </w:tcPr>
          <w:p w14:paraId="7685E575">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技术职称</w:t>
            </w:r>
          </w:p>
        </w:tc>
        <w:tc>
          <w:tcPr>
            <w:tcW w:w="1749" w:type="dxa"/>
            <w:gridSpan w:val="3"/>
            <w:vAlign w:val="center"/>
          </w:tcPr>
          <w:p w14:paraId="3BE00249">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973" w:type="dxa"/>
            <w:vAlign w:val="center"/>
          </w:tcPr>
          <w:p w14:paraId="6B7C8550">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电话</w:t>
            </w:r>
          </w:p>
        </w:tc>
        <w:tc>
          <w:tcPr>
            <w:tcW w:w="1379" w:type="dxa"/>
            <w:vAlign w:val="center"/>
          </w:tcPr>
          <w:p w14:paraId="702E969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1189481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74" w:type="dxa"/>
            <w:vAlign w:val="center"/>
          </w:tcPr>
          <w:p w14:paraId="2451F21C">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成立时间</w:t>
            </w:r>
          </w:p>
        </w:tc>
        <w:tc>
          <w:tcPr>
            <w:tcW w:w="2028" w:type="dxa"/>
            <w:gridSpan w:val="2"/>
            <w:vAlign w:val="center"/>
          </w:tcPr>
          <w:p w14:paraId="05803AE9">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5462" w:type="dxa"/>
            <w:gridSpan w:val="6"/>
            <w:vAlign w:val="center"/>
          </w:tcPr>
          <w:p w14:paraId="0B62EF7B">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员工总数：</w:t>
            </w:r>
          </w:p>
        </w:tc>
      </w:tr>
      <w:tr w14:paraId="7ABA298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26" w:hRule="atLeast"/>
          <w:jc w:val="center"/>
        </w:trPr>
        <w:tc>
          <w:tcPr>
            <w:tcW w:w="2174" w:type="dxa"/>
            <w:vAlign w:val="center"/>
          </w:tcPr>
          <w:p w14:paraId="5A5867C8">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企业资质等级</w:t>
            </w:r>
          </w:p>
        </w:tc>
        <w:tc>
          <w:tcPr>
            <w:tcW w:w="2028" w:type="dxa"/>
            <w:gridSpan w:val="2"/>
            <w:vAlign w:val="center"/>
          </w:tcPr>
          <w:p w14:paraId="733BBCF8">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361" w:type="dxa"/>
            <w:vMerge w:val="restart"/>
            <w:vAlign w:val="center"/>
          </w:tcPr>
          <w:p w14:paraId="75838F75">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其中</w:t>
            </w:r>
          </w:p>
          <w:p w14:paraId="24D9F8A4">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749" w:type="dxa"/>
            <w:gridSpan w:val="3"/>
            <w:vAlign w:val="center"/>
          </w:tcPr>
          <w:p w14:paraId="07D76E5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项目经理</w:t>
            </w:r>
          </w:p>
        </w:tc>
        <w:tc>
          <w:tcPr>
            <w:tcW w:w="2352" w:type="dxa"/>
            <w:gridSpan w:val="2"/>
            <w:vAlign w:val="center"/>
          </w:tcPr>
          <w:p w14:paraId="7375BB7B">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7FE31E6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36" w:hRule="atLeast"/>
          <w:jc w:val="center"/>
        </w:trPr>
        <w:tc>
          <w:tcPr>
            <w:tcW w:w="2174" w:type="dxa"/>
            <w:vAlign w:val="center"/>
          </w:tcPr>
          <w:p w14:paraId="436544B8">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营业执照号</w:t>
            </w:r>
          </w:p>
        </w:tc>
        <w:tc>
          <w:tcPr>
            <w:tcW w:w="2028" w:type="dxa"/>
            <w:gridSpan w:val="2"/>
            <w:vAlign w:val="center"/>
          </w:tcPr>
          <w:p w14:paraId="3D37D286">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361" w:type="dxa"/>
            <w:vMerge w:val="continue"/>
            <w:vAlign w:val="center"/>
          </w:tcPr>
          <w:p w14:paraId="5F540157">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749" w:type="dxa"/>
            <w:gridSpan w:val="3"/>
            <w:vAlign w:val="center"/>
          </w:tcPr>
          <w:p w14:paraId="649EA162">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高级职称人员</w:t>
            </w:r>
          </w:p>
        </w:tc>
        <w:tc>
          <w:tcPr>
            <w:tcW w:w="2352" w:type="dxa"/>
            <w:gridSpan w:val="2"/>
            <w:vAlign w:val="center"/>
          </w:tcPr>
          <w:p w14:paraId="124954E1">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165BFF6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2174" w:type="dxa"/>
            <w:vAlign w:val="center"/>
          </w:tcPr>
          <w:p w14:paraId="0F0960A7">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注册资金</w:t>
            </w:r>
          </w:p>
        </w:tc>
        <w:tc>
          <w:tcPr>
            <w:tcW w:w="2028" w:type="dxa"/>
            <w:gridSpan w:val="2"/>
            <w:vAlign w:val="center"/>
          </w:tcPr>
          <w:p w14:paraId="66123FB5">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361" w:type="dxa"/>
            <w:vMerge w:val="continue"/>
            <w:vAlign w:val="center"/>
          </w:tcPr>
          <w:p w14:paraId="17E7283E">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749" w:type="dxa"/>
            <w:gridSpan w:val="3"/>
            <w:vAlign w:val="center"/>
          </w:tcPr>
          <w:p w14:paraId="5D82EC6E">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中级职称人员</w:t>
            </w:r>
          </w:p>
        </w:tc>
        <w:tc>
          <w:tcPr>
            <w:tcW w:w="2352" w:type="dxa"/>
            <w:gridSpan w:val="2"/>
            <w:vAlign w:val="center"/>
          </w:tcPr>
          <w:p w14:paraId="48AA2D20">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6A8E585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2174" w:type="dxa"/>
            <w:vAlign w:val="center"/>
          </w:tcPr>
          <w:p w14:paraId="446D1B70">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基本账户开户银行</w:t>
            </w:r>
          </w:p>
        </w:tc>
        <w:tc>
          <w:tcPr>
            <w:tcW w:w="2028" w:type="dxa"/>
            <w:gridSpan w:val="2"/>
            <w:vAlign w:val="center"/>
          </w:tcPr>
          <w:p w14:paraId="15E5A2B3">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361" w:type="dxa"/>
            <w:vMerge w:val="continue"/>
            <w:vAlign w:val="center"/>
          </w:tcPr>
          <w:p w14:paraId="7CC4209D">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749" w:type="dxa"/>
            <w:gridSpan w:val="3"/>
            <w:vAlign w:val="center"/>
          </w:tcPr>
          <w:p w14:paraId="49DA8665">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初级职称人员</w:t>
            </w:r>
          </w:p>
        </w:tc>
        <w:tc>
          <w:tcPr>
            <w:tcW w:w="2352" w:type="dxa"/>
            <w:gridSpan w:val="2"/>
            <w:vAlign w:val="center"/>
          </w:tcPr>
          <w:p w14:paraId="0DF8658F">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6D64836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174" w:type="dxa"/>
            <w:vAlign w:val="center"/>
          </w:tcPr>
          <w:p w14:paraId="538445E4">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基本账户账号</w:t>
            </w:r>
          </w:p>
        </w:tc>
        <w:tc>
          <w:tcPr>
            <w:tcW w:w="2028" w:type="dxa"/>
            <w:gridSpan w:val="2"/>
            <w:vAlign w:val="center"/>
          </w:tcPr>
          <w:p w14:paraId="2B2CDE75">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361" w:type="dxa"/>
            <w:vMerge w:val="continue"/>
            <w:vAlign w:val="center"/>
          </w:tcPr>
          <w:p w14:paraId="22946722">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c>
          <w:tcPr>
            <w:tcW w:w="1749" w:type="dxa"/>
            <w:gridSpan w:val="3"/>
            <w:vAlign w:val="center"/>
          </w:tcPr>
          <w:p w14:paraId="7CC61BC3">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技工</w:t>
            </w:r>
          </w:p>
        </w:tc>
        <w:tc>
          <w:tcPr>
            <w:tcW w:w="2352" w:type="dxa"/>
            <w:gridSpan w:val="2"/>
            <w:vAlign w:val="center"/>
          </w:tcPr>
          <w:p w14:paraId="64BF1D0A">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58D5F0B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2174" w:type="dxa"/>
            <w:vAlign w:val="center"/>
          </w:tcPr>
          <w:p w14:paraId="077C3021">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经营范围</w:t>
            </w:r>
          </w:p>
        </w:tc>
        <w:tc>
          <w:tcPr>
            <w:tcW w:w="7490" w:type="dxa"/>
            <w:gridSpan w:val="8"/>
            <w:vAlign w:val="center"/>
          </w:tcPr>
          <w:p w14:paraId="36627603">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r w14:paraId="44AC2D3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101" w:hRule="atLeast"/>
          <w:jc w:val="center"/>
        </w:trPr>
        <w:tc>
          <w:tcPr>
            <w:tcW w:w="2174" w:type="dxa"/>
            <w:vAlign w:val="center"/>
          </w:tcPr>
          <w:p w14:paraId="5F30E94C">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投标人关联企业情况</w:t>
            </w:r>
          </w:p>
        </w:tc>
        <w:tc>
          <w:tcPr>
            <w:tcW w:w="7490" w:type="dxa"/>
            <w:gridSpan w:val="8"/>
            <w:vAlign w:val="center"/>
          </w:tcPr>
          <w:p w14:paraId="414DBE13">
            <w:pPr>
              <w:pageBreakBefore w:val="0"/>
              <w:kinsoku/>
              <w:wordWrap/>
              <w:overflowPunct/>
              <w:bidi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投标人应提供关联企业情况，包括：</w:t>
            </w:r>
          </w:p>
          <w:p w14:paraId="43831256">
            <w:pPr>
              <w:pageBreakBefore w:val="0"/>
              <w:kinsoku/>
              <w:wordWrap/>
              <w:overflowPunct/>
              <w:bidi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（1）投标人的所有股东名称及相应股权（出资额）比例；如</w:t>
            </w:r>
            <w:r>
              <w:rPr>
                <w:rFonts w:hint="eastAsia" w:asciiTheme="minorEastAsia" w:hAnsiTheme="minorEastAsia" w:eastAsiaTheme="minorEastAsia" w:cstheme="minorEastAsia"/>
                <w:color w:val="auto"/>
                <w:sz w:val="22"/>
                <w:szCs w:val="22"/>
                <w:highlight w:val="none"/>
                <w:lang w:val="en-US" w:eastAsia="zh-CN"/>
              </w:rPr>
              <w:t>投标</w:t>
            </w:r>
            <w:r>
              <w:rPr>
                <w:rFonts w:hint="eastAsia" w:asciiTheme="minorEastAsia" w:hAnsiTheme="minorEastAsia" w:eastAsiaTheme="minorEastAsia" w:cstheme="minorEastAsia"/>
                <w:color w:val="auto"/>
                <w:sz w:val="22"/>
                <w:szCs w:val="22"/>
                <w:highlight w:val="none"/>
              </w:rPr>
              <w:t>人为上市公司，</w:t>
            </w:r>
            <w:r>
              <w:rPr>
                <w:rFonts w:hint="eastAsia" w:asciiTheme="minorEastAsia" w:hAnsiTheme="minorEastAsia" w:eastAsiaTheme="minorEastAsia" w:cstheme="minorEastAsia"/>
                <w:color w:val="auto"/>
                <w:sz w:val="22"/>
                <w:szCs w:val="22"/>
                <w:highlight w:val="none"/>
                <w:lang w:val="en-US" w:eastAsia="zh-CN"/>
              </w:rPr>
              <w:t>投标</w:t>
            </w:r>
            <w:r>
              <w:rPr>
                <w:rFonts w:hint="eastAsia" w:asciiTheme="minorEastAsia" w:hAnsiTheme="minorEastAsia" w:eastAsiaTheme="minorEastAsia" w:cstheme="minorEastAsia"/>
                <w:color w:val="auto"/>
                <w:sz w:val="22"/>
                <w:szCs w:val="22"/>
                <w:highlight w:val="none"/>
              </w:rPr>
              <w:t>人应通过股权占公司股份总数%以上的所有股东名称及相应股权比例；</w:t>
            </w:r>
          </w:p>
          <w:p w14:paraId="7129DD30">
            <w:pPr>
              <w:pageBreakBefore w:val="0"/>
              <w:kinsoku/>
              <w:wordWrap/>
              <w:overflowPunct/>
              <w:bidi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（2）投标人投资（控股）或管理的下述企业名称，持有股权（出资额）比例；</w:t>
            </w:r>
          </w:p>
          <w:p w14:paraId="447BD5E9">
            <w:pPr>
              <w:pageBreakBefore w:val="0"/>
              <w:kinsoku/>
              <w:wordWrap/>
              <w:overflowPunct/>
              <w:bidi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（3）与投标人单位负责人（即法定代表人）为同一人的其他单位名称。</w:t>
            </w:r>
          </w:p>
        </w:tc>
      </w:tr>
      <w:tr w14:paraId="2C57F6F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08" w:hRule="atLeast"/>
          <w:jc w:val="center"/>
        </w:trPr>
        <w:tc>
          <w:tcPr>
            <w:tcW w:w="2174" w:type="dxa"/>
            <w:vAlign w:val="center"/>
          </w:tcPr>
          <w:p w14:paraId="494E9C30">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备注</w:t>
            </w:r>
          </w:p>
        </w:tc>
        <w:tc>
          <w:tcPr>
            <w:tcW w:w="7490" w:type="dxa"/>
            <w:gridSpan w:val="8"/>
            <w:vAlign w:val="center"/>
          </w:tcPr>
          <w:p w14:paraId="3E5BD311">
            <w:pPr>
              <w:pageBreakBefore w:val="0"/>
              <w:kinsoku/>
              <w:wordWrap/>
              <w:overflowPunct/>
              <w:bidi w:val="0"/>
              <w:spacing w:line="360" w:lineRule="auto"/>
              <w:jc w:val="center"/>
              <w:rPr>
                <w:rFonts w:hint="eastAsia" w:asciiTheme="minorEastAsia" w:hAnsiTheme="minorEastAsia" w:eastAsiaTheme="minorEastAsia" w:cstheme="minorEastAsia"/>
                <w:color w:val="auto"/>
                <w:sz w:val="22"/>
                <w:szCs w:val="22"/>
                <w:highlight w:val="none"/>
              </w:rPr>
            </w:pPr>
          </w:p>
        </w:tc>
      </w:tr>
    </w:tbl>
    <w:p w14:paraId="1A131931">
      <w:pPr>
        <w:pageBreakBefore w:val="0"/>
        <w:tabs>
          <w:tab w:val="center" w:pos="4680"/>
          <w:tab w:val="left" w:pos="5275"/>
          <w:tab w:val="left" w:pos="7590"/>
          <w:tab w:val="right" w:pos="9360"/>
        </w:tabs>
        <w:kinsoku/>
        <w:wordWrap/>
        <w:overflowPunct/>
        <w:bidi w:val="0"/>
        <w:spacing w:line="360" w:lineRule="auto"/>
        <w:ind w:left="630" w:hanging="630" w:hangingChars="3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注：1.投标人基本情况表应附营业执照</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w:t>
      </w:r>
      <w:r>
        <w:rPr>
          <w:rFonts w:hint="eastAsia" w:asciiTheme="minorEastAsia" w:hAnsiTheme="minorEastAsia" w:eastAsiaTheme="minorEastAsia" w:cstheme="minorEastAsia"/>
          <w:color w:val="auto"/>
          <w:szCs w:val="21"/>
          <w:highlight w:val="none"/>
          <w:lang w:val="zh-CN"/>
        </w:rPr>
        <w:t>其他类似的法定证明文件）</w:t>
      </w:r>
      <w:r>
        <w:rPr>
          <w:rFonts w:hint="eastAsia" w:asciiTheme="minorEastAsia" w:hAnsiTheme="minorEastAsia" w:eastAsiaTheme="minorEastAsia" w:cstheme="minorEastAsia"/>
          <w:color w:val="auto"/>
          <w:szCs w:val="21"/>
          <w:highlight w:val="none"/>
        </w:rPr>
        <w:t>、资质证书、施工企业安全生产许可证</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施工单位提供</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原件扫描件；</w:t>
      </w:r>
    </w:p>
    <w:p w14:paraId="6BE57DDA">
      <w:pPr>
        <w:pageBreakBefore w:val="0"/>
        <w:tabs>
          <w:tab w:val="center" w:pos="4680"/>
          <w:tab w:val="left" w:pos="5275"/>
          <w:tab w:val="left" w:pos="7590"/>
          <w:tab w:val="right" w:pos="9360"/>
        </w:tabs>
        <w:kinsoku/>
        <w:wordWrap/>
        <w:overflowPunct/>
        <w:bidi w:val="0"/>
        <w:spacing w:line="360" w:lineRule="auto"/>
        <w:ind w:firstLine="422" w:firstLineChars="20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2.若为联合体投标的，联合体</w:t>
      </w:r>
      <w:r>
        <w:rPr>
          <w:rFonts w:hint="eastAsia" w:asciiTheme="minorEastAsia" w:hAnsiTheme="minorEastAsia" w:eastAsiaTheme="minorEastAsia" w:cstheme="minorEastAsia"/>
          <w:b/>
          <w:bCs/>
          <w:color w:val="auto"/>
          <w:szCs w:val="21"/>
          <w:highlight w:val="none"/>
          <w:lang w:val="en-US" w:eastAsia="zh-CN"/>
        </w:rPr>
        <w:t>双方均须</w:t>
      </w:r>
      <w:r>
        <w:rPr>
          <w:rFonts w:hint="eastAsia" w:asciiTheme="minorEastAsia" w:hAnsiTheme="minorEastAsia" w:eastAsiaTheme="minorEastAsia" w:cstheme="minorEastAsia"/>
          <w:b/>
          <w:bCs/>
          <w:color w:val="auto"/>
          <w:szCs w:val="21"/>
          <w:highlight w:val="none"/>
        </w:rPr>
        <w:t>提供。</w:t>
      </w:r>
    </w:p>
    <w:p w14:paraId="39746237">
      <w:pPr>
        <w:pageBreakBefore w:val="0"/>
        <w:tabs>
          <w:tab w:val="center" w:pos="4680"/>
          <w:tab w:val="left" w:pos="5275"/>
          <w:tab w:val="left" w:pos="7590"/>
          <w:tab w:val="right" w:pos="9360"/>
        </w:tabs>
        <w:kinsoku/>
        <w:wordWrap/>
        <w:overflowPunct/>
        <w:bidi w:val="0"/>
        <w:spacing w:line="360" w:lineRule="auto"/>
        <w:ind w:left="630" w:hanging="630" w:hangingChars="3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position w:val="0"/>
          <w:szCs w:val="24"/>
          <w:highlight w:val="none"/>
        </w:rPr>
        <w:br w:type="page"/>
      </w:r>
    </w:p>
    <w:p w14:paraId="6590162B">
      <w:pPr>
        <w:pStyle w:val="4"/>
        <w:pageBreakBefore w:val="0"/>
        <w:widowControl/>
        <w:kinsoku/>
        <w:wordWrap/>
        <w:overflowPunct/>
        <w:bidi w:val="0"/>
        <w:spacing w:line="360" w:lineRule="auto"/>
        <w:jc w:val="center"/>
        <w:rPr>
          <w:rFonts w:hint="eastAsia" w:asciiTheme="minorEastAsia" w:hAnsiTheme="minorEastAsia" w:eastAsiaTheme="minorEastAsia" w:cstheme="minorEastAsia"/>
          <w:b w:val="0"/>
          <w:color w:val="auto"/>
          <w:sz w:val="28"/>
          <w:szCs w:val="28"/>
          <w:highlight w:val="none"/>
        </w:rPr>
      </w:pPr>
      <w:bookmarkStart w:id="2774" w:name="_Toc6080"/>
      <w:bookmarkStart w:id="2775" w:name="_Toc532562668"/>
      <w:bookmarkStart w:id="2776" w:name="_Toc23602"/>
      <w:bookmarkStart w:id="2777" w:name="_Toc519779716"/>
      <w:bookmarkStart w:id="2778" w:name="_Toc18884"/>
      <w:r>
        <w:rPr>
          <w:rFonts w:hint="eastAsia" w:asciiTheme="minorEastAsia" w:hAnsiTheme="minorEastAsia" w:eastAsiaTheme="minorEastAsia" w:cstheme="minorEastAsia"/>
          <w:b w:val="0"/>
          <w:color w:val="auto"/>
          <w:sz w:val="28"/>
          <w:szCs w:val="28"/>
          <w:highlight w:val="none"/>
        </w:rPr>
        <w:t>（二）近年财务状况</w:t>
      </w:r>
      <w:bookmarkEnd w:id="2774"/>
      <w:bookmarkEnd w:id="2775"/>
      <w:bookmarkEnd w:id="2776"/>
      <w:bookmarkEnd w:id="2777"/>
      <w:bookmarkEnd w:id="2778"/>
    </w:p>
    <w:p w14:paraId="180B7FAD">
      <w:pPr>
        <w:pageBreakBefore w:val="0"/>
        <w:tabs>
          <w:tab w:val="center" w:pos="4680"/>
          <w:tab w:val="left" w:pos="5275"/>
          <w:tab w:val="left" w:pos="7590"/>
          <w:tab w:val="right" w:pos="9360"/>
        </w:tabs>
        <w:kinsoku/>
        <w:wordWrap/>
        <w:overflowPunct/>
        <w:bidi w:val="0"/>
        <w:spacing w:line="360" w:lineRule="auto"/>
        <w:ind w:firstLine="435"/>
        <w:jc w:val="both"/>
        <w:rPr>
          <w:rFonts w:hint="eastAsia" w:asciiTheme="minorEastAsia" w:hAnsiTheme="minorEastAsia" w:eastAsiaTheme="minorEastAsia" w:cstheme="minorEastAsia"/>
          <w:b w:val="0"/>
          <w:bCs/>
          <w:color w:val="auto"/>
          <w:sz w:val="25"/>
          <w:highlight w:val="none"/>
        </w:rPr>
      </w:pPr>
    </w:p>
    <w:p w14:paraId="08563EF4">
      <w:pPr>
        <w:pageBreakBefore w:val="0"/>
        <w:tabs>
          <w:tab w:val="center" w:pos="4680"/>
          <w:tab w:val="left" w:pos="5275"/>
          <w:tab w:val="left" w:pos="7590"/>
          <w:tab w:val="right" w:pos="9360"/>
        </w:tabs>
        <w:kinsoku/>
        <w:wordWrap/>
        <w:overflowPunct/>
        <w:bidi w:val="0"/>
        <w:spacing w:line="360" w:lineRule="auto"/>
        <w:ind w:left="771" w:leftChars="367" w:firstLine="144" w:firstLineChars="69"/>
        <w:rPr>
          <w:rFonts w:hint="eastAsia" w:asciiTheme="minorEastAsia" w:hAnsiTheme="minorEastAsia" w:eastAsiaTheme="minorEastAsia" w:cstheme="minorEastAsia"/>
          <w:b w:val="0"/>
          <w:bCs/>
          <w:color w:val="auto"/>
          <w:highlight w:val="none"/>
          <w:lang w:val="en-US" w:eastAsia="zh-CN"/>
        </w:rPr>
      </w:pPr>
      <w:r>
        <w:rPr>
          <w:rFonts w:hint="eastAsia" w:ascii="宋体" w:hAnsi="宋体" w:eastAsia="宋体" w:cs="宋体"/>
          <w:b w:val="0"/>
          <w:bCs/>
          <w:color w:val="auto"/>
          <w:sz w:val="21"/>
          <w:szCs w:val="21"/>
          <w:highlight w:val="none"/>
          <w:lang w:val="en-US" w:eastAsia="zh-CN"/>
        </w:rPr>
        <w:t>根据</w:t>
      </w:r>
      <w:r>
        <w:rPr>
          <w:rFonts w:hint="eastAsia" w:ascii="宋体" w:hAnsi="宋体" w:cs="宋体"/>
          <w:b w:val="0"/>
          <w:bCs/>
          <w:color w:val="auto"/>
          <w:sz w:val="21"/>
          <w:szCs w:val="21"/>
          <w:highlight w:val="none"/>
          <w:lang w:val="en-US" w:eastAsia="zh-CN"/>
        </w:rPr>
        <w:t>招标</w:t>
      </w:r>
      <w:r>
        <w:rPr>
          <w:rFonts w:hint="eastAsia" w:ascii="宋体" w:hAnsi="宋体" w:eastAsia="宋体" w:cs="宋体"/>
          <w:b w:val="0"/>
          <w:bCs/>
          <w:color w:val="auto"/>
          <w:sz w:val="21"/>
          <w:szCs w:val="21"/>
          <w:highlight w:val="none"/>
          <w:lang w:val="en-US" w:eastAsia="zh-CN"/>
        </w:rPr>
        <w:t>文件要求提供</w:t>
      </w:r>
      <w:r>
        <w:rPr>
          <w:rFonts w:hint="eastAsia" w:ascii="宋体" w:hAnsi="宋体" w:cs="宋体"/>
          <w:b w:val="0"/>
          <w:bCs/>
          <w:color w:val="auto"/>
          <w:sz w:val="21"/>
          <w:szCs w:val="21"/>
          <w:highlight w:val="none"/>
          <w:lang w:val="en-US" w:eastAsia="zh-CN"/>
        </w:rPr>
        <w:t>相关</w:t>
      </w:r>
      <w:r>
        <w:rPr>
          <w:rFonts w:hint="eastAsia" w:ascii="宋体" w:hAnsi="宋体" w:eastAsia="宋体" w:cs="宋体"/>
          <w:b w:val="0"/>
          <w:bCs/>
          <w:color w:val="auto"/>
          <w:sz w:val="21"/>
          <w:szCs w:val="21"/>
          <w:highlight w:val="none"/>
          <w:lang w:val="en-US" w:eastAsia="zh-CN"/>
        </w:rPr>
        <w:t>证明资料，格式自拟。</w:t>
      </w:r>
      <w:r>
        <w:rPr>
          <w:rFonts w:hint="eastAsia" w:asciiTheme="minorEastAsia" w:hAnsiTheme="minorEastAsia" w:eastAsiaTheme="minorEastAsia" w:cstheme="minorEastAsia"/>
          <w:b w:val="0"/>
          <w:bCs/>
          <w:color w:val="auto"/>
          <w:highlight w:val="none"/>
          <w:lang w:val="en-US" w:eastAsia="zh-CN"/>
        </w:rPr>
        <w:t>若为联合体投标的，</w:t>
      </w:r>
      <w:r>
        <w:rPr>
          <w:rFonts w:hint="eastAsia" w:asciiTheme="minorEastAsia" w:hAnsiTheme="minorEastAsia" w:eastAsiaTheme="minorEastAsia" w:cstheme="minorEastAsia"/>
          <w:b w:val="0"/>
          <w:bCs/>
          <w:color w:val="auto"/>
          <w:szCs w:val="21"/>
          <w:highlight w:val="none"/>
        </w:rPr>
        <w:t>联合体</w:t>
      </w:r>
      <w:r>
        <w:rPr>
          <w:rFonts w:hint="eastAsia" w:asciiTheme="minorEastAsia" w:hAnsiTheme="minorEastAsia" w:eastAsiaTheme="minorEastAsia" w:cstheme="minorEastAsia"/>
          <w:b w:val="0"/>
          <w:bCs/>
          <w:color w:val="auto"/>
          <w:szCs w:val="21"/>
          <w:highlight w:val="none"/>
          <w:lang w:val="en-US" w:eastAsia="zh-CN"/>
        </w:rPr>
        <w:t>双方均须</w:t>
      </w:r>
      <w:r>
        <w:rPr>
          <w:rFonts w:hint="eastAsia" w:asciiTheme="minorEastAsia" w:hAnsiTheme="minorEastAsia" w:eastAsiaTheme="minorEastAsia" w:cstheme="minorEastAsia"/>
          <w:b w:val="0"/>
          <w:bCs/>
          <w:color w:val="auto"/>
          <w:szCs w:val="21"/>
          <w:highlight w:val="none"/>
        </w:rPr>
        <w:t>提供。</w:t>
      </w:r>
    </w:p>
    <w:p w14:paraId="30061575">
      <w:pPr>
        <w:pageBreakBefore w:val="0"/>
        <w:tabs>
          <w:tab w:val="center" w:pos="4680"/>
          <w:tab w:val="left" w:pos="5275"/>
          <w:tab w:val="left" w:pos="7590"/>
          <w:tab w:val="right" w:pos="9360"/>
        </w:tabs>
        <w:kinsoku/>
        <w:wordWrap/>
        <w:overflowPunct/>
        <w:bidi w:val="0"/>
        <w:spacing w:line="360" w:lineRule="auto"/>
        <w:ind w:left="630" w:leftChars="68" w:hanging="487" w:hangingChars="23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31A8AC0C">
      <w:pPr>
        <w:pStyle w:val="4"/>
        <w:tabs>
          <w:tab w:val="left" w:pos="432"/>
          <w:tab w:val="left" w:pos="720"/>
        </w:tabs>
        <w:spacing w:before="240" w:after="240" w:line="360" w:lineRule="auto"/>
        <w:jc w:val="center"/>
        <w:rPr>
          <w:rFonts w:hint="eastAsia" w:asciiTheme="minorEastAsia" w:hAnsiTheme="minorEastAsia" w:eastAsiaTheme="minorEastAsia" w:cstheme="minorEastAsia"/>
          <w:b w:val="0"/>
          <w:color w:val="auto"/>
          <w:sz w:val="30"/>
          <w:szCs w:val="30"/>
          <w:highlight w:val="none"/>
          <w:lang w:val="en-US" w:eastAsia="zh-CN"/>
        </w:rPr>
      </w:pPr>
      <w:bookmarkStart w:id="2779" w:name="_Toc6568"/>
      <w:bookmarkStart w:id="2780" w:name="_Toc532562670"/>
      <w:r>
        <w:rPr>
          <w:rFonts w:hint="eastAsia" w:asciiTheme="minorEastAsia" w:hAnsiTheme="minorEastAsia" w:eastAsiaTheme="minorEastAsia" w:cstheme="minorEastAsia"/>
          <w:b w:val="0"/>
          <w:color w:val="auto"/>
          <w:sz w:val="30"/>
          <w:szCs w:val="30"/>
          <w:highlight w:val="none"/>
          <w:lang w:val="en-US" w:eastAsia="zh-CN"/>
        </w:rPr>
        <w:t>（三）拟派往本项目设计团队成员配备情况表</w:t>
      </w:r>
      <w:bookmarkEnd w:id="2779"/>
    </w:p>
    <w:tbl>
      <w:tblPr>
        <w:tblStyle w:val="45"/>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078"/>
        <w:gridCol w:w="1474"/>
        <w:gridCol w:w="1134"/>
        <w:gridCol w:w="1417"/>
        <w:gridCol w:w="1276"/>
        <w:gridCol w:w="1559"/>
        <w:gridCol w:w="850"/>
      </w:tblGrid>
      <w:tr w14:paraId="166C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830F3F2">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序号</w:t>
            </w:r>
          </w:p>
        </w:tc>
        <w:tc>
          <w:tcPr>
            <w:tcW w:w="1078" w:type="dxa"/>
            <w:noWrap w:val="0"/>
            <w:vAlign w:val="center"/>
          </w:tcPr>
          <w:p w14:paraId="639290E0">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姓名</w:t>
            </w:r>
          </w:p>
        </w:tc>
        <w:tc>
          <w:tcPr>
            <w:tcW w:w="1474" w:type="dxa"/>
            <w:noWrap w:val="0"/>
            <w:vAlign w:val="center"/>
          </w:tcPr>
          <w:p w14:paraId="6BE9DFCE">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拟任职务</w:t>
            </w:r>
          </w:p>
        </w:tc>
        <w:tc>
          <w:tcPr>
            <w:tcW w:w="1134" w:type="dxa"/>
            <w:noWrap w:val="0"/>
            <w:vAlign w:val="center"/>
          </w:tcPr>
          <w:p w14:paraId="469A0CFC">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技术职称</w:t>
            </w:r>
          </w:p>
        </w:tc>
        <w:tc>
          <w:tcPr>
            <w:tcW w:w="1417" w:type="dxa"/>
            <w:noWrap w:val="0"/>
            <w:vAlign w:val="center"/>
          </w:tcPr>
          <w:p w14:paraId="6B976B21">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专业</w:t>
            </w:r>
          </w:p>
        </w:tc>
        <w:tc>
          <w:tcPr>
            <w:tcW w:w="1276" w:type="dxa"/>
            <w:noWrap w:val="0"/>
            <w:vAlign w:val="center"/>
          </w:tcPr>
          <w:p w14:paraId="0DB6E991">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执业资格</w:t>
            </w:r>
          </w:p>
        </w:tc>
        <w:tc>
          <w:tcPr>
            <w:tcW w:w="1559" w:type="dxa"/>
            <w:noWrap w:val="0"/>
            <w:vAlign w:val="center"/>
          </w:tcPr>
          <w:p w14:paraId="4FA17AA2">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从事专业年限</w:t>
            </w:r>
          </w:p>
        </w:tc>
        <w:tc>
          <w:tcPr>
            <w:tcW w:w="850" w:type="dxa"/>
            <w:noWrap w:val="0"/>
            <w:vAlign w:val="center"/>
          </w:tcPr>
          <w:p w14:paraId="7FD5E6A4">
            <w:pPr>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备注</w:t>
            </w:r>
          </w:p>
        </w:tc>
      </w:tr>
      <w:tr w14:paraId="5B26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2A4B3CDB">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1</w:t>
            </w:r>
          </w:p>
        </w:tc>
        <w:tc>
          <w:tcPr>
            <w:tcW w:w="1078" w:type="dxa"/>
            <w:noWrap w:val="0"/>
            <w:vAlign w:val="top"/>
          </w:tcPr>
          <w:p w14:paraId="7C13B1DF">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62965EF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7F80358C">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2EE64F00">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78813A1A">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69AA9D86">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13FE9C75">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5EC0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5F5A645F">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2</w:t>
            </w:r>
          </w:p>
        </w:tc>
        <w:tc>
          <w:tcPr>
            <w:tcW w:w="1078" w:type="dxa"/>
            <w:noWrap w:val="0"/>
            <w:vAlign w:val="top"/>
          </w:tcPr>
          <w:p w14:paraId="21A8B694">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06822DEA">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69A8BC7C">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358BBFA2">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7E2E7D9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202FC4A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4096B9A6">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406D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4A9CF834">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3</w:t>
            </w:r>
          </w:p>
        </w:tc>
        <w:tc>
          <w:tcPr>
            <w:tcW w:w="1078" w:type="dxa"/>
            <w:noWrap w:val="0"/>
            <w:vAlign w:val="top"/>
          </w:tcPr>
          <w:p w14:paraId="1F03CEF5">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7F14C296">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14E0C32B">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3B6FE8C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54CBE4C3">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6BDB3E2C">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5D89A7C2">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2250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09215212">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4</w:t>
            </w:r>
          </w:p>
        </w:tc>
        <w:tc>
          <w:tcPr>
            <w:tcW w:w="1078" w:type="dxa"/>
            <w:noWrap w:val="0"/>
            <w:vAlign w:val="top"/>
          </w:tcPr>
          <w:p w14:paraId="0AF95167">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3453B594">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72D452AF">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5BC14DC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16977490">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39FA1260">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1DCE8FA4">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1C66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512A24F2">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5</w:t>
            </w:r>
          </w:p>
        </w:tc>
        <w:tc>
          <w:tcPr>
            <w:tcW w:w="1078" w:type="dxa"/>
            <w:noWrap w:val="0"/>
            <w:vAlign w:val="top"/>
          </w:tcPr>
          <w:p w14:paraId="41FA28D8">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4B4DAB0B">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76989EA7">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6AB947C7">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7925D09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5EBD87E7">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31737F11">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7721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46D89BC4">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w:t>
            </w:r>
          </w:p>
        </w:tc>
        <w:tc>
          <w:tcPr>
            <w:tcW w:w="1078" w:type="dxa"/>
            <w:noWrap w:val="0"/>
            <w:vAlign w:val="top"/>
          </w:tcPr>
          <w:p w14:paraId="34643E11">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5526779E">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45E4B345">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2BE6A2A4">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74E07CAF">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19F537CA">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15E4D5BB">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7672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75BD731E">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078" w:type="dxa"/>
            <w:noWrap w:val="0"/>
            <w:vAlign w:val="top"/>
          </w:tcPr>
          <w:p w14:paraId="198A4EF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7AD3105F">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27B468E5">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01ACAF47">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2FC2CEE3">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14DC8F44">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0334B4FA">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00AC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764F250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078" w:type="dxa"/>
            <w:noWrap w:val="0"/>
            <w:vAlign w:val="top"/>
          </w:tcPr>
          <w:p w14:paraId="68754683">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08616570">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37EB5117">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1E2982D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7D31690B">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076BDB71">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46D6D64E">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7C5A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30658B41">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078" w:type="dxa"/>
            <w:noWrap w:val="0"/>
            <w:vAlign w:val="top"/>
          </w:tcPr>
          <w:p w14:paraId="797789C7">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74EFC6FB">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2980F5F3">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6B2B505D">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4021A456">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09ED9552">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48B8CE5B">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1484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14AE58FA">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078" w:type="dxa"/>
            <w:noWrap w:val="0"/>
            <w:vAlign w:val="top"/>
          </w:tcPr>
          <w:p w14:paraId="6C14AC0C">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11555853">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540DA60C">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792E8C9A">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40734676">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0CBB857A">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1B660070">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r w14:paraId="56DE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top"/>
          </w:tcPr>
          <w:p w14:paraId="31413A2E">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078" w:type="dxa"/>
            <w:noWrap w:val="0"/>
            <w:vAlign w:val="top"/>
          </w:tcPr>
          <w:p w14:paraId="2D678CB9">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74" w:type="dxa"/>
            <w:noWrap w:val="0"/>
            <w:vAlign w:val="top"/>
          </w:tcPr>
          <w:p w14:paraId="0EA09C66">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134" w:type="dxa"/>
            <w:noWrap w:val="0"/>
            <w:vAlign w:val="top"/>
          </w:tcPr>
          <w:p w14:paraId="0358CE02">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417" w:type="dxa"/>
            <w:noWrap w:val="0"/>
            <w:vAlign w:val="top"/>
          </w:tcPr>
          <w:p w14:paraId="09930F12">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276" w:type="dxa"/>
            <w:noWrap w:val="0"/>
            <w:vAlign w:val="top"/>
          </w:tcPr>
          <w:p w14:paraId="64692425">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1559" w:type="dxa"/>
            <w:noWrap w:val="0"/>
            <w:vAlign w:val="top"/>
          </w:tcPr>
          <w:p w14:paraId="7DDD1520">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c>
          <w:tcPr>
            <w:tcW w:w="850" w:type="dxa"/>
            <w:noWrap w:val="0"/>
            <w:vAlign w:val="top"/>
          </w:tcPr>
          <w:p w14:paraId="09C32550">
            <w:pPr>
              <w:spacing w:line="440" w:lineRule="exact"/>
              <w:jc w:val="center"/>
              <w:rPr>
                <w:rFonts w:hint="eastAsia" w:asciiTheme="minorEastAsia" w:hAnsiTheme="minorEastAsia" w:eastAsiaTheme="minorEastAsia" w:cstheme="minorEastAsia"/>
                <w:color w:val="auto"/>
                <w:sz w:val="21"/>
                <w:szCs w:val="21"/>
                <w:highlight w:val="none"/>
                <w:lang w:val="en-US" w:eastAsia="zh-CN" w:bidi="ar-SA"/>
              </w:rPr>
            </w:pPr>
          </w:p>
        </w:tc>
      </w:tr>
    </w:tbl>
    <w:p w14:paraId="60F4C810">
      <w:pPr>
        <w:spacing w:line="360" w:lineRule="auto"/>
        <w:ind w:right="-449" w:rightChars="-214"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注：本表可扩展</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本表后附拟派往本项目设计团队成员身份证、</w:t>
      </w:r>
      <w:r>
        <w:rPr>
          <w:rFonts w:hint="eastAsia" w:asciiTheme="minorEastAsia" w:hAnsiTheme="minorEastAsia" w:eastAsiaTheme="minorEastAsia" w:cstheme="minorEastAsia"/>
          <w:color w:val="auto"/>
          <w:sz w:val="21"/>
          <w:szCs w:val="21"/>
          <w:highlight w:val="none"/>
          <w:lang w:val="en-US" w:eastAsia="zh-CN"/>
        </w:rPr>
        <w:t>毕业证、</w:t>
      </w:r>
      <w:r>
        <w:rPr>
          <w:rFonts w:hint="eastAsia" w:asciiTheme="minorEastAsia" w:hAnsiTheme="minorEastAsia" w:eastAsiaTheme="minorEastAsia" w:cstheme="minorEastAsia"/>
          <w:color w:val="auto"/>
          <w:sz w:val="21"/>
          <w:szCs w:val="21"/>
          <w:highlight w:val="none"/>
        </w:rPr>
        <w:t>职称证（若有）、上岗证（若有）、注册证书（若有）、执（职）业资格证书（若有）</w:t>
      </w:r>
      <w:r>
        <w:rPr>
          <w:rFonts w:hint="eastAsia" w:asciiTheme="minorEastAsia" w:hAnsiTheme="minorEastAsia" w:eastAsiaTheme="minorEastAsia" w:cstheme="minorEastAsia"/>
          <w:color w:val="auto"/>
          <w:sz w:val="21"/>
          <w:szCs w:val="21"/>
          <w:highlight w:val="none"/>
          <w:lang w:val="en-US" w:eastAsia="zh-CN"/>
        </w:rPr>
        <w:t>等</w:t>
      </w:r>
      <w:r>
        <w:rPr>
          <w:rFonts w:hint="eastAsia" w:asciiTheme="minorEastAsia" w:hAnsiTheme="minorEastAsia" w:eastAsiaTheme="minorEastAsia" w:cstheme="minorEastAsia"/>
          <w:color w:val="auto"/>
          <w:sz w:val="21"/>
          <w:szCs w:val="21"/>
          <w:highlight w:val="none"/>
        </w:rPr>
        <w:t>相关证件的原件扫描件。</w:t>
      </w:r>
    </w:p>
    <w:p w14:paraId="047CEFCD">
      <w:pPr>
        <w:spacing w:before="120" w:beforeLines="50"/>
        <w:rPr>
          <w:rFonts w:hint="eastAsia" w:asciiTheme="minorEastAsia" w:hAnsiTheme="minorEastAsia" w:eastAsiaTheme="minorEastAsia" w:cstheme="minorEastAsia"/>
          <w:color w:val="auto"/>
          <w:sz w:val="21"/>
          <w:szCs w:val="21"/>
          <w:highlight w:val="none"/>
        </w:rPr>
      </w:pPr>
    </w:p>
    <w:p w14:paraId="40815BC3">
      <w:pPr>
        <w:pageBreakBefore w:val="0"/>
        <w:kinsoku/>
        <w:wordWrap/>
        <w:overflowPunct/>
        <w:bidi w:val="0"/>
        <w:spacing w:line="360" w:lineRule="auto"/>
        <w:ind w:firstLine="2692" w:firstLineChars="1122"/>
        <w:jc w:val="both"/>
        <w:rPr>
          <w:rFonts w:hint="eastAsia" w:asciiTheme="minorEastAsia" w:hAnsiTheme="minorEastAsia" w:eastAsiaTheme="minorEastAsia" w:cstheme="minorEastAsia"/>
          <w:color w:val="auto"/>
          <w:position w:val="0"/>
          <w:sz w:val="24"/>
          <w:szCs w:val="24"/>
          <w:highlight w:val="none"/>
        </w:rPr>
      </w:pPr>
    </w:p>
    <w:p w14:paraId="5198812B">
      <w:pPr>
        <w:pStyle w:val="15"/>
        <w:rPr>
          <w:rFonts w:hint="eastAsia" w:asciiTheme="minorEastAsia" w:hAnsiTheme="minorEastAsia" w:eastAsiaTheme="minorEastAsia" w:cstheme="minorEastAsia"/>
          <w:color w:val="auto"/>
          <w:sz w:val="21"/>
          <w:szCs w:val="21"/>
          <w:highlight w:val="none"/>
        </w:rPr>
      </w:pPr>
    </w:p>
    <w:p w14:paraId="574C71B9">
      <w:pPr>
        <w:rPr>
          <w:rFonts w:hint="eastAsia" w:asciiTheme="minorEastAsia" w:hAnsiTheme="minorEastAsia" w:eastAsiaTheme="minorEastAsia" w:cstheme="minorEastAsia"/>
          <w:color w:val="auto"/>
          <w:sz w:val="21"/>
          <w:szCs w:val="21"/>
          <w:highlight w:val="none"/>
        </w:rPr>
      </w:pPr>
    </w:p>
    <w:p w14:paraId="628D184A">
      <w:pPr>
        <w:rPr>
          <w:rFonts w:hint="eastAsia" w:asciiTheme="minorEastAsia" w:hAnsiTheme="minorEastAsia" w:eastAsiaTheme="minorEastAsia" w:cstheme="minorEastAsia"/>
          <w:b w:val="0"/>
          <w:color w:val="auto"/>
          <w:sz w:val="30"/>
          <w:szCs w:val="30"/>
          <w:highlight w:val="none"/>
          <w:lang w:val="en-US" w:eastAsia="zh-CN"/>
        </w:rPr>
      </w:pPr>
      <w:bookmarkStart w:id="2781" w:name="_Toc440812290"/>
      <w:bookmarkStart w:id="2782" w:name="_Toc510337941"/>
      <w:bookmarkStart w:id="2783" w:name="_Toc34168825"/>
      <w:bookmarkStart w:id="2784" w:name="_Toc521754969"/>
      <w:r>
        <w:rPr>
          <w:rFonts w:hint="eastAsia" w:asciiTheme="minorEastAsia" w:hAnsiTheme="minorEastAsia" w:eastAsiaTheme="minorEastAsia" w:cstheme="minorEastAsia"/>
          <w:b w:val="0"/>
          <w:color w:val="auto"/>
          <w:sz w:val="30"/>
          <w:szCs w:val="30"/>
          <w:highlight w:val="none"/>
          <w:lang w:val="en-US" w:eastAsia="zh-CN"/>
        </w:rPr>
        <w:br w:type="page"/>
      </w:r>
    </w:p>
    <w:p w14:paraId="5FA2A909">
      <w:pPr>
        <w:pStyle w:val="4"/>
        <w:tabs>
          <w:tab w:val="left" w:pos="432"/>
          <w:tab w:val="left" w:pos="720"/>
        </w:tabs>
        <w:spacing w:before="240" w:after="240" w:line="360" w:lineRule="auto"/>
        <w:jc w:val="center"/>
        <w:rPr>
          <w:rFonts w:hint="eastAsia" w:asciiTheme="minorEastAsia" w:hAnsiTheme="minorEastAsia" w:eastAsiaTheme="minorEastAsia" w:cstheme="minorEastAsia"/>
          <w:b w:val="0"/>
          <w:color w:val="auto"/>
          <w:sz w:val="30"/>
          <w:szCs w:val="30"/>
          <w:highlight w:val="none"/>
          <w:lang w:val="en-US" w:eastAsia="zh-CN"/>
        </w:rPr>
      </w:pPr>
      <w:bookmarkStart w:id="2785" w:name="_Toc29226"/>
      <w:r>
        <w:rPr>
          <w:rFonts w:hint="eastAsia" w:asciiTheme="minorEastAsia" w:hAnsiTheme="minorEastAsia" w:eastAsiaTheme="minorEastAsia" w:cstheme="minorEastAsia"/>
          <w:b w:val="0"/>
          <w:color w:val="auto"/>
          <w:sz w:val="30"/>
          <w:szCs w:val="30"/>
          <w:highlight w:val="none"/>
          <w:lang w:val="en-US" w:eastAsia="zh-CN"/>
        </w:rPr>
        <w:t>（四）拟派往本项目施工项目管理机构</w:t>
      </w:r>
      <w:bookmarkEnd w:id="2781"/>
      <w:bookmarkEnd w:id="2782"/>
      <w:r>
        <w:rPr>
          <w:rFonts w:hint="eastAsia" w:asciiTheme="minorEastAsia" w:hAnsiTheme="minorEastAsia" w:eastAsiaTheme="minorEastAsia" w:cstheme="minorEastAsia"/>
          <w:b w:val="0"/>
          <w:color w:val="auto"/>
          <w:sz w:val="30"/>
          <w:szCs w:val="30"/>
          <w:highlight w:val="none"/>
          <w:lang w:val="en-US" w:eastAsia="zh-CN"/>
        </w:rPr>
        <w:t>配备情况表</w:t>
      </w:r>
      <w:bookmarkEnd w:id="2783"/>
      <w:bookmarkEnd w:id="2784"/>
      <w:bookmarkEnd w:id="2785"/>
    </w:p>
    <w:tbl>
      <w:tblPr>
        <w:tblStyle w:val="45"/>
        <w:tblW w:w="9898" w:type="dxa"/>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6"/>
        <w:gridCol w:w="970"/>
        <w:gridCol w:w="564"/>
        <w:gridCol w:w="1356"/>
        <w:gridCol w:w="699"/>
        <w:gridCol w:w="1308"/>
        <w:gridCol w:w="687"/>
        <w:gridCol w:w="1324"/>
        <w:gridCol w:w="1324"/>
      </w:tblGrid>
      <w:tr w14:paraId="365EE35D">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1666" w:type="dxa"/>
            <w:vAlign w:val="center"/>
          </w:tcPr>
          <w:p w14:paraId="01B975F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岗位</w:t>
            </w:r>
          </w:p>
        </w:tc>
        <w:tc>
          <w:tcPr>
            <w:tcW w:w="970" w:type="dxa"/>
            <w:vAlign w:val="center"/>
          </w:tcPr>
          <w:p w14:paraId="028DFE7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姓名</w:t>
            </w:r>
          </w:p>
        </w:tc>
        <w:tc>
          <w:tcPr>
            <w:tcW w:w="564" w:type="dxa"/>
            <w:vAlign w:val="center"/>
          </w:tcPr>
          <w:p w14:paraId="4CCCA31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性别</w:t>
            </w:r>
          </w:p>
        </w:tc>
        <w:tc>
          <w:tcPr>
            <w:tcW w:w="1356" w:type="dxa"/>
            <w:vAlign w:val="center"/>
          </w:tcPr>
          <w:p w14:paraId="7F66664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出生年月</w:t>
            </w:r>
          </w:p>
        </w:tc>
        <w:tc>
          <w:tcPr>
            <w:tcW w:w="699" w:type="dxa"/>
            <w:vAlign w:val="center"/>
          </w:tcPr>
          <w:p w14:paraId="6FB12877">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工作</w:t>
            </w:r>
          </w:p>
          <w:p w14:paraId="724256C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年限</w:t>
            </w:r>
          </w:p>
        </w:tc>
        <w:tc>
          <w:tcPr>
            <w:tcW w:w="1308" w:type="dxa"/>
            <w:vAlign w:val="center"/>
          </w:tcPr>
          <w:p w14:paraId="52974C9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lang w:val="en-US" w:eastAsia="zh-CN"/>
              </w:rPr>
              <w:t>专业及职称</w:t>
            </w:r>
          </w:p>
        </w:tc>
        <w:tc>
          <w:tcPr>
            <w:tcW w:w="687" w:type="dxa"/>
            <w:vAlign w:val="center"/>
          </w:tcPr>
          <w:p w14:paraId="1388FA4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学历</w:t>
            </w:r>
          </w:p>
        </w:tc>
        <w:tc>
          <w:tcPr>
            <w:tcW w:w="1324" w:type="dxa"/>
            <w:vAlign w:val="center"/>
          </w:tcPr>
          <w:p w14:paraId="5C17024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岗位证书编号（执/从业资格证编号）</w:t>
            </w:r>
          </w:p>
        </w:tc>
        <w:tc>
          <w:tcPr>
            <w:tcW w:w="1324" w:type="dxa"/>
            <w:vAlign w:val="center"/>
          </w:tcPr>
          <w:p w14:paraId="7D9E3C3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岗位要求</w:t>
            </w:r>
          </w:p>
        </w:tc>
      </w:tr>
      <w:tr w14:paraId="4060AD8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1DC2E1B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施工</w:t>
            </w:r>
            <w:r>
              <w:rPr>
                <w:rFonts w:hint="eastAsia" w:asciiTheme="minorEastAsia" w:hAnsiTheme="minorEastAsia" w:eastAsiaTheme="minorEastAsia" w:cstheme="minorEastAsia"/>
                <w:snapToGrid w:val="0"/>
                <w:color w:val="auto"/>
                <w:kern w:val="0"/>
                <w:position w:val="0"/>
                <w:szCs w:val="21"/>
                <w:highlight w:val="none"/>
                <w:lang w:val="en-US" w:eastAsia="zh-CN"/>
              </w:rPr>
              <w:t>项目</w:t>
            </w:r>
            <w:r>
              <w:rPr>
                <w:rFonts w:hint="eastAsia" w:asciiTheme="minorEastAsia" w:hAnsiTheme="minorEastAsia" w:eastAsiaTheme="minorEastAsia" w:cstheme="minorEastAsia"/>
                <w:snapToGrid w:val="0"/>
                <w:color w:val="auto"/>
                <w:kern w:val="0"/>
                <w:position w:val="0"/>
                <w:szCs w:val="21"/>
                <w:highlight w:val="none"/>
              </w:rPr>
              <w:t>负责人</w:t>
            </w:r>
          </w:p>
        </w:tc>
        <w:tc>
          <w:tcPr>
            <w:tcW w:w="970" w:type="dxa"/>
            <w:vAlign w:val="center"/>
          </w:tcPr>
          <w:p w14:paraId="585FAE3F">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665510E5">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0E26648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6B29569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078D074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2546CD2F">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7831E747">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091C927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2589018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2DB49EE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32DAE2D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lang w:val="en-US" w:eastAsia="zh-CN"/>
              </w:rPr>
              <w:t>施工</w:t>
            </w:r>
            <w:r>
              <w:rPr>
                <w:rFonts w:hint="eastAsia" w:asciiTheme="minorEastAsia" w:hAnsiTheme="minorEastAsia" w:eastAsiaTheme="minorEastAsia" w:cstheme="minorEastAsia"/>
                <w:snapToGrid w:val="0"/>
                <w:color w:val="auto"/>
                <w:kern w:val="0"/>
                <w:position w:val="0"/>
                <w:szCs w:val="21"/>
                <w:highlight w:val="none"/>
              </w:rPr>
              <w:t>技术负责人</w:t>
            </w:r>
          </w:p>
        </w:tc>
        <w:tc>
          <w:tcPr>
            <w:tcW w:w="970" w:type="dxa"/>
            <w:vAlign w:val="center"/>
          </w:tcPr>
          <w:p w14:paraId="35C2693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3BC05E9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7548C34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7FFFD52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090D13E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28A9217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00288E3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6B725F9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07358F17">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07FC6165">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5DAA3B6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安全员</w:t>
            </w:r>
          </w:p>
        </w:tc>
        <w:tc>
          <w:tcPr>
            <w:tcW w:w="970" w:type="dxa"/>
            <w:vAlign w:val="center"/>
          </w:tcPr>
          <w:p w14:paraId="3A57EAE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05A7181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2BA918C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32EADC1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6BE214B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6DF5298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6B18965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3231AB7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0DC3E0A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42FAFACE">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310566B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w:t>
            </w:r>
          </w:p>
        </w:tc>
        <w:tc>
          <w:tcPr>
            <w:tcW w:w="970" w:type="dxa"/>
            <w:vAlign w:val="center"/>
          </w:tcPr>
          <w:p w14:paraId="7D11C3A8">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37CBDB0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34D53785">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532F96B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52B8F2D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226C7238">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4BAE473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3041DC8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2FD3B095">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47B508D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442F9B1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970" w:type="dxa"/>
            <w:vAlign w:val="center"/>
          </w:tcPr>
          <w:p w14:paraId="5C0196A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061641A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5771969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776CCCB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75B4577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6528F33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3BB4606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448C987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4155AD3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284F15F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518AF6E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970" w:type="dxa"/>
            <w:vAlign w:val="center"/>
          </w:tcPr>
          <w:p w14:paraId="622268B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09BF91E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35FFE2C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3C5AA02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43B7C33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7410478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6218F51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3AE4365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4A6322E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52B2D0A8">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54EE97A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Cs w:val="21"/>
                <w:highlight w:val="none"/>
              </w:rPr>
            </w:pPr>
          </w:p>
        </w:tc>
        <w:tc>
          <w:tcPr>
            <w:tcW w:w="970" w:type="dxa"/>
            <w:vAlign w:val="center"/>
          </w:tcPr>
          <w:p w14:paraId="0B031FA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40C064B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6698B5A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2B72B3E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09C5AFA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6994E47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53E89B9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1E6532E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31076437">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5C36A97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62CFF64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Cs w:val="21"/>
                <w:highlight w:val="none"/>
              </w:rPr>
            </w:pPr>
          </w:p>
        </w:tc>
        <w:tc>
          <w:tcPr>
            <w:tcW w:w="970" w:type="dxa"/>
            <w:vAlign w:val="center"/>
          </w:tcPr>
          <w:p w14:paraId="3E51B50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08A7A97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6E9444D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1CB5C581">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46EA2AF7">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62F80A88">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0E9FEA10">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42743AB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58E5FB3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4C60E59D">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0E50810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Cs w:val="21"/>
                <w:highlight w:val="none"/>
              </w:rPr>
            </w:pPr>
          </w:p>
        </w:tc>
        <w:tc>
          <w:tcPr>
            <w:tcW w:w="970" w:type="dxa"/>
            <w:vAlign w:val="center"/>
          </w:tcPr>
          <w:p w14:paraId="4723F01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3A03633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76243D09">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77CD4D4F">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3DD8D97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6A6E9BF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06D2712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3271283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1E005DB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r w14:paraId="27B08847">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666" w:type="dxa"/>
            <w:vAlign w:val="center"/>
          </w:tcPr>
          <w:p w14:paraId="68582D3E">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position w:val="0"/>
                <w:szCs w:val="21"/>
                <w:highlight w:val="none"/>
              </w:rPr>
            </w:pPr>
          </w:p>
        </w:tc>
        <w:tc>
          <w:tcPr>
            <w:tcW w:w="970" w:type="dxa"/>
            <w:vAlign w:val="center"/>
          </w:tcPr>
          <w:p w14:paraId="466465D4">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564" w:type="dxa"/>
            <w:vAlign w:val="center"/>
          </w:tcPr>
          <w:p w14:paraId="7FFD327B">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56" w:type="dxa"/>
            <w:vAlign w:val="center"/>
          </w:tcPr>
          <w:p w14:paraId="1F7D738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99" w:type="dxa"/>
            <w:vAlign w:val="center"/>
          </w:tcPr>
          <w:p w14:paraId="4954FACC">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08" w:type="dxa"/>
            <w:vAlign w:val="center"/>
          </w:tcPr>
          <w:p w14:paraId="50AAC703">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687" w:type="dxa"/>
            <w:vAlign w:val="center"/>
          </w:tcPr>
          <w:p w14:paraId="05942E4A">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69754646">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p>
        </w:tc>
        <w:tc>
          <w:tcPr>
            <w:tcW w:w="1324" w:type="dxa"/>
            <w:vAlign w:val="center"/>
          </w:tcPr>
          <w:p w14:paraId="41160EFD">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专职：□</w:t>
            </w:r>
          </w:p>
          <w:p w14:paraId="2894F242">
            <w:pPr>
              <w:pageBreakBefore w:val="0"/>
              <w:kinsoku/>
              <w:wordWrap/>
              <w:overflowPunct/>
              <w:topLinePunct/>
              <w:bidi w:val="0"/>
              <w:spacing w:line="360" w:lineRule="auto"/>
              <w:jc w:val="center"/>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兼职：□</w:t>
            </w:r>
          </w:p>
        </w:tc>
      </w:tr>
    </w:tbl>
    <w:p w14:paraId="66B9CD29">
      <w:pPr>
        <w:pageBreakBefore w:val="0"/>
        <w:kinsoku/>
        <w:wordWrap/>
        <w:overflowPunct/>
        <w:topLinePunct/>
        <w:bidi w:val="0"/>
        <w:spacing w:line="360" w:lineRule="auto"/>
        <w:jc w:val="left"/>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注：1.此表应满足招标文件拟派施工人员要求；</w:t>
      </w:r>
    </w:p>
    <w:p w14:paraId="103D0BDF">
      <w:pPr>
        <w:pageBreakBefore w:val="0"/>
        <w:kinsoku/>
        <w:wordWrap/>
        <w:overflowPunct/>
        <w:topLinePunct/>
        <w:bidi w:val="0"/>
        <w:spacing w:line="360" w:lineRule="auto"/>
        <w:ind w:firstLine="420" w:firstLineChars="200"/>
        <w:jc w:val="left"/>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position w:val="0"/>
          <w:szCs w:val="21"/>
          <w:highlight w:val="none"/>
        </w:rPr>
        <w:t>2.表中“岗位要求”栏专职、兼职由投标人在“□”内打“√”。</w:t>
      </w:r>
    </w:p>
    <w:p w14:paraId="64CA8192">
      <w:pPr>
        <w:pageBreakBefore w:val="0"/>
        <w:kinsoku/>
        <w:wordWrap/>
        <w:overflowPunct/>
        <w:bidi w:val="0"/>
        <w:spacing w:line="360" w:lineRule="auto"/>
        <w:ind w:firstLine="420"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snapToGrid w:val="0"/>
          <w:color w:val="auto"/>
          <w:kern w:val="0"/>
          <w:position w:val="0"/>
          <w:szCs w:val="21"/>
          <w:highlight w:val="none"/>
        </w:rPr>
        <w:t>3.投标人须在投标文件中附施工</w:t>
      </w:r>
      <w:r>
        <w:rPr>
          <w:rFonts w:hint="eastAsia" w:asciiTheme="minorEastAsia" w:hAnsiTheme="minorEastAsia" w:eastAsiaTheme="minorEastAsia" w:cstheme="minorEastAsia"/>
          <w:snapToGrid w:val="0"/>
          <w:color w:val="auto"/>
          <w:kern w:val="0"/>
          <w:position w:val="0"/>
          <w:szCs w:val="21"/>
          <w:highlight w:val="none"/>
          <w:lang w:val="en-US" w:eastAsia="zh-CN"/>
        </w:rPr>
        <w:t>项目</w:t>
      </w:r>
      <w:r>
        <w:rPr>
          <w:rFonts w:hint="eastAsia" w:asciiTheme="minorEastAsia" w:hAnsiTheme="minorEastAsia" w:eastAsiaTheme="minorEastAsia" w:cstheme="minorEastAsia"/>
          <w:snapToGrid w:val="0"/>
          <w:color w:val="auto"/>
          <w:kern w:val="0"/>
          <w:position w:val="0"/>
          <w:szCs w:val="21"/>
          <w:highlight w:val="none"/>
        </w:rPr>
        <w:t>负责人建造师执业资格证书、注册证书、安全生产考核合格证书、身份证、职称证</w:t>
      </w:r>
      <w:r>
        <w:rPr>
          <w:rFonts w:hint="eastAsia" w:asciiTheme="minorEastAsia" w:hAnsiTheme="minorEastAsia" w:eastAsiaTheme="minorEastAsia" w:cstheme="minorEastAsia"/>
          <w:snapToGrid w:val="0"/>
          <w:color w:val="auto"/>
          <w:kern w:val="0"/>
          <w:position w:val="0"/>
          <w:szCs w:val="21"/>
          <w:highlight w:val="none"/>
          <w:lang w:eastAsia="zh-CN"/>
        </w:rPr>
        <w:t>（</w:t>
      </w:r>
      <w:r>
        <w:rPr>
          <w:rFonts w:hint="eastAsia" w:asciiTheme="minorEastAsia" w:hAnsiTheme="minorEastAsia" w:eastAsiaTheme="minorEastAsia" w:cstheme="minorEastAsia"/>
          <w:snapToGrid w:val="0"/>
          <w:color w:val="auto"/>
          <w:kern w:val="0"/>
          <w:position w:val="0"/>
          <w:szCs w:val="21"/>
          <w:highlight w:val="none"/>
          <w:lang w:val="en-US" w:eastAsia="zh-CN"/>
        </w:rPr>
        <w:t>如有</w:t>
      </w:r>
      <w:r>
        <w:rPr>
          <w:rFonts w:hint="eastAsia" w:asciiTheme="minorEastAsia" w:hAnsiTheme="minorEastAsia" w:eastAsiaTheme="minorEastAsia" w:cstheme="minorEastAsia"/>
          <w:snapToGrid w:val="0"/>
          <w:color w:val="auto"/>
          <w:kern w:val="0"/>
          <w:position w:val="0"/>
          <w:szCs w:val="21"/>
          <w:highlight w:val="none"/>
          <w:lang w:eastAsia="zh-CN"/>
        </w:rPr>
        <w:t>）</w:t>
      </w:r>
      <w:r>
        <w:rPr>
          <w:rFonts w:hint="eastAsia" w:asciiTheme="minorEastAsia" w:hAnsiTheme="minorEastAsia" w:eastAsiaTheme="minorEastAsia" w:cstheme="minorEastAsia"/>
          <w:snapToGrid w:val="0"/>
          <w:color w:val="auto"/>
          <w:kern w:val="0"/>
          <w:position w:val="0"/>
          <w:szCs w:val="21"/>
          <w:highlight w:val="none"/>
        </w:rPr>
        <w:t>、学历证</w:t>
      </w:r>
      <w:r>
        <w:rPr>
          <w:rFonts w:hint="eastAsia" w:asciiTheme="minorEastAsia" w:hAnsiTheme="minorEastAsia" w:eastAsiaTheme="minorEastAsia" w:cstheme="minorEastAsia"/>
          <w:snapToGrid w:val="0"/>
          <w:color w:val="auto"/>
          <w:kern w:val="0"/>
          <w:position w:val="0"/>
          <w:szCs w:val="21"/>
          <w:highlight w:val="none"/>
          <w:lang w:eastAsia="zh-CN"/>
        </w:rPr>
        <w:t>（</w:t>
      </w:r>
      <w:r>
        <w:rPr>
          <w:rFonts w:hint="eastAsia" w:asciiTheme="minorEastAsia" w:hAnsiTheme="minorEastAsia" w:eastAsiaTheme="minorEastAsia" w:cstheme="minorEastAsia"/>
          <w:snapToGrid w:val="0"/>
          <w:color w:val="auto"/>
          <w:kern w:val="0"/>
          <w:position w:val="0"/>
          <w:szCs w:val="21"/>
          <w:highlight w:val="none"/>
          <w:lang w:val="en-US" w:eastAsia="zh-CN"/>
        </w:rPr>
        <w:t>如有）原件扫描件</w:t>
      </w:r>
      <w:r>
        <w:rPr>
          <w:rFonts w:hint="eastAsia" w:asciiTheme="minorEastAsia" w:hAnsiTheme="minorEastAsia" w:eastAsiaTheme="minorEastAsia" w:cstheme="minorEastAsia"/>
          <w:snapToGrid w:val="0"/>
          <w:color w:val="auto"/>
          <w:kern w:val="0"/>
          <w:position w:val="0"/>
          <w:szCs w:val="21"/>
          <w:highlight w:val="none"/>
        </w:rPr>
        <w:t>及</w:t>
      </w:r>
      <w:r>
        <w:rPr>
          <w:rFonts w:hint="eastAsia" w:asciiTheme="minorEastAsia" w:hAnsiTheme="minorEastAsia" w:eastAsiaTheme="minorEastAsia" w:cstheme="minorEastAsia"/>
          <w:snapToGrid w:val="0"/>
          <w:color w:val="auto"/>
          <w:kern w:val="0"/>
          <w:position w:val="0"/>
          <w:szCs w:val="21"/>
          <w:highlight w:val="none"/>
          <w:lang w:val="en-US" w:eastAsia="zh-CN"/>
        </w:rPr>
        <w:t>项目负责人</w:t>
      </w:r>
      <w:r>
        <w:rPr>
          <w:rFonts w:hint="eastAsia" w:asciiTheme="minorEastAsia" w:hAnsiTheme="minorEastAsia" w:eastAsiaTheme="minorEastAsia" w:cstheme="minorEastAsia"/>
          <w:snapToGrid w:val="0"/>
          <w:color w:val="auto"/>
          <w:kern w:val="0"/>
          <w:position w:val="0"/>
          <w:szCs w:val="21"/>
          <w:highlight w:val="none"/>
          <w:lang w:eastAsia="zh-CN"/>
        </w:rPr>
        <w:t>无在建承诺书</w:t>
      </w:r>
      <w:r>
        <w:rPr>
          <w:rFonts w:hint="eastAsia" w:asciiTheme="minorEastAsia" w:hAnsiTheme="minorEastAsia" w:eastAsiaTheme="minorEastAsia" w:cstheme="minorEastAsia"/>
          <w:snapToGrid w:val="0"/>
          <w:color w:val="auto"/>
          <w:kern w:val="0"/>
          <w:position w:val="0"/>
          <w:szCs w:val="21"/>
          <w:highlight w:val="none"/>
        </w:rPr>
        <w:t>；其他主要项目管理人员应附相应上岗证或资格证、身份证、</w:t>
      </w:r>
      <w:r>
        <w:rPr>
          <w:rFonts w:hint="eastAsia" w:asciiTheme="minorEastAsia" w:hAnsiTheme="minorEastAsia" w:eastAsiaTheme="minorEastAsia" w:cstheme="minorEastAsia"/>
          <w:snapToGrid w:val="0"/>
          <w:color w:val="auto"/>
          <w:kern w:val="0"/>
          <w:position w:val="0"/>
          <w:szCs w:val="21"/>
          <w:highlight w:val="none"/>
          <w:lang w:val="en-US" w:eastAsia="zh-CN"/>
        </w:rPr>
        <w:t>毕业证</w:t>
      </w:r>
      <w:r>
        <w:rPr>
          <w:rFonts w:hint="eastAsia" w:asciiTheme="minorEastAsia" w:hAnsiTheme="minorEastAsia" w:eastAsiaTheme="minorEastAsia" w:cstheme="minorEastAsia"/>
          <w:snapToGrid w:val="0"/>
          <w:color w:val="auto"/>
          <w:kern w:val="0"/>
          <w:position w:val="0"/>
          <w:szCs w:val="21"/>
          <w:highlight w:val="none"/>
          <w:lang w:eastAsia="zh-CN"/>
        </w:rPr>
        <w:t>（</w:t>
      </w:r>
      <w:r>
        <w:rPr>
          <w:rFonts w:hint="eastAsia" w:asciiTheme="minorEastAsia" w:hAnsiTheme="minorEastAsia" w:eastAsiaTheme="minorEastAsia" w:cstheme="minorEastAsia"/>
          <w:snapToGrid w:val="0"/>
          <w:color w:val="auto"/>
          <w:kern w:val="0"/>
          <w:position w:val="0"/>
          <w:szCs w:val="21"/>
          <w:highlight w:val="none"/>
          <w:lang w:val="en-US" w:eastAsia="zh-CN"/>
        </w:rPr>
        <w:t>如有</w:t>
      </w:r>
      <w:r>
        <w:rPr>
          <w:rFonts w:hint="eastAsia" w:asciiTheme="minorEastAsia" w:hAnsiTheme="minorEastAsia" w:eastAsiaTheme="minorEastAsia" w:cstheme="minorEastAsia"/>
          <w:snapToGrid w:val="0"/>
          <w:color w:val="auto"/>
          <w:kern w:val="0"/>
          <w:position w:val="0"/>
          <w:szCs w:val="21"/>
          <w:highlight w:val="none"/>
          <w:lang w:eastAsia="zh-CN"/>
        </w:rPr>
        <w:t>）</w:t>
      </w:r>
      <w:r>
        <w:rPr>
          <w:rFonts w:hint="eastAsia" w:asciiTheme="minorEastAsia" w:hAnsiTheme="minorEastAsia" w:eastAsiaTheme="minorEastAsia" w:cstheme="minorEastAsia"/>
          <w:snapToGrid w:val="0"/>
          <w:color w:val="auto"/>
          <w:kern w:val="0"/>
          <w:position w:val="0"/>
          <w:szCs w:val="21"/>
          <w:highlight w:val="none"/>
          <w:lang w:val="en-US" w:eastAsia="zh-CN"/>
        </w:rPr>
        <w:t>、</w:t>
      </w:r>
      <w:r>
        <w:rPr>
          <w:rFonts w:hint="eastAsia" w:asciiTheme="minorEastAsia" w:hAnsiTheme="minorEastAsia" w:eastAsiaTheme="minorEastAsia" w:cstheme="minorEastAsia"/>
          <w:snapToGrid w:val="0"/>
          <w:color w:val="auto"/>
          <w:kern w:val="0"/>
          <w:position w:val="0"/>
          <w:szCs w:val="21"/>
          <w:highlight w:val="none"/>
        </w:rPr>
        <w:t>职称证</w:t>
      </w:r>
      <w:r>
        <w:rPr>
          <w:rFonts w:hint="eastAsia" w:asciiTheme="minorEastAsia" w:hAnsiTheme="minorEastAsia" w:eastAsiaTheme="minorEastAsia" w:cstheme="minorEastAsia"/>
          <w:snapToGrid w:val="0"/>
          <w:color w:val="auto"/>
          <w:kern w:val="0"/>
          <w:position w:val="0"/>
          <w:szCs w:val="21"/>
          <w:highlight w:val="none"/>
          <w:lang w:eastAsia="zh-CN"/>
        </w:rPr>
        <w:t>（</w:t>
      </w:r>
      <w:r>
        <w:rPr>
          <w:rFonts w:hint="eastAsia" w:asciiTheme="minorEastAsia" w:hAnsiTheme="minorEastAsia" w:eastAsiaTheme="minorEastAsia" w:cstheme="minorEastAsia"/>
          <w:snapToGrid w:val="0"/>
          <w:color w:val="auto"/>
          <w:kern w:val="0"/>
          <w:position w:val="0"/>
          <w:szCs w:val="21"/>
          <w:highlight w:val="none"/>
          <w:lang w:val="en-US" w:eastAsia="zh-CN"/>
        </w:rPr>
        <w:t>如有</w:t>
      </w:r>
      <w:r>
        <w:rPr>
          <w:rFonts w:hint="eastAsia" w:asciiTheme="minorEastAsia" w:hAnsiTheme="minorEastAsia" w:eastAsiaTheme="minorEastAsia" w:cstheme="minorEastAsia"/>
          <w:snapToGrid w:val="0"/>
          <w:color w:val="auto"/>
          <w:kern w:val="0"/>
          <w:position w:val="0"/>
          <w:szCs w:val="21"/>
          <w:highlight w:val="none"/>
          <w:lang w:eastAsia="zh-CN"/>
        </w:rPr>
        <w:t>）</w:t>
      </w:r>
      <w:r>
        <w:rPr>
          <w:rFonts w:hint="eastAsia" w:asciiTheme="minorEastAsia" w:hAnsiTheme="minorEastAsia" w:eastAsiaTheme="minorEastAsia" w:cstheme="minorEastAsia"/>
          <w:snapToGrid w:val="0"/>
          <w:color w:val="auto"/>
          <w:kern w:val="0"/>
          <w:position w:val="0"/>
          <w:szCs w:val="21"/>
          <w:highlight w:val="none"/>
        </w:rPr>
        <w:t>等材料</w:t>
      </w:r>
      <w:r>
        <w:rPr>
          <w:rFonts w:hint="eastAsia" w:asciiTheme="minorEastAsia" w:hAnsiTheme="minorEastAsia" w:eastAsiaTheme="minorEastAsia" w:cstheme="minorEastAsia"/>
          <w:snapToGrid w:val="0"/>
          <w:color w:val="auto"/>
          <w:kern w:val="0"/>
          <w:position w:val="0"/>
          <w:szCs w:val="21"/>
          <w:highlight w:val="none"/>
          <w:lang w:val="en-US" w:eastAsia="zh-CN"/>
        </w:rPr>
        <w:t>原件扫描件</w:t>
      </w:r>
      <w:r>
        <w:rPr>
          <w:rFonts w:hint="eastAsia" w:asciiTheme="minorEastAsia" w:hAnsiTheme="minorEastAsia" w:eastAsiaTheme="minorEastAsia" w:cstheme="minorEastAsia"/>
          <w:snapToGrid w:val="0"/>
          <w:color w:val="auto"/>
          <w:kern w:val="0"/>
          <w:position w:val="0"/>
          <w:szCs w:val="21"/>
          <w:highlight w:val="none"/>
        </w:rPr>
        <w:t>。</w:t>
      </w:r>
    </w:p>
    <w:p w14:paraId="057A23DC">
      <w:pPr>
        <w:rPr>
          <w:rFonts w:hint="eastAsia" w:asciiTheme="minorEastAsia" w:hAnsiTheme="minorEastAsia" w:eastAsiaTheme="minorEastAsia" w:cstheme="minorEastAsia"/>
          <w:b w:val="0"/>
          <w:color w:val="auto"/>
          <w:sz w:val="28"/>
          <w:szCs w:val="28"/>
          <w:highlight w:val="none"/>
        </w:rPr>
      </w:pPr>
    </w:p>
    <w:p w14:paraId="1F9D4215">
      <w:pPr>
        <w:pStyle w:val="4"/>
        <w:pageBreakBefore w:val="0"/>
        <w:widowControl/>
        <w:kinsoku/>
        <w:wordWrap/>
        <w:overflowPunct/>
        <w:bidi w:val="0"/>
        <w:spacing w:line="360" w:lineRule="auto"/>
        <w:jc w:val="center"/>
        <w:rPr>
          <w:rFonts w:hint="eastAsia" w:asciiTheme="minorEastAsia" w:hAnsiTheme="minorEastAsia" w:eastAsiaTheme="minorEastAsia" w:cstheme="minorEastAsia"/>
          <w:b w:val="0"/>
          <w:color w:val="auto"/>
          <w:sz w:val="28"/>
          <w:szCs w:val="28"/>
          <w:highlight w:val="none"/>
        </w:rPr>
      </w:pPr>
      <w:bookmarkStart w:id="2786" w:name="_Toc26135"/>
      <w:bookmarkStart w:id="2787" w:name="_Toc20612"/>
      <w:bookmarkStart w:id="2788" w:name="_Toc27519"/>
      <w:r>
        <w:rPr>
          <w:rFonts w:hint="eastAsia" w:asciiTheme="minorEastAsia" w:hAnsiTheme="minorEastAsia" w:eastAsiaTheme="minorEastAsia" w:cstheme="minorEastAsia"/>
          <w:b w:val="0"/>
          <w:color w:val="auto"/>
          <w:sz w:val="28"/>
          <w:szCs w:val="28"/>
          <w:highlight w:val="none"/>
        </w:rPr>
        <w:t>（</w:t>
      </w:r>
      <w:r>
        <w:rPr>
          <w:rFonts w:hint="eastAsia" w:asciiTheme="minorEastAsia" w:hAnsiTheme="minorEastAsia" w:eastAsiaTheme="minorEastAsia" w:cstheme="minorEastAsia"/>
          <w:b w:val="0"/>
          <w:color w:val="auto"/>
          <w:sz w:val="28"/>
          <w:szCs w:val="28"/>
          <w:highlight w:val="none"/>
          <w:lang w:val="en-US" w:eastAsia="zh-CN"/>
        </w:rPr>
        <w:t>五</w:t>
      </w:r>
      <w:r>
        <w:rPr>
          <w:rFonts w:hint="eastAsia" w:asciiTheme="minorEastAsia" w:hAnsiTheme="minorEastAsia" w:eastAsiaTheme="minorEastAsia" w:cstheme="minorEastAsia"/>
          <w:b w:val="0"/>
          <w:color w:val="auto"/>
          <w:sz w:val="28"/>
          <w:szCs w:val="28"/>
          <w:highlight w:val="none"/>
        </w:rPr>
        <w:t>）投标人的信誉情况</w:t>
      </w:r>
      <w:bookmarkEnd w:id="2780"/>
      <w:bookmarkEnd w:id="2786"/>
      <w:bookmarkEnd w:id="2787"/>
      <w:bookmarkEnd w:id="2788"/>
    </w:p>
    <w:p w14:paraId="62B12615">
      <w:pPr>
        <w:pageBreakBefore w:val="0"/>
        <w:tabs>
          <w:tab w:val="center" w:pos="4680"/>
          <w:tab w:val="left" w:pos="5275"/>
          <w:tab w:val="left" w:pos="7590"/>
          <w:tab w:val="right" w:pos="9360"/>
        </w:tabs>
        <w:kinsoku/>
        <w:wordWrap/>
        <w:overflowPunct/>
        <w:bidi w:val="0"/>
        <w:spacing w:line="360" w:lineRule="auto"/>
        <w:ind w:left="911" w:leftChars="134" w:hanging="630" w:hangingChars="30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根据招标文件要求提供相关资料，格式自拟。</w:t>
      </w:r>
      <w:r>
        <w:rPr>
          <w:rFonts w:hint="eastAsia" w:asciiTheme="minorEastAsia" w:hAnsiTheme="minorEastAsia" w:eastAsiaTheme="minorEastAsia" w:cstheme="minorEastAsia"/>
          <w:b w:val="0"/>
          <w:bCs/>
          <w:color w:val="auto"/>
          <w:highlight w:val="none"/>
          <w:lang w:val="en-US" w:eastAsia="zh-CN"/>
        </w:rPr>
        <w:t>若为联合体投标的，</w:t>
      </w:r>
      <w:r>
        <w:rPr>
          <w:rFonts w:hint="eastAsia" w:asciiTheme="minorEastAsia" w:hAnsiTheme="minorEastAsia" w:eastAsiaTheme="minorEastAsia" w:cstheme="minorEastAsia"/>
          <w:b w:val="0"/>
          <w:bCs/>
          <w:color w:val="auto"/>
          <w:szCs w:val="21"/>
          <w:highlight w:val="none"/>
        </w:rPr>
        <w:t>联合体</w:t>
      </w:r>
      <w:r>
        <w:rPr>
          <w:rFonts w:hint="eastAsia" w:asciiTheme="minorEastAsia" w:hAnsiTheme="minorEastAsia" w:eastAsiaTheme="minorEastAsia" w:cstheme="minorEastAsia"/>
          <w:b w:val="0"/>
          <w:bCs/>
          <w:color w:val="auto"/>
          <w:szCs w:val="21"/>
          <w:highlight w:val="none"/>
          <w:lang w:val="en-US" w:eastAsia="zh-CN"/>
        </w:rPr>
        <w:t>双方均须</w:t>
      </w:r>
      <w:r>
        <w:rPr>
          <w:rFonts w:hint="eastAsia" w:asciiTheme="minorEastAsia" w:hAnsiTheme="minorEastAsia" w:eastAsiaTheme="minorEastAsia" w:cstheme="minorEastAsia"/>
          <w:b w:val="0"/>
          <w:bCs/>
          <w:color w:val="auto"/>
          <w:szCs w:val="21"/>
          <w:highlight w:val="none"/>
        </w:rPr>
        <w:t>提供。</w:t>
      </w:r>
      <w:r>
        <w:rPr>
          <w:rFonts w:hint="eastAsia" w:asciiTheme="minorEastAsia" w:hAnsiTheme="minorEastAsia" w:eastAsiaTheme="minorEastAsia" w:cstheme="minorEastAsia"/>
          <w:color w:val="auto"/>
          <w:szCs w:val="21"/>
          <w:highlight w:val="none"/>
        </w:rPr>
        <w:br w:type="page"/>
      </w:r>
    </w:p>
    <w:bookmarkEnd w:id="2767"/>
    <w:p w14:paraId="43E4E186">
      <w:pPr>
        <w:pStyle w:val="3"/>
        <w:pageBreakBefore w:val="0"/>
        <w:kinsoku/>
        <w:wordWrap/>
        <w:overflowPunct/>
        <w:bidi w:val="0"/>
        <w:spacing w:line="360" w:lineRule="auto"/>
        <w:jc w:val="left"/>
        <w:rPr>
          <w:rFonts w:hint="eastAsia" w:asciiTheme="minorEastAsia" w:hAnsiTheme="minorEastAsia" w:eastAsiaTheme="minorEastAsia" w:cstheme="minorEastAsia"/>
          <w:color w:val="auto"/>
          <w:sz w:val="28"/>
          <w:szCs w:val="22"/>
          <w:highlight w:val="none"/>
        </w:rPr>
      </w:pPr>
      <w:r>
        <w:rPr>
          <w:rFonts w:hint="eastAsia" w:asciiTheme="minorEastAsia" w:hAnsiTheme="minorEastAsia" w:eastAsiaTheme="minorEastAsia" w:cstheme="minorEastAsia"/>
          <w:color w:val="auto"/>
          <w:sz w:val="28"/>
          <w:szCs w:val="22"/>
          <w:highlight w:val="none"/>
          <w:lang w:val="en-US" w:eastAsia="zh-CN"/>
        </w:rPr>
        <w:t>六、</w:t>
      </w:r>
      <w:bookmarkEnd w:id="2768"/>
      <w:r>
        <w:rPr>
          <w:rFonts w:hint="eastAsia" w:asciiTheme="minorEastAsia" w:hAnsiTheme="minorEastAsia" w:eastAsiaTheme="minorEastAsia" w:cstheme="minorEastAsia"/>
          <w:color w:val="auto"/>
          <w:sz w:val="28"/>
          <w:szCs w:val="22"/>
          <w:highlight w:val="none"/>
          <w:lang w:val="en-US" w:eastAsia="zh-CN"/>
        </w:rPr>
        <w:t>技术部分</w:t>
      </w:r>
    </w:p>
    <w:bookmarkEnd w:id="2702"/>
    <w:bookmarkEnd w:id="2703"/>
    <w:bookmarkEnd w:id="2704"/>
    <w:p w14:paraId="3337F471">
      <w:pPr>
        <w:pStyle w:val="4"/>
        <w:tabs>
          <w:tab w:val="left" w:pos="432"/>
          <w:tab w:val="left" w:pos="720"/>
        </w:tabs>
        <w:spacing w:before="240" w:after="240" w:line="360" w:lineRule="auto"/>
        <w:jc w:val="center"/>
        <w:rPr>
          <w:rFonts w:hint="eastAsia" w:asciiTheme="minorEastAsia" w:hAnsiTheme="minorEastAsia" w:eastAsiaTheme="minorEastAsia" w:cstheme="minorEastAsia"/>
          <w:b w:val="0"/>
          <w:color w:val="auto"/>
          <w:sz w:val="30"/>
          <w:szCs w:val="30"/>
          <w:highlight w:val="none"/>
          <w:lang w:val="en-US" w:eastAsia="zh-CN"/>
        </w:rPr>
      </w:pPr>
      <w:r>
        <w:rPr>
          <w:rFonts w:hint="eastAsia" w:asciiTheme="minorEastAsia" w:hAnsiTheme="minorEastAsia" w:eastAsiaTheme="minorEastAsia" w:cstheme="minorEastAsia"/>
          <w:b w:val="0"/>
          <w:color w:val="auto"/>
          <w:sz w:val="30"/>
          <w:szCs w:val="30"/>
          <w:highlight w:val="none"/>
          <w:lang w:val="en-US" w:eastAsia="zh-CN"/>
        </w:rPr>
        <w:t>（一）设计技术部分</w:t>
      </w:r>
    </w:p>
    <w:p w14:paraId="79E61B2A">
      <w:pPr>
        <w:pageBreakBefore w:val="0"/>
        <w:kinsoku/>
        <w:wordWrap/>
        <w:overflowPunct/>
        <w:topLinePunct/>
        <w:bidi w:val="0"/>
        <w:spacing w:line="360" w:lineRule="auto"/>
        <w:jc w:val="both"/>
        <w:rPr>
          <w:rFonts w:hint="eastAsia" w:asciiTheme="minorEastAsia" w:hAnsiTheme="minorEastAsia" w:eastAsiaTheme="minorEastAsia" w:cstheme="minorEastAsia"/>
          <w:bCs/>
          <w:snapToGrid w:val="0"/>
          <w:color w:val="auto"/>
          <w:kern w:val="0"/>
          <w:position w:val="0"/>
          <w:szCs w:val="21"/>
          <w:highlight w:val="none"/>
          <w:lang w:val="en-US" w:eastAsia="zh-CN"/>
        </w:rPr>
      </w:pPr>
      <w:r>
        <w:rPr>
          <w:rFonts w:hint="eastAsia" w:asciiTheme="minorEastAsia" w:hAnsiTheme="minorEastAsia" w:eastAsiaTheme="minorEastAsia" w:cstheme="minorEastAsia"/>
          <w:bCs/>
          <w:snapToGrid w:val="0"/>
          <w:color w:val="auto"/>
          <w:kern w:val="0"/>
          <w:position w:val="0"/>
          <w:szCs w:val="21"/>
          <w:highlight w:val="none"/>
          <w:lang w:val="en-US" w:eastAsia="zh-CN"/>
        </w:rPr>
        <w:t>包含但不限于以下内容（格式自拟）：</w:t>
      </w:r>
    </w:p>
    <w:p w14:paraId="780C242D">
      <w:pPr>
        <w:pageBreakBefore w:val="0"/>
        <w:kinsoku/>
        <w:wordWrap/>
        <w:overflowPunct/>
        <w:topLinePunct/>
        <w:bidi w:val="0"/>
        <w:spacing w:line="360" w:lineRule="auto"/>
        <w:jc w:val="both"/>
        <w:rPr>
          <w:rFonts w:hint="eastAsia" w:asciiTheme="minorEastAsia" w:hAnsiTheme="minorEastAsia" w:eastAsiaTheme="minorEastAsia" w:cstheme="minorEastAsia"/>
          <w:snapToGrid w:val="0"/>
          <w:color w:val="auto"/>
          <w:kern w:val="0"/>
          <w:position w:val="0"/>
          <w:szCs w:val="21"/>
          <w:highlight w:val="none"/>
          <w:lang w:val="en-US" w:eastAsia="zh-CN"/>
        </w:rPr>
      </w:pPr>
      <w:r>
        <w:rPr>
          <w:rFonts w:hint="eastAsia" w:asciiTheme="minorEastAsia" w:hAnsiTheme="minorEastAsia" w:eastAsiaTheme="minorEastAsia" w:cstheme="minorEastAsia"/>
          <w:bCs/>
          <w:snapToGrid w:val="0"/>
          <w:color w:val="auto"/>
          <w:kern w:val="0"/>
          <w:position w:val="0"/>
          <w:szCs w:val="21"/>
          <w:highlight w:val="none"/>
          <w:lang w:val="en-US" w:eastAsia="zh-CN"/>
        </w:rPr>
        <w:t>1.</w:t>
      </w:r>
      <w:r>
        <w:rPr>
          <w:rFonts w:hint="eastAsia" w:asciiTheme="minorEastAsia" w:hAnsiTheme="minorEastAsia" w:eastAsiaTheme="minorEastAsia" w:cstheme="minorEastAsia"/>
          <w:snapToGrid w:val="0"/>
          <w:color w:val="auto"/>
          <w:kern w:val="0"/>
          <w:position w:val="0"/>
          <w:szCs w:val="21"/>
          <w:highlight w:val="none"/>
          <w:lang w:val="en-US" w:eastAsia="zh-CN"/>
        </w:rPr>
        <w:t>设计工作大纲（设计思路等）</w:t>
      </w:r>
    </w:p>
    <w:p w14:paraId="291F1663">
      <w:pPr>
        <w:pageBreakBefore w:val="0"/>
        <w:kinsoku/>
        <w:wordWrap/>
        <w:overflowPunct/>
        <w:topLinePunct/>
        <w:bidi w:val="0"/>
        <w:spacing w:line="360" w:lineRule="auto"/>
        <w:jc w:val="both"/>
        <w:rPr>
          <w:rFonts w:hint="eastAsia" w:asciiTheme="minorEastAsia" w:hAnsiTheme="minorEastAsia" w:eastAsiaTheme="minorEastAsia" w:cstheme="minorEastAsia"/>
          <w:bCs/>
          <w:snapToGrid w:val="0"/>
          <w:color w:val="auto"/>
          <w:kern w:val="0"/>
          <w:position w:val="0"/>
          <w:szCs w:val="21"/>
          <w:highlight w:val="none"/>
          <w:lang w:val="en-US" w:eastAsia="zh-CN"/>
        </w:rPr>
      </w:pPr>
      <w:r>
        <w:rPr>
          <w:rFonts w:hint="eastAsia" w:asciiTheme="minorEastAsia" w:hAnsiTheme="minorEastAsia" w:eastAsiaTheme="minorEastAsia" w:cstheme="minorEastAsia"/>
          <w:bCs/>
          <w:snapToGrid w:val="0"/>
          <w:color w:val="auto"/>
          <w:kern w:val="0"/>
          <w:position w:val="0"/>
          <w:szCs w:val="21"/>
          <w:highlight w:val="none"/>
          <w:lang w:val="en-US" w:eastAsia="zh-CN"/>
        </w:rPr>
        <w:t>2.对项目设计的特点及关键性技术问题的对策措施</w:t>
      </w:r>
    </w:p>
    <w:p w14:paraId="4F4C83E6">
      <w:pPr>
        <w:pageBreakBefore w:val="0"/>
        <w:kinsoku/>
        <w:wordWrap/>
        <w:overflowPunct/>
        <w:topLinePunct/>
        <w:bidi w:val="0"/>
        <w:spacing w:line="360" w:lineRule="auto"/>
        <w:jc w:val="both"/>
        <w:rPr>
          <w:rFonts w:hint="eastAsia" w:asciiTheme="minorEastAsia" w:hAnsiTheme="minorEastAsia" w:eastAsiaTheme="minorEastAsia" w:cstheme="minorEastAsia"/>
          <w:bCs/>
          <w:snapToGrid w:val="0"/>
          <w:color w:val="auto"/>
          <w:kern w:val="0"/>
          <w:position w:val="0"/>
          <w:szCs w:val="21"/>
          <w:highlight w:val="none"/>
        </w:rPr>
      </w:pPr>
      <w:r>
        <w:rPr>
          <w:rFonts w:hint="eastAsia" w:asciiTheme="minorEastAsia" w:hAnsiTheme="minorEastAsia" w:eastAsiaTheme="minorEastAsia" w:cstheme="minorEastAsia"/>
          <w:bCs/>
          <w:snapToGrid w:val="0"/>
          <w:color w:val="auto"/>
          <w:kern w:val="0"/>
          <w:position w:val="0"/>
          <w:szCs w:val="21"/>
          <w:highlight w:val="none"/>
          <w:lang w:val="en-US" w:eastAsia="zh-CN"/>
        </w:rPr>
        <w:t>3.</w:t>
      </w:r>
      <w:r>
        <w:rPr>
          <w:rFonts w:hint="eastAsia" w:asciiTheme="minorEastAsia" w:hAnsiTheme="minorEastAsia" w:eastAsiaTheme="minorEastAsia" w:cstheme="minorEastAsia"/>
          <w:bCs/>
          <w:snapToGrid w:val="0"/>
          <w:color w:val="auto"/>
          <w:kern w:val="0"/>
          <w:position w:val="0"/>
          <w:szCs w:val="21"/>
          <w:highlight w:val="none"/>
        </w:rPr>
        <w:t>设计周期进度计划及承诺</w:t>
      </w:r>
    </w:p>
    <w:p w14:paraId="145BFEEA">
      <w:pPr>
        <w:pageBreakBefore w:val="0"/>
        <w:kinsoku/>
        <w:wordWrap/>
        <w:overflowPunct/>
        <w:topLinePunct/>
        <w:bidi w:val="0"/>
        <w:spacing w:line="360" w:lineRule="auto"/>
        <w:jc w:val="both"/>
        <w:rPr>
          <w:rFonts w:hint="eastAsia" w:asciiTheme="minorEastAsia" w:hAnsiTheme="minorEastAsia" w:eastAsiaTheme="minorEastAsia" w:cstheme="minorEastAsia"/>
          <w:bCs/>
          <w:snapToGrid w:val="0"/>
          <w:color w:val="auto"/>
          <w:kern w:val="0"/>
          <w:position w:val="0"/>
          <w:szCs w:val="21"/>
          <w:highlight w:val="none"/>
        </w:rPr>
      </w:pPr>
      <w:r>
        <w:rPr>
          <w:rFonts w:hint="eastAsia" w:asciiTheme="minorEastAsia" w:hAnsiTheme="minorEastAsia" w:eastAsiaTheme="minorEastAsia" w:cstheme="minorEastAsia"/>
          <w:bCs/>
          <w:snapToGrid w:val="0"/>
          <w:color w:val="auto"/>
          <w:kern w:val="0"/>
          <w:position w:val="0"/>
          <w:szCs w:val="21"/>
          <w:highlight w:val="none"/>
          <w:lang w:val="en-US" w:eastAsia="zh-CN"/>
        </w:rPr>
        <w:t>4.</w:t>
      </w:r>
      <w:r>
        <w:rPr>
          <w:rFonts w:hint="eastAsia" w:asciiTheme="minorEastAsia" w:hAnsiTheme="minorEastAsia" w:eastAsiaTheme="minorEastAsia" w:cstheme="minorEastAsia"/>
          <w:snapToGrid w:val="0"/>
          <w:color w:val="auto"/>
          <w:kern w:val="0"/>
          <w:position w:val="0"/>
          <w:szCs w:val="21"/>
          <w:highlight w:val="none"/>
        </w:rPr>
        <w:t>设计质量承诺及保证措施</w:t>
      </w:r>
    </w:p>
    <w:p w14:paraId="095B6A5E">
      <w:pPr>
        <w:pageBreakBefore w:val="0"/>
        <w:kinsoku/>
        <w:wordWrap/>
        <w:overflowPunct/>
        <w:topLinePunct/>
        <w:bidi w:val="0"/>
        <w:spacing w:line="360" w:lineRule="auto"/>
        <w:jc w:val="center"/>
        <w:rPr>
          <w:rFonts w:hint="eastAsia" w:asciiTheme="minorEastAsia" w:hAnsiTheme="minorEastAsia" w:eastAsiaTheme="minorEastAsia" w:cstheme="minorEastAsia"/>
          <w:bCs/>
          <w:snapToGrid w:val="0"/>
          <w:color w:val="auto"/>
          <w:kern w:val="0"/>
          <w:szCs w:val="21"/>
          <w:highlight w:val="none"/>
        </w:rPr>
      </w:pPr>
    </w:p>
    <w:p w14:paraId="0488CBA0">
      <w:pPr>
        <w:pageBreakBefore w:val="0"/>
        <w:kinsoku/>
        <w:wordWrap/>
        <w:overflowPunct/>
        <w:topLinePunct/>
        <w:bidi w:val="0"/>
        <w:spacing w:line="360" w:lineRule="auto"/>
        <w:jc w:val="left"/>
        <w:rPr>
          <w:rFonts w:hint="eastAsia" w:asciiTheme="minorEastAsia" w:hAnsiTheme="minorEastAsia" w:eastAsiaTheme="minorEastAsia" w:cstheme="minorEastAsia"/>
          <w:b/>
          <w:bCs/>
          <w:snapToGrid w:val="0"/>
          <w:color w:val="auto"/>
          <w:kern w:val="0"/>
          <w:szCs w:val="21"/>
          <w:highlight w:val="none"/>
        </w:rPr>
      </w:pPr>
    </w:p>
    <w:p w14:paraId="5C40EABC">
      <w:pPr>
        <w:rPr>
          <w:rFonts w:hint="eastAsia" w:asciiTheme="minorEastAsia" w:hAnsiTheme="minorEastAsia" w:eastAsiaTheme="minorEastAsia" w:cstheme="minorEastAsia"/>
          <w:b/>
          <w:bCs/>
          <w:snapToGrid w:val="0"/>
          <w:color w:val="auto"/>
          <w:kern w:val="0"/>
          <w:position w:val="0"/>
          <w:szCs w:val="21"/>
          <w:highlight w:val="none"/>
        </w:rPr>
      </w:pPr>
      <w:r>
        <w:rPr>
          <w:rFonts w:hint="eastAsia" w:asciiTheme="minorEastAsia" w:hAnsiTheme="minorEastAsia" w:eastAsiaTheme="minorEastAsia" w:cstheme="minorEastAsia"/>
          <w:b/>
          <w:bCs/>
          <w:snapToGrid w:val="0"/>
          <w:color w:val="auto"/>
          <w:kern w:val="0"/>
          <w:position w:val="0"/>
          <w:szCs w:val="21"/>
          <w:highlight w:val="none"/>
        </w:rPr>
        <w:br w:type="page"/>
      </w:r>
    </w:p>
    <w:p w14:paraId="4A455ECF">
      <w:pPr>
        <w:pStyle w:val="4"/>
        <w:tabs>
          <w:tab w:val="left" w:pos="432"/>
          <w:tab w:val="left" w:pos="720"/>
        </w:tabs>
        <w:spacing w:before="240" w:after="240" w:line="360" w:lineRule="auto"/>
        <w:jc w:val="center"/>
        <w:rPr>
          <w:rFonts w:hint="eastAsia" w:asciiTheme="minorEastAsia" w:hAnsiTheme="minorEastAsia" w:eastAsiaTheme="minorEastAsia" w:cstheme="minorEastAsia"/>
          <w:b w:val="0"/>
          <w:color w:val="auto"/>
          <w:sz w:val="30"/>
          <w:szCs w:val="30"/>
          <w:highlight w:val="none"/>
          <w:lang w:val="en-US" w:eastAsia="zh-CN"/>
        </w:rPr>
      </w:pPr>
      <w:r>
        <w:rPr>
          <w:rFonts w:hint="eastAsia" w:asciiTheme="minorEastAsia" w:hAnsiTheme="minorEastAsia" w:eastAsiaTheme="minorEastAsia" w:cstheme="minorEastAsia"/>
          <w:b w:val="0"/>
          <w:color w:val="auto"/>
          <w:sz w:val="30"/>
          <w:szCs w:val="30"/>
          <w:highlight w:val="none"/>
          <w:lang w:val="en-US" w:eastAsia="zh-CN"/>
        </w:rPr>
        <w:t>（二）施工技术部分</w:t>
      </w:r>
    </w:p>
    <w:p w14:paraId="75EACC19">
      <w:pPr>
        <w:spacing w:line="42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rPr>
        <w:t>投标人应编制施工组织设计。编制具体要求：编制时应采用文字并结合图表形式说明各分部分项工程的施工方法；拟投入的主要施工机械设备情况、劳动力计划等；结合招标工程特点提出切实可行的施工技术方案、质量承诺及保证措施、工期承诺和保证措施、施工主要工序、安全文明施工保证措施、施工进度计划、施工机械投入</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同时应对关键工序、复杂环节重点提出相应技术措施，如冬雨季施工技术措施、减少扰民</w:t>
      </w:r>
      <w:r>
        <w:rPr>
          <w:rFonts w:hint="eastAsia" w:asciiTheme="minorEastAsia" w:hAnsiTheme="minorEastAsia" w:eastAsiaTheme="minorEastAsia" w:cstheme="minorEastAsia"/>
          <w:color w:val="auto"/>
          <w:sz w:val="21"/>
          <w:szCs w:val="21"/>
          <w:highlight w:val="none"/>
          <w:lang w:eastAsia="zh-CN"/>
        </w:rPr>
        <w:t>噪声</w:t>
      </w:r>
      <w:r>
        <w:rPr>
          <w:rFonts w:hint="eastAsia" w:asciiTheme="minorEastAsia" w:hAnsiTheme="minorEastAsia" w:eastAsiaTheme="minorEastAsia" w:cstheme="minorEastAsia"/>
          <w:color w:val="auto"/>
          <w:sz w:val="21"/>
          <w:szCs w:val="21"/>
          <w:highlight w:val="none"/>
        </w:rPr>
        <w:t>、降低环境污染技术措施等</w:t>
      </w:r>
      <w:r>
        <w:rPr>
          <w:rFonts w:hint="eastAsia" w:asciiTheme="minorEastAsia" w:hAnsiTheme="minorEastAsia" w:eastAsiaTheme="minorEastAsia" w:cstheme="minorEastAsia"/>
          <w:color w:val="auto"/>
          <w:sz w:val="21"/>
          <w:szCs w:val="21"/>
          <w:highlight w:val="none"/>
          <w:lang w:val="en-US" w:eastAsia="zh-CN"/>
        </w:rPr>
        <w:t>（格式自拟）</w:t>
      </w:r>
      <w:r>
        <w:rPr>
          <w:rFonts w:hint="eastAsia" w:asciiTheme="minorEastAsia" w:hAnsiTheme="minorEastAsia" w:eastAsiaTheme="minorEastAsia" w:cstheme="minorEastAsia"/>
          <w:color w:val="auto"/>
          <w:sz w:val="21"/>
          <w:szCs w:val="21"/>
          <w:highlight w:val="none"/>
        </w:rPr>
        <w:t>。</w:t>
      </w:r>
    </w:p>
    <w:p w14:paraId="1B22123A">
      <w:pPr>
        <w:spacing w:line="42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施工组织设计除采用文字表述外可参考下列图表，图表及格式，投标人根据施工组织设计的要求可自行把下列图表添加到相应的项目中。</w:t>
      </w:r>
    </w:p>
    <w:p w14:paraId="7C8FB3A5">
      <w:pPr>
        <w:spacing w:line="420" w:lineRule="exact"/>
        <w:ind w:firstLine="630" w:firstLineChars="3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附表一  拟投入本工程的主要施工设备表</w:t>
      </w:r>
    </w:p>
    <w:p w14:paraId="03DDCE78">
      <w:pPr>
        <w:spacing w:line="420" w:lineRule="exact"/>
        <w:ind w:firstLine="630" w:firstLineChars="3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附表二  拟配备本工程的试验和检测仪器设备表</w:t>
      </w:r>
    </w:p>
    <w:p w14:paraId="5215F4F6">
      <w:pPr>
        <w:spacing w:line="420" w:lineRule="exact"/>
        <w:ind w:firstLine="630" w:firstLineChars="3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附表三  劳动力计划表</w:t>
      </w:r>
    </w:p>
    <w:p w14:paraId="73A38A7E">
      <w:pPr>
        <w:spacing w:line="420" w:lineRule="exact"/>
        <w:ind w:firstLine="630" w:firstLineChars="3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附表四  计划</w:t>
      </w:r>
      <w:r>
        <w:rPr>
          <w:rFonts w:hint="eastAsia" w:asciiTheme="minorEastAsia" w:hAnsiTheme="minorEastAsia" w:eastAsiaTheme="minorEastAsia" w:cstheme="minorEastAsia"/>
          <w:color w:val="auto"/>
          <w:sz w:val="21"/>
          <w:szCs w:val="21"/>
          <w:highlight w:val="none"/>
          <w:lang w:eastAsia="zh-CN"/>
        </w:rPr>
        <w:t>开工</w:t>
      </w:r>
      <w:r>
        <w:rPr>
          <w:rFonts w:hint="eastAsia" w:asciiTheme="minorEastAsia" w:hAnsiTheme="minorEastAsia" w:eastAsiaTheme="minorEastAsia" w:cstheme="minorEastAsia"/>
          <w:color w:val="auto"/>
          <w:sz w:val="21"/>
          <w:szCs w:val="21"/>
          <w:highlight w:val="none"/>
        </w:rPr>
        <w:t>、竣工日期和施工进度网络图</w:t>
      </w:r>
    </w:p>
    <w:p w14:paraId="57376205">
      <w:pPr>
        <w:spacing w:line="360" w:lineRule="auto"/>
        <w:ind w:firstLine="630" w:firstLineChars="300"/>
        <w:rPr>
          <w:rFonts w:hint="eastAsia" w:asciiTheme="minorEastAsia" w:hAnsiTheme="minorEastAsia" w:eastAsiaTheme="minorEastAsia" w:cstheme="minorEastAsia"/>
          <w:color w:val="auto"/>
          <w:sz w:val="21"/>
          <w:szCs w:val="21"/>
          <w:highlight w:val="none"/>
        </w:rPr>
      </w:pPr>
    </w:p>
    <w:p w14:paraId="32241431">
      <w:pPr>
        <w:spacing w:line="360" w:lineRule="auto"/>
        <w:ind w:firstLine="630" w:firstLineChars="300"/>
        <w:rPr>
          <w:rFonts w:hint="eastAsia" w:asciiTheme="minorEastAsia" w:hAnsiTheme="minorEastAsia" w:eastAsiaTheme="minorEastAsia" w:cstheme="minorEastAsia"/>
          <w:color w:val="auto"/>
          <w:sz w:val="21"/>
          <w:szCs w:val="21"/>
          <w:highlight w:val="none"/>
        </w:rPr>
      </w:pPr>
    </w:p>
    <w:p w14:paraId="70F9D205">
      <w:pPr>
        <w:spacing w:line="360" w:lineRule="auto"/>
        <w:ind w:firstLine="630" w:firstLineChars="300"/>
        <w:rPr>
          <w:rFonts w:hint="eastAsia" w:asciiTheme="minorEastAsia" w:hAnsiTheme="minorEastAsia" w:eastAsiaTheme="minorEastAsia" w:cstheme="minorEastAsia"/>
          <w:color w:val="auto"/>
          <w:sz w:val="21"/>
          <w:szCs w:val="21"/>
          <w:highlight w:val="none"/>
        </w:rPr>
      </w:pPr>
    </w:p>
    <w:p w14:paraId="579EA3C6">
      <w:pPr>
        <w:spacing w:line="360" w:lineRule="auto"/>
        <w:ind w:firstLine="420" w:firstLineChars="200"/>
        <w:rPr>
          <w:rFonts w:hint="eastAsia" w:asciiTheme="minorEastAsia" w:hAnsiTheme="minorEastAsia" w:eastAsiaTheme="minorEastAsia" w:cstheme="minorEastAsia"/>
          <w:color w:val="auto"/>
          <w:sz w:val="21"/>
          <w:szCs w:val="21"/>
          <w:highlight w:val="none"/>
        </w:rPr>
      </w:pPr>
    </w:p>
    <w:p w14:paraId="00DBE2BC">
      <w:pPr>
        <w:spacing w:line="360" w:lineRule="auto"/>
        <w:ind w:firstLine="420" w:firstLineChars="200"/>
        <w:rPr>
          <w:rFonts w:hint="eastAsia" w:asciiTheme="minorEastAsia" w:hAnsiTheme="minorEastAsia" w:eastAsiaTheme="minorEastAsia" w:cstheme="minorEastAsia"/>
          <w:color w:val="auto"/>
          <w:sz w:val="21"/>
          <w:szCs w:val="21"/>
          <w:highlight w:val="none"/>
        </w:rPr>
      </w:pPr>
    </w:p>
    <w:p w14:paraId="14409059">
      <w:pPr>
        <w:pStyle w:val="25"/>
        <w:rPr>
          <w:rFonts w:hint="eastAsia" w:asciiTheme="minorEastAsia" w:hAnsiTheme="minorEastAsia" w:eastAsiaTheme="minorEastAsia" w:cstheme="minorEastAsia"/>
          <w:color w:val="auto"/>
          <w:highlight w:val="none"/>
        </w:rPr>
      </w:pPr>
    </w:p>
    <w:p w14:paraId="16EF9073">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14:paraId="3DA2D553">
      <w:pPr>
        <w:spacing w:before="120" w:beforeLines="50" w:after="120" w:afterLines="50" w:line="4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附表一：拟投入本工程的主要施工设备表</w:t>
      </w:r>
    </w:p>
    <w:tbl>
      <w:tblPr>
        <w:tblStyle w:val="45"/>
        <w:tblW w:w="9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208"/>
        <w:gridCol w:w="763"/>
        <w:gridCol w:w="1161"/>
        <w:gridCol w:w="805"/>
        <w:gridCol w:w="805"/>
        <w:gridCol w:w="1336"/>
        <w:gridCol w:w="991"/>
        <w:gridCol w:w="991"/>
        <w:gridCol w:w="869"/>
      </w:tblGrid>
      <w:tr w14:paraId="3AAA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32" w:type="dxa"/>
            <w:noWrap w:val="0"/>
            <w:vAlign w:val="center"/>
          </w:tcPr>
          <w:p w14:paraId="001F84FE">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序号</w:t>
            </w:r>
          </w:p>
        </w:tc>
        <w:tc>
          <w:tcPr>
            <w:tcW w:w="1208" w:type="dxa"/>
            <w:noWrap w:val="0"/>
            <w:vAlign w:val="center"/>
          </w:tcPr>
          <w:p w14:paraId="3CEB2162">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设备名称</w:t>
            </w:r>
          </w:p>
        </w:tc>
        <w:tc>
          <w:tcPr>
            <w:tcW w:w="763" w:type="dxa"/>
            <w:noWrap w:val="0"/>
            <w:vAlign w:val="center"/>
          </w:tcPr>
          <w:p w14:paraId="560CAF00">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型号</w:t>
            </w:r>
          </w:p>
          <w:p w14:paraId="20D9AA1E">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规格</w:t>
            </w:r>
          </w:p>
        </w:tc>
        <w:tc>
          <w:tcPr>
            <w:tcW w:w="1161" w:type="dxa"/>
            <w:noWrap w:val="0"/>
            <w:vAlign w:val="center"/>
          </w:tcPr>
          <w:p w14:paraId="1B901A4D">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数  量</w:t>
            </w:r>
          </w:p>
        </w:tc>
        <w:tc>
          <w:tcPr>
            <w:tcW w:w="805" w:type="dxa"/>
            <w:noWrap w:val="0"/>
            <w:vAlign w:val="center"/>
          </w:tcPr>
          <w:p w14:paraId="6CB2592E">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国别</w:t>
            </w:r>
          </w:p>
          <w:p w14:paraId="4D929D3F">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产地</w:t>
            </w:r>
          </w:p>
        </w:tc>
        <w:tc>
          <w:tcPr>
            <w:tcW w:w="805" w:type="dxa"/>
            <w:noWrap w:val="0"/>
            <w:vAlign w:val="center"/>
          </w:tcPr>
          <w:p w14:paraId="61E90E74">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制造</w:t>
            </w:r>
          </w:p>
          <w:p w14:paraId="08D1A925">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年份</w:t>
            </w:r>
          </w:p>
        </w:tc>
        <w:tc>
          <w:tcPr>
            <w:tcW w:w="1336" w:type="dxa"/>
            <w:noWrap w:val="0"/>
            <w:vAlign w:val="center"/>
          </w:tcPr>
          <w:p w14:paraId="0CA603F8">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额定功率</w:t>
            </w:r>
          </w:p>
          <w:p w14:paraId="7E9CF164">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(kW)</w:t>
            </w:r>
          </w:p>
        </w:tc>
        <w:tc>
          <w:tcPr>
            <w:tcW w:w="991" w:type="dxa"/>
            <w:noWrap w:val="0"/>
            <w:vAlign w:val="center"/>
          </w:tcPr>
          <w:p w14:paraId="72A76DA8">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生产</w:t>
            </w:r>
          </w:p>
          <w:p w14:paraId="2129FE7D">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能力</w:t>
            </w:r>
          </w:p>
        </w:tc>
        <w:tc>
          <w:tcPr>
            <w:tcW w:w="991" w:type="dxa"/>
            <w:noWrap w:val="0"/>
            <w:vAlign w:val="center"/>
          </w:tcPr>
          <w:p w14:paraId="2B9BC183">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用于施</w:t>
            </w:r>
          </w:p>
          <w:p w14:paraId="26C53B35">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工部位</w:t>
            </w:r>
          </w:p>
        </w:tc>
        <w:tc>
          <w:tcPr>
            <w:tcW w:w="869" w:type="dxa"/>
            <w:noWrap w:val="0"/>
            <w:vAlign w:val="center"/>
          </w:tcPr>
          <w:p w14:paraId="086698B4">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备注</w:t>
            </w:r>
          </w:p>
        </w:tc>
      </w:tr>
      <w:tr w14:paraId="6C46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32" w:type="dxa"/>
            <w:noWrap w:val="0"/>
            <w:vAlign w:val="center"/>
          </w:tcPr>
          <w:p w14:paraId="1E9B4817">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208" w:type="dxa"/>
            <w:noWrap w:val="0"/>
            <w:vAlign w:val="center"/>
          </w:tcPr>
          <w:p w14:paraId="12CB1AC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63" w:type="dxa"/>
            <w:noWrap w:val="0"/>
            <w:vAlign w:val="center"/>
          </w:tcPr>
          <w:p w14:paraId="01D6C9B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61" w:type="dxa"/>
            <w:noWrap w:val="0"/>
            <w:vAlign w:val="center"/>
          </w:tcPr>
          <w:p w14:paraId="24CA114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176A66E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256AB2B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36" w:type="dxa"/>
            <w:noWrap w:val="0"/>
            <w:vAlign w:val="center"/>
          </w:tcPr>
          <w:p w14:paraId="45551DC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104DDC7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13CC666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69" w:type="dxa"/>
            <w:noWrap w:val="0"/>
            <w:vAlign w:val="center"/>
          </w:tcPr>
          <w:p w14:paraId="10A773BD">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08CB1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32" w:type="dxa"/>
            <w:noWrap w:val="0"/>
            <w:vAlign w:val="center"/>
          </w:tcPr>
          <w:p w14:paraId="1A591E3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208" w:type="dxa"/>
            <w:noWrap w:val="0"/>
            <w:vAlign w:val="center"/>
          </w:tcPr>
          <w:p w14:paraId="23EFE7D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63" w:type="dxa"/>
            <w:noWrap w:val="0"/>
            <w:vAlign w:val="center"/>
          </w:tcPr>
          <w:p w14:paraId="0BDF2D9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61" w:type="dxa"/>
            <w:noWrap w:val="0"/>
            <w:vAlign w:val="center"/>
          </w:tcPr>
          <w:p w14:paraId="540A98E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14007F1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1F85569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36" w:type="dxa"/>
            <w:noWrap w:val="0"/>
            <w:vAlign w:val="center"/>
          </w:tcPr>
          <w:p w14:paraId="54B9DC4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4599882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030264AF">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69" w:type="dxa"/>
            <w:noWrap w:val="0"/>
            <w:vAlign w:val="center"/>
          </w:tcPr>
          <w:p w14:paraId="6DAEEB12">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176C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32" w:type="dxa"/>
            <w:noWrap w:val="0"/>
            <w:vAlign w:val="center"/>
          </w:tcPr>
          <w:p w14:paraId="65757BF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208" w:type="dxa"/>
            <w:noWrap w:val="0"/>
            <w:vAlign w:val="center"/>
          </w:tcPr>
          <w:p w14:paraId="19E3AD00">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63" w:type="dxa"/>
            <w:noWrap w:val="0"/>
            <w:vAlign w:val="center"/>
          </w:tcPr>
          <w:p w14:paraId="0A261A7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61" w:type="dxa"/>
            <w:noWrap w:val="0"/>
            <w:vAlign w:val="center"/>
          </w:tcPr>
          <w:p w14:paraId="44DDB34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4E450AB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7C4220FF">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36" w:type="dxa"/>
            <w:noWrap w:val="0"/>
            <w:vAlign w:val="center"/>
          </w:tcPr>
          <w:p w14:paraId="51C0EE5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7FEF0ED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5388CFA5">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69" w:type="dxa"/>
            <w:noWrap w:val="0"/>
            <w:vAlign w:val="center"/>
          </w:tcPr>
          <w:p w14:paraId="56644D66">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0B8B0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32" w:type="dxa"/>
            <w:noWrap w:val="0"/>
            <w:vAlign w:val="center"/>
          </w:tcPr>
          <w:p w14:paraId="2B0CBAAB">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208" w:type="dxa"/>
            <w:noWrap w:val="0"/>
            <w:vAlign w:val="center"/>
          </w:tcPr>
          <w:p w14:paraId="7E35FC8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63" w:type="dxa"/>
            <w:noWrap w:val="0"/>
            <w:vAlign w:val="center"/>
          </w:tcPr>
          <w:p w14:paraId="5B5392E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61" w:type="dxa"/>
            <w:noWrap w:val="0"/>
            <w:vAlign w:val="center"/>
          </w:tcPr>
          <w:p w14:paraId="3B1BC08B">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6A22384B">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0576038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36" w:type="dxa"/>
            <w:noWrap w:val="0"/>
            <w:vAlign w:val="center"/>
          </w:tcPr>
          <w:p w14:paraId="7B9935C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125556B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534BFF3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69" w:type="dxa"/>
            <w:noWrap w:val="0"/>
            <w:vAlign w:val="center"/>
          </w:tcPr>
          <w:p w14:paraId="40CAEACB">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1783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32" w:type="dxa"/>
            <w:noWrap w:val="0"/>
            <w:vAlign w:val="center"/>
          </w:tcPr>
          <w:p w14:paraId="52C44D3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208" w:type="dxa"/>
            <w:noWrap w:val="0"/>
            <w:vAlign w:val="center"/>
          </w:tcPr>
          <w:p w14:paraId="2BDEC6B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63" w:type="dxa"/>
            <w:noWrap w:val="0"/>
            <w:vAlign w:val="center"/>
          </w:tcPr>
          <w:p w14:paraId="5F46026B">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61" w:type="dxa"/>
            <w:noWrap w:val="0"/>
            <w:vAlign w:val="center"/>
          </w:tcPr>
          <w:p w14:paraId="3AC89CAF">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2930739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1805539F">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36" w:type="dxa"/>
            <w:noWrap w:val="0"/>
            <w:vAlign w:val="center"/>
          </w:tcPr>
          <w:p w14:paraId="113B022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340E2C9B">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662609D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69" w:type="dxa"/>
            <w:noWrap w:val="0"/>
            <w:vAlign w:val="center"/>
          </w:tcPr>
          <w:p w14:paraId="23BA40F6">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03CF9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32" w:type="dxa"/>
            <w:noWrap w:val="0"/>
            <w:vAlign w:val="center"/>
          </w:tcPr>
          <w:p w14:paraId="6B47C19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208" w:type="dxa"/>
            <w:noWrap w:val="0"/>
            <w:vAlign w:val="center"/>
          </w:tcPr>
          <w:p w14:paraId="7F7AC91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63" w:type="dxa"/>
            <w:noWrap w:val="0"/>
            <w:vAlign w:val="center"/>
          </w:tcPr>
          <w:p w14:paraId="1E2B772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61" w:type="dxa"/>
            <w:noWrap w:val="0"/>
            <w:vAlign w:val="center"/>
          </w:tcPr>
          <w:p w14:paraId="5143AF5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57912D3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0CF26407">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36" w:type="dxa"/>
            <w:noWrap w:val="0"/>
            <w:vAlign w:val="center"/>
          </w:tcPr>
          <w:p w14:paraId="58D78DD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057DD59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5C6E77E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69" w:type="dxa"/>
            <w:noWrap w:val="0"/>
            <w:vAlign w:val="center"/>
          </w:tcPr>
          <w:p w14:paraId="5600CF73">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1F0B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32" w:type="dxa"/>
            <w:noWrap w:val="0"/>
            <w:vAlign w:val="center"/>
          </w:tcPr>
          <w:p w14:paraId="036126A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208" w:type="dxa"/>
            <w:noWrap w:val="0"/>
            <w:vAlign w:val="center"/>
          </w:tcPr>
          <w:p w14:paraId="1BA0756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63" w:type="dxa"/>
            <w:noWrap w:val="0"/>
            <w:vAlign w:val="center"/>
          </w:tcPr>
          <w:p w14:paraId="1687667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61" w:type="dxa"/>
            <w:noWrap w:val="0"/>
            <w:vAlign w:val="center"/>
          </w:tcPr>
          <w:p w14:paraId="15EDE11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06B802A0">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05" w:type="dxa"/>
            <w:noWrap w:val="0"/>
            <w:vAlign w:val="center"/>
          </w:tcPr>
          <w:p w14:paraId="53BB7DB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36" w:type="dxa"/>
            <w:noWrap w:val="0"/>
            <w:vAlign w:val="center"/>
          </w:tcPr>
          <w:p w14:paraId="670FAE7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0541CE7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91" w:type="dxa"/>
            <w:noWrap w:val="0"/>
            <w:vAlign w:val="center"/>
          </w:tcPr>
          <w:p w14:paraId="24B0FF0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869" w:type="dxa"/>
            <w:noWrap w:val="0"/>
            <w:vAlign w:val="center"/>
          </w:tcPr>
          <w:p w14:paraId="718A68F2">
            <w:pPr>
              <w:jc w:val="center"/>
              <w:rPr>
                <w:rFonts w:hint="eastAsia" w:asciiTheme="minorEastAsia" w:hAnsiTheme="minorEastAsia" w:eastAsiaTheme="minorEastAsia" w:cstheme="minorEastAsia"/>
                <w:color w:val="auto"/>
                <w:sz w:val="21"/>
                <w:szCs w:val="21"/>
                <w:highlight w:val="none"/>
                <w:lang w:val="en-US" w:eastAsia="zh-CN" w:bidi="ar-SA"/>
              </w:rPr>
            </w:pPr>
          </w:p>
        </w:tc>
      </w:tr>
    </w:tbl>
    <w:p w14:paraId="1B5734B9">
      <w:pPr>
        <w:spacing w:line="420" w:lineRule="exact"/>
        <w:rPr>
          <w:rFonts w:hint="eastAsia" w:asciiTheme="minorEastAsia" w:hAnsiTheme="minorEastAsia" w:eastAsiaTheme="minorEastAsia" w:cstheme="minorEastAsia"/>
          <w:color w:val="auto"/>
          <w:szCs w:val="21"/>
          <w:highlight w:val="none"/>
        </w:rPr>
      </w:pPr>
    </w:p>
    <w:p w14:paraId="11C98272">
      <w:pPr>
        <w:spacing w:before="120" w:beforeLines="50" w:after="120" w:afterLines="50" w:line="4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附表二：拟配备本工程的施工、试验和检测仪器设备表</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90"/>
        <w:gridCol w:w="752"/>
        <w:gridCol w:w="1143"/>
        <w:gridCol w:w="793"/>
        <w:gridCol w:w="793"/>
        <w:gridCol w:w="1315"/>
        <w:gridCol w:w="1855"/>
        <w:gridCol w:w="951"/>
      </w:tblGrid>
      <w:tr w14:paraId="0045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20" w:type="dxa"/>
            <w:noWrap w:val="0"/>
            <w:vAlign w:val="center"/>
          </w:tcPr>
          <w:p w14:paraId="229AC785">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序号</w:t>
            </w:r>
          </w:p>
        </w:tc>
        <w:tc>
          <w:tcPr>
            <w:tcW w:w="1190" w:type="dxa"/>
            <w:noWrap w:val="0"/>
            <w:vAlign w:val="center"/>
          </w:tcPr>
          <w:p w14:paraId="6F0D8967">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仪器设备</w:t>
            </w:r>
          </w:p>
          <w:p w14:paraId="47FDDA00">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名    称</w:t>
            </w:r>
          </w:p>
        </w:tc>
        <w:tc>
          <w:tcPr>
            <w:tcW w:w="752" w:type="dxa"/>
            <w:noWrap w:val="0"/>
            <w:vAlign w:val="center"/>
          </w:tcPr>
          <w:p w14:paraId="4206EBF3">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型号</w:t>
            </w:r>
          </w:p>
          <w:p w14:paraId="4BC87150">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规格</w:t>
            </w:r>
          </w:p>
        </w:tc>
        <w:tc>
          <w:tcPr>
            <w:tcW w:w="1143" w:type="dxa"/>
            <w:noWrap w:val="0"/>
            <w:vAlign w:val="center"/>
          </w:tcPr>
          <w:p w14:paraId="6189FBC6">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数  量</w:t>
            </w:r>
          </w:p>
        </w:tc>
        <w:tc>
          <w:tcPr>
            <w:tcW w:w="793" w:type="dxa"/>
            <w:noWrap w:val="0"/>
            <w:vAlign w:val="center"/>
          </w:tcPr>
          <w:p w14:paraId="3962AF6E">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国别</w:t>
            </w:r>
          </w:p>
          <w:p w14:paraId="01EAAD98">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产地</w:t>
            </w:r>
          </w:p>
        </w:tc>
        <w:tc>
          <w:tcPr>
            <w:tcW w:w="793" w:type="dxa"/>
            <w:noWrap w:val="0"/>
            <w:vAlign w:val="center"/>
          </w:tcPr>
          <w:p w14:paraId="216352BD">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制造</w:t>
            </w:r>
          </w:p>
          <w:p w14:paraId="62B523D4">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年份</w:t>
            </w:r>
          </w:p>
        </w:tc>
        <w:tc>
          <w:tcPr>
            <w:tcW w:w="1315" w:type="dxa"/>
            <w:noWrap w:val="0"/>
            <w:vAlign w:val="center"/>
          </w:tcPr>
          <w:p w14:paraId="0F6376FD">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已使用台</w:t>
            </w:r>
          </w:p>
          <w:p w14:paraId="6B1B32B6">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时    数</w:t>
            </w:r>
          </w:p>
        </w:tc>
        <w:tc>
          <w:tcPr>
            <w:tcW w:w="1855" w:type="dxa"/>
            <w:noWrap w:val="0"/>
            <w:vAlign w:val="center"/>
          </w:tcPr>
          <w:p w14:paraId="7E6222C8">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用  途</w:t>
            </w:r>
          </w:p>
        </w:tc>
        <w:tc>
          <w:tcPr>
            <w:tcW w:w="951" w:type="dxa"/>
            <w:noWrap w:val="0"/>
            <w:vAlign w:val="center"/>
          </w:tcPr>
          <w:p w14:paraId="17D5D708">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备注</w:t>
            </w:r>
          </w:p>
        </w:tc>
      </w:tr>
      <w:tr w14:paraId="147A5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20" w:type="dxa"/>
            <w:noWrap w:val="0"/>
            <w:vAlign w:val="center"/>
          </w:tcPr>
          <w:p w14:paraId="73CEFE4F">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0" w:type="dxa"/>
            <w:noWrap w:val="0"/>
            <w:vAlign w:val="center"/>
          </w:tcPr>
          <w:p w14:paraId="4F5551A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52" w:type="dxa"/>
            <w:noWrap w:val="0"/>
            <w:vAlign w:val="center"/>
          </w:tcPr>
          <w:p w14:paraId="5F47FA0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43" w:type="dxa"/>
            <w:noWrap w:val="0"/>
            <w:vAlign w:val="center"/>
          </w:tcPr>
          <w:p w14:paraId="1AD0FA00">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47F4CD9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7E1C8D8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15" w:type="dxa"/>
            <w:noWrap w:val="0"/>
            <w:vAlign w:val="center"/>
          </w:tcPr>
          <w:p w14:paraId="702E51D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855" w:type="dxa"/>
            <w:noWrap w:val="0"/>
            <w:vAlign w:val="center"/>
          </w:tcPr>
          <w:p w14:paraId="1ADE57C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51" w:type="dxa"/>
            <w:noWrap w:val="0"/>
            <w:vAlign w:val="center"/>
          </w:tcPr>
          <w:p w14:paraId="2FE46D23">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0ED5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20" w:type="dxa"/>
            <w:noWrap w:val="0"/>
            <w:vAlign w:val="center"/>
          </w:tcPr>
          <w:p w14:paraId="57BB43E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0" w:type="dxa"/>
            <w:noWrap w:val="0"/>
            <w:vAlign w:val="center"/>
          </w:tcPr>
          <w:p w14:paraId="0E9443D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52" w:type="dxa"/>
            <w:noWrap w:val="0"/>
            <w:vAlign w:val="center"/>
          </w:tcPr>
          <w:p w14:paraId="7FDC333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43" w:type="dxa"/>
            <w:noWrap w:val="0"/>
            <w:vAlign w:val="center"/>
          </w:tcPr>
          <w:p w14:paraId="658B75D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12569D4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238001C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15" w:type="dxa"/>
            <w:noWrap w:val="0"/>
            <w:vAlign w:val="center"/>
          </w:tcPr>
          <w:p w14:paraId="234EEAA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855" w:type="dxa"/>
            <w:noWrap w:val="0"/>
            <w:vAlign w:val="center"/>
          </w:tcPr>
          <w:p w14:paraId="23E1FAC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51" w:type="dxa"/>
            <w:noWrap w:val="0"/>
            <w:vAlign w:val="center"/>
          </w:tcPr>
          <w:p w14:paraId="2BD48FAB">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1EBB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20" w:type="dxa"/>
            <w:noWrap w:val="0"/>
            <w:vAlign w:val="center"/>
          </w:tcPr>
          <w:p w14:paraId="6C4D2C6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0" w:type="dxa"/>
            <w:noWrap w:val="0"/>
            <w:vAlign w:val="center"/>
          </w:tcPr>
          <w:p w14:paraId="21AB7417">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52" w:type="dxa"/>
            <w:noWrap w:val="0"/>
            <w:vAlign w:val="center"/>
          </w:tcPr>
          <w:p w14:paraId="538C990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43" w:type="dxa"/>
            <w:noWrap w:val="0"/>
            <w:vAlign w:val="center"/>
          </w:tcPr>
          <w:p w14:paraId="24FE360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29BDB0B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01BE714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15" w:type="dxa"/>
            <w:noWrap w:val="0"/>
            <w:vAlign w:val="center"/>
          </w:tcPr>
          <w:p w14:paraId="66AA5385">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855" w:type="dxa"/>
            <w:noWrap w:val="0"/>
            <w:vAlign w:val="center"/>
          </w:tcPr>
          <w:p w14:paraId="69A79C6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51" w:type="dxa"/>
            <w:noWrap w:val="0"/>
            <w:vAlign w:val="center"/>
          </w:tcPr>
          <w:p w14:paraId="3E2CCBAF">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57E3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20" w:type="dxa"/>
            <w:noWrap w:val="0"/>
            <w:vAlign w:val="center"/>
          </w:tcPr>
          <w:p w14:paraId="1C7F9EC0">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0" w:type="dxa"/>
            <w:noWrap w:val="0"/>
            <w:vAlign w:val="center"/>
          </w:tcPr>
          <w:p w14:paraId="1B50392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52" w:type="dxa"/>
            <w:noWrap w:val="0"/>
            <w:vAlign w:val="center"/>
          </w:tcPr>
          <w:p w14:paraId="4BE2561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43" w:type="dxa"/>
            <w:noWrap w:val="0"/>
            <w:vAlign w:val="center"/>
          </w:tcPr>
          <w:p w14:paraId="3ED128B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560C9A2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7ED5BC7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15" w:type="dxa"/>
            <w:noWrap w:val="0"/>
            <w:vAlign w:val="center"/>
          </w:tcPr>
          <w:p w14:paraId="161BF3C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855" w:type="dxa"/>
            <w:noWrap w:val="0"/>
            <w:vAlign w:val="center"/>
          </w:tcPr>
          <w:p w14:paraId="518D800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51" w:type="dxa"/>
            <w:noWrap w:val="0"/>
            <w:vAlign w:val="center"/>
          </w:tcPr>
          <w:p w14:paraId="2502696F">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1A79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20" w:type="dxa"/>
            <w:noWrap w:val="0"/>
            <w:vAlign w:val="center"/>
          </w:tcPr>
          <w:p w14:paraId="14A1099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0" w:type="dxa"/>
            <w:noWrap w:val="0"/>
            <w:vAlign w:val="center"/>
          </w:tcPr>
          <w:p w14:paraId="445FE2C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52" w:type="dxa"/>
            <w:noWrap w:val="0"/>
            <w:vAlign w:val="center"/>
          </w:tcPr>
          <w:p w14:paraId="58010E2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43" w:type="dxa"/>
            <w:noWrap w:val="0"/>
            <w:vAlign w:val="center"/>
          </w:tcPr>
          <w:p w14:paraId="0B6B22AB">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5DEAEF0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78EC7EB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15" w:type="dxa"/>
            <w:noWrap w:val="0"/>
            <w:vAlign w:val="center"/>
          </w:tcPr>
          <w:p w14:paraId="2BA22AF3">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855" w:type="dxa"/>
            <w:noWrap w:val="0"/>
            <w:vAlign w:val="center"/>
          </w:tcPr>
          <w:p w14:paraId="53814318">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51" w:type="dxa"/>
            <w:noWrap w:val="0"/>
            <w:vAlign w:val="center"/>
          </w:tcPr>
          <w:p w14:paraId="65403F35">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26CD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20" w:type="dxa"/>
            <w:noWrap w:val="0"/>
            <w:vAlign w:val="center"/>
          </w:tcPr>
          <w:p w14:paraId="27780F5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0" w:type="dxa"/>
            <w:noWrap w:val="0"/>
            <w:vAlign w:val="center"/>
          </w:tcPr>
          <w:p w14:paraId="038E9AE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52" w:type="dxa"/>
            <w:noWrap w:val="0"/>
            <w:vAlign w:val="center"/>
          </w:tcPr>
          <w:p w14:paraId="249E4A6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43" w:type="dxa"/>
            <w:noWrap w:val="0"/>
            <w:vAlign w:val="center"/>
          </w:tcPr>
          <w:p w14:paraId="1610A35F">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3917CCD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793" w:type="dxa"/>
            <w:noWrap w:val="0"/>
            <w:vAlign w:val="center"/>
          </w:tcPr>
          <w:p w14:paraId="46889FB5">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315" w:type="dxa"/>
            <w:noWrap w:val="0"/>
            <w:vAlign w:val="center"/>
          </w:tcPr>
          <w:p w14:paraId="30E36D1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855" w:type="dxa"/>
            <w:noWrap w:val="0"/>
            <w:vAlign w:val="center"/>
          </w:tcPr>
          <w:p w14:paraId="6601023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951" w:type="dxa"/>
            <w:noWrap w:val="0"/>
            <w:vAlign w:val="center"/>
          </w:tcPr>
          <w:p w14:paraId="60C93FB8">
            <w:pPr>
              <w:jc w:val="center"/>
              <w:rPr>
                <w:rFonts w:hint="eastAsia" w:asciiTheme="minorEastAsia" w:hAnsiTheme="minorEastAsia" w:eastAsiaTheme="minorEastAsia" w:cstheme="minorEastAsia"/>
                <w:color w:val="auto"/>
                <w:sz w:val="21"/>
                <w:szCs w:val="21"/>
                <w:highlight w:val="none"/>
                <w:lang w:val="en-US" w:eastAsia="zh-CN" w:bidi="ar-SA"/>
              </w:rPr>
            </w:pPr>
          </w:p>
        </w:tc>
      </w:tr>
    </w:tbl>
    <w:p w14:paraId="23B05C62">
      <w:pPr>
        <w:spacing w:line="420" w:lineRule="exact"/>
        <w:rPr>
          <w:rFonts w:hint="eastAsia" w:asciiTheme="minorEastAsia" w:hAnsiTheme="minorEastAsia" w:eastAsiaTheme="minorEastAsia" w:cstheme="minorEastAsia"/>
          <w:color w:val="auto"/>
          <w:szCs w:val="21"/>
          <w:highlight w:val="none"/>
        </w:rPr>
      </w:pPr>
    </w:p>
    <w:p w14:paraId="15FD3015">
      <w:pPr>
        <w:spacing w:before="120" w:beforeLines="50" w:after="120" w:afterLines="50" w:line="4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附表三：劳动力计划表</w:t>
      </w:r>
    </w:p>
    <w:p w14:paraId="290069B5">
      <w:pPr>
        <w:spacing w:line="420" w:lineRule="exact"/>
        <w:ind w:right="80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highlight w:val="none"/>
        </w:rPr>
        <w:t xml:space="preserve">                           </w:t>
      </w:r>
      <w:r>
        <w:rPr>
          <w:rFonts w:hint="eastAsia" w:asciiTheme="minorEastAsia" w:hAnsiTheme="minorEastAsia" w:eastAsiaTheme="minorEastAsia" w:cstheme="minorEastAsia"/>
          <w:color w:val="auto"/>
          <w:sz w:val="21"/>
          <w:szCs w:val="21"/>
          <w:highlight w:val="none"/>
        </w:rPr>
        <w:t xml:space="preserve">    单位：人</w:t>
      </w:r>
    </w:p>
    <w:tbl>
      <w:tblPr>
        <w:tblStyle w:val="45"/>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593"/>
        <w:gridCol w:w="1194"/>
        <w:gridCol w:w="1194"/>
        <w:gridCol w:w="1194"/>
        <w:gridCol w:w="1194"/>
        <w:gridCol w:w="1194"/>
        <w:gridCol w:w="1197"/>
      </w:tblGrid>
      <w:tr w14:paraId="0077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97" w:type="dxa"/>
            <w:noWrap w:val="0"/>
            <w:vAlign w:val="center"/>
          </w:tcPr>
          <w:p w14:paraId="2D63EB75">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工种</w:t>
            </w:r>
          </w:p>
        </w:tc>
        <w:tc>
          <w:tcPr>
            <w:tcW w:w="8760" w:type="dxa"/>
            <w:gridSpan w:val="7"/>
            <w:noWrap w:val="0"/>
            <w:vAlign w:val="center"/>
          </w:tcPr>
          <w:p w14:paraId="4DDC9981">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按工程施工阶段投入劳动力情况</w:t>
            </w:r>
          </w:p>
        </w:tc>
      </w:tr>
      <w:tr w14:paraId="53B5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97" w:type="dxa"/>
            <w:noWrap w:val="0"/>
            <w:vAlign w:val="center"/>
          </w:tcPr>
          <w:p w14:paraId="0192416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593" w:type="dxa"/>
            <w:noWrap w:val="0"/>
            <w:vAlign w:val="center"/>
          </w:tcPr>
          <w:p w14:paraId="712EBC6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68E0920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3E738B8B">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5CA0CAC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46E1B84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3440809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333C5533">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35CB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97" w:type="dxa"/>
            <w:noWrap w:val="0"/>
            <w:vAlign w:val="center"/>
          </w:tcPr>
          <w:p w14:paraId="7373869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593" w:type="dxa"/>
            <w:noWrap w:val="0"/>
            <w:vAlign w:val="center"/>
          </w:tcPr>
          <w:p w14:paraId="2AEAAB8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2157BCC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5244D9D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18F1D814">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3EA4747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422740BE">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6847A923">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5DF3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97" w:type="dxa"/>
            <w:noWrap w:val="0"/>
            <w:vAlign w:val="center"/>
          </w:tcPr>
          <w:p w14:paraId="4C3581C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593" w:type="dxa"/>
            <w:noWrap w:val="0"/>
            <w:vAlign w:val="center"/>
          </w:tcPr>
          <w:p w14:paraId="6710D77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52DA161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33F7349D">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1CB68BF5">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58DFB18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57229D8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302B7AB2">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3C19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97" w:type="dxa"/>
            <w:noWrap w:val="0"/>
            <w:vAlign w:val="center"/>
          </w:tcPr>
          <w:p w14:paraId="339BB5C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593" w:type="dxa"/>
            <w:noWrap w:val="0"/>
            <w:vAlign w:val="center"/>
          </w:tcPr>
          <w:p w14:paraId="3BFB5B6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090F2A9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1357D842">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0BBF8B1C">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4D80409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4BFCC27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7BCBE941">
            <w:pPr>
              <w:jc w:val="center"/>
              <w:rPr>
                <w:rFonts w:hint="eastAsia" w:asciiTheme="minorEastAsia" w:hAnsiTheme="minorEastAsia" w:eastAsiaTheme="minorEastAsia" w:cstheme="minorEastAsia"/>
                <w:color w:val="auto"/>
                <w:sz w:val="21"/>
                <w:szCs w:val="21"/>
                <w:highlight w:val="none"/>
                <w:lang w:val="en-US" w:eastAsia="zh-CN" w:bidi="ar-SA"/>
              </w:rPr>
            </w:pPr>
          </w:p>
        </w:tc>
      </w:tr>
      <w:tr w14:paraId="56576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97" w:type="dxa"/>
            <w:noWrap w:val="0"/>
            <w:vAlign w:val="center"/>
          </w:tcPr>
          <w:p w14:paraId="481BC7D6">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593" w:type="dxa"/>
            <w:noWrap w:val="0"/>
            <w:vAlign w:val="center"/>
          </w:tcPr>
          <w:p w14:paraId="4B58695F">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78E2137A">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304ACAD5">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07E5B2C9">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5727B831">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1F6AFFA0">
            <w:pPr>
              <w:jc w:val="center"/>
              <w:rPr>
                <w:rFonts w:hint="eastAsia" w:asciiTheme="minorEastAsia" w:hAnsiTheme="minorEastAsia" w:eastAsiaTheme="minorEastAsia" w:cstheme="minorEastAsia"/>
                <w:color w:val="auto"/>
                <w:sz w:val="21"/>
                <w:szCs w:val="21"/>
                <w:highlight w:val="none"/>
                <w:lang w:val="en-US" w:eastAsia="zh-CN" w:bidi="ar-SA"/>
              </w:rPr>
            </w:pPr>
          </w:p>
        </w:tc>
        <w:tc>
          <w:tcPr>
            <w:tcW w:w="1194" w:type="dxa"/>
            <w:noWrap w:val="0"/>
            <w:vAlign w:val="center"/>
          </w:tcPr>
          <w:p w14:paraId="259E0147">
            <w:pPr>
              <w:jc w:val="center"/>
              <w:rPr>
                <w:rFonts w:hint="eastAsia" w:asciiTheme="minorEastAsia" w:hAnsiTheme="minorEastAsia" w:eastAsiaTheme="minorEastAsia" w:cstheme="minorEastAsia"/>
                <w:color w:val="auto"/>
                <w:sz w:val="21"/>
                <w:szCs w:val="21"/>
                <w:highlight w:val="none"/>
                <w:lang w:val="en-US" w:eastAsia="zh-CN" w:bidi="ar-SA"/>
              </w:rPr>
            </w:pPr>
          </w:p>
        </w:tc>
      </w:tr>
    </w:tbl>
    <w:p w14:paraId="7EAE3E6C">
      <w:pPr>
        <w:spacing w:line="420" w:lineRule="exact"/>
        <w:rPr>
          <w:rFonts w:hint="eastAsia" w:asciiTheme="minorEastAsia" w:hAnsiTheme="minorEastAsia" w:eastAsiaTheme="minorEastAsia" w:cstheme="minorEastAsia"/>
          <w:color w:val="auto"/>
          <w:szCs w:val="21"/>
          <w:highlight w:val="none"/>
        </w:rPr>
      </w:pPr>
    </w:p>
    <w:p w14:paraId="5DCE1450">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14:paraId="196FDBC1">
      <w:pPr>
        <w:spacing w:before="120" w:beforeLines="50" w:after="120" w:afterLines="50" w:line="4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附表四：计划开</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、竣工日期和施工进度网络图</w:t>
      </w:r>
    </w:p>
    <w:p w14:paraId="6BA52A16">
      <w:pPr>
        <w:spacing w:line="42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rPr>
        <w:t>投标人应递交施工进度网络图或施工进度表，说明按招标文件的工期要求进行施工的各个关键日期。</w:t>
      </w:r>
    </w:p>
    <w:p w14:paraId="18B07D2D">
      <w:pPr>
        <w:spacing w:line="42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rPr>
        <w:t>施工进度表可</w:t>
      </w:r>
      <w:r>
        <w:rPr>
          <w:rFonts w:hint="eastAsia" w:asciiTheme="minorEastAsia" w:hAnsiTheme="minorEastAsia" w:eastAsiaTheme="minorEastAsia" w:cstheme="minorEastAsia"/>
          <w:bCs/>
          <w:color w:val="auto"/>
          <w:sz w:val="21"/>
          <w:szCs w:val="21"/>
          <w:highlight w:val="none"/>
        </w:rPr>
        <w:t>采用</w:t>
      </w:r>
      <w:r>
        <w:rPr>
          <w:rFonts w:hint="eastAsia" w:asciiTheme="minorEastAsia" w:hAnsiTheme="minorEastAsia" w:eastAsiaTheme="minorEastAsia" w:cstheme="minorEastAsia"/>
          <w:color w:val="auto"/>
          <w:sz w:val="21"/>
          <w:szCs w:val="21"/>
          <w:highlight w:val="none"/>
        </w:rPr>
        <w:t>网络图或横道图表示。</w:t>
      </w:r>
    </w:p>
    <w:p w14:paraId="02F45FD9">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516A2DA6">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1076E829">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23C72CEF">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3CD1D300">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6F03D844">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1F1127C9">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29AA80A0">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092022C8">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5EB164C2">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56D78021">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2443DA67">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090737E2">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2B402FF1">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2554E1B0">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3CF49735">
      <w:pPr>
        <w:spacing w:line="420" w:lineRule="exact"/>
        <w:ind w:firstLine="420" w:firstLineChars="200"/>
        <w:rPr>
          <w:rFonts w:hint="eastAsia" w:asciiTheme="minorEastAsia" w:hAnsiTheme="minorEastAsia" w:eastAsiaTheme="minorEastAsia" w:cstheme="minorEastAsia"/>
          <w:color w:val="auto"/>
          <w:sz w:val="21"/>
          <w:szCs w:val="21"/>
          <w:highlight w:val="none"/>
        </w:rPr>
      </w:pPr>
    </w:p>
    <w:p w14:paraId="1700131F">
      <w:pPr>
        <w:rPr>
          <w:rFonts w:hint="eastAsia" w:asciiTheme="minorEastAsia" w:hAnsiTheme="minorEastAsia" w:eastAsiaTheme="minorEastAsia" w:cstheme="minorEastAsia"/>
          <w:b w:val="0"/>
          <w:color w:val="auto"/>
          <w:sz w:val="30"/>
          <w:szCs w:val="30"/>
          <w:highlight w:val="none"/>
          <w:lang w:val="en-US" w:eastAsia="zh-CN"/>
        </w:rPr>
      </w:pPr>
      <w:bookmarkStart w:id="2789" w:name="_Toc490999012"/>
      <w:bookmarkStart w:id="2790" w:name="_Toc34168824"/>
      <w:bookmarkStart w:id="2791" w:name="_Toc521754968"/>
      <w:bookmarkStart w:id="2792" w:name="_Toc491205022"/>
      <w:r>
        <w:rPr>
          <w:rFonts w:hint="eastAsia" w:asciiTheme="minorEastAsia" w:hAnsiTheme="minorEastAsia" w:eastAsiaTheme="minorEastAsia" w:cstheme="minorEastAsia"/>
          <w:b w:val="0"/>
          <w:color w:val="auto"/>
          <w:sz w:val="30"/>
          <w:szCs w:val="30"/>
          <w:highlight w:val="none"/>
          <w:lang w:val="en-US" w:eastAsia="zh-CN"/>
        </w:rPr>
        <w:br w:type="page"/>
      </w:r>
    </w:p>
    <w:bookmarkEnd w:id="2789"/>
    <w:bookmarkEnd w:id="2790"/>
    <w:bookmarkEnd w:id="2791"/>
    <w:bookmarkEnd w:id="2792"/>
    <w:p w14:paraId="580572D6">
      <w:pPr>
        <w:pStyle w:val="3"/>
        <w:pageBreakBefore w:val="0"/>
        <w:kinsoku/>
        <w:wordWrap/>
        <w:overflowPunct/>
        <w:bidi w:val="0"/>
        <w:spacing w:line="360" w:lineRule="auto"/>
        <w:jc w:val="left"/>
        <w:rPr>
          <w:rFonts w:hint="eastAsia" w:asciiTheme="minorEastAsia" w:hAnsiTheme="minorEastAsia" w:eastAsiaTheme="minorEastAsia" w:cstheme="minorEastAsia"/>
          <w:color w:val="auto"/>
          <w:sz w:val="28"/>
          <w:szCs w:val="28"/>
          <w:highlight w:val="none"/>
        </w:rPr>
      </w:pPr>
      <w:bookmarkStart w:id="2793" w:name="_Toc122422457"/>
      <w:bookmarkStart w:id="2794" w:name="_Toc22111"/>
      <w:bookmarkStart w:id="2795" w:name="_Toc14298"/>
      <w:r>
        <w:rPr>
          <w:rFonts w:hint="eastAsia" w:asciiTheme="minorEastAsia" w:hAnsiTheme="minorEastAsia" w:eastAsiaTheme="minorEastAsia" w:cstheme="minorEastAsia"/>
          <w:color w:val="auto"/>
          <w:sz w:val="28"/>
          <w:szCs w:val="28"/>
          <w:highlight w:val="none"/>
          <w:lang w:val="en-US" w:eastAsia="zh-CN"/>
        </w:rPr>
        <w:t>七、</w:t>
      </w:r>
      <w:r>
        <w:rPr>
          <w:rFonts w:hint="eastAsia" w:asciiTheme="minorEastAsia" w:hAnsiTheme="minorEastAsia" w:eastAsiaTheme="minorEastAsia" w:cstheme="minorEastAsia"/>
          <w:color w:val="auto"/>
          <w:sz w:val="28"/>
          <w:szCs w:val="28"/>
          <w:highlight w:val="none"/>
        </w:rPr>
        <w:t>承诺函</w:t>
      </w:r>
      <w:bookmarkEnd w:id="2793"/>
      <w:bookmarkEnd w:id="2794"/>
      <w:bookmarkEnd w:id="2795"/>
    </w:p>
    <w:p w14:paraId="0F13BCA1">
      <w:pPr>
        <w:pageBreakBefore w:val="0"/>
        <w:kinsoku/>
        <w:wordWrap/>
        <w:overflowPunct/>
        <w:bidi w:val="0"/>
        <w:spacing w:before="60" w:beforeLines="25" w:after="60" w:afterLines="25" w:line="360" w:lineRule="auto"/>
        <w:ind w:firstLine="562" w:firstLineChars="200"/>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承诺函（一）</w:t>
      </w:r>
    </w:p>
    <w:p w14:paraId="1FFAEC37">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 </w:t>
      </w:r>
      <w:r>
        <w:rPr>
          <w:rFonts w:hint="eastAsia" w:asciiTheme="minorEastAsia" w:hAnsiTheme="minorEastAsia" w:eastAsiaTheme="minorEastAsia" w:cstheme="minorEastAsia"/>
          <w:color w:val="auto"/>
          <w:sz w:val="24"/>
          <w:szCs w:val="24"/>
          <w:highlight w:val="none"/>
          <w:u w:val="single"/>
        </w:rPr>
        <w:t xml:space="preserve"> （招标人名称）  </w:t>
      </w:r>
    </w:p>
    <w:p w14:paraId="0D4F42EF">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u w:val="single"/>
        </w:rPr>
        <w:t xml:space="preserve">  （项目名称）   </w:t>
      </w:r>
      <w:r>
        <w:rPr>
          <w:rFonts w:hint="eastAsia" w:asciiTheme="minorEastAsia" w:hAnsiTheme="minorEastAsia" w:eastAsiaTheme="minorEastAsia" w:cstheme="minorEastAsia"/>
          <w:color w:val="auto"/>
          <w:sz w:val="24"/>
          <w:szCs w:val="24"/>
          <w:highlight w:val="none"/>
        </w:rPr>
        <w:t>招标文件的要求，我单位郑重承诺：</w:t>
      </w:r>
    </w:p>
    <w:p w14:paraId="0E1BA846">
      <w:pPr>
        <w:pageBreakBefore w:val="0"/>
        <w:kinsoku/>
        <w:wordWrap/>
        <w:overflowPunct/>
        <w:bidi w:val="0"/>
        <w:spacing w:before="60" w:beforeLines="25" w:after="60" w:afterLines="25"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1.若我单位有幸成为中标人，</w:t>
      </w:r>
      <w:r>
        <w:rPr>
          <w:rFonts w:hint="eastAsia" w:asciiTheme="minorEastAsia" w:hAnsiTheme="minorEastAsia" w:eastAsiaTheme="minorEastAsia" w:cstheme="minorEastAsia"/>
          <w:color w:val="auto"/>
          <w:sz w:val="24"/>
          <w:szCs w:val="24"/>
          <w:highlight w:val="none"/>
          <w:lang w:val="en-US" w:eastAsia="zh-CN"/>
        </w:rPr>
        <w:t>各</w:t>
      </w:r>
      <w:r>
        <w:rPr>
          <w:rFonts w:hint="eastAsia" w:asciiTheme="minorEastAsia" w:hAnsiTheme="minorEastAsia" w:eastAsiaTheme="minorEastAsia" w:cstheme="minorEastAsia"/>
          <w:color w:val="auto"/>
          <w:sz w:val="24"/>
          <w:szCs w:val="24"/>
          <w:highlight w:val="none"/>
        </w:rPr>
        <w:t>项目负责人及项目团队成员均能按委托人要求的期限及时开展工作，在项目实施全过程中保证人员的稳定。同时，我单位无条件接受并及时响应委托人根据工程实际需要对人员数量所进行的调整，所需费用已包含在总报价中，不再要求额外支付任何相关费用。</w:t>
      </w:r>
    </w:p>
    <w:p w14:paraId="05BBDFC0">
      <w:pPr>
        <w:pageBreakBefore w:val="0"/>
        <w:kinsoku/>
        <w:wordWrap/>
        <w:overflowPunct/>
        <w:bidi w:val="0"/>
        <w:spacing w:before="25" w:after="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2.我单位保证在本次招标过程中无弄虚作假，提供的资料均真实有效。</w:t>
      </w:r>
    </w:p>
    <w:p w14:paraId="2DFFC921">
      <w:pPr>
        <w:pageBreakBefore w:val="0"/>
        <w:kinsoku/>
        <w:wordWrap/>
        <w:overflowPunct/>
        <w:bidi w:val="0"/>
        <w:spacing w:before="25" w:after="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3.我单位保证在本项目的投标活动中，不将本单</w:t>
      </w:r>
      <w:r>
        <w:rPr>
          <w:rFonts w:hint="eastAsia" w:asciiTheme="minorEastAsia" w:hAnsiTheme="minorEastAsia" w:eastAsiaTheme="minorEastAsia" w:cstheme="minorEastAsia"/>
          <w:color w:val="auto"/>
          <w:sz w:val="24"/>
          <w:szCs w:val="24"/>
          <w:highlight w:val="none"/>
          <w:lang w:eastAsia="zh-CN"/>
        </w:rPr>
        <w:t>位的</w:t>
      </w:r>
      <w:r>
        <w:rPr>
          <w:rFonts w:hint="eastAsia" w:asciiTheme="minorEastAsia" w:hAnsiTheme="minorEastAsia" w:eastAsiaTheme="minorEastAsia" w:cstheme="minorEastAsia"/>
          <w:color w:val="auto"/>
          <w:sz w:val="24"/>
          <w:szCs w:val="24"/>
          <w:highlight w:val="none"/>
        </w:rPr>
        <w:t>企业资质转借给其他单位或个人；不以他人名义参与本项目的投标活动；不利用中介人或中介组织参与投标活动；不提供虚假业绩、信誉、人员、设备等证明材料以骗取中标；不参与围标、相互串通投标、排挤其他投标；不损害招标人或其他投标人的合法权益。</w:t>
      </w:r>
    </w:p>
    <w:p w14:paraId="097B1F84">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如我方违背了上述承诺，招标人有权取消我方的中标资格，并将我方的违约行为上报省级建设主管部门，作为不良记录纳入建设市场信用信息管理系统。</w:t>
      </w:r>
    </w:p>
    <w:p w14:paraId="65B8786C">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p>
    <w:p w14:paraId="6FD5DD73">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（电子签章）</w:t>
      </w:r>
    </w:p>
    <w:p w14:paraId="68723BF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（电子签章）</w:t>
      </w:r>
    </w:p>
    <w:p w14:paraId="4AF56301">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日</w:t>
      </w:r>
    </w:p>
    <w:p w14:paraId="0721C224">
      <w:pPr>
        <w:pageBreakBefore w:val="0"/>
        <w:widowControl/>
        <w:kinsoku/>
        <w:wordWrap/>
        <w:overflowPunct/>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br w:type="page"/>
      </w:r>
    </w:p>
    <w:p w14:paraId="7B85FEAA">
      <w:pPr>
        <w:pageBreakBefore w:val="0"/>
        <w:kinsoku/>
        <w:wordWrap/>
        <w:overflowPunct/>
        <w:bidi w:val="0"/>
        <w:spacing w:before="60" w:beforeLines="25" w:after="60" w:afterLines="25" w:line="360" w:lineRule="auto"/>
        <w:jc w:val="both"/>
        <w:rPr>
          <w:rFonts w:hint="eastAsia" w:asciiTheme="minorEastAsia" w:hAnsiTheme="minorEastAsia" w:eastAsiaTheme="minorEastAsia" w:cstheme="minorEastAsia"/>
          <w:b/>
          <w:color w:val="auto"/>
          <w:sz w:val="24"/>
          <w:szCs w:val="24"/>
          <w:highlight w:val="none"/>
        </w:rPr>
      </w:pPr>
    </w:p>
    <w:p w14:paraId="4D89223F">
      <w:pPr>
        <w:pageBreakBefore w:val="0"/>
        <w:kinsoku/>
        <w:wordWrap/>
        <w:overflowPunct/>
        <w:bidi w:val="0"/>
        <w:spacing w:before="60" w:beforeLines="25" w:after="60" w:afterLines="25" w:line="360" w:lineRule="auto"/>
        <w:ind w:firstLine="562" w:firstLineChars="200"/>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承诺函（</w:t>
      </w:r>
      <w:r>
        <w:rPr>
          <w:rFonts w:hint="eastAsia" w:asciiTheme="minorEastAsia" w:hAnsiTheme="minorEastAsia" w:eastAsiaTheme="minorEastAsia" w:cstheme="minorEastAsia"/>
          <w:b/>
          <w:color w:val="auto"/>
          <w:sz w:val="28"/>
          <w:szCs w:val="28"/>
          <w:highlight w:val="none"/>
          <w:lang w:val="en-US" w:eastAsia="zh-CN"/>
        </w:rPr>
        <w:t>二</w:t>
      </w:r>
      <w:r>
        <w:rPr>
          <w:rFonts w:hint="eastAsia" w:asciiTheme="minorEastAsia" w:hAnsiTheme="minorEastAsia" w:eastAsiaTheme="minorEastAsia" w:cstheme="minorEastAsia"/>
          <w:b/>
          <w:color w:val="auto"/>
          <w:sz w:val="28"/>
          <w:szCs w:val="28"/>
          <w:highlight w:val="none"/>
        </w:rPr>
        <w:t>）</w:t>
      </w:r>
    </w:p>
    <w:p w14:paraId="6A66F791">
      <w:pPr>
        <w:pageBreakBefore w:val="0"/>
        <w:kinsoku/>
        <w:wordWrap/>
        <w:overflowPunct/>
        <w:bidi w:val="0"/>
        <w:spacing w:before="60" w:beforeLines="25" w:after="60" w:afterLines="25" w:line="360" w:lineRule="auto"/>
        <w:ind w:firstLine="482" w:firstLineChars="20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根据招标文件要求需要提供</w:t>
      </w:r>
      <w:r>
        <w:rPr>
          <w:rFonts w:hint="eastAsia" w:asciiTheme="minorEastAsia" w:hAnsiTheme="minorEastAsia" w:eastAsiaTheme="minorEastAsia" w:cstheme="minorEastAsia"/>
          <w:b/>
          <w:color w:val="auto"/>
          <w:sz w:val="24"/>
          <w:szCs w:val="24"/>
          <w:highlight w:val="none"/>
          <w:lang w:val="en-US" w:eastAsia="zh-CN"/>
        </w:rPr>
        <w:t>的</w:t>
      </w:r>
      <w:r>
        <w:rPr>
          <w:rFonts w:hint="eastAsia" w:asciiTheme="minorEastAsia" w:hAnsiTheme="minorEastAsia" w:eastAsiaTheme="minorEastAsia" w:cstheme="minorEastAsia"/>
          <w:b/>
          <w:color w:val="auto"/>
          <w:sz w:val="24"/>
          <w:szCs w:val="24"/>
          <w:highlight w:val="none"/>
        </w:rPr>
        <w:t>其他承诺，格式自拟</w:t>
      </w:r>
    </w:p>
    <w:p w14:paraId="78455F9A">
      <w:pPr>
        <w:pageBreakBefore w:val="0"/>
        <w:kinsoku/>
        <w:wordWrap/>
        <w:overflowPunct/>
        <w:bidi w:val="0"/>
        <w:spacing w:before="60" w:beforeLines="25" w:after="60" w:afterLines="25" w:line="360" w:lineRule="auto"/>
        <w:ind w:firstLine="482" w:firstLineChars="200"/>
        <w:jc w:val="center"/>
        <w:rPr>
          <w:rFonts w:hint="eastAsia" w:asciiTheme="minorEastAsia" w:hAnsiTheme="minorEastAsia" w:eastAsiaTheme="minorEastAsia" w:cstheme="minorEastAsia"/>
          <w:b/>
          <w:color w:val="auto"/>
          <w:sz w:val="24"/>
          <w:szCs w:val="24"/>
          <w:highlight w:val="none"/>
        </w:rPr>
      </w:pPr>
    </w:p>
    <w:p w14:paraId="6222A53F">
      <w:pPr>
        <w:pageBreakBefore w:val="0"/>
        <w:widowControl/>
        <w:kinsoku/>
        <w:wordWrap/>
        <w:overflowPunct/>
        <w:bidi w:val="0"/>
        <w:spacing w:line="360" w:lineRule="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55303FDF">
      <w:pPr>
        <w:pStyle w:val="3"/>
        <w:pageBreakBefore w:val="0"/>
        <w:kinsoku/>
        <w:wordWrap/>
        <w:overflowPunct/>
        <w:bidi w:val="0"/>
        <w:spacing w:line="360" w:lineRule="auto"/>
        <w:jc w:val="left"/>
        <w:rPr>
          <w:rFonts w:hint="eastAsia" w:asciiTheme="minorEastAsia" w:hAnsiTheme="minorEastAsia" w:eastAsiaTheme="minorEastAsia" w:cstheme="minorEastAsia"/>
          <w:color w:val="auto"/>
          <w:sz w:val="32"/>
          <w:szCs w:val="32"/>
          <w:highlight w:val="none"/>
          <w:lang w:val="en-US" w:eastAsia="zh-CN"/>
        </w:rPr>
      </w:pPr>
      <w:bookmarkStart w:id="2796" w:name="_Toc724"/>
      <w:bookmarkStart w:id="2797" w:name="_Toc23068"/>
      <w:r>
        <w:rPr>
          <w:rFonts w:hint="eastAsia" w:asciiTheme="minorEastAsia" w:hAnsiTheme="minorEastAsia" w:eastAsiaTheme="minorEastAsia" w:cstheme="minorEastAsia"/>
          <w:color w:val="auto"/>
          <w:sz w:val="32"/>
          <w:szCs w:val="32"/>
          <w:highlight w:val="none"/>
          <w:lang w:val="en-US" w:eastAsia="zh-CN"/>
        </w:rPr>
        <w:t>八、其他材料</w:t>
      </w:r>
      <w:bookmarkEnd w:id="2796"/>
      <w:bookmarkEnd w:id="2797"/>
    </w:p>
    <w:p w14:paraId="0CCED070">
      <w:pPr>
        <w:pageBreakBefore w:val="0"/>
        <w:kinsoku/>
        <w:wordWrap/>
        <w:overflowPunct/>
        <w:bidi w:val="0"/>
        <w:spacing w:before="60" w:beforeLines="25" w:after="60" w:afterLines="25" w:line="360" w:lineRule="auto"/>
        <w:ind w:firstLine="480" w:firstLineChars="200"/>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t>投标人认为有必要提供的其他</w:t>
      </w:r>
      <w:r>
        <w:rPr>
          <w:rFonts w:hint="eastAsia" w:asciiTheme="minorEastAsia" w:hAnsiTheme="minorEastAsia" w:eastAsiaTheme="minorEastAsia" w:cstheme="minorEastAsia"/>
          <w:color w:val="auto"/>
          <w:position w:val="0"/>
          <w:sz w:val="24"/>
          <w:szCs w:val="24"/>
          <w:highlight w:val="none"/>
          <w:lang w:val="en-US" w:eastAsia="zh-CN"/>
        </w:rPr>
        <w:t>材料</w:t>
      </w:r>
      <w:r>
        <w:rPr>
          <w:rFonts w:hint="eastAsia" w:asciiTheme="minorEastAsia" w:hAnsiTheme="minorEastAsia" w:eastAsiaTheme="minorEastAsia" w:cstheme="minorEastAsia"/>
          <w:color w:val="auto"/>
          <w:position w:val="0"/>
          <w:sz w:val="24"/>
          <w:szCs w:val="24"/>
          <w:highlight w:val="none"/>
        </w:rPr>
        <w:t>，可顺序递增。</w:t>
      </w:r>
    </w:p>
    <w:p w14:paraId="0BEF1BB2">
      <w:pPr>
        <w:rPr>
          <w:rFonts w:hint="eastAsia" w:asciiTheme="minorEastAsia" w:hAnsiTheme="minorEastAsia" w:eastAsiaTheme="minorEastAsia" w:cstheme="minorEastAsia"/>
        </w:rPr>
      </w:pPr>
    </w:p>
    <w:p w14:paraId="6DEBC007">
      <w:pPr>
        <w:rPr>
          <w:rFonts w:hint="eastAsia" w:asciiTheme="minorEastAsia" w:hAnsiTheme="minorEastAsia" w:eastAsiaTheme="minorEastAsia" w:cstheme="minorEastAsia"/>
          <w:color w:val="auto"/>
          <w:position w:val="0"/>
          <w:sz w:val="24"/>
          <w:szCs w:val="24"/>
          <w:highlight w:val="none"/>
        </w:rPr>
      </w:pPr>
      <w:r>
        <w:rPr>
          <w:rFonts w:hint="eastAsia" w:asciiTheme="minorEastAsia" w:hAnsiTheme="minorEastAsia" w:eastAsiaTheme="minorEastAsia" w:cstheme="minorEastAsia"/>
          <w:color w:val="auto"/>
          <w:position w:val="0"/>
          <w:sz w:val="24"/>
          <w:szCs w:val="24"/>
          <w:highlight w:val="none"/>
        </w:rPr>
        <w:br w:type="page"/>
      </w:r>
    </w:p>
    <w:p w14:paraId="597963D3">
      <w:pPr>
        <w:pStyle w:val="4"/>
        <w:tabs>
          <w:tab w:val="left" w:pos="900"/>
        </w:tabs>
        <w:bidi w:val="0"/>
        <w:jc w:val="center"/>
        <w:rPr>
          <w:rFonts w:hint="eastAsia" w:cs="宋体"/>
          <w:color w:val="auto"/>
          <w:sz w:val="28"/>
          <w:szCs w:val="28"/>
          <w:highlight w:val="none"/>
          <w:lang w:val="en-US" w:eastAsia="zh-CN"/>
        </w:rPr>
      </w:pPr>
      <w:r>
        <w:rPr>
          <w:rFonts w:hint="eastAsia" w:cs="宋体"/>
          <w:color w:val="auto"/>
          <w:sz w:val="28"/>
          <w:szCs w:val="28"/>
          <w:highlight w:val="none"/>
          <w:lang w:val="en-US" w:eastAsia="zh-CN"/>
        </w:rPr>
        <w:t>招标代理服务费缴纳承诺书</w:t>
      </w:r>
    </w:p>
    <w:p w14:paraId="7BFE86B9">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p>
    <w:p w14:paraId="78F20936">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致：云南玮赢工程咨询管理有限公司</w:t>
      </w:r>
    </w:p>
    <w:p w14:paraId="4043E5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本公司（单位）自愿参与贵方组织的</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活动，若本公司（单位）在本次</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中有幸</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lang w:val="en-US" w:eastAsia="zh-CN"/>
        </w:rPr>
        <w:t>，依据《中华人民共和国民法典》及</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文件约定，就</w:t>
      </w:r>
      <w:r>
        <w:rPr>
          <w:rFonts w:hint="eastAsia" w:ascii="宋体" w:hAnsi="宋体" w:cs="宋体"/>
          <w:color w:val="auto"/>
          <w:sz w:val="24"/>
          <w:szCs w:val="24"/>
          <w:highlight w:val="none"/>
          <w:lang w:val="en-US" w:eastAsia="zh-CN"/>
        </w:rPr>
        <w:t>招标代理服务费</w:t>
      </w:r>
      <w:r>
        <w:rPr>
          <w:rFonts w:hint="eastAsia" w:ascii="宋体" w:hAnsi="宋体" w:eastAsia="宋体" w:cs="宋体"/>
          <w:color w:val="auto"/>
          <w:sz w:val="24"/>
          <w:szCs w:val="24"/>
          <w:highlight w:val="none"/>
          <w:lang w:val="en-US" w:eastAsia="zh-CN"/>
        </w:rPr>
        <w:t>缴纳事宜，郑重作出如下不可撤销承诺：：</w:t>
      </w:r>
    </w:p>
    <w:p w14:paraId="0E3D01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一、本公司（单位）已清晰知晓并自愿遵守本次</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文件中关于</w:t>
      </w:r>
      <w:r>
        <w:rPr>
          <w:rFonts w:hint="eastAsia" w:ascii="宋体" w:hAnsi="宋体" w:cs="宋体"/>
          <w:color w:val="auto"/>
          <w:sz w:val="24"/>
          <w:szCs w:val="24"/>
          <w:highlight w:val="none"/>
          <w:lang w:val="en-US" w:eastAsia="zh-CN"/>
        </w:rPr>
        <w:t>招标代理服务费</w:t>
      </w:r>
      <w:r>
        <w:rPr>
          <w:rFonts w:hint="eastAsia" w:ascii="宋体" w:hAnsi="宋体" w:eastAsia="宋体" w:cs="宋体"/>
          <w:color w:val="auto"/>
          <w:sz w:val="24"/>
          <w:szCs w:val="24"/>
          <w:highlight w:val="none"/>
          <w:lang w:val="en-US" w:eastAsia="zh-CN"/>
        </w:rPr>
        <w:t>的全部规定，明确代理服务费的收取标准、计算方式及缴纳要求，自愿按该标准足额缴纳</w:t>
      </w:r>
      <w:r>
        <w:rPr>
          <w:rFonts w:hint="eastAsia" w:ascii="宋体" w:hAnsi="宋体" w:cs="宋体"/>
          <w:color w:val="auto"/>
          <w:sz w:val="24"/>
          <w:szCs w:val="24"/>
          <w:highlight w:val="none"/>
          <w:lang w:val="en-US" w:eastAsia="zh-CN"/>
        </w:rPr>
        <w:t>招代理服务费</w:t>
      </w:r>
      <w:r>
        <w:rPr>
          <w:rFonts w:hint="eastAsia" w:ascii="宋体" w:hAnsi="宋体" w:eastAsia="宋体" w:cs="宋体"/>
          <w:color w:val="auto"/>
          <w:sz w:val="24"/>
          <w:szCs w:val="24"/>
          <w:highlight w:val="none"/>
          <w:lang w:val="en-US" w:eastAsia="zh-CN"/>
        </w:rPr>
        <w:t>，不提出任何异议。</w:t>
      </w:r>
    </w:p>
    <w:p w14:paraId="5AE38F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w:t>
      </w:r>
      <w:r>
        <w:rPr>
          <w:rFonts w:hint="eastAsia" w:ascii="宋体" w:hAnsi="宋体" w:cs="宋体"/>
          <w:color w:val="auto"/>
          <w:sz w:val="24"/>
          <w:szCs w:val="24"/>
          <w:highlight w:val="none"/>
          <w:lang w:val="en-US" w:eastAsia="zh-CN"/>
        </w:rPr>
        <w:t>招标代理服务费</w:t>
      </w:r>
      <w:r>
        <w:rPr>
          <w:rFonts w:hint="eastAsia" w:ascii="宋体" w:hAnsi="宋体" w:eastAsia="宋体" w:cs="宋体"/>
          <w:color w:val="auto"/>
          <w:sz w:val="24"/>
          <w:szCs w:val="24"/>
          <w:highlight w:val="none"/>
          <w:lang w:val="en-US" w:eastAsia="zh-CN"/>
        </w:rPr>
        <w:t>收费依据：参照《云南省建设工程及政府采购代理服务收费参考意见》（云建招协[2026]11号文），以本项目招标金额为计费基数，按差额定率累进法计算后下浮20%计取，由中标人在领取中标通知书时一次性支付给招标代理机构。</w:t>
      </w:r>
    </w:p>
    <w:p w14:paraId="4C28F0B2">
      <w:pPr>
        <w:keepNext/>
        <w:keepLines/>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三、本公司（单位）承诺，</w:t>
      </w:r>
      <w:r>
        <w:rPr>
          <w:rFonts w:hint="eastAsia" w:ascii="宋体" w:hAnsi="宋体" w:eastAsia="宋体" w:cs="宋体"/>
          <w:b w:val="0"/>
          <w:color w:val="auto"/>
          <w:sz w:val="24"/>
          <w:szCs w:val="24"/>
          <w:highlight w:val="none"/>
        </w:rPr>
        <w:t>在领取</w:t>
      </w:r>
      <w:r>
        <w:rPr>
          <w:rFonts w:hint="eastAsia" w:ascii="宋体" w:hAnsi="宋体" w:cs="宋体"/>
          <w:b w:val="0"/>
          <w:color w:val="auto"/>
          <w:sz w:val="24"/>
          <w:szCs w:val="24"/>
          <w:highlight w:val="none"/>
          <w:lang w:val="en-US" w:eastAsia="zh-CN"/>
        </w:rPr>
        <w:t>中标</w:t>
      </w:r>
      <w:r>
        <w:rPr>
          <w:rFonts w:hint="eastAsia" w:ascii="宋体" w:hAnsi="宋体" w:eastAsia="宋体" w:cs="宋体"/>
          <w:b w:val="0"/>
          <w:color w:val="auto"/>
          <w:sz w:val="24"/>
          <w:szCs w:val="24"/>
          <w:highlight w:val="none"/>
        </w:rPr>
        <w:t>通知书时一次性</w:t>
      </w:r>
      <w:r>
        <w:rPr>
          <w:rFonts w:hint="eastAsia" w:ascii="宋体" w:hAnsi="宋体" w:eastAsia="宋体" w:cs="宋体"/>
          <w:color w:val="auto"/>
          <w:sz w:val="24"/>
          <w:szCs w:val="24"/>
          <w:highlight w:val="none"/>
          <w:lang w:val="en-US" w:eastAsia="zh-CN"/>
        </w:rPr>
        <w:t>向云南玮赢工程咨询管理有限公司支付全部</w:t>
      </w:r>
      <w:r>
        <w:rPr>
          <w:rFonts w:hint="eastAsia" w:ascii="宋体" w:hAnsi="宋体" w:cs="宋体"/>
          <w:color w:val="auto"/>
          <w:sz w:val="24"/>
          <w:szCs w:val="24"/>
          <w:highlight w:val="none"/>
          <w:lang w:val="en-US" w:eastAsia="zh-CN"/>
        </w:rPr>
        <w:t>招标代理服务费</w:t>
      </w:r>
      <w:r>
        <w:rPr>
          <w:rFonts w:hint="eastAsia" w:ascii="宋体" w:hAnsi="宋体" w:eastAsia="宋体" w:cs="宋体"/>
          <w:color w:val="auto"/>
          <w:sz w:val="24"/>
          <w:szCs w:val="24"/>
          <w:highlight w:val="none"/>
          <w:lang w:val="en-US" w:eastAsia="zh-CN"/>
        </w:rPr>
        <w:t>，确保款项足额到账，不拖延、不拖欠。</w:t>
      </w:r>
    </w:p>
    <w:p w14:paraId="4361F522">
      <w:pPr>
        <w:spacing w:before="120" w:after="120" w:line="360" w:lineRule="auto"/>
        <w:ind w:left="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违约责任：</w:t>
      </w:r>
    </w:p>
    <w:p w14:paraId="5E9E627C">
      <w:pPr>
        <w:keepNext/>
        <w:keepLines/>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1.若本公司（单位）有幸成为本</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lang w:val="en-US" w:eastAsia="zh-CN"/>
        </w:rPr>
        <w:t>人后未按本承诺书约定的时间、金额足额缴纳</w:t>
      </w:r>
      <w:r>
        <w:rPr>
          <w:rFonts w:hint="eastAsia" w:ascii="宋体" w:hAnsi="宋体" w:cs="宋体"/>
          <w:color w:val="auto"/>
          <w:sz w:val="24"/>
          <w:szCs w:val="24"/>
          <w:highlight w:val="none"/>
          <w:lang w:val="en-US" w:eastAsia="zh-CN"/>
        </w:rPr>
        <w:t>采购代理服务费</w:t>
      </w:r>
      <w:r>
        <w:rPr>
          <w:rFonts w:hint="eastAsia" w:ascii="宋体" w:hAnsi="宋体" w:eastAsia="宋体" w:cs="宋体"/>
          <w:color w:val="auto"/>
          <w:sz w:val="24"/>
          <w:szCs w:val="24"/>
          <w:highlight w:val="none"/>
          <w:lang w:val="en-US" w:eastAsia="zh-CN"/>
        </w:rPr>
        <w:t>，每逾期一日，应按未缴纳金额的</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‰向贵公司支付违约金；</w:t>
      </w:r>
    </w:p>
    <w:p w14:paraId="5DC9230A">
      <w:pPr>
        <w:keepNext/>
        <w:keepLines/>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2.若本公司（单位）恶意拖欠、拒绝缴纳</w:t>
      </w:r>
      <w:r>
        <w:rPr>
          <w:rFonts w:hint="eastAsia" w:ascii="宋体" w:hAnsi="宋体" w:cs="宋体"/>
          <w:color w:val="auto"/>
          <w:sz w:val="24"/>
          <w:szCs w:val="24"/>
          <w:highlight w:val="none"/>
          <w:lang w:val="en-US" w:eastAsia="zh-CN"/>
        </w:rPr>
        <w:t>招标代理服务费</w:t>
      </w:r>
      <w:r>
        <w:rPr>
          <w:rFonts w:hint="eastAsia" w:ascii="宋体" w:hAnsi="宋体" w:eastAsia="宋体" w:cs="宋体"/>
          <w:color w:val="auto"/>
          <w:sz w:val="24"/>
          <w:szCs w:val="24"/>
          <w:highlight w:val="none"/>
          <w:lang w:val="en-US" w:eastAsia="zh-CN"/>
        </w:rPr>
        <w:t>，贵公司有权凭本承诺书向有管辖权的人法院提起诉讼，追索全部</w:t>
      </w:r>
      <w:r>
        <w:rPr>
          <w:rFonts w:hint="eastAsia" w:ascii="宋体" w:hAnsi="宋体" w:cs="宋体"/>
          <w:color w:val="auto"/>
          <w:sz w:val="24"/>
          <w:szCs w:val="24"/>
          <w:highlight w:val="none"/>
          <w:lang w:val="en-US" w:eastAsia="zh-CN"/>
        </w:rPr>
        <w:t>招标代理服务费</w:t>
      </w:r>
      <w:r>
        <w:rPr>
          <w:rFonts w:hint="eastAsia" w:ascii="宋体" w:hAnsi="宋体" w:eastAsia="宋体" w:cs="宋体"/>
          <w:color w:val="auto"/>
          <w:sz w:val="24"/>
          <w:szCs w:val="24"/>
          <w:highlight w:val="none"/>
          <w:lang w:val="en-US" w:eastAsia="zh-CN"/>
        </w:rPr>
        <w:t>、违约金及相关维权费用，本公司（单位）自愿放弃抗辩权。</w:t>
      </w:r>
    </w:p>
    <w:p w14:paraId="3764B0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五、本承诺书自加盖本公司（单位）公章、法定代表人签字之日起生效，直至本公司（单位）完全履行完毕</w:t>
      </w:r>
      <w:r>
        <w:rPr>
          <w:rFonts w:hint="eastAsia" w:ascii="宋体" w:hAnsi="宋体" w:cs="宋体"/>
          <w:color w:val="auto"/>
          <w:sz w:val="24"/>
          <w:szCs w:val="24"/>
          <w:highlight w:val="none"/>
          <w:lang w:val="en-US" w:eastAsia="zh-CN"/>
        </w:rPr>
        <w:t>招标代理服务费</w:t>
      </w:r>
      <w:r>
        <w:rPr>
          <w:rFonts w:hint="eastAsia" w:ascii="宋体" w:hAnsi="宋体" w:eastAsia="宋体" w:cs="宋体"/>
          <w:color w:val="auto"/>
          <w:sz w:val="24"/>
          <w:szCs w:val="24"/>
          <w:highlight w:val="none"/>
          <w:lang w:val="en-US" w:eastAsia="zh-CN"/>
        </w:rPr>
        <w:t>缴纳义务之日终止。</w:t>
      </w:r>
    </w:p>
    <w:p w14:paraId="212C2B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特此承诺！</w:t>
      </w:r>
    </w:p>
    <w:p w14:paraId="4ABE601D">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p>
    <w:p w14:paraId="49F892DB">
      <w:pPr>
        <w:keepNext w:val="0"/>
        <w:keepLines w:val="0"/>
        <w:pageBreakBefore w:val="0"/>
        <w:widowControl w:val="0"/>
        <w:kinsoku/>
        <w:wordWrap/>
        <w:overflowPunct/>
        <w:topLinePunct w:val="0"/>
        <w:autoSpaceDE/>
        <w:autoSpaceDN/>
        <w:bidi w:val="0"/>
        <w:adjustRightInd/>
        <w:snapToGrid/>
        <w:spacing w:line="360" w:lineRule="auto"/>
        <w:ind w:leftChars="190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承诺方（</w:t>
      </w:r>
      <w:r>
        <w:rPr>
          <w:rFonts w:hint="eastAsia" w:ascii="宋体" w:hAnsi="宋体" w:eastAsia="宋体" w:cs="宋体"/>
          <w:b w:val="0"/>
          <w:bCs w:val="0"/>
          <w:color w:val="auto"/>
          <w:sz w:val="24"/>
          <w:szCs w:val="24"/>
          <w:highlight w:val="none"/>
          <w:lang w:val="en-US" w:eastAsia="zh-CN"/>
        </w:rPr>
        <w:t>电子签章</w:t>
      </w:r>
      <w:r>
        <w:rPr>
          <w:rFonts w:hint="eastAsia" w:ascii="宋体" w:hAnsi="宋体" w:eastAsia="宋体" w:cs="宋体"/>
          <w:color w:val="auto"/>
          <w:sz w:val="24"/>
          <w:szCs w:val="24"/>
          <w:highlight w:val="none"/>
          <w:lang w:val="en-US" w:eastAsia="zh-CN"/>
        </w:rPr>
        <w:t>）：</w:t>
      </w:r>
    </w:p>
    <w:p w14:paraId="6A1658B9">
      <w:pPr>
        <w:keepNext w:val="0"/>
        <w:keepLines w:val="0"/>
        <w:pageBreakBefore w:val="0"/>
        <w:widowControl w:val="0"/>
        <w:kinsoku/>
        <w:wordWrap/>
        <w:overflowPunct/>
        <w:topLinePunct w:val="0"/>
        <w:autoSpaceDE/>
        <w:autoSpaceDN/>
        <w:bidi w:val="0"/>
        <w:adjustRightInd/>
        <w:snapToGrid/>
        <w:spacing w:line="360" w:lineRule="auto"/>
        <w:ind w:leftChars="190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w:t>
      </w:r>
      <w:r>
        <w:rPr>
          <w:rFonts w:hint="eastAsia" w:ascii="宋体" w:hAnsi="宋体" w:eastAsia="宋体" w:cs="宋体"/>
          <w:b w:val="0"/>
          <w:bCs w:val="0"/>
          <w:color w:val="auto"/>
          <w:sz w:val="24"/>
          <w:szCs w:val="24"/>
          <w:highlight w:val="none"/>
          <w:lang w:val="en-US" w:eastAsia="zh-CN"/>
        </w:rPr>
        <w:t>电子签章</w:t>
      </w:r>
      <w:r>
        <w:rPr>
          <w:rFonts w:hint="eastAsia" w:ascii="宋体" w:hAnsi="宋体" w:eastAsia="宋体" w:cs="宋体"/>
          <w:color w:val="auto"/>
          <w:sz w:val="24"/>
          <w:szCs w:val="24"/>
          <w:highlight w:val="none"/>
          <w:lang w:val="en-US" w:eastAsia="zh-CN"/>
        </w:rPr>
        <w:t>）：______________</w:t>
      </w:r>
    </w:p>
    <w:p w14:paraId="1DC70877">
      <w:pPr>
        <w:keepNext w:val="0"/>
        <w:keepLines w:val="0"/>
        <w:pageBreakBefore w:val="0"/>
        <w:widowControl w:val="0"/>
        <w:kinsoku/>
        <w:wordWrap/>
        <w:overflowPunct/>
        <w:topLinePunct w:val="0"/>
        <w:autoSpaceDE/>
        <w:autoSpaceDN/>
        <w:bidi w:val="0"/>
        <w:adjustRightInd/>
        <w:snapToGrid/>
        <w:spacing w:line="360" w:lineRule="auto"/>
        <w:ind w:leftChars="190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联系电话：____________________</w:t>
      </w:r>
    </w:p>
    <w:p w14:paraId="525EE5BF">
      <w:pPr>
        <w:spacing w:line="56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承诺日期：______年____月____日</w:t>
      </w:r>
      <w:r>
        <w:rPr>
          <w:rFonts w:hint="eastAsia" w:asciiTheme="minorEastAsia" w:hAnsiTheme="minorEastAsia" w:eastAsiaTheme="minorEastAsia"/>
          <w:sz w:val="24"/>
          <w:highlight w:val="none"/>
          <w:lang w:val="en-US" w:eastAsia="zh-CN"/>
        </w:rPr>
        <w:t xml:space="preserve">  </w:t>
      </w:r>
    </w:p>
    <w:p w14:paraId="5FDF66F9">
      <w:pPr>
        <w:pageBreakBefore w:val="0"/>
        <w:kinsoku/>
        <w:wordWrap/>
        <w:overflowPunct/>
        <w:bidi w:val="0"/>
        <w:spacing w:before="60" w:beforeLines="25" w:after="60" w:afterLines="25" w:line="360" w:lineRule="auto"/>
        <w:rPr>
          <w:rFonts w:hint="eastAsia" w:asciiTheme="minorEastAsia" w:hAnsiTheme="minorEastAsia" w:eastAsiaTheme="minorEastAsia" w:cstheme="minorEastAsia"/>
          <w:color w:val="auto"/>
          <w:position w:val="0"/>
          <w:sz w:val="24"/>
          <w:szCs w:val="24"/>
          <w:highlight w:val="none"/>
        </w:rPr>
      </w:pPr>
    </w:p>
    <w:sectPr>
      <w:headerReference r:id="rId11" w:type="default"/>
      <w:footerReference r:id="rId12" w:type="default"/>
      <w:footerReference r:id="rId13" w:type="even"/>
      <w:pgSz w:w="11906" w:h="16838"/>
      <w:pgMar w:top="1418" w:right="1134" w:bottom="1418" w:left="1134" w:header="993" w:footer="943"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04176">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1BA31A">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61BA31A">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CDC06">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2579D3">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C2579D3">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52423">
    <w:pPr>
      <w:pStyle w:val="31"/>
      <w:rPr>
        <w:rFonts w:hint="eastAsia" w:cs="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E27D2">
                          <w:pPr>
                            <w:pStyle w:val="3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67E27D2">
                    <w:pPr>
                      <w:pStyle w:val="3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D4013">
    <w:pPr>
      <w:pStyle w:val="31"/>
      <w:tabs>
        <w:tab w:val="center" w:pos="4819"/>
        <w:tab w:val="left" w:pos="5678"/>
        <w:tab w:val="clear" w:pos="4153"/>
        <w:tab w:val="clear" w:pos="8306"/>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68B9E1">
                          <w:pPr>
                            <w:pStyle w:val="31"/>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A68B9E1">
                    <w:pPr>
                      <w:pStyle w:val="31"/>
                    </w:pPr>
                    <w:r>
                      <w:fldChar w:fldCharType="begin"/>
                    </w:r>
                    <w:r>
                      <w:instrText xml:space="preserve"> PAGE  \* MERGEFORMAT </w:instrText>
                    </w:r>
                    <w:r>
                      <w:fldChar w:fldCharType="separate"/>
                    </w:r>
                    <w:r>
                      <w:t>45</w:t>
                    </w:r>
                    <w:r>
                      <w:fldChar w:fldCharType="end"/>
                    </w:r>
                  </w:p>
                </w:txbxContent>
              </v:textbox>
            </v:shape>
          </w:pict>
        </mc:Fallback>
      </mc:AlternateContent>
    </w:r>
    <w:r>
      <w:rPr>
        <w:rFonts w:hint="eastAsia"/>
        <w:lang w:eastAsia="zh-CN"/>
      </w:rPr>
      <w:tab/>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46C6A">
    <w:pPr>
      <w:pStyle w:val="3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ADA39">
                          <w:pPr>
                            <w:pStyle w:val="31"/>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F5ADA39">
                    <w:pPr>
                      <w:pStyle w:val="31"/>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FCD5B">
    <w:pPr>
      <w:pStyle w:val="31"/>
      <w:tabs>
        <w:tab w:val="center" w:pos="4819"/>
        <w:tab w:val="left" w:pos="5678"/>
        <w:tab w:val="clear" w:pos="4153"/>
        <w:tab w:val="clear" w:pos="8306"/>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BB5CB0">
                          <w:pPr>
                            <w:pStyle w:val="31"/>
                          </w:pPr>
                          <w:r>
                            <w:fldChar w:fldCharType="begin"/>
                          </w:r>
                          <w:r>
                            <w:instrText xml:space="preserve"> PAGE  \* MERGEFORMAT </w:instrText>
                          </w:r>
                          <w:r>
                            <w:fldChar w:fldCharType="separate"/>
                          </w:r>
                          <w:r>
                            <w:t>167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4BB5CB0">
                    <w:pPr>
                      <w:pStyle w:val="31"/>
                    </w:pPr>
                    <w:r>
                      <w:fldChar w:fldCharType="begin"/>
                    </w:r>
                    <w:r>
                      <w:instrText xml:space="preserve"> PAGE  \* MERGEFORMAT </w:instrText>
                    </w:r>
                    <w:r>
                      <w:fldChar w:fldCharType="separate"/>
                    </w:r>
                    <w:r>
                      <w:t>167</w:t>
                    </w:r>
                    <w:r>
                      <w:fldChar w:fldCharType="end"/>
                    </w:r>
                  </w:p>
                </w:txbxContent>
              </v:textbox>
            </v:shape>
          </w:pict>
        </mc:Fallback>
      </mc:AlternateContent>
    </w:r>
    <w:r>
      <w:rPr>
        <w:rFonts w:hint="eastAsia"/>
        <w:lang w:eastAsia="zh-CN"/>
      </w:rPr>
      <w:tab/>
    </w:r>
    <w:r>
      <w:rPr>
        <w:rFonts w:hint="eastAsia"/>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1FEED">
    <w:pPr>
      <w:pStyle w:val="3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D5D75">
                          <w:pPr>
                            <w:pStyle w:val="31"/>
                          </w:pPr>
                          <w:r>
                            <w:fldChar w:fldCharType="begin"/>
                          </w:r>
                          <w:r>
                            <w:instrText xml:space="preserve"> PAGE  \* MERGEFORMAT </w:instrText>
                          </w:r>
                          <w:r>
                            <w:fldChar w:fldCharType="separate"/>
                          </w:r>
                          <w:r>
                            <w:t>166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42D5D75">
                    <w:pPr>
                      <w:pStyle w:val="31"/>
                    </w:pPr>
                    <w:r>
                      <w:fldChar w:fldCharType="begin"/>
                    </w:r>
                    <w:r>
                      <w:instrText xml:space="preserve"> PAGE  \* MERGEFORMAT </w:instrText>
                    </w:r>
                    <w:r>
                      <w:fldChar w:fldCharType="separate"/>
                    </w:r>
                    <w:r>
                      <w:t>166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7802A">
    <w:pPr>
      <w:pStyle w:val="32"/>
      <w:pBdr>
        <w:top w:val="none" w:color="auto" w:sz="0" w:space="0"/>
        <w:left w:val="none" w:color="auto" w:sz="0" w:space="0"/>
        <w:bottom w:val="none" w:color="auto" w:sz="0" w:space="0"/>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D3629">
    <w:pPr>
      <w:pStyle w:val="32"/>
      <w:pBdr>
        <w:top w:val="none" w:color="auto" w:sz="0" w:space="0"/>
        <w:left w:val="none" w:color="auto" w:sz="0" w:space="0"/>
        <w:bottom w:val="none" w:color="auto" w:sz="0" w:space="0"/>
        <w:right w:val="none" w:color="auto" w:sz="0" w:space="0"/>
        <w:between w:val="none" w:color="auto" w:sz="0" w:space="0"/>
      </w:pBdr>
      <w:tabs>
        <w:tab w:val="left" w:pos="3655"/>
        <w:tab w:val="clear" w:pos="4153"/>
      </w:tabs>
      <w:rPr>
        <w:rFonts w:hint="eastAsia" w:eastAsia="黑体"/>
        <w:lang w:eastAsia="zh-CN"/>
      </w:rPr>
    </w:pP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926A">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64616">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30A32"/>
    <w:multiLevelType w:val="singleLevel"/>
    <w:tmpl w:val="CFA30A32"/>
    <w:lvl w:ilvl="0" w:tentative="0">
      <w:start w:val="1"/>
      <w:numFmt w:val="decimal"/>
      <w:suff w:val="nothing"/>
      <w:lvlText w:val="（%1）"/>
      <w:lvlJc w:val="left"/>
    </w:lvl>
  </w:abstractNum>
  <w:abstractNum w:abstractNumId="1">
    <w:nsid w:val="01E967D5"/>
    <w:multiLevelType w:val="multilevel"/>
    <w:tmpl w:val="01E967D5"/>
    <w:lvl w:ilvl="0" w:tentative="0">
      <w:start w:val="1"/>
      <w:numFmt w:val="chineseCountingThousand"/>
      <w:pStyle w:val="138"/>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EA56340"/>
    <w:multiLevelType w:val="singleLevel"/>
    <w:tmpl w:val="0EA56340"/>
    <w:lvl w:ilvl="0" w:tentative="0">
      <w:start w:val="1"/>
      <w:numFmt w:val="decimal"/>
      <w:suff w:val="nothing"/>
      <w:lvlText w:val="（%1）"/>
      <w:lvlJc w:val="left"/>
    </w:lvl>
  </w:abstractNum>
  <w:abstractNum w:abstractNumId="3">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4">
    <w:nsid w:val="3AA800C6"/>
    <w:multiLevelType w:val="multilevel"/>
    <w:tmpl w:val="3AA800C6"/>
    <w:lvl w:ilvl="0" w:tentative="0">
      <w:start w:val="1"/>
      <w:numFmt w:val="decimal"/>
      <w:pStyle w:val="142"/>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5">
    <w:nsid w:val="62687BB6"/>
    <w:multiLevelType w:val="multilevel"/>
    <w:tmpl w:val="62687BB6"/>
    <w:lvl w:ilvl="0" w:tentative="0">
      <w:start w:val="1"/>
      <w:numFmt w:val="decimal"/>
      <w:pStyle w:val="147"/>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6">
    <w:nsid w:val="6E87019F"/>
    <w:multiLevelType w:val="multilevel"/>
    <w:tmpl w:val="6E87019F"/>
    <w:lvl w:ilvl="0" w:tentative="0">
      <w:start w:val="1"/>
      <w:numFmt w:val="chineseCountingThousand"/>
      <w:pStyle w:val="140"/>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6"/>
  </w:num>
  <w:num w:numId="3">
    <w:abstractNumId w:val="4"/>
  </w:num>
  <w:num w:numId="4">
    <w:abstractNumId w:val="3"/>
    <w:lvlOverride w:ilvl="0">
      <w:lvl w:ilvl="0" w:tentative="1">
        <w:start w:val="1"/>
        <w:numFmt w:val="decimal"/>
        <w:lvlText w:val="第%1条"/>
        <w:lvlJc w:val="left"/>
        <w:pPr>
          <w:ind w:left="0" w:firstLine="0"/>
        </w:pPr>
      </w:lvl>
    </w:lvlOverride>
    <w:lvlOverride w:ilvl="1">
      <w:lvl w:ilvl="1" w:tentative="1">
        <w:start w:val="1"/>
        <w:numFmt w:val="decimal"/>
        <w:pStyle w:val="143"/>
        <w:lvlText w:val="%1.%2"/>
        <w:lvlJc w:val="left"/>
        <w:pPr>
          <w:ind w:left="1843" w:firstLine="0"/>
        </w:pPr>
      </w:lvl>
    </w:lvlOverride>
    <w:lvlOverride w:ilvl="2">
      <w:lvl w:ilvl="2" w:tentative="1">
        <w:start w:val="1"/>
        <w:numFmt w:val="decimal"/>
        <w:pStyle w:val="144"/>
        <w:lvlText w:val="%1.%2.%3"/>
        <w:lvlJc w:val="left"/>
        <w:pPr>
          <w:ind w:left="2126" w:firstLine="0"/>
        </w:pPr>
      </w:lvl>
    </w:lvlOverride>
    <w:lvlOverride w:ilvl="3">
      <w:lvl w:ilvl="3" w:tentative="1">
        <w:start w:val="1"/>
        <w:numFmt w:val="decimal"/>
        <w:pStyle w:val="145"/>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5">
    <w:abstractNumId w:val="3"/>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146"/>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hideSpellingErrors/>
  <w:documentProtection w:edit="readOnly" w:formatting="1"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AxZmZmMmE2ODZmMjA3NGQ2N2I5Yzc0OGJjNWQyYTQifQ=="/>
  </w:docVars>
  <w:rsids>
    <w:rsidRoot w:val="00172A27"/>
    <w:rsid w:val="00000164"/>
    <w:rsid w:val="0000026C"/>
    <w:rsid w:val="00000881"/>
    <w:rsid w:val="00000FC2"/>
    <w:rsid w:val="00002759"/>
    <w:rsid w:val="000032E1"/>
    <w:rsid w:val="00003D7C"/>
    <w:rsid w:val="00004321"/>
    <w:rsid w:val="000047EB"/>
    <w:rsid w:val="00004E24"/>
    <w:rsid w:val="00005C25"/>
    <w:rsid w:val="00007346"/>
    <w:rsid w:val="00007E38"/>
    <w:rsid w:val="00010BA9"/>
    <w:rsid w:val="00011643"/>
    <w:rsid w:val="00011708"/>
    <w:rsid w:val="000122B5"/>
    <w:rsid w:val="00014A2B"/>
    <w:rsid w:val="00015D0F"/>
    <w:rsid w:val="000167B0"/>
    <w:rsid w:val="00020FD5"/>
    <w:rsid w:val="00021F30"/>
    <w:rsid w:val="00022207"/>
    <w:rsid w:val="0002496B"/>
    <w:rsid w:val="000267F1"/>
    <w:rsid w:val="00026B1A"/>
    <w:rsid w:val="00027AD9"/>
    <w:rsid w:val="00027C76"/>
    <w:rsid w:val="000314D1"/>
    <w:rsid w:val="00031A75"/>
    <w:rsid w:val="0003207D"/>
    <w:rsid w:val="00032A5E"/>
    <w:rsid w:val="00033043"/>
    <w:rsid w:val="00033E4F"/>
    <w:rsid w:val="00033F2C"/>
    <w:rsid w:val="00034C0A"/>
    <w:rsid w:val="00034D9A"/>
    <w:rsid w:val="00035345"/>
    <w:rsid w:val="0003545D"/>
    <w:rsid w:val="00036D34"/>
    <w:rsid w:val="0004015B"/>
    <w:rsid w:val="00040642"/>
    <w:rsid w:val="00040661"/>
    <w:rsid w:val="000407C7"/>
    <w:rsid w:val="00040ABD"/>
    <w:rsid w:val="00040FC3"/>
    <w:rsid w:val="0004118B"/>
    <w:rsid w:val="00042AB8"/>
    <w:rsid w:val="000434CF"/>
    <w:rsid w:val="00043790"/>
    <w:rsid w:val="00046765"/>
    <w:rsid w:val="00046CFE"/>
    <w:rsid w:val="00047EB6"/>
    <w:rsid w:val="00052489"/>
    <w:rsid w:val="000608BB"/>
    <w:rsid w:val="00060C6A"/>
    <w:rsid w:val="00061061"/>
    <w:rsid w:val="00061480"/>
    <w:rsid w:val="0006247A"/>
    <w:rsid w:val="00062740"/>
    <w:rsid w:val="000639C6"/>
    <w:rsid w:val="00064872"/>
    <w:rsid w:val="00066AA8"/>
    <w:rsid w:val="00066BA2"/>
    <w:rsid w:val="00066EBC"/>
    <w:rsid w:val="00067F28"/>
    <w:rsid w:val="00070657"/>
    <w:rsid w:val="00071118"/>
    <w:rsid w:val="000711E9"/>
    <w:rsid w:val="0007357C"/>
    <w:rsid w:val="00074445"/>
    <w:rsid w:val="00076CCF"/>
    <w:rsid w:val="00080160"/>
    <w:rsid w:val="000806BB"/>
    <w:rsid w:val="00081F24"/>
    <w:rsid w:val="00082038"/>
    <w:rsid w:val="000821C6"/>
    <w:rsid w:val="00084E97"/>
    <w:rsid w:val="000903A2"/>
    <w:rsid w:val="00091EC1"/>
    <w:rsid w:val="000922F6"/>
    <w:rsid w:val="00092E4B"/>
    <w:rsid w:val="00093D09"/>
    <w:rsid w:val="00094253"/>
    <w:rsid w:val="000942B7"/>
    <w:rsid w:val="00094522"/>
    <w:rsid w:val="00095BCD"/>
    <w:rsid w:val="0009705F"/>
    <w:rsid w:val="0009725A"/>
    <w:rsid w:val="000979E6"/>
    <w:rsid w:val="00097C26"/>
    <w:rsid w:val="000A0205"/>
    <w:rsid w:val="000A0860"/>
    <w:rsid w:val="000A1569"/>
    <w:rsid w:val="000A4E1C"/>
    <w:rsid w:val="000A5925"/>
    <w:rsid w:val="000A6585"/>
    <w:rsid w:val="000A74D2"/>
    <w:rsid w:val="000A74FF"/>
    <w:rsid w:val="000B202C"/>
    <w:rsid w:val="000B392A"/>
    <w:rsid w:val="000B3F36"/>
    <w:rsid w:val="000B59A8"/>
    <w:rsid w:val="000B5C2A"/>
    <w:rsid w:val="000B6BF6"/>
    <w:rsid w:val="000B6CB2"/>
    <w:rsid w:val="000B7EE0"/>
    <w:rsid w:val="000C206E"/>
    <w:rsid w:val="000C291F"/>
    <w:rsid w:val="000C2F9A"/>
    <w:rsid w:val="000C3FA1"/>
    <w:rsid w:val="000C4414"/>
    <w:rsid w:val="000C46C6"/>
    <w:rsid w:val="000C55F0"/>
    <w:rsid w:val="000C6719"/>
    <w:rsid w:val="000C6894"/>
    <w:rsid w:val="000C7034"/>
    <w:rsid w:val="000C7228"/>
    <w:rsid w:val="000C79C5"/>
    <w:rsid w:val="000C7BF3"/>
    <w:rsid w:val="000D1AEB"/>
    <w:rsid w:val="000D1EAD"/>
    <w:rsid w:val="000D5A95"/>
    <w:rsid w:val="000D659E"/>
    <w:rsid w:val="000D66DD"/>
    <w:rsid w:val="000D77D8"/>
    <w:rsid w:val="000D781F"/>
    <w:rsid w:val="000D7CC5"/>
    <w:rsid w:val="000E39D1"/>
    <w:rsid w:val="000E3FC3"/>
    <w:rsid w:val="000E527C"/>
    <w:rsid w:val="000E5CED"/>
    <w:rsid w:val="000E5DD3"/>
    <w:rsid w:val="000E6055"/>
    <w:rsid w:val="000E7548"/>
    <w:rsid w:val="000E7622"/>
    <w:rsid w:val="000E7B1F"/>
    <w:rsid w:val="000F04D4"/>
    <w:rsid w:val="000F08A4"/>
    <w:rsid w:val="000F2C42"/>
    <w:rsid w:val="000F2CE5"/>
    <w:rsid w:val="0010135D"/>
    <w:rsid w:val="0010177A"/>
    <w:rsid w:val="001034B9"/>
    <w:rsid w:val="00103897"/>
    <w:rsid w:val="00105E65"/>
    <w:rsid w:val="001060DD"/>
    <w:rsid w:val="00107597"/>
    <w:rsid w:val="00110477"/>
    <w:rsid w:val="00110DAB"/>
    <w:rsid w:val="00110F60"/>
    <w:rsid w:val="00111C99"/>
    <w:rsid w:val="00112785"/>
    <w:rsid w:val="0011296E"/>
    <w:rsid w:val="00114B1A"/>
    <w:rsid w:val="00117025"/>
    <w:rsid w:val="00120849"/>
    <w:rsid w:val="001215AE"/>
    <w:rsid w:val="001215C8"/>
    <w:rsid w:val="00122DE9"/>
    <w:rsid w:val="0012317E"/>
    <w:rsid w:val="001245ED"/>
    <w:rsid w:val="00130AF4"/>
    <w:rsid w:val="00130E1D"/>
    <w:rsid w:val="00131206"/>
    <w:rsid w:val="001313A7"/>
    <w:rsid w:val="00131E27"/>
    <w:rsid w:val="00133265"/>
    <w:rsid w:val="0013335E"/>
    <w:rsid w:val="00133789"/>
    <w:rsid w:val="00135452"/>
    <w:rsid w:val="00135525"/>
    <w:rsid w:val="00137DDA"/>
    <w:rsid w:val="0014011C"/>
    <w:rsid w:val="00142B3F"/>
    <w:rsid w:val="00143320"/>
    <w:rsid w:val="001433DA"/>
    <w:rsid w:val="00143F99"/>
    <w:rsid w:val="001449BD"/>
    <w:rsid w:val="0014576B"/>
    <w:rsid w:val="00151062"/>
    <w:rsid w:val="001514F3"/>
    <w:rsid w:val="0015161D"/>
    <w:rsid w:val="0015271F"/>
    <w:rsid w:val="00153613"/>
    <w:rsid w:val="00154288"/>
    <w:rsid w:val="001548A1"/>
    <w:rsid w:val="00154EF0"/>
    <w:rsid w:val="00157380"/>
    <w:rsid w:val="0016077A"/>
    <w:rsid w:val="00160823"/>
    <w:rsid w:val="0016121D"/>
    <w:rsid w:val="00161801"/>
    <w:rsid w:val="00162870"/>
    <w:rsid w:val="00162B09"/>
    <w:rsid w:val="00163181"/>
    <w:rsid w:val="00163ABB"/>
    <w:rsid w:val="00164400"/>
    <w:rsid w:val="00164507"/>
    <w:rsid w:val="001646EC"/>
    <w:rsid w:val="00164F8D"/>
    <w:rsid w:val="001676DD"/>
    <w:rsid w:val="00171D1D"/>
    <w:rsid w:val="001721DA"/>
    <w:rsid w:val="001726A8"/>
    <w:rsid w:val="00172A27"/>
    <w:rsid w:val="0017471C"/>
    <w:rsid w:val="00175399"/>
    <w:rsid w:val="0017664F"/>
    <w:rsid w:val="00177A32"/>
    <w:rsid w:val="00181847"/>
    <w:rsid w:val="00182BB8"/>
    <w:rsid w:val="00182D2E"/>
    <w:rsid w:val="00183023"/>
    <w:rsid w:val="001832D3"/>
    <w:rsid w:val="001838BC"/>
    <w:rsid w:val="001841B7"/>
    <w:rsid w:val="00184AE4"/>
    <w:rsid w:val="00185D55"/>
    <w:rsid w:val="00187107"/>
    <w:rsid w:val="00187936"/>
    <w:rsid w:val="0019297D"/>
    <w:rsid w:val="00192B6C"/>
    <w:rsid w:val="001930D9"/>
    <w:rsid w:val="001939E8"/>
    <w:rsid w:val="001949BB"/>
    <w:rsid w:val="00196233"/>
    <w:rsid w:val="001966B1"/>
    <w:rsid w:val="001A0177"/>
    <w:rsid w:val="001A03E5"/>
    <w:rsid w:val="001A0DA9"/>
    <w:rsid w:val="001A2FAE"/>
    <w:rsid w:val="001A3896"/>
    <w:rsid w:val="001A4402"/>
    <w:rsid w:val="001A46C8"/>
    <w:rsid w:val="001A4A92"/>
    <w:rsid w:val="001A5797"/>
    <w:rsid w:val="001A5DAB"/>
    <w:rsid w:val="001A6713"/>
    <w:rsid w:val="001A6F32"/>
    <w:rsid w:val="001B0125"/>
    <w:rsid w:val="001B14A7"/>
    <w:rsid w:val="001B1CDD"/>
    <w:rsid w:val="001B2949"/>
    <w:rsid w:val="001B2BFB"/>
    <w:rsid w:val="001B2D54"/>
    <w:rsid w:val="001B5EC7"/>
    <w:rsid w:val="001B7108"/>
    <w:rsid w:val="001C13CF"/>
    <w:rsid w:val="001C1F97"/>
    <w:rsid w:val="001C2163"/>
    <w:rsid w:val="001C3C23"/>
    <w:rsid w:val="001C4CDF"/>
    <w:rsid w:val="001C5D02"/>
    <w:rsid w:val="001D17A6"/>
    <w:rsid w:val="001D2B5A"/>
    <w:rsid w:val="001D321D"/>
    <w:rsid w:val="001D3951"/>
    <w:rsid w:val="001D3B45"/>
    <w:rsid w:val="001D4206"/>
    <w:rsid w:val="001D47C1"/>
    <w:rsid w:val="001D5FB4"/>
    <w:rsid w:val="001D7E58"/>
    <w:rsid w:val="001E0017"/>
    <w:rsid w:val="001E05D8"/>
    <w:rsid w:val="001E0A40"/>
    <w:rsid w:val="001E0CB3"/>
    <w:rsid w:val="001E1038"/>
    <w:rsid w:val="001E16AC"/>
    <w:rsid w:val="001E228B"/>
    <w:rsid w:val="001E2983"/>
    <w:rsid w:val="001E2A66"/>
    <w:rsid w:val="001E32A6"/>
    <w:rsid w:val="001E3CAB"/>
    <w:rsid w:val="001E433D"/>
    <w:rsid w:val="001E4DDC"/>
    <w:rsid w:val="001E5103"/>
    <w:rsid w:val="001E5BE2"/>
    <w:rsid w:val="001F2AC8"/>
    <w:rsid w:val="001F3154"/>
    <w:rsid w:val="001F3DC5"/>
    <w:rsid w:val="001F41EA"/>
    <w:rsid w:val="001F44A1"/>
    <w:rsid w:val="001F54D4"/>
    <w:rsid w:val="001F5DE1"/>
    <w:rsid w:val="001F7238"/>
    <w:rsid w:val="001F752A"/>
    <w:rsid w:val="002011AB"/>
    <w:rsid w:val="00201717"/>
    <w:rsid w:val="00201CF0"/>
    <w:rsid w:val="0020273B"/>
    <w:rsid w:val="00202DE6"/>
    <w:rsid w:val="0020362F"/>
    <w:rsid w:val="002040B7"/>
    <w:rsid w:val="002045FE"/>
    <w:rsid w:val="0020569B"/>
    <w:rsid w:val="00207757"/>
    <w:rsid w:val="00207B98"/>
    <w:rsid w:val="00210892"/>
    <w:rsid w:val="00210E6F"/>
    <w:rsid w:val="00210FAA"/>
    <w:rsid w:val="002110FD"/>
    <w:rsid w:val="00211BF6"/>
    <w:rsid w:val="00211F0D"/>
    <w:rsid w:val="002125B3"/>
    <w:rsid w:val="002127FD"/>
    <w:rsid w:val="002130BA"/>
    <w:rsid w:val="00213690"/>
    <w:rsid w:val="00213943"/>
    <w:rsid w:val="0021423C"/>
    <w:rsid w:val="00215ABB"/>
    <w:rsid w:val="00216789"/>
    <w:rsid w:val="0021739F"/>
    <w:rsid w:val="002178A9"/>
    <w:rsid w:val="00220294"/>
    <w:rsid w:val="002221A8"/>
    <w:rsid w:val="00222904"/>
    <w:rsid w:val="002236E6"/>
    <w:rsid w:val="00223EE0"/>
    <w:rsid w:val="00224DAA"/>
    <w:rsid w:val="00224FB7"/>
    <w:rsid w:val="00225679"/>
    <w:rsid w:val="00226599"/>
    <w:rsid w:val="00230861"/>
    <w:rsid w:val="0023243A"/>
    <w:rsid w:val="00233B24"/>
    <w:rsid w:val="00233ED3"/>
    <w:rsid w:val="00234721"/>
    <w:rsid w:val="002357F3"/>
    <w:rsid w:val="002362F6"/>
    <w:rsid w:val="00236420"/>
    <w:rsid w:val="00236555"/>
    <w:rsid w:val="00236856"/>
    <w:rsid w:val="00237F36"/>
    <w:rsid w:val="00240296"/>
    <w:rsid w:val="002402CA"/>
    <w:rsid w:val="002406F2"/>
    <w:rsid w:val="00241021"/>
    <w:rsid w:val="00243958"/>
    <w:rsid w:val="002458A1"/>
    <w:rsid w:val="00245E7C"/>
    <w:rsid w:val="002460F2"/>
    <w:rsid w:val="0024624B"/>
    <w:rsid w:val="002464DA"/>
    <w:rsid w:val="00247343"/>
    <w:rsid w:val="0024750E"/>
    <w:rsid w:val="00247B39"/>
    <w:rsid w:val="0025145C"/>
    <w:rsid w:val="0025191B"/>
    <w:rsid w:val="00251983"/>
    <w:rsid w:val="002519C6"/>
    <w:rsid w:val="00251EA8"/>
    <w:rsid w:val="00251EEB"/>
    <w:rsid w:val="00253836"/>
    <w:rsid w:val="00256315"/>
    <w:rsid w:val="00256BB9"/>
    <w:rsid w:val="0025706D"/>
    <w:rsid w:val="00257F65"/>
    <w:rsid w:val="0026066E"/>
    <w:rsid w:val="00260FA0"/>
    <w:rsid w:val="0026130D"/>
    <w:rsid w:val="002626FC"/>
    <w:rsid w:val="00264148"/>
    <w:rsid w:val="00264349"/>
    <w:rsid w:val="00264B31"/>
    <w:rsid w:val="00264ED1"/>
    <w:rsid w:val="0026542E"/>
    <w:rsid w:val="002654B5"/>
    <w:rsid w:val="002663C0"/>
    <w:rsid w:val="00266949"/>
    <w:rsid w:val="00266F08"/>
    <w:rsid w:val="00266F0D"/>
    <w:rsid w:val="00270FEB"/>
    <w:rsid w:val="00271C12"/>
    <w:rsid w:val="0027271A"/>
    <w:rsid w:val="00272FF5"/>
    <w:rsid w:val="00273F4D"/>
    <w:rsid w:val="00276680"/>
    <w:rsid w:val="002805B4"/>
    <w:rsid w:val="00280B0F"/>
    <w:rsid w:val="00282543"/>
    <w:rsid w:val="00283CD1"/>
    <w:rsid w:val="00284B49"/>
    <w:rsid w:val="0028674B"/>
    <w:rsid w:val="00287707"/>
    <w:rsid w:val="00291218"/>
    <w:rsid w:val="00291630"/>
    <w:rsid w:val="00292A54"/>
    <w:rsid w:val="00293D67"/>
    <w:rsid w:val="0029553A"/>
    <w:rsid w:val="0029594A"/>
    <w:rsid w:val="00295E13"/>
    <w:rsid w:val="002966F9"/>
    <w:rsid w:val="00296954"/>
    <w:rsid w:val="002A008A"/>
    <w:rsid w:val="002A070C"/>
    <w:rsid w:val="002A1725"/>
    <w:rsid w:val="002A1D39"/>
    <w:rsid w:val="002A1F78"/>
    <w:rsid w:val="002A2EDE"/>
    <w:rsid w:val="002A3197"/>
    <w:rsid w:val="002A3519"/>
    <w:rsid w:val="002A4520"/>
    <w:rsid w:val="002A511A"/>
    <w:rsid w:val="002A740D"/>
    <w:rsid w:val="002A741A"/>
    <w:rsid w:val="002B1B1F"/>
    <w:rsid w:val="002B5EA8"/>
    <w:rsid w:val="002B6523"/>
    <w:rsid w:val="002B6788"/>
    <w:rsid w:val="002B6923"/>
    <w:rsid w:val="002B6A66"/>
    <w:rsid w:val="002B7823"/>
    <w:rsid w:val="002B7B35"/>
    <w:rsid w:val="002B7EC8"/>
    <w:rsid w:val="002C168B"/>
    <w:rsid w:val="002C2144"/>
    <w:rsid w:val="002C281F"/>
    <w:rsid w:val="002C3910"/>
    <w:rsid w:val="002C521A"/>
    <w:rsid w:val="002C6066"/>
    <w:rsid w:val="002C61F7"/>
    <w:rsid w:val="002C68E9"/>
    <w:rsid w:val="002C79C5"/>
    <w:rsid w:val="002D1101"/>
    <w:rsid w:val="002D395D"/>
    <w:rsid w:val="002D3F21"/>
    <w:rsid w:val="002D443C"/>
    <w:rsid w:val="002D4440"/>
    <w:rsid w:val="002D5BCB"/>
    <w:rsid w:val="002D6849"/>
    <w:rsid w:val="002D7E0F"/>
    <w:rsid w:val="002E0B9A"/>
    <w:rsid w:val="002E14AB"/>
    <w:rsid w:val="002E1838"/>
    <w:rsid w:val="002E1F6F"/>
    <w:rsid w:val="002E2712"/>
    <w:rsid w:val="002E33C7"/>
    <w:rsid w:val="002E4074"/>
    <w:rsid w:val="002E5821"/>
    <w:rsid w:val="002E7219"/>
    <w:rsid w:val="002F05ED"/>
    <w:rsid w:val="002F088F"/>
    <w:rsid w:val="002F1694"/>
    <w:rsid w:val="002F2671"/>
    <w:rsid w:val="002F4002"/>
    <w:rsid w:val="002F40B3"/>
    <w:rsid w:val="002F42D4"/>
    <w:rsid w:val="002F6FF3"/>
    <w:rsid w:val="002F7371"/>
    <w:rsid w:val="002F7EFA"/>
    <w:rsid w:val="003001A0"/>
    <w:rsid w:val="00300614"/>
    <w:rsid w:val="00300BE2"/>
    <w:rsid w:val="00302016"/>
    <w:rsid w:val="00302482"/>
    <w:rsid w:val="00302DAC"/>
    <w:rsid w:val="0030446B"/>
    <w:rsid w:val="00304667"/>
    <w:rsid w:val="00304A7C"/>
    <w:rsid w:val="00305794"/>
    <w:rsid w:val="003100E4"/>
    <w:rsid w:val="003104DC"/>
    <w:rsid w:val="003123F2"/>
    <w:rsid w:val="00313364"/>
    <w:rsid w:val="003142CF"/>
    <w:rsid w:val="00314912"/>
    <w:rsid w:val="0031497C"/>
    <w:rsid w:val="00315845"/>
    <w:rsid w:val="00316308"/>
    <w:rsid w:val="00322AED"/>
    <w:rsid w:val="00322D77"/>
    <w:rsid w:val="00324E1E"/>
    <w:rsid w:val="00325641"/>
    <w:rsid w:val="00325779"/>
    <w:rsid w:val="00326EC0"/>
    <w:rsid w:val="003274FF"/>
    <w:rsid w:val="00327732"/>
    <w:rsid w:val="0032789B"/>
    <w:rsid w:val="00327C71"/>
    <w:rsid w:val="003307A8"/>
    <w:rsid w:val="003316AB"/>
    <w:rsid w:val="00335546"/>
    <w:rsid w:val="00335787"/>
    <w:rsid w:val="00335799"/>
    <w:rsid w:val="003363DC"/>
    <w:rsid w:val="00336D40"/>
    <w:rsid w:val="00340F82"/>
    <w:rsid w:val="00342B1E"/>
    <w:rsid w:val="00342D60"/>
    <w:rsid w:val="00344CC1"/>
    <w:rsid w:val="00347E8A"/>
    <w:rsid w:val="003502BE"/>
    <w:rsid w:val="003511DC"/>
    <w:rsid w:val="00351511"/>
    <w:rsid w:val="00351EBB"/>
    <w:rsid w:val="00352C95"/>
    <w:rsid w:val="003536BA"/>
    <w:rsid w:val="0035470E"/>
    <w:rsid w:val="003548C4"/>
    <w:rsid w:val="00354DF7"/>
    <w:rsid w:val="00355B69"/>
    <w:rsid w:val="00355FA5"/>
    <w:rsid w:val="00356212"/>
    <w:rsid w:val="0035740C"/>
    <w:rsid w:val="00357FC9"/>
    <w:rsid w:val="003624C4"/>
    <w:rsid w:val="00365CD6"/>
    <w:rsid w:val="003663A8"/>
    <w:rsid w:val="00366D29"/>
    <w:rsid w:val="003673A0"/>
    <w:rsid w:val="00367426"/>
    <w:rsid w:val="00367660"/>
    <w:rsid w:val="00367D3F"/>
    <w:rsid w:val="00367F9F"/>
    <w:rsid w:val="003701DC"/>
    <w:rsid w:val="00371090"/>
    <w:rsid w:val="00372573"/>
    <w:rsid w:val="003732A8"/>
    <w:rsid w:val="00373522"/>
    <w:rsid w:val="0037398A"/>
    <w:rsid w:val="00373D6E"/>
    <w:rsid w:val="00373F80"/>
    <w:rsid w:val="00374E66"/>
    <w:rsid w:val="003751E4"/>
    <w:rsid w:val="003761A0"/>
    <w:rsid w:val="00380CBC"/>
    <w:rsid w:val="003824E2"/>
    <w:rsid w:val="00382920"/>
    <w:rsid w:val="00384569"/>
    <w:rsid w:val="003845C3"/>
    <w:rsid w:val="003847D4"/>
    <w:rsid w:val="00384EF0"/>
    <w:rsid w:val="00385237"/>
    <w:rsid w:val="00386635"/>
    <w:rsid w:val="003871BB"/>
    <w:rsid w:val="00387481"/>
    <w:rsid w:val="003879F3"/>
    <w:rsid w:val="00387B0D"/>
    <w:rsid w:val="00387F88"/>
    <w:rsid w:val="00390322"/>
    <w:rsid w:val="00390AEE"/>
    <w:rsid w:val="003927E4"/>
    <w:rsid w:val="0039308A"/>
    <w:rsid w:val="00393419"/>
    <w:rsid w:val="003952E1"/>
    <w:rsid w:val="00395E2C"/>
    <w:rsid w:val="00397797"/>
    <w:rsid w:val="003A0914"/>
    <w:rsid w:val="003A192F"/>
    <w:rsid w:val="003A2AAD"/>
    <w:rsid w:val="003A32F3"/>
    <w:rsid w:val="003A43C9"/>
    <w:rsid w:val="003A58C4"/>
    <w:rsid w:val="003A5DC8"/>
    <w:rsid w:val="003A6181"/>
    <w:rsid w:val="003A660A"/>
    <w:rsid w:val="003A6783"/>
    <w:rsid w:val="003A6897"/>
    <w:rsid w:val="003A68F6"/>
    <w:rsid w:val="003A6B66"/>
    <w:rsid w:val="003A7290"/>
    <w:rsid w:val="003B1F17"/>
    <w:rsid w:val="003B2E13"/>
    <w:rsid w:val="003B3AFE"/>
    <w:rsid w:val="003B3B92"/>
    <w:rsid w:val="003B476B"/>
    <w:rsid w:val="003B5632"/>
    <w:rsid w:val="003B643A"/>
    <w:rsid w:val="003B7784"/>
    <w:rsid w:val="003B7DF2"/>
    <w:rsid w:val="003C1117"/>
    <w:rsid w:val="003C1156"/>
    <w:rsid w:val="003C1F2D"/>
    <w:rsid w:val="003C2F36"/>
    <w:rsid w:val="003C3158"/>
    <w:rsid w:val="003C39A7"/>
    <w:rsid w:val="003C74E9"/>
    <w:rsid w:val="003C76D5"/>
    <w:rsid w:val="003C7E0B"/>
    <w:rsid w:val="003D1866"/>
    <w:rsid w:val="003D1922"/>
    <w:rsid w:val="003D314A"/>
    <w:rsid w:val="003D3275"/>
    <w:rsid w:val="003D3C34"/>
    <w:rsid w:val="003D6656"/>
    <w:rsid w:val="003D6FC7"/>
    <w:rsid w:val="003E0091"/>
    <w:rsid w:val="003E0426"/>
    <w:rsid w:val="003E0C65"/>
    <w:rsid w:val="003E0D45"/>
    <w:rsid w:val="003E5091"/>
    <w:rsid w:val="003E59F2"/>
    <w:rsid w:val="003E7220"/>
    <w:rsid w:val="003E7C9B"/>
    <w:rsid w:val="003F2A32"/>
    <w:rsid w:val="003F5F2A"/>
    <w:rsid w:val="003F6FAA"/>
    <w:rsid w:val="003F77B2"/>
    <w:rsid w:val="00400170"/>
    <w:rsid w:val="00400379"/>
    <w:rsid w:val="00400599"/>
    <w:rsid w:val="00401544"/>
    <w:rsid w:val="00401D60"/>
    <w:rsid w:val="00401D9B"/>
    <w:rsid w:val="00403D26"/>
    <w:rsid w:val="0040520B"/>
    <w:rsid w:val="00405A89"/>
    <w:rsid w:val="004069F8"/>
    <w:rsid w:val="00407D06"/>
    <w:rsid w:val="00410087"/>
    <w:rsid w:val="0041092D"/>
    <w:rsid w:val="00410EEC"/>
    <w:rsid w:val="00414155"/>
    <w:rsid w:val="00414772"/>
    <w:rsid w:val="004151A8"/>
    <w:rsid w:val="00415E37"/>
    <w:rsid w:val="004161A9"/>
    <w:rsid w:val="00416859"/>
    <w:rsid w:val="00416C7D"/>
    <w:rsid w:val="00416CD0"/>
    <w:rsid w:val="0041728C"/>
    <w:rsid w:val="00420E83"/>
    <w:rsid w:val="00420EC4"/>
    <w:rsid w:val="00422B3B"/>
    <w:rsid w:val="0042341E"/>
    <w:rsid w:val="00423EF2"/>
    <w:rsid w:val="00423F52"/>
    <w:rsid w:val="00424108"/>
    <w:rsid w:val="00426CE9"/>
    <w:rsid w:val="00427F6E"/>
    <w:rsid w:val="00430299"/>
    <w:rsid w:val="00431E94"/>
    <w:rsid w:val="00432D0F"/>
    <w:rsid w:val="004334DA"/>
    <w:rsid w:val="0043550E"/>
    <w:rsid w:val="00437C08"/>
    <w:rsid w:val="00441402"/>
    <w:rsid w:val="00441B17"/>
    <w:rsid w:val="0044248C"/>
    <w:rsid w:val="0044267B"/>
    <w:rsid w:val="00442BFC"/>
    <w:rsid w:val="00445219"/>
    <w:rsid w:val="00445495"/>
    <w:rsid w:val="004467EB"/>
    <w:rsid w:val="0044694C"/>
    <w:rsid w:val="00446FA2"/>
    <w:rsid w:val="004479C7"/>
    <w:rsid w:val="004479E5"/>
    <w:rsid w:val="00447DFC"/>
    <w:rsid w:val="00450B31"/>
    <w:rsid w:val="00453A9D"/>
    <w:rsid w:val="0045411A"/>
    <w:rsid w:val="00455B09"/>
    <w:rsid w:val="00455FC7"/>
    <w:rsid w:val="004575A0"/>
    <w:rsid w:val="0045796B"/>
    <w:rsid w:val="00460E8F"/>
    <w:rsid w:val="004619D7"/>
    <w:rsid w:val="00461F7C"/>
    <w:rsid w:val="004627EF"/>
    <w:rsid w:val="0046283A"/>
    <w:rsid w:val="00463415"/>
    <w:rsid w:val="004638EB"/>
    <w:rsid w:val="004643C7"/>
    <w:rsid w:val="00465EFA"/>
    <w:rsid w:val="00466D24"/>
    <w:rsid w:val="0046714E"/>
    <w:rsid w:val="00467C8A"/>
    <w:rsid w:val="0047020D"/>
    <w:rsid w:val="0047052C"/>
    <w:rsid w:val="004714DF"/>
    <w:rsid w:val="00471FE4"/>
    <w:rsid w:val="004730AE"/>
    <w:rsid w:val="004734D4"/>
    <w:rsid w:val="00480B10"/>
    <w:rsid w:val="00481164"/>
    <w:rsid w:val="004838A2"/>
    <w:rsid w:val="00483C4E"/>
    <w:rsid w:val="00484061"/>
    <w:rsid w:val="00485621"/>
    <w:rsid w:val="00487360"/>
    <w:rsid w:val="00490C20"/>
    <w:rsid w:val="00490DF6"/>
    <w:rsid w:val="004921B6"/>
    <w:rsid w:val="004923A3"/>
    <w:rsid w:val="00492613"/>
    <w:rsid w:val="004953D5"/>
    <w:rsid w:val="004958D7"/>
    <w:rsid w:val="00496648"/>
    <w:rsid w:val="004968E8"/>
    <w:rsid w:val="004A0026"/>
    <w:rsid w:val="004A0A61"/>
    <w:rsid w:val="004A103A"/>
    <w:rsid w:val="004A44BB"/>
    <w:rsid w:val="004A456E"/>
    <w:rsid w:val="004A6205"/>
    <w:rsid w:val="004A74D4"/>
    <w:rsid w:val="004A7C96"/>
    <w:rsid w:val="004A7DE0"/>
    <w:rsid w:val="004B0836"/>
    <w:rsid w:val="004B0978"/>
    <w:rsid w:val="004B0FC1"/>
    <w:rsid w:val="004B1DD8"/>
    <w:rsid w:val="004B39DA"/>
    <w:rsid w:val="004B4F28"/>
    <w:rsid w:val="004B5796"/>
    <w:rsid w:val="004B5BD8"/>
    <w:rsid w:val="004C04D0"/>
    <w:rsid w:val="004C0565"/>
    <w:rsid w:val="004C0638"/>
    <w:rsid w:val="004C126D"/>
    <w:rsid w:val="004C1352"/>
    <w:rsid w:val="004C4013"/>
    <w:rsid w:val="004C5284"/>
    <w:rsid w:val="004C6F28"/>
    <w:rsid w:val="004C7865"/>
    <w:rsid w:val="004C7ADE"/>
    <w:rsid w:val="004C7ED3"/>
    <w:rsid w:val="004D17B0"/>
    <w:rsid w:val="004D2051"/>
    <w:rsid w:val="004D2AA4"/>
    <w:rsid w:val="004D46BE"/>
    <w:rsid w:val="004D528E"/>
    <w:rsid w:val="004D78EB"/>
    <w:rsid w:val="004E18CD"/>
    <w:rsid w:val="004E24DA"/>
    <w:rsid w:val="004E2B44"/>
    <w:rsid w:val="004E3739"/>
    <w:rsid w:val="004E3E85"/>
    <w:rsid w:val="004E4E93"/>
    <w:rsid w:val="004E5026"/>
    <w:rsid w:val="004E5FF8"/>
    <w:rsid w:val="004E616D"/>
    <w:rsid w:val="004E6823"/>
    <w:rsid w:val="004E6E37"/>
    <w:rsid w:val="004F0C36"/>
    <w:rsid w:val="004F1003"/>
    <w:rsid w:val="004F1666"/>
    <w:rsid w:val="004F1BD2"/>
    <w:rsid w:val="004F1DC6"/>
    <w:rsid w:val="004F2454"/>
    <w:rsid w:val="004F2479"/>
    <w:rsid w:val="004F2AA0"/>
    <w:rsid w:val="004F39D0"/>
    <w:rsid w:val="004F3D11"/>
    <w:rsid w:val="004F4513"/>
    <w:rsid w:val="004F4A77"/>
    <w:rsid w:val="004F63C7"/>
    <w:rsid w:val="004F6E0D"/>
    <w:rsid w:val="004F764E"/>
    <w:rsid w:val="004F7B52"/>
    <w:rsid w:val="004F7D88"/>
    <w:rsid w:val="00500546"/>
    <w:rsid w:val="00502457"/>
    <w:rsid w:val="00502844"/>
    <w:rsid w:val="00502ACB"/>
    <w:rsid w:val="00502EC2"/>
    <w:rsid w:val="00502FEF"/>
    <w:rsid w:val="005050AE"/>
    <w:rsid w:val="0050638A"/>
    <w:rsid w:val="0050640C"/>
    <w:rsid w:val="00506716"/>
    <w:rsid w:val="00506CA0"/>
    <w:rsid w:val="0051155F"/>
    <w:rsid w:val="0051199F"/>
    <w:rsid w:val="005135AB"/>
    <w:rsid w:val="00516430"/>
    <w:rsid w:val="00516732"/>
    <w:rsid w:val="00517084"/>
    <w:rsid w:val="005174A0"/>
    <w:rsid w:val="00517D5D"/>
    <w:rsid w:val="00520233"/>
    <w:rsid w:val="00521418"/>
    <w:rsid w:val="005229BD"/>
    <w:rsid w:val="005229FE"/>
    <w:rsid w:val="00523184"/>
    <w:rsid w:val="00523945"/>
    <w:rsid w:val="00524200"/>
    <w:rsid w:val="005247C9"/>
    <w:rsid w:val="00524CE5"/>
    <w:rsid w:val="00525BC2"/>
    <w:rsid w:val="0052639C"/>
    <w:rsid w:val="00527B1C"/>
    <w:rsid w:val="00530ACF"/>
    <w:rsid w:val="00530CEF"/>
    <w:rsid w:val="005310F5"/>
    <w:rsid w:val="00531D82"/>
    <w:rsid w:val="005323B2"/>
    <w:rsid w:val="00533FBF"/>
    <w:rsid w:val="005340A8"/>
    <w:rsid w:val="00534258"/>
    <w:rsid w:val="0053497D"/>
    <w:rsid w:val="0053532D"/>
    <w:rsid w:val="00535D64"/>
    <w:rsid w:val="005370D0"/>
    <w:rsid w:val="00537C28"/>
    <w:rsid w:val="005417B2"/>
    <w:rsid w:val="005419AC"/>
    <w:rsid w:val="0054327B"/>
    <w:rsid w:val="005436F8"/>
    <w:rsid w:val="00544813"/>
    <w:rsid w:val="0054578B"/>
    <w:rsid w:val="00545AD9"/>
    <w:rsid w:val="00545BED"/>
    <w:rsid w:val="00547D54"/>
    <w:rsid w:val="00550001"/>
    <w:rsid w:val="00550965"/>
    <w:rsid w:val="00550B94"/>
    <w:rsid w:val="005515C7"/>
    <w:rsid w:val="0055167D"/>
    <w:rsid w:val="00551B34"/>
    <w:rsid w:val="00551F05"/>
    <w:rsid w:val="00552812"/>
    <w:rsid w:val="00554721"/>
    <w:rsid w:val="0055574E"/>
    <w:rsid w:val="0056081B"/>
    <w:rsid w:val="00560A53"/>
    <w:rsid w:val="00562AB7"/>
    <w:rsid w:val="00562DC8"/>
    <w:rsid w:val="00562E59"/>
    <w:rsid w:val="005632D9"/>
    <w:rsid w:val="005641E6"/>
    <w:rsid w:val="00564A9F"/>
    <w:rsid w:val="00565104"/>
    <w:rsid w:val="0056679E"/>
    <w:rsid w:val="005674E9"/>
    <w:rsid w:val="005703FA"/>
    <w:rsid w:val="00570596"/>
    <w:rsid w:val="005705C6"/>
    <w:rsid w:val="005706D9"/>
    <w:rsid w:val="00572F9B"/>
    <w:rsid w:val="005737A9"/>
    <w:rsid w:val="0057487F"/>
    <w:rsid w:val="005751E9"/>
    <w:rsid w:val="00576262"/>
    <w:rsid w:val="005766EF"/>
    <w:rsid w:val="00576819"/>
    <w:rsid w:val="00577C9D"/>
    <w:rsid w:val="00581A9C"/>
    <w:rsid w:val="005828A2"/>
    <w:rsid w:val="00582B3F"/>
    <w:rsid w:val="00584990"/>
    <w:rsid w:val="00584E79"/>
    <w:rsid w:val="0059188A"/>
    <w:rsid w:val="0059254E"/>
    <w:rsid w:val="0059295F"/>
    <w:rsid w:val="00593DE5"/>
    <w:rsid w:val="005949E2"/>
    <w:rsid w:val="00597336"/>
    <w:rsid w:val="00597782"/>
    <w:rsid w:val="005A1DA8"/>
    <w:rsid w:val="005A3568"/>
    <w:rsid w:val="005A655C"/>
    <w:rsid w:val="005A7B13"/>
    <w:rsid w:val="005A7F6E"/>
    <w:rsid w:val="005B097F"/>
    <w:rsid w:val="005B1673"/>
    <w:rsid w:val="005B310F"/>
    <w:rsid w:val="005B5CD3"/>
    <w:rsid w:val="005B5F32"/>
    <w:rsid w:val="005B7087"/>
    <w:rsid w:val="005B7A56"/>
    <w:rsid w:val="005C0C84"/>
    <w:rsid w:val="005C1A6F"/>
    <w:rsid w:val="005C27FF"/>
    <w:rsid w:val="005C3F10"/>
    <w:rsid w:val="005C415D"/>
    <w:rsid w:val="005C4DEB"/>
    <w:rsid w:val="005C514B"/>
    <w:rsid w:val="005C5C9C"/>
    <w:rsid w:val="005C63F3"/>
    <w:rsid w:val="005C66A4"/>
    <w:rsid w:val="005D124B"/>
    <w:rsid w:val="005D1B8B"/>
    <w:rsid w:val="005D3506"/>
    <w:rsid w:val="005D3870"/>
    <w:rsid w:val="005D3CD1"/>
    <w:rsid w:val="005D4FA4"/>
    <w:rsid w:val="005D5233"/>
    <w:rsid w:val="005D5B55"/>
    <w:rsid w:val="005D6501"/>
    <w:rsid w:val="005E036E"/>
    <w:rsid w:val="005E0AA6"/>
    <w:rsid w:val="005E0ADD"/>
    <w:rsid w:val="005E129B"/>
    <w:rsid w:val="005E1D71"/>
    <w:rsid w:val="005E2242"/>
    <w:rsid w:val="005E2F2D"/>
    <w:rsid w:val="005E36E8"/>
    <w:rsid w:val="005E4A98"/>
    <w:rsid w:val="005E5F1F"/>
    <w:rsid w:val="005E692F"/>
    <w:rsid w:val="005E6B89"/>
    <w:rsid w:val="005E7102"/>
    <w:rsid w:val="005F007D"/>
    <w:rsid w:val="005F0969"/>
    <w:rsid w:val="005F30DD"/>
    <w:rsid w:val="005F68DF"/>
    <w:rsid w:val="005F6B13"/>
    <w:rsid w:val="005F79D0"/>
    <w:rsid w:val="00601A46"/>
    <w:rsid w:val="00602517"/>
    <w:rsid w:val="00602641"/>
    <w:rsid w:val="0060351D"/>
    <w:rsid w:val="0060474F"/>
    <w:rsid w:val="006053A0"/>
    <w:rsid w:val="006064C1"/>
    <w:rsid w:val="00606D9B"/>
    <w:rsid w:val="00610647"/>
    <w:rsid w:val="006112E1"/>
    <w:rsid w:val="0061282D"/>
    <w:rsid w:val="00612E10"/>
    <w:rsid w:val="00612FB5"/>
    <w:rsid w:val="006138B1"/>
    <w:rsid w:val="006139A4"/>
    <w:rsid w:val="00613D38"/>
    <w:rsid w:val="00614565"/>
    <w:rsid w:val="00615C31"/>
    <w:rsid w:val="006161AB"/>
    <w:rsid w:val="00616C01"/>
    <w:rsid w:val="006170FF"/>
    <w:rsid w:val="0061779B"/>
    <w:rsid w:val="00617E1D"/>
    <w:rsid w:val="00620E11"/>
    <w:rsid w:val="006238E8"/>
    <w:rsid w:val="00624ED0"/>
    <w:rsid w:val="0062509C"/>
    <w:rsid w:val="006252F6"/>
    <w:rsid w:val="00627590"/>
    <w:rsid w:val="00630B82"/>
    <w:rsid w:val="00631443"/>
    <w:rsid w:val="00632507"/>
    <w:rsid w:val="006325BF"/>
    <w:rsid w:val="00633085"/>
    <w:rsid w:val="00635047"/>
    <w:rsid w:val="0063580A"/>
    <w:rsid w:val="0063591C"/>
    <w:rsid w:val="00635C8F"/>
    <w:rsid w:val="00636CCB"/>
    <w:rsid w:val="00636E47"/>
    <w:rsid w:val="006374C7"/>
    <w:rsid w:val="006403BD"/>
    <w:rsid w:val="00640433"/>
    <w:rsid w:val="00640854"/>
    <w:rsid w:val="0064121E"/>
    <w:rsid w:val="00641512"/>
    <w:rsid w:val="00641787"/>
    <w:rsid w:val="00641FAE"/>
    <w:rsid w:val="00642627"/>
    <w:rsid w:val="0064263F"/>
    <w:rsid w:val="00643AD4"/>
    <w:rsid w:val="00644B91"/>
    <w:rsid w:val="00644BDD"/>
    <w:rsid w:val="00645D07"/>
    <w:rsid w:val="00646608"/>
    <w:rsid w:val="00646F26"/>
    <w:rsid w:val="00652265"/>
    <w:rsid w:val="00652B4D"/>
    <w:rsid w:val="0065325F"/>
    <w:rsid w:val="0065418E"/>
    <w:rsid w:val="00654298"/>
    <w:rsid w:val="00654312"/>
    <w:rsid w:val="00655014"/>
    <w:rsid w:val="0065798C"/>
    <w:rsid w:val="0066172E"/>
    <w:rsid w:val="00661764"/>
    <w:rsid w:val="00662902"/>
    <w:rsid w:val="00663444"/>
    <w:rsid w:val="0066498F"/>
    <w:rsid w:val="00664C8B"/>
    <w:rsid w:val="0066524F"/>
    <w:rsid w:val="006658EE"/>
    <w:rsid w:val="00665BAD"/>
    <w:rsid w:val="00665CA0"/>
    <w:rsid w:val="006706F7"/>
    <w:rsid w:val="00671E87"/>
    <w:rsid w:val="00673D63"/>
    <w:rsid w:val="00676BF5"/>
    <w:rsid w:val="00676C62"/>
    <w:rsid w:val="00680ABA"/>
    <w:rsid w:val="00680F50"/>
    <w:rsid w:val="00681C6D"/>
    <w:rsid w:val="006821B8"/>
    <w:rsid w:val="006825AB"/>
    <w:rsid w:val="00683B1A"/>
    <w:rsid w:val="00684B4F"/>
    <w:rsid w:val="00685CD1"/>
    <w:rsid w:val="00686E8E"/>
    <w:rsid w:val="006902FC"/>
    <w:rsid w:val="00690FDA"/>
    <w:rsid w:val="00692985"/>
    <w:rsid w:val="0069363C"/>
    <w:rsid w:val="00693BA2"/>
    <w:rsid w:val="00694E98"/>
    <w:rsid w:val="00694EB4"/>
    <w:rsid w:val="00695122"/>
    <w:rsid w:val="00696169"/>
    <w:rsid w:val="006962CA"/>
    <w:rsid w:val="006970F5"/>
    <w:rsid w:val="00697E31"/>
    <w:rsid w:val="006A1629"/>
    <w:rsid w:val="006A25BF"/>
    <w:rsid w:val="006A4135"/>
    <w:rsid w:val="006A4678"/>
    <w:rsid w:val="006A4AB9"/>
    <w:rsid w:val="006A5A6A"/>
    <w:rsid w:val="006A5E25"/>
    <w:rsid w:val="006B0A97"/>
    <w:rsid w:val="006B0ABC"/>
    <w:rsid w:val="006B16F4"/>
    <w:rsid w:val="006B3F0A"/>
    <w:rsid w:val="006B5A2D"/>
    <w:rsid w:val="006B6D14"/>
    <w:rsid w:val="006B7564"/>
    <w:rsid w:val="006B77A9"/>
    <w:rsid w:val="006C0B4B"/>
    <w:rsid w:val="006C0F70"/>
    <w:rsid w:val="006C2380"/>
    <w:rsid w:val="006C3BC3"/>
    <w:rsid w:val="006C3E66"/>
    <w:rsid w:val="006C43F5"/>
    <w:rsid w:val="006C5AD5"/>
    <w:rsid w:val="006C7103"/>
    <w:rsid w:val="006C7344"/>
    <w:rsid w:val="006D0C5A"/>
    <w:rsid w:val="006D2DFE"/>
    <w:rsid w:val="006D4C92"/>
    <w:rsid w:val="006D55A6"/>
    <w:rsid w:val="006D59C2"/>
    <w:rsid w:val="006D6E61"/>
    <w:rsid w:val="006D7DEA"/>
    <w:rsid w:val="006E052C"/>
    <w:rsid w:val="006E184D"/>
    <w:rsid w:val="006E23D7"/>
    <w:rsid w:val="006E270D"/>
    <w:rsid w:val="006E2B9E"/>
    <w:rsid w:val="006E3D6A"/>
    <w:rsid w:val="006E5486"/>
    <w:rsid w:val="006E58EE"/>
    <w:rsid w:val="006E5C49"/>
    <w:rsid w:val="006E659F"/>
    <w:rsid w:val="006E6F35"/>
    <w:rsid w:val="006E7949"/>
    <w:rsid w:val="006F0E8B"/>
    <w:rsid w:val="006F15F7"/>
    <w:rsid w:val="006F1643"/>
    <w:rsid w:val="006F316A"/>
    <w:rsid w:val="006F328F"/>
    <w:rsid w:val="006F4AB6"/>
    <w:rsid w:val="006F5964"/>
    <w:rsid w:val="006F693F"/>
    <w:rsid w:val="006F7E5B"/>
    <w:rsid w:val="007003FA"/>
    <w:rsid w:val="00702BC9"/>
    <w:rsid w:val="00703B7C"/>
    <w:rsid w:val="00704336"/>
    <w:rsid w:val="00704805"/>
    <w:rsid w:val="00707E69"/>
    <w:rsid w:val="00707E9A"/>
    <w:rsid w:val="0071379B"/>
    <w:rsid w:val="00713B6A"/>
    <w:rsid w:val="007144FA"/>
    <w:rsid w:val="0071547C"/>
    <w:rsid w:val="00715CD1"/>
    <w:rsid w:val="007160C8"/>
    <w:rsid w:val="00717BA4"/>
    <w:rsid w:val="007200AD"/>
    <w:rsid w:val="00720FBC"/>
    <w:rsid w:val="0072210D"/>
    <w:rsid w:val="007221E4"/>
    <w:rsid w:val="007235A1"/>
    <w:rsid w:val="00723668"/>
    <w:rsid w:val="0072372C"/>
    <w:rsid w:val="007237C0"/>
    <w:rsid w:val="00724552"/>
    <w:rsid w:val="00724927"/>
    <w:rsid w:val="00726AA8"/>
    <w:rsid w:val="0073039A"/>
    <w:rsid w:val="00730796"/>
    <w:rsid w:val="00730944"/>
    <w:rsid w:val="00731E24"/>
    <w:rsid w:val="00732796"/>
    <w:rsid w:val="007334CF"/>
    <w:rsid w:val="0073455F"/>
    <w:rsid w:val="0073492C"/>
    <w:rsid w:val="00735E53"/>
    <w:rsid w:val="00736238"/>
    <w:rsid w:val="00736EAE"/>
    <w:rsid w:val="007374F9"/>
    <w:rsid w:val="00737B53"/>
    <w:rsid w:val="007409F4"/>
    <w:rsid w:val="00740B6E"/>
    <w:rsid w:val="0074163B"/>
    <w:rsid w:val="007425BE"/>
    <w:rsid w:val="00742993"/>
    <w:rsid w:val="00742FF3"/>
    <w:rsid w:val="00743168"/>
    <w:rsid w:val="007441F0"/>
    <w:rsid w:val="00744834"/>
    <w:rsid w:val="0074484D"/>
    <w:rsid w:val="007448C8"/>
    <w:rsid w:val="00744938"/>
    <w:rsid w:val="0074567C"/>
    <w:rsid w:val="00745682"/>
    <w:rsid w:val="00745DB6"/>
    <w:rsid w:val="007461E3"/>
    <w:rsid w:val="0074695B"/>
    <w:rsid w:val="0074749E"/>
    <w:rsid w:val="00747749"/>
    <w:rsid w:val="00750FD0"/>
    <w:rsid w:val="0075285A"/>
    <w:rsid w:val="00754A39"/>
    <w:rsid w:val="007551F5"/>
    <w:rsid w:val="007556AD"/>
    <w:rsid w:val="00757B9E"/>
    <w:rsid w:val="00771B68"/>
    <w:rsid w:val="00773AAA"/>
    <w:rsid w:val="00774568"/>
    <w:rsid w:val="00774CBD"/>
    <w:rsid w:val="0077519B"/>
    <w:rsid w:val="00775742"/>
    <w:rsid w:val="00775931"/>
    <w:rsid w:val="007762EE"/>
    <w:rsid w:val="00776370"/>
    <w:rsid w:val="00776B05"/>
    <w:rsid w:val="007775C8"/>
    <w:rsid w:val="007775F4"/>
    <w:rsid w:val="00780CB5"/>
    <w:rsid w:val="0078187F"/>
    <w:rsid w:val="007823C2"/>
    <w:rsid w:val="007848E8"/>
    <w:rsid w:val="0078555C"/>
    <w:rsid w:val="007856B0"/>
    <w:rsid w:val="00787D08"/>
    <w:rsid w:val="00787FBA"/>
    <w:rsid w:val="007914F4"/>
    <w:rsid w:val="00793517"/>
    <w:rsid w:val="007941A4"/>
    <w:rsid w:val="00795837"/>
    <w:rsid w:val="007958E0"/>
    <w:rsid w:val="00795DB2"/>
    <w:rsid w:val="007968B7"/>
    <w:rsid w:val="00796AB2"/>
    <w:rsid w:val="00796FB0"/>
    <w:rsid w:val="007A082F"/>
    <w:rsid w:val="007A3FE3"/>
    <w:rsid w:val="007A4451"/>
    <w:rsid w:val="007A504C"/>
    <w:rsid w:val="007B005B"/>
    <w:rsid w:val="007B0C4B"/>
    <w:rsid w:val="007B1050"/>
    <w:rsid w:val="007B1F62"/>
    <w:rsid w:val="007B3458"/>
    <w:rsid w:val="007B457F"/>
    <w:rsid w:val="007B786C"/>
    <w:rsid w:val="007C0423"/>
    <w:rsid w:val="007C172D"/>
    <w:rsid w:val="007C1955"/>
    <w:rsid w:val="007C2CE9"/>
    <w:rsid w:val="007C32E2"/>
    <w:rsid w:val="007C4B82"/>
    <w:rsid w:val="007C4BE7"/>
    <w:rsid w:val="007C4CCE"/>
    <w:rsid w:val="007C57C1"/>
    <w:rsid w:val="007C5DA0"/>
    <w:rsid w:val="007C6A4A"/>
    <w:rsid w:val="007C6B6F"/>
    <w:rsid w:val="007C717F"/>
    <w:rsid w:val="007C7F32"/>
    <w:rsid w:val="007D08BE"/>
    <w:rsid w:val="007D0DA9"/>
    <w:rsid w:val="007D0F79"/>
    <w:rsid w:val="007D2F0F"/>
    <w:rsid w:val="007D4FDA"/>
    <w:rsid w:val="007D592F"/>
    <w:rsid w:val="007D64E0"/>
    <w:rsid w:val="007D6ABF"/>
    <w:rsid w:val="007D732E"/>
    <w:rsid w:val="007D7D6A"/>
    <w:rsid w:val="007E1601"/>
    <w:rsid w:val="007E1D0B"/>
    <w:rsid w:val="007E25C2"/>
    <w:rsid w:val="007E2EF7"/>
    <w:rsid w:val="007E3CA1"/>
    <w:rsid w:val="007E4558"/>
    <w:rsid w:val="007E4902"/>
    <w:rsid w:val="007E4B1D"/>
    <w:rsid w:val="007E4F2C"/>
    <w:rsid w:val="007E613B"/>
    <w:rsid w:val="007E667E"/>
    <w:rsid w:val="007E68CD"/>
    <w:rsid w:val="007F1897"/>
    <w:rsid w:val="007F1D07"/>
    <w:rsid w:val="007F3448"/>
    <w:rsid w:val="007F3C09"/>
    <w:rsid w:val="007F4787"/>
    <w:rsid w:val="007F52DC"/>
    <w:rsid w:val="007F596B"/>
    <w:rsid w:val="007F6666"/>
    <w:rsid w:val="007F7ED7"/>
    <w:rsid w:val="00800439"/>
    <w:rsid w:val="00800555"/>
    <w:rsid w:val="008007A8"/>
    <w:rsid w:val="00800BF2"/>
    <w:rsid w:val="008010EA"/>
    <w:rsid w:val="0080185B"/>
    <w:rsid w:val="00802222"/>
    <w:rsid w:val="008022EE"/>
    <w:rsid w:val="008044D4"/>
    <w:rsid w:val="00805A88"/>
    <w:rsid w:val="00810AF5"/>
    <w:rsid w:val="008129B4"/>
    <w:rsid w:val="008138CC"/>
    <w:rsid w:val="008151E1"/>
    <w:rsid w:val="00815D33"/>
    <w:rsid w:val="00815DE8"/>
    <w:rsid w:val="00816381"/>
    <w:rsid w:val="0081648F"/>
    <w:rsid w:val="00817102"/>
    <w:rsid w:val="0082272F"/>
    <w:rsid w:val="00822929"/>
    <w:rsid w:val="00823574"/>
    <w:rsid w:val="008236AC"/>
    <w:rsid w:val="00825173"/>
    <w:rsid w:val="0082528C"/>
    <w:rsid w:val="00825960"/>
    <w:rsid w:val="00826DBD"/>
    <w:rsid w:val="008303E2"/>
    <w:rsid w:val="00830EB7"/>
    <w:rsid w:val="008317DB"/>
    <w:rsid w:val="00831DD6"/>
    <w:rsid w:val="008323FB"/>
    <w:rsid w:val="00832A68"/>
    <w:rsid w:val="00833AD8"/>
    <w:rsid w:val="00835501"/>
    <w:rsid w:val="00835F84"/>
    <w:rsid w:val="008367E5"/>
    <w:rsid w:val="00836862"/>
    <w:rsid w:val="00836D88"/>
    <w:rsid w:val="00840096"/>
    <w:rsid w:val="00840959"/>
    <w:rsid w:val="00845105"/>
    <w:rsid w:val="0084590F"/>
    <w:rsid w:val="00846329"/>
    <w:rsid w:val="00846FBF"/>
    <w:rsid w:val="00847142"/>
    <w:rsid w:val="008472C4"/>
    <w:rsid w:val="0084794D"/>
    <w:rsid w:val="00847963"/>
    <w:rsid w:val="00851E59"/>
    <w:rsid w:val="00851F7C"/>
    <w:rsid w:val="00852EEF"/>
    <w:rsid w:val="008539C9"/>
    <w:rsid w:val="008539D0"/>
    <w:rsid w:val="008552C4"/>
    <w:rsid w:val="008560C1"/>
    <w:rsid w:val="0085783E"/>
    <w:rsid w:val="00857C5C"/>
    <w:rsid w:val="00860FDB"/>
    <w:rsid w:val="008648F2"/>
    <w:rsid w:val="00866A3B"/>
    <w:rsid w:val="00867511"/>
    <w:rsid w:val="00867565"/>
    <w:rsid w:val="008700C8"/>
    <w:rsid w:val="008707D0"/>
    <w:rsid w:val="00870B7F"/>
    <w:rsid w:val="008721D2"/>
    <w:rsid w:val="00872E23"/>
    <w:rsid w:val="008731C2"/>
    <w:rsid w:val="008741D6"/>
    <w:rsid w:val="008749E1"/>
    <w:rsid w:val="00875B58"/>
    <w:rsid w:val="008764B9"/>
    <w:rsid w:val="00881859"/>
    <w:rsid w:val="008821BC"/>
    <w:rsid w:val="0088236E"/>
    <w:rsid w:val="00882B8A"/>
    <w:rsid w:val="008833DE"/>
    <w:rsid w:val="00885753"/>
    <w:rsid w:val="008857D3"/>
    <w:rsid w:val="00887839"/>
    <w:rsid w:val="008878D1"/>
    <w:rsid w:val="00890010"/>
    <w:rsid w:val="0089151E"/>
    <w:rsid w:val="00891FE5"/>
    <w:rsid w:val="00892F56"/>
    <w:rsid w:val="00893101"/>
    <w:rsid w:val="008937FB"/>
    <w:rsid w:val="0089464F"/>
    <w:rsid w:val="00895243"/>
    <w:rsid w:val="00896CC3"/>
    <w:rsid w:val="0089710D"/>
    <w:rsid w:val="008975C8"/>
    <w:rsid w:val="008A04E2"/>
    <w:rsid w:val="008A06A8"/>
    <w:rsid w:val="008A0EEF"/>
    <w:rsid w:val="008A10EF"/>
    <w:rsid w:val="008A28AA"/>
    <w:rsid w:val="008A2DAD"/>
    <w:rsid w:val="008A2F79"/>
    <w:rsid w:val="008A3A3A"/>
    <w:rsid w:val="008A51D0"/>
    <w:rsid w:val="008A5667"/>
    <w:rsid w:val="008A5F7B"/>
    <w:rsid w:val="008A614C"/>
    <w:rsid w:val="008B01F4"/>
    <w:rsid w:val="008B1288"/>
    <w:rsid w:val="008B39C8"/>
    <w:rsid w:val="008B5406"/>
    <w:rsid w:val="008B5995"/>
    <w:rsid w:val="008B61DB"/>
    <w:rsid w:val="008B6E1E"/>
    <w:rsid w:val="008B7E2B"/>
    <w:rsid w:val="008C0FF4"/>
    <w:rsid w:val="008C1679"/>
    <w:rsid w:val="008C1ABE"/>
    <w:rsid w:val="008C1F9B"/>
    <w:rsid w:val="008C22F7"/>
    <w:rsid w:val="008C33EE"/>
    <w:rsid w:val="008C3CC7"/>
    <w:rsid w:val="008C470B"/>
    <w:rsid w:val="008C58F5"/>
    <w:rsid w:val="008C64BC"/>
    <w:rsid w:val="008C71EE"/>
    <w:rsid w:val="008C7B4A"/>
    <w:rsid w:val="008D031D"/>
    <w:rsid w:val="008D0B03"/>
    <w:rsid w:val="008D2653"/>
    <w:rsid w:val="008D3704"/>
    <w:rsid w:val="008D408A"/>
    <w:rsid w:val="008D4AF9"/>
    <w:rsid w:val="008D4DBC"/>
    <w:rsid w:val="008D68CA"/>
    <w:rsid w:val="008E0C6B"/>
    <w:rsid w:val="008E0C9C"/>
    <w:rsid w:val="008E0F4E"/>
    <w:rsid w:val="008E2517"/>
    <w:rsid w:val="008E2B10"/>
    <w:rsid w:val="008E4230"/>
    <w:rsid w:val="008E442B"/>
    <w:rsid w:val="008E4AA6"/>
    <w:rsid w:val="008E52AE"/>
    <w:rsid w:val="008E52CA"/>
    <w:rsid w:val="008E5D38"/>
    <w:rsid w:val="008E5E42"/>
    <w:rsid w:val="008E66CB"/>
    <w:rsid w:val="008E755F"/>
    <w:rsid w:val="008F0B7A"/>
    <w:rsid w:val="008F1B4F"/>
    <w:rsid w:val="008F2870"/>
    <w:rsid w:val="008F287E"/>
    <w:rsid w:val="008F2FF9"/>
    <w:rsid w:val="008F3719"/>
    <w:rsid w:val="008F3C38"/>
    <w:rsid w:val="008F41EB"/>
    <w:rsid w:val="008F4FC1"/>
    <w:rsid w:val="008F50B5"/>
    <w:rsid w:val="008F53D1"/>
    <w:rsid w:val="008F6EB2"/>
    <w:rsid w:val="0090098B"/>
    <w:rsid w:val="009009D3"/>
    <w:rsid w:val="00900C0F"/>
    <w:rsid w:val="00901725"/>
    <w:rsid w:val="009023D3"/>
    <w:rsid w:val="009025B2"/>
    <w:rsid w:val="00902BAC"/>
    <w:rsid w:val="00902F1C"/>
    <w:rsid w:val="009035FB"/>
    <w:rsid w:val="009049A0"/>
    <w:rsid w:val="00904BEB"/>
    <w:rsid w:val="0090558D"/>
    <w:rsid w:val="0090601C"/>
    <w:rsid w:val="009065E0"/>
    <w:rsid w:val="00906F31"/>
    <w:rsid w:val="00910123"/>
    <w:rsid w:val="009107B3"/>
    <w:rsid w:val="00910AD2"/>
    <w:rsid w:val="0091189D"/>
    <w:rsid w:val="00912F6C"/>
    <w:rsid w:val="0091397C"/>
    <w:rsid w:val="00913E85"/>
    <w:rsid w:val="009143FB"/>
    <w:rsid w:val="009148AA"/>
    <w:rsid w:val="00914A02"/>
    <w:rsid w:val="00914AE6"/>
    <w:rsid w:val="0091556F"/>
    <w:rsid w:val="00915C5E"/>
    <w:rsid w:val="00915FCA"/>
    <w:rsid w:val="00916683"/>
    <w:rsid w:val="009173B5"/>
    <w:rsid w:val="00920444"/>
    <w:rsid w:val="0092261F"/>
    <w:rsid w:val="00922825"/>
    <w:rsid w:val="009258B3"/>
    <w:rsid w:val="00925F10"/>
    <w:rsid w:val="009269A2"/>
    <w:rsid w:val="00926A9F"/>
    <w:rsid w:val="00927064"/>
    <w:rsid w:val="009273C9"/>
    <w:rsid w:val="0093064A"/>
    <w:rsid w:val="009313EA"/>
    <w:rsid w:val="009315BE"/>
    <w:rsid w:val="00932B73"/>
    <w:rsid w:val="0093388A"/>
    <w:rsid w:val="0093453A"/>
    <w:rsid w:val="00935FB6"/>
    <w:rsid w:val="00936276"/>
    <w:rsid w:val="0093774A"/>
    <w:rsid w:val="0094074B"/>
    <w:rsid w:val="00941AB5"/>
    <w:rsid w:val="00943FF1"/>
    <w:rsid w:val="00944886"/>
    <w:rsid w:val="009455BC"/>
    <w:rsid w:val="009456C0"/>
    <w:rsid w:val="00946370"/>
    <w:rsid w:val="00946559"/>
    <w:rsid w:val="00946F57"/>
    <w:rsid w:val="00947B60"/>
    <w:rsid w:val="009501CD"/>
    <w:rsid w:val="00950F30"/>
    <w:rsid w:val="00952973"/>
    <w:rsid w:val="00952D90"/>
    <w:rsid w:val="009540E1"/>
    <w:rsid w:val="00955D7A"/>
    <w:rsid w:val="00956BF0"/>
    <w:rsid w:val="0095706B"/>
    <w:rsid w:val="00957223"/>
    <w:rsid w:val="009607CE"/>
    <w:rsid w:val="00962004"/>
    <w:rsid w:val="00962BDC"/>
    <w:rsid w:val="00964F3C"/>
    <w:rsid w:val="00965117"/>
    <w:rsid w:val="00966EBC"/>
    <w:rsid w:val="00967467"/>
    <w:rsid w:val="009674DA"/>
    <w:rsid w:val="00970522"/>
    <w:rsid w:val="00970976"/>
    <w:rsid w:val="009721FA"/>
    <w:rsid w:val="00972290"/>
    <w:rsid w:val="00973403"/>
    <w:rsid w:val="00973FB8"/>
    <w:rsid w:val="00975118"/>
    <w:rsid w:val="00975271"/>
    <w:rsid w:val="0097527F"/>
    <w:rsid w:val="00975375"/>
    <w:rsid w:val="00975D66"/>
    <w:rsid w:val="00976B02"/>
    <w:rsid w:val="00976E3D"/>
    <w:rsid w:val="009777AF"/>
    <w:rsid w:val="00980790"/>
    <w:rsid w:val="00981910"/>
    <w:rsid w:val="0098423A"/>
    <w:rsid w:val="00984792"/>
    <w:rsid w:val="00985213"/>
    <w:rsid w:val="00985C44"/>
    <w:rsid w:val="009874EE"/>
    <w:rsid w:val="00987999"/>
    <w:rsid w:val="0099106D"/>
    <w:rsid w:val="009924E3"/>
    <w:rsid w:val="00992D33"/>
    <w:rsid w:val="009939EC"/>
    <w:rsid w:val="0099454C"/>
    <w:rsid w:val="009948C7"/>
    <w:rsid w:val="00994BDC"/>
    <w:rsid w:val="00994D74"/>
    <w:rsid w:val="00995CD9"/>
    <w:rsid w:val="0099608D"/>
    <w:rsid w:val="00996323"/>
    <w:rsid w:val="009A04BC"/>
    <w:rsid w:val="009A14CB"/>
    <w:rsid w:val="009A18FD"/>
    <w:rsid w:val="009A1A66"/>
    <w:rsid w:val="009A3699"/>
    <w:rsid w:val="009A370A"/>
    <w:rsid w:val="009A3B46"/>
    <w:rsid w:val="009A44B5"/>
    <w:rsid w:val="009A4AD8"/>
    <w:rsid w:val="009A4C88"/>
    <w:rsid w:val="009A5460"/>
    <w:rsid w:val="009A5874"/>
    <w:rsid w:val="009A5D79"/>
    <w:rsid w:val="009A622F"/>
    <w:rsid w:val="009A64C3"/>
    <w:rsid w:val="009A6848"/>
    <w:rsid w:val="009A721C"/>
    <w:rsid w:val="009B05E3"/>
    <w:rsid w:val="009B07D8"/>
    <w:rsid w:val="009B0D0C"/>
    <w:rsid w:val="009B0F80"/>
    <w:rsid w:val="009B1EB6"/>
    <w:rsid w:val="009B42BB"/>
    <w:rsid w:val="009B43AF"/>
    <w:rsid w:val="009B4BD8"/>
    <w:rsid w:val="009B6C40"/>
    <w:rsid w:val="009B7E88"/>
    <w:rsid w:val="009C2605"/>
    <w:rsid w:val="009C30C3"/>
    <w:rsid w:val="009C5907"/>
    <w:rsid w:val="009C79DF"/>
    <w:rsid w:val="009D00B5"/>
    <w:rsid w:val="009D0126"/>
    <w:rsid w:val="009D15B3"/>
    <w:rsid w:val="009D16E4"/>
    <w:rsid w:val="009D1ACA"/>
    <w:rsid w:val="009D3411"/>
    <w:rsid w:val="009D4177"/>
    <w:rsid w:val="009D5FF5"/>
    <w:rsid w:val="009D63C8"/>
    <w:rsid w:val="009D75E0"/>
    <w:rsid w:val="009D78CD"/>
    <w:rsid w:val="009E1F7E"/>
    <w:rsid w:val="009E3345"/>
    <w:rsid w:val="009E36EF"/>
    <w:rsid w:val="009E5C7E"/>
    <w:rsid w:val="009E5E32"/>
    <w:rsid w:val="009E6719"/>
    <w:rsid w:val="009E6BD8"/>
    <w:rsid w:val="009F1FFD"/>
    <w:rsid w:val="009F2E6D"/>
    <w:rsid w:val="009F3CD0"/>
    <w:rsid w:val="009F5AB5"/>
    <w:rsid w:val="009F6922"/>
    <w:rsid w:val="009F6D93"/>
    <w:rsid w:val="009F6DD1"/>
    <w:rsid w:val="009F79AF"/>
    <w:rsid w:val="009F79EE"/>
    <w:rsid w:val="009F7BDF"/>
    <w:rsid w:val="00A0078D"/>
    <w:rsid w:val="00A01B61"/>
    <w:rsid w:val="00A02586"/>
    <w:rsid w:val="00A03A05"/>
    <w:rsid w:val="00A04C10"/>
    <w:rsid w:val="00A05191"/>
    <w:rsid w:val="00A05367"/>
    <w:rsid w:val="00A05FBF"/>
    <w:rsid w:val="00A06BB1"/>
    <w:rsid w:val="00A071D9"/>
    <w:rsid w:val="00A1216A"/>
    <w:rsid w:val="00A13556"/>
    <w:rsid w:val="00A138DC"/>
    <w:rsid w:val="00A13FF5"/>
    <w:rsid w:val="00A15A8E"/>
    <w:rsid w:val="00A16068"/>
    <w:rsid w:val="00A1626D"/>
    <w:rsid w:val="00A16271"/>
    <w:rsid w:val="00A16BE5"/>
    <w:rsid w:val="00A20016"/>
    <w:rsid w:val="00A223F7"/>
    <w:rsid w:val="00A22EE6"/>
    <w:rsid w:val="00A23B89"/>
    <w:rsid w:val="00A24832"/>
    <w:rsid w:val="00A2498A"/>
    <w:rsid w:val="00A25FA7"/>
    <w:rsid w:val="00A31C9D"/>
    <w:rsid w:val="00A321B0"/>
    <w:rsid w:val="00A3247E"/>
    <w:rsid w:val="00A338D6"/>
    <w:rsid w:val="00A33A00"/>
    <w:rsid w:val="00A33C09"/>
    <w:rsid w:val="00A33F63"/>
    <w:rsid w:val="00A342BE"/>
    <w:rsid w:val="00A352B8"/>
    <w:rsid w:val="00A35579"/>
    <w:rsid w:val="00A355B5"/>
    <w:rsid w:val="00A35F0C"/>
    <w:rsid w:val="00A374EB"/>
    <w:rsid w:val="00A37771"/>
    <w:rsid w:val="00A3795F"/>
    <w:rsid w:val="00A37F33"/>
    <w:rsid w:val="00A41C85"/>
    <w:rsid w:val="00A41F6F"/>
    <w:rsid w:val="00A42231"/>
    <w:rsid w:val="00A427B7"/>
    <w:rsid w:val="00A433D9"/>
    <w:rsid w:val="00A4475F"/>
    <w:rsid w:val="00A44D38"/>
    <w:rsid w:val="00A46538"/>
    <w:rsid w:val="00A472CD"/>
    <w:rsid w:val="00A47A28"/>
    <w:rsid w:val="00A51430"/>
    <w:rsid w:val="00A54B20"/>
    <w:rsid w:val="00A54E3D"/>
    <w:rsid w:val="00A561F6"/>
    <w:rsid w:val="00A5633E"/>
    <w:rsid w:val="00A563BA"/>
    <w:rsid w:val="00A608A5"/>
    <w:rsid w:val="00A60E27"/>
    <w:rsid w:val="00A612F4"/>
    <w:rsid w:val="00A624E1"/>
    <w:rsid w:val="00A657E3"/>
    <w:rsid w:val="00A65FA9"/>
    <w:rsid w:val="00A66C79"/>
    <w:rsid w:val="00A66D08"/>
    <w:rsid w:val="00A66FD9"/>
    <w:rsid w:val="00A67607"/>
    <w:rsid w:val="00A67699"/>
    <w:rsid w:val="00A67D58"/>
    <w:rsid w:val="00A701F2"/>
    <w:rsid w:val="00A703F8"/>
    <w:rsid w:val="00A70EF5"/>
    <w:rsid w:val="00A717D7"/>
    <w:rsid w:val="00A7198E"/>
    <w:rsid w:val="00A73270"/>
    <w:rsid w:val="00A733D4"/>
    <w:rsid w:val="00A75F8F"/>
    <w:rsid w:val="00A76B70"/>
    <w:rsid w:val="00A76F12"/>
    <w:rsid w:val="00A77BEF"/>
    <w:rsid w:val="00A77DAB"/>
    <w:rsid w:val="00A77FA2"/>
    <w:rsid w:val="00A8004C"/>
    <w:rsid w:val="00A81056"/>
    <w:rsid w:val="00A83E77"/>
    <w:rsid w:val="00A8405D"/>
    <w:rsid w:val="00A844A1"/>
    <w:rsid w:val="00A84584"/>
    <w:rsid w:val="00A85443"/>
    <w:rsid w:val="00A8586F"/>
    <w:rsid w:val="00A86218"/>
    <w:rsid w:val="00A862FB"/>
    <w:rsid w:val="00A86547"/>
    <w:rsid w:val="00A903FC"/>
    <w:rsid w:val="00A90770"/>
    <w:rsid w:val="00A91136"/>
    <w:rsid w:val="00A91BF7"/>
    <w:rsid w:val="00A9398A"/>
    <w:rsid w:val="00A93A50"/>
    <w:rsid w:val="00A96736"/>
    <w:rsid w:val="00A97A65"/>
    <w:rsid w:val="00AA169C"/>
    <w:rsid w:val="00AA245A"/>
    <w:rsid w:val="00AA2877"/>
    <w:rsid w:val="00AA31D2"/>
    <w:rsid w:val="00AA428B"/>
    <w:rsid w:val="00AA4E55"/>
    <w:rsid w:val="00AA5006"/>
    <w:rsid w:val="00AA64E6"/>
    <w:rsid w:val="00AA66EA"/>
    <w:rsid w:val="00AA73FB"/>
    <w:rsid w:val="00AB02B5"/>
    <w:rsid w:val="00AB094E"/>
    <w:rsid w:val="00AB114C"/>
    <w:rsid w:val="00AB1B42"/>
    <w:rsid w:val="00AB3B8A"/>
    <w:rsid w:val="00AB3DC7"/>
    <w:rsid w:val="00AB4BA4"/>
    <w:rsid w:val="00AB6452"/>
    <w:rsid w:val="00AB6EA9"/>
    <w:rsid w:val="00AB7890"/>
    <w:rsid w:val="00AC054A"/>
    <w:rsid w:val="00AC0FAC"/>
    <w:rsid w:val="00AC19EE"/>
    <w:rsid w:val="00AC2498"/>
    <w:rsid w:val="00AC2B11"/>
    <w:rsid w:val="00AC3FA9"/>
    <w:rsid w:val="00AC4530"/>
    <w:rsid w:val="00AC7219"/>
    <w:rsid w:val="00AD0020"/>
    <w:rsid w:val="00AD143C"/>
    <w:rsid w:val="00AD2374"/>
    <w:rsid w:val="00AD3821"/>
    <w:rsid w:val="00AD401A"/>
    <w:rsid w:val="00AD4865"/>
    <w:rsid w:val="00AD4AE0"/>
    <w:rsid w:val="00AD558A"/>
    <w:rsid w:val="00AD6DF6"/>
    <w:rsid w:val="00AD794C"/>
    <w:rsid w:val="00AE05B0"/>
    <w:rsid w:val="00AE066D"/>
    <w:rsid w:val="00AE2FFE"/>
    <w:rsid w:val="00AE37B0"/>
    <w:rsid w:val="00AE3B2C"/>
    <w:rsid w:val="00AE66D5"/>
    <w:rsid w:val="00AE6A9F"/>
    <w:rsid w:val="00AE6AF9"/>
    <w:rsid w:val="00AE78E0"/>
    <w:rsid w:val="00AF0982"/>
    <w:rsid w:val="00AF1D22"/>
    <w:rsid w:val="00AF1E17"/>
    <w:rsid w:val="00AF225D"/>
    <w:rsid w:val="00AF25A1"/>
    <w:rsid w:val="00AF2948"/>
    <w:rsid w:val="00AF37F4"/>
    <w:rsid w:val="00AF3807"/>
    <w:rsid w:val="00AF41A8"/>
    <w:rsid w:val="00AF5159"/>
    <w:rsid w:val="00AF5334"/>
    <w:rsid w:val="00AF671F"/>
    <w:rsid w:val="00B00905"/>
    <w:rsid w:val="00B0262D"/>
    <w:rsid w:val="00B0349F"/>
    <w:rsid w:val="00B03B23"/>
    <w:rsid w:val="00B057FE"/>
    <w:rsid w:val="00B05A00"/>
    <w:rsid w:val="00B06E28"/>
    <w:rsid w:val="00B07260"/>
    <w:rsid w:val="00B1080D"/>
    <w:rsid w:val="00B10B03"/>
    <w:rsid w:val="00B10F72"/>
    <w:rsid w:val="00B11A66"/>
    <w:rsid w:val="00B11E7B"/>
    <w:rsid w:val="00B13A32"/>
    <w:rsid w:val="00B15449"/>
    <w:rsid w:val="00B15AB1"/>
    <w:rsid w:val="00B15B72"/>
    <w:rsid w:val="00B16721"/>
    <w:rsid w:val="00B1699F"/>
    <w:rsid w:val="00B220B5"/>
    <w:rsid w:val="00B2219A"/>
    <w:rsid w:val="00B2354B"/>
    <w:rsid w:val="00B23698"/>
    <w:rsid w:val="00B23E7B"/>
    <w:rsid w:val="00B2407E"/>
    <w:rsid w:val="00B2492E"/>
    <w:rsid w:val="00B26321"/>
    <w:rsid w:val="00B30BC9"/>
    <w:rsid w:val="00B34424"/>
    <w:rsid w:val="00B350EB"/>
    <w:rsid w:val="00B35EA2"/>
    <w:rsid w:val="00B36917"/>
    <w:rsid w:val="00B37687"/>
    <w:rsid w:val="00B40D91"/>
    <w:rsid w:val="00B40D92"/>
    <w:rsid w:val="00B41343"/>
    <w:rsid w:val="00B4229A"/>
    <w:rsid w:val="00B42DBC"/>
    <w:rsid w:val="00B43038"/>
    <w:rsid w:val="00B435FF"/>
    <w:rsid w:val="00B43C08"/>
    <w:rsid w:val="00B44533"/>
    <w:rsid w:val="00B4504E"/>
    <w:rsid w:val="00B451DA"/>
    <w:rsid w:val="00B456B5"/>
    <w:rsid w:val="00B45C24"/>
    <w:rsid w:val="00B46918"/>
    <w:rsid w:val="00B469FC"/>
    <w:rsid w:val="00B4747C"/>
    <w:rsid w:val="00B51329"/>
    <w:rsid w:val="00B51EB7"/>
    <w:rsid w:val="00B52402"/>
    <w:rsid w:val="00B52690"/>
    <w:rsid w:val="00B5296C"/>
    <w:rsid w:val="00B52A5A"/>
    <w:rsid w:val="00B5348F"/>
    <w:rsid w:val="00B53A98"/>
    <w:rsid w:val="00B54110"/>
    <w:rsid w:val="00B5439B"/>
    <w:rsid w:val="00B5446D"/>
    <w:rsid w:val="00B544EE"/>
    <w:rsid w:val="00B55B14"/>
    <w:rsid w:val="00B55F21"/>
    <w:rsid w:val="00B55F49"/>
    <w:rsid w:val="00B561A7"/>
    <w:rsid w:val="00B56D5B"/>
    <w:rsid w:val="00B57F2D"/>
    <w:rsid w:val="00B62A24"/>
    <w:rsid w:val="00B62B4F"/>
    <w:rsid w:val="00B63994"/>
    <w:rsid w:val="00B641AE"/>
    <w:rsid w:val="00B655BB"/>
    <w:rsid w:val="00B678F9"/>
    <w:rsid w:val="00B67B48"/>
    <w:rsid w:val="00B70478"/>
    <w:rsid w:val="00B70BD8"/>
    <w:rsid w:val="00B71D4B"/>
    <w:rsid w:val="00B7247E"/>
    <w:rsid w:val="00B72EF9"/>
    <w:rsid w:val="00B74787"/>
    <w:rsid w:val="00B74E20"/>
    <w:rsid w:val="00B75123"/>
    <w:rsid w:val="00B7583D"/>
    <w:rsid w:val="00B7646F"/>
    <w:rsid w:val="00B76595"/>
    <w:rsid w:val="00B773A0"/>
    <w:rsid w:val="00B80010"/>
    <w:rsid w:val="00B80635"/>
    <w:rsid w:val="00B811D1"/>
    <w:rsid w:val="00B8137C"/>
    <w:rsid w:val="00B81B3D"/>
    <w:rsid w:val="00B82CBE"/>
    <w:rsid w:val="00B8472A"/>
    <w:rsid w:val="00B849D0"/>
    <w:rsid w:val="00B84C98"/>
    <w:rsid w:val="00B84EC3"/>
    <w:rsid w:val="00B85FB1"/>
    <w:rsid w:val="00B86EB2"/>
    <w:rsid w:val="00B903D9"/>
    <w:rsid w:val="00B90FAA"/>
    <w:rsid w:val="00B9124B"/>
    <w:rsid w:val="00B92181"/>
    <w:rsid w:val="00B92283"/>
    <w:rsid w:val="00B924A7"/>
    <w:rsid w:val="00B92A79"/>
    <w:rsid w:val="00B9307C"/>
    <w:rsid w:val="00B93395"/>
    <w:rsid w:val="00B95887"/>
    <w:rsid w:val="00B973EC"/>
    <w:rsid w:val="00B97A57"/>
    <w:rsid w:val="00BA0765"/>
    <w:rsid w:val="00BA1C4F"/>
    <w:rsid w:val="00BA1FF1"/>
    <w:rsid w:val="00BA24C5"/>
    <w:rsid w:val="00BA2866"/>
    <w:rsid w:val="00BA2C38"/>
    <w:rsid w:val="00BA395C"/>
    <w:rsid w:val="00BA5577"/>
    <w:rsid w:val="00BA661A"/>
    <w:rsid w:val="00BA68A0"/>
    <w:rsid w:val="00BB1E95"/>
    <w:rsid w:val="00BB24F1"/>
    <w:rsid w:val="00BB257A"/>
    <w:rsid w:val="00BB4070"/>
    <w:rsid w:val="00BB4368"/>
    <w:rsid w:val="00BB4440"/>
    <w:rsid w:val="00BB4E11"/>
    <w:rsid w:val="00BB56BF"/>
    <w:rsid w:val="00BB5E5C"/>
    <w:rsid w:val="00BB5F56"/>
    <w:rsid w:val="00BB698B"/>
    <w:rsid w:val="00BB6B75"/>
    <w:rsid w:val="00BB6E09"/>
    <w:rsid w:val="00BC014E"/>
    <w:rsid w:val="00BC0985"/>
    <w:rsid w:val="00BC3CD9"/>
    <w:rsid w:val="00BC40D8"/>
    <w:rsid w:val="00BC468A"/>
    <w:rsid w:val="00BC5FE2"/>
    <w:rsid w:val="00BC757B"/>
    <w:rsid w:val="00BC7FF1"/>
    <w:rsid w:val="00BD109D"/>
    <w:rsid w:val="00BD27EE"/>
    <w:rsid w:val="00BD2B17"/>
    <w:rsid w:val="00BD3064"/>
    <w:rsid w:val="00BD3AEF"/>
    <w:rsid w:val="00BD493E"/>
    <w:rsid w:val="00BD4CFA"/>
    <w:rsid w:val="00BD4D2F"/>
    <w:rsid w:val="00BD561C"/>
    <w:rsid w:val="00BD5861"/>
    <w:rsid w:val="00BE0DA1"/>
    <w:rsid w:val="00BE1545"/>
    <w:rsid w:val="00BE18CD"/>
    <w:rsid w:val="00BE25A0"/>
    <w:rsid w:val="00BE3EEF"/>
    <w:rsid w:val="00BE46BA"/>
    <w:rsid w:val="00BE49C0"/>
    <w:rsid w:val="00BE5F26"/>
    <w:rsid w:val="00BE60DD"/>
    <w:rsid w:val="00BE6292"/>
    <w:rsid w:val="00BE6633"/>
    <w:rsid w:val="00BE6B50"/>
    <w:rsid w:val="00BF2099"/>
    <w:rsid w:val="00BF32A4"/>
    <w:rsid w:val="00BF3DBE"/>
    <w:rsid w:val="00BF3E2A"/>
    <w:rsid w:val="00BF4483"/>
    <w:rsid w:val="00BF4544"/>
    <w:rsid w:val="00BF46D5"/>
    <w:rsid w:val="00BF4C40"/>
    <w:rsid w:val="00BF5946"/>
    <w:rsid w:val="00C00442"/>
    <w:rsid w:val="00C018DE"/>
    <w:rsid w:val="00C01E11"/>
    <w:rsid w:val="00C01E27"/>
    <w:rsid w:val="00C02446"/>
    <w:rsid w:val="00C03F81"/>
    <w:rsid w:val="00C04A4D"/>
    <w:rsid w:val="00C04F2C"/>
    <w:rsid w:val="00C05073"/>
    <w:rsid w:val="00C05786"/>
    <w:rsid w:val="00C0588B"/>
    <w:rsid w:val="00C06EED"/>
    <w:rsid w:val="00C07250"/>
    <w:rsid w:val="00C07ED0"/>
    <w:rsid w:val="00C1016A"/>
    <w:rsid w:val="00C109E3"/>
    <w:rsid w:val="00C10F34"/>
    <w:rsid w:val="00C126DD"/>
    <w:rsid w:val="00C12EE8"/>
    <w:rsid w:val="00C13DA8"/>
    <w:rsid w:val="00C14035"/>
    <w:rsid w:val="00C14B91"/>
    <w:rsid w:val="00C15037"/>
    <w:rsid w:val="00C1545E"/>
    <w:rsid w:val="00C16594"/>
    <w:rsid w:val="00C16E92"/>
    <w:rsid w:val="00C1705E"/>
    <w:rsid w:val="00C20F13"/>
    <w:rsid w:val="00C21A8A"/>
    <w:rsid w:val="00C24268"/>
    <w:rsid w:val="00C246F8"/>
    <w:rsid w:val="00C25D62"/>
    <w:rsid w:val="00C26F9F"/>
    <w:rsid w:val="00C27726"/>
    <w:rsid w:val="00C27892"/>
    <w:rsid w:val="00C27FE1"/>
    <w:rsid w:val="00C313E9"/>
    <w:rsid w:val="00C319E5"/>
    <w:rsid w:val="00C340AB"/>
    <w:rsid w:val="00C35709"/>
    <w:rsid w:val="00C3596A"/>
    <w:rsid w:val="00C400A5"/>
    <w:rsid w:val="00C40B77"/>
    <w:rsid w:val="00C40BB7"/>
    <w:rsid w:val="00C40E8D"/>
    <w:rsid w:val="00C4105C"/>
    <w:rsid w:val="00C41B36"/>
    <w:rsid w:val="00C42CDB"/>
    <w:rsid w:val="00C43EB5"/>
    <w:rsid w:val="00C43F72"/>
    <w:rsid w:val="00C44124"/>
    <w:rsid w:val="00C454AF"/>
    <w:rsid w:val="00C45674"/>
    <w:rsid w:val="00C502D2"/>
    <w:rsid w:val="00C5239E"/>
    <w:rsid w:val="00C52793"/>
    <w:rsid w:val="00C5393A"/>
    <w:rsid w:val="00C554B4"/>
    <w:rsid w:val="00C5616C"/>
    <w:rsid w:val="00C5645E"/>
    <w:rsid w:val="00C56B0A"/>
    <w:rsid w:val="00C57ADC"/>
    <w:rsid w:val="00C61587"/>
    <w:rsid w:val="00C61AE9"/>
    <w:rsid w:val="00C62340"/>
    <w:rsid w:val="00C66552"/>
    <w:rsid w:val="00C6783C"/>
    <w:rsid w:val="00C67ED0"/>
    <w:rsid w:val="00C70554"/>
    <w:rsid w:val="00C705B7"/>
    <w:rsid w:val="00C71AE4"/>
    <w:rsid w:val="00C7222A"/>
    <w:rsid w:val="00C734D0"/>
    <w:rsid w:val="00C7464A"/>
    <w:rsid w:val="00C75B5E"/>
    <w:rsid w:val="00C75EED"/>
    <w:rsid w:val="00C76DFB"/>
    <w:rsid w:val="00C77094"/>
    <w:rsid w:val="00C775FF"/>
    <w:rsid w:val="00C81863"/>
    <w:rsid w:val="00C823C4"/>
    <w:rsid w:val="00C823FB"/>
    <w:rsid w:val="00C82495"/>
    <w:rsid w:val="00C8383B"/>
    <w:rsid w:val="00C84250"/>
    <w:rsid w:val="00C857E6"/>
    <w:rsid w:val="00C861E4"/>
    <w:rsid w:val="00C86824"/>
    <w:rsid w:val="00C86DE1"/>
    <w:rsid w:val="00C877F8"/>
    <w:rsid w:val="00C92897"/>
    <w:rsid w:val="00C93238"/>
    <w:rsid w:val="00C934D6"/>
    <w:rsid w:val="00C93753"/>
    <w:rsid w:val="00C9635A"/>
    <w:rsid w:val="00C97097"/>
    <w:rsid w:val="00C97B1F"/>
    <w:rsid w:val="00CA2777"/>
    <w:rsid w:val="00CA2EBA"/>
    <w:rsid w:val="00CA3AAC"/>
    <w:rsid w:val="00CA4F7E"/>
    <w:rsid w:val="00CA613C"/>
    <w:rsid w:val="00CA6B8F"/>
    <w:rsid w:val="00CA74FA"/>
    <w:rsid w:val="00CA7E28"/>
    <w:rsid w:val="00CA7F75"/>
    <w:rsid w:val="00CB0193"/>
    <w:rsid w:val="00CB024E"/>
    <w:rsid w:val="00CB1EB4"/>
    <w:rsid w:val="00CB391F"/>
    <w:rsid w:val="00CB3B81"/>
    <w:rsid w:val="00CB491A"/>
    <w:rsid w:val="00CB5630"/>
    <w:rsid w:val="00CB5A10"/>
    <w:rsid w:val="00CB70C1"/>
    <w:rsid w:val="00CC0B8E"/>
    <w:rsid w:val="00CC0F67"/>
    <w:rsid w:val="00CC1854"/>
    <w:rsid w:val="00CC4008"/>
    <w:rsid w:val="00CC53B0"/>
    <w:rsid w:val="00CC542F"/>
    <w:rsid w:val="00CC55DB"/>
    <w:rsid w:val="00CC6080"/>
    <w:rsid w:val="00CC6D45"/>
    <w:rsid w:val="00CC700B"/>
    <w:rsid w:val="00CC7BF4"/>
    <w:rsid w:val="00CD07ED"/>
    <w:rsid w:val="00CD0A11"/>
    <w:rsid w:val="00CD3403"/>
    <w:rsid w:val="00CD3927"/>
    <w:rsid w:val="00CD3AB5"/>
    <w:rsid w:val="00CD43CF"/>
    <w:rsid w:val="00CD465D"/>
    <w:rsid w:val="00CD4A00"/>
    <w:rsid w:val="00CD4BDF"/>
    <w:rsid w:val="00CD5A58"/>
    <w:rsid w:val="00CD5ECD"/>
    <w:rsid w:val="00CD76FE"/>
    <w:rsid w:val="00CE1100"/>
    <w:rsid w:val="00CE15A9"/>
    <w:rsid w:val="00CE3E93"/>
    <w:rsid w:val="00CE43E6"/>
    <w:rsid w:val="00CE508A"/>
    <w:rsid w:val="00CE621F"/>
    <w:rsid w:val="00CE6E04"/>
    <w:rsid w:val="00CE74BD"/>
    <w:rsid w:val="00CE7832"/>
    <w:rsid w:val="00CE7AB3"/>
    <w:rsid w:val="00CF01D9"/>
    <w:rsid w:val="00CF1807"/>
    <w:rsid w:val="00CF18DA"/>
    <w:rsid w:val="00CF68D9"/>
    <w:rsid w:val="00D0073F"/>
    <w:rsid w:val="00D020FF"/>
    <w:rsid w:val="00D022E9"/>
    <w:rsid w:val="00D03026"/>
    <w:rsid w:val="00D034BB"/>
    <w:rsid w:val="00D035BF"/>
    <w:rsid w:val="00D03BB2"/>
    <w:rsid w:val="00D04410"/>
    <w:rsid w:val="00D05BCE"/>
    <w:rsid w:val="00D065DF"/>
    <w:rsid w:val="00D0730A"/>
    <w:rsid w:val="00D0774D"/>
    <w:rsid w:val="00D10935"/>
    <w:rsid w:val="00D11345"/>
    <w:rsid w:val="00D121F8"/>
    <w:rsid w:val="00D1282D"/>
    <w:rsid w:val="00D12BCE"/>
    <w:rsid w:val="00D1360E"/>
    <w:rsid w:val="00D14B21"/>
    <w:rsid w:val="00D15025"/>
    <w:rsid w:val="00D15806"/>
    <w:rsid w:val="00D15A9E"/>
    <w:rsid w:val="00D169E1"/>
    <w:rsid w:val="00D17372"/>
    <w:rsid w:val="00D1753E"/>
    <w:rsid w:val="00D17B1F"/>
    <w:rsid w:val="00D2074E"/>
    <w:rsid w:val="00D20DEC"/>
    <w:rsid w:val="00D2152A"/>
    <w:rsid w:val="00D22294"/>
    <w:rsid w:val="00D225D1"/>
    <w:rsid w:val="00D22B7B"/>
    <w:rsid w:val="00D23104"/>
    <w:rsid w:val="00D236D5"/>
    <w:rsid w:val="00D24437"/>
    <w:rsid w:val="00D245EB"/>
    <w:rsid w:val="00D25D3B"/>
    <w:rsid w:val="00D26957"/>
    <w:rsid w:val="00D272BD"/>
    <w:rsid w:val="00D27460"/>
    <w:rsid w:val="00D3036A"/>
    <w:rsid w:val="00D32128"/>
    <w:rsid w:val="00D32878"/>
    <w:rsid w:val="00D32EA7"/>
    <w:rsid w:val="00D33484"/>
    <w:rsid w:val="00D3410F"/>
    <w:rsid w:val="00D36C17"/>
    <w:rsid w:val="00D37F12"/>
    <w:rsid w:val="00D40905"/>
    <w:rsid w:val="00D40EFD"/>
    <w:rsid w:val="00D41514"/>
    <w:rsid w:val="00D41ACA"/>
    <w:rsid w:val="00D42023"/>
    <w:rsid w:val="00D4254A"/>
    <w:rsid w:val="00D4329D"/>
    <w:rsid w:val="00D43CAF"/>
    <w:rsid w:val="00D44472"/>
    <w:rsid w:val="00D45B80"/>
    <w:rsid w:val="00D471A3"/>
    <w:rsid w:val="00D50973"/>
    <w:rsid w:val="00D51A91"/>
    <w:rsid w:val="00D51DFB"/>
    <w:rsid w:val="00D5206C"/>
    <w:rsid w:val="00D5235A"/>
    <w:rsid w:val="00D531DC"/>
    <w:rsid w:val="00D53D82"/>
    <w:rsid w:val="00D547B7"/>
    <w:rsid w:val="00D564BB"/>
    <w:rsid w:val="00D56679"/>
    <w:rsid w:val="00D6059A"/>
    <w:rsid w:val="00D62AC2"/>
    <w:rsid w:val="00D62B07"/>
    <w:rsid w:val="00D63362"/>
    <w:rsid w:val="00D64AE1"/>
    <w:rsid w:val="00D65356"/>
    <w:rsid w:val="00D654AC"/>
    <w:rsid w:val="00D65C6A"/>
    <w:rsid w:val="00D66B80"/>
    <w:rsid w:val="00D7011C"/>
    <w:rsid w:val="00D723EF"/>
    <w:rsid w:val="00D7368E"/>
    <w:rsid w:val="00D73695"/>
    <w:rsid w:val="00D743B5"/>
    <w:rsid w:val="00D75411"/>
    <w:rsid w:val="00D7655F"/>
    <w:rsid w:val="00D76CE8"/>
    <w:rsid w:val="00D77152"/>
    <w:rsid w:val="00D83CF2"/>
    <w:rsid w:val="00D8473E"/>
    <w:rsid w:val="00D847DE"/>
    <w:rsid w:val="00D85448"/>
    <w:rsid w:val="00D85E3C"/>
    <w:rsid w:val="00D86294"/>
    <w:rsid w:val="00D90C59"/>
    <w:rsid w:val="00D938BB"/>
    <w:rsid w:val="00D93CDC"/>
    <w:rsid w:val="00D93DA3"/>
    <w:rsid w:val="00D94577"/>
    <w:rsid w:val="00D94BFD"/>
    <w:rsid w:val="00D94CB2"/>
    <w:rsid w:val="00D95003"/>
    <w:rsid w:val="00D9509C"/>
    <w:rsid w:val="00D95C78"/>
    <w:rsid w:val="00D979F3"/>
    <w:rsid w:val="00DA0809"/>
    <w:rsid w:val="00DA1C24"/>
    <w:rsid w:val="00DA2B6A"/>
    <w:rsid w:val="00DA35B7"/>
    <w:rsid w:val="00DA5940"/>
    <w:rsid w:val="00DA5C53"/>
    <w:rsid w:val="00DA5E74"/>
    <w:rsid w:val="00DA74A4"/>
    <w:rsid w:val="00DB0FC2"/>
    <w:rsid w:val="00DB36EB"/>
    <w:rsid w:val="00DB3B3E"/>
    <w:rsid w:val="00DB3BA7"/>
    <w:rsid w:val="00DB4919"/>
    <w:rsid w:val="00DB5254"/>
    <w:rsid w:val="00DB58FA"/>
    <w:rsid w:val="00DB6076"/>
    <w:rsid w:val="00DC17F4"/>
    <w:rsid w:val="00DC20F9"/>
    <w:rsid w:val="00DC31FB"/>
    <w:rsid w:val="00DC374C"/>
    <w:rsid w:val="00DC4E36"/>
    <w:rsid w:val="00DC4E47"/>
    <w:rsid w:val="00DC66D9"/>
    <w:rsid w:val="00DC67AD"/>
    <w:rsid w:val="00DD1080"/>
    <w:rsid w:val="00DD1DAF"/>
    <w:rsid w:val="00DD3361"/>
    <w:rsid w:val="00DD5DDB"/>
    <w:rsid w:val="00DD6A1C"/>
    <w:rsid w:val="00DD7219"/>
    <w:rsid w:val="00DD7F07"/>
    <w:rsid w:val="00DE00AF"/>
    <w:rsid w:val="00DE0DF5"/>
    <w:rsid w:val="00DE134C"/>
    <w:rsid w:val="00DE24E1"/>
    <w:rsid w:val="00DE2A74"/>
    <w:rsid w:val="00DE2EC1"/>
    <w:rsid w:val="00DE3675"/>
    <w:rsid w:val="00DE483B"/>
    <w:rsid w:val="00DE5244"/>
    <w:rsid w:val="00DE5E58"/>
    <w:rsid w:val="00DF1494"/>
    <w:rsid w:val="00DF1508"/>
    <w:rsid w:val="00DF1D18"/>
    <w:rsid w:val="00DF221F"/>
    <w:rsid w:val="00DF2CCF"/>
    <w:rsid w:val="00DF4827"/>
    <w:rsid w:val="00DF4945"/>
    <w:rsid w:val="00DF5993"/>
    <w:rsid w:val="00DF5AAB"/>
    <w:rsid w:val="00DF6267"/>
    <w:rsid w:val="00DF7E19"/>
    <w:rsid w:val="00E00995"/>
    <w:rsid w:val="00E01347"/>
    <w:rsid w:val="00E02903"/>
    <w:rsid w:val="00E02A35"/>
    <w:rsid w:val="00E030BB"/>
    <w:rsid w:val="00E0342B"/>
    <w:rsid w:val="00E03EA1"/>
    <w:rsid w:val="00E04259"/>
    <w:rsid w:val="00E04509"/>
    <w:rsid w:val="00E10427"/>
    <w:rsid w:val="00E10AF8"/>
    <w:rsid w:val="00E1113B"/>
    <w:rsid w:val="00E12A7B"/>
    <w:rsid w:val="00E12CB8"/>
    <w:rsid w:val="00E15B57"/>
    <w:rsid w:val="00E1675B"/>
    <w:rsid w:val="00E1695E"/>
    <w:rsid w:val="00E20154"/>
    <w:rsid w:val="00E20487"/>
    <w:rsid w:val="00E212CF"/>
    <w:rsid w:val="00E21813"/>
    <w:rsid w:val="00E21CA1"/>
    <w:rsid w:val="00E22C4E"/>
    <w:rsid w:val="00E2304B"/>
    <w:rsid w:val="00E24618"/>
    <w:rsid w:val="00E24D0C"/>
    <w:rsid w:val="00E24EF6"/>
    <w:rsid w:val="00E250C5"/>
    <w:rsid w:val="00E253E0"/>
    <w:rsid w:val="00E25846"/>
    <w:rsid w:val="00E25933"/>
    <w:rsid w:val="00E26134"/>
    <w:rsid w:val="00E26765"/>
    <w:rsid w:val="00E27F70"/>
    <w:rsid w:val="00E31582"/>
    <w:rsid w:val="00E317D5"/>
    <w:rsid w:val="00E318C4"/>
    <w:rsid w:val="00E32589"/>
    <w:rsid w:val="00E331A4"/>
    <w:rsid w:val="00E356B9"/>
    <w:rsid w:val="00E40D51"/>
    <w:rsid w:val="00E413AB"/>
    <w:rsid w:val="00E41F2A"/>
    <w:rsid w:val="00E42B4B"/>
    <w:rsid w:val="00E44C0B"/>
    <w:rsid w:val="00E46BA7"/>
    <w:rsid w:val="00E50FB2"/>
    <w:rsid w:val="00E52AF1"/>
    <w:rsid w:val="00E549CF"/>
    <w:rsid w:val="00E54A45"/>
    <w:rsid w:val="00E567BA"/>
    <w:rsid w:val="00E570AA"/>
    <w:rsid w:val="00E6009F"/>
    <w:rsid w:val="00E604D6"/>
    <w:rsid w:val="00E617C3"/>
    <w:rsid w:val="00E61C42"/>
    <w:rsid w:val="00E621B2"/>
    <w:rsid w:val="00E62247"/>
    <w:rsid w:val="00E629CE"/>
    <w:rsid w:val="00E639D3"/>
    <w:rsid w:val="00E63AF0"/>
    <w:rsid w:val="00E63C69"/>
    <w:rsid w:val="00E63DC7"/>
    <w:rsid w:val="00E65283"/>
    <w:rsid w:val="00E6560F"/>
    <w:rsid w:val="00E66B97"/>
    <w:rsid w:val="00E66C92"/>
    <w:rsid w:val="00E678ED"/>
    <w:rsid w:val="00E67957"/>
    <w:rsid w:val="00E67C40"/>
    <w:rsid w:val="00E67F72"/>
    <w:rsid w:val="00E70B74"/>
    <w:rsid w:val="00E7534C"/>
    <w:rsid w:val="00E75AE6"/>
    <w:rsid w:val="00E76A22"/>
    <w:rsid w:val="00E76BCC"/>
    <w:rsid w:val="00E76E4A"/>
    <w:rsid w:val="00E804E6"/>
    <w:rsid w:val="00E806C5"/>
    <w:rsid w:val="00E80B0B"/>
    <w:rsid w:val="00E80F46"/>
    <w:rsid w:val="00E82078"/>
    <w:rsid w:val="00E82142"/>
    <w:rsid w:val="00E8270C"/>
    <w:rsid w:val="00E829D6"/>
    <w:rsid w:val="00E82A6D"/>
    <w:rsid w:val="00E82BDF"/>
    <w:rsid w:val="00E83B70"/>
    <w:rsid w:val="00E85611"/>
    <w:rsid w:val="00E8580F"/>
    <w:rsid w:val="00E867B5"/>
    <w:rsid w:val="00E867BC"/>
    <w:rsid w:val="00E875E3"/>
    <w:rsid w:val="00E878EA"/>
    <w:rsid w:val="00E87A8A"/>
    <w:rsid w:val="00E87E63"/>
    <w:rsid w:val="00E91A99"/>
    <w:rsid w:val="00E91AEC"/>
    <w:rsid w:val="00E92780"/>
    <w:rsid w:val="00E92B48"/>
    <w:rsid w:val="00E92F77"/>
    <w:rsid w:val="00E96653"/>
    <w:rsid w:val="00E96827"/>
    <w:rsid w:val="00E97406"/>
    <w:rsid w:val="00E97BD7"/>
    <w:rsid w:val="00EA119F"/>
    <w:rsid w:val="00EA280F"/>
    <w:rsid w:val="00EA2F1E"/>
    <w:rsid w:val="00EA2FE9"/>
    <w:rsid w:val="00EA42D2"/>
    <w:rsid w:val="00EA4515"/>
    <w:rsid w:val="00EA5D59"/>
    <w:rsid w:val="00EA6CE6"/>
    <w:rsid w:val="00EA73F8"/>
    <w:rsid w:val="00EA7761"/>
    <w:rsid w:val="00EA7C4F"/>
    <w:rsid w:val="00EA7D22"/>
    <w:rsid w:val="00EB0866"/>
    <w:rsid w:val="00EB0F45"/>
    <w:rsid w:val="00EB1865"/>
    <w:rsid w:val="00EB1A3A"/>
    <w:rsid w:val="00EB213E"/>
    <w:rsid w:val="00EB2BCA"/>
    <w:rsid w:val="00EB2E55"/>
    <w:rsid w:val="00EB3754"/>
    <w:rsid w:val="00EB39D1"/>
    <w:rsid w:val="00EB4D28"/>
    <w:rsid w:val="00EB5216"/>
    <w:rsid w:val="00EB5761"/>
    <w:rsid w:val="00EB604A"/>
    <w:rsid w:val="00EB6A01"/>
    <w:rsid w:val="00EC07C0"/>
    <w:rsid w:val="00EC142A"/>
    <w:rsid w:val="00EC18F3"/>
    <w:rsid w:val="00EC1AA1"/>
    <w:rsid w:val="00EC290D"/>
    <w:rsid w:val="00EC4AF4"/>
    <w:rsid w:val="00EC4F4C"/>
    <w:rsid w:val="00EC4FF4"/>
    <w:rsid w:val="00EC53FE"/>
    <w:rsid w:val="00EC6BCE"/>
    <w:rsid w:val="00ED1D32"/>
    <w:rsid w:val="00ED2233"/>
    <w:rsid w:val="00ED3BD8"/>
    <w:rsid w:val="00ED3E90"/>
    <w:rsid w:val="00ED42BF"/>
    <w:rsid w:val="00ED5986"/>
    <w:rsid w:val="00ED658A"/>
    <w:rsid w:val="00ED7ECC"/>
    <w:rsid w:val="00EE0733"/>
    <w:rsid w:val="00EE0FB9"/>
    <w:rsid w:val="00EE15D4"/>
    <w:rsid w:val="00EE2109"/>
    <w:rsid w:val="00EE21F4"/>
    <w:rsid w:val="00EE2739"/>
    <w:rsid w:val="00EE2BAC"/>
    <w:rsid w:val="00EE3591"/>
    <w:rsid w:val="00EE5E1F"/>
    <w:rsid w:val="00EE6BA9"/>
    <w:rsid w:val="00EE7394"/>
    <w:rsid w:val="00EE739D"/>
    <w:rsid w:val="00EE7A9E"/>
    <w:rsid w:val="00EF06FB"/>
    <w:rsid w:val="00EF0BEC"/>
    <w:rsid w:val="00EF1F38"/>
    <w:rsid w:val="00EF218F"/>
    <w:rsid w:val="00EF2247"/>
    <w:rsid w:val="00EF2471"/>
    <w:rsid w:val="00EF3E13"/>
    <w:rsid w:val="00EF4128"/>
    <w:rsid w:val="00EF4A71"/>
    <w:rsid w:val="00EF552B"/>
    <w:rsid w:val="00EF6313"/>
    <w:rsid w:val="00EF6386"/>
    <w:rsid w:val="00EF6B95"/>
    <w:rsid w:val="00EF72D0"/>
    <w:rsid w:val="00EF7453"/>
    <w:rsid w:val="00EF76A5"/>
    <w:rsid w:val="00EF7E44"/>
    <w:rsid w:val="00F00DCF"/>
    <w:rsid w:val="00F026C7"/>
    <w:rsid w:val="00F03248"/>
    <w:rsid w:val="00F033E5"/>
    <w:rsid w:val="00F03931"/>
    <w:rsid w:val="00F05E9D"/>
    <w:rsid w:val="00F07FE6"/>
    <w:rsid w:val="00F10189"/>
    <w:rsid w:val="00F10955"/>
    <w:rsid w:val="00F1191B"/>
    <w:rsid w:val="00F146B0"/>
    <w:rsid w:val="00F154AD"/>
    <w:rsid w:val="00F219A4"/>
    <w:rsid w:val="00F22CB6"/>
    <w:rsid w:val="00F24914"/>
    <w:rsid w:val="00F24A69"/>
    <w:rsid w:val="00F24D37"/>
    <w:rsid w:val="00F25E3B"/>
    <w:rsid w:val="00F26A93"/>
    <w:rsid w:val="00F3016B"/>
    <w:rsid w:val="00F3017F"/>
    <w:rsid w:val="00F30C1B"/>
    <w:rsid w:val="00F31B2C"/>
    <w:rsid w:val="00F31D83"/>
    <w:rsid w:val="00F321E9"/>
    <w:rsid w:val="00F35A1A"/>
    <w:rsid w:val="00F35CD0"/>
    <w:rsid w:val="00F37119"/>
    <w:rsid w:val="00F415FE"/>
    <w:rsid w:val="00F42FA6"/>
    <w:rsid w:val="00F435CA"/>
    <w:rsid w:val="00F44AFD"/>
    <w:rsid w:val="00F44D66"/>
    <w:rsid w:val="00F457D8"/>
    <w:rsid w:val="00F46AE5"/>
    <w:rsid w:val="00F47158"/>
    <w:rsid w:val="00F50415"/>
    <w:rsid w:val="00F5060B"/>
    <w:rsid w:val="00F509BF"/>
    <w:rsid w:val="00F5243D"/>
    <w:rsid w:val="00F52B13"/>
    <w:rsid w:val="00F53594"/>
    <w:rsid w:val="00F5372A"/>
    <w:rsid w:val="00F54C31"/>
    <w:rsid w:val="00F55749"/>
    <w:rsid w:val="00F559DA"/>
    <w:rsid w:val="00F60E18"/>
    <w:rsid w:val="00F615AC"/>
    <w:rsid w:val="00F6243E"/>
    <w:rsid w:val="00F66682"/>
    <w:rsid w:val="00F66BE8"/>
    <w:rsid w:val="00F705CC"/>
    <w:rsid w:val="00F720E5"/>
    <w:rsid w:val="00F72B34"/>
    <w:rsid w:val="00F73474"/>
    <w:rsid w:val="00F73BC8"/>
    <w:rsid w:val="00F740BA"/>
    <w:rsid w:val="00F74D7A"/>
    <w:rsid w:val="00F767CE"/>
    <w:rsid w:val="00F767EC"/>
    <w:rsid w:val="00F77383"/>
    <w:rsid w:val="00F804B2"/>
    <w:rsid w:val="00F807E2"/>
    <w:rsid w:val="00F80946"/>
    <w:rsid w:val="00F80AF9"/>
    <w:rsid w:val="00F82F5F"/>
    <w:rsid w:val="00F83C1E"/>
    <w:rsid w:val="00F8656C"/>
    <w:rsid w:val="00F91C55"/>
    <w:rsid w:val="00F941F8"/>
    <w:rsid w:val="00F95C7E"/>
    <w:rsid w:val="00F9603E"/>
    <w:rsid w:val="00F96223"/>
    <w:rsid w:val="00F96579"/>
    <w:rsid w:val="00F96C9C"/>
    <w:rsid w:val="00F97162"/>
    <w:rsid w:val="00F974F8"/>
    <w:rsid w:val="00FA0F42"/>
    <w:rsid w:val="00FA1AE7"/>
    <w:rsid w:val="00FA48D4"/>
    <w:rsid w:val="00FA5FB1"/>
    <w:rsid w:val="00FA6FD2"/>
    <w:rsid w:val="00FA7279"/>
    <w:rsid w:val="00FA7710"/>
    <w:rsid w:val="00FB1279"/>
    <w:rsid w:val="00FB2CC4"/>
    <w:rsid w:val="00FB4738"/>
    <w:rsid w:val="00FB5701"/>
    <w:rsid w:val="00FB5961"/>
    <w:rsid w:val="00FB5AB2"/>
    <w:rsid w:val="00FB628A"/>
    <w:rsid w:val="00FB6401"/>
    <w:rsid w:val="00FB6652"/>
    <w:rsid w:val="00FB683A"/>
    <w:rsid w:val="00FB7CD6"/>
    <w:rsid w:val="00FC11AF"/>
    <w:rsid w:val="00FC14EC"/>
    <w:rsid w:val="00FC2515"/>
    <w:rsid w:val="00FC291E"/>
    <w:rsid w:val="00FC45EA"/>
    <w:rsid w:val="00FC4E76"/>
    <w:rsid w:val="00FC5579"/>
    <w:rsid w:val="00FC5711"/>
    <w:rsid w:val="00FC6527"/>
    <w:rsid w:val="00FC6F43"/>
    <w:rsid w:val="00FC7401"/>
    <w:rsid w:val="00FD1057"/>
    <w:rsid w:val="00FD2D73"/>
    <w:rsid w:val="00FD3DBB"/>
    <w:rsid w:val="00FD449A"/>
    <w:rsid w:val="00FD4845"/>
    <w:rsid w:val="00FD679E"/>
    <w:rsid w:val="00FD68D4"/>
    <w:rsid w:val="00FD6E45"/>
    <w:rsid w:val="00FD7B4E"/>
    <w:rsid w:val="00FE0019"/>
    <w:rsid w:val="00FE044F"/>
    <w:rsid w:val="00FE05C8"/>
    <w:rsid w:val="00FE0ACC"/>
    <w:rsid w:val="00FE0E4B"/>
    <w:rsid w:val="00FE3536"/>
    <w:rsid w:val="00FE3822"/>
    <w:rsid w:val="00FE3C90"/>
    <w:rsid w:val="00FE40C6"/>
    <w:rsid w:val="00FE505C"/>
    <w:rsid w:val="00FE5CC7"/>
    <w:rsid w:val="00FE79C5"/>
    <w:rsid w:val="00FF05FD"/>
    <w:rsid w:val="00FF1C5C"/>
    <w:rsid w:val="00FF2828"/>
    <w:rsid w:val="00FF2DB3"/>
    <w:rsid w:val="00FF41FB"/>
    <w:rsid w:val="00FF4983"/>
    <w:rsid w:val="00FF4ED3"/>
    <w:rsid w:val="00FF51AF"/>
    <w:rsid w:val="00FF5BF1"/>
    <w:rsid w:val="00FF6246"/>
    <w:rsid w:val="00FF630F"/>
    <w:rsid w:val="00FF70F5"/>
    <w:rsid w:val="00FF7671"/>
    <w:rsid w:val="01012540"/>
    <w:rsid w:val="010333FC"/>
    <w:rsid w:val="01042CD0"/>
    <w:rsid w:val="010827C0"/>
    <w:rsid w:val="010A478A"/>
    <w:rsid w:val="010B405F"/>
    <w:rsid w:val="01115B19"/>
    <w:rsid w:val="01115EAD"/>
    <w:rsid w:val="011949CD"/>
    <w:rsid w:val="011B0745"/>
    <w:rsid w:val="01270DAC"/>
    <w:rsid w:val="012A5BD8"/>
    <w:rsid w:val="012E6220"/>
    <w:rsid w:val="01325A8F"/>
    <w:rsid w:val="01336B85"/>
    <w:rsid w:val="013435B5"/>
    <w:rsid w:val="01396E1E"/>
    <w:rsid w:val="014001AC"/>
    <w:rsid w:val="0147153B"/>
    <w:rsid w:val="014F03EF"/>
    <w:rsid w:val="014F6641"/>
    <w:rsid w:val="01581876"/>
    <w:rsid w:val="015A390A"/>
    <w:rsid w:val="01687703"/>
    <w:rsid w:val="01695955"/>
    <w:rsid w:val="016E2E7C"/>
    <w:rsid w:val="01714809"/>
    <w:rsid w:val="017565A5"/>
    <w:rsid w:val="01761E20"/>
    <w:rsid w:val="01763BCE"/>
    <w:rsid w:val="017716F4"/>
    <w:rsid w:val="017D4F5C"/>
    <w:rsid w:val="01830099"/>
    <w:rsid w:val="018A58CB"/>
    <w:rsid w:val="018F4C90"/>
    <w:rsid w:val="019422A6"/>
    <w:rsid w:val="01967DCC"/>
    <w:rsid w:val="019E4ED3"/>
    <w:rsid w:val="01A178E4"/>
    <w:rsid w:val="01A87AFF"/>
    <w:rsid w:val="01AA1AC9"/>
    <w:rsid w:val="01B20A23"/>
    <w:rsid w:val="01B66AA1"/>
    <w:rsid w:val="01B82438"/>
    <w:rsid w:val="01C012ED"/>
    <w:rsid w:val="01CD660B"/>
    <w:rsid w:val="01DB1EFD"/>
    <w:rsid w:val="01DD481D"/>
    <w:rsid w:val="01DF79C5"/>
    <w:rsid w:val="01E0373D"/>
    <w:rsid w:val="01E23011"/>
    <w:rsid w:val="01E410F5"/>
    <w:rsid w:val="01E46D89"/>
    <w:rsid w:val="01E52B01"/>
    <w:rsid w:val="01EA636A"/>
    <w:rsid w:val="01EE19B6"/>
    <w:rsid w:val="01F62F61"/>
    <w:rsid w:val="01FE5971"/>
    <w:rsid w:val="02076F1C"/>
    <w:rsid w:val="020A2568"/>
    <w:rsid w:val="020B07BA"/>
    <w:rsid w:val="020E02AA"/>
    <w:rsid w:val="020F7B7E"/>
    <w:rsid w:val="02151639"/>
    <w:rsid w:val="021D229B"/>
    <w:rsid w:val="0224187C"/>
    <w:rsid w:val="0236335D"/>
    <w:rsid w:val="02380E83"/>
    <w:rsid w:val="023B795D"/>
    <w:rsid w:val="023D1C29"/>
    <w:rsid w:val="0241242E"/>
    <w:rsid w:val="024261A6"/>
    <w:rsid w:val="02427F54"/>
    <w:rsid w:val="024737BC"/>
    <w:rsid w:val="02493090"/>
    <w:rsid w:val="025263E9"/>
    <w:rsid w:val="0253288D"/>
    <w:rsid w:val="025334C0"/>
    <w:rsid w:val="025353E9"/>
    <w:rsid w:val="02535CBD"/>
    <w:rsid w:val="025C1D72"/>
    <w:rsid w:val="025E6589"/>
    <w:rsid w:val="02623842"/>
    <w:rsid w:val="02693733"/>
    <w:rsid w:val="026B1259"/>
    <w:rsid w:val="0273010D"/>
    <w:rsid w:val="02734614"/>
    <w:rsid w:val="027F4D04"/>
    <w:rsid w:val="0280482A"/>
    <w:rsid w:val="02922C89"/>
    <w:rsid w:val="02940EEB"/>
    <w:rsid w:val="02963DFC"/>
    <w:rsid w:val="02987B74"/>
    <w:rsid w:val="029D518A"/>
    <w:rsid w:val="02A4476B"/>
    <w:rsid w:val="02AB3D4B"/>
    <w:rsid w:val="02AB78A7"/>
    <w:rsid w:val="02AC112D"/>
    <w:rsid w:val="02AC69B4"/>
    <w:rsid w:val="02AD361F"/>
    <w:rsid w:val="02B011F1"/>
    <w:rsid w:val="02B01361"/>
    <w:rsid w:val="02BC3862"/>
    <w:rsid w:val="02BF77F6"/>
    <w:rsid w:val="02C1356F"/>
    <w:rsid w:val="02C22436"/>
    <w:rsid w:val="02C32E43"/>
    <w:rsid w:val="02C72207"/>
    <w:rsid w:val="02C92423"/>
    <w:rsid w:val="02CB4A82"/>
    <w:rsid w:val="02CD1F13"/>
    <w:rsid w:val="02CF4E51"/>
    <w:rsid w:val="02D62E39"/>
    <w:rsid w:val="02D84414"/>
    <w:rsid w:val="02E132C9"/>
    <w:rsid w:val="02E54431"/>
    <w:rsid w:val="02E80AFB"/>
    <w:rsid w:val="02EA4873"/>
    <w:rsid w:val="02F2197A"/>
    <w:rsid w:val="02F53218"/>
    <w:rsid w:val="02FD4095"/>
    <w:rsid w:val="02FE18B3"/>
    <w:rsid w:val="03004097"/>
    <w:rsid w:val="03060F81"/>
    <w:rsid w:val="03065425"/>
    <w:rsid w:val="030E3A55"/>
    <w:rsid w:val="030F42DA"/>
    <w:rsid w:val="0314369E"/>
    <w:rsid w:val="031511C4"/>
    <w:rsid w:val="031F2043"/>
    <w:rsid w:val="03244D72"/>
    <w:rsid w:val="03253AFD"/>
    <w:rsid w:val="032633D2"/>
    <w:rsid w:val="032C4E8C"/>
    <w:rsid w:val="032F2286"/>
    <w:rsid w:val="032F672A"/>
    <w:rsid w:val="03321D76"/>
    <w:rsid w:val="03323B24"/>
    <w:rsid w:val="03327FC8"/>
    <w:rsid w:val="033A0C2B"/>
    <w:rsid w:val="03435D32"/>
    <w:rsid w:val="034877EC"/>
    <w:rsid w:val="034A70C0"/>
    <w:rsid w:val="03522419"/>
    <w:rsid w:val="035241C7"/>
    <w:rsid w:val="0356161D"/>
    <w:rsid w:val="03597303"/>
    <w:rsid w:val="0365214C"/>
    <w:rsid w:val="036D4EAF"/>
    <w:rsid w:val="037A0B0F"/>
    <w:rsid w:val="037B371D"/>
    <w:rsid w:val="037C1244"/>
    <w:rsid w:val="037E4FBC"/>
    <w:rsid w:val="038325D2"/>
    <w:rsid w:val="0385634A"/>
    <w:rsid w:val="038650C3"/>
    <w:rsid w:val="03887BE8"/>
    <w:rsid w:val="038C76D9"/>
    <w:rsid w:val="038F0F77"/>
    <w:rsid w:val="03960557"/>
    <w:rsid w:val="039667A9"/>
    <w:rsid w:val="0397607D"/>
    <w:rsid w:val="039E565E"/>
    <w:rsid w:val="03A82039"/>
    <w:rsid w:val="03A964DC"/>
    <w:rsid w:val="03AA7B5F"/>
    <w:rsid w:val="03AD764F"/>
    <w:rsid w:val="03B70F88"/>
    <w:rsid w:val="03B95FF4"/>
    <w:rsid w:val="03BB7FBE"/>
    <w:rsid w:val="03C03826"/>
    <w:rsid w:val="03CF3A69"/>
    <w:rsid w:val="03D02F6F"/>
    <w:rsid w:val="03D42E2E"/>
    <w:rsid w:val="03D65769"/>
    <w:rsid w:val="03D8291E"/>
    <w:rsid w:val="03DC7DB4"/>
    <w:rsid w:val="03DD7F34"/>
    <w:rsid w:val="03E70DB3"/>
    <w:rsid w:val="03EA08A3"/>
    <w:rsid w:val="03F51722"/>
    <w:rsid w:val="03FA6D38"/>
    <w:rsid w:val="03FB03BA"/>
    <w:rsid w:val="03FB660C"/>
    <w:rsid w:val="0405071D"/>
    <w:rsid w:val="04071455"/>
    <w:rsid w:val="04073203"/>
    <w:rsid w:val="04096F7B"/>
    <w:rsid w:val="040B458F"/>
    <w:rsid w:val="040F3E66"/>
    <w:rsid w:val="04117BDE"/>
    <w:rsid w:val="04137DFA"/>
    <w:rsid w:val="0414147C"/>
    <w:rsid w:val="04185410"/>
    <w:rsid w:val="041860F0"/>
    <w:rsid w:val="041A1188"/>
    <w:rsid w:val="041A2F36"/>
    <w:rsid w:val="041B6CAE"/>
    <w:rsid w:val="041D6583"/>
    <w:rsid w:val="041F054D"/>
    <w:rsid w:val="04240EED"/>
    <w:rsid w:val="042913CB"/>
    <w:rsid w:val="04293179"/>
    <w:rsid w:val="042A0CA0"/>
    <w:rsid w:val="042A5AF7"/>
    <w:rsid w:val="04306DE7"/>
    <w:rsid w:val="043164D2"/>
    <w:rsid w:val="04390EE3"/>
    <w:rsid w:val="04463D2B"/>
    <w:rsid w:val="044A706A"/>
    <w:rsid w:val="044B7594"/>
    <w:rsid w:val="044C330C"/>
    <w:rsid w:val="044E2BE0"/>
    <w:rsid w:val="04552DBC"/>
    <w:rsid w:val="0458580D"/>
    <w:rsid w:val="045A1585"/>
    <w:rsid w:val="046057CC"/>
    <w:rsid w:val="04620439"/>
    <w:rsid w:val="04697A1A"/>
    <w:rsid w:val="046C750A"/>
    <w:rsid w:val="047168CE"/>
    <w:rsid w:val="0472779E"/>
    <w:rsid w:val="047649DE"/>
    <w:rsid w:val="048760F2"/>
    <w:rsid w:val="04921C4C"/>
    <w:rsid w:val="04934A97"/>
    <w:rsid w:val="04974587"/>
    <w:rsid w:val="04A24CDA"/>
    <w:rsid w:val="04A70542"/>
    <w:rsid w:val="04A942BA"/>
    <w:rsid w:val="04AC5B58"/>
    <w:rsid w:val="04AC7907"/>
    <w:rsid w:val="04AE367F"/>
    <w:rsid w:val="04AE3D98"/>
    <w:rsid w:val="04B36EE7"/>
    <w:rsid w:val="04B52C5F"/>
    <w:rsid w:val="04B769D7"/>
    <w:rsid w:val="04BC223F"/>
    <w:rsid w:val="04C21B55"/>
    <w:rsid w:val="04C44C50"/>
    <w:rsid w:val="04CB4231"/>
    <w:rsid w:val="04CB5FDF"/>
    <w:rsid w:val="04CC3DAD"/>
    <w:rsid w:val="04CE3D21"/>
    <w:rsid w:val="04D255BF"/>
    <w:rsid w:val="04D51A61"/>
    <w:rsid w:val="04D76063"/>
    <w:rsid w:val="04D8694E"/>
    <w:rsid w:val="04DF5F2E"/>
    <w:rsid w:val="04E92909"/>
    <w:rsid w:val="04EF43C3"/>
    <w:rsid w:val="04F84B98"/>
    <w:rsid w:val="04FA2D68"/>
    <w:rsid w:val="04FB657E"/>
    <w:rsid w:val="04FC088E"/>
    <w:rsid w:val="04FC43EA"/>
    <w:rsid w:val="050046C8"/>
    <w:rsid w:val="05017C52"/>
    <w:rsid w:val="05107E95"/>
    <w:rsid w:val="05114295"/>
    <w:rsid w:val="051200B1"/>
    <w:rsid w:val="05171224"/>
    <w:rsid w:val="051A6F66"/>
    <w:rsid w:val="051C683A"/>
    <w:rsid w:val="051E5080"/>
    <w:rsid w:val="052102F4"/>
    <w:rsid w:val="05237BC9"/>
    <w:rsid w:val="05263B5D"/>
    <w:rsid w:val="052D1FA4"/>
    <w:rsid w:val="052E47BF"/>
    <w:rsid w:val="0530678A"/>
    <w:rsid w:val="0539563E"/>
    <w:rsid w:val="053A13B6"/>
    <w:rsid w:val="053A4F12"/>
    <w:rsid w:val="053C512E"/>
    <w:rsid w:val="05410997"/>
    <w:rsid w:val="054123C0"/>
    <w:rsid w:val="05432019"/>
    <w:rsid w:val="05445D91"/>
    <w:rsid w:val="05461B09"/>
    <w:rsid w:val="054E55EF"/>
    <w:rsid w:val="05592701"/>
    <w:rsid w:val="05595CE0"/>
    <w:rsid w:val="055C132D"/>
    <w:rsid w:val="055E6E53"/>
    <w:rsid w:val="056326BB"/>
    <w:rsid w:val="05636D99"/>
    <w:rsid w:val="05654685"/>
    <w:rsid w:val="056703FD"/>
    <w:rsid w:val="056B77C2"/>
    <w:rsid w:val="056C5FA6"/>
    <w:rsid w:val="05746676"/>
    <w:rsid w:val="057E74F5"/>
    <w:rsid w:val="05883ED0"/>
    <w:rsid w:val="058B39C0"/>
    <w:rsid w:val="05916831"/>
    <w:rsid w:val="05962A91"/>
    <w:rsid w:val="05A21435"/>
    <w:rsid w:val="05A52CD4"/>
    <w:rsid w:val="05B41169"/>
    <w:rsid w:val="05B80C59"/>
    <w:rsid w:val="05BA5A3D"/>
    <w:rsid w:val="05BB6053"/>
    <w:rsid w:val="05BD626F"/>
    <w:rsid w:val="05BE78F1"/>
    <w:rsid w:val="05C018BB"/>
    <w:rsid w:val="05C50C80"/>
    <w:rsid w:val="05CD3FD8"/>
    <w:rsid w:val="05CF5FA2"/>
    <w:rsid w:val="05D11D1B"/>
    <w:rsid w:val="05D215EF"/>
    <w:rsid w:val="05D435B9"/>
    <w:rsid w:val="05D706A7"/>
    <w:rsid w:val="05D90BCF"/>
    <w:rsid w:val="05DB04A3"/>
    <w:rsid w:val="05DC421B"/>
    <w:rsid w:val="05DD2483"/>
    <w:rsid w:val="05E530D0"/>
    <w:rsid w:val="05E732EC"/>
    <w:rsid w:val="05E76E48"/>
    <w:rsid w:val="05ED01D7"/>
    <w:rsid w:val="05EE467B"/>
    <w:rsid w:val="05F61781"/>
    <w:rsid w:val="05F94DCD"/>
    <w:rsid w:val="060774EA"/>
    <w:rsid w:val="060A1AD7"/>
    <w:rsid w:val="060A2B37"/>
    <w:rsid w:val="060C2D53"/>
    <w:rsid w:val="0616597F"/>
    <w:rsid w:val="0616772D"/>
    <w:rsid w:val="061B2F96"/>
    <w:rsid w:val="061D0F26"/>
    <w:rsid w:val="061E65E2"/>
    <w:rsid w:val="062005AC"/>
    <w:rsid w:val="062C0CFF"/>
    <w:rsid w:val="062E4A77"/>
    <w:rsid w:val="062F6A41"/>
    <w:rsid w:val="064029FC"/>
    <w:rsid w:val="064A76E6"/>
    <w:rsid w:val="064E5119"/>
    <w:rsid w:val="06554F6B"/>
    <w:rsid w:val="06587D46"/>
    <w:rsid w:val="065B15E4"/>
    <w:rsid w:val="065B3392"/>
    <w:rsid w:val="065D35AE"/>
    <w:rsid w:val="065D710A"/>
    <w:rsid w:val="065E2E82"/>
    <w:rsid w:val="065F7326"/>
    <w:rsid w:val="065F76C6"/>
    <w:rsid w:val="066F5090"/>
    <w:rsid w:val="06707C73"/>
    <w:rsid w:val="06744454"/>
    <w:rsid w:val="067508F8"/>
    <w:rsid w:val="067845B0"/>
    <w:rsid w:val="067C0D7E"/>
    <w:rsid w:val="067E3047"/>
    <w:rsid w:val="068154EF"/>
    <w:rsid w:val="06840B3B"/>
    <w:rsid w:val="068723D9"/>
    <w:rsid w:val="068C5C42"/>
    <w:rsid w:val="068D7423"/>
    <w:rsid w:val="068E19BA"/>
    <w:rsid w:val="069468A4"/>
    <w:rsid w:val="0696086E"/>
    <w:rsid w:val="0696261C"/>
    <w:rsid w:val="069A65B0"/>
    <w:rsid w:val="069E4BF1"/>
    <w:rsid w:val="069F3BC7"/>
    <w:rsid w:val="069F5975"/>
    <w:rsid w:val="06A116ED"/>
    <w:rsid w:val="06A25465"/>
    <w:rsid w:val="06A411DD"/>
    <w:rsid w:val="06A51EF3"/>
    <w:rsid w:val="06AD2B52"/>
    <w:rsid w:val="06AE3E0A"/>
    <w:rsid w:val="06B70F10"/>
    <w:rsid w:val="06BC6527"/>
    <w:rsid w:val="06BD229F"/>
    <w:rsid w:val="06C13B3D"/>
    <w:rsid w:val="06C278B5"/>
    <w:rsid w:val="06C57B04"/>
    <w:rsid w:val="06C74ECC"/>
    <w:rsid w:val="06C76C7A"/>
    <w:rsid w:val="06C947A0"/>
    <w:rsid w:val="06CB0518"/>
    <w:rsid w:val="06D118A6"/>
    <w:rsid w:val="06D373CC"/>
    <w:rsid w:val="06D575E9"/>
    <w:rsid w:val="06D73361"/>
    <w:rsid w:val="06DF1DD2"/>
    <w:rsid w:val="06E21E94"/>
    <w:rsid w:val="06E31D05"/>
    <w:rsid w:val="06E67100"/>
    <w:rsid w:val="06E72E78"/>
    <w:rsid w:val="06F21F49"/>
    <w:rsid w:val="06F316D8"/>
    <w:rsid w:val="06F3181D"/>
    <w:rsid w:val="06F709FE"/>
    <w:rsid w:val="06FA2BAB"/>
    <w:rsid w:val="06FA704F"/>
    <w:rsid w:val="06FF4665"/>
    <w:rsid w:val="07061550"/>
    <w:rsid w:val="070B6B66"/>
    <w:rsid w:val="070E1CC8"/>
    <w:rsid w:val="07131EBF"/>
    <w:rsid w:val="071F2612"/>
    <w:rsid w:val="072034F0"/>
    <w:rsid w:val="07210BAE"/>
    <w:rsid w:val="072440CC"/>
    <w:rsid w:val="072916E2"/>
    <w:rsid w:val="07322345"/>
    <w:rsid w:val="07326EBD"/>
    <w:rsid w:val="07373DFF"/>
    <w:rsid w:val="073F2CB4"/>
    <w:rsid w:val="07402ACD"/>
    <w:rsid w:val="074545CA"/>
    <w:rsid w:val="07465DF0"/>
    <w:rsid w:val="07487DBA"/>
    <w:rsid w:val="074A27AC"/>
    <w:rsid w:val="074B1659"/>
    <w:rsid w:val="07524795"/>
    <w:rsid w:val="07591FC8"/>
    <w:rsid w:val="075C3866"/>
    <w:rsid w:val="075F1902"/>
    <w:rsid w:val="075F6EB2"/>
    <w:rsid w:val="07754928"/>
    <w:rsid w:val="077706A0"/>
    <w:rsid w:val="07790B7A"/>
    <w:rsid w:val="077F1302"/>
    <w:rsid w:val="078828AD"/>
    <w:rsid w:val="07886409"/>
    <w:rsid w:val="078B58BC"/>
    <w:rsid w:val="079254DA"/>
    <w:rsid w:val="079842AB"/>
    <w:rsid w:val="07A119D3"/>
    <w:rsid w:val="07A30D48"/>
    <w:rsid w:val="07AA1BCB"/>
    <w:rsid w:val="07AB012E"/>
    <w:rsid w:val="07AF3996"/>
    <w:rsid w:val="07BC4304"/>
    <w:rsid w:val="07BE62CF"/>
    <w:rsid w:val="07C42416"/>
    <w:rsid w:val="07C44DC7"/>
    <w:rsid w:val="07CF6493"/>
    <w:rsid w:val="07D23B28"/>
    <w:rsid w:val="07DB0C2F"/>
    <w:rsid w:val="07DB29DD"/>
    <w:rsid w:val="07DB478B"/>
    <w:rsid w:val="07DC0889"/>
    <w:rsid w:val="07DE071F"/>
    <w:rsid w:val="07E31891"/>
    <w:rsid w:val="07E7177B"/>
    <w:rsid w:val="07E9590B"/>
    <w:rsid w:val="07EC50C4"/>
    <w:rsid w:val="07F27D26"/>
    <w:rsid w:val="07F561A4"/>
    <w:rsid w:val="07F65A68"/>
    <w:rsid w:val="07FC03D1"/>
    <w:rsid w:val="07FC2953"/>
    <w:rsid w:val="07FE491D"/>
    <w:rsid w:val="07FF6608"/>
    <w:rsid w:val="08002443"/>
    <w:rsid w:val="0808754A"/>
    <w:rsid w:val="080F6B2A"/>
    <w:rsid w:val="08114650"/>
    <w:rsid w:val="08123F24"/>
    <w:rsid w:val="081D2FF5"/>
    <w:rsid w:val="081E4FBF"/>
    <w:rsid w:val="08316AA1"/>
    <w:rsid w:val="08386081"/>
    <w:rsid w:val="08393BA7"/>
    <w:rsid w:val="083B16CD"/>
    <w:rsid w:val="083C58F9"/>
    <w:rsid w:val="083D65AA"/>
    <w:rsid w:val="084542FA"/>
    <w:rsid w:val="084560A8"/>
    <w:rsid w:val="08475977"/>
    <w:rsid w:val="08484D29"/>
    <w:rsid w:val="08545896"/>
    <w:rsid w:val="08564759"/>
    <w:rsid w:val="08585DDB"/>
    <w:rsid w:val="085D5AE7"/>
    <w:rsid w:val="085F1943"/>
    <w:rsid w:val="085F360E"/>
    <w:rsid w:val="08626C5A"/>
    <w:rsid w:val="086A1FB2"/>
    <w:rsid w:val="08713341"/>
    <w:rsid w:val="087370B9"/>
    <w:rsid w:val="08762705"/>
    <w:rsid w:val="0878647D"/>
    <w:rsid w:val="087E15BA"/>
    <w:rsid w:val="0881384D"/>
    <w:rsid w:val="08846653"/>
    <w:rsid w:val="0886622F"/>
    <w:rsid w:val="088E48F0"/>
    <w:rsid w:val="088E5CA1"/>
    <w:rsid w:val="08915791"/>
    <w:rsid w:val="089332B7"/>
    <w:rsid w:val="0896411C"/>
    <w:rsid w:val="08A41020"/>
    <w:rsid w:val="08A52FEB"/>
    <w:rsid w:val="08AA23AF"/>
    <w:rsid w:val="08AE1E9F"/>
    <w:rsid w:val="08B374B6"/>
    <w:rsid w:val="08B64478"/>
    <w:rsid w:val="08B80F70"/>
    <w:rsid w:val="08C6543B"/>
    <w:rsid w:val="08CB0CA3"/>
    <w:rsid w:val="08D062B9"/>
    <w:rsid w:val="08D13DE0"/>
    <w:rsid w:val="08D4014B"/>
    <w:rsid w:val="08D77648"/>
    <w:rsid w:val="08D833C0"/>
    <w:rsid w:val="08D87384"/>
    <w:rsid w:val="08DF02AB"/>
    <w:rsid w:val="08E91129"/>
    <w:rsid w:val="08ED1B1C"/>
    <w:rsid w:val="08F8136C"/>
    <w:rsid w:val="08FA50E4"/>
    <w:rsid w:val="08FD6983"/>
    <w:rsid w:val="0902043D"/>
    <w:rsid w:val="090B5543"/>
    <w:rsid w:val="09102B5A"/>
    <w:rsid w:val="09120680"/>
    <w:rsid w:val="09137F54"/>
    <w:rsid w:val="09187C60"/>
    <w:rsid w:val="091A7C8A"/>
    <w:rsid w:val="091B505B"/>
    <w:rsid w:val="091C32AD"/>
    <w:rsid w:val="09273A00"/>
    <w:rsid w:val="092B1742"/>
    <w:rsid w:val="093323A4"/>
    <w:rsid w:val="09434CDD"/>
    <w:rsid w:val="09475E50"/>
    <w:rsid w:val="09491BC8"/>
    <w:rsid w:val="094E3682"/>
    <w:rsid w:val="09540C99"/>
    <w:rsid w:val="09554A11"/>
    <w:rsid w:val="095B41AD"/>
    <w:rsid w:val="095D37F2"/>
    <w:rsid w:val="095E52B6"/>
    <w:rsid w:val="0963712E"/>
    <w:rsid w:val="0967108D"/>
    <w:rsid w:val="096802A0"/>
    <w:rsid w:val="096B681F"/>
    <w:rsid w:val="096F0CF1"/>
    <w:rsid w:val="0972111F"/>
    <w:rsid w:val="097430E9"/>
    <w:rsid w:val="09794E91"/>
    <w:rsid w:val="097D1872"/>
    <w:rsid w:val="0992356F"/>
    <w:rsid w:val="099512B1"/>
    <w:rsid w:val="099B68C7"/>
    <w:rsid w:val="099D1EDE"/>
    <w:rsid w:val="09A103EC"/>
    <w:rsid w:val="09A23014"/>
    <w:rsid w:val="09A339CE"/>
    <w:rsid w:val="09A3752A"/>
    <w:rsid w:val="09AE72E5"/>
    <w:rsid w:val="09B23C11"/>
    <w:rsid w:val="09BB6FD3"/>
    <w:rsid w:val="09CD27F9"/>
    <w:rsid w:val="09D41DD9"/>
    <w:rsid w:val="09D771D4"/>
    <w:rsid w:val="09DB1E21"/>
    <w:rsid w:val="09DC47EA"/>
    <w:rsid w:val="09DE4A06"/>
    <w:rsid w:val="09E10052"/>
    <w:rsid w:val="09EF451D"/>
    <w:rsid w:val="09F14739"/>
    <w:rsid w:val="09F9539C"/>
    <w:rsid w:val="09FC1163"/>
    <w:rsid w:val="0A051F93"/>
    <w:rsid w:val="0A0B50CF"/>
    <w:rsid w:val="0A0C5900"/>
    <w:rsid w:val="0A0F696E"/>
    <w:rsid w:val="0A157CFC"/>
    <w:rsid w:val="0A1B5312"/>
    <w:rsid w:val="0A206DCD"/>
    <w:rsid w:val="0A2543E3"/>
    <w:rsid w:val="0A2C751F"/>
    <w:rsid w:val="0A36214C"/>
    <w:rsid w:val="0A397E8E"/>
    <w:rsid w:val="0A40746F"/>
    <w:rsid w:val="0A4F320E"/>
    <w:rsid w:val="0A516F86"/>
    <w:rsid w:val="0A5C2A41"/>
    <w:rsid w:val="0A64315D"/>
    <w:rsid w:val="0A6C2012"/>
    <w:rsid w:val="0A7315F2"/>
    <w:rsid w:val="0A737B43"/>
    <w:rsid w:val="0A79028B"/>
    <w:rsid w:val="0A7B7EFE"/>
    <w:rsid w:val="0A8C7FBE"/>
    <w:rsid w:val="0A8E01DA"/>
    <w:rsid w:val="0A8E1F88"/>
    <w:rsid w:val="0A917CCA"/>
    <w:rsid w:val="0A93627D"/>
    <w:rsid w:val="0A962768"/>
    <w:rsid w:val="0A981059"/>
    <w:rsid w:val="0A9926DB"/>
    <w:rsid w:val="0AA03A6A"/>
    <w:rsid w:val="0AA07F0D"/>
    <w:rsid w:val="0AA417AC"/>
    <w:rsid w:val="0AA7304A"/>
    <w:rsid w:val="0AAA48E8"/>
    <w:rsid w:val="0AB1211B"/>
    <w:rsid w:val="0AB37C41"/>
    <w:rsid w:val="0AB47515"/>
    <w:rsid w:val="0AB6328D"/>
    <w:rsid w:val="0AB8072D"/>
    <w:rsid w:val="0ABA0FCF"/>
    <w:rsid w:val="0ABD0ABF"/>
    <w:rsid w:val="0AC05EBA"/>
    <w:rsid w:val="0AC1498A"/>
    <w:rsid w:val="0AC43BFC"/>
    <w:rsid w:val="0AC534D0"/>
    <w:rsid w:val="0ACB31DC"/>
    <w:rsid w:val="0ACB4F8A"/>
    <w:rsid w:val="0ACE4A7B"/>
    <w:rsid w:val="0AD025A1"/>
    <w:rsid w:val="0AD35BED"/>
    <w:rsid w:val="0AD876A7"/>
    <w:rsid w:val="0AD96F7B"/>
    <w:rsid w:val="0ADC3A6D"/>
    <w:rsid w:val="0AE20526"/>
    <w:rsid w:val="0AE40B42"/>
    <w:rsid w:val="0AE47DFA"/>
    <w:rsid w:val="0AE610ED"/>
    <w:rsid w:val="0AEE0C79"/>
    <w:rsid w:val="0AF02C43"/>
    <w:rsid w:val="0AF10769"/>
    <w:rsid w:val="0AF50259"/>
    <w:rsid w:val="0AFA761E"/>
    <w:rsid w:val="0AFB1D94"/>
    <w:rsid w:val="0AFB3396"/>
    <w:rsid w:val="0AFC25EF"/>
    <w:rsid w:val="0AFC3057"/>
    <w:rsid w:val="0B000CAC"/>
    <w:rsid w:val="0B04224A"/>
    <w:rsid w:val="0B073AE9"/>
    <w:rsid w:val="0B087D63"/>
    <w:rsid w:val="0B0C7351"/>
    <w:rsid w:val="0B1F7084"/>
    <w:rsid w:val="0B226B74"/>
    <w:rsid w:val="0B275F39"/>
    <w:rsid w:val="0B286091"/>
    <w:rsid w:val="0B291CB1"/>
    <w:rsid w:val="0B2B3C7B"/>
    <w:rsid w:val="0B2E23AC"/>
    <w:rsid w:val="0B354AFA"/>
    <w:rsid w:val="0B3864F3"/>
    <w:rsid w:val="0B3F3282"/>
    <w:rsid w:val="0B3F66D6"/>
    <w:rsid w:val="0B494101"/>
    <w:rsid w:val="0B4B1C27"/>
    <w:rsid w:val="0B4D1E43"/>
    <w:rsid w:val="0B533FBB"/>
    <w:rsid w:val="0B5D195B"/>
    <w:rsid w:val="0B642CE9"/>
    <w:rsid w:val="0B674587"/>
    <w:rsid w:val="0B6B4077"/>
    <w:rsid w:val="0B6C7DF0"/>
    <w:rsid w:val="0B7373D0"/>
    <w:rsid w:val="0B753148"/>
    <w:rsid w:val="0B8213C1"/>
    <w:rsid w:val="0B8D0A07"/>
    <w:rsid w:val="0B8D2240"/>
    <w:rsid w:val="0B9A2BAF"/>
    <w:rsid w:val="0B9A7302"/>
    <w:rsid w:val="0B9D61FB"/>
    <w:rsid w:val="0BA37CB5"/>
    <w:rsid w:val="0BA529C7"/>
    <w:rsid w:val="0BAA1044"/>
    <w:rsid w:val="0BB21CA6"/>
    <w:rsid w:val="0BB73761"/>
    <w:rsid w:val="0BB84DE3"/>
    <w:rsid w:val="0BCF0AAA"/>
    <w:rsid w:val="0BD51E39"/>
    <w:rsid w:val="0BDA11FD"/>
    <w:rsid w:val="0BDB744F"/>
    <w:rsid w:val="0BDC6D23"/>
    <w:rsid w:val="0BDF05C2"/>
    <w:rsid w:val="0BE04A65"/>
    <w:rsid w:val="0BEF4CA9"/>
    <w:rsid w:val="0BF57DE5"/>
    <w:rsid w:val="0BF64289"/>
    <w:rsid w:val="0BF73B5D"/>
    <w:rsid w:val="0BF978D5"/>
    <w:rsid w:val="0BFC1173"/>
    <w:rsid w:val="0BFC73C5"/>
    <w:rsid w:val="0BFE6C9A"/>
    <w:rsid w:val="0BFF56DE"/>
    <w:rsid w:val="0C006EB6"/>
    <w:rsid w:val="0C085D6A"/>
    <w:rsid w:val="0C087B18"/>
    <w:rsid w:val="0C0B7609"/>
    <w:rsid w:val="0C0C6656"/>
    <w:rsid w:val="0C0D3381"/>
    <w:rsid w:val="0C1110C3"/>
    <w:rsid w:val="0C1351B3"/>
    <w:rsid w:val="0C193AD3"/>
    <w:rsid w:val="0C321039"/>
    <w:rsid w:val="0C346B5F"/>
    <w:rsid w:val="0C364685"/>
    <w:rsid w:val="0C3703FE"/>
    <w:rsid w:val="0C3923C8"/>
    <w:rsid w:val="0C436DA2"/>
    <w:rsid w:val="0C450D6C"/>
    <w:rsid w:val="0C461A84"/>
    <w:rsid w:val="0C48085D"/>
    <w:rsid w:val="0C4843B9"/>
    <w:rsid w:val="0C4D7C21"/>
    <w:rsid w:val="0C4F3999"/>
    <w:rsid w:val="0C590374"/>
    <w:rsid w:val="0C5B233E"/>
    <w:rsid w:val="0C5E598A"/>
    <w:rsid w:val="0C656D19"/>
    <w:rsid w:val="0C66524E"/>
    <w:rsid w:val="0C6D2071"/>
    <w:rsid w:val="0C741652"/>
    <w:rsid w:val="0C767178"/>
    <w:rsid w:val="0C811679"/>
    <w:rsid w:val="0C831B32"/>
    <w:rsid w:val="0C873133"/>
    <w:rsid w:val="0C882A07"/>
    <w:rsid w:val="0C8A677F"/>
    <w:rsid w:val="0C8F3D96"/>
    <w:rsid w:val="0C936BC5"/>
    <w:rsid w:val="0C9910B8"/>
    <w:rsid w:val="0C9C64B3"/>
    <w:rsid w:val="0C9F5F62"/>
    <w:rsid w:val="0CA746F4"/>
    <w:rsid w:val="0CB16402"/>
    <w:rsid w:val="0CB35CD6"/>
    <w:rsid w:val="0CB41A4E"/>
    <w:rsid w:val="0CB657C6"/>
    <w:rsid w:val="0CB87790"/>
    <w:rsid w:val="0CBB4B8B"/>
    <w:rsid w:val="0CC04897"/>
    <w:rsid w:val="0CC5254F"/>
    <w:rsid w:val="0CC954FA"/>
    <w:rsid w:val="0CCE60AC"/>
    <w:rsid w:val="0CCF6888"/>
    <w:rsid w:val="0CD45C4C"/>
    <w:rsid w:val="0CD8398F"/>
    <w:rsid w:val="0CDD2D53"/>
    <w:rsid w:val="0CDF6869"/>
    <w:rsid w:val="0CE57E5A"/>
    <w:rsid w:val="0CEA5470"/>
    <w:rsid w:val="0CF63E15"/>
    <w:rsid w:val="0CFB767D"/>
    <w:rsid w:val="0CFD43C2"/>
    <w:rsid w:val="0CFD754A"/>
    <w:rsid w:val="0CFF0F1B"/>
    <w:rsid w:val="0D080D35"/>
    <w:rsid w:val="0D0B5B12"/>
    <w:rsid w:val="0D0D57FB"/>
    <w:rsid w:val="0D0D59BD"/>
    <w:rsid w:val="0D116EA1"/>
    <w:rsid w:val="0D132C19"/>
    <w:rsid w:val="0D1F511A"/>
    <w:rsid w:val="0D224637"/>
    <w:rsid w:val="0D240982"/>
    <w:rsid w:val="0D295F98"/>
    <w:rsid w:val="0D2B7F62"/>
    <w:rsid w:val="0D350DE1"/>
    <w:rsid w:val="0D352B8F"/>
    <w:rsid w:val="0D366907"/>
    <w:rsid w:val="0D3F44C9"/>
    <w:rsid w:val="0D3F46EE"/>
    <w:rsid w:val="0D42705A"/>
    <w:rsid w:val="0D474670"/>
    <w:rsid w:val="0D4C342B"/>
    <w:rsid w:val="0D4E1EA3"/>
    <w:rsid w:val="0D5079C9"/>
    <w:rsid w:val="0D5154EF"/>
    <w:rsid w:val="0D554FDF"/>
    <w:rsid w:val="0D5A0848"/>
    <w:rsid w:val="0D660F9A"/>
    <w:rsid w:val="0D674D12"/>
    <w:rsid w:val="0D6D057B"/>
    <w:rsid w:val="0D7C256C"/>
    <w:rsid w:val="0D825D10"/>
    <w:rsid w:val="0D8B6C53"/>
    <w:rsid w:val="0D8D4A86"/>
    <w:rsid w:val="0D8D6DF2"/>
    <w:rsid w:val="0D923670"/>
    <w:rsid w:val="0D9308F8"/>
    <w:rsid w:val="0D933D59"/>
    <w:rsid w:val="0D984ECC"/>
    <w:rsid w:val="0D9A0C44"/>
    <w:rsid w:val="0DA16476"/>
    <w:rsid w:val="0DA25D4B"/>
    <w:rsid w:val="0DA95EF3"/>
    <w:rsid w:val="0DB24501"/>
    <w:rsid w:val="0DB25F8E"/>
    <w:rsid w:val="0DBE2B84"/>
    <w:rsid w:val="0DC161D1"/>
    <w:rsid w:val="0DC83A03"/>
    <w:rsid w:val="0DC9777B"/>
    <w:rsid w:val="0DCB52A1"/>
    <w:rsid w:val="0DD57ECE"/>
    <w:rsid w:val="0DDB6F15"/>
    <w:rsid w:val="0DE46363"/>
    <w:rsid w:val="0DF20370"/>
    <w:rsid w:val="0DF30354"/>
    <w:rsid w:val="0DF50570"/>
    <w:rsid w:val="0DF572EB"/>
    <w:rsid w:val="0DF742E8"/>
    <w:rsid w:val="0DFF4F4B"/>
    <w:rsid w:val="0E0273E5"/>
    <w:rsid w:val="0E103627"/>
    <w:rsid w:val="0E107158"/>
    <w:rsid w:val="0E11570D"/>
    <w:rsid w:val="0E15476E"/>
    <w:rsid w:val="0E213113"/>
    <w:rsid w:val="0E2449B2"/>
    <w:rsid w:val="0E252C04"/>
    <w:rsid w:val="0E2844A2"/>
    <w:rsid w:val="0E2D6995"/>
    <w:rsid w:val="0E3015A8"/>
    <w:rsid w:val="0E387093"/>
    <w:rsid w:val="0E395136"/>
    <w:rsid w:val="0E3C7F4D"/>
    <w:rsid w:val="0E452577"/>
    <w:rsid w:val="0E455054"/>
    <w:rsid w:val="0E460DCC"/>
    <w:rsid w:val="0E4A08BC"/>
    <w:rsid w:val="0E4B0190"/>
    <w:rsid w:val="0E4D3F08"/>
    <w:rsid w:val="0E52151F"/>
    <w:rsid w:val="0E541B40"/>
    <w:rsid w:val="0E56100F"/>
    <w:rsid w:val="0E5C239D"/>
    <w:rsid w:val="0E5E57C3"/>
    <w:rsid w:val="0E601824"/>
    <w:rsid w:val="0E604004"/>
    <w:rsid w:val="0E686F94"/>
    <w:rsid w:val="0E7616B1"/>
    <w:rsid w:val="0E7E40C2"/>
    <w:rsid w:val="0E811E04"/>
    <w:rsid w:val="0E8204E0"/>
    <w:rsid w:val="0E835B7C"/>
    <w:rsid w:val="0E835E0A"/>
    <w:rsid w:val="0E8A0CB9"/>
    <w:rsid w:val="0E8D2557"/>
    <w:rsid w:val="0E8D6A54"/>
    <w:rsid w:val="0E8F2773"/>
    <w:rsid w:val="0E8F62CF"/>
    <w:rsid w:val="0E9110BC"/>
    <w:rsid w:val="0E9658AF"/>
    <w:rsid w:val="0E980BB0"/>
    <w:rsid w:val="0E9B2EC6"/>
    <w:rsid w:val="0EA0228A"/>
    <w:rsid w:val="0EA63619"/>
    <w:rsid w:val="0EA77ABC"/>
    <w:rsid w:val="0EA93835"/>
    <w:rsid w:val="0EAA135B"/>
    <w:rsid w:val="0EAC50D3"/>
    <w:rsid w:val="0EAD04DC"/>
    <w:rsid w:val="0EAF6971"/>
    <w:rsid w:val="0EB6385C"/>
    <w:rsid w:val="0EB9334C"/>
    <w:rsid w:val="0EC00B7E"/>
    <w:rsid w:val="0EC44971"/>
    <w:rsid w:val="0EC75A69"/>
    <w:rsid w:val="0ECA37AB"/>
    <w:rsid w:val="0ECE5049"/>
    <w:rsid w:val="0ECE5D13"/>
    <w:rsid w:val="0ED62150"/>
    <w:rsid w:val="0ED65CAC"/>
    <w:rsid w:val="0ED85EC8"/>
    <w:rsid w:val="0EDD493E"/>
    <w:rsid w:val="0EE4486D"/>
    <w:rsid w:val="0EEC1973"/>
    <w:rsid w:val="0EEC3721"/>
    <w:rsid w:val="0EFA6181"/>
    <w:rsid w:val="0F002C19"/>
    <w:rsid w:val="0F026AA1"/>
    <w:rsid w:val="0F0C7FFE"/>
    <w:rsid w:val="0F0F5662"/>
    <w:rsid w:val="0F1113DA"/>
    <w:rsid w:val="0F185D40"/>
    <w:rsid w:val="0F1E7653"/>
    <w:rsid w:val="0F1F3AF7"/>
    <w:rsid w:val="0F225395"/>
    <w:rsid w:val="0F24110D"/>
    <w:rsid w:val="0F2509E1"/>
    <w:rsid w:val="0F296723"/>
    <w:rsid w:val="0F297ABE"/>
    <w:rsid w:val="0F2B249C"/>
    <w:rsid w:val="0F2E09A0"/>
    <w:rsid w:val="0F2F1860"/>
    <w:rsid w:val="0F317386"/>
    <w:rsid w:val="0F36499C"/>
    <w:rsid w:val="0F403A6D"/>
    <w:rsid w:val="0F424977"/>
    <w:rsid w:val="0F491E09"/>
    <w:rsid w:val="0F561935"/>
    <w:rsid w:val="0F59068B"/>
    <w:rsid w:val="0F5B4403"/>
    <w:rsid w:val="0F5F2145"/>
    <w:rsid w:val="0F615EBD"/>
    <w:rsid w:val="0F6239E3"/>
    <w:rsid w:val="0F64150A"/>
    <w:rsid w:val="0F673B46"/>
    <w:rsid w:val="0F6A2898"/>
    <w:rsid w:val="0F73799F"/>
    <w:rsid w:val="0F7A2ADB"/>
    <w:rsid w:val="0F7C2CF7"/>
    <w:rsid w:val="0F7C3C77"/>
    <w:rsid w:val="0F803E6A"/>
    <w:rsid w:val="0F8120BC"/>
    <w:rsid w:val="0F8830AB"/>
    <w:rsid w:val="0F8B4CE8"/>
    <w:rsid w:val="0F931DEF"/>
    <w:rsid w:val="0F9412AF"/>
    <w:rsid w:val="0F9718DF"/>
    <w:rsid w:val="0F9811B3"/>
    <w:rsid w:val="0F9A050E"/>
    <w:rsid w:val="0F9A317D"/>
    <w:rsid w:val="0F9D4A1B"/>
    <w:rsid w:val="0FB232E1"/>
    <w:rsid w:val="0FB26719"/>
    <w:rsid w:val="0FB73D2F"/>
    <w:rsid w:val="0FBC3417"/>
    <w:rsid w:val="0FBD0C1A"/>
    <w:rsid w:val="0FBE04D3"/>
    <w:rsid w:val="0FCA5A2E"/>
    <w:rsid w:val="0FD20B69"/>
    <w:rsid w:val="0FD21E6B"/>
    <w:rsid w:val="0FD22917"/>
    <w:rsid w:val="0FD348E1"/>
    <w:rsid w:val="0FDA17CC"/>
    <w:rsid w:val="0FDD306A"/>
    <w:rsid w:val="0FE10DAC"/>
    <w:rsid w:val="0FE20680"/>
    <w:rsid w:val="0FED7F36"/>
    <w:rsid w:val="0FF00FEF"/>
    <w:rsid w:val="0FF26B15"/>
    <w:rsid w:val="0FF3288D"/>
    <w:rsid w:val="0FF52AA9"/>
    <w:rsid w:val="0FF54858"/>
    <w:rsid w:val="100504DF"/>
    <w:rsid w:val="100625C1"/>
    <w:rsid w:val="100D7DF3"/>
    <w:rsid w:val="100E76C7"/>
    <w:rsid w:val="10125409"/>
    <w:rsid w:val="101271B8"/>
    <w:rsid w:val="10146177"/>
    <w:rsid w:val="10146F36"/>
    <w:rsid w:val="10150A56"/>
    <w:rsid w:val="1015354D"/>
    <w:rsid w:val="10172A20"/>
    <w:rsid w:val="10190546"/>
    <w:rsid w:val="10196798"/>
    <w:rsid w:val="10282537"/>
    <w:rsid w:val="102858E0"/>
    <w:rsid w:val="102D2243"/>
    <w:rsid w:val="10394744"/>
    <w:rsid w:val="103947FE"/>
    <w:rsid w:val="10402F90"/>
    <w:rsid w:val="104508E6"/>
    <w:rsid w:val="10482BD9"/>
    <w:rsid w:val="104906FF"/>
    <w:rsid w:val="10507CE0"/>
    <w:rsid w:val="105552F6"/>
    <w:rsid w:val="1057106E"/>
    <w:rsid w:val="105A290D"/>
    <w:rsid w:val="10613C9B"/>
    <w:rsid w:val="106519DD"/>
    <w:rsid w:val="1065378B"/>
    <w:rsid w:val="10710045"/>
    <w:rsid w:val="10725EA8"/>
    <w:rsid w:val="10795489"/>
    <w:rsid w:val="10857989"/>
    <w:rsid w:val="10861954"/>
    <w:rsid w:val="108664C4"/>
    <w:rsid w:val="108B0D18"/>
    <w:rsid w:val="109A425F"/>
    <w:rsid w:val="109B71AD"/>
    <w:rsid w:val="10A2678D"/>
    <w:rsid w:val="10A83678"/>
    <w:rsid w:val="10AA3894"/>
    <w:rsid w:val="10AC1EA8"/>
    <w:rsid w:val="10AD0C8E"/>
    <w:rsid w:val="10B95885"/>
    <w:rsid w:val="10C304B2"/>
    <w:rsid w:val="10C67501"/>
    <w:rsid w:val="10C77FA2"/>
    <w:rsid w:val="10DD77C5"/>
    <w:rsid w:val="10E02E12"/>
    <w:rsid w:val="10E072B6"/>
    <w:rsid w:val="10E2302E"/>
    <w:rsid w:val="10E36DA6"/>
    <w:rsid w:val="10E741A0"/>
    <w:rsid w:val="10ED3781"/>
    <w:rsid w:val="10EF574B"/>
    <w:rsid w:val="10EF74F9"/>
    <w:rsid w:val="10F42D61"/>
    <w:rsid w:val="10F45F7E"/>
    <w:rsid w:val="10F863AD"/>
    <w:rsid w:val="10FB5E9E"/>
    <w:rsid w:val="10FB7C4C"/>
    <w:rsid w:val="1109680C"/>
    <w:rsid w:val="110C4267"/>
    <w:rsid w:val="110E3E23"/>
    <w:rsid w:val="1111746F"/>
    <w:rsid w:val="111B209C"/>
    <w:rsid w:val="112278CE"/>
    <w:rsid w:val="11241C6E"/>
    <w:rsid w:val="11292A0B"/>
    <w:rsid w:val="112C7269"/>
    <w:rsid w:val="11334496"/>
    <w:rsid w:val="113373E5"/>
    <w:rsid w:val="113768E4"/>
    <w:rsid w:val="113E5D8A"/>
    <w:rsid w:val="11401B02"/>
    <w:rsid w:val="114333A1"/>
    <w:rsid w:val="11472E91"/>
    <w:rsid w:val="114A0BD3"/>
    <w:rsid w:val="114D677E"/>
    <w:rsid w:val="11530FFE"/>
    <w:rsid w:val="11586AA0"/>
    <w:rsid w:val="11592BC4"/>
    <w:rsid w:val="115B4B8E"/>
    <w:rsid w:val="115D26B4"/>
    <w:rsid w:val="115E01DA"/>
    <w:rsid w:val="116021A5"/>
    <w:rsid w:val="116577BB"/>
    <w:rsid w:val="116C28F7"/>
    <w:rsid w:val="116D71F8"/>
    <w:rsid w:val="116E041E"/>
    <w:rsid w:val="11733C86"/>
    <w:rsid w:val="11755C50"/>
    <w:rsid w:val="118063A3"/>
    <w:rsid w:val="11847C41"/>
    <w:rsid w:val="11890526"/>
    <w:rsid w:val="1193257A"/>
    <w:rsid w:val="119360D6"/>
    <w:rsid w:val="119500A0"/>
    <w:rsid w:val="11965BC6"/>
    <w:rsid w:val="11A20BB7"/>
    <w:rsid w:val="11A77DD3"/>
    <w:rsid w:val="11A834E8"/>
    <w:rsid w:val="11AB78C4"/>
    <w:rsid w:val="11AC53EA"/>
    <w:rsid w:val="11B322D4"/>
    <w:rsid w:val="11BC7F56"/>
    <w:rsid w:val="11BD75F7"/>
    <w:rsid w:val="11C02B45"/>
    <w:rsid w:val="11CB5870"/>
    <w:rsid w:val="11D54941"/>
    <w:rsid w:val="11DA0292"/>
    <w:rsid w:val="11DD1A47"/>
    <w:rsid w:val="11E15093"/>
    <w:rsid w:val="11E22BBA"/>
    <w:rsid w:val="11E701D0"/>
    <w:rsid w:val="11EA4A7C"/>
    <w:rsid w:val="11EE155E"/>
    <w:rsid w:val="11F0177A"/>
    <w:rsid w:val="11F8062F"/>
    <w:rsid w:val="1202325C"/>
    <w:rsid w:val="12080872"/>
    <w:rsid w:val="12103BCB"/>
    <w:rsid w:val="12133FD4"/>
    <w:rsid w:val="12137217"/>
    <w:rsid w:val="12144FC0"/>
    <w:rsid w:val="121543C9"/>
    <w:rsid w:val="12176D07"/>
    <w:rsid w:val="121F796A"/>
    <w:rsid w:val="122136E2"/>
    <w:rsid w:val="122D4F48"/>
    <w:rsid w:val="122E5DFF"/>
    <w:rsid w:val="12304909"/>
    <w:rsid w:val="123478B9"/>
    <w:rsid w:val="12374CB3"/>
    <w:rsid w:val="123F000C"/>
    <w:rsid w:val="123F1EBF"/>
    <w:rsid w:val="12400C28"/>
    <w:rsid w:val="12484B43"/>
    <w:rsid w:val="124949E7"/>
    <w:rsid w:val="124A2351"/>
    <w:rsid w:val="12527D3F"/>
    <w:rsid w:val="1257764D"/>
    <w:rsid w:val="125A3098"/>
    <w:rsid w:val="126006AE"/>
    <w:rsid w:val="12655CC4"/>
    <w:rsid w:val="126857B5"/>
    <w:rsid w:val="12692EF2"/>
    <w:rsid w:val="126E269F"/>
    <w:rsid w:val="12704669"/>
    <w:rsid w:val="12706417"/>
    <w:rsid w:val="1272218F"/>
    <w:rsid w:val="12744159"/>
    <w:rsid w:val="127E0E9F"/>
    <w:rsid w:val="12802AFE"/>
    <w:rsid w:val="12810624"/>
    <w:rsid w:val="12850115"/>
    <w:rsid w:val="128B14A3"/>
    <w:rsid w:val="12900868"/>
    <w:rsid w:val="12993BC0"/>
    <w:rsid w:val="129A3494"/>
    <w:rsid w:val="129C0FBA"/>
    <w:rsid w:val="129C545E"/>
    <w:rsid w:val="12A01694"/>
    <w:rsid w:val="12A40E94"/>
    <w:rsid w:val="12A41909"/>
    <w:rsid w:val="12A54313"/>
    <w:rsid w:val="12AD1419"/>
    <w:rsid w:val="12AD31C8"/>
    <w:rsid w:val="12AD766B"/>
    <w:rsid w:val="12B0606E"/>
    <w:rsid w:val="12B26A30"/>
    <w:rsid w:val="12B409FA"/>
    <w:rsid w:val="12B47923"/>
    <w:rsid w:val="12B559CF"/>
    <w:rsid w:val="12C02EFB"/>
    <w:rsid w:val="12C50511"/>
    <w:rsid w:val="12C56763"/>
    <w:rsid w:val="12CA5B28"/>
    <w:rsid w:val="12D60970"/>
    <w:rsid w:val="12DF03EC"/>
    <w:rsid w:val="12E12E71"/>
    <w:rsid w:val="12E52961"/>
    <w:rsid w:val="12EE3835"/>
    <w:rsid w:val="12FD414F"/>
    <w:rsid w:val="13053004"/>
    <w:rsid w:val="130628D8"/>
    <w:rsid w:val="13166713"/>
    <w:rsid w:val="13182D37"/>
    <w:rsid w:val="13223BB5"/>
    <w:rsid w:val="132C233E"/>
    <w:rsid w:val="132D60B6"/>
    <w:rsid w:val="1332191F"/>
    <w:rsid w:val="13337B71"/>
    <w:rsid w:val="13345697"/>
    <w:rsid w:val="13347445"/>
    <w:rsid w:val="13370C17"/>
    <w:rsid w:val="133833D9"/>
    <w:rsid w:val="133D454B"/>
    <w:rsid w:val="133E2072"/>
    <w:rsid w:val="13405DEA"/>
    <w:rsid w:val="134A0A16"/>
    <w:rsid w:val="134A4EBA"/>
    <w:rsid w:val="134D0507"/>
    <w:rsid w:val="13505077"/>
    <w:rsid w:val="135875D7"/>
    <w:rsid w:val="135D2E40"/>
    <w:rsid w:val="13645F7C"/>
    <w:rsid w:val="136715C8"/>
    <w:rsid w:val="136912BB"/>
    <w:rsid w:val="136917E4"/>
    <w:rsid w:val="136F66CF"/>
    <w:rsid w:val="1374498C"/>
    <w:rsid w:val="13765CAF"/>
    <w:rsid w:val="137B1518"/>
    <w:rsid w:val="137D703E"/>
    <w:rsid w:val="138228A6"/>
    <w:rsid w:val="13854144"/>
    <w:rsid w:val="138A52B7"/>
    <w:rsid w:val="138C153F"/>
    <w:rsid w:val="138F0B1F"/>
    <w:rsid w:val="13963C5C"/>
    <w:rsid w:val="13983E78"/>
    <w:rsid w:val="139A748E"/>
    <w:rsid w:val="139D4FEA"/>
    <w:rsid w:val="13A10F7E"/>
    <w:rsid w:val="13A20852"/>
    <w:rsid w:val="13A520F1"/>
    <w:rsid w:val="13AF2F6F"/>
    <w:rsid w:val="13B14F39"/>
    <w:rsid w:val="13B3480E"/>
    <w:rsid w:val="13BA2040"/>
    <w:rsid w:val="13C4740A"/>
    <w:rsid w:val="13C801BE"/>
    <w:rsid w:val="13D645ED"/>
    <w:rsid w:val="13DA7FEC"/>
    <w:rsid w:val="13DC21E9"/>
    <w:rsid w:val="13DF1AA7"/>
    <w:rsid w:val="13E1581F"/>
    <w:rsid w:val="13E26EA1"/>
    <w:rsid w:val="13E40E6B"/>
    <w:rsid w:val="13E56991"/>
    <w:rsid w:val="13F51B73"/>
    <w:rsid w:val="13FA7F80"/>
    <w:rsid w:val="13FB7F63"/>
    <w:rsid w:val="13FC4407"/>
    <w:rsid w:val="13FD1F2D"/>
    <w:rsid w:val="13FF3EEE"/>
    <w:rsid w:val="14015831"/>
    <w:rsid w:val="14065285"/>
    <w:rsid w:val="14074B59"/>
    <w:rsid w:val="140908D1"/>
    <w:rsid w:val="140920E1"/>
    <w:rsid w:val="14101C60"/>
    <w:rsid w:val="14121C6E"/>
    <w:rsid w:val="141334FE"/>
    <w:rsid w:val="141352AC"/>
    <w:rsid w:val="14157276"/>
    <w:rsid w:val="141C6857"/>
    <w:rsid w:val="141F28DC"/>
    <w:rsid w:val="1424395D"/>
    <w:rsid w:val="142B4CEC"/>
    <w:rsid w:val="142E0338"/>
    <w:rsid w:val="142E20E6"/>
    <w:rsid w:val="14305E5E"/>
    <w:rsid w:val="143A62A9"/>
    <w:rsid w:val="143D057B"/>
    <w:rsid w:val="143D67CD"/>
    <w:rsid w:val="144143EC"/>
    <w:rsid w:val="144357A0"/>
    <w:rsid w:val="14445DAD"/>
    <w:rsid w:val="14465682"/>
    <w:rsid w:val="14495172"/>
    <w:rsid w:val="14504752"/>
    <w:rsid w:val="145204CA"/>
    <w:rsid w:val="145F4995"/>
    <w:rsid w:val="14627FE2"/>
    <w:rsid w:val="14681327"/>
    <w:rsid w:val="1468384A"/>
    <w:rsid w:val="14686756"/>
    <w:rsid w:val="1469430D"/>
    <w:rsid w:val="146F1229"/>
    <w:rsid w:val="146F2E2A"/>
    <w:rsid w:val="14706BA3"/>
    <w:rsid w:val="147321EF"/>
    <w:rsid w:val="147705FA"/>
    <w:rsid w:val="14787805"/>
    <w:rsid w:val="1488058A"/>
    <w:rsid w:val="148D4840"/>
    <w:rsid w:val="149208C7"/>
    <w:rsid w:val="14A405FA"/>
    <w:rsid w:val="14A423A8"/>
    <w:rsid w:val="14AA20B4"/>
    <w:rsid w:val="14AB72EE"/>
    <w:rsid w:val="14B4083D"/>
    <w:rsid w:val="14B545B5"/>
    <w:rsid w:val="14B7032D"/>
    <w:rsid w:val="14B83F0B"/>
    <w:rsid w:val="14BE16BC"/>
    <w:rsid w:val="14BF5434"/>
    <w:rsid w:val="14CF1B1B"/>
    <w:rsid w:val="14D64C58"/>
    <w:rsid w:val="14EA425F"/>
    <w:rsid w:val="14EC102F"/>
    <w:rsid w:val="14EF1875"/>
    <w:rsid w:val="14F055ED"/>
    <w:rsid w:val="14F670A8"/>
    <w:rsid w:val="14F74BCE"/>
    <w:rsid w:val="14F835C4"/>
    <w:rsid w:val="14F926F4"/>
    <w:rsid w:val="14FC0436"/>
    <w:rsid w:val="15035321"/>
    <w:rsid w:val="150B2427"/>
    <w:rsid w:val="150E311E"/>
    <w:rsid w:val="15175270"/>
    <w:rsid w:val="15190FE8"/>
    <w:rsid w:val="151B4D60"/>
    <w:rsid w:val="15202377"/>
    <w:rsid w:val="15237771"/>
    <w:rsid w:val="15273705"/>
    <w:rsid w:val="153656F6"/>
    <w:rsid w:val="1537321C"/>
    <w:rsid w:val="15374B74"/>
    <w:rsid w:val="15396F94"/>
    <w:rsid w:val="153C0833"/>
    <w:rsid w:val="154716B1"/>
    <w:rsid w:val="154A11A2"/>
    <w:rsid w:val="154A2F50"/>
    <w:rsid w:val="154F4A0A"/>
    <w:rsid w:val="15502B4A"/>
    <w:rsid w:val="155344FA"/>
    <w:rsid w:val="15545B7C"/>
    <w:rsid w:val="1555109B"/>
    <w:rsid w:val="15595889"/>
    <w:rsid w:val="155B515D"/>
    <w:rsid w:val="155D5317"/>
    <w:rsid w:val="15604521"/>
    <w:rsid w:val="15695ACC"/>
    <w:rsid w:val="156A0E93"/>
    <w:rsid w:val="15770A68"/>
    <w:rsid w:val="157C1125"/>
    <w:rsid w:val="157E0E4B"/>
    <w:rsid w:val="158A77F0"/>
    <w:rsid w:val="158B190C"/>
    <w:rsid w:val="158C4A14"/>
    <w:rsid w:val="158E5532"/>
    <w:rsid w:val="159643E7"/>
    <w:rsid w:val="15973CBB"/>
    <w:rsid w:val="159D7523"/>
    <w:rsid w:val="15A22D8C"/>
    <w:rsid w:val="15A44D56"/>
    <w:rsid w:val="15A5287C"/>
    <w:rsid w:val="15B50D11"/>
    <w:rsid w:val="15B900D5"/>
    <w:rsid w:val="15B912F9"/>
    <w:rsid w:val="15BD1974"/>
    <w:rsid w:val="15BD7BC5"/>
    <w:rsid w:val="15CA4090"/>
    <w:rsid w:val="15CA5E3E"/>
    <w:rsid w:val="15CC3B64"/>
    <w:rsid w:val="15CC605B"/>
    <w:rsid w:val="15CE1DD3"/>
    <w:rsid w:val="15D11FCF"/>
    <w:rsid w:val="15D54F0F"/>
    <w:rsid w:val="15D62A35"/>
    <w:rsid w:val="15D7269B"/>
    <w:rsid w:val="15E100D1"/>
    <w:rsid w:val="15E433A4"/>
    <w:rsid w:val="15E72E94"/>
    <w:rsid w:val="15E74C42"/>
    <w:rsid w:val="15E909BB"/>
    <w:rsid w:val="15EB4733"/>
    <w:rsid w:val="15EC2259"/>
    <w:rsid w:val="15EC4007"/>
    <w:rsid w:val="15EE5FD1"/>
    <w:rsid w:val="15F01D49"/>
    <w:rsid w:val="15F66C34"/>
    <w:rsid w:val="15F80BFE"/>
    <w:rsid w:val="15FA4976"/>
    <w:rsid w:val="15FB249C"/>
    <w:rsid w:val="1602382A"/>
    <w:rsid w:val="160457F4"/>
    <w:rsid w:val="16092E0B"/>
    <w:rsid w:val="160C6659"/>
    <w:rsid w:val="160E0421"/>
    <w:rsid w:val="16157A01"/>
    <w:rsid w:val="161A6DC6"/>
    <w:rsid w:val="161B669A"/>
    <w:rsid w:val="16221D47"/>
    <w:rsid w:val="162278E8"/>
    <w:rsid w:val="16227A29"/>
    <w:rsid w:val="16257519"/>
    <w:rsid w:val="162714E3"/>
    <w:rsid w:val="162B750A"/>
    <w:rsid w:val="162E0AC3"/>
    <w:rsid w:val="16300397"/>
    <w:rsid w:val="16302145"/>
    <w:rsid w:val="16351703"/>
    <w:rsid w:val="16351E52"/>
    <w:rsid w:val="1638549E"/>
    <w:rsid w:val="163A3D26"/>
    <w:rsid w:val="164200CB"/>
    <w:rsid w:val="16426270"/>
    <w:rsid w:val="1642631D"/>
    <w:rsid w:val="164344DD"/>
    <w:rsid w:val="164819A1"/>
    <w:rsid w:val="164B3423"/>
    <w:rsid w:val="16504596"/>
    <w:rsid w:val="165109C8"/>
    <w:rsid w:val="165322D8"/>
    <w:rsid w:val="165C118C"/>
    <w:rsid w:val="165D6CB3"/>
    <w:rsid w:val="166242C9"/>
    <w:rsid w:val="16646293"/>
    <w:rsid w:val="16663DB9"/>
    <w:rsid w:val="16677B31"/>
    <w:rsid w:val="16685D83"/>
    <w:rsid w:val="166C5148"/>
    <w:rsid w:val="167364D6"/>
    <w:rsid w:val="16774218"/>
    <w:rsid w:val="167A7865"/>
    <w:rsid w:val="167D1103"/>
    <w:rsid w:val="16856231"/>
    <w:rsid w:val="16866209"/>
    <w:rsid w:val="16882DF6"/>
    <w:rsid w:val="168E1562"/>
    <w:rsid w:val="169508BC"/>
    <w:rsid w:val="16985F3D"/>
    <w:rsid w:val="169E395E"/>
    <w:rsid w:val="169E79F7"/>
    <w:rsid w:val="169F376F"/>
    <w:rsid w:val="16A11295"/>
    <w:rsid w:val="16A13043"/>
    <w:rsid w:val="16A36DBB"/>
    <w:rsid w:val="16A8493F"/>
    <w:rsid w:val="16A93786"/>
    <w:rsid w:val="16BA4105"/>
    <w:rsid w:val="16BC45BC"/>
    <w:rsid w:val="16BE59A3"/>
    <w:rsid w:val="16C3339C"/>
    <w:rsid w:val="16C86822"/>
    <w:rsid w:val="16CB00C0"/>
    <w:rsid w:val="16CB6312"/>
    <w:rsid w:val="16CD3E38"/>
    <w:rsid w:val="16CD4552"/>
    <w:rsid w:val="16CE195E"/>
    <w:rsid w:val="16CF7BB0"/>
    <w:rsid w:val="16D40810"/>
    <w:rsid w:val="16D8458B"/>
    <w:rsid w:val="16DB47A7"/>
    <w:rsid w:val="16DE4297"/>
    <w:rsid w:val="16DF591A"/>
    <w:rsid w:val="16E42F30"/>
    <w:rsid w:val="16E6586E"/>
    <w:rsid w:val="16E82A20"/>
    <w:rsid w:val="16F2564D"/>
    <w:rsid w:val="16F434A3"/>
    <w:rsid w:val="16F5338F"/>
    <w:rsid w:val="16F72C63"/>
    <w:rsid w:val="16FA09A5"/>
    <w:rsid w:val="1703785A"/>
    <w:rsid w:val="170A0E30"/>
    <w:rsid w:val="170A508C"/>
    <w:rsid w:val="170B2BB3"/>
    <w:rsid w:val="170F65CC"/>
    <w:rsid w:val="171001C9"/>
    <w:rsid w:val="1711641B"/>
    <w:rsid w:val="17123F41"/>
    <w:rsid w:val="17173305"/>
    <w:rsid w:val="17220751"/>
    <w:rsid w:val="172779EC"/>
    <w:rsid w:val="17285513"/>
    <w:rsid w:val="172A4DE7"/>
    <w:rsid w:val="172E549D"/>
    <w:rsid w:val="173B3498"/>
    <w:rsid w:val="1740285C"/>
    <w:rsid w:val="174A36DB"/>
    <w:rsid w:val="17555BDC"/>
    <w:rsid w:val="175956CC"/>
    <w:rsid w:val="175C6F6A"/>
    <w:rsid w:val="175D4A13"/>
    <w:rsid w:val="176302F9"/>
    <w:rsid w:val="176921A7"/>
    <w:rsid w:val="176A6B67"/>
    <w:rsid w:val="176A78D9"/>
    <w:rsid w:val="176C3651"/>
    <w:rsid w:val="176F3141"/>
    <w:rsid w:val="1773628C"/>
    <w:rsid w:val="17773DA4"/>
    <w:rsid w:val="177E3384"/>
    <w:rsid w:val="17800EAB"/>
    <w:rsid w:val="17827B0E"/>
    <w:rsid w:val="1783099B"/>
    <w:rsid w:val="17885FB1"/>
    <w:rsid w:val="179E33A4"/>
    <w:rsid w:val="17A0154D"/>
    <w:rsid w:val="17A50911"/>
    <w:rsid w:val="17AD43A0"/>
    <w:rsid w:val="17B40B54"/>
    <w:rsid w:val="17B62B1E"/>
    <w:rsid w:val="17B84AE8"/>
    <w:rsid w:val="17BB0135"/>
    <w:rsid w:val="17BD5C5B"/>
    <w:rsid w:val="17C35B14"/>
    <w:rsid w:val="17C57205"/>
    <w:rsid w:val="17CC0594"/>
    <w:rsid w:val="17CC2342"/>
    <w:rsid w:val="17D86BB8"/>
    <w:rsid w:val="17D9680D"/>
    <w:rsid w:val="17DC33B7"/>
    <w:rsid w:val="17E72CD8"/>
    <w:rsid w:val="17EB6C6C"/>
    <w:rsid w:val="17F35B20"/>
    <w:rsid w:val="17F50191"/>
    <w:rsid w:val="17F81389"/>
    <w:rsid w:val="17FA6EAF"/>
    <w:rsid w:val="17FE0021"/>
    <w:rsid w:val="17FF3E14"/>
    <w:rsid w:val="18001FEB"/>
    <w:rsid w:val="18003D99"/>
    <w:rsid w:val="18095344"/>
    <w:rsid w:val="180C0000"/>
    <w:rsid w:val="180D7837"/>
    <w:rsid w:val="180E4A7A"/>
    <w:rsid w:val="18115FA7"/>
    <w:rsid w:val="18137F71"/>
    <w:rsid w:val="18147845"/>
    <w:rsid w:val="18161A9F"/>
    <w:rsid w:val="18167A61"/>
    <w:rsid w:val="182271AE"/>
    <w:rsid w:val="18251A52"/>
    <w:rsid w:val="18272DD2"/>
    <w:rsid w:val="182757CA"/>
    <w:rsid w:val="182A3CED"/>
    <w:rsid w:val="182E0907"/>
    <w:rsid w:val="182F467F"/>
    <w:rsid w:val="1833336E"/>
    <w:rsid w:val="1835515B"/>
    <w:rsid w:val="18371EB1"/>
    <w:rsid w:val="18414ADE"/>
    <w:rsid w:val="1844012A"/>
    <w:rsid w:val="184721C3"/>
    <w:rsid w:val="184C63F2"/>
    <w:rsid w:val="18550589"/>
    <w:rsid w:val="18561C0B"/>
    <w:rsid w:val="1858668C"/>
    <w:rsid w:val="185A5BA0"/>
    <w:rsid w:val="185D2F9A"/>
    <w:rsid w:val="185F31B6"/>
    <w:rsid w:val="185F3E34"/>
    <w:rsid w:val="18644328"/>
    <w:rsid w:val="18652FC2"/>
    <w:rsid w:val="186802BC"/>
    <w:rsid w:val="186B56B7"/>
    <w:rsid w:val="186D58D3"/>
    <w:rsid w:val="186E33F9"/>
    <w:rsid w:val="18714C97"/>
    <w:rsid w:val="18722EE9"/>
    <w:rsid w:val="18786807"/>
    <w:rsid w:val="187F4775"/>
    <w:rsid w:val="18841557"/>
    <w:rsid w:val="188449CB"/>
    <w:rsid w:val="18860743"/>
    <w:rsid w:val="1886652E"/>
    <w:rsid w:val="18972950"/>
    <w:rsid w:val="18A84B5D"/>
    <w:rsid w:val="18AB1F57"/>
    <w:rsid w:val="18AB63FB"/>
    <w:rsid w:val="18B04365"/>
    <w:rsid w:val="18B84674"/>
    <w:rsid w:val="18BC5F12"/>
    <w:rsid w:val="18C43019"/>
    <w:rsid w:val="18C93FA9"/>
    <w:rsid w:val="18D47700"/>
    <w:rsid w:val="18D72D4C"/>
    <w:rsid w:val="18DC1431"/>
    <w:rsid w:val="18E02B21"/>
    <w:rsid w:val="18E15979"/>
    <w:rsid w:val="18E34CBB"/>
    <w:rsid w:val="18EB2C9C"/>
    <w:rsid w:val="18F20B2B"/>
    <w:rsid w:val="18F54534"/>
    <w:rsid w:val="18F90F15"/>
    <w:rsid w:val="18FA4C8D"/>
    <w:rsid w:val="18FC0A05"/>
    <w:rsid w:val="18FE477D"/>
    <w:rsid w:val="18FE652B"/>
    <w:rsid w:val="18FF4051"/>
    <w:rsid w:val="19017DC9"/>
    <w:rsid w:val="19033B41"/>
    <w:rsid w:val="190478B9"/>
    <w:rsid w:val="19053D5D"/>
    <w:rsid w:val="190B0C48"/>
    <w:rsid w:val="190C3911"/>
    <w:rsid w:val="190C6F25"/>
    <w:rsid w:val="191044B0"/>
    <w:rsid w:val="19145145"/>
    <w:rsid w:val="19145D4E"/>
    <w:rsid w:val="191A70DD"/>
    <w:rsid w:val="191C2E55"/>
    <w:rsid w:val="191C4C03"/>
    <w:rsid w:val="191F54EE"/>
    <w:rsid w:val="192166BD"/>
    <w:rsid w:val="19235F91"/>
    <w:rsid w:val="19353F17"/>
    <w:rsid w:val="19362812"/>
    <w:rsid w:val="19371A3D"/>
    <w:rsid w:val="19390F3A"/>
    <w:rsid w:val="193A5778"/>
    <w:rsid w:val="193D1B75"/>
    <w:rsid w:val="19404D95"/>
    <w:rsid w:val="19416241"/>
    <w:rsid w:val="19555B47"/>
    <w:rsid w:val="19570331"/>
    <w:rsid w:val="195776F0"/>
    <w:rsid w:val="195B20DE"/>
    <w:rsid w:val="195C5947"/>
    <w:rsid w:val="195E16BF"/>
    <w:rsid w:val="195E7F0D"/>
    <w:rsid w:val="19600F94"/>
    <w:rsid w:val="19622F5E"/>
    <w:rsid w:val="19646512"/>
    <w:rsid w:val="196640D0"/>
    <w:rsid w:val="19677EEA"/>
    <w:rsid w:val="196A0064"/>
    <w:rsid w:val="196A1E12"/>
    <w:rsid w:val="196D1903"/>
    <w:rsid w:val="19704F4F"/>
    <w:rsid w:val="197113F3"/>
    <w:rsid w:val="19723A08"/>
    <w:rsid w:val="197607B7"/>
    <w:rsid w:val="1978271D"/>
    <w:rsid w:val="197B401F"/>
    <w:rsid w:val="19834C82"/>
    <w:rsid w:val="198509FA"/>
    <w:rsid w:val="19891E66"/>
    <w:rsid w:val="19921369"/>
    <w:rsid w:val="19960E59"/>
    <w:rsid w:val="199A59BC"/>
    <w:rsid w:val="19AE61A3"/>
    <w:rsid w:val="19B65058"/>
    <w:rsid w:val="19B66E06"/>
    <w:rsid w:val="19B80DD0"/>
    <w:rsid w:val="19B97804"/>
    <w:rsid w:val="19BB08C0"/>
    <w:rsid w:val="19BB441C"/>
    <w:rsid w:val="19C31523"/>
    <w:rsid w:val="19CF7EC7"/>
    <w:rsid w:val="19D92AF4"/>
    <w:rsid w:val="19E33973"/>
    <w:rsid w:val="19E46C34"/>
    <w:rsid w:val="19EA2F53"/>
    <w:rsid w:val="19F16090"/>
    <w:rsid w:val="19F73380"/>
    <w:rsid w:val="19F811CC"/>
    <w:rsid w:val="19F93196"/>
    <w:rsid w:val="19FC28F2"/>
    <w:rsid w:val="1A013F44"/>
    <w:rsid w:val="1A057D8D"/>
    <w:rsid w:val="1A09162B"/>
    <w:rsid w:val="1A0C111B"/>
    <w:rsid w:val="1A0F4909"/>
    <w:rsid w:val="1A1D0C33"/>
    <w:rsid w:val="1A1E49AB"/>
    <w:rsid w:val="1A200723"/>
    <w:rsid w:val="1A255D39"/>
    <w:rsid w:val="1A293A7B"/>
    <w:rsid w:val="1A2A15A2"/>
    <w:rsid w:val="1A2E2E40"/>
    <w:rsid w:val="1A312930"/>
    <w:rsid w:val="1A313F02"/>
    <w:rsid w:val="1A361CF4"/>
    <w:rsid w:val="1A3B555D"/>
    <w:rsid w:val="1A457CBD"/>
    <w:rsid w:val="1A472154"/>
    <w:rsid w:val="1A4B69F3"/>
    <w:rsid w:val="1A4C776A"/>
    <w:rsid w:val="1A50725A"/>
    <w:rsid w:val="1A512FD2"/>
    <w:rsid w:val="1A524058"/>
    <w:rsid w:val="1A587EBD"/>
    <w:rsid w:val="1A5A1E87"/>
    <w:rsid w:val="1A5F56EF"/>
    <w:rsid w:val="1A604FC3"/>
    <w:rsid w:val="1A6727AB"/>
    <w:rsid w:val="1A676352"/>
    <w:rsid w:val="1A69031C"/>
    <w:rsid w:val="1A6B4FB8"/>
    <w:rsid w:val="1A6C3968"/>
    <w:rsid w:val="1A7205B9"/>
    <w:rsid w:val="1A732F49"/>
    <w:rsid w:val="1A734CF7"/>
    <w:rsid w:val="1A736AA5"/>
    <w:rsid w:val="1A75281D"/>
    <w:rsid w:val="1A756CC1"/>
    <w:rsid w:val="1A772A39"/>
    <w:rsid w:val="1A7A0585"/>
    <w:rsid w:val="1A7A7E33"/>
    <w:rsid w:val="1A82318C"/>
    <w:rsid w:val="1A865D28"/>
    <w:rsid w:val="1A872550"/>
    <w:rsid w:val="1A8B64E4"/>
    <w:rsid w:val="1A8C400A"/>
    <w:rsid w:val="1A8E1B30"/>
    <w:rsid w:val="1A903AFB"/>
    <w:rsid w:val="1A951111"/>
    <w:rsid w:val="1AA03612"/>
    <w:rsid w:val="1AA50C28"/>
    <w:rsid w:val="1AA71C25"/>
    <w:rsid w:val="1AA749A0"/>
    <w:rsid w:val="1AA80E44"/>
    <w:rsid w:val="1AA90718"/>
    <w:rsid w:val="1AB33345"/>
    <w:rsid w:val="1AB71087"/>
    <w:rsid w:val="1AB85882"/>
    <w:rsid w:val="1ABD2416"/>
    <w:rsid w:val="1ABD5F72"/>
    <w:rsid w:val="1AC83294"/>
    <w:rsid w:val="1ACB4B33"/>
    <w:rsid w:val="1ACE017F"/>
    <w:rsid w:val="1ADA0A68"/>
    <w:rsid w:val="1ADA6B24"/>
    <w:rsid w:val="1ADC0AEE"/>
    <w:rsid w:val="1AE16104"/>
    <w:rsid w:val="1AED2CFB"/>
    <w:rsid w:val="1AF71484"/>
    <w:rsid w:val="1AF8344E"/>
    <w:rsid w:val="1AFC6A9A"/>
    <w:rsid w:val="1AFD2812"/>
    <w:rsid w:val="1B09565B"/>
    <w:rsid w:val="1B097409"/>
    <w:rsid w:val="1B0B13D3"/>
    <w:rsid w:val="1B0D514B"/>
    <w:rsid w:val="1B0F0EC3"/>
    <w:rsid w:val="1B1464DA"/>
    <w:rsid w:val="1B207C5E"/>
    <w:rsid w:val="1B2D759B"/>
    <w:rsid w:val="1B304996"/>
    <w:rsid w:val="1B334486"/>
    <w:rsid w:val="1B34092A"/>
    <w:rsid w:val="1B4668DD"/>
    <w:rsid w:val="1B486183"/>
    <w:rsid w:val="1B4F7512"/>
    <w:rsid w:val="1B583D8E"/>
    <w:rsid w:val="1B5B5A5C"/>
    <w:rsid w:val="1B5F527B"/>
    <w:rsid w:val="1B603823"/>
    <w:rsid w:val="1B642891"/>
    <w:rsid w:val="1B683882"/>
    <w:rsid w:val="1B68462B"/>
    <w:rsid w:val="1B694D12"/>
    <w:rsid w:val="1B6B3C20"/>
    <w:rsid w:val="1B6F3710"/>
    <w:rsid w:val="1B712768"/>
    <w:rsid w:val="1B746F78"/>
    <w:rsid w:val="1B7F1479"/>
    <w:rsid w:val="1B8A679C"/>
    <w:rsid w:val="1B8B6C1C"/>
    <w:rsid w:val="1B8F790E"/>
    <w:rsid w:val="1B965141"/>
    <w:rsid w:val="1B99078D"/>
    <w:rsid w:val="1B9C202B"/>
    <w:rsid w:val="1BA07D6D"/>
    <w:rsid w:val="1BA3160C"/>
    <w:rsid w:val="1BA50EE0"/>
    <w:rsid w:val="1BA67CD5"/>
    <w:rsid w:val="1BA875D4"/>
    <w:rsid w:val="1BAD5FE6"/>
    <w:rsid w:val="1BAF1D5E"/>
    <w:rsid w:val="1BB158AD"/>
    <w:rsid w:val="1BB43819"/>
    <w:rsid w:val="1BB47375"/>
    <w:rsid w:val="1BB76E65"/>
    <w:rsid w:val="1BB83287"/>
    <w:rsid w:val="1BC25F36"/>
    <w:rsid w:val="1BC752FA"/>
    <w:rsid w:val="1BD21EF1"/>
    <w:rsid w:val="1BD23C9F"/>
    <w:rsid w:val="1BD25A4D"/>
    <w:rsid w:val="1BD346F5"/>
    <w:rsid w:val="1BD71A93"/>
    <w:rsid w:val="1BDD1B49"/>
    <w:rsid w:val="1BDD64C4"/>
    <w:rsid w:val="1BE13EE2"/>
    <w:rsid w:val="1BE22134"/>
    <w:rsid w:val="1BE7599C"/>
    <w:rsid w:val="1BE85270"/>
    <w:rsid w:val="1BE86120"/>
    <w:rsid w:val="1BEC2FB3"/>
    <w:rsid w:val="1BED2887"/>
    <w:rsid w:val="1BF260EF"/>
    <w:rsid w:val="1BF65BDF"/>
    <w:rsid w:val="1BFA53EA"/>
    <w:rsid w:val="1BFF7F95"/>
    <w:rsid w:val="1C0C71B1"/>
    <w:rsid w:val="1C1442B7"/>
    <w:rsid w:val="1C145920"/>
    <w:rsid w:val="1C161DDD"/>
    <w:rsid w:val="1C24274C"/>
    <w:rsid w:val="1C252021"/>
    <w:rsid w:val="1C27763E"/>
    <w:rsid w:val="1C2A3ADB"/>
    <w:rsid w:val="1C316C17"/>
    <w:rsid w:val="1C3246ED"/>
    <w:rsid w:val="1C346708"/>
    <w:rsid w:val="1C387FA6"/>
    <w:rsid w:val="1C3B1844"/>
    <w:rsid w:val="1C3D380E"/>
    <w:rsid w:val="1C4032FE"/>
    <w:rsid w:val="1C404B96"/>
    <w:rsid w:val="1C46743A"/>
    <w:rsid w:val="1C4C57FF"/>
    <w:rsid w:val="1C511068"/>
    <w:rsid w:val="1C523CD7"/>
    <w:rsid w:val="1C550B58"/>
    <w:rsid w:val="1C580648"/>
    <w:rsid w:val="1C5B3C94"/>
    <w:rsid w:val="1C5E5533"/>
    <w:rsid w:val="1C6012AB"/>
    <w:rsid w:val="1C625023"/>
    <w:rsid w:val="1C654B13"/>
    <w:rsid w:val="1C6A2129"/>
    <w:rsid w:val="1C707CD3"/>
    <w:rsid w:val="1C7865F4"/>
    <w:rsid w:val="1C8101E5"/>
    <w:rsid w:val="1C8651B5"/>
    <w:rsid w:val="1C8C6544"/>
    <w:rsid w:val="1C8E7BC6"/>
    <w:rsid w:val="1C96375A"/>
    <w:rsid w:val="1C9765AE"/>
    <w:rsid w:val="1C9D3A1B"/>
    <w:rsid w:val="1CA53161"/>
    <w:rsid w:val="1CAB69CA"/>
    <w:rsid w:val="1CB533A4"/>
    <w:rsid w:val="1CBA09BB"/>
    <w:rsid w:val="1CC2045C"/>
    <w:rsid w:val="1CC213B0"/>
    <w:rsid w:val="1CC40435"/>
    <w:rsid w:val="1CC67B1F"/>
    <w:rsid w:val="1CC932F4"/>
    <w:rsid w:val="1CD35F20"/>
    <w:rsid w:val="1CDF72B4"/>
    <w:rsid w:val="1CE95744"/>
    <w:rsid w:val="1CE974F2"/>
    <w:rsid w:val="1CF41996"/>
    <w:rsid w:val="1CF75B24"/>
    <w:rsid w:val="1CFF0AC4"/>
    <w:rsid w:val="1D083E1C"/>
    <w:rsid w:val="1D0C4F8F"/>
    <w:rsid w:val="1D167BBB"/>
    <w:rsid w:val="1D1722B1"/>
    <w:rsid w:val="1D175E0D"/>
    <w:rsid w:val="1D181B85"/>
    <w:rsid w:val="1D1C1676"/>
    <w:rsid w:val="1D1D0F4A"/>
    <w:rsid w:val="1D2B18B9"/>
    <w:rsid w:val="1D2D45F5"/>
    <w:rsid w:val="1D2F75FB"/>
    <w:rsid w:val="1D300C7D"/>
    <w:rsid w:val="1D392B2F"/>
    <w:rsid w:val="1D3D1C2A"/>
    <w:rsid w:val="1D3F35B6"/>
    <w:rsid w:val="1D4961E3"/>
    <w:rsid w:val="1D4B1F5B"/>
    <w:rsid w:val="1D4E37F9"/>
    <w:rsid w:val="1D61177E"/>
    <w:rsid w:val="1D632E00"/>
    <w:rsid w:val="1D6372A4"/>
    <w:rsid w:val="1D6A0633"/>
    <w:rsid w:val="1D7B132A"/>
    <w:rsid w:val="1D7C2913"/>
    <w:rsid w:val="1D81597C"/>
    <w:rsid w:val="1D8334A3"/>
    <w:rsid w:val="1D840FC9"/>
    <w:rsid w:val="1D84721B"/>
    <w:rsid w:val="1D876420"/>
    <w:rsid w:val="1D886D0B"/>
    <w:rsid w:val="1D8A1770"/>
    <w:rsid w:val="1D8A2A83"/>
    <w:rsid w:val="1D8B4DA1"/>
    <w:rsid w:val="1D8F1387"/>
    <w:rsid w:val="1D970CFC"/>
    <w:rsid w:val="1D976F4E"/>
    <w:rsid w:val="1DA13929"/>
    <w:rsid w:val="1DA43419"/>
    <w:rsid w:val="1DA8115B"/>
    <w:rsid w:val="1DA90A2F"/>
    <w:rsid w:val="1DAC5487"/>
    <w:rsid w:val="1DB02742"/>
    <w:rsid w:val="1DB775F0"/>
    <w:rsid w:val="1DBC4C07"/>
    <w:rsid w:val="1DC55869"/>
    <w:rsid w:val="1DC75A85"/>
    <w:rsid w:val="1DD12460"/>
    <w:rsid w:val="1DDB32DF"/>
    <w:rsid w:val="1DDE4B7D"/>
    <w:rsid w:val="1DE57CB9"/>
    <w:rsid w:val="1DED413E"/>
    <w:rsid w:val="1DED4DC0"/>
    <w:rsid w:val="1DF12B02"/>
    <w:rsid w:val="1E0068A1"/>
    <w:rsid w:val="1E032835"/>
    <w:rsid w:val="1E0839A8"/>
    <w:rsid w:val="1E0C793C"/>
    <w:rsid w:val="1E0D5462"/>
    <w:rsid w:val="1E0F11DA"/>
    <w:rsid w:val="1E11610A"/>
    <w:rsid w:val="1E12759A"/>
    <w:rsid w:val="1E1467F1"/>
    <w:rsid w:val="1E1660C5"/>
    <w:rsid w:val="1E192F6A"/>
    <w:rsid w:val="1E1C7453"/>
    <w:rsid w:val="1E2A7DC2"/>
    <w:rsid w:val="1E2B1C10"/>
    <w:rsid w:val="1E2D44A6"/>
    <w:rsid w:val="1E3173A3"/>
    <w:rsid w:val="1E34479D"/>
    <w:rsid w:val="1E403142"/>
    <w:rsid w:val="1E4075E6"/>
    <w:rsid w:val="1E42510C"/>
    <w:rsid w:val="1E4275D0"/>
    <w:rsid w:val="1E4A0464"/>
    <w:rsid w:val="1E4C5F8A"/>
    <w:rsid w:val="1E4F7829"/>
    <w:rsid w:val="1E546BED"/>
    <w:rsid w:val="1E560BB7"/>
    <w:rsid w:val="1E591D2E"/>
    <w:rsid w:val="1E5C1958"/>
    <w:rsid w:val="1E65704C"/>
    <w:rsid w:val="1E6908EA"/>
    <w:rsid w:val="1E6E5F01"/>
    <w:rsid w:val="1E71154D"/>
    <w:rsid w:val="1E731769"/>
    <w:rsid w:val="1E74103D"/>
    <w:rsid w:val="1E7B061E"/>
    <w:rsid w:val="1E7D6144"/>
    <w:rsid w:val="1E7E4FA7"/>
    <w:rsid w:val="1E83448A"/>
    <w:rsid w:val="1E85324A"/>
    <w:rsid w:val="1E870D71"/>
    <w:rsid w:val="1E875215"/>
    <w:rsid w:val="1E884A2B"/>
    <w:rsid w:val="1E8C282B"/>
    <w:rsid w:val="1E971CD0"/>
    <w:rsid w:val="1E9806C0"/>
    <w:rsid w:val="1E9B2A6E"/>
    <w:rsid w:val="1E9D0594"/>
    <w:rsid w:val="1E9F430C"/>
    <w:rsid w:val="1EA01E32"/>
    <w:rsid w:val="1EAA4A5F"/>
    <w:rsid w:val="1EAC07D7"/>
    <w:rsid w:val="1EAC6A29"/>
    <w:rsid w:val="1EB018DF"/>
    <w:rsid w:val="1EB200F0"/>
    <w:rsid w:val="1EBA1146"/>
    <w:rsid w:val="1EBC3110"/>
    <w:rsid w:val="1EC00C2B"/>
    <w:rsid w:val="1EC975DB"/>
    <w:rsid w:val="1ECC0E79"/>
    <w:rsid w:val="1ECE074D"/>
    <w:rsid w:val="1ED76F10"/>
    <w:rsid w:val="1ED815CC"/>
    <w:rsid w:val="1EDB10BC"/>
    <w:rsid w:val="1EE61F3B"/>
    <w:rsid w:val="1EF36406"/>
    <w:rsid w:val="1EF87EC0"/>
    <w:rsid w:val="1EF972E3"/>
    <w:rsid w:val="1EFB350D"/>
    <w:rsid w:val="1EFF2FFD"/>
    <w:rsid w:val="1F010B23"/>
    <w:rsid w:val="1F02489B"/>
    <w:rsid w:val="1F071EB1"/>
    <w:rsid w:val="1F072F4E"/>
    <w:rsid w:val="1F0C74C8"/>
    <w:rsid w:val="1F1745F6"/>
    <w:rsid w:val="1F1A1BE5"/>
    <w:rsid w:val="1F1A7E37"/>
    <w:rsid w:val="1F1C3BAF"/>
    <w:rsid w:val="1F244811"/>
    <w:rsid w:val="1F2760B0"/>
    <w:rsid w:val="1F2B5BA0"/>
    <w:rsid w:val="1F32114C"/>
    <w:rsid w:val="1F334A54"/>
    <w:rsid w:val="1F354C71"/>
    <w:rsid w:val="1F3802BD"/>
    <w:rsid w:val="1F3B76DF"/>
    <w:rsid w:val="1F3C7DAD"/>
    <w:rsid w:val="1F430A42"/>
    <w:rsid w:val="1F4849A4"/>
    <w:rsid w:val="1F4E7AE0"/>
    <w:rsid w:val="1F530537"/>
    <w:rsid w:val="1F552C1D"/>
    <w:rsid w:val="1F62533A"/>
    <w:rsid w:val="1F6327D6"/>
    <w:rsid w:val="1F686DF4"/>
    <w:rsid w:val="1F6B2440"/>
    <w:rsid w:val="1F6E1F30"/>
    <w:rsid w:val="1F710EEF"/>
    <w:rsid w:val="1F713AC0"/>
    <w:rsid w:val="1F75506D"/>
    <w:rsid w:val="1F7A2683"/>
    <w:rsid w:val="1F817EB6"/>
    <w:rsid w:val="1F86727A"/>
    <w:rsid w:val="1F8D0609"/>
    <w:rsid w:val="1F8D23B7"/>
    <w:rsid w:val="1F925C1F"/>
    <w:rsid w:val="1FA0658E"/>
    <w:rsid w:val="1FA37E2C"/>
    <w:rsid w:val="1FAA740D"/>
    <w:rsid w:val="1FAC5786"/>
    <w:rsid w:val="1FB42039"/>
    <w:rsid w:val="1FB45B95"/>
    <w:rsid w:val="1FB75686"/>
    <w:rsid w:val="1FBA0B75"/>
    <w:rsid w:val="1FBC2C9C"/>
    <w:rsid w:val="1FC14756"/>
    <w:rsid w:val="1FC35DD8"/>
    <w:rsid w:val="1FC87893"/>
    <w:rsid w:val="1FCA5A5B"/>
    <w:rsid w:val="1FCB2EDF"/>
    <w:rsid w:val="1FD224BF"/>
    <w:rsid w:val="1FD75D28"/>
    <w:rsid w:val="1FD77AD6"/>
    <w:rsid w:val="1FDC6E9A"/>
    <w:rsid w:val="1FE346CD"/>
    <w:rsid w:val="1FE3647B"/>
    <w:rsid w:val="1FF02946"/>
    <w:rsid w:val="1FF53625"/>
    <w:rsid w:val="200563F1"/>
    <w:rsid w:val="201402A2"/>
    <w:rsid w:val="20176124"/>
    <w:rsid w:val="201A79C2"/>
    <w:rsid w:val="201E5E86"/>
    <w:rsid w:val="202D76F6"/>
    <w:rsid w:val="202E4EF7"/>
    <w:rsid w:val="20340A84"/>
    <w:rsid w:val="203767C6"/>
    <w:rsid w:val="20390790"/>
    <w:rsid w:val="203942EC"/>
    <w:rsid w:val="203B62B7"/>
    <w:rsid w:val="203E1903"/>
    <w:rsid w:val="2040730C"/>
    <w:rsid w:val="204213F3"/>
    <w:rsid w:val="20476A09"/>
    <w:rsid w:val="204A64FA"/>
    <w:rsid w:val="204C2272"/>
    <w:rsid w:val="205166C1"/>
    <w:rsid w:val="205904EB"/>
    <w:rsid w:val="205B4263"/>
    <w:rsid w:val="205E3C5D"/>
    <w:rsid w:val="20607ACB"/>
    <w:rsid w:val="20686980"/>
    <w:rsid w:val="206F41B2"/>
    <w:rsid w:val="20711CD8"/>
    <w:rsid w:val="20760481"/>
    <w:rsid w:val="207862BC"/>
    <w:rsid w:val="207B4905"/>
    <w:rsid w:val="20831A0C"/>
    <w:rsid w:val="208E288A"/>
    <w:rsid w:val="209459C7"/>
    <w:rsid w:val="209B27D5"/>
    <w:rsid w:val="20A02260"/>
    <w:rsid w:val="20A200E4"/>
    <w:rsid w:val="20A35C0A"/>
    <w:rsid w:val="20A536C4"/>
    <w:rsid w:val="20A83220"/>
    <w:rsid w:val="20AA343C"/>
    <w:rsid w:val="20AF45AF"/>
    <w:rsid w:val="20B00A53"/>
    <w:rsid w:val="20B1619E"/>
    <w:rsid w:val="20B3763C"/>
    <w:rsid w:val="20B61DE1"/>
    <w:rsid w:val="20B83463"/>
    <w:rsid w:val="20BB33A9"/>
    <w:rsid w:val="20BC19A9"/>
    <w:rsid w:val="20BD4741"/>
    <w:rsid w:val="20BD4F1E"/>
    <w:rsid w:val="20C31E08"/>
    <w:rsid w:val="20CA13E8"/>
    <w:rsid w:val="20D364EF"/>
    <w:rsid w:val="20DB1848"/>
    <w:rsid w:val="20DF30E6"/>
    <w:rsid w:val="20E424AA"/>
    <w:rsid w:val="20E922CE"/>
    <w:rsid w:val="20E93F65"/>
    <w:rsid w:val="20EA55E7"/>
    <w:rsid w:val="20EF6140"/>
    <w:rsid w:val="20F14BC7"/>
    <w:rsid w:val="20F41D5C"/>
    <w:rsid w:val="20F621DE"/>
    <w:rsid w:val="20FB4D07"/>
    <w:rsid w:val="21025026"/>
    <w:rsid w:val="210643C7"/>
    <w:rsid w:val="21093CBF"/>
    <w:rsid w:val="210B3EDB"/>
    <w:rsid w:val="211014F1"/>
    <w:rsid w:val="211C339E"/>
    <w:rsid w:val="21210FCF"/>
    <w:rsid w:val="21246D4B"/>
    <w:rsid w:val="212E3725"/>
    <w:rsid w:val="212F76A5"/>
    <w:rsid w:val="2130749E"/>
    <w:rsid w:val="2136082C"/>
    <w:rsid w:val="21366A7E"/>
    <w:rsid w:val="21436EFA"/>
    <w:rsid w:val="2144119B"/>
    <w:rsid w:val="214C004F"/>
    <w:rsid w:val="214C2AFA"/>
    <w:rsid w:val="214D4265"/>
    <w:rsid w:val="214E3DC8"/>
    <w:rsid w:val="21502035"/>
    <w:rsid w:val="21571B30"/>
    <w:rsid w:val="21573F25"/>
    <w:rsid w:val="215A451A"/>
    <w:rsid w:val="215F4227"/>
    <w:rsid w:val="216058A9"/>
    <w:rsid w:val="21613AFB"/>
    <w:rsid w:val="21617F9F"/>
    <w:rsid w:val="2164183D"/>
    <w:rsid w:val="21644BD1"/>
    <w:rsid w:val="21645399"/>
    <w:rsid w:val="21681D2D"/>
    <w:rsid w:val="216B497A"/>
    <w:rsid w:val="216D6944"/>
    <w:rsid w:val="21723F5A"/>
    <w:rsid w:val="21725D08"/>
    <w:rsid w:val="217557F8"/>
    <w:rsid w:val="217A4BBD"/>
    <w:rsid w:val="217B259C"/>
    <w:rsid w:val="217E28FF"/>
    <w:rsid w:val="21817CF9"/>
    <w:rsid w:val="21823A71"/>
    <w:rsid w:val="21867A05"/>
    <w:rsid w:val="21902632"/>
    <w:rsid w:val="21937A2C"/>
    <w:rsid w:val="21946C5A"/>
    <w:rsid w:val="219A525F"/>
    <w:rsid w:val="219E4D4F"/>
    <w:rsid w:val="21A41C3A"/>
    <w:rsid w:val="21A60BF8"/>
    <w:rsid w:val="21AA3516"/>
    <w:rsid w:val="21AD4F92"/>
    <w:rsid w:val="21AE2AB8"/>
    <w:rsid w:val="21AF0D0A"/>
    <w:rsid w:val="21B005DE"/>
    <w:rsid w:val="21B52099"/>
    <w:rsid w:val="21C440BD"/>
    <w:rsid w:val="21C45BE8"/>
    <w:rsid w:val="21C66054"/>
    <w:rsid w:val="21C81DCC"/>
    <w:rsid w:val="21CA22EB"/>
    <w:rsid w:val="21CC2F31"/>
    <w:rsid w:val="21D50045"/>
    <w:rsid w:val="21D544E9"/>
    <w:rsid w:val="21D73DBD"/>
    <w:rsid w:val="21DF4F66"/>
    <w:rsid w:val="21E85FCA"/>
    <w:rsid w:val="21ED538F"/>
    <w:rsid w:val="21EF7359"/>
    <w:rsid w:val="21F52EEB"/>
    <w:rsid w:val="22010E3A"/>
    <w:rsid w:val="2201708C"/>
    <w:rsid w:val="2205092A"/>
    <w:rsid w:val="22056B7C"/>
    <w:rsid w:val="220601DE"/>
    <w:rsid w:val="2208666C"/>
    <w:rsid w:val="220A4192"/>
    <w:rsid w:val="22124DF5"/>
    <w:rsid w:val="22140B6D"/>
    <w:rsid w:val="221768AF"/>
    <w:rsid w:val="22201AA4"/>
    <w:rsid w:val="223905D4"/>
    <w:rsid w:val="22394A78"/>
    <w:rsid w:val="223C6316"/>
    <w:rsid w:val="223C7FB4"/>
    <w:rsid w:val="224156DA"/>
    <w:rsid w:val="22433200"/>
    <w:rsid w:val="22467B33"/>
    <w:rsid w:val="22482F0D"/>
    <w:rsid w:val="224C47AB"/>
    <w:rsid w:val="224F429B"/>
    <w:rsid w:val="2250591D"/>
    <w:rsid w:val="22543660"/>
    <w:rsid w:val="225673D8"/>
    <w:rsid w:val="22591C1A"/>
    <w:rsid w:val="225C1434"/>
    <w:rsid w:val="225C42C2"/>
    <w:rsid w:val="22635651"/>
    <w:rsid w:val="226D2E01"/>
    <w:rsid w:val="227168B4"/>
    <w:rsid w:val="2274785E"/>
    <w:rsid w:val="22782E86"/>
    <w:rsid w:val="227C135A"/>
    <w:rsid w:val="22804455"/>
    <w:rsid w:val="22806203"/>
    <w:rsid w:val="228850B7"/>
    <w:rsid w:val="228F396E"/>
    <w:rsid w:val="22924D39"/>
    <w:rsid w:val="22932B7C"/>
    <w:rsid w:val="229D6DB5"/>
    <w:rsid w:val="229E7268"/>
    <w:rsid w:val="22A7378F"/>
    <w:rsid w:val="22AC6FF8"/>
    <w:rsid w:val="22AD1524"/>
    <w:rsid w:val="22AD2D70"/>
    <w:rsid w:val="22B365D8"/>
    <w:rsid w:val="22B67E76"/>
    <w:rsid w:val="22BC5FE7"/>
    <w:rsid w:val="22BF31CF"/>
    <w:rsid w:val="22C2681B"/>
    <w:rsid w:val="22C500B9"/>
    <w:rsid w:val="22C763B8"/>
    <w:rsid w:val="22CB660A"/>
    <w:rsid w:val="22CE1550"/>
    <w:rsid w:val="22D87DED"/>
    <w:rsid w:val="22D93B65"/>
    <w:rsid w:val="22DB78DD"/>
    <w:rsid w:val="22DD18A7"/>
    <w:rsid w:val="22DE117B"/>
    <w:rsid w:val="22E04EF3"/>
    <w:rsid w:val="22E418F0"/>
    <w:rsid w:val="22E5250A"/>
    <w:rsid w:val="22E744D4"/>
    <w:rsid w:val="22E83DA8"/>
    <w:rsid w:val="22EA5D72"/>
    <w:rsid w:val="22EC5646"/>
    <w:rsid w:val="22EC5943"/>
    <w:rsid w:val="22EE1374"/>
    <w:rsid w:val="22F35816"/>
    <w:rsid w:val="22F64717"/>
    <w:rsid w:val="22F97D63"/>
    <w:rsid w:val="23052BAC"/>
    <w:rsid w:val="23056708"/>
    <w:rsid w:val="230706D2"/>
    <w:rsid w:val="23151041"/>
    <w:rsid w:val="23152DEF"/>
    <w:rsid w:val="2318643B"/>
    <w:rsid w:val="231B417D"/>
    <w:rsid w:val="231D6147"/>
    <w:rsid w:val="23201794"/>
    <w:rsid w:val="232323B6"/>
    <w:rsid w:val="23250B58"/>
    <w:rsid w:val="232E3EB1"/>
    <w:rsid w:val="23362D65"/>
    <w:rsid w:val="23386ADD"/>
    <w:rsid w:val="233A0AA7"/>
    <w:rsid w:val="234436D4"/>
    <w:rsid w:val="23450E3C"/>
    <w:rsid w:val="234611FA"/>
    <w:rsid w:val="234C2589"/>
    <w:rsid w:val="234C6457"/>
    <w:rsid w:val="235558E1"/>
    <w:rsid w:val="2358717F"/>
    <w:rsid w:val="235D4796"/>
    <w:rsid w:val="235E0D60"/>
    <w:rsid w:val="236553F8"/>
    <w:rsid w:val="2366364A"/>
    <w:rsid w:val="23675615"/>
    <w:rsid w:val="236814B6"/>
    <w:rsid w:val="236D16F9"/>
    <w:rsid w:val="236E24FF"/>
    <w:rsid w:val="237327CB"/>
    <w:rsid w:val="237A70F6"/>
    <w:rsid w:val="237D0994"/>
    <w:rsid w:val="237F470C"/>
    <w:rsid w:val="238944E7"/>
    <w:rsid w:val="238B4E5F"/>
    <w:rsid w:val="238E3603"/>
    <w:rsid w:val="238F4A93"/>
    <w:rsid w:val="23904B06"/>
    <w:rsid w:val="2392443F"/>
    <w:rsid w:val="23931645"/>
    <w:rsid w:val="23931F66"/>
    <w:rsid w:val="2393640A"/>
    <w:rsid w:val="2395727B"/>
    <w:rsid w:val="239D75EA"/>
    <w:rsid w:val="23A128D5"/>
    <w:rsid w:val="23AB3753"/>
    <w:rsid w:val="23AC4114"/>
    <w:rsid w:val="23B5012E"/>
    <w:rsid w:val="23C15FD1"/>
    <w:rsid w:val="23C831CC"/>
    <w:rsid w:val="23C860B3"/>
    <w:rsid w:val="23CB16FF"/>
    <w:rsid w:val="23CB5BA3"/>
    <w:rsid w:val="23CC456F"/>
    <w:rsid w:val="23CF40D2"/>
    <w:rsid w:val="23D1691A"/>
    <w:rsid w:val="23D42CAA"/>
    <w:rsid w:val="23D5432C"/>
    <w:rsid w:val="23D902C0"/>
    <w:rsid w:val="23DE58D7"/>
    <w:rsid w:val="23E10F23"/>
    <w:rsid w:val="23EB7FF4"/>
    <w:rsid w:val="23ED5B1A"/>
    <w:rsid w:val="23F52C20"/>
    <w:rsid w:val="23F72873"/>
    <w:rsid w:val="23F8626D"/>
    <w:rsid w:val="23F944BF"/>
    <w:rsid w:val="23FE3D9C"/>
    <w:rsid w:val="23FF584D"/>
    <w:rsid w:val="24013B14"/>
    <w:rsid w:val="240370EB"/>
    <w:rsid w:val="24107A5A"/>
    <w:rsid w:val="24174945"/>
    <w:rsid w:val="241A61E3"/>
    <w:rsid w:val="241F1A4B"/>
    <w:rsid w:val="24207C9D"/>
    <w:rsid w:val="24217795"/>
    <w:rsid w:val="2424304F"/>
    <w:rsid w:val="24247062"/>
    <w:rsid w:val="24284DA4"/>
    <w:rsid w:val="24294F72"/>
    <w:rsid w:val="242A5160"/>
    <w:rsid w:val="242F2FF8"/>
    <w:rsid w:val="24305A06"/>
    <w:rsid w:val="243134D9"/>
    <w:rsid w:val="243C43AB"/>
    <w:rsid w:val="245416F5"/>
    <w:rsid w:val="24561911"/>
    <w:rsid w:val="24581B35"/>
    <w:rsid w:val="245B6F27"/>
    <w:rsid w:val="245D6D4B"/>
    <w:rsid w:val="24635DDC"/>
    <w:rsid w:val="246D27B7"/>
    <w:rsid w:val="247022A7"/>
    <w:rsid w:val="24714B23"/>
    <w:rsid w:val="24727DCD"/>
    <w:rsid w:val="24763D61"/>
    <w:rsid w:val="2479115B"/>
    <w:rsid w:val="247B1377"/>
    <w:rsid w:val="248144B4"/>
    <w:rsid w:val="24816B30"/>
    <w:rsid w:val="248B0E8F"/>
    <w:rsid w:val="248D2E59"/>
    <w:rsid w:val="249828C7"/>
    <w:rsid w:val="249E5066"/>
    <w:rsid w:val="24AA3A0B"/>
    <w:rsid w:val="24AC04BE"/>
    <w:rsid w:val="24B403E6"/>
    <w:rsid w:val="24B623B0"/>
    <w:rsid w:val="24C0322E"/>
    <w:rsid w:val="24C148B0"/>
    <w:rsid w:val="24C16578"/>
    <w:rsid w:val="24C20D54"/>
    <w:rsid w:val="24C22B02"/>
    <w:rsid w:val="24C34ACD"/>
    <w:rsid w:val="24C525F3"/>
    <w:rsid w:val="24CA5E5B"/>
    <w:rsid w:val="24CC572F"/>
    <w:rsid w:val="24CD76F9"/>
    <w:rsid w:val="24CE594B"/>
    <w:rsid w:val="24CF3471"/>
    <w:rsid w:val="24CF51B7"/>
    <w:rsid w:val="24D64800"/>
    <w:rsid w:val="24D80578"/>
    <w:rsid w:val="24D82326"/>
    <w:rsid w:val="24DB5714"/>
    <w:rsid w:val="24DC16EA"/>
    <w:rsid w:val="24DD5B8E"/>
    <w:rsid w:val="24DE5462"/>
    <w:rsid w:val="24E0567E"/>
    <w:rsid w:val="24E707BB"/>
    <w:rsid w:val="24E8008F"/>
    <w:rsid w:val="24EA11A8"/>
    <w:rsid w:val="24F1163A"/>
    <w:rsid w:val="24FA6740"/>
    <w:rsid w:val="24FD1D8D"/>
    <w:rsid w:val="24FF3D57"/>
    <w:rsid w:val="25006F27"/>
    <w:rsid w:val="250273A3"/>
    <w:rsid w:val="250F7D12"/>
    <w:rsid w:val="25113E0C"/>
    <w:rsid w:val="25162E4E"/>
    <w:rsid w:val="251B134E"/>
    <w:rsid w:val="251D6772"/>
    <w:rsid w:val="251F61A7"/>
    <w:rsid w:val="25257535"/>
    <w:rsid w:val="25331C52"/>
    <w:rsid w:val="25370F30"/>
    <w:rsid w:val="253B0B07"/>
    <w:rsid w:val="25473008"/>
    <w:rsid w:val="25493224"/>
    <w:rsid w:val="254C0545"/>
    <w:rsid w:val="25506360"/>
    <w:rsid w:val="255231DD"/>
    <w:rsid w:val="255319AC"/>
    <w:rsid w:val="25553977"/>
    <w:rsid w:val="25561143"/>
    <w:rsid w:val="255641A7"/>
    <w:rsid w:val="255B2F57"/>
    <w:rsid w:val="255D282B"/>
    <w:rsid w:val="25695674"/>
    <w:rsid w:val="256B13EC"/>
    <w:rsid w:val="256C0CC0"/>
    <w:rsid w:val="256E4A38"/>
    <w:rsid w:val="257502AF"/>
    <w:rsid w:val="257858B7"/>
    <w:rsid w:val="25897AC4"/>
    <w:rsid w:val="258A1146"/>
    <w:rsid w:val="2593015A"/>
    <w:rsid w:val="259326F1"/>
    <w:rsid w:val="259536BC"/>
    <w:rsid w:val="25956469"/>
    <w:rsid w:val="25A0096A"/>
    <w:rsid w:val="25A14E0E"/>
    <w:rsid w:val="25A5761A"/>
    <w:rsid w:val="25AE12D9"/>
    <w:rsid w:val="25B3069D"/>
    <w:rsid w:val="25BF7042"/>
    <w:rsid w:val="25C1725E"/>
    <w:rsid w:val="25C32FD6"/>
    <w:rsid w:val="25C4438B"/>
    <w:rsid w:val="25C91C6F"/>
    <w:rsid w:val="25CE54D7"/>
    <w:rsid w:val="25D32AED"/>
    <w:rsid w:val="25E04DB4"/>
    <w:rsid w:val="25E22D30"/>
    <w:rsid w:val="25E97374"/>
    <w:rsid w:val="25F50CB6"/>
    <w:rsid w:val="25F72C80"/>
    <w:rsid w:val="25FA1B44"/>
    <w:rsid w:val="25FA62CC"/>
    <w:rsid w:val="25FE604D"/>
    <w:rsid w:val="260452F8"/>
    <w:rsid w:val="260A5198"/>
    <w:rsid w:val="260D5FFF"/>
    <w:rsid w:val="260E3B25"/>
    <w:rsid w:val="260E7FC9"/>
    <w:rsid w:val="26103D41"/>
    <w:rsid w:val="26121868"/>
    <w:rsid w:val="261D1FBA"/>
    <w:rsid w:val="261D6323"/>
    <w:rsid w:val="26215F4F"/>
    <w:rsid w:val="262275D1"/>
    <w:rsid w:val="26301CEE"/>
    <w:rsid w:val="26341DF0"/>
    <w:rsid w:val="26395046"/>
    <w:rsid w:val="263A0DBE"/>
    <w:rsid w:val="2641214D"/>
    <w:rsid w:val="26437C73"/>
    <w:rsid w:val="264A1B1F"/>
    <w:rsid w:val="264F6618"/>
    <w:rsid w:val="265005E2"/>
    <w:rsid w:val="26546F84"/>
    <w:rsid w:val="26597496"/>
    <w:rsid w:val="265C2AE3"/>
    <w:rsid w:val="265F25D3"/>
    <w:rsid w:val="26681488"/>
    <w:rsid w:val="266A3452"/>
    <w:rsid w:val="266B71CA"/>
    <w:rsid w:val="2670658E"/>
    <w:rsid w:val="267918E7"/>
    <w:rsid w:val="267A70CD"/>
    <w:rsid w:val="267B53F0"/>
    <w:rsid w:val="268564DD"/>
    <w:rsid w:val="26870C67"/>
    <w:rsid w:val="268C786C"/>
    <w:rsid w:val="269009DE"/>
    <w:rsid w:val="26997893"/>
    <w:rsid w:val="26A050C5"/>
    <w:rsid w:val="26A34BB6"/>
    <w:rsid w:val="26A5092E"/>
    <w:rsid w:val="26A56238"/>
    <w:rsid w:val="26A60202"/>
    <w:rsid w:val="26B91CE3"/>
    <w:rsid w:val="26BB5A5B"/>
    <w:rsid w:val="26C11862"/>
    <w:rsid w:val="26C247FE"/>
    <w:rsid w:val="26C708A4"/>
    <w:rsid w:val="26D46B1D"/>
    <w:rsid w:val="26DB493C"/>
    <w:rsid w:val="26DE174A"/>
    <w:rsid w:val="26E34EAD"/>
    <w:rsid w:val="26EB3E67"/>
    <w:rsid w:val="26EF1BA9"/>
    <w:rsid w:val="26F1147D"/>
    <w:rsid w:val="26FD42C6"/>
    <w:rsid w:val="27005B64"/>
    <w:rsid w:val="27031465"/>
    <w:rsid w:val="27075144"/>
    <w:rsid w:val="27095487"/>
    <w:rsid w:val="270A253F"/>
    <w:rsid w:val="270C275B"/>
    <w:rsid w:val="271138CD"/>
    <w:rsid w:val="271213BB"/>
    <w:rsid w:val="27174C5C"/>
    <w:rsid w:val="271B299E"/>
    <w:rsid w:val="271B2D57"/>
    <w:rsid w:val="27231852"/>
    <w:rsid w:val="27280C17"/>
    <w:rsid w:val="27286E69"/>
    <w:rsid w:val="272958A8"/>
    <w:rsid w:val="272E1912"/>
    <w:rsid w:val="27367758"/>
    <w:rsid w:val="273A72C8"/>
    <w:rsid w:val="273B3040"/>
    <w:rsid w:val="273F48DE"/>
    <w:rsid w:val="27435A51"/>
    <w:rsid w:val="27452B08"/>
    <w:rsid w:val="274F4D02"/>
    <w:rsid w:val="275163C0"/>
    <w:rsid w:val="27526BAB"/>
    <w:rsid w:val="27530761"/>
    <w:rsid w:val="27533EE6"/>
    <w:rsid w:val="27541A0C"/>
    <w:rsid w:val="27606603"/>
    <w:rsid w:val="27630EE5"/>
    <w:rsid w:val="27642550"/>
    <w:rsid w:val="27651E6B"/>
    <w:rsid w:val="27653C19"/>
    <w:rsid w:val="276A3393"/>
    <w:rsid w:val="276E51C4"/>
    <w:rsid w:val="27723D21"/>
    <w:rsid w:val="27725098"/>
    <w:rsid w:val="277327DA"/>
    <w:rsid w:val="27750300"/>
    <w:rsid w:val="278422F1"/>
    <w:rsid w:val="278A3680"/>
    <w:rsid w:val="278B529D"/>
    <w:rsid w:val="278E13C2"/>
    <w:rsid w:val="279462AC"/>
    <w:rsid w:val="279B588D"/>
    <w:rsid w:val="279F537D"/>
    <w:rsid w:val="27A07774"/>
    <w:rsid w:val="27A16033"/>
    <w:rsid w:val="27A43BC9"/>
    <w:rsid w:val="27A449B4"/>
    <w:rsid w:val="27A55E44"/>
    <w:rsid w:val="27B30E28"/>
    <w:rsid w:val="27B32BD6"/>
    <w:rsid w:val="27B84691"/>
    <w:rsid w:val="27BE760F"/>
    <w:rsid w:val="27BF3329"/>
    <w:rsid w:val="27C17345"/>
    <w:rsid w:val="27C711DE"/>
    <w:rsid w:val="27C748D4"/>
    <w:rsid w:val="27C941A8"/>
    <w:rsid w:val="27CC1EEA"/>
    <w:rsid w:val="27CE17BE"/>
    <w:rsid w:val="27D33279"/>
    <w:rsid w:val="27D34441"/>
    <w:rsid w:val="27DA4607"/>
    <w:rsid w:val="27DC212D"/>
    <w:rsid w:val="27E45486"/>
    <w:rsid w:val="27EB4D1A"/>
    <w:rsid w:val="27EB4EDE"/>
    <w:rsid w:val="27ED433A"/>
    <w:rsid w:val="27ED6457"/>
    <w:rsid w:val="27F05BD9"/>
    <w:rsid w:val="27F37477"/>
    <w:rsid w:val="27FF7BCA"/>
    <w:rsid w:val="280205A1"/>
    <w:rsid w:val="280276BA"/>
    <w:rsid w:val="280332B9"/>
    <w:rsid w:val="28036860"/>
    <w:rsid w:val="28074CD0"/>
    <w:rsid w:val="28081174"/>
    <w:rsid w:val="280B656E"/>
    <w:rsid w:val="2810627B"/>
    <w:rsid w:val="281D62A2"/>
    <w:rsid w:val="2826784C"/>
    <w:rsid w:val="282E04AF"/>
    <w:rsid w:val="282E6701"/>
    <w:rsid w:val="282F5B2E"/>
    <w:rsid w:val="283006CB"/>
    <w:rsid w:val="2835183D"/>
    <w:rsid w:val="28377363"/>
    <w:rsid w:val="283830DC"/>
    <w:rsid w:val="283C2BCC"/>
    <w:rsid w:val="283E4B96"/>
    <w:rsid w:val="284321AC"/>
    <w:rsid w:val="28445183"/>
    <w:rsid w:val="28481571"/>
    <w:rsid w:val="284A1C4B"/>
    <w:rsid w:val="284D302B"/>
    <w:rsid w:val="28520641"/>
    <w:rsid w:val="285223EF"/>
    <w:rsid w:val="28551EE0"/>
    <w:rsid w:val="285B3A23"/>
    <w:rsid w:val="285C326E"/>
    <w:rsid w:val="28665E9B"/>
    <w:rsid w:val="286839C1"/>
    <w:rsid w:val="2869714F"/>
    <w:rsid w:val="286A05DF"/>
    <w:rsid w:val="286D0FD7"/>
    <w:rsid w:val="286D547B"/>
    <w:rsid w:val="28706D19"/>
    <w:rsid w:val="28724840"/>
    <w:rsid w:val="28732DD2"/>
    <w:rsid w:val="2874680A"/>
    <w:rsid w:val="28754330"/>
    <w:rsid w:val="287560DE"/>
    <w:rsid w:val="2879797C"/>
    <w:rsid w:val="287A1946"/>
    <w:rsid w:val="287C121A"/>
    <w:rsid w:val="28827B36"/>
    <w:rsid w:val="28846321"/>
    <w:rsid w:val="28866BF1"/>
    <w:rsid w:val="288B3B53"/>
    <w:rsid w:val="28940C5A"/>
    <w:rsid w:val="28942A08"/>
    <w:rsid w:val="28996270"/>
    <w:rsid w:val="289C690F"/>
    <w:rsid w:val="28A6098D"/>
    <w:rsid w:val="28A644E9"/>
    <w:rsid w:val="28A80261"/>
    <w:rsid w:val="28AC2F62"/>
    <w:rsid w:val="28AC5FA3"/>
    <w:rsid w:val="28AF15F0"/>
    <w:rsid w:val="28AF339E"/>
    <w:rsid w:val="28B05368"/>
    <w:rsid w:val="28B210E0"/>
    <w:rsid w:val="28B36B23"/>
    <w:rsid w:val="28B430AA"/>
    <w:rsid w:val="28B64CA1"/>
    <w:rsid w:val="28B906C0"/>
    <w:rsid w:val="28C055AB"/>
    <w:rsid w:val="28C3509B"/>
    <w:rsid w:val="28C50E13"/>
    <w:rsid w:val="28CD7CC8"/>
    <w:rsid w:val="28D15A0A"/>
    <w:rsid w:val="28D252DE"/>
    <w:rsid w:val="28D3183B"/>
    <w:rsid w:val="28DD71BF"/>
    <w:rsid w:val="28E05C4D"/>
    <w:rsid w:val="28E15521"/>
    <w:rsid w:val="28E55011"/>
    <w:rsid w:val="28F17E5A"/>
    <w:rsid w:val="28F811E9"/>
    <w:rsid w:val="29057462"/>
    <w:rsid w:val="290669C9"/>
    <w:rsid w:val="290851A4"/>
    <w:rsid w:val="290B1C44"/>
    <w:rsid w:val="290F02E0"/>
    <w:rsid w:val="291240DC"/>
    <w:rsid w:val="291B4ED7"/>
    <w:rsid w:val="291C47AB"/>
    <w:rsid w:val="291D0C4F"/>
    <w:rsid w:val="29231FDE"/>
    <w:rsid w:val="29233D8C"/>
    <w:rsid w:val="29247407"/>
    <w:rsid w:val="292C2C40"/>
    <w:rsid w:val="29347D47"/>
    <w:rsid w:val="293D6BFB"/>
    <w:rsid w:val="29400E7C"/>
    <w:rsid w:val="29453D02"/>
    <w:rsid w:val="294C32E2"/>
    <w:rsid w:val="294E0E09"/>
    <w:rsid w:val="294E705B"/>
    <w:rsid w:val="294F2DD3"/>
    <w:rsid w:val="294F4B81"/>
    <w:rsid w:val="2953641F"/>
    <w:rsid w:val="29543F45"/>
    <w:rsid w:val="2959155B"/>
    <w:rsid w:val="295977AD"/>
    <w:rsid w:val="295D729E"/>
    <w:rsid w:val="295E4DC4"/>
    <w:rsid w:val="29634188"/>
    <w:rsid w:val="296879F1"/>
    <w:rsid w:val="296A3769"/>
    <w:rsid w:val="29712D49"/>
    <w:rsid w:val="2973086F"/>
    <w:rsid w:val="29753324"/>
    <w:rsid w:val="297A7E50"/>
    <w:rsid w:val="29824F56"/>
    <w:rsid w:val="298760C9"/>
    <w:rsid w:val="298C4830"/>
    <w:rsid w:val="298D27DC"/>
    <w:rsid w:val="299074F9"/>
    <w:rsid w:val="29910CF5"/>
    <w:rsid w:val="29934A6D"/>
    <w:rsid w:val="29946A38"/>
    <w:rsid w:val="2996228A"/>
    <w:rsid w:val="29981A7C"/>
    <w:rsid w:val="29A053DC"/>
    <w:rsid w:val="29A22F02"/>
    <w:rsid w:val="29A24CB1"/>
    <w:rsid w:val="29A529F3"/>
    <w:rsid w:val="29A547A1"/>
    <w:rsid w:val="29AE7AF9"/>
    <w:rsid w:val="29B816BC"/>
    <w:rsid w:val="29BD5F8E"/>
    <w:rsid w:val="29C42E79"/>
    <w:rsid w:val="29CA3823"/>
    <w:rsid w:val="29D137E8"/>
    <w:rsid w:val="29D55086"/>
    <w:rsid w:val="29D86924"/>
    <w:rsid w:val="29DA269C"/>
    <w:rsid w:val="29DD03DE"/>
    <w:rsid w:val="29E4176D"/>
    <w:rsid w:val="29E90B31"/>
    <w:rsid w:val="29F179E6"/>
    <w:rsid w:val="29F6324E"/>
    <w:rsid w:val="2A041C06"/>
    <w:rsid w:val="2A043BBD"/>
    <w:rsid w:val="2A047719"/>
    <w:rsid w:val="2A0E0598"/>
    <w:rsid w:val="2A132850"/>
    <w:rsid w:val="2A13795C"/>
    <w:rsid w:val="2A1536D4"/>
    <w:rsid w:val="2A15450E"/>
    <w:rsid w:val="2A16744D"/>
    <w:rsid w:val="2A1A64C4"/>
    <w:rsid w:val="2A1A6F3D"/>
    <w:rsid w:val="2A1D4C7F"/>
    <w:rsid w:val="2A1F27A5"/>
    <w:rsid w:val="2A2953D2"/>
    <w:rsid w:val="2A3049B2"/>
    <w:rsid w:val="2A330A74"/>
    <w:rsid w:val="2A332420"/>
    <w:rsid w:val="2A3C6EB3"/>
    <w:rsid w:val="2A43247D"/>
    <w:rsid w:val="2A465F84"/>
    <w:rsid w:val="2A467D32"/>
    <w:rsid w:val="2A4E308A"/>
    <w:rsid w:val="2A4E4E38"/>
    <w:rsid w:val="2A4F1DFF"/>
    <w:rsid w:val="2A573CED"/>
    <w:rsid w:val="2A6603D4"/>
    <w:rsid w:val="2A73664D"/>
    <w:rsid w:val="2A743037"/>
    <w:rsid w:val="2A756869"/>
    <w:rsid w:val="2A7F1496"/>
    <w:rsid w:val="2A846AAC"/>
    <w:rsid w:val="2A88659C"/>
    <w:rsid w:val="2A8940C2"/>
    <w:rsid w:val="2A8B1BE9"/>
    <w:rsid w:val="2A8D3BB3"/>
    <w:rsid w:val="2A9C3DF6"/>
    <w:rsid w:val="2AA13D5C"/>
    <w:rsid w:val="2AA36F32"/>
    <w:rsid w:val="2AA50EFC"/>
    <w:rsid w:val="2AA8279A"/>
    <w:rsid w:val="2ABC7FF4"/>
    <w:rsid w:val="2ABE3D6C"/>
    <w:rsid w:val="2ABF7AE4"/>
    <w:rsid w:val="2AC1702B"/>
    <w:rsid w:val="2AC81DBC"/>
    <w:rsid w:val="2AC82749"/>
    <w:rsid w:val="2ACB46DB"/>
    <w:rsid w:val="2AD03A9F"/>
    <w:rsid w:val="2AD215C5"/>
    <w:rsid w:val="2AD417E1"/>
    <w:rsid w:val="2AD96DF8"/>
    <w:rsid w:val="2ADA66CC"/>
    <w:rsid w:val="2ADC46CF"/>
    <w:rsid w:val="2AE17A5A"/>
    <w:rsid w:val="2AE91872"/>
    <w:rsid w:val="2AEA2DB3"/>
    <w:rsid w:val="2AEA4B61"/>
    <w:rsid w:val="2AEC6B2B"/>
    <w:rsid w:val="2AF23A16"/>
    <w:rsid w:val="2AF27EBA"/>
    <w:rsid w:val="2AFA3C09"/>
    <w:rsid w:val="2AFC2AE6"/>
    <w:rsid w:val="2B04158B"/>
    <w:rsid w:val="2B057BED"/>
    <w:rsid w:val="2B073965"/>
    <w:rsid w:val="2B1020EE"/>
    <w:rsid w:val="2B122D8D"/>
    <w:rsid w:val="2B1653BE"/>
    <w:rsid w:val="2B177920"/>
    <w:rsid w:val="2B195446"/>
    <w:rsid w:val="2B19692F"/>
    <w:rsid w:val="2B1C0A93"/>
    <w:rsid w:val="2B1F4E1B"/>
    <w:rsid w:val="2B255B99"/>
    <w:rsid w:val="2B287437"/>
    <w:rsid w:val="2B2A1E0D"/>
    <w:rsid w:val="2B2C517A"/>
    <w:rsid w:val="2B2D0EF2"/>
    <w:rsid w:val="2B2F6A18"/>
    <w:rsid w:val="2B33475A"/>
    <w:rsid w:val="2B391645"/>
    <w:rsid w:val="2B3C0931"/>
    <w:rsid w:val="2B4321B4"/>
    <w:rsid w:val="2B512E32"/>
    <w:rsid w:val="2B522706"/>
    <w:rsid w:val="2B5841C1"/>
    <w:rsid w:val="2B593A95"/>
    <w:rsid w:val="2B595843"/>
    <w:rsid w:val="2B634913"/>
    <w:rsid w:val="2B6366C1"/>
    <w:rsid w:val="2B6568DD"/>
    <w:rsid w:val="2B663B9E"/>
    <w:rsid w:val="2B6B4E3F"/>
    <w:rsid w:val="2B6D7540"/>
    <w:rsid w:val="2B6D775F"/>
    <w:rsid w:val="2B6F150A"/>
    <w:rsid w:val="2B6F5066"/>
    <w:rsid w:val="2B7060E0"/>
    <w:rsid w:val="2B724B56"/>
    <w:rsid w:val="2B764647"/>
    <w:rsid w:val="2B7E174D"/>
    <w:rsid w:val="2B824D9A"/>
    <w:rsid w:val="2B8E1990"/>
    <w:rsid w:val="2B944ACD"/>
    <w:rsid w:val="2B977B28"/>
    <w:rsid w:val="2B980A61"/>
    <w:rsid w:val="2B9845BD"/>
    <w:rsid w:val="2BA86521"/>
    <w:rsid w:val="2BAA42F0"/>
    <w:rsid w:val="2BAC0068"/>
    <w:rsid w:val="2BAD5B8F"/>
    <w:rsid w:val="2BB81EBC"/>
    <w:rsid w:val="2BB84C5F"/>
    <w:rsid w:val="2BB868AF"/>
    <w:rsid w:val="2BB92785"/>
    <w:rsid w:val="2BBF5FEE"/>
    <w:rsid w:val="2BC03B14"/>
    <w:rsid w:val="2BC74EA2"/>
    <w:rsid w:val="2BCA6CEA"/>
    <w:rsid w:val="2BCB017A"/>
    <w:rsid w:val="2BCB317D"/>
    <w:rsid w:val="2BD355F5"/>
    <w:rsid w:val="2BDA2E28"/>
    <w:rsid w:val="2BDF043E"/>
    <w:rsid w:val="2BDF21EC"/>
    <w:rsid w:val="2BE47802"/>
    <w:rsid w:val="2BE75544"/>
    <w:rsid w:val="2BF0264B"/>
    <w:rsid w:val="2BF10171"/>
    <w:rsid w:val="2BF64877"/>
    <w:rsid w:val="2BF81500"/>
    <w:rsid w:val="2BFC0FF0"/>
    <w:rsid w:val="2C0003B4"/>
    <w:rsid w:val="2C0167A4"/>
    <w:rsid w:val="2C041C52"/>
    <w:rsid w:val="2C05030B"/>
    <w:rsid w:val="2C057779"/>
    <w:rsid w:val="2C0B2FE1"/>
    <w:rsid w:val="2C106849"/>
    <w:rsid w:val="2C163734"/>
    <w:rsid w:val="2C1A76C8"/>
    <w:rsid w:val="2C210A56"/>
    <w:rsid w:val="2C212804"/>
    <w:rsid w:val="2C245E51"/>
    <w:rsid w:val="2C271DE5"/>
    <w:rsid w:val="2C2873B0"/>
    <w:rsid w:val="2C29790B"/>
    <w:rsid w:val="2C2C11A9"/>
    <w:rsid w:val="2C302A48"/>
    <w:rsid w:val="2C3562B0"/>
    <w:rsid w:val="2C363DD6"/>
    <w:rsid w:val="2C365B84"/>
    <w:rsid w:val="2C387B4E"/>
    <w:rsid w:val="2C3A0D65"/>
    <w:rsid w:val="2C3B13EC"/>
    <w:rsid w:val="2C3F2C8B"/>
    <w:rsid w:val="2C412EA7"/>
    <w:rsid w:val="2C42277B"/>
    <w:rsid w:val="2C475FE3"/>
    <w:rsid w:val="2C4958B7"/>
    <w:rsid w:val="2C520C10"/>
    <w:rsid w:val="2C532BDA"/>
    <w:rsid w:val="2C536736"/>
    <w:rsid w:val="2C5524AE"/>
    <w:rsid w:val="2C55418D"/>
    <w:rsid w:val="2C576226"/>
    <w:rsid w:val="2C581F9E"/>
    <w:rsid w:val="2C5A6138"/>
    <w:rsid w:val="2C602C01"/>
    <w:rsid w:val="2C6B1CD2"/>
    <w:rsid w:val="2C6D3C9C"/>
    <w:rsid w:val="2C70553A"/>
    <w:rsid w:val="2C7F39CF"/>
    <w:rsid w:val="2C820DC9"/>
    <w:rsid w:val="2C822EFD"/>
    <w:rsid w:val="2C832705"/>
    <w:rsid w:val="2C8D1C48"/>
    <w:rsid w:val="2C9254B0"/>
    <w:rsid w:val="2C956D4E"/>
    <w:rsid w:val="2C974875"/>
    <w:rsid w:val="2C9C632F"/>
    <w:rsid w:val="2CA3146B"/>
    <w:rsid w:val="2CA376BD"/>
    <w:rsid w:val="2CA84CD4"/>
    <w:rsid w:val="2CAA0276"/>
    <w:rsid w:val="2CAB47C4"/>
    <w:rsid w:val="2CBC252D"/>
    <w:rsid w:val="2CBE100D"/>
    <w:rsid w:val="2CBE44F7"/>
    <w:rsid w:val="2CCA2E9C"/>
    <w:rsid w:val="2CCB451E"/>
    <w:rsid w:val="2CCD64E8"/>
    <w:rsid w:val="2CCE5842"/>
    <w:rsid w:val="2CCF04B2"/>
    <w:rsid w:val="2CCF0CA4"/>
    <w:rsid w:val="2CCF2C66"/>
    <w:rsid w:val="2CDA0C05"/>
    <w:rsid w:val="2CDE23AC"/>
    <w:rsid w:val="2CDF446E"/>
    <w:rsid w:val="2CE11F94"/>
    <w:rsid w:val="2CEF0D13"/>
    <w:rsid w:val="2CEF5FA7"/>
    <w:rsid w:val="2CF62C80"/>
    <w:rsid w:val="2CF63C91"/>
    <w:rsid w:val="2CFB27CE"/>
    <w:rsid w:val="2CFC6DCE"/>
    <w:rsid w:val="2CFE2B46"/>
    <w:rsid w:val="2D0068BE"/>
    <w:rsid w:val="2D030B50"/>
    <w:rsid w:val="2D0D2D89"/>
    <w:rsid w:val="2D1265F1"/>
    <w:rsid w:val="2D126D46"/>
    <w:rsid w:val="2D142369"/>
    <w:rsid w:val="2D1B2F71"/>
    <w:rsid w:val="2D1B36F8"/>
    <w:rsid w:val="2D1C2FCC"/>
    <w:rsid w:val="2D1E0AF2"/>
    <w:rsid w:val="2D287BC3"/>
    <w:rsid w:val="2D2A0B7C"/>
    <w:rsid w:val="2D2F2CFF"/>
    <w:rsid w:val="2D31094F"/>
    <w:rsid w:val="2D320A41"/>
    <w:rsid w:val="2D355E3C"/>
    <w:rsid w:val="2D377E06"/>
    <w:rsid w:val="2D3A16A4"/>
    <w:rsid w:val="2D3C541C"/>
    <w:rsid w:val="2D430559"/>
    <w:rsid w:val="2D460049"/>
    <w:rsid w:val="2D4B565F"/>
    <w:rsid w:val="2D4F15F3"/>
    <w:rsid w:val="2D511B6D"/>
    <w:rsid w:val="2D595FCE"/>
    <w:rsid w:val="2D5F27E6"/>
    <w:rsid w:val="2D6230D5"/>
    <w:rsid w:val="2D630BFB"/>
    <w:rsid w:val="2D64317E"/>
    <w:rsid w:val="2D666F5C"/>
    <w:rsid w:val="2D6C3F53"/>
    <w:rsid w:val="2D6D1A79"/>
    <w:rsid w:val="2D720E3E"/>
    <w:rsid w:val="2D772CA7"/>
    <w:rsid w:val="2D7B23E8"/>
    <w:rsid w:val="2D7E77E3"/>
    <w:rsid w:val="2D872B3B"/>
    <w:rsid w:val="2D894713"/>
    <w:rsid w:val="2D8E795D"/>
    <w:rsid w:val="2D8F379E"/>
    <w:rsid w:val="2D9179BF"/>
    <w:rsid w:val="2D984D48"/>
    <w:rsid w:val="2DA84860"/>
    <w:rsid w:val="2DA90D03"/>
    <w:rsid w:val="2DAA4B1A"/>
    <w:rsid w:val="2DAC4350"/>
    <w:rsid w:val="2DB43204"/>
    <w:rsid w:val="2DB476A8"/>
    <w:rsid w:val="2DB87198"/>
    <w:rsid w:val="2DBE5C85"/>
    <w:rsid w:val="2DC01BA9"/>
    <w:rsid w:val="2DC07DFB"/>
    <w:rsid w:val="2DC45B3D"/>
    <w:rsid w:val="2DD218DC"/>
    <w:rsid w:val="2DDD275B"/>
    <w:rsid w:val="2DDE0EE7"/>
    <w:rsid w:val="2DE177AB"/>
    <w:rsid w:val="2DE33AEA"/>
    <w:rsid w:val="2DE40D84"/>
    <w:rsid w:val="2DE41D3C"/>
    <w:rsid w:val="2DE97352"/>
    <w:rsid w:val="2DEC0BF0"/>
    <w:rsid w:val="2DF357BC"/>
    <w:rsid w:val="2DF53F49"/>
    <w:rsid w:val="2DF61A6F"/>
    <w:rsid w:val="2DF87595"/>
    <w:rsid w:val="2DFD104F"/>
    <w:rsid w:val="2E026666"/>
    <w:rsid w:val="2E057F04"/>
    <w:rsid w:val="2E073C7C"/>
    <w:rsid w:val="2E0A6498"/>
    <w:rsid w:val="2E0C3040"/>
    <w:rsid w:val="2E0E500A"/>
    <w:rsid w:val="2E0F2B31"/>
    <w:rsid w:val="2E1D6FFC"/>
    <w:rsid w:val="2E21083A"/>
    <w:rsid w:val="2E220AB6"/>
    <w:rsid w:val="2E222864"/>
    <w:rsid w:val="2E262354"/>
    <w:rsid w:val="2E2F6D2F"/>
    <w:rsid w:val="2E314855"/>
    <w:rsid w:val="2E3C7AF8"/>
    <w:rsid w:val="2E3D31FA"/>
    <w:rsid w:val="2E3D769E"/>
    <w:rsid w:val="2E405253"/>
    <w:rsid w:val="2E516CA5"/>
    <w:rsid w:val="2E552C39"/>
    <w:rsid w:val="2E5C3FC8"/>
    <w:rsid w:val="2E642E7C"/>
    <w:rsid w:val="2E67296D"/>
    <w:rsid w:val="2E690493"/>
    <w:rsid w:val="2E6A6B71"/>
    <w:rsid w:val="2E6A7D67"/>
    <w:rsid w:val="2E6D7F83"/>
    <w:rsid w:val="2E725599"/>
    <w:rsid w:val="2E731311"/>
    <w:rsid w:val="2E757505"/>
    <w:rsid w:val="2E76495E"/>
    <w:rsid w:val="2E81758A"/>
    <w:rsid w:val="2E823302"/>
    <w:rsid w:val="2E840E29"/>
    <w:rsid w:val="2E8452CD"/>
    <w:rsid w:val="2E903C71"/>
    <w:rsid w:val="2E921798"/>
    <w:rsid w:val="2E9865CB"/>
    <w:rsid w:val="2EA15E7F"/>
    <w:rsid w:val="2EA94D33"/>
    <w:rsid w:val="2EB234EA"/>
    <w:rsid w:val="2EB40E48"/>
    <w:rsid w:val="2EB439A8"/>
    <w:rsid w:val="2EB47D76"/>
    <w:rsid w:val="2EBA0CEE"/>
    <w:rsid w:val="2EBC6626"/>
    <w:rsid w:val="2EBD433B"/>
    <w:rsid w:val="2EC4391B"/>
    <w:rsid w:val="2EC96305"/>
    <w:rsid w:val="2ECD1633"/>
    <w:rsid w:val="2ED022C0"/>
    <w:rsid w:val="2ED33B5E"/>
    <w:rsid w:val="2ED3590C"/>
    <w:rsid w:val="2ED718A0"/>
    <w:rsid w:val="2ED7496F"/>
    <w:rsid w:val="2ED81174"/>
    <w:rsid w:val="2EDE198D"/>
    <w:rsid w:val="2EE267B1"/>
    <w:rsid w:val="2EE713B8"/>
    <w:rsid w:val="2EE7237C"/>
    <w:rsid w:val="2EEB0EA8"/>
    <w:rsid w:val="2EEB161F"/>
    <w:rsid w:val="2EEE44EB"/>
    <w:rsid w:val="2EF02962"/>
    <w:rsid w:val="2EF35FAE"/>
    <w:rsid w:val="2EF7784D"/>
    <w:rsid w:val="2F0B32F8"/>
    <w:rsid w:val="2F0D52C2"/>
    <w:rsid w:val="2F124686"/>
    <w:rsid w:val="2F126434"/>
    <w:rsid w:val="2F176141"/>
    <w:rsid w:val="2F1C3757"/>
    <w:rsid w:val="2F210D6D"/>
    <w:rsid w:val="2F236894"/>
    <w:rsid w:val="2F2A7C22"/>
    <w:rsid w:val="2F302D5E"/>
    <w:rsid w:val="2F307202"/>
    <w:rsid w:val="2F3103E8"/>
    <w:rsid w:val="2F3740ED"/>
    <w:rsid w:val="2F391C13"/>
    <w:rsid w:val="2F3F2FA2"/>
    <w:rsid w:val="2F416D1A"/>
    <w:rsid w:val="2F4B1946"/>
    <w:rsid w:val="2F4B7B98"/>
    <w:rsid w:val="2F4D56BE"/>
    <w:rsid w:val="2F5051AF"/>
    <w:rsid w:val="2F590507"/>
    <w:rsid w:val="2F5E167A"/>
    <w:rsid w:val="2F600347"/>
    <w:rsid w:val="2F656EAC"/>
    <w:rsid w:val="2F67605F"/>
    <w:rsid w:val="2F6A001E"/>
    <w:rsid w:val="2F6A6270"/>
    <w:rsid w:val="2F723377"/>
    <w:rsid w:val="2F745341"/>
    <w:rsid w:val="2F7610B9"/>
    <w:rsid w:val="2F776BDF"/>
    <w:rsid w:val="2F7A2DE5"/>
    <w:rsid w:val="2F7D2448"/>
    <w:rsid w:val="2F7E1D1C"/>
    <w:rsid w:val="2F833124"/>
    <w:rsid w:val="2F89665E"/>
    <w:rsid w:val="2F8E695E"/>
    <w:rsid w:val="2F947791"/>
    <w:rsid w:val="2F967065"/>
    <w:rsid w:val="2F967907"/>
    <w:rsid w:val="2F990E83"/>
    <w:rsid w:val="2F9C21A2"/>
    <w:rsid w:val="2FA5374C"/>
    <w:rsid w:val="2FA8323D"/>
    <w:rsid w:val="2FAF45CB"/>
    <w:rsid w:val="2FB219C5"/>
    <w:rsid w:val="2FB430B5"/>
    <w:rsid w:val="2FB67708"/>
    <w:rsid w:val="2FBB4D1E"/>
    <w:rsid w:val="2FC11C09"/>
    <w:rsid w:val="2FC33BD3"/>
    <w:rsid w:val="2FC409EA"/>
    <w:rsid w:val="2FC736C3"/>
    <w:rsid w:val="2FCA31B3"/>
    <w:rsid w:val="2FCA3FE7"/>
    <w:rsid w:val="2FD14541"/>
    <w:rsid w:val="2FDD4C94"/>
    <w:rsid w:val="2FDE0A0C"/>
    <w:rsid w:val="2FDE27BA"/>
    <w:rsid w:val="2FE778C1"/>
    <w:rsid w:val="2FEA73B1"/>
    <w:rsid w:val="2FEF49C8"/>
    <w:rsid w:val="2FF43D8C"/>
    <w:rsid w:val="2FFA3A98"/>
    <w:rsid w:val="300541EB"/>
    <w:rsid w:val="300E12F2"/>
    <w:rsid w:val="300E30A0"/>
    <w:rsid w:val="3010532A"/>
    <w:rsid w:val="30112B90"/>
    <w:rsid w:val="30136908"/>
    <w:rsid w:val="3014442E"/>
    <w:rsid w:val="301613E4"/>
    <w:rsid w:val="301663F8"/>
    <w:rsid w:val="301D1535"/>
    <w:rsid w:val="30204B81"/>
    <w:rsid w:val="30234671"/>
    <w:rsid w:val="302428C3"/>
    <w:rsid w:val="30281C88"/>
    <w:rsid w:val="30283CC0"/>
    <w:rsid w:val="302C5C1C"/>
    <w:rsid w:val="302E0926"/>
    <w:rsid w:val="302F3B93"/>
    <w:rsid w:val="303074BA"/>
    <w:rsid w:val="30330D58"/>
    <w:rsid w:val="30345E48"/>
    <w:rsid w:val="303A5565"/>
    <w:rsid w:val="303B19BB"/>
    <w:rsid w:val="303D5733"/>
    <w:rsid w:val="303F594F"/>
    <w:rsid w:val="30403475"/>
    <w:rsid w:val="30422D49"/>
    <w:rsid w:val="30442F65"/>
    <w:rsid w:val="30467249"/>
    <w:rsid w:val="3050190A"/>
    <w:rsid w:val="30550CCF"/>
    <w:rsid w:val="305E56A9"/>
    <w:rsid w:val="306453B6"/>
    <w:rsid w:val="30656A38"/>
    <w:rsid w:val="30676C54"/>
    <w:rsid w:val="306A5E79"/>
    <w:rsid w:val="306B04F2"/>
    <w:rsid w:val="306B50A5"/>
    <w:rsid w:val="30703D5A"/>
    <w:rsid w:val="307750E9"/>
    <w:rsid w:val="3078676B"/>
    <w:rsid w:val="30843362"/>
    <w:rsid w:val="30894E1C"/>
    <w:rsid w:val="308A000C"/>
    <w:rsid w:val="30901D07"/>
    <w:rsid w:val="309243C0"/>
    <w:rsid w:val="309537C1"/>
    <w:rsid w:val="309612E7"/>
    <w:rsid w:val="309B06AC"/>
    <w:rsid w:val="30A25EDE"/>
    <w:rsid w:val="30A6152A"/>
    <w:rsid w:val="30AE6631"/>
    <w:rsid w:val="30B17ECF"/>
    <w:rsid w:val="30BD6874"/>
    <w:rsid w:val="30BE02C3"/>
    <w:rsid w:val="30BF083E"/>
    <w:rsid w:val="30C145B6"/>
    <w:rsid w:val="30C419B0"/>
    <w:rsid w:val="30C714A1"/>
    <w:rsid w:val="30CE6CD3"/>
    <w:rsid w:val="30D140CD"/>
    <w:rsid w:val="30D836AE"/>
    <w:rsid w:val="30DA5678"/>
    <w:rsid w:val="30E02C72"/>
    <w:rsid w:val="30E03A94"/>
    <w:rsid w:val="30E107B4"/>
    <w:rsid w:val="30E738F1"/>
    <w:rsid w:val="30E91417"/>
    <w:rsid w:val="30EB1633"/>
    <w:rsid w:val="30ED7159"/>
    <w:rsid w:val="30F54260"/>
    <w:rsid w:val="30FC55EE"/>
    <w:rsid w:val="30FF50DE"/>
    <w:rsid w:val="310B6A65"/>
    <w:rsid w:val="310D3357"/>
    <w:rsid w:val="310F347C"/>
    <w:rsid w:val="311566B0"/>
    <w:rsid w:val="31195478"/>
    <w:rsid w:val="31197F4E"/>
    <w:rsid w:val="31207BA9"/>
    <w:rsid w:val="31215055"/>
    <w:rsid w:val="31230DCD"/>
    <w:rsid w:val="312355BE"/>
    <w:rsid w:val="312406A1"/>
    <w:rsid w:val="3126266B"/>
    <w:rsid w:val="31267093"/>
    <w:rsid w:val="312B5ED3"/>
    <w:rsid w:val="312F7772"/>
    <w:rsid w:val="31440D43"/>
    <w:rsid w:val="31466CA2"/>
    <w:rsid w:val="314825E1"/>
    <w:rsid w:val="314D19A6"/>
    <w:rsid w:val="314F3970"/>
    <w:rsid w:val="31532D34"/>
    <w:rsid w:val="31554CFE"/>
    <w:rsid w:val="3159659D"/>
    <w:rsid w:val="315A5808"/>
    <w:rsid w:val="3163566D"/>
    <w:rsid w:val="3163741B"/>
    <w:rsid w:val="316513E5"/>
    <w:rsid w:val="31653193"/>
    <w:rsid w:val="31660CB9"/>
    <w:rsid w:val="31666F0B"/>
    <w:rsid w:val="31682C84"/>
    <w:rsid w:val="31692558"/>
    <w:rsid w:val="316B7220"/>
    <w:rsid w:val="316F28FB"/>
    <w:rsid w:val="31723B02"/>
    <w:rsid w:val="31750EFD"/>
    <w:rsid w:val="31796C3F"/>
    <w:rsid w:val="317A07B3"/>
    <w:rsid w:val="317B6181"/>
    <w:rsid w:val="317F1D7B"/>
    <w:rsid w:val="31853836"/>
    <w:rsid w:val="318A2BFA"/>
    <w:rsid w:val="318D6246"/>
    <w:rsid w:val="318F6462"/>
    <w:rsid w:val="3192160B"/>
    <w:rsid w:val="31975317"/>
    <w:rsid w:val="319770C5"/>
    <w:rsid w:val="319F5F79"/>
    <w:rsid w:val="31A30E4F"/>
    <w:rsid w:val="31A33CBC"/>
    <w:rsid w:val="31A517E2"/>
    <w:rsid w:val="31A87524"/>
    <w:rsid w:val="31AF08B2"/>
    <w:rsid w:val="31BC4D7D"/>
    <w:rsid w:val="31BE782D"/>
    <w:rsid w:val="31C003CA"/>
    <w:rsid w:val="31C61758"/>
    <w:rsid w:val="31C93659"/>
    <w:rsid w:val="31CA749A"/>
    <w:rsid w:val="31CB0666"/>
    <w:rsid w:val="31CB4865"/>
    <w:rsid w:val="31CD6F8B"/>
    <w:rsid w:val="31D10829"/>
    <w:rsid w:val="31D65E3F"/>
    <w:rsid w:val="31D67BED"/>
    <w:rsid w:val="31E50C02"/>
    <w:rsid w:val="31E57E30"/>
    <w:rsid w:val="31EA18EB"/>
    <w:rsid w:val="31F75DB5"/>
    <w:rsid w:val="31F97D80"/>
    <w:rsid w:val="31FD161E"/>
    <w:rsid w:val="3200110E"/>
    <w:rsid w:val="32002EBC"/>
    <w:rsid w:val="320329AC"/>
    <w:rsid w:val="320F75A3"/>
    <w:rsid w:val="321921D0"/>
    <w:rsid w:val="32292413"/>
    <w:rsid w:val="32293CB0"/>
    <w:rsid w:val="322D17D7"/>
    <w:rsid w:val="322D3C3D"/>
    <w:rsid w:val="3233326A"/>
    <w:rsid w:val="3234700A"/>
    <w:rsid w:val="32382656"/>
    <w:rsid w:val="323B0398"/>
    <w:rsid w:val="323C7C18"/>
    <w:rsid w:val="323E39E4"/>
    <w:rsid w:val="324134B2"/>
    <w:rsid w:val="32427031"/>
    <w:rsid w:val="32464C96"/>
    <w:rsid w:val="32484000"/>
    <w:rsid w:val="32496611"/>
    <w:rsid w:val="324A05DB"/>
    <w:rsid w:val="324E00CB"/>
    <w:rsid w:val="32546D64"/>
    <w:rsid w:val="325A081E"/>
    <w:rsid w:val="325D030E"/>
    <w:rsid w:val="325D388A"/>
    <w:rsid w:val="3260395B"/>
    <w:rsid w:val="3264344B"/>
    <w:rsid w:val="32650F71"/>
    <w:rsid w:val="326E7E26"/>
    <w:rsid w:val="326F1DF0"/>
    <w:rsid w:val="32747406"/>
    <w:rsid w:val="327B2543"/>
    <w:rsid w:val="32821B23"/>
    <w:rsid w:val="32827D75"/>
    <w:rsid w:val="32843AED"/>
    <w:rsid w:val="3287538B"/>
    <w:rsid w:val="32892EB1"/>
    <w:rsid w:val="328C29A2"/>
    <w:rsid w:val="329A3125"/>
    <w:rsid w:val="329D4BAF"/>
    <w:rsid w:val="329F0927"/>
    <w:rsid w:val="32B51EF8"/>
    <w:rsid w:val="32B94B25"/>
    <w:rsid w:val="32BA12BD"/>
    <w:rsid w:val="32BA306B"/>
    <w:rsid w:val="32BF68D3"/>
    <w:rsid w:val="32C70AB1"/>
    <w:rsid w:val="32CB5278"/>
    <w:rsid w:val="32CE6B16"/>
    <w:rsid w:val="32D56359"/>
    <w:rsid w:val="32D85BE7"/>
    <w:rsid w:val="32E04BAD"/>
    <w:rsid w:val="32E4633A"/>
    <w:rsid w:val="32E620B2"/>
    <w:rsid w:val="32EB3B6C"/>
    <w:rsid w:val="32F01183"/>
    <w:rsid w:val="32F32A21"/>
    <w:rsid w:val="32F56799"/>
    <w:rsid w:val="32F80037"/>
    <w:rsid w:val="32FC7B27"/>
    <w:rsid w:val="32FF13C6"/>
    <w:rsid w:val="33024A12"/>
    <w:rsid w:val="3304078A"/>
    <w:rsid w:val="330D3AE3"/>
    <w:rsid w:val="330E1609"/>
    <w:rsid w:val="331035D3"/>
    <w:rsid w:val="331210F9"/>
    <w:rsid w:val="33150BE9"/>
    <w:rsid w:val="331838AD"/>
    <w:rsid w:val="33185FE3"/>
    <w:rsid w:val="331E37C2"/>
    <w:rsid w:val="33243844"/>
    <w:rsid w:val="332B5D17"/>
    <w:rsid w:val="333252F7"/>
    <w:rsid w:val="3337290D"/>
    <w:rsid w:val="33381FDE"/>
    <w:rsid w:val="333948D8"/>
    <w:rsid w:val="334119DE"/>
    <w:rsid w:val="33473995"/>
    <w:rsid w:val="33484B1B"/>
    <w:rsid w:val="33492641"/>
    <w:rsid w:val="335F00B6"/>
    <w:rsid w:val="336A2CE3"/>
    <w:rsid w:val="336B3397"/>
    <w:rsid w:val="336D27D3"/>
    <w:rsid w:val="336D632F"/>
    <w:rsid w:val="336E20A7"/>
    <w:rsid w:val="336F5BDA"/>
    <w:rsid w:val="33704071"/>
    <w:rsid w:val="33721B98"/>
    <w:rsid w:val="337C2A16"/>
    <w:rsid w:val="337F42B4"/>
    <w:rsid w:val="33837901"/>
    <w:rsid w:val="33837A42"/>
    <w:rsid w:val="33843679"/>
    <w:rsid w:val="33900270"/>
    <w:rsid w:val="33A06705"/>
    <w:rsid w:val="33AB6E58"/>
    <w:rsid w:val="33AD0E22"/>
    <w:rsid w:val="33B10912"/>
    <w:rsid w:val="33B45D0C"/>
    <w:rsid w:val="33B757FC"/>
    <w:rsid w:val="33BA52ED"/>
    <w:rsid w:val="33BF137E"/>
    <w:rsid w:val="33C00B55"/>
    <w:rsid w:val="33C148CD"/>
    <w:rsid w:val="33C27C0B"/>
    <w:rsid w:val="33C341A1"/>
    <w:rsid w:val="33C57F19"/>
    <w:rsid w:val="33C63C91"/>
    <w:rsid w:val="33C67D6F"/>
    <w:rsid w:val="33CD6DCE"/>
    <w:rsid w:val="33CF0D98"/>
    <w:rsid w:val="33DB773D"/>
    <w:rsid w:val="33E10ACB"/>
    <w:rsid w:val="33E16D1D"/>
    <w:rsid w:val="33E505BB"/>
    <w:rsid w:val="33E67E90"/>
    <w:rsid w:val="33E97A6D"/>
    <w:rsid w:val="33ED121E"/>
    <w:rsid w:val="33EE1681"/>
    <w:rsid w:val="33EE358C"/>
    <w:rsid w:val="33EF4F96"/>
    <w:rsid w:val="33F05E80"/>
    <w:rsid w:val="33F82B82"/>
    <w:rsid w:val="33FC5905"/>
    <w:rsid w:val="33FC76B3"/>
    <w:rsid w:val="33FE78CF"/>
    <w:rsid w:val="34014CC9"/>
    <w:rsid w:val="340547BA"/>
    <w:rsid w:val="340A6274"/>
    <w:rsid w:val="340B78F6"/>
    <w:rsid w:val="34117602"/>
    <w:rsid w:val="34140EA1"/>
    <w:rsid w:val="34173A70"/>
    <w:rsid w:val="341964B7"/>
    <w:rsid w:val="341B3FDD"/>
    <w:rsid w:val="3422536C"/>
    <w:rsid w:val="34251B01"/>
    <w:rsid w:val="34256C0A"/>
    <w:rsid w:val="342A4220"/>
    <w:rsid w:val="342F5CDB"/>
    <w:rsid w:val="342F7A89"/>
    <w:rsid w:val="34321327"/>
    <w:rsid w:val="343706EB"/>
    <w:rsid w:val="343C3F54"/>
    <w:rsid w:val="343D21A6"/>
    <w:rsid w:val="343E1A7A"/>
    <w:rsid w:val="34425A0E"/>
    <w:rsid w:val="344277BC"/>
    <w:rsid w:val="34443AB5"/>
    <w:rsid w:val="34446974"/>
    <w:rsid w:val="3445105A"/>
    <w:rsid w:val="3445641A"/>
    <w:rsid w:val="344E43B3"/>
    <w:rsid w:val="34515C51"/>
    <w:rsid w:val="345319C9"/>
    <w:rsid w:val="345E3ECA"/>
    <w:rsid w:val="3464057A"/>
    <w:rsid w:val="346516FC"/>
    <w:rsid w:val="346559BF"/>
    <w:rsid w:val="346F60D7"/>
    <w:rsid w:val="3475238E"/>
    <w:rsid w:val="34806536"/>
    <w:rsid w:val="34825E0A"/>
    <w:rsid w:val="34833304"/>
    <w:rsid w:val="348C4EDB"/>
    <w:rsid w:val="34936269"/>
    <w:rsid w:val="34963664"/>
    <w:rsid w:val="34993154"/>
    <w:rsid w:val="349A75F8"/>
    <w:rsid w:val="349F69BC"/>
    <w:rsid w:val="34A51AF9"/>
    <w:rsid w:val="34A778C6"/>
    <w:rsid w:val="34A915E9"/>
    <w:rsid w:val="34A9783B"/>
    <w:rsid w:val="34AA710F"/>
    <w:rsid w:val="34B14942"/>
    <w:rsid w:val="34BD6E42"/>
    <w:rsid w:val="34C401D1"/>
    <w:rsid w:val="34C77CC1"/>
    <w:rsid w:val="34CF6B76"/>
    <w:rsid w:val="34D0301A"/>
    <w:rsid w:val="34D10B40"/>
    <w:rsid w:val="34D36666"/>
    <w:rsid w:val="34D90058"/>
    <w:rsid w:val="34DA79F4"/>
    <w:rsid w:val="34DB551B"/>
    <w:rsid w:val="34DF18A1"/>
    <w:rsid w:val="34F52A80"/>
    <w:rsid w:val="34F565DC"/>
    <w:rsid w:val="34F8431E"/>
    <w:rsid w:val="34FA1E45"/>
    <w:rsid w:val="35040F15"/>
    <w:rsid w:val="35041EEB"/>
    <w:rsid w:val="350607E9"/>
    <w:rsid w:val="35076310"/>
    <w:rsid w:val="35077950"/>
    <w:rsid w:val="350900E1"/>
    <w:rsid w:val="350C1B78"/>
    <w:rsid w:val="350C70EE"/>
    <w:rsid w:val="3511718E"/>
    <w:rsid w:val="35187BC7"/>
    <w:rsid w:val="351C000D"/>
    <w:rsid w:val="351F7AFD"/>
    <w:rsid w:val="35214225"/>
    <w:rsid w:val="35266C07"/>
    <w:rsid w:val="352944D8"/>
    <w:rsid w:val="353C245D"/>
    <w:rsid w:val="353F37D3"/>
    <w:rsid w:val="353F3CFB"/>
    <w:rsid w:val="354B08F2"/>
    <w:rsid w:val="354E7E56"/>
    <w:rsid w:val="35527ED3"/>
    <w:rsid w:val="355359F9"/>
    <w:rsid w:val="355703EC"/>
    <w:rsid w:val="35577297"/>
    <w:rsid w:val="356674DA"/>
    <w:rsid w:val="35690436"/>
    <w:rsid w:val="356B2D42"/>
    <w:rsid w:val="356D0868"/>
    <w:rsid w:val="356E2833"/>
    <w:rsid w:val="35700359"/>
    <w:rsid w:val="357050DE"/>
    <w:rsid w:val="3575596F"/>
    <w:rsid w:val="35777939"/>
    <w:rsid w:val="357A4D33"/>
    <w:rsid w:val="357E0025"/>
    <w:rsid w:val="3581183F"/>
    <w:rsid w:val="3581411C"/>
    <w:rsid w:val="3589141A"/>
    <w:rsid w:val="359027A9"/>
    <w:rsid w:val="3594516C"/>
    <w:rsid w:val="359E6C74"/>
    <w:rsid w:val="359F29EC"/>
    <w:rsid w:val="35A3072E"/>
    <w:rsid w:val="35A3428A"/>
    <w:rsid w:val="35A85D44"/>
    <w:rsid w:val="35A95619"/>
    <w:rsid w:val="35AB75E3"/>
    <w:rsid w:val="35AD1531"/>
    <w:rsid w:val="35AF0D51"/>
    <w:rsid w:val="35B46497"/>
    <w:rsid w:val="35B76016"/>
    <w:rsid w:val="35C30488"/>
    <w:rsid w:val="35C91CF6"/>
    <w:rsid w:val="35CF1523"/>
    <w:rsid w:val="35D00DF7"/>
    <w:rsid w:val="35D46B3A"/>
    <w:rsid w:val="35E6061B"/>
    <w:rsid w:val="35E6686D"/>
    <w:rsid w:val="35F042FF"/>
    <w:rsid w:val="35F1149A"/>
    <w:rsid w:val="35F30A48"/>
    <w:rsid w:val="35F40D4E"/>
    <w:rsid w:val="35F965A0"/>
    <w:rsid w:val="35FB2E78"/>
    <w:rsid w:val="35FC1BEC"/>
    <w:rsid w:val="35FE75F8"/>
    <w:rsid w:val="3600792F"/>
    <w:rsid w:val="36037210"/>
    <w:rsid w:val="36054F45"/>
    <w:rsid w:val="360867E3"/>
    <w:rsid w:val="36105698"/>
    <w:rsid w:val="361138EA"/>
    <w:rsid w:val="361433DA"/>
    <w:rsid w:val="36145188"/>
    <w:rsid w:val="36162CAE"/>
    <w:rsid w:val="361956CA"/>
    <w:rsid w:val="361A2073"/>
    <w:rsid w:val="36251143"/>
    <w:rsid w:val="362B4280"/>
    <w:rsid w:val="362C332D"/>
    <w:rsid w:val="362D1DA6"/>
    <w:rsid w:val="364049F9"/>
    <w:rsid w:val="364315C9"/>
    <w:rsid w:val="36435A6D"/>
    <w:rsid w:val="36455341"/>
    <w:rsid w:val="36462DE7"/>
    <w:rsid w:val="36484E32"/>
    <w:rsid w:val="364D22FB"/>
    <w:rsid w:val="364F4412"/>
    <w:rsid w:val="36592B9B"/>
    <w:rsid w:val="3659703F"/>
    <w:rsid w:val="36653C36"/>
    <w:rsid w:val="366F23BE"/>
    <w:rsid w:val="367479D5"/>
    <w:rsid w:val="3676374D"/>
    <w:rsid w:val="36783969"/>
    <w:rsid w:val="367B5207"/>
    <w:rsid w:val="36851BE2"/>
    <w:rsid w:val="36853990"/>
    <w:rsid w:val="36963DEF"/>
    <w:rsid w:val="36A209E6"/>
    <w:rsid w:val="36A858D0"/>
    <w:rsid w:val="36AF6C5F"/>
    <w:rsid w:val="36B67FED"/>
    <w:rsid w:val="36B85B13"/>
    <w:rsid w:val="36B97ADD"/>
    <w:rsid w:val="36C00E6C"/>
    <w:rsid w:val="36C070BE"/>
    <w:rsid w:val="36C3270A"/>
    <w:rsid w:val="36C344B8"/>
    <w:rsid w:val="36C60F98"/>
    <w:rsid w:val="36CF10AF"/>
    <w:rsid w:val="36D31483"/>
    <w:rsid w:val="36D36DF1"/>
    <w:rsid w:val="36D466C5"/>
    <w:rsid w:val="36D6664D"/>
    <w:rsid w:val="36D668E1"/>
    <w:rsid w:val="36DA6785"/>
    <w:rsid w:val="36DD557A"/>
    <w:rsid w:val="36DF7544"/>
    <w:rsid w:val="36E508D2"/>
    <w:rsid w:val="36E8395A"/>
    <w:rsid w:val="36E96615"/>
    <w:rsid w:val="36EA7C97"/>
    <w:rsid w:val="36EC7EB3"/>
    <w:rsid w:val="36EE3C2B"/>
    <w:rsid w:val="36F12692"/>
    <w:rsid w:val="36F34D9D"/>
    <w:rsid w:val="36F62AE0"/>
    <w:rsid w:val="36FD79CA"/>
    <w:rsid w:val="36FF3742"/>
    <w:rsid w:val="3700570C"/>
    <w:rsid w:val="37025991"/>
    <w:rsid w:val="37076A9B"/>
    <w:rsid w:val="37135440"/>
    <w:rsid w:val="371B42F4"/>
    <w:rsid w:val="371B60A2"/>
    <w:rsid w:val="371E22F5"/>
    <w:rsid w:val="3727713D"/>
    <w:rsid w:val="372E1938"/>
    <w:rsid w:val="37321D6A"/>
    <w:rsid w:val="37335AE2"/>
    <w:rsid w:val="3736112E"/>
    <w:rsid w:val="373E4715"/>
    <w:rsid w:val="374B4BD9"/>
    <w:rsid w:val="374C4D4B"/>
    <w:rsid w:val="374D6BA3"/>
    <w:rsid w:val="375021F0"/>
    <w:rsid w:val="37503F9E"/>
    <w:rsid w:val="375A12C0"/>
    <w:rsid w:val="375A4E1C"/>
    <w:rsid w:val="375C2CDF"/>
    <w:rsid w:val="375D2B5F"/>
    <w:rsid w:val="375D490D"/>
    <w:rsid w:val="375D66BB"/>
    <w:rsid w:val="375F35B5"/>
    <w:rsid w:val="37636C46"/>
    <w:rsid w:val="37663A61"/>
    <w:rsid w:val="37682747"/>
    <w:rsid w:val="376C68FE"/>
    <w:rsid w:val="376D5CE3"/>
    <w:rsid w:val="377A027D"/>
    <w:rsid w:val="37844317"/>
    <w:rsid w:val="378679C0"/>
    <w:rsid w:val="37873738"/>
    <w:rsid w:val="378755E3"/>
    <w:rsid w:val="37893954"/>
    <w:rsid w:val="378C0D4E"/>
    <w:rsid w:val="37920A5A"/>
    <w:rsid w:val="37922808"/>
    <w:rsid w:val="37976071"/>
    <w:rsid w:val="379F0A81"/>
    <w:rsid w:val="379F4F25"/>
    <w:rsid w:val="37AA6F8A"/>
    <w:rsid w:val="37AC319E"/>
    <w:rsid w:val="37AD7642"/>
    <w:rsid w:val="37B00EE0"/>
    <w:rsid w:val="37B91702"/>
    <w:rsid w:val="37BC5AD7"/>
    <w:rsid w:val="37BF7375"/>
    <w:rsid w:val="37C52BDE"/>
    <w:rsid w:val="37C64260"/>
    <w:rsid w:val="37CA01F4"/>
    <w:rsid w:val="37CE1367"/>
    <w:rsid w:val="37D20E57"/>
    <w:rsid w:val="37D3697D"/>
    <w:rsid w:val="37D42E21"/>
    <w:rsid w:val="37D44BCF"/>
    <w:rsid w:val="37D57F4B"/>
    <w:rsid w:val="37DC1CD5"/>
    <w:rsid w:val="37E312B6"/>
    <w:rsid w:val="37E40B8A"/>
    <w:rsid w:val="37E64902"/>
    <w:rsid w:val="37E8014B"/>
    <w:rsid w:val="37EC3AB6"/>
    <w:rsid w:val="37F039D3"/>
    <w:rsid w:val="37F232A7"/>
    <w:rsid w:val="37F30DCD"/>
    <w:rsid w:val="37F963E3"/>
    <w:rsid w:val="37FB65FF"/>
    <w:rsid w:val="3801173C"/>
    <w:rsid w:val="38064FA4"/>
    <w:rsid w:val="38080D1C"/>
    <w:rsid w:val="380A6843"/>
    <w:rsid w:val="3810197F"/>
    <w:rsid w:val="38107BD1"/>
    <w:rsid w:val="381476C1"/>
    <w:rsid w:val="38193670"/>
    <w:rsid w:val="38213B8C"/>
    <w:rsid w:val="382611A3"/>
    <w:rsid w:val="38272FEC"/>
    <w:rsid w:val="3829429D"/>
    <w:rsid w:val="382947EF"/>
    <w:rsid w:val="382B3AE2"/>
    <w:rsid w:val="382C4A0B"/>
    <w:rsid w:val="382F44FB"/>
    <w:rsid w:val="384035E7"/>
    <w:rsid w:val="384358B1"/>
    <w:rsid w:val="38455ACD"/>
    <w:rsid w:val="38471845"/>
    <w:rsid w:val="384836C3"/>
    <w:rsid w:val="384D672F"/>
    <w:rsid w:val="384F06F9"/>
    <w:rsid w:val="385105C6"/>
    <w:rsid w:val="385555E4"/>
    <w:rsid w:val="385775AE"/>
    <w:rsid w:val="38591578"/>
    <w:rsid w:val="38593326"/>
    <w:rsid w:val="385E6B8E"/>
    <w:rsid w:val="386046B4"/>
    <w:rsid w:val="38624A88"/>
    <w:rsid w:val="3867684A"/>
    <w:rsid w:val="386A5533"/>
    <w:rsid w:val="3872263A"/>
    <w:rsid w:val="38763ED8"/>
    <w:rsid w:val="387719FE"/>
    <w:rsid w:val="387B6D70"/>
    <w:rsid w:val="387D6291"/>
    <w:rsid w:val="387E6A62"/>
    <w:rsid w:val="388C36FB"/>
    <w:rsid w:val="388D1222"/>
    <w:rsid w:val="388D4D7E"/>
    <w:rsid w:val="388F4F9A"/>
    <w:rsid w:val="38934A8A"/>
    <w:rsid w:val="389600D6"/>
    <w:rsid w:val="38960537"/>
    <w:rsid w:val="38AA3B82"/>
    <w:rsid w:val="38AC78FA"/>
    <w:rsid w:val="38AD5420"/>
    <w:rsid w:val="38BB18EB"/>
    <w:rsid w:val="38BD5663"/>
    <w:rsid w:val="38C22C79"/>
    <w:rsid w:val="38CA6CB0"/>
    <w:rsid w:val="38D676C9"/>
    <w:rsid w:val="38DD5D05"/>
    <w:rsid w:val="38DE1A7D"/>
    <w:rsid w:val="38E075A3"/>
    <w:rsid w:val="38E2156D"/>
    <w:rsid w:val="38E52E0C"/>
    <w:rsid w:val="38F21F6F"/>
    <w:rsid w:val="38FA68B7"/>
    <w:rsid w:val="390B0AC4"/>
    <w:rsid w:val="390C65EA"/>
    <w:rsid w:val="390E5EBF"/>
    <w:rsid w:val="391159AF"/>
    <w:rsid w:val="3914766B"/>
    <w:rsid w:val="391B05DB"/>
    <w:rsid w:val="392249FF"/>
    <w:rsid w:val="392576AC"/>
    <w:rsid w:val="39273424"/>
    <w:rsid w:val="3929719C"/>
    <w:rsid w:val="3930052B"/>
    <w:rsid w:val="393618B9"/>
    <w:rsid w:val="393B1EAF"/>
    <w:rsid w:val="394144E6"/>
    <w:rsid w:val="39455658"/>
    <w:rsid w:val="394A2C6F"/>
    <w:rsid w:val="394C6378"/>
    <w:rsid w:val="394F0285"/>
    <w:rsid w:val="39551D3F"/>
    <w:rsid w:val="3957347F"/>
    <w:rsid w:val="39576A03"/>
    <w:rsid w:val="3958490F"/>
    <w:rsid w:val="395A55A8"/>
    <w:rsid w:val="395F496C"/>
    <w:rsid w:val="396106E4"/>
    <w:rsid w:val="3962620A"/>
    <w:rsid w:val="39761CB6"/>
    <w:rsid w:val="39785A2E"/>
    <w:rsid w:val="397D4DF2"/>
    <w:rsid w:val="397F0B6A"/>
    <w:rsid w:val="398268AC"/>
    <w:rsid w:val="39842625"/>
    <w:rsid w:val="398948DE"/>
    <w:rsid w:val="398B5E7A"/>
    <w:rsid w:val="398E0DAD"/>
    <w:rsid w:val="39916AF0"/>
    <w:rsid w:val="39934616"/>
    <w:rsid w:val="39965EB4"/>
    <w:rsid w:val="39974106"/>
    <w:rsid w:val="39981C2C"/>
    <w:rsid w:val="39987E7E"/>
    <w:rsid w:val="399D7242"/>
    <w:rsid w:val="39A20CFD"/>
    <w:rsid w:val="39A22AAB"/>
    <w:rsid w:val="39A405D1"/>
    <w:rsid w:val="39AD5700"/>
    <w:rsid w:val="39B06F76"/>
    <w:rsid w:val="39B32F0A"/>
    <w:rsid w:val="39B747A8"/>
    <w:rsid w:val="39BC591B"/>
    <w:rsid w:val="39BE0611"/>
    <w:rsid w:val="39BE5B37"/>
    <w:rsid w:val="39BF365D"/>
    <w:rsid w:val="39BF36C9"/>
    <w:rsid w:val="39C026EF"/>
    <w:rsid w:val="39C649EB"/>
    <w:rsid w:val="39C90037"/>
    <w:rsid w:val="39CB2002"/>
    <w:rsid w:val="39CE38A0"/>
    <w:rsid w:val="39D07618"/>
    <w:rsid w:val="39D2513E"/>
    <w:rsid w:val="39D42649"/>
    <w:rsid w:val="39D8471E"/>
    <w:rsid w:val="39DA2245"/>
    <w:rsid w:val="39DE6B4B"/>
    <w:rsid w:val="39E3734B"/>
    <w:rsid w:val="39E430C3"/>
    <w:rsid w:val="39E503A9"/>
    <w:rsid w:val="39E60BE9"/>
    <w:rsid w:val="39E62997"/>
    <w:rsid w:val="39E66E3B"/>
    <w:rsid w:val="39E9692C"/>
    <w:rsid w:val="39EB4452"/>
    <w:rsid w:val="39ED1F78"/>
    <w:rsid w:val="39EE7A9E"/>
    <w:rsid w:val="39F0008D"/>
    <w:rsid w:val="39F23A32"/>
    <w:rsid w:val="39F41558"/>
    <w:rsid w:val="39F5707E"/>
    <w:rsid w:val="39F96B6F"/>
    <w:rsid w:val="39FA28E7"/>
    <w:rsid w:val="3A0177D1"/>
    <w:rsid w:val="3A0379ED"/>
    <w:rsid w:val="3A06303A"/>
    <w:rsid w:val="3A112741"/>
    <w:rsid w:val="3A173499"/>
    <w:rsid w:val="3A176EB5"/>
    <w:rsid w:val="3A190FBF"/>
    <w:rsid w:val="3A1A0893"/>
    <w:rsid w:val="3A1C460B"/>
    <w:rsid w:val="3A2160C5"/>
    <w:rsid w:val="3A233BEC"/>
    <w:rsid w:val="3A277620"/>
    <w:rsid w:val="3A292D2C"/>
    <w:rsid w:val="3A296D28"/>
    <w:rsid w:val="3A347BA7"/>
    <w:rsid w:val="3A3556CD"/>
    <w:rsid w:val="3A384D81"/>
    <w:rsid w:val="3A3A1E22"/>
    <w:rsid w:val="3A3C2EFF"/>
    <w:rsid w:val="3A3D3081"/>
    <w:rsid w:val="3A3E0A25"/>
    <w:rsid w:val="3A424E92"/>
    <w:rsid w:val="3A43428E"/>
    <w:rsid w:val="3A451DB4"/>
    <w:rsid w:val="3A465B2C"/>
    <w:rsid w:val="3A485400"/>
    <w:rsid w:val="3A4E12FE"/>
    <w:rsid w:val="3A555D6F"/>
    <w:rsid w:val="3A5A31D0"/>
    <w:rsid w:val="3A5A5133"/>
    <w:rsid w:val="3A6366DE"/>
    <w:rsid w:val="3A644852"/>
    <w:rsid w:val="3A695377"/>
    <w:rsid w:val="3A6A181A"/>
    <w:rsid w:val="3A6A67D9"/>
    <w:rsid w:val="3A6F6FBC"/>
    <w:rsid w:val="3A706705"/>
    <w:rsid w:val="3A72247D"/>
    <w:rsid w:val="3A757DC0"/>
    <w:rsid w:val="3A773F37"/>
    <w:rsid w:val="3A79380C"/>
    <w:rsid w:val="3A802DEC"/>
    <w:rsid w:val="3A836438"/>
    <w:rsid w:val="3A8A00E5"/>
    <w:rsid w:val="3A8D5509"/>
    <w:rsid w:val="3A8F74D3"/>
    <w:rsid w:val="3AA0348E"/>
    <w:rsid w:val="3AA36ADA"/>
    <w:rsid w:val="3AA61F44"/>
    <w:rsid w:val="3AA6206C"/>
    <w:rsid w:val="3AAF722D"/>
    <w:rsid w:val="3AB16704"/>
    <w:rsid w:val="3AB17449"/>
    <w:rsid w:val="3AB42A96"/>
    <w:rsid w:val="3ABD1DF6"/>
    <w:rsid w:val="3ABD5E67"/>
    <w:rsid w:val="3AC54CA3"/>
    <w:rsid w:val="3AC96E6B"/>
    <w:rsid w:val="3AD1189A"/>
    <w:rsid w:val="3AD2116E"/>
    <w:rsid w:val="3AD43138"/>
    <w:rsid w:val="3ADB44C6"/>
    <w:rsid w:val="3AE710BD"/>
    <w:rsid w:val="3AE72E6B"/>
    <w:rsid w:val="3AE74C19"/>
    <w:rsid w:val="3AF17846"/>
    <w:rsid w:val="3AF410E4"/>
    <w:rsid w:val="3AF61300"/>
    <w:rsid w:val="3B023801"/>
    <w:rsid w:val="3B043A1D"/>
    <w:rsid w:val="3B057795"/>
    <w:rsid w:val="3B096181"/>
    <w:rsid w:val="3B1E43B3"/>
    <w:rsid w:val="3B242C87"/>
    <w:rsid w:val="3B2C2F74"/>
    <w:rsid w:val="3B2E0A9A"/>
    <w:rsid w:val="3B2E2848"/>
    <w:rsid w:val="3B2F65C0"/>
    <w:rsid w:val="3B304812"/>
    <w:rsid w:val="3B3616FD"/>
    <w:rsid w:val="3B365BA1"/>
    <w:rsid w:val="3B3754FB"/>
    <w:rsid w:val="3B3911ED"/>
    <w:rsid w:val="3B3E6803"/>
    <w:rsid w:val="3B3F2CA7"/>
    <w:rsid w:val="3B443E1A"/>
    <w:rsid w:val="3B457B92"/>
    <w:rsid w:val="3B4756B8"/>
    <w:rsid w:val="3B4C2CCE"/>
    <w:rsid w:val="3B4C7172"/>
    <w:rsid w:val="3B516536"/>
    <w:rsid w:val="3B581673"/>
    <w:rsid w:val="3B602C1D"/>
    <w:rsid w:val="3B6E533A"/>
    <w:rsid w:val="3B702E61"/>
    <w:rsid w:val="3B710987"/>
    <w:rsid w:val="3B781D15"/>
    <w:rsid w:val="3B7A3CDF"/>
    <w:rsid w:val="3B7F24D9"/>
    <w:rsid w:val="3B864069"/>
    <w:rsid w:val="3B8A37F6"/>
    <w:rsid w:val="3B8B7C9A"/>
    <w:rsid w:val="3B90740E"/>
    <w:rsid w:val="3B936B4F"/>
    <w:rsid w:val="3B950B19"/>
    <w:rsid w:val="3B96663F"/>
    <w:rsid w:val="3B982DA9"/>
    <w:rsid w:val="3B9C3C56"/>
    <w:rsid w:val="3BA50630"/>
    <w:rsid w:val="3BA50AE5"/>
    <w:rsid w:val="3BB371F1"/>
    <w:rsid w:val="3BB56AC5"/>
    <w:rsid w:val="3BBD6798"/>
    <w:rsid w:val="3BC136BC"/>
    <w:rsid w:val="3BC75B75"/>
    <w:rsid w:val="3BD258C9"/>
    <w:rsid w:val="3BDB4052"/>
    <w:rsid w:val="3BDF7FE6"/>
    <w:rsid w:val="3BE70C49"/>
    <w:rsid w:val="3BE8748C"/>
    <w:rsid w:val="3BEE289A"/>
    <w:rsid w:val="3BF910A8"/>
    <w:rsid w:val="3BFC3324"/>
    <w:rsid w:val="3C011543"/>
    <w:rsid w:val="3C027831"/>
    <w:rsid w:val="3C0761D6"/>
    <w:rsid w:val="3C090BBF"/>
    <w:rsid w:val="3C095063"/>
    <w:rsid w:val="3C11114C"/>
    <w:rsid w:val="3C177780"/>
    <w:rsid w:val="3C1A101E"/>
    <w:rsid w:val="3C1D1E92"/>
    <w:rsid w:val="3C221C81"/>
    <w:rsid w:val="3C243C4B"/>
    <w:rsid w:val="3C291261"/>
    <w:rsid w:val="3C2B4FD9"/>
    <w:rsid w:val="3C357C06"/>
    <w:rsid w:val="3C3A521C"/>
    <w:rsid w:val="3C3C4E39"/>
    <w:rsid w:val="3C3C71E7"/>
    <w:rsid w:val="3C3D6ABB"/>
    <w:rsid w:val="3C4147FD"/>
    <w:rsid w:val="3C4271FA"/>
    <w:rsid w:val="3C447E49"/>
    <w:rsid w:val="3C504A40"/>
    <w:rsid w:val="3C544530"/>
    <w:rsid w:val="3C553E04"/>
    <w:rsid w:val="3C6329C5"/>
    <w:rsid w:val="3C690AF6"/>
    <w:rsid w:val="3C6F6205"/>
    <w:rsid w:val="3C700C3E"/>
    <w:rsid w:val="3C77021F"/>
    <w:rsid w:val="3C77306C"/>
    <w:rsid w:val="3C794420"/>
    <w:rsid w:val="3C7E15AD"/>
    <w:rsid w:val="3C805325"/>
    <w:rsid w:val="3C864FC5"/>
    <w:rsid w:val="3C8745AC"/>
    <w:rsid w:val="3C8841DA"/>
    <w:rsid w:val="3C8D17F0"/>
    <w:rsid w:val="3C931337"/>
    <w:rsid w:val="3C9506A5"/>
    <w:rsid w:val="3C9C7C85"/>
    <w:rsid w:val="3CA1529C"/>
    <w:rsid w:val="3CAB03A8"/>
    <w:rsid w:val="3CAC611A"/>
    <w:rsid w:val="3CB054DF"/>
    <w:rsid w:val="3CB46D7D"/>
    <w:rsid w:val="3CC33464"/>
    <w:rsid w:val="3CC96E22"/>
    <w:rsid w:val="3CCB2319"/>
    <w:rsid w:val="3CCD42E3"/>
    <w:rsid w:val="3CCF005B"/>
    <w:rsid w:val="3CCF1E09"/>
    <w:rsid w:val="3CD967E3"/>
    <w:rsid w:val="3CDE204C"/>
    <w:rsid w:val="3CDF4B8C"/>
    <w:rsid w:val="3CE06BBC"/>
    <w:rsid w:val="3CE21B3C"/>
    <w:rsid w:val="3CE27D8E"/>
    <w:rsid w:val="3CE37662"/>
    <w:rsid w:val="3CE82ECA"/>
    <w:rsid w:val="3CE95DC1"/>
    <w:rsid w:val="3CED1F0B"/>
    <w:rsid w:val="3CF11D7F"/>
    <w:rsid w:val="3CF63839"/>
    <w:rsid w:val="3CFB2BFE"/>
    <w:rsid w:val="3D023F8C"/>
    <w:rsid w:val="3D0246A8"/>
    <w:rsid w:val="3D0657B1"/>
    <w:rsid w:val="3D073351"/>
    <w:rsid w:val="3D0777F5"/>
    <w:rsid w:val="3D0A1093"/>
    <w:rsid w:val="3D0F66A9"/>
    <w:rsid w:val="3D136199"/>
    <w:rsid w:val="3D17730C"/>
    <w:rsid w:val="3D251A29"/>
    <w:rsid w:val="3D2757A1"/>
    <w:rsid w:val="3D2A703F"/>
    <w:rsid w:val="3D3103CE"/>
    <w:rsid w:val="3D324146"/>
    <w:rsid w:val="3D3E0D3C"/>
    <w:rsid w:val="3D3E2AEA"/>
    <w:rsid w:val="3D3F6F8E"/>
    <w:rsid w:val="3D414F77"/>
    <w:rsid w:val="3D4511F4"/>
    <w:rsid w:val="3D4C3459"/>
    <w:rsid w:val="3D4F6AA6"/>
    <w:rsid w:val="3D51281E"/>
    <w:rsid w:val="3D5F66E9"/>
    <w:rsid w:val="3D600CB3"/>
    <w:rsid w:val="3D6267D9"/>
    <w:rsid w:val="3D632551"/>
    <w:rsid w:val="3D664366"/>
    <w:rsid w:val="3D695EAF"/>
    <w:rsid w:val="3D6A7D83"/>
    <w:rsid w:val="3D6E0891"/>
    <w:rsid w:val="3D74475E"/>
    <w:rsid w:val="3D78424E"/>
    <w:rsid w:val="3D791D75"/>
    <w:rsid w:val="3D7E017B"/>
    <w:rsid w:val="3D85696B"/>
    <w:rsid w:val="3D89020A"/>
    <w:rsid w:val="3D9F7A2D"/>
    <w:rsid w:val="3DA45043"/>
    <w:rsid w:val="3DA74B34"/>
    <w:rsid w:val="3DBF3C2B"/>
    <w:rsid w:val="3DCE20C0"/>
    <w:rsid w:val="3DD027A5"/>
    <w:rsid w:val="3DD516A1"/>
    <w:rsid w:val="3DD60719"/>
    <w:rsid w:val="3DDF607B"/>
    <w:rsid w:val="3DEA67CE"/>
    <w:rsid w:val="3DEE2762"/>
    <w:rsid w:val="3DF53AF1"/>
    <w:rsid w:val="3DFA2EB5"/>
    <w:rsid w:val="3DFC4E7F"/>
    <w:rsid w:val="3DFF04CC"/>
    <w:rsid w:val="3E047890"/>
    <w:rsid w:val="3E06143E"/>
    <w:rsid w:val="3E0E6961"/>
    <w:rsid w:val="3E1F46CA"/>
    <w:rsid w:val="3E216694"/>
    <w:rsid w:val="3E265A58"/>
    <w:rsid w:val="3E2B7513"/>
    <w:rsid w:val="3E350391"/>
    <w:rsid w:val="3E353EED"/>
    <w:rsid w:val="3E3C5AEC"/>
    <w:rsid w:val="3E3F5C2E"/>
    <w:rsid w:val="3E410AE4"/>
    <w:rsid w:val="3E4D7489"/>
    <w:rsid w:val="3E5A1BA6"/>
    <w:rsid w:val="3E5A3954"/>
    <w:rsid w:val="3E5C6E09"/>
    <w:rsid w:val="3E5F0359"/>
    <w:rsid w:val="3E66666E"/>
    <w:rsid w:val="3E69042F"/>
    <w:rsid w:val="3E693B97"/>
    <w:rsid w:val="3E725142"/>
    <w:rsid w:val="3E732E2B"/>
    <w:rsid w:val="3E742C68"/>
    <w:rsid w:val="3E7522F8"/>
    <w:rsid w:val="3E7C197B"/>
    <w:rsid w:val="3E7F33BB"/>
    <w:rsid w:val="3E815385"/>
    <w:rsid w:val="3E8310FD"/>
    <w:rsid w:val="3E8409D1"/>
    <w:rsid w:val="3E86299B"/>
    <w:rsid w:val="3E886713"/>
    <w:rsid w:val="3E895FE7"/>
    <w:rsid w:val="3E8C1169"/>
    <w:rsid w:val="3E8D3D29"/>
    <w:rsid w:val="3E95498C"/>
    <w:rsid w:val="3E970704"/>
    <w:rsid w:val="3E9F1194"/>
    <w:rsid w:val="3EA01CAF"/>
    <w:rsid w:val="3EA11583"/>
    <w:rsid w:val="3EA177D5"/>
    <w:rsid w:val="3EBC63BD"/>
    <w:rsid w:val="3EBF7C5B"/>
    <w:rsid w:val="3EC11C25"/>
    <w:rsid w:val="3ECA6D2C"/>
    <w:rsid w:val="3ECB6600"/>
    <w:rsid w:val="3ECD2378"/>
    <w:rsid w:val="3ECD4DB7"/>
    <w:rsid w:val="3ED656D0"/>
    <w:rsid w:val="3ED74FA5"/>
    <w:rsid w:val="3EDD6FEC"/>
    <w:rsid w:val="3EE55913"/>
    <w:rsid w:val="3EEF6792"/>
    <w:rsid w:val="3EFD0EAF"/>
    <w:rsid w:val="3F012022"/>
    <w:rsid w:val="3F0264C5"/>
    <w:rsid w:val="3F075E88"/>
    <w:rsid w:val="3F0A2125"/>
    <w:rsid w:val="3F126122"/>
    <w:rsid w:val="3F1461F9"/>
    <w:rsid w:val="3F147860"/>
    <w:rsid w:val="3F1955BD"/>
    <w:rsid w:val="3F1C6E5B"/>
    <w:rsid w:val="3F1E0E25"/>
    <w:rsid w:val="3F2301EA"/>
    <w:rsid w:val="3F23643C"/>
    <w:rsid w:val="3F261A88"/>
    <w:rsid w:val="3F264703"/>
    <w:rsid w:val="3F2A1578"/>
    <w:rsid w:val="3F2F4DE1"/>
    <w:rsid w:val="3F321E3C"/>
    <w:rsid w:val="3F406FEE"/>
    <w:rsid w:val="3F422D66"/>
    <w:rsid w:val="3F43263A"/>
    <w:rsid w:val="3F446ADE"/>
    <w:rsid w:val="3F4A5777"/>
    <w:rsid w:val="3F4C5993"/>
    <w:rsid w:val="3F520ACF"/>
    <w:rsid w:val="3F520FF2"/>
    <w:rsid w:val="3F566811"/>
    <w:rsid w:val="3F581721"/>
    <w:rsid w:val="3F604F9A"/>
    <w:rsid w:val="3F626F64"/>
    <w:rsid w:val="3F6C393F"/>
    <w:rsid w:val="3F6F51DD"/>
    <w:rsid w:val="3F7171A7"/>
    <w:rsid w:val="3F762A0F"/>
    <w:rsid w:val="3F786788"/>
    <w:rsid w:val="3F79434E"/>
    <w:rsid w:val="3F7F7B16"/>
    <w:rsid w:val="3F8073EA"/>
    <w:rsid w:val="3F84512C"/>
    <w:rsid w:val="3F892743"/>
    <w:rsid w:val="3F8F3AD1"/>
    <w:rsid w:val="3F90296F"/>
    <w:rsid w:val="3F930BD7"/>
    <w:rsid w:val="3F95733A"/>
    <w:rsid w:val="3F9B5FD2"/>
    <w:rsid w:val="3FA0183A"/>
    <w:rsid w:val="3FA56E51"/>
    <w:rsid w:val="3FA61B22"/>
    <w:rsid w:val="3FA65FE9"/>
    <w:rsid w:val="3FAE03FB"/>
    <w:rsid w:val="3FAE21A9"/>
    <w:rsid w:val="3FB3156E"/>
    <w:rsid w:val="3FB5178A"/>
    <w:rsid w:val="3FB860DB"/>
    <w:rsid w:val="3FC217B1"/>
    <w:rsid w:val="3FC24EF0"/>
    <w:rsid w:val="3FC31192"/>
    <w:rsid w:val="3FC45529"/>
    <w:rsid w:val="3FC51635"/>
    <w:rsid w:val="3FCA4B09"/>
    <w:rsid w:val="3FCC262F"/>
    <w:rsid w:val="3FD140EA"/>
    <w:rsid w:val="3FD908E4"/>
    <w:rsid w:val="3FDE1369"/>
    <w:rsid w:val="3FDF2363"/>
    <w:rsid w:val="3FE200A5"/>
    <w:rsid w:val="3FE43E1D"/>
    <w:rsid w:val="3FE742EB"/>
    <w:rsid w:val="3FE93D39"/>
    <w:rsid w:val="3FF322B2"/>
    <w:rsid w:val="3FF73B50"/>
    <w:rsid w:val="3FFC5081"/>
    <w:rsid w:val="3FFC510F"/>
    <w:rsid w:val="3FFF2A05"/>
    <w:rsid w:val="4001677D"/>
    <w:rsid w:val="4004626D"/>
    <w:rsid w:val="40153FD6"/>
    <w:rsid w:val="401F4E55"/>
    <w:rsid w:val="40247A07"/>
    <w:rsid w:val="40273D0A"/>
    <w:rsid w:val="402C30CE"/>
    <w:rsid w:val="402E6E46"/>
    <w:rsid w:val="403757A8"/>
    <w:rsid w:val="403A57EB"/>
    <w:rsid w:val="403B1563"/>
    <w:rsid w:val="403C5A07"/>
    <w:rsid w:val="403E6E34"/>
    <w:rsid w:val="4041301D"/>
    <w:rsid w:val="4044671A"/>
    <w:rsid w:val="404928AB"/>
    <w:rsid w:val="4050500F"/>
    <w:rsid w:val="40572841"/>
    <w:rsid w:val="405C7E57"/>
    <w:rsid w:val="405D772B"/>
    <w:rsid w:val="406805AA"/>
    <w:rsid w:val="406867FC"/>
    <w:rsid w:val="40692574"/>
    <w:rsid w:val="40694322"/>
    <w:rsid w:val="406B3BF6"/>
    <w:rsid w:val="406F5E57"/>
    <w:rsid w:val="40736F4F"/>
    <w:rsid w:val="407C4056"/>
    <w:rsid w:val="407D7162"/>
    <w:rsid w:val="408353E4"/>
    <w:rsid w:val="408D6263"/>
    <w:rsid w:val="409475F1"/>
    <w:rsid w:val="40980764"/>
    <w:rsid w:val="40994C08"/>
    <w:rsid w:val="409A44DC"/>
    <w:rsid w:val="409C46F8"/>
    <w:rsid w:val="40A11D0E"/>
    <w:rsid w:val="40A16996"/>
    <w:rsid w:val="40A315E2"/>
    <w:rsid w:val="40A8309D"/>
    <w:rsid w:val="40A9471F"/>
    <w:rsid w:val="40AB26AE"/>
    <w:rsid w:val="40AE7F87"/>
    <w:rsid w:val="40B573CD"/>
    <w:rsid w:val="40BE4F63"/>
    <w:rsid w:val="40BF3EF4"/>
    <w:rsid w:val="40C02079"/>
    <w:rsid w:val="40C160DA"/>
    <w:rsid w:val="40CD665F"/>
    <w:rsid w:val="40D0614F"/>
    <w:rsid w:val="40D20119"/>
    <w:rsid w:val="40D37A0C"/>
    <w:rsid w:val="40D479EE"/>
    <w:rsid w:val="40D914A8"/>
    <w:rsid w:val="40DA6FCE"/>
    <w:rsid w:val="40DE6ABE"/>
    <w:rsid w:val="40E1035D"/>
    <w:rsid w:val="40EC2905"/>
    <w:rsid w:val="40EF4827"/>
    <w:rsid w:val="40F40090"/>
    <w:rsid w:val="40F57964"/>
    <w:rsid w:val="40F724AD"/>
    <w:rsid w:val="40FC6F44"/>
    <w:rsid w:val="4100099C"/>
    <w:rsid w:val="41036525"/>
    <w:rsid w:val="4105229D"/>
    <w:rsid w:val="41067DC3"/>
    <w:rsid w:val="410F4ECA"/>
    <w:rsid w:val="410F52B8"/>
    <w:rsid w:val="41120516"/>
    <w:rsid w:val="41126768"/>
    <w:rsid w:val="411C3143"/>
    <w:rsid w:val="411F7DD9"/>
    <w:rsid w:val="412344D1"/>
    <w:rsid w:val="41281AE7"/>
    <w:rsid w:val="412A1D04"/>
    <w:rsid w:val="412A5860"/>
    <w:rsid w:val="412C0ABD"/>
    <w:rsid w:val="412C2C13"/>
    <w:rsid w:val="412F2E76"/>
    <w:rsid w:val="41305F04"/>
    <w:rsid w:val="41377F7D"/>
    <w:rsid w:val="41390199"/>
    <w:rsid w:val="413A31F9"/>
    <w:rsid w:val="413B181B"/>
    <w:rsid w:val="413C37E5"/>
    <w:rsid w:val="413F647F"/>
    <w:rsid w:val="414032D5"/>
    <w:rsid w:val="41436921"/>
    <w:rsid w:val="414508EB"/>
    <w:rsid w:val="41456B3D"/>
    <w:rsid w:val="41485768"/>
    <w:rsid w:val="41526B64"/>
    <w:rsid w:val="41557947"/>
    <w:rsid w:val="41602848"/>
    <w:rsid w:val="41662610"/>
    <w:rsid w:val="41763934"/>
    <w:rsid w:val="417967E7"/>
    <w:rsid w:val="417B2CA3"/>
    <w:rsid w:val="417B60BB"/>
    <w:rsid w:val="417E3DFD"/>
    <w:rsid w:val="418238EE"/>
    <w:rsid w:val="41847666"/>
    <w:rsid w:val="4185518C"/>
    <w:rsid w:val="41874A60"/>
    <w:rsid w:val="41886A2A"/>
    <w:rsid w:val="418C02C8"/>
    <w:rsid w:val="4191768D"/>
    <w:rsid w:val="4197142E"/>
    <w:rsid w:val="41994793"/>
    <w:rsid w:val="419E1DAA"/>
    <w:rsid w:val="41A028AC"/>
    <w:rsid w:val="41A73277"/>
    <w:rsid w:val="41A73354"/>
    <w:rsid w:val="41AA2E44"/>
    <w:rsid w:val="41AE6491"/>
    <w:rsid w:val="41B31CF9"/>
    <w:rsid w:val="41B51374"/>
    <w:rsid w:val="41B60715"/>
    <w:rsid w:val="41B810BD"/>
    <w:rsid w:val="41B8730F"/>
    <w:rsid w:val="41BB0BAE"/>
    <w:rsid w:val="41BE41FA"/>
    <w:rsid w:val="41C21F3C"/>
    <w:rsid w:val="41C23CEA"/>
    <w:rsid w:val="41C37A62"/>
    <w:rsid w:val="41C95079"/>
    <w:rsid w:val="41CA2B9F"/>
    <w:rsid w:val="41D34363"/>
    <w:rsid w:val="41D91034"/>
    <w:rsid w:val="41DB2FFE"/>
    <w:rsid w:val="41E41072"/>
    <w:rsid w:val="41E55C2A"/>
    <w:rsid w:val="41E9396D"/>
    <w:rsid w:val="41ED7D93"/>
    <w:rsid w:val="41EE2D31"/>
    <w:rsid w:val="41F145CF"/>
    <w:rsid w:val="41F30347"/>
    <w:rsid w:val="41F67E38"/>
    <w:rsid w:val="41FB71FC"/>
    <w:rsid w:val="41FD11C6"/>
    <w:rsid w:val="42084862"/>
    <w:rsid w:val="420A743F"/>
    <w:rsid w:val="420E6F2F"/>
    <w:rsid w:val="42154762"/>
    <w:rsid w:val="421B33FA"/>
    <w:rsid w:val="421F113C"/>
    <w:rsid w:val="42206C63"/>
    <w:rsid w:val="42254279"/>
    <w:rsid w:val="42275DD7"/>
    <w:rsid w:val="42277FF1"/>
    <w:rsid w:val="42334BE8"/>
    <w:rsid w:val="423A5F76"/>
    <w:rsid w:val="423D5A66"/>
    <w:rsid w:val="423D7815"/>
    <w:rsid w:val="423F533B"/>
    <w:rsid w:val="42417305"/>
    <w:rsid w:val="42457CDC"/>
    <w:rsid w:val="42497F67"/>
    <w:rsid w:val="424E37D0"/>
    <w:rsid w:val="425012F6"/>
    <w:rsid w:val="425A2175"/>
    <w:rsid w:val="42621029"/>
    <w:rsid w:val="4262727B"/>
    <w:rsid w:val="42650BD5"/>
    <w:rsid w:val="4267663F"/>
    <w:rsid w:val="427A2817"/>
    <w:rsid w:val="427B03DF"/>
    <w:rsid w:val="427C5B2B"/>
    <w:rsid w:val="427E2307"/>
    <w:rsid w:val="428075DD"/>
    <w:rsid w:val="42817701"/>
    <w:rsid w:val="42843695"/>
    <w:rsid w:val="42876617"/>
    <w:rsid w:val="428B1C5A"/>
    <w:rsid w:val="429F5DD9"/>
    <w:rsid w:val="42A31D6D"/>
    <w:rsid w:val="42A33B1C"/>
    <w:rsid w:val="42A930FC"/>
    <w:rsid w:val="42AB26DA"/>
    <w:rsid w:val="42AB6E74"/>
    <w:rsid w:val="42AC04F6"/>
    <w:rsid w:val="42B51AA1"/>
    <w:rsid w:val="42BA0E65"/>
    <w:rsid w:val="42BA70B7"/>
    <w:rsid w:val="42BC698B"/>
    <w:rsid w:val="42C24CF1"/>
    <w:rsid w:val="42C43A92"/>
    <w:rsid w:val="42C61B54"/>
    <w:rsid w:val="42CD6DEA"/>
    <w:rsid w:val="42D068DB"/>
    <w:rsid w:val="42D31F27"/>
    <w:rsid w:val="42D40179"/>
    <w:rsid w:val="42D83C27"/>
    <w:rsid w:val="42DE4B54"/>
    <w:rsid w:val="42E67EAC"/>
    <w:rsid w:val="42F00D2B"/>
    <w:rsid w:val="42F04D46"/>
    <w:rsid w:val="42F0695E"/>
    <w:rsid w:val="42F73E67"/>
    <w:rsid w:val="42FC76D0"/>
    <w:rsid w:val="43081BD1"/>
    <w:rsid w:val="430976F7"/>
    <w:rsid w:val="430F2F5F"/>
    <w:rsid w:val="430F68C7"/>
    <w:rsid w:val="43100A85"/>
    <w:rsid w:val="43144A19"/>
    <w:rsid w:val="43152739"/>
    <w:rsid w:val="43164C37"/>
    <w:rsid w:val="43196669"/>
    <w:rsid w:val="431C1B20"/>
    <w:rsid w:val="432307B8"/>
    <w:rsid w:val="4324765C"/>
    <w:rsid w:val="4326474D"/>
    <w:rsid w:val="432A5FEB"/>
    <w:rsid w:val="432C269E"/>
    <w:rsid w:val="43324E9F"/>
    <w:rsid w:val="433429C6"/>
    <w:rsid w:val="433E1A96"/>
    <w:rsid w:val="4340580E"/>
    <w:rsid w:val="434150E2"/>
    <w:rsid w:val="43422D96"/>
    <w:rsid w:val="43452E25"/>
    <w:rsid w:val="434F77FF"/>
    <w:rsid w:val="435766B4"/>
    <w:rsid w:val="435905D0"/>
    <w:rsid w:val="435E7A42"/>
    <w:rsid w:val="435F7A51"/>
    <w:rsid w:val="43617533"/>
    <w:rsid w:val="43664B49"/>
    <w:rsid w:val="436808C1"/>
    <w:rsid w:val="436A288B"/>
    <w:rsid w:val="436F1C50"/>
    <w:rsid w:val="43754D8C"/>
    <w:rsid w:val="43805C0B"/>
    <w:rsid w:val="43827BD5"/>
    <w:rsid w:val="438310B0"/>
    <w:rsid w:val="438751EB"/>
    <w:rsid w:val="438C112A"/>
    <w:rsid w:val="438F5E4E"/>
    <w:rsid w:val="4391606A"/>
    <w:rsid w:val="4396542E"/>
    <w:rsid w:val="43977D13"/>
    <w:rsid w:val="439D67BD"/>
    <w:rsid w:val="439E2535"/>
    <w:rsid w:val="43A044FF"/>
    <w:rsid w:val="43A37B4B"/>
    <w:rsid w:val="43A648A2"/>
    <w:rsid w:val="43A833B4"/>
    <w:rsid w:val="43AA08C3"/>
    <w:rsid w:val="43AC4C52"/>
    <w:rsid w:val="43AC4EC6"/>
    <w:rsid w:val="43AD109A"/>
    <w:rsid w:val="43AF4742"/>
    <w:rsid w:val="43B104BA"/>
    <w:rsid w:val="43B12268"/>
    <w:rsid w:val="43B266BF"/>
    <w:rsid w:val="43BD1491"/>
    <w:rsid w:val="43CA157C"/>
    <w:rsid w:val="43CC2BFE"/>
    <w:rsid w:val="43CF0940"/>
    <w:rsid w:val="43CF6B92"/>
    <w:rsid w:val="43D47D05"/>
    <w:rsid w:val="43E20674"/>
    <w:rsid w:val="43E75C8A"/>
    <w:rsid w:val="43ED0597"/>
    <w:rsid w:val="43EE526A"/>
    <w:rsid w:val="43F1324E"/>
    <w:rsid w:val="43F32881"/>
    <w:rsid w:val="43F65ECD"/>
    <w:rsid w:val="43F81C45"/>
    <w:rsid w:val="44006D4C"/>
    <w:rsid w:val="44024872"/>
    <w:rsid w:val="44056110"/>
    <w:rsid w:val="440C749E"/>
    <w:rsid w:val="44150A49"/>
    <w:rsid w:val="4416031D"/>
    <w:rsid w:val="44184095"/>
    <w:rsid w:val="441D16AC"/>
    <w:rsid w:val="44224F14"/>
    <w:rsid w:val="442624E3"/>
    <w:rsid w:val="44266555"/>
    <w:rsid w:val="442C18EF"/>
    <w:rsid w:val="442F13DF"/>
    <w:rsid w:val="443469F5"/>
    <w:rsid w:val="44354C47"/>
    <w:rsid w:val="4439400C"/>
    <w:rsid w:val="44453BF6"/>
    <w:rsid w:val="44472BCC"/>
    <w:rsid w:val="444906F3"/>
    <w:rsid w:val="444E4F44"/>
    <w:rsid w:val="445019F1"/>
    <w:rsid w:val="44531571"/>
    <w:rsid w:val="445A46AE"/>
    <w:rsid w:val="445B21D4"/>
    <w:rsid w:val="447137A5"/>
    <w:rsid w:val="4474784B"/>
    <w:rsid w:val="44753296"/>
    <w:rsid w:val="448434D9"/>
    <w:rsid w:val="448610E1"/>
    <w:rsid w:val="44867251"/>
    <w:rsid w:val="4487121B"/>
    <w:rsid w:val="448E4357"/>
    <w:rsid w:val="449000D0"/>
    <w:rsid w:val="44926336"/>
    <w:rsid w:val="449776B0"/>
    <w:rsid w:val="449851D6"/>
    <w:rsid w:val="44986F84"/>
    <w:rsid w:val="449F47B6"/>
    <w:rsid w:val="44A21BB1"/>
    <w:rsid w:val="44A45929"/>
    <w:rsid w:val="44A678F3"/>
    <w:rsid w:val="44B30262"/>
    <w:rsid w:val="44B55D88"/>
    <w:rsid w:val="44B85878"/>
    <w:rsid w:val="44BD68E4"/>
    <w:rsid w:val="44BF0B9E"/>
    <w:rsid w:val="44BF2763"/>
    <w:rsid w:val="44BF6C07"/>
    <w:rsid w:val="44C10289"/>
    <w:rsid w:val="44C22253"/>
    <w:rsid w:val="44D04970"/>
    <w:rsid w:val="44D47E33"/>
    <w:rsid w:val="44D95ECC"/>
    <w:rsid w:val="44DA57EF"/>
    <w:rsid w:val="44DD0E3B"/>
    <w:rsid w:val="44DF1057"/>
    <w:rsid w:val="44E3578C"/>
    <w:rsid w:val="44ED5522"/>
    <w:rsid w:val="44F56185"/>
    <w:rsid w:val="44F7014F"/>
    <w:rsid w:val="44F92119"/>
    <w:rsid w:val="45010FCD"/>
    <w:rsid w:val="4504286C"/>
    <w:rsid w:val="45091C30"/>
    <w:rsid w:val="45126D36"/>
    <w:rsid w:val="45154A79"/>
    <w:rsid w:val="4517259F"/>
    <w:rsid w:val="451B6458"/>
    <w:rsid w:val="451E1B7F"/>
    <w:rsid w:val="45245540"/>
    <w:rsid w:val="45246A6A"/>
    <w:rsid w:val="45294080"/>
    <w:rsid w:val="452B1868"/>
    <w:rsid w:val="452C7958"/>
    <w:rsid w:val="45354706"/>
    <w:rsid w:val="453A628D"/>
    <w:rsid w:val="4541586E"/>
    <w:rsid w:val="454D5FC1"/>
    <w:rsid w:val="455407C7"/>
    <w:rsid w:val="455C481E"/>
    <w:rsid w:val="455E01CE"/>
    <w:rsid w:val="456442B5"/>
    <w:rsid w:val="456652D4"/>
    <w:rsid w:val="4568104C"/>
    <w:rsid w:val="456D0411"/>
    <w:rsid w:val="456F4189"/>
    <w:rsid w:val="457572C5"/>
    <w:rsid w:val="4579342A"/>
    <w:rsid w:val="45795008"/>
    <w:rsid w:val="457D3ACC"/>
    <w:rsid w:val="457E43CC"/>
    <w:rsid w:val="457E617A"/>
    <w:rsid w:val="457F1EF2"/>
    <w:rsid w:val="45820A65"/>
    <w:rsid w:val="45835E86"/>
    <w:rsid w:val="4588524B"/>
    <w:rsid w:val="458C4D3B"/>
    <w:rsid w:val="458C6319"/>
    <w:rsid w:val="458F0387"/>
    <w:rsid w:val="458F0464"/>
    <w:rsid w:val="458F65D9"/>
    <w:rsid w:val="45943BEF"/>
    <w:rsid w:val="459534C4"/>
    <w:rsid w:val="459736E0"/>
    <w:rsid w:val="459C0CF6"/>
    <w:rsid w:val="459E1862"/>
    <w:rsid w:val="45AC7FDA"/>
    <w:rsid w:val="45B20519"/>
    <w:rsid w:val="45B24076"/>
    <w:rsid w:val="45B81FBC"/>
    <w:rsid w:val="45B85B30"/>
    <w:rsid w:val="45BB117C"/>
    <w:rsid w:val="45BE0C6C"/>
    <w:rsid w:val="45C06792"/>
    <w:rsid w:val="45C216EA"/>
    <w:rsid w:val="45C73FC5"/>
    <w:rsid w:val="45C87E68"/>
    <w:rsid w:val="45CA5863"/>
    <w:rsid w:val="45CC5137"/>
    <w:rsid w:val="45CE26E6"/>
    <w:rsid w:val="45CE33C4"/>
    <w:rsid w:val="45D109A0"/>
    <w:rsid w:val="45D3296A"/>
    <w:rsid w:val="45D93CF8"/>
    <w:rsid w:val="45DB181E"/>
    <w:rsid w:val="45DC5978"/>
    <w:rsid w:val="45E5444B"/>
    <w:rsid w:val="45E87A97"/>
    <w:rsid w:val="45EA380F"/>
    <w:rsid w:val="45EF52CA"/>
    <w:rsid w:val="45F01135"/>
    <w:rsid w:val="45F66658"/>
    <w:rsid w:val="45FA66E6"/>
    <w:rsid w:val="45FB77CB"/>
    <w:rsid w:val="460348D1"/>
    <w:rsid w:val="460A5E25"/>
    <w:rsid w:val="460F3276"/>
    <w:rsid w:val="46146ADE"/>
    <w:rsid w:val="46164604"/>
    <w:rsid w:val="461E55A5"/>
    <w:rsid w:val="46222FA9"/>
    <w:rsid w:val="462431C5"/>
    <w:rsid w:val="46250CEB"/>
    <w:rsid w:val="46256F3D"/>
    <w:rsid w:val="462F1B6A"/>
    <w:rsid w:val="4638473F"/>
    <w:rsid w:val="463D6035"/>
    <w:rsid w:val="463D7DE3"/>
    <w:rsid w:val="46405B25"/>
    <w:rsid w:val="464479B9"/>
    <w:rsid w:val="46456C98"/>
    <w:rsid w:val="464A0752"/>
    <w:rsid w:val="464A2500"/>
    <w:rsid w:val="464B69A4"/>
    <w:rsid w:val="464E3D9E"/>
    <w:rsid w:val="46517D32"/>
    <w:rsid w:val="46592743"/>
    <w:rsid w:val="465A4BC4"/>
    <w:rsid w:val="465E1D19"/>
    <w:rsid w:val="46601D24"/>
    <w:rsid w:val="46623CEE"/>
    <w:rsid w:val="4662784A"/>
    <w:rsid w:val="4665733A"/>
    <w:rsid w:val="466C2476"/>
    <w:rsid w:val="46734F42"/>
    <w:rsid w:val="4674757D"/>
    <w:rsid w:val="46804174"/>
    <w:rsid w:val="468B4FF2"/>
    <w:rsid w:val="469519CD"/>
    <w:rsid w:val="4698326B"/>
    <w:rsid w:val="469A5235"/>
    <w:rsid w:val="469C7200"/>
    <w:rsid w:val="46A00372"/>
    <w:rsid w:val="46A165C4"/>
    <w:rsid w:val="46A41C10"/>
    <w:rsid w:val="46A75BA4"/>
    <w:rsid w:val="46A9191C"/>
    <w:rsid w:val="46AC6D17"/>
    <w:rsid w:val="46AE6F33"/>
    <w:rsid w:val="46B1257F"/>
    <w:rsid w:val="46B130B1"/>
    <w:rsid w:val="46B75DE7"/>
    <w:rsid w:val="46B8451D"/>
    <w:rsid w:val="46BA7686"/>
    <w:rsid w:val="46BF40FE"/>
    <w:rsid w:val="46C16C66"/>
    <w:rsid w:val="46C6427C"/>
    <w:rsid w:val="46C87FF5"/>
    <w:rsid w:val="46CB3641"/>
    <w:rsid w:val="46CC329E"/>
    <w:rsid w:val="46D4777D"/>
    <w:rsid w:val="46D85EE6"/>
    <w:rsid w:val="46DA7D28"/>
    <w:rsid w:val="46E12E64"/>
    <w:rsid w:val="46E44703"/>
    <w:rsid w:val="46E82445"/>
    <w:rsid w:val="46E93AC7"/>
    <w:rsid w:val="46F13959"/>
    <w:rsid w:val="46F34946"/>
    <w:rsid w:val="46FA56DC"/>
    <w:rsid w:val="470152B5"/>
    <w:rsid w:val="47017063"/>
    <w:rsid w:val="47022DDB"/>
    <w:rsid w:val="47044DA5"/>
    <w:rsid w:val="47076311"/>
    <w:rsid w:val="470902D0"/>
    <w:rsid w:val="47134FE8"/>
    <w:rsid w:val="47152B0E"/>
    <w:rsid w:val="4715415E"/>
    <w:rsid w:val="471548BC"/>
    <w:rsid w:val="4716385A"/>
    <w:rsid w:val="47190850"/>
    <w:rsid w:val="471F573B"/>
    <w:rsid w:val="47213261"/>
    <w:rsid w:val="47240FA3"/>
    <w:rsid w:val="47242D60"/>
    <w:rsid w:val="47264D1B"/>
    <w:rsid w:val="47305B9A"/>
    <w:rsid w:val="4738039B"/>
    <w:rsid w:val="473A543A"/>
    <w:rsid w:val="473E2065"/>
    <w:rsid w:val="474D674C"/>
    <w:rsid w:val="47571B66"/>
    <w:rsid w:val="475E6263"/>
    <w:rsid w:val="475F1FDB"/>
    <w:rsid w:val="47604C12"/>
    <w:rsid w:val="47606608"/>
    <w:rsid w:val="47613FA5"/>
    <w:rsid w:val="47665118"/>
    <w:rsid w:val="476A10AC"/>
    <w:rsid w:val="476A63AC"/>
    <w:rsid w:val="476F7E82"/>
    <w:rsid w:val="47705F96"/>
    <w:rsid w:val="47745A86"/>
    <w:rsid w:val="477535AD"/>
    <w:rsid w:val="47777325"/>
    <w:rsid w:val="4779309D"/>
    <w:rsid w:val="47796E81"/>
    <w:rsid w:val="477B5237"/>
    <w:rsid w:val="4787116E"/>
    <w:rsid w:val="478878EC"/>
    <w:rsid w:val="478A52AA"/>
    <w:rsid w:val="47925F0D"/>
    <w:rsid w:val="47946129"/>
    <w:rsid w:val="47947ED7"/>
    <w:rsid w:val="479559FD"/>
    <w:rsid w:val="47961EA1"/>
    <w:rsid w:val="4799373F"/>
    <w:rsid w:val="47A20403"/>
    <w:rsid w:val="47AA6EFF"/>
    <w:rsid w:val="47AC3472"/>
    <w:rsid w:val="47AF2F63"/>
    <w:rsid w:val="47B02837"/>
    <w:rsid w:val="47B73BC5"/>
    <w:rsid w:val="47B9793D"/>
    <w:rsid w:val="47BA3333"/>
    <w:rsid w:val="47BD70E3"/>
    <w:rsid w:val="47BE6D02"/>
    <w:rsid w:val="47C14A44"/>
    <w:rsid w:val="47CB141F"/>
    <w:rsid w:val="47DB78B4"/>
    <w:rsid w:val="47DC362C"/>
    <w:rsid w:val="47DE7578"/>
    <w:rsid w:val="47E30E5E"/>
    <w:rsid w:val="47E349BA"/>
    <w:rsid w:val="47E524E0"/>
    <w:rsid w:val="47E86474"/>
    <w:rsid w:val="47EB386F"/>
    <w:rsid w:val="47F22E4F"/>
    <w:rsid w:val="47F40975"/>
    <w:rsid w:val="47F941DE"/>
    <w:rsid w:val="47FB1D04"/>
    <w:rsid w:val="4800614F"/>
    <w:rsid w:val="48081689"/>
    <w:rsid w:val="480A1F47"/>
    <w:rsid w:val="481C5B2A"/>
    <w:rsid w:val="481D7ECC"/>
    <w:rsid w:val="481E1E96"/>
    <w:rsid w:val="481E3C44"/>
    <w:rsid w:val="48217291"/>
    <w:rsid w:val="48223734"/>
    <w:rsid w:val="482254E2"/>
    <w:rsid w:val="48253225"/>
    <w:rsid w:val="48256D81"/>
    <w:rsid w:val="482A083B"/>
    <w:rsid w:val="482A3593"/>
    <w:rsid w:val="482B1D2A"/>
    <w:rsid w:val="482C010F"/>
    <w:rsid w:val="482D3E87"/>
    <w:rsid w:val="48315726"/>
    <w:rsid w:val="48353277"/>
    <w:rsid w:val="48401E0D"/>
    <w:rsid w:val="48403BBB"/>
    <w:rsid w:val="484216E1"/>
    <w:rsid w:val="48480CC1"/>
    <w:rsid w:val="484A2C8B"/>
    <w:rsid w:val="484C07B1"/>
    <w:rsid w:val="484C255F"/>
    <w:rsid w:val="484F02A2"/>
    <w:rsid w:val="485E2293"/>
    <w:rsid w:val="48645AFB"/>
    <w:rsid w:val="48661F73"/>
    <w:rsid w:val="486C641C"/>
    <w:rsid w:val="4871646A"/>
    <w:rsid w:val="48751F9C"/>
    <w:rsid w:val="487877F8"/>
    <w:rsid w:val="487C7BDC"/>
    <w:rsid w:val="487D096B"/>
    <w:rsid w:val="48855A71"/>
    <w:rsid w:val="488937B4"/>
    <w:rsid w:val="488A3088"/>
    <w:rsid w:val="488C32A4"/>
    <w:rsid w:val="488C5052"/>
    <w:rsid w:val="488E0DCA"/>
    <w:rsid w:val="48912668"/>
    <w:rsid w:val="48914416"/>
    <w:rsid w:val="48961A2D"/>
    <w:rsid w:val="489F1A91"/>
    <w:rsid w:val="489F6B33"/>
    <w:rsid w:val="48A64365"/>
    <w:rsid w:val="48B85E47"/>
    <w:rsid w:val="48B872A7"/>
    <w:rsid w:val="48BB7D26"/>
    <w:rsid w:val="48BC72E5"/>
    <w:rsid w:val="48CC18F2"/>
    <w:rsid w:val="48D367DD"/>
    <w:rsid w:val="48D6451F"/>
    <w:rsid w:val="48D72771"/>
    <w:rsid w:val="48E1714C"/>
    <w:rsid w:val="48E409EA"/>
    <w:rsid w:val="48E629B4"/>
    <w:rsid w:val="48E704DA"/>
    <w:rsid w:val="48E97B24"/>
    <w:rsid w:val="48EB1D78"/>
    <w:rsid w:val="48EC5AF0"/>
    <w:rsid w:val="48EF634C"/>
    <w:rsid w:val="48EF7956"/>
    <w:rsid w:val="48F0738F"/>
    <w:rsid w:val="48FC5DC9"/>
    <w:rsid w:val="49003644"/>
    <w:rsid w:val="49060960"/>
    <w:rsid w:val="490D6193"/>
    <w:rsid w:val="49117305"/>
    <w:rsid w:val="49170DBF"/>
    <w:rsid w:val="491C0184"/>
    <w:rsid w:val="491C3DEA"/>
    <w:rsid w:val="491C63D6"/>
    <w:rsid w:val="491D3EFC"/>
    <w:rsid w:val="49213F08"/>
    <w:rsid w:val="492C413F"/>
    <w:rsid w:val="493A685C"/>
    <w:rsid w:val="493C25D4"/>
    <w:rsid w:val="493D3873"/>
    <w:rsid w:val="493F0316"/>
    <w:rsid w:val="49415E3C"/>
    <w:rsid w:val="49437E06"/>
    <w:rsid w:val="49465201"/>
    <w:rsid w:val="494D658F"/>
    <w:rsid w:val="495050CA"/>
    <w:rsid w:val="49523BA5"/>
    <w:rsid w:val="4953791E"/>
    <w:rsid w:val="49575660"/>
    <w:rsid w:val="495F62C2"/>
    <w:rsid w:val="4962490E"/>
    <w:rsid w:val="49635647"/>
    <w:rsid w:val="496E6505"/>
    <w:rsid w:val="497004D0"/>
    <w:rsid w:val="49753D38"/>
    <w:rsid w:val="49770F4B"/>
    <w:rsid w:val="497A0E88"/>
    <w:rsid w:val="497E2BEC"/>
    <w:rsid w:val="4989182E"/>
    <w:rsid w:val="498B355B"/>
    <w:rsid w:val="499C7517"/>
    <w:rsid w:val="499E328F"/>
    <w:rsid w:val="49A10689"/>
    <w:rsid w:val="49A14B2D"/>
    <w:rsid w:val="49A60395"/>
    <w:rsid w:val="49AD5AB1"/>
    <w:rsid w:val="49B91E77"/>
    <w:rsid w:val="49C8030C"/>
    <w:rsid w:val="49C83E68"/>
    <w:rsid w:val="49CA4084"/>
    <w:rsid w:val="49D12742"/>
    <w:rsid w:val="49D22F38"/>
    <w:rsid w:val="49D23EBB"/>
    <w:rsid w:val="49D24CE6"/>
    <w:rsid w:val="49D5352C"/>
    <w:rsid w:val="49D722FD"/>
    <w:rsid w:val="49E03E1E"/>
    <w:rsid w:val="49E36EF3"/>
    <w:rsid w:val="49EB5DA8"/>
    <w:rsid w:val="49F11610"/>
    <w:rsid w:val="49F22DB7"/>
    <w:rsid w:val="49F44C5D"/>
    <w:rsid w:val="49FC7FB5"/>
    <w:rsid w:val="4A003601"/>
    <w:rsid w:val="4A056E6A"/>
    <w:rsid w:val="4A060D04"/>
    <w:rsid w:val="4A09791D"/>
    <w:rsid w:val="4A0C644A"/>
    <w:rsid w:val="4A0D5D1E"/>
    <w:rsid w:val="4A16644B"/>
    <w:rsid w:val="4A192915"/>
    <w:rsid w:val="4A1B043B"/>
    <w:rsid w:val="4A1B668D"/>
    <w:rsid w:val="4A1C41B3"/>
    <w:rsid w:val="4A2F0833"/>
    <w:rsid w:val="4A30081A"/>
    <w:rsid w:val="4A372D9B"/>
    <w:rsid w:val="4A49144C"/>
    <w:rsid w:val="4A4C4A99"/>
    <w:rsid w:val="4A513E5D"/>
    <w:rsid w:val="4A514331"/>
    <w:rsid w:val="4A5144F5"/>
    <w:rsid w:val="4A534079"/>
    <w:rsid w:val="4A54394D"/>
    <w:rsid w:val="4A565917"/>
    <w:rsid w:val="4A595408"/>
    <w:rsid w:val="4A5971B6"/>
    <w:rsid w:val="4A5B1180"/>
    <w:rsid w:val="4A5B2F2E"/>
    <w:rsid w:val="4A606796"/>
    <w:rsid w:val="4A69564B"/>
    <w:rsid w:val="4A6C027D"/>
    <w:rsid w:val="4A7638C4"/>
    <w:rsid w:val="4A783AE0"/>
    <w:rsid w:val="4A78588E"/>
    <w:rsid w:val="4A7F1081"/>
    <w:rsid w:val="4A804742"/>
    <w:rsid w:val="4A873D23"/>
    <w:rsid w:val="4A9401EE"/>
    <w:rsid w:val="4A965D14"/>
    <w:rsid w:val="4A993A56"/>
    <w:rsid w:val="4AA91EEB"/>
    <w:rsid w:val="4AAA5C63"/>
    <w:rsid w:val="4AAC3789"/>
    <w:rsid w:val="4AB158DC"/>
    <w:rsid w:val="4AB90133"/>
    <w:rsid w:val="4AB97C54"/>
    <w:rsid w:val="4ABA40F8"/>
    <w:rsid w:val="4ABC2764"/>
    <w:rsid w:val="4AC00FE3"/>
    <w:rsid w:val="4AC72371"/>
    <w:rsid w:val="4ACE54AE"/>
    <w:rsid w:val="4AD625B4"/>
    <w:rsid w:val="4ADD7DE7"/>
    <w:rsid w:val="4AE271AB"/>
    <w:rsid w:val="4AE44CD1"/>
    <w:rsid w:val="4AEC1DD8"/>
    <w:rsid w:val="4AF34F14"/>
    <w:rsid w:val="4AF60EA8"/>
    <w:rsid w:val="4AFB026D"/>
    <w:rsid w:val="4B015E3A"/>
    <w:rsid w:val="4B0233A9"/>
    <w:rsid w:val="4B052E99"/>
    <w:rsid w:val="4B076C12"/>
    <w:rsid w:val="4B090BDC"/>
    <w:rsid w:val="4B11183E"/>
    <w:rsid w:val="4B1650A7"/>
    <w:rsid w:val="4B180E1F"/>
    <w:rsid w:val="4B182BCD"/>
    <w:rsid w:val="4B1D6435"/>
    <w:rsid w:val="4B316D1C"/>
    <w:rsid w:val="4B35377F"/>
    <w:rsid w:val="4B375749"/>
    <w:rsid w:val="4B441C14"/>
    <w:rsid w:val="4B447E66"/>
    <w:rsid w:val="4B4614E8"/>
    <w:rsid w:val="4B4B11F4"/>
    <w:rsid w:val="4B4B4D50"/>
    <w:rsid w:val="4B4D0C86"/>
    <w:rsid w:val="4B4D6D1A"/>
    <w:rsid w:val="4B4E4840"/>
    <w:rsid w:val="4B515A8C"/>
    <w:rsid w:val="4B58746D"/>
    <w:rsid w:val="4B5F07FC"/>
    <w:rsid w:val="4B5F6A4E"/>
    <w:rsid w:val="4B644064"/>
    <w:rsid w:val="4B661B8A"/>
    <w:rsid w:val="4B667DDC"/>
    <w:rsid w:val="4B685902"/>
    <w:rsid w:val="4B6B53F2"/>
    <w:rsid w:val="4B6D2F19"/>
    <w:rsid w:val="4B72104D"/>
    <w:rsid w:val="4B810A76"/>
    <w:rsid w:val="4B86222C"/>
    <w:rsid w:val="4B893ACB"/>
    <w:rsid w:val="4B897627"/>
    <w:rsid w:val="4B8B7843"/>
    <w:rsid w:val="4B934894"/>
    <w:rsid w:val="4B9C37FE"/>
    <w:rsid w:val="4B9C57F5"/>
    <w:rsid w:val="4B9E7576"/>
    <w:rsid w:val="4B9F4176"/>
    <w:rsid w:val="4B9F6E4A"/>
    <w:rsid w:val="4BA17066"/>
    <w:rsid w:val="4BA34B8C"/>
    <w:rsid w:val="4BA426B2"/>
    <w:rsid w:val="4BA6467C"/>
    <w:rsid w:val="4BAD3A3F"/>
    <w:rsid w:val="4BB24DCF"/>
    <w:rsid w:val="4BB328F5"/>
    <w:rsid w:val="4BB7388D"/>
    <w:rsid w:val="4BB9615E"/>
    <w:rsid w:val="4BBA0F1B"/>
    <w:rsid w:val="4BC30D8B"/>
    <w:rsid w:val="4BD42F98"/>
    <w:rsid w:val="4BD5286C"/>
    <w:rsid w:val="4BD846DB"/>
    <w:rsid w:val="4BE17463"/>
    <w:rsid w:val="4BE551A5"/>
    <w:rsid w:val="4BE85FBF"/>
    <w:rsid w:val="4BE86A43"/>
    <w:rsid w:val="4BEA1743"/>
    <w:rsid w:val="4BEA42D6"/>
    <w:rsid w:val="4BED22AB"/>
    <w:rsid w:val="4BED5EEE"/>
    <w:rsid w:val="4BF058F8"/>
    <w:rsid w:val="4BF74ED8"/>
    <w:rsid w:val="4C017B05"/>
    <w:rsid w:val="4C03387D"/>
    <w:rsid w:val="4C066EC9"/>
    <w:rsid w:val="4C0C0983"/>
    <w:rsid w:val="4C0D64AA"/>
    <w:rsid w:val="4C1635B0"/>
    <w:rsid w:val="4C2757BD"/>
    <w:rsid w:val="4C2F6420"/>
    <w:rsid w:val="4C303F46"/>
    <w:rsid w:val="4C325F10"/>
    <w:rsid w:val="4C373527"/>
    <w:rsid w:val="4C387DE5"/>
    <w:rsid w:val="4C3D6D8F"/>
    <w:rsid w:val="4C42674D"/>
    <w:rsid w:val="4C426D44"/>
    <w:rsid w:val="4C447BCA"/>
    <w:rsid w:val="4C4A14AC"/>
    <w:rsid w:val="4C4B0D80"/>
    <w:rsid w:val="4C523EBC"/>
    <w:rsid w:val="4C545E87"/>
    <w:rsid w:val="4C5916EF"/>
    <w:rsid w:val="4C5E4F57"/>
    <w:rsid w:val="4C6360CA"/>
    <w:rsid w:val="4C7402D7"/>
    <w:rsid w:val="4C787DC7"/>
    <w:rsid w:val="4C79769B"/>
    <w:rsid w:val="4C8449BE"/>
    <w:rsid w:val="4C8D3147"/>
    <w:rsid w:val="4C8F5111"/>
    <w:rsid w:val="4C8F6EBF"/>
    <w:rsid w:val="4C9444D5"/>
    <w:rsid w:val="4C985EAF"/>
    <w:rsid w:val="4C9D15DC"/>
    <w:rsid w:val="4C9D57EE"/>
    <w:rsid w:val="4CAD5597"/>
    <w:rsid w:val="4CAF130F"/>
    <w:rsid w:val="4CAF3A27"/>
    <w:rsid w:val="4CB44B77"/>
    <w:rsid w:val="4CC0176E"/>
    <w:rsid w:val="4CC052CA"/>
    <w:rsid w:val="4CCE1D7B"/>
    <w:rsid w:val="4CCE79E7"/>
    <w:rsid w:val="4CD3324F"/>
    <w:rsid w:val="4CD700C2"/>
    <w:rsid w:val="4CDB0356"/>
    <w:rsid w:val="4CDF7E46"/>
    <w:rsid w:val="4CE61904"/>
    <w:rsid w:val="4CE70AA9"/>
    <w:rsid w:val="4CE92A73"/>
    <w:rsid w:val="4CEB6579"/>
    <w:rsid w:val="4CEC60BF"/>
    <w:rsid w:val="4CEE3778"/>
    <w:rsid w:val="4CEF795D"/>
    <w:rsid w:val="4CF32DA2"/>
    <w:rsid w:val="4CF97618"/>
    <w:rsid w:val="4CFA2A94"/>
    <w:rsid w:val="4D0E689A"/>
    <w:rsid w:val="4D0F7FFF"/>
    <w:rsid w:val="4D132B73"/>
    <w:rsid w:val="4D186EB4"/>
    <w:rsid w:val="4D265A75"/>
    <w:rsid w:val="4D2B308B"/>
    <w:rsid w:val="4D3265EA"/>
    <w:rsid w:val="4D3857A8"/>
    <w:rsid w:val="4D44414D"/>
    <w:rsid w:val="4D445EFB"/>
    <w:rsid w:val="4D467EC5"/>
    <w:rsid w:val="4D477799"/>
    <w:rsid w:val="4D4E6D7A"/>
    <w:rsid w:val="4D5679DC"/>
    <w:rsid w:val="4D570D96"/>
    <w:rsid w:val="4D5A127B"/>
    <w:rsid w:val="4D5A74CD"/>
    <w:rsid w:val="4D5D520F"/>
    <w:rsid w:val="4D5F0F87"/>
    <w:rsid w:val="4D624328"/>
    <w:rsid w:val="4D6245D3"/>
    <w:rsid w:val="4D6746A4"/>
    <w:rsid w:val="4D6A3E51"/>
    <w:rsid w:val="4D6C586E"/>
    <w:rsid w:val="4D6E11CA"/>
    <w:rsid w:val="4D785BA5"/>
    <w:rsid w:val="4D7A3164"/>
    <w:rsid w:val="4D8527D5"/>
    <w:rsid w:val="4D891B60"/>
    <w:rsid w:val="4D8C1650"/>
    <w:rsid w:val="4D946928"/>
    <w:rsid w:val="4D9724CF"/>
    <w:rsid w:val="4D986247"/>
    <w:rsid w:val="4D9A1FBF"/>
    <w:rsid w:val="4D9F3131"/>
    <w:rsid w:val="4DAC603F"/>
    <w:rsid w:val="4DAE5A6A"/>
    <w:rsid w:val="4DB210B7"/>
    <w:rsid w:val="4DB36BDD"/>
    <w:rsid w:val="4DB43081"/>
    <w:rsid w:val="4DB56DF9"/>
    <w:rsid w:val="4DB841F3"/>
    <w:rsid w:val="4DBF5582"/>
    <w:rsid w:val="4DC112FA"/>
    <w:rsid w:val="4DC135BA"/>
    <w:rsid w:val="4DC1579E"/>
    <w:rsid w:val="4DC1754C"/>
    <w:rsid w:val="4DC25072"/>
    <w:rsid w:val="4DC94652"/>
    <w:rsid w:val="4DCE1C69"/>
    <w:rsid w:val="4DD04FF2"/>
    <w:rsid w:val="4DEA4CF4"/>
    <w:rsid w:val="4DF162BE"/>
    <w:rsid w:val="4DF27705"/>
    <w:rsid w:val="4DF74D1B"/>
    <w:rsid w:val="4DFA0CB0"/>
    <w:rsid w:val="4DFC0584"/>
    <w:rsid w:val="4E01395D"/>
    <w:rsid w:val="4E0833CC"/>
    <w:rsid w:val="4E086F29"/>
    <w:rsid w:val="4E1A6C5C"/>
    <w:rsid w:val="4E1B3100"/>
    <w:rsid w:val="4E223196"/>
    <w:rsid w:val="4E241889"/>
    <w:rsid w:val="4E257ADB"/>
    <w:rsid w:val="4E2A3343"/>
    <w:rsid w:val="4E30022D"/>
    <w:rsid w:val="4E3441C2"/>
    <w:rsid w:val="4E375A60"/>
    <w:rsid w:val="4E3A10AC"/>
    <w:rsid w:val="4E3B6FCA"/>
    <w:rsid w:val="4E3E6DEE"/>
    <w:rsid w:val="4E4361B3"/>
    <w:rsid w:val="4E45017D"/>
    <w:rsid w:val="4E451F2B"/>
    <w:rsid w:val="4E467A51"/>
    <w:rsid w:val="4E485577"/>
    <w:rsid w:val="4E4C150B"/>
    <w:rsid w:val="4E4D5283"/>
    <w:rsid w:val="4E52289A"/>
    <w:rsid w:val="4E5268A5"/>
    <w:rsid w:val="4E5E2FEC"/>
    <w:rsid w:val="4E636855"/>
    <w:rsid w:val="4E683E6B"/>
    <w:rsid w:val="4E704ACE"/>
    <w:rsid w:val="4E710F72"/>
    <w:rsid w:val="4E7E368F"/>
    <w:rsid w:val="4E830CA5"/>
    <w:rsid w:val="4E850579"/>
    <w:rsid w:val="4E8B1908"/>
    <w:rsid w:val="4E9133C2"/>
    <w:rsid w:val="4E943B74"/>
    <w:rsid w:val="4EA2112B"/>
    <w:rsid w:val="4EA24A37"/>
    <w:rsid w:val="4EA74993"/>
    <w:rsid w:val="4EBB043F"/>
    <w:rsid w:val="4EC05A55"/>
    <w:rsid w:val="4EC217CD"/>
    <w:rsid w:val="4EC2357B"/>
    <w:rsid w:val="4EC45545"/>
    <w:rsid w:val="4ECF3EEA"/>
    <w:rsid w:val="4ECF5C98"/>
    <w:rsid w:val="4ECF7A46"/>
    <w:rsid w:val="4ED35788"/>
    <w:rsid w:val="4ED82D9F"/>
    <w:rsid w:val="4EDB463D"/>
    <w:rsid w:val="4EE01C53"/>
    <w:rsid w:val="4EE334F2"/>
    <w:rsid w:val="4EEC23A6"/>
    <w:rsid w:val="4EEE4370"/>
    <w:rsid w:val="4EEF633A"/>
    <w:rsid w:val="4EF676C9"/>
    <w:rsid w:val="4EF86F9D"/>
    <w:rsid w:val="4EF94AC3"/>
    <w:rsid w:val="4EFD0201"/>
    <w:rsid w:val="4F0134EC"/>
    <w:rsid w:val="4F0516BA"/>
    <w:rsid w:val="4F0771E0"/>
    <w:rsid w:val="4F132029"/>
    <w:rsid w:val="4F1638C7"/>
    <w:rsid w:val="4F195165"/>
    <w:rsid w:val="4F1D2EA8"/>
    <w:rsid w:val="4F231B40"/>
    <w:rsid w:val="4F2953A8"/>
    <w:rsid w:val="4F3A75B6"/>
    <w:rsid w:val="4F4F2935"/>
    <w:rsid w:val="4F552641"/>
    <w:rsid w:val="4F583EE0"/>
    <w:rsid w:val="4F5B577E"/>
    <w:rsid w:val="4F5C39D0"/>
    <w:rsid w:val="4F5D14F6"/>
    <w:rsid w:val="4F5F701C"/>
    <w:rsid w:val="4F642884"/>
    <w:rsid w:val="4F675ED1"/>
    <w:rsid w:val="4F691C49"/>
    <w:rsid w:val="4F6A776F"/>
    <w:rsid w:val="4F732AC8"/>
    <w:rsid w:val="4F820F5D"/>
    <w:rsid w:val="4F8E5B53"/>
    <w:rsid w:val="4F9071D6"/>
    <w:rsid w:val="4F9273F2"/>
    <w:rsid w:val="4F934F18"/>
    <w:rsid w:val="4F9A44F8"/>
    <w:rsid w:val="4FA40ED3"/>
    <w:rsid w:val="4FA7451F"/>
    <w:rsid w:val="4FAD5FDA"/>
    <w:rsid w:val="4FAE58AE"/>
    <w:rsid w:val="4FB00ED8"/>
    <w:rsid w:val="4FB75B9F"/>
    <w:rsid w:val="4FB8497E"/>
    <w:rsid w:val="4FBC446F"/>
    <w:rsid w:val="4FBC621D"/>
    <w:rsid w:val="4FBE3B38"/>
    <w:rsid w:val="4FBF5D0D"/>
    <w:rsid w:val="4FC40EBC"/>
    <w:rsid w:val="4FD01CC8"/>
    <w:rsid w:val="4FD03A76"/>
    <w:rsid w:val="4FD25A40"/>
    <w:rsid w:val="4FD55530"/>
    <w:rsid w:val="4FD80B7D"/>
    <w:rsid w:val="4FD95020"/>
    <w:rsid w:val="4FE13ED5"/>
    <w:rsid w:val="4FE237A9"/>
    <w:rsid w:val="4FEB08B0"/>
    <w:rsid w:val="4FED287A"/>
    <w:rsid w:val="4FED4628"/>
    <w:rsid w:val="4FEE03A0"/>
    <w:rsid w:val="4FF0236A"/>
    <w:rsid w:val="4FF04118"/>
    <w:rsid w:val="4FF04B99"/>
    <w:rsid w:val="4FF21C3E"/>
    <w:rsid w:val="4FF260E2"/>
    <w:rsid w:val="4FF43C08"/>
    <w:rsid w:val="4FF736F9"/>
    <w:rsid w:val="4FF754A7"/>
    <w:rsid w:val="4FFA4F97"/>
    <w:rsid w:val="50025BF9"/>
    <w:rsid w:val="50027B87"/>
    <w:rsid w:val="5006393C"/>
    <w:rsid w:val="500951DA"/>
    <w:rsid w:val="500B2D00"/>
    <w:rsid w:val="500E459E"/>
    <w:rsid w:val="500F4F65"/>
    <w:rsid w:val="5012408F"/>
    <w:rsid w:val="50131BB5"/>
    <w:rsid w:val="501B7A9A"/>
    <w:rsid w:val="501E6ED7"/>
    <w:rsid w:val="502838B2"/>
    <w:rsid w:val="502E69EF"/>
    <w:rsid w:val="50334005"/>
    <w:rsid w:val="503A35E5"/>
    <w:rsid w:val="503C55AF"/>
    <w:rsid w:val="503F29AA"/>
    <w:rsid w:val="5040259D"/>
    <w:rsid w:val="50451479"/>
    <w:rsid w:val="50487AB0"/>
    <w:rsid w:val="504B57F2"/>
    <w:rsid w:val="50526B81"/>
    <w:rsid w:val="50586D6E"/>
    <w:rsid w:val="505C17AE"/>
    <w:rsid w:val="505E5526"/>
    <w:rsid w:val="50616E69"/>
    <w:rsid w:val="50630D8E"/>
    <w:rsid w:val="506568B4"/>
    <w:rsid w:val="5066262C"/>
    <w:rsid w:val="506863A4"/>
    <w:rsid w:val="506E4418"/>
    <w:rsid w:val="506F7733"/>
    <w:rsid w:val="50795484"/>
    <w:rsid w:val="507C3BFE"/>
    <w:rsid w:val="508D2739"/>
    <w:rsid w:val="50966A6E"/>
    <w:rsid w:val="509B0528"/>
    <w:rsid w:val="50A13664"/>
    <w:rsid w:val="50A7559D"/>
    <w:rsid w:val="50A76ECD"/>
    <w:rsid w:val="50A849F3"/>
    <w:rsid w:val="50AA42C7"/>
    <w:rsid w:val="50AD025B"/>
    <w:rsid w:val="50BD049E"/>
    <w:rsid w:val="50C01D3C"/>
    <w:rsid w:val="50C24D76"/>
    <w:rsid w:val="50C555A5"/>
    <w:rsid w:val="50CF1C81"/>
    <w:rsid w:val="50D13F4A"/>
    <w:rsid w:val="50D43A3A"/>
    <w:rsid w:val="50D6330E"/>
    <w:rsid w:val="50D650BC"/>
    <w:rsid w:val="50DC644B"/>
    <w:rsid w:val="50DE21C3"/>
    <w:rsid w:val="50E517A3"/>
    <w:rsid w:val="50E61077"/>
    <w:rsid w:val="50E7376D"/>
    <w:rsid w:val="50EC48E0"/>
    <w:rsid w:val="50EF2622"/>
    <w:rsid w:val="50F61095"/>
    <w:rsid w:val="50F934A0"/>
    <w:rsid w:val="50F9524E"/>
    <w:rsid w:val="50FD4D3F"/>
    <w:rsid w:val="51002139"/>
    <w:rsid w:val="51031C29"/>
    <w:rsid w:val="51114346"/>
    <w:rsid w:val="51143E36"/>
    <w:rsid w:val="51167BAE"/>
    <w:rsid w:val="51183927"/>
    <w:rsid w:val="511B3417"/>
    <w:rsid w:val="51254295"/>
    <w:rsid w:val="51257DF2"/>
    <w:rsid w:val="512C7ED2"/>
    <w:rsid w:val="512F2A1E"/>
    <w:rsid w:val="513046EE"/>
    <w:rsid w:val="51312C3A"/>
    <w:rsid w:val="5135166F"/>
    <w:rsid w:val="5139389D"/>
    <w:rsid w:val="514069D9"/>
    <w:rsid w:val="51452242"/>
    <w:rsid w:val="514B674C"/>
    <w:rsid w:val="514E598C"/>
    <w:rsid w:val="51516E38"/>
    <w:rsid w:val="5153495F"/>
    <w:rsid w:val="51581F75"/>
    <w:rsid w:val="51595CED"/>
    <w:rsid w:val="515F3303"/>
    <w:rsid w:val="51621046"/>
    <w:rsid w:val="51646B6C"/>
    <w:rsid w:val="516A7EFA"/>
    <w:rsid w:val="516C7D38"/>
    <w:rsid w:val="516E3547"/>
    <w:rsid w:val="516F72BF"/>
    <w:rsid w:val="51705511"/>
    <w:rsid w:val="51745DA7"/>
    <w:rsid w:val="51764AF1"/>
    <w:rsid w:val="51786173"/>
    <w:rsid w:val="51791EEB"/>
    <w:rsid w:val="517B2107"/>
    <w:rsid w:val="517F5572"/>
    <w:rsid w:val="51842D6A"/>
    <w:rsid w:val="518C1BE9"/>
    <w:rsid w:val="518C1C1F"/>
    <w:rsid w:val="518C60C3"/>
    <w:rsid w:val="51985452"/>
    <w:rsid w:val="519F7BA4"/>
    <w:rsid w:val="51A1651E"/>
    <w:rsid w:val="51A52CE0"/>
    <w:rsid w:val="51A66D96"/>
    <w:rsid w:val="51A71304"/>
    <w:rsid w:val="51A74CAA"/>
    <w:rsid w:val="51AA1CA8"/>
    <w:rsid w:val="51AE428B"/>
    <w:rsid w:val="51B178D7"/>
    <w:rsid w:val="51B55619"/>
    <w:rsid w:val="51C3683B"/>
    <w:rsid w:val="51C4585C"/>
    <w:rsid w:val="51CE0489"/>
    <w:rsid w:val="51D05FAF"/>
    <w:rsid w:val="51D23371"/>
    <w:rsid w:val="51D33CF1"/>
    <w:rsid w:val="51D35A9F"/>
    <w:rsid w:val="51D610EC"/>
    <w:rsid w:val="51D6733E"/>
    <w:rsid w:val="51DE0059"/>
    <w:rsid w:val="51E07226"/>
    <w:rsid w:val="51E207F8"/>
    <w:rsid w:val="51E732F9"/>
    <w:rsid w:val="51E82577"/>
    <w:rsid w:val="51EE0B2B"/>
    <w:rsid w:val="51F003FF"/>
    <w:rsid w:val="51F15F26"/>
    <w:rsid w:val="51F779E0"/>
    <w:rsid w:val="51F872B4"/>
    <w:rsid w:val="51F91BB9"/>
    <w:rsid w:val="51FA127E"/>
    <w:rsid w:val="51FC2152"/>
    <w:rsid w:val="51FC6DA4"/>
    <w:rsid w:val="51FE0D6E"/>
    <w:rsid w:val="52036385"/>
    <w:rsid w:val="520B6FE7"/>
    <w:rsid w:val="520E4D2A"/>
    <w:rsid w:val="520F42B6"/>
    <w:rsid w:val="52146C98"/>
    <w:rsid w:val="52171E30"/>
    <w:rsid w:val="521C7446"/>
    <w:rsid w:val="522400A9"/>
    <w:rsid w:val="5224454D"/>
    <w:rsid w:val="522602C5"/>
    <w:rsid w:val="5227476F"/>
    <w:rsid w:val="52287B99"/>
    <w:rsid w:val="522956BF"/>
    <w:rsid w:val="522B58DB"/>
    <w:rsid w:val="522E717A"/>
    <w:rsid w:val="52383CD0"/>
    <w:rsid w:val="523C1897"/>
    <w:rsid w:val="524424F9"/>
    <w:rsid w:val="5248023B"/>
    <w:rsid w:val="52483D98"/>
    <w:rsid w:val="52495D62"/>
    <w:rsid w:val="524B7D2C"/>
    <w:rsid w:val="524D7600"/>
    <w:rsid w:val="5251011D"/>
    <w:rsid w:val="52524C16"/>
    <w:rsid w:val="525C7843"/>
    <w:rsid w:val="525E0273"/>
    <w:rsid w:val="525E35BB"/>
    <w:rsid w:val="525E7A5F"/>
    <w:rsid w:val="525E7DAE"/>
    <w:rsid w:val="526130AB"/>
    <w:rsid w:val="52636E23"/>
    <w:rsid w:val="5264494A"/>
    <w:rsid w:val="52666F88"/>
    <w:rsid w:val="526861E8"/>
    <w:rsid w:val="52691F60"/>
    <w:rsid w:val="526B3F2A"/>
    <w:rsid w:val="52727066"/>
    <w:rsid w:val="52742DDF"/>
    <w:rsid w:val="527546A4"/>
    <w:rsid w:val="527728CF"/>
    <w:rsid w:val="527A5F1B"/>
    <w:rsid w:val="527B23BF"/>
    <w:rsid w:val="528075B4"/>
    <w:rsid w:val="52815D19"/>
    <w:rsid w:val="52846D9A"/>
    <w:rsid w:val="528D20F2"/>
    <w:rsid w:val="52950FA7"/>
    <w:rsid w:val="52972F91"/>
    <w:rsid w:val="52A15B9E"/>
    <w:rsid w:val="52A1794C"/>
    <w:rsid w:val="52A23C31"/>
    <w:rsid w:val="52A35472"/>
    <w:rsid w:val="52AA2CA4"/>
    <w:rsid w:val="52AB2578"/>
    <w:rsid w:val="52AF02BB"/>
    <w:rsid w:val="52B15DE1"/>
    <w:rsid w:val="52B42038"/>
    <w:rsid w:val="52B551A5"/>
    <w:rsid w:val="52B61649"/>
    <w:rsid w:val="52B72CCB"/>
    <w:rsid w:val="52B92EE7"/>
    <w:rsid w:val="52BB6C5F"/>
    <w:rsid w:val="52C06024"/>
    <w:rsid w:val="52C673B2"/>
    <w:rsid w:val="52C75604"/>
    <w:rsid w:val="52C8137C"/>
    <w:rsid w:val="52CA278D"/>
    <w:rsid w:val="52CA50F4"/>
    <w:rsid w:val="52CB6EE7"/>
    <w:rsid w:val="52CD0741"/>
    <w:rsid w:val="52D111A6"/>
    <w:rsid w:val="52D95337"/>
    <w:rsid w:val="52E37F64"/>
    <w:rsid w:val="52E77A54"/>
    <w:rsid w:val="52F263F9"/>
    <w:rsid w:val="52F437CF"/>
    <w:rsid w:val="52F757BE"/>
    <w:rsid w:val="52F972DC"/>
    <w:rsid w:val="52FB52AE"/>
    <w:rsid w:val="52FF1A0D"/>
    <w:rsid w:val="530323B4"/>
    <w:rsid w:val="53032F5F"/>
    <w:rsid w:val="53034162"/>
    <w:rsid w:val="530D7D6E"/>
    <w:rsid w:val="53114AD1"/>
    <w:rsid w:val="53181F32"/>
    <w:rsid w:val="53193986"/>
    <w:rsid w:val="531B76FE"/>
    <w:rsid w:val="53206AC2"/>
    <w:rsid w:val="53242390"/>
    <w:rsid w:val="532742F5"/>
    <w:rsid w:val="533407C0"/>
    <w:rsid w:val="53342FE7"/>
    <w:rsid w:val="53373E56"/>
    <w:rsid w:val="5338205E"/>
    <w:rsid w:val="53407165"/>
    <w:rsid w:val="53422EDD"/>
    <w:rsid w:val="534303F2"/>
    <w:rsid w:val="534C5B09"/>
    <w:rsid w:val="534D3630"/>
    <w:rsid w:val="5354676C"/>
    <w:rsid w:val="535A32C7"/>
    <w:rsid w:val="535B35DE"/>
    <w:rsid w:val="535B3F9E"/>
    <w:rsid w:val="536015B5"/>
    <w:rsid w:val="53624E0A"/>
    <w:rsid w:val="53640E6B"/>
    <w:rsid w:val="537231BE"/>
    <w:rsid w:val="53760DD8"/>
    <w:rsid w:val="537B1F4B"/>
    <w:rsid w:val="537B63EF"/>
    <w:rsid w:val="538057B3"/>
    <w:rsid w:val="53837051"/>
    <w:rsid w:val="538E7ED0"/>
    <w:rsid w:val="53915C12"/>
    <w:rsid w:val="53937294"/>
    <w:rsid w:val="539D6365"/>
    <w:rsid w:val="53A07C03"/>
    <w:rsid w:val="53A56FC8"/>
    <w:rsid w:val="53A839AB"/>
    <w:rsid w:val="53B42F7F"/>
    <w:rsid w:val="53B51901"/>
    <w:rsid w:val="53B611D5"/>
    <w:rsid w:val="53B93610"/>
    <w:rsid w:val="53BA2BC9"/>
    <w:rsid w:val="53BD6A07"/>
    <w:rsid w:val="53C25DCC"/>
    <w:rsid w:val="53C27B7A"/>
    <w:rsid w:val="53D004E8"/>
    <w:rsid w:val="53E915AA"/>
    <w:rsid w:val="53E93358"/>
    <w:rsid w:val="53EC109A"/>
    <w:rsid w:val="53F00B8B"/>
    <w:rsid w:val="53F046E7"/>
    <w:rsid w:val="53F32429"/>
    <w:rsid w:val="53F817ED"/>
    <w:rsid w:val="53F902F7"/>
    <w:rsid w:val="540153A6"/>
    <w:rsid w:val="540208BE"/>
    <w:rsid w:val="5402441A"/>
    <w:rsid w:val="54036A69"/>
    <w:rsid w:val="54040D26"/>
    <w:rsid w:val="541327B7"/>
    <w:rsid w:val="54136627"/>
    <w:rsid w:val="54210D44"/>
    <w:rsid w:val="54232D0E"/>
    <w:rsid w:val="54260108"/>
    <w:rsid w:val="54280325"/>
    <w:rsid w:val="5429048E"/>
    <w:rsid w:val="54330A77"/>
    <w:rsid w:val="54372316"/>
    <w:rsid w:val="543A3BB4"/>
    <w:rsid w:val="543C3DD0"/>
    <w:rsid w:val="543C5B7E"/>
    <w:rsid w:val="543F566E"/>
    <w:rsid w:val="545033D7"/>
    <w:rsid w:val="545212BF"/>
    <w:rsid w:val="5452714F"/>
    <w:rsid w:val="545729B8"/>
    <w:rsid w:val="545C1D7C"/>
    <w:rsid w:val="54646E83"/>
    <w:rsid w:val="54660E4D"/>
    <w:rsid w:val="546926EB"/>
    <w:rsid w:val="546A2608"/>
    <w:rsid w:val="546B1FBF"/>
    <w:rsid w:val="546B5460"/>
    <w:rsid w:val="546D21DB"/>
    <w:rsid w:val="546D3F89"/>
    <w:rsid w:val="546F3220"/>
    <w:rsid w:val="547A0454"/>
    <w:rsid w:val="547C241E"/>
    <w:rsid w:val="54837309"/>
    <w:rsid w:val="54890697"/>
    <w:rsid w:val="548F2152"/>
    <w:rsid w:val="54972DB4"/>
    <w:rsid w:val="54994D7E"/>
    <w:rsid w:val="549E05E7"/>
    <w:rsid w:val="54A43723"/>
    <w:rsid w:val="54A6749B"/>
    <w:rsid w:val="54AE00FE"/>
    <w:rsid w:val="54AF6350"/>
    <w:rsid w:val="54B8027F"/>
    <w:rsid w:val="54C3004D"/>
    <w:rsid w:val="54C87A3C"/>
    <w:rsid w:val="54D23DEC"/>
    <w:rsid w:val="54D302F8"/>
    <w:rsid w:val="54DE6C35"/>
    <w:rsid w:val="54E05D49"/>
    <w:rsid w:val="54E56216"/>
    <w:rsid w:val="54E624A0"/>
    <w:rsid w:val="54EA382C"/>
    <w:rsid w:val="54EB594A"/>
    <w:rsid w:val="54EF0E42"/>
    <w:rsid w:val="54F41FB5"/>
    <w:rsid w:val="54FE2E33"/>
    <w:rsid w:val="55081F04"/>
    <w:rsid w:val="55083CB2"/>
    <w:rsid w:val="55097B26"/>
    <w:rsid w:val="550B72FE"/>
    <w:rsid w:val="550C6F8F"/>
    <w:rsid w:val="550D3076"/>
    <w:rsid w:val="550F3292"/>
    <w:rsid w:val="55110DB9"/>
    <w:rsid w:val="5511700B"/>
    <w:rsid w:val="55124B31"/>
    <w:rsid w:val="551663CF"/>
    <w:rsid w:val="55172147"/>
    <w:rsid w:val="55214D74"/>
    <w:rsid w:val="552A00CC"/>
    <w:rsid w:val="552E2AC8"/>
    <w:rsid w:val="55344AA7"/>
    <w:rsid w:val="55346855"/>
    <w:rsid w:val="553625CD"/>
    <w:rsid w:val="5539030F"/>
    <w:rsid w:val="55392A2F"/>
    <w:rsid w:val="553E1482"/>
    <w:rsid w:val="553E5926"/>
    <w:rsid w:val="554051FA"/>
    <w:rsid w:val="55494717"/>
    <w:rsid w:val="554A7E27"/>
    <w:rsid w:val="554C3B9F"/>
    <w:rsid w:val="554F368F"/>
    <w:rsid w:val="555202AC"/>
    <w:rsid w:val="555E7D76"/>
    <w:rsid w:val="556233C2"/>
    <w:rsid w:val="55674E7D"/>
    <w:rsid w:val="556761CA"/>
    <w:rsid w:val="55684751"/>
    <w:rsid w:val="556B25D2"/>
    <w:rsid w:val="556C7A16"/>
    <w:rsid w:val="556F08E2"/>
    <w:rsid w:val="556F5ADF"/>
    <w:rsid w:val="5572737D"/>
    <w:rsid w:val="55733821"/>
    <w:rsid w:val="55782BE6"/>
    <w:rsid w:val="55794BB0"/>
    <w:rsid w:val="557D644E"/>
    <w:rsid w:val="55833339"/>
    <w:rsid w:val="55833A09"/>
    <w:rsid w:val="5583514A"/>
    <w:rsid w:val="55841BAC"/>
    <w:rsid w:val="558477DD"/>
    <w:rsid w:val="5587107B"/>
    <w:rsid w:val="5588094F"/>
    <w:rsid w:val="558C6691"/>
    <w:rsid w:val="55911EF9"/>
    <w:rsid w:val="559D264C"/>
    <w:rsid w:val="559F4616"/>
    <w:rsid w:val="55A64150"/>
    <w:rsid w:val="55A84294"/>
    <w:rsid w:val="55AA388B"/>
    <w:rsid w:val="55AC288F"/>
    <w:rsid w:val="55AD5F47"/>
    <w:rsid w:val="55B1434A"/>
    <w:rsid w:val="55BA31FE"/>
    <w:rsid w:val="55BF6A67"/>
    <w:rsid w:val="55C45E2B"/>
    <w:rsid w:val="55C60949"/>
    <w:rsid w:val="55CA71B9"/>
    <w:rsid w:val="55DD513F"/>
    <w:rsid w:val="55DF2C65"/>
    <w:rsid w:val="55E95892"/>
    <w:rsid w:val="55EA1FEA"/>
    <w:rsid w:val="55F04E72"/>
    <w:rsid w:val="55F34962"/>
    <w:rsid w:val="55FA7A9F"/>
    <w:rsid w:val="55FB55C5"/>
    <w:rsid w:val="560921A1"/>
    <w:rsid w:val="56124994"/>
    <w:rsid w:val="56175C35"/>
    <w:rsid w:val="561C5C67"/>
    <w:rsid w:val="56206DD9"/>
    <w:rsid w:val="56226FF5"/>
    <w:rsid w:val="56241788"/>
    <w:rsid w:val="56260894"/>
    <w:rsid w:val="562763BA"/>
    <w:rsid w:val="562B41B1"/>
    <w:rsid w:val="5630526E"/>
    <w:rsid w:val="56327239"/>
    <w:rsid w:val="56336B0D"/>
    <w:rsid w:val="5636524F"/>
    <w:rsid w:val="56382375"/>
    <w:rsid w:val="56384123"/>
    <w:rsid w:val="563D5BDD"/>
    <w:rsid w:val="563D798B"/>
    <w:rsid w:val="563F1955"/>
    <w:rsid w:val="56424FA2"/>
    <w:rsid w:val="5647080A"/>
    <w:rsid w:val="564927D4"/>
    <w:rsid w:val="564B3E56"/>
    <w:rsid w:val="564E3947"/>
    <w:rsid w:val="56506E99"/>
    <w:rsid w:val="565151E5"/>
    <w:rsid w:val="56576C9F"/>
    <w:rsid w:val="565A053D"/>
    <w:rsid w:val="565C74DC"/>
    <w:rsid w:val="565D002E"/>
    <w:rsid w:val="56603BB6"/>
    <w:rsid w:val="56777341"/>
    <w:rsid w:val="5684380C"/>
    <w:rsid w:val="56847368"/>
    <w:rsid w:val="5693110A"/>
    <w:rsid w:val="569A3030"/>
    <w:rsid w:val="569F0646"/>
    <w:rsid w:val="56A36AFD"/>
    <w:rsid w:val="56A417B8"/>
    <w:rsid w:val="56A619D5"/>
    <w:rsid w:val="56A64A71"/>
    <w:rsid w:val="56AB0D99"/>
    <w:rsid w:val="56AD207D"/>
    <w:rsid w:val="56AD68BF"/>
    <w:rsid w:val="56AE2637"/>
    <w:rsid w:val="56AF6ADB"/>
    <w:rsid w:val="56B539C6"/>
    <w:rsid w:val="56B852EF"/>
    <w:rsid w:val="56BC583D"/>
    <w:rsid w:val="56BD4981"/>
    <w:rsid w:val="56BE6D1E"/>
    <w:rsid w:val="56C1236A"/>
    <w:rsid w:val="56C61E97"/>
    <w:rsid w:val="56C87B9D"/>
    <w:rsid w:val="56CC38D1"/>
    <w:rsid w:val="56CE6835"/>
    <w:rsid w:val="56CF2CD9"/>
    <w:rsid w:val="56D26326"/>
    <w:rsid w:val="56D54068"/>
    <w:rsid w:val="56D7393C"/>
    <w:rsid w:val="56DC53F6"/>
    <w:rsid w:val="56DF6C95"/>
    <w:rsid w:val="56E11407"/>
    <w:rsid w:val="56E458CB"/>
    <w:rsid w:val="56EA7B13"/>
    <w:rsid w:val="56F03358"/>
    <w:rsid w:val="56F049FE"/>
    <w:rsid w:val="56F50266"/>
    <w:rsid w:val="56F97D56"/>
    <w:rsid w:val="56FA762A"/>
    <w:rsid w:val="56FD6C4D"/>
    <w:rsid w:val="56FE536D"/>
    <w:rsid w:val="570010E5"/>
    <w:rsid w:val="57007337"/>
    <w:rsid w:val="570404A9"/>
    <w:rsid w:val="570B1838"/>
    <w:rsid w:val="570D735E"/>
    <w:rsid w:val="570E2C2C"/>
    <w:rsid w:val="570E7A86"/>
    <w:rsid w:val="570F757A"/>
    <w:rsid w:val="57106E4E"/>
    <w:rsid w:val="571132F2"/>
    <w:rsid w:val="571406EC"/>
    <w:rsid w:val="571A25BA"/>
    <w:rsid w:val="571E77BD"/>
    <w:rsid w:val="57212E09"/>
    <w:rsid w:val="57233025"/>
    <w:rsid w:val="572D17AE"/>
    <w:rsid w:val="572E1CE1"/>
    <w:rsid w:val="572F5526"/>
    <w:rsid w:val="57355C4B"/>
    <w:rsid w:val="573B211D"/>
    <w:rsid w:val="57437223"/>
    <w:rsid w:val="57441D7B"/>
    <w:rsid w:val="5748483A"/>
    <w:rsid w:val="574A02E3"/>
    <w:rsid w:val="574B60D8"/>
    <w:rsid w:val="574C432A"/>
    <w:rsid w:val="574D25BF"/>
    <w:rsid w:val="574F5BC8"/>
    <w:rsid w:val="574F7976"/>
    <w:rsid w:val="57545744"/>
    <w:rsid w:val="57574A7D"/>
    <w:rsid w:val="57624423"/>
    <w:rsid w:val="57650F48"/>
    <w:rsid w:val="576C677A"/>
    <w:rsid w:val="57715068"/>
    <w:rsid w:val="57762CC5"/>
    <w:rsid w:val="577675F9"/>
    <w:rsid w:val="577C44E3"/>
    <w:rsid w:val="57853398"/>
    <w:rsid w:val="5785783C"/>
    <w:rsid w:val="578C4726"/>
    <w:rsid w:val="57911D3D"/>
    <w:rsid w:val="579932E7"/>
    <w:rsid w:val="57A90DF0"/>
    <w:rsid w:val="57AD28EF"/>
    <w:rsid w:val="57AF2B0B"/>
    <w:rsid w:val="57B343A9"/>
    <w:rsid w:val="57B679F5"/>
    <w:rsid w:val="57B8364E"/>
    <w:rsid w:val="57BE68AA"/>
    <w:rsid w:val="57C77E54"/>
    <w:rsid w:val="57CC546B"/>
    <w:rsid w:val="57CE2F91"/>
    <w:rsid w:val="57D52571"/>
    <w:rsid w:val="57DB3900"/>
    <w:rsid w:val="57DF519E"/>
    <w:rsid w:val="57E02CC4"/>
    <w:rsid w:val="57E04A72"/>
    <w:rsid w:val="57EE3633"/>
    <w:rsid w:val="57F03AD4"/>
    <w:rsid w:val="57F4051E"/>
    <w:rsid w:val="5805272B"/>
    <w:rsid w:val="580852ED"/>
    <w:rsid w:val="5814296E"/>
    <w:rsid w:val="5814471C"/>
    <w:rsid w:val="58156E12"/>
    <w:rsid w:val="58164938"/>
    <w:rsid w:val="58201313"/>
    <w:rsid w:val="582232DD"/>
    <w:rsid w:val="582901C7"/>
    <w:rsid w:val="582B222F"/>
    <w:rsid w:val="582F1556"/>
    <w:rsid w:val="583354EA"/>
    <w:rsid w:val="58346163"/>
    <w:rsid w:val="58346B6C"/>
    <w:rsid w:val="58360B36"/>
    <w:rsid w:val="58366D88"/>
    <w:rsid w:val="583826B2"/>
    <w:rsid w:val="58382B00"/>
    <w:rsid w:val="583F058A"/>
    <w:rsid w:val="58405511"/>
    <w:rsid w:val="58421289"/>
    <w:rsid w:val="58472D43"/>
    <w:rsid w:val="585316E8"/>
    <w:rsid w:val="585C67EF"/>
    <w:rsid w:val="585D2567"/>
    <w:rsid w:val="585F62DF"/>
    <w:rsid w:val="586236D9"/>
    <w:rsid w:val="586451B5"/>
    <w:rsid w:val="58647451"/>
    <w:rsid w:val="58690F0C"/>
    <w:rsid w:val="58737694"/>
    <w:rsid w:val="5875340D"/>
    <w:rsid w:val="58767185"/>
    <w:rsid w:val="58825B29"/>
    <w:rsid w:val="58831FCD"/>
    <w:rsid w:val="58883F2F"/>
    <w:rsid w:val="58896EB8"/>
    <w:rsid w:val="588C69A8"/>
    <w:rsid w:val="589C6BEB"/>
    <w:rsid w:val="58A12453"/>
    <w:rsid w:val="58A27F7A"/>
    <w:rsid w:val="58A40196"/>
    <w:rsid w:val="58A81A34"/>
    <w:rsid w:val="58AE2DC2"/>
    <w:rsid w:val="58AE691E"/>
    <w:rsid w:val="58B303D9"/>
    <w:rsid w:val="58B3265C"/>
    <w:rsid w:val="58B33F35"/>
    <w:rsid w:val="58B55EFF"/>
    <w:rsid w:val="58CF44CA"/>
    <w:rsid w:val="58D427E9"/>
    <w:rsid w:val="58DA1D17"/>
    <w:rsid w:val="58DA7713"/>
    <w:rsid w:val="58E40592"/>
    <w:rsid w:val="58E80082"/>
    <w:rsid w:val="58E95F87"/>
    <w:rsid w:val="58EB2333"/>
    <w:rsid w:val="58EB7B73"/>
    <w:rsid w:val="58ED7447"/>
    <w:rsid w:val="58F00CE5"/>
    <w:rsid w:val="58F06F37"/>
    <w:rsid w:val="58F44C79"/>
    <w:rsid w:val="58F509F1"/>
    <w:rsid w:val="58F8576E"/>
    <w:rsid w:val="58FA1B64"/>
    <w:rsid w:val="59004782"/>
    <w:rsid w:val="59017396"/>
    <w:rsid w:val="59042FBA"/>
    <w:rsid w:val="590649AC"/>
    <w:rsid w:val="590A44FA"/>
    <w:rsid w:val="590E560F"/>
    <w:rsid w:val="59126EAD"/>
    <w:rsid w:val="591946E0"/>
    <w:rsid w:val="591E6307"/>
    <w:rsid w:val="591F15CA"/>
    <w:rsid w:val="591F781C"/>
    <w:rsid w:val="59205A6E"/>
    <w:rsid w:val="59275F76"/>
    <w:rsid w:val="592866D1"/>
    <w:rsid w:val="592A069B"/>
    <w:rsid w:val="592B4413"/>
    <w:rsid w:val="592D3CE7"/>
    <w:rsid w:val="592F3F03"/>
    <w:rsid w:val="592F5CB1"/>
    <w:rsid w:val="593A6404"/>
    <w:rsid w:val="59457283"/>
    <w:rsid w:val="594F1EAF"/>
    <w:rsid w:val="59540730"/>
    <w:rsid w:val="59547E78"/>
    <w:rsid w:val="59594ADC"/>
    <w:rsid w:val="596040BD"/>
    <w:rsid w:val="59636026"/>
    <w:rsid w:val="59674AFC"/>
    <w:rsid w:val="596E328E"/>
    <w:rsid w:val="597162CA"/>
    <w:rsid w:val="597731B4"/>
    <w:rsid w:val="597903A1"/>
    <w:rsid w:val="597C6A1D"/>
    <w:rsid w:val="597E09E7"/>
    <w:rsid w:val="598002BB"/>
    <w:rsid w:val="5980475F"/>
    <w:rsid w:val="5980650D"/>
    <w:rsid w:val="5987789B"/>
    <w:rsid w:val="5988716F"/>
    <w:rsid w:val="598A2EE8"/>
    <w:rsid w:val="59914276"/>
    <w:rsid w:val="59934492"/>
    <w:rsid w:val="59965D30"/>
    <w:rsid w:val="59A0270B"/>
    <w:rsid w:val="59A321FB"/>
    <w:rsid w:val="59A85A64"/>
    <w:rsid w:val="59AA17DC"/>
    <w:rsid w:val="59AD307A"/>
    <w:rsid w:val="59B368E2"/>
    <w:rsid w:val="59BD150F"/>
    <w:rsid w:val="59C83A10"/>
    <w:rsid w:val="59D81EA5"/>
    <w:rsid w:val="59D86349"/>
    <w:rsid w:val="59E00D5A"/>
    <w:rsid w:val="59E318E6"/>
    <w:rsid w:val="59E855B9"/>
    <w:rsid w:val="59E9214E"/>
    <w:rsid w:val="59E92304"/>
    <w:rsid w:val="59EC5950"/>
    <w:rsid w:val="59EE791A"/>
    <w:rsid w:val="59F40CA9"/>
    <w:rsid w:val="5A0C7DA1"/>
    <w:rsid w:val="5A10063E"/>
    <w:rsid w:val="5A175CB1"/>
    <w:rsid w:val="5A184997"/>
    <w:rsid w:val="5A1B4488"/>
    <w:rsid w:val="5A1D5B0A"/>
    <w:rsid w:val="5A201A9E"/>
    <w:rsid w:val="5A2045E6"/>
    <w:rsid w:val="5A226686"/>
    <w:rsid w:val="5A236E98"/>
    <w:rsid w:val="5A292701"/>
    <w:rsid w:val="5A386DE8"/>
    <w:rsid w:val="5A3C47D2"/>
    <w:rsid w:val="5A3D7F5A"/>
    <w:rsid w:val="5A407A4A"/>
    <w:rsid w:val="5A466890"/>
    <w:rsid w:val="5A494B51"/>
    <w:rsid w:val="5A551748"/>
    <w:rsid w:val="5A5A4FB0"/>
    <w:rsid w:val="5A5B4884"/>
    <w:rsid w:val="5A601E9A"/>
    <w:rsid w:val="5A60446C"/>
    <w:rsid w:val="5A643739"/>
    <w:rsid w:val="5A663955"/>
    <w:rsid w:val="5A6776CD"/>
    <w:rsid w:val="5A6951F3"/>
    <w:rsid w:val="5A706581"/>
    <w:rsid w:val="5A7122F9"/>
    <w:rsid w:val="5A7476F4"/>
    <w:rsid w:val="5A783688"/>
    <w:rsid w:val="5A7A7400"/>
    <w:rsid w:val="5A7B6CD4"/>
    <w:rsid w:val="5A813D7F"/>
    <w:rsid w:val="5A820063"/>
    <w:rsid w:val="5A821E11"/>
    <w:rsid w:val="5A8463C7"/>
    <w:rsid w:val="5A8B6F17"/>
    <w:rsid w:val="5A8C0EE1"/>
    <w:rsid w:val="5A8C2C8F"/>
    <w:rsid w:val="5A8D7133"/>
    <w:rsid w:val="5A8E4C59"/>
    <w:rsid w:val="5A9074E3"/>
    <w:rsid w:val="5A9102A6"/>
    <w:rsid w:val="5A910CA3"/>
    <w:rsid w:val="5A92474A"/>
    <w:rsid w:val="5A932270"/>
    <w:rsid w:val="5A951B44"/>
    <w:rsid w:val="5A957D96"/>
    <w:rsid w:val="5AA63D51"/>
    <w:rsid w:val="5AA8499A"/>
    <w:rsid w:val="5AA9478F"/>
    <w:rsid w:val="5AAC50E0"/>
    <w:rsid w:val="5AB3646E"/>
    <w:rsid w:val="5AB87F28"/>
    <w:rsid w:val="5AC021D5"/>
    <w:rsid w:val="5AC4067B"/>
    <w:rsid w:val="5AC9145B"/>
    <w:rsid w:val="5AC93EE4"/>
    <w:rsid w:val="5ACD39D4"/>
    <w:rsid w:val="5AD85C60"/>
    <w:rsid w:val="5ADA34F9"/>
    <w:rsid w:val="5ADA39FB"/>
    <w:rsid w:val="5AE26D53"/>
    <w:rsid w:val="5AE623A0"/>
    <w:rsid w:val="5AE91E90"/>
    <w:rsid w:val="5AEB20AC"/>
    <w:rsid w:val="5AEB3E5A"/>
    <w:rsid w:val="5AF42BF2"/>
    <w:rsid w:val="5AF70A51"/>
    <w:rsid w:val="5AFA5E4B"/>
    <w:rsid w:val="5B01367D"/>
    <w:rsid w:val="5B04316E"/>
    <w:rsid w:val="5B081C66"/>
    <w:rsid w:val="5B092532"/>
    <w:rsid w:val="5B0942E0"/>
    <w:rsid w:val="5B0D5B7E"/>
    <w:rsid w:val="5B0E5771"/>
    <w:rsid w:val="5B1213E7"/>
    <w:rsid w:val="5B1433B1"/>
    <w:rsid w:val="5B182775"/>
    <w:rsid w:val="5B19708E"/>
    <w:rsid w:val="5B1A029B"/>
    <w:rsid w:val="5B1D0885"/>
    <w:rsid w:val="5B22711E"/>
    <w:rsid w:val="5B2630E4"/>
    <w:rsid w:val="5B2A58B0"/>
    <w:rsid w:val="5B2B24A8"/>
    <w:rsid w:val="5B2D6220"/>
    <w:rsid w:val="5B331769"/>
    <w:rsid w:val="5B345801"/>
    <w:rsid w:val="5B372BFB"/>
    <w:rsid w:val="5B3A26EB"/>
    <w:rsid w:val="5B3A6B8F"/>
    <w:rsid w:val="5B3C6463"/>
    <w:rsid w:val="5B3D3F8A"/>
    <w:rsid w:val="5B4219B2"/>
    <w:rsid w:val="5B4517BC"/>
    <w:rsid w:val="5B4F263B"/>
    <w:rsid w:val="5B501F0F"/>
    <w:rsid w:val="5B523ED9"/>
    <w:rsid w:val="5B55086C"/>
    <w:rsid w:val="5B5C08B4"/>
    <w:rsid w:val="5B6065F6"/>
    <w:rsid w:val="5B615ECA"/>
    <w:rsid w:val="5B667E03"/>
    <w:rsid w:val="5B6836FC"/>
    <w:rsid w:val="5B6A1223"/>
    <w:rsid w:val="5B6D486F"/>
    <w:rsid w:val="5B6F4CBD"/>
    <w:rsid w:val="5B77749C"/>
    <w:rsid w:val="5B7F45A2"/>
    <w:rsid w:val="5B8147BE"/>
    <w:rsid w:val="5B835E40"/>
    <w:rsid w:val="5B857E0A"/>
    <w:rsid w:val="5B8A3673"/>
    <w:rsid w:val="5B8A5421"/>
    <w:rsid w:val="5B8F6EDB"/>
    <w:rsid w:val="5B9462A0"/>
    <w:rsid w:val="5B9C5154"/>
    <w:rsid w:val="5B9E711E"/>
    <w:rsid w:val="5BA34735"/>
    <w:rsid w:val="5BA7240A"/>
    <w:rsid w:val="5BAD55B3"/>
    <w:rsid w:val="5BB029AE"/>
    <w:rsid w:val="5BB22BCA"/>
    <w:rsid w:val="5BB4249E"/>
    <w:rsid w:val="5BB46942"/>
    <w:rsid w:val="5BB644D1"/>
    <w:rsid w:val="5BB73D3C"/>
    <w:rsid w:val="5BB93F58"/>
    <w:rsid w:val="5BBA55DA"/>
    <w:rsid w:val="5BBB7CD0"/>
    <w:rsid w:val="5BBD57F6"/>
    <w:rsid w:val="5BC46868"/>
    <w:rsid w:val="5BCA1CC1"/>
    <w:rsid w:val="5BD32F24"/>
    <w:rsid w:val="5BD668B8"/>
    <w:rsid w:val="5BDA6DD4"/>
    <w:rsid w:val="5BDB780D"/>
    <w:rsid w:val="5BDC19F5"/>
    <w:rsid w:val="5BE10DB9"/>
    <w:rsid w:val="5BF136F2"/>
    <w:rsid w:val="5BF705DC"/>
    <w:rsid w:val="5BF9258D"/>
    <w:rsid w:val="5BFD2097"/>
    <w:rsid w:val="5BFF1FE5"/>
    <w:rsid w:val="5C0276AD"/>
    <w:rsid w:val="5C052CF9"/>
    <w:rsid w:val="5C076A71"/>
    <w:rsid w:val="5C107384"/>
    <w:rsid w:val="5C142F3C"/>
    <w:rsid w:val="5C1B42CB"/>
    <w:rsid w:val="5C2515ED"/>
    <w:rsid w:val="5C2869E8"/>
    <w:rsid w:val="5C2E2250"/>
    <w:rsid w:val="5C317F92"/>
    <w:rsid w:val="5C321615"/>
    <w:rsid w:val="5C3E7FB9"/>
    <w:rsid w:val="5C3F3891"/>
    <w:rsid w:val="5C401F83"/>
    <w:rsid w:val="5C427AAA"/>
    <w:rsid w:val="5C49708A"/>
    <w:rsid w:val="5C545A2F"/>
    <w:rsid w:val="5C563555"/>
    <w:rsid w:val="5C62014C"/>
    <w:rsid w:val="5C642116"/>
    <w:rsid w:val="5C6A0DAE"/>
    <w:rsid w:val="5C6C0FCA"/>
    <w:rsid w:val="5C6C2D78"/>
    <w:rsid w:val="5C6D0A4D"/>
    <w:rsid w:val="5C6E089F"/>
    <w:rsid w:val="5C702869"/>
    <w:rsid w:val="5C712EAE"/>
    <w:rsid w:val="5C761E49"/>
    <w:rsid w:val="5C7659A5"/>
    <w:rsid w:val="5C7B120D"/>
    <w:rsid w:val="5C841E70"/>
    <w:rsid w:val="5C841FC5"/>
    <w:rsid w:val="5C8C7066"/>
    <w:rsid w:val="5C9347A9"/>
    <w:rsid w:val="5C981DBF"/>
    <w:rsid w:val="5C9A5B38"/>
    <w:rsid w:val="5C9A78E6"/>
    <w:rsid w:val="5C9B365E"/>
    <w:rsid w:val="5CA16EC6"/>
    <w:rsid w:val="5CA46D8D"/>
    <w:rsid w:val="5CA949CF"/>
    <w:rsid w:val="5CA97B29"/>
    <w:rsid w:val="5CB32755"/>
    <w:rsid w:val="5CB564CD"/>
    <w:rsid w:val="5CB62246"/>
    <w:rsid w:val="5CB84210"/>
    <w:rsid w:val="5CC11316"/>
    <w:rsid w:val="5CC6692D"/>
    <w:rsid w:val="5CC76201"/>
    <w:rsid w:val="5CC91F79"/>
    <w:rsid w:val="5CD503DD"/>
    <w:rsid w:val="5CD64D27"/>
    <w:rsid w:val="5CD86660"/>
    <w:rsid w:val="5CDA5F34"/>
    <w:rsid w:val="5CDC7EFE"/>
    <w:rsid w:val="5CDD5A24"/>
    <w:rsid w:val="5CDF179C"/>
    <w:rsid w:val="5CE45005"/>
    <w:rsid w:val="5CE9261B"/>
    <w:rsid w:val="5CEB6393"/>
    <w:rsid w:val="5CEE19DF"/>
    <w:rsid w:val="5CEE7C31"/>
    <w:rsid w:val="5CF60894"/>
    <w:rsid w:val="5D041203"/>
    <w:rsid w:val="5D07484F"/>
    <w:rsid w:val="5D080CF3"/>
    <w:rsid w:val="5D0905C7"/>
    <w:rsid w:val="5D094A6B"/>
    <w:rsid w:val="5D0B433F"/>
    <w:rsid w:val="5D126EEF"/>
    <w:rsid w:val="5D137698"/>
    <w:rsid w:val="5D1A0A26"/>
    <w:rsid w:val="5D1D4F1A"/>
    <w:rsid w:val="5D1D57EC"/>
    <w:rsid w:val="5D211DB5"/>
    <w:rsid w:val="5D270C2D"/>
    <w:rsid w:val="5D296EBB"/>
    <w:rsid w:val="5D2A080B"/>
    <w:rsid w:val="5D2C42B6"/>
    <w:rsid w:val="5D2D2508"/>
    <w:rsid w:val="5D2D69AC"/>
    <w:rsid w:val="5D325D70"/>
    <w:rsid w:val="5D3970FE"/>
    <w:rsid w:val="5D3A4C25"/>
    <w:rsid w:val="5D443CF5"/>
    <w:rsid w:val="5D485C77"/>
    <w:rsid w:val="5D4B0BE0"/>
    <w:rsid w:val="5D4E6620"/>
    <w:rsid w:val="5D4F6922"/>
    <w:rsid w:val="5D6121B1"/>
    <w:rsid w:val="5D6B74D4"/>
    <w:rsid w:val="5D6D0B56"/>
    <w:rsid w:val="5D704AEA"/>
    <w:rsid w:val="5D7A14C5"/>
    <w:rsid w:val="5D804D2D"/>
    <w:rsid w:val="5D814602"/>
    <w:rsid w:val="5D8365CC"/>
    <w:rsid w:val="5D850596"/>
    <w:rsid w:val="5D8A5BAC"/>
    <w:rsid w:val="5D8F6D1E"/>
    <w:rsid w:val="5D916F3A"/>
    <w:rsid w:val="5D924A61"/>
    <w:rsid w:val="5D9500AD"/>
    <w:rsid w:val="5D99194B"/>
    <w:rsid w:val="5D997B9D"/>
    <w:rsid w:val="5D9C768D"/>
    <w:rsid w:val="5DA327CA"/>
    <w:rsid w:val="5DA36C6E"/>
    <w:rsid w:val="5DAA7FFC"/>
    <w:rsid w:val="5DAE736E"/>
    <w:rsid w:val="5DB04EE7"/>
    <w:rsid w:val="5DB669A1"/>
    <w:rsid w:val="5DB76275"/>
    <w:rsid w:val="5DBE7604"/>
    <w:rsid w:val="5DC15346"/>
    <w:rsid w:val="5DC21CCC"/>
    <w:rsid w:val="5DC664B8"/>
    <w:rsid w:val="5DCD2235"/>
    <w:rsid w:val="5DCF3A41"/>
    <w:rsid w:val="5DD961EC"/>
    <w:rsid w:val="5DDC3F2E"/>
    <w:rsid w:val="5DDF7CE6"/>
    <w:rsid w:val="5DE84A49"/>
    <w:rsid w:val="5DEA03F9"/>
    <w:rsid w:val="5DED613B"/>
    <w:rsid w:val="5DF64FF0"/>
    <w:rsid w:val="5DFC012C"/>
    <w:rsid w:val="5DFD2BBB"/>
    <w:rsid w:val="5E0314BA"/>
    <w:rsid w:val="5E0349AB"/>
    <w:rsid w:val="5E064456"/>
    <w:rsid w:val="5E0963CE"/>
    <w:rsid w:val="5E0A2849"/>
    <w:rsid w:val="5E0D0017"/>
    <w:rsid w:val="5E0F1F1E"/>
    <w:rsid w:val="5E111E29"/>
    <w:rsid w:val="5E115985"/>
    <w:rsid w:val="5E1355CA"/>
    <w:rsid w:val="5E135BA1"/>
    <w:rsid w:val="5E1753DB"/>
    <w:rsid w:val="5E196F30"/>
    <w:rsid w:val="5E1E00A2"/>
    <w:rsid w:val="5E1E4546"/>
    <w:rsid w:val="5E2558D5"/>
    <w:rsid w:val="5E2733FB"/>
    <w:rsid w:val="5E287173"/>
    <w:rsid w:val="5E2A2EEB"/>
    <w:rsid w:val="5E2D6537"/>
    <w:rsid w:val="5E2E29DB"/>
    <w:rsid w:val="5E327412"/>
    <w:rsid w:val="5E40626B"/>
    <w:rsid w:val="5E455888"/>
    <w:rsid w:val="5E4D0988"/>
    <w:rsid w:val="5E510478"/>
    <w:rsid w:val="5E5835B4"/>
    <w:rsid w:val="5E5E2B95"/>
    <w:rsid w:val="5E6006BB"/>
    <w:rsid w:val="5E602469"/>
    <w:rsid w:val="5E6A153A"/>
    <w:rsid w:val="5E6F4DA2"/>
    <w:rsid w:val="5E713415"/>
    <w:rsid w:val="5E8545C5"/>
    <w:rsid w:val="5E8A0CE1"/>
    <w:rsid w:val="5E8D3633"/>
    <w:rsid w:val="5E912F6A"/>
    <w:rsid w:val="5E9345EC"/>
    <w:rsid w:val="5E9D190F"/>
    <w:rsid w:val="5EA20CD3"/>
    <w:rsid w:val="5EA52572"/>
    <w:rsid w:val="5EA762EA"/>
    <w:rsid w:val="5EA93E10"/>
    <w:rsid w:val="5EB153BA"/>
    <w:rsid w:val="5EBA195A"/>
    <w:rsid w:val="5EBA426F"/>
    <w:rsid w:val="5EBB7FE7"/>
    <w:rsid w:val="5EC7073A"/>
    <w:rsid w:val="5EC8768F"/>
    <w:rsid w:val="5ECC5D50"/>
    <w:rsid w:val="5ECE1AC8"/>
    <w:rsid w:val="5ECF75EF"/>
    <w:rsid w:val="5ED45FB3"/>
    <w:rsid w:val="5ED66BCF"/>
    <w:rsid w:val="5ED7628F"/>
    <w:rsid w:val="5EDB41E5"/>
    <w:rsid w:val="5EDE1EB3"/>
    <w:rsid w:val="5EE412EC"/>
    <w:rsid w:val="5EE44E48"/>
    <w:rsid w:val="5EE66E12"/>
    <w:rsid w:val="5EEC63F2"/>
    <w:rsid w:val="5EF534F9"/>
    <w:rsid w:val="5EF84D97"/>
    <w:rsid w:val="5F047298"/>
    <w:rsid w:val="5F076D88"/>
    <w:rsid w:val="5F0C25F1"/>
    <w:rsid w:val="5F0E6369"/>
    <w:rsid w:val="5F1514A5"/>
    <w:rsid w:val="5F1A2F60"/>
    <w:rsid w:val="5F1A4D0E"/>
    <w:rsid w:val="5F1A6ABC"/>
    <w:rsid w:val="5F2F6120"/>
    <w:rsid w:val="5F30008D"/>
    <w:rsid w:val="5F37766E"/>
    <w:rsid w:val="5F381638"/>
    <w:rsid w:val="5F3C1128"/>
    <w:rsid w:val="5F3D09FC"/>
    <w:rsid w:val="5F4B136B"/>
    <w:rsid w:val="5F4B3119"/>
    <w:rsid w:val="5F506981"/>
    <w:rsid w:val="5F526256"/>
    <w:rsid w:val="5F54569F"/>
    <w:rsid w:val="5F5A335C"/>
    <w:rsid w:val="5F5D7C07"/>
    <w:rsid w:val="5F6366B5"/>
    <w:rsid w:val="5F70492E"/>
    <w:rsid w:val="5F76780E"/>
    <w:rsid w:val="5F8B1768"/>
    <w:rsid w:val="5F8B79B9"/>
    <w:rsid w:val="5F8F4BFE"/>
    <w:rsid w:val="5F903222"/>
    <w:rsid w:val="5F97010C"/>
    <w:rsid w:val="5F983DBE"/>
    <w:rsid w:val="5F993E84"/>
    <w:rsid w:val="5F9F5213"/>
    <w:rsid w:val="5FA1715B"/>
    <w:rsid w:val="5FA171DD"/>
    <w:rsid w:val="5FA32F55"/>
    <w:rsid w:val="5FA647F3"/>
    <w:rsid w:val="5FA97E40"/>
    <w:rsid w:val="5FAB005C"/>
    <w:rsid w:val="5FAE7172"/>
    <w:rsid w:val="5FB32A6C"/>
    <w:rsid w:val="5FB52C88"/>
    <w:rsid w:val="5FBF54C9"/>
    <w:rsid w:val="5FC353A5"/>
    <w:rsid w:val="5FC35C2D"/>
    <w:rsid w:val="5FC829BC"/>
    <w:rsid w:val="5FCC6C5E"/>
    <w:rsid w:val="5FCF3D4A"/>
    <w:rsid w:val="5FCF5AF8"/>
    <w:rsid w:val="5FD0361E"/>
    <w:rsid w:val="5FD4774C"/>
    <w:rsid w:val="5FD8192C"/>
    <w:rsid w:val="5FDE3F8D"/>
    <w:rsid w:val="5FE07D05"/>
    <w:rsid w:val="5FE315A4"/>
    <w:rsid w:val="5FE400FD"/>
    <w:rsid w:val="5FE4010F"/>
    <w:rsid w:val="5FE84E0C"/>
    <w:rsid w:val="5FED2422"/>
    <w:rsid w:val="6005151A"/>
    <w:rsid w:val="600F05EB"/>
    <w:rsid w:val="6014175D"/>
    <w:rsid w:val="60161979"/>
    <w:rsid w:val="60172FFB"/>
    <w:rsid w:val="60200102"/>
    <w:rsid w:val="60252844"/>
    <w:rsid w:val="602A5424"/>
    <w:rsid w:val="602C4CF9"/>
    <w:rsid w:val="602D281F"/>
    <w:rsid w:val="602D6CC3"/>
    <w:rsid w:val="602F5093"/>
    <w:rsid w:val="60372B4A"/>
    <w:rsid w:val="60395667"/>
    <w:rsid w:val="60397415"/>
    <w:rsid w:val="603B4F3C"/>
    <w:rsid w:val="6042451C"/>
    <w:rsid w:val="60477D84"/>
    <w:rsid w:val="60487273"/>
    <w:rsid w:val="604D4C6F"/>
    <w:rsid w:val="60504913"/>
    <w:rsid w:val="6051650D"/>
    <w:rsid w:val="60536011"/>
    <w:rsid w:val="60567FC7"/>
    <w:rsid w:val="60572E6F"/>
    <w:rsid w:val="60591866"/>
    <w:rsid w:val="605D1356"/>
    <w:rsid w:val="6062696C"/>
    <w:rsid w:val="606F1089"/>
    <w:rsid w:val="606F2E37"/>
    <w:rsid w:val="606F4BE5"/>
    <w:rsid w:val="60724A56"/>
    <w:rsid w:val="607448F1"/>
    <w:rsid w:val="60765F74"/>
    <w:rsid w:val="60786190"/>
    <w:rsid w:val="60805044"/>
    <w:rsid w:val="60844B35"/>
    <w:rsid w:val="608665C9"/>
    <w:rsid w:val="608A4471"/>
    <w:rsid w:val="608B6453"/>
    <w:rsid w:val="608D150F"/>
    <w:rsid w:val="60940AF0"/>
    <w:rsid w:val="60997EB4"/>
    <w:rsid w:val="609B0F81"/>
    <w:rsid w:val="609D1752"/>
    <w:rsid w:val="609D79A4"/>
    <w:rsid w:val="60A46F85"/>
    <w:rsid w:val="60AE3960"/>
    <w:rsid w:val="60B116A2"/>
    <w:rsid w:val="60BA0556"/>
    <w:rsid w:val="60BF5B6D"/>
    <w:rsid w:val="60C018E5"/>
    <w:rsid w:val="60C16521"/>
    <w:rsid w:val="60C2740B"/>
    <w:rsid w:val="60C50CA9"/>
    <w:rsid w:val="60C90799"/>
    <w:rsid w:val="60CE5DB0"/>
    <w:rsid w:val="60CF1B28"/>
    <w:rsid w:val="60CF36F6"/>
    <w:rsid w:val="60D158A0"/>
    <w:rsid w:val="60D1764E"/>
    <w:rsid w:val="60D333C6"/>
    <w:rsid w:val="60D809DC"/>
    <w:rsid w:val="60DB227B"/>
    <w:rsid w:val="60DF620F"/>
    <w:rsid w:val="60E07891"/>
    <w:rsid w:val="60E455D3"/>
    <w:rsid w:val="60EA0710"/>
    <w:rsid w:val="60EE0200"/>
    <w:rsid w:val="60EE6452"/>
    <w:rsid w:val="60FA66B2"/>
    <w:rsid w:val="60FF065F"/>
    <w:rsid w:val="60FF240D"/>
    <w:rsid w:val="61016585"/>
    <w:rsid w:val="61047A23"/>
    <w:rsid w:val="6105554A"/>
    <w:rsid w:val="61073325"/>
    <w:rsid w:val="610C0686"/>
    <w:rsid w:val="610F0176"/>
    <w:rsid w:val="61112140"/>
    <w:rsid w:val="61154C74"/>
    <w:rsid w:val="6115578D"/>
    <w:rsid w:val="6118527D"/>
    <w:rsid w:val="6118702B"/>
    <w:rsid w:val="611A7247"/>
    <w:rsid w:val="611B6B1B"/>
    <w:rsid w:val="611D0AE5"/>
    <w:rsid w:val="611D6D37"/>
    <w:rsid w:val="61204131"/>
    <w:rsid w:val="612105D5"/>
    <w:rsid w:val="61300818"/>
    <w:rsid w:val="6130435D"/>
    <w:rsid w:val="61306A6A"/>
    <w:rsid w:val="613B28EA"/>
    <w:rsid w:val="61453B98"/>
    <w:rsid w:val="614918DA"/>
    <w:rsid w:val="614E5143"/>
    <w:rsid w:val="61532759"/>
    <w:rsid w:val="61587D6F"/>
    <w:rsid w:val="615D7134"/>
    <w:rsid w:val="615F10FE"/>
    <w:rsid w:val="615F17FF"/>
    <w:rsid w:val="616218C1"/>
    <w:rsid w:val="61656152"/>
    <w:rsid w:val="61691F7C"/>
    <w:rsid w:val="616F73F2"/>
    <w:rsid w:val="617050B9"/>
    <w:rsid w:val="61721AF1"/>
    <w:rsid w:val="617821BF"/>
    <w:rsid w:val="617C3A5E"/>
    <w:rsid w:val="61826B9A"/>
    <w:rsid w:val="61840B64"/>
    <w:rsid w:val="61842912"/>
    <w:rsid w:val="61880654"/>
    <w:rsid w:val="618E3791"/>
    <w:rsid w:val="618E553F"/>
    <w:rsid w:val="619F774C"/>
    <w:rsid w:val="61A85F64"/>
    <w:rsid w:val="61AE798F"/>
    <w:rsid w:val="61B054B5"/>
    <w:rsid w:val="61B72CE8"/>
    <w:rsid w:val="61B825BC"/>
    <w:rsid w:val="61B9080E"/>
    <w:rsid w:val="61BC3E5A"/>
    <w:rsid w:val="61BD7BD2"/>
    <w:rsid w:val="61BE4076"/>
    <w:rsid w:val="61BF1B9C"/>
    <w:rsid w:val="61C14B8D"/>
    <w:rsid w:val="61CB6793"/>
    <w:rsid w:val="61E33ADD"/>
    <w:rsid w:val="61E41603"/>
    <w:rsid w:val="61EE5FDE"/>
    <w:rsid w:val="61EF4230"/>
    <w:rsid w:val="61F061FA"/>
    <w:rsid w:val="61FE0917"/>
    <w:rsid w:val="62013F63"/>
    <w:rsid w:val="62015D11"/>
    <w:rsid w:val="62037CDB"/>
    <w:rsid w:val="62045801"/>
    <w:rsid w:val="620852F1"/>
    <w:rsid w:val="620A1069"/>
    <w:rsid w:val="620A72BB"/>
    <w:rsid w:val="620B6B90"/>
    <w:rsid w:val="620F0B92"/>
    <w:rsid w:val="62120443"/>
    <w:rsid w:val="62127F1E"/>
    <w:rsid w:val="62157A0E"/>
    <w:rsid w:val="62165C60"/>
    <w:rsid w:val="62173786"/>
    <w:rsid w:val="621C1E68"/>
    <w:rsid w:val="621E2D67"/>
    <w:rsid w:val="62257C51"/>
    <w:rsid w:val="6229697B"/>
    <w:rsid w:val="622A170C"/>
    <w:rsid w:val="62353C0D"/>
    <w:rsid w:val="62361E5F"/>
    <w:rsid w:val="623954AB"/>
    <w:rsid w:val="623B56C7"/>
    <w:rsid w:val="623C143F"/>
    <w:rsid w:val="623C31ED"/>
    <w:rsid w:val="623E2002"/>
    <w:rsid w:val="623E6F65"/>
    <w:rsid w:val="62426A55"/>
    <w:rsid w:val="6243457B"/>
    <w:rsid w:val="62465E1A"/>
    <w:rsid w:val="62467BC8"/>
    <w:rsid w:val="62500C1F"/>
    <w:rsid w:val="62522A10"/>
    <w:rsid w:val="625B7B17"/>
    <w:rsid w:val="62612C54"/>
    <w:rsid w:val="62637767"/>
    <w:rsid w:val="6264223A"/>
    <w:rsid w:val="62682234"/>
    <w:rsid w:val="626834E7"/>
    <w:rsid w:val="6271640A"/>
    <w:rsid w:val="627E55B4"/>
    <w:rsid w:val="628250A4"/>
    <w:rsid w:val="62864468"/>
    <w:rsid w:val="628930A3"/>
    <w:rsid w:val="628C1A7E"/>
    <w:rsid w:val="628C5F22"/>
    <w:rsid w:val="628D1D46"/>
    <w:rsid w:val="6292105F"/>
    <w:rsid w:val="629848C7"/>
    <w:rsid w:val="6298674C"/>
    <w:rsid w:val="62A0377C"/>
    <w:rsid w:val="62A212A2"/>
    <w:rsid w:val="62A414BE"/>
    <w:rsid w:val="62A82630"/>
    <w:rsid w:val="62B32FF8"/>
    <w:rsid w:val="62B92A90"/>
    <w:rsid w:val="62BB6808"/>
    <w:rsid w:val="62BD60DC"/>
    <w:rsid w:val="62C31218"/>
    <w:rsid w:val="62C341FF"/>
    <w:rsid w:val="62C3746A"/>
    <w:rsid w:val="62CC4571"/>
    <w:rsid w:val="62D022B3"/>
    <w:rsid w:val="62D07648"/>
    <w:rsid w:val="62D578C9"/>
    <w:rsid w:val="62D87AD3"/>
    <w:rsid w:val="62E0626E"/>
    <w:rsid w:val="62E418BB"/>
    <w:rsid w:val="62E573E1"/>
    <w:rsid w:val="62EA49F7"/>
    <w:rsid w:val="62EC5DE5"/>
    <w:rsid w:val="62F3736C"/>
    <w:rsid w:val="62F615EE"/>
    <w:rsid w:val="62F85366"/>
    <w:rsid w:val="62FD6547"/>
    <w:rsid w:val="62FE04A2"/>
    <w:rsid w:val="62FF4946"/>
    <w:rsid w:val="62FF66F4"/>
    <w:rsid w:val="63043D0B"/>
    <w:rsid w:val="63097573"/>
    <w:rsid w:val="630B0E1C"/>
    <w:rsid w:val="630D0CB6"/>
    <w:rsid w:val="631673BB"/>
    <w:rsid w:val="631A1780"/>
    <w:rsid w:val="631B3F36"/>
    <w:rsid w:val="631D6B7A"/>
    <w:rsid w:val="63243B52"/>
    <w:rsid w:val="632D2297"/>
    <w:rsid w:val="633345F0"/>
    <w:rsid w:val="63352116"/>
    <w:rsid w:val="633A597E"/>
    <w:rsid w:val="633A772C"/>
    <w:rsid w:val="633B70EA"/>
    <w:rsid w:val="63422A85"/>
    <w:rsid w:val="634467FD"/>
    <w:rsid w:val="63497970"/>
    <w:rsid w:val="63526AAF"/>
    <w:rsid w:val="63534C92"/>
    <w:rsid w:val="6354396F"/>
    <w:rsid w:val="63556314"/>
    <w:rsid w:val="63604CB9"/>
    <w:rsid w:val="63660521"/>
    <w:rsid w:val="636B5B38"/>
    <w:rsid w:val="636C7B02"/>
    <w:rsid w:val="63715118"/>
    <w:rsid w:val="637877D0"/>
    <w:rsid w:val="637D1D0F"/>
    <w:rsid w:val="637F7835"/>
    <w:rsid w:val="63826913"/>
    <w:rsid w:val="6384309D"/>
    <w:rsid w:val="638B61DA"/>
    <w:rsid w:val="63927568"/>
    <w:rsid w:val="63950E07"/>
    <w:rsid w:val="63957059"/>
    <w:rsid w:val="639808F7"/>
    <w:rsid w:val="639A01CB"/>
    <w:rsid w:val="639C2015"/>
    <w:rsid w:val="639F1C85"/>
    <w:rsid w:val="639F3A33"/>
    <w:rsid w:val="63A1155A"/>
    <w:rsid w:val="63A454EE"/>
    <w:rsid w:val="63AB23D8"/>
    <w:rsid w:val="63AD43A2"/>
    <w:rsid w:val="63B03E93"/>
    <w:rsid w:val="63B56426"/>
    <w:rsid w:val="63BE035D"/>
    <w:rsid w:val="63C40AEC"/>
    <w:rsid w:val="63C52161"/>
    <w:rsid w:val="63DD455C"/>
    <w:rsid w:val="63DE531B"/>
    <w:rsid w:val="63E41600"/>
    <w:rsid w:val="63E43B3C"/>
    <w:rsid w:val="63F55D49"/>
    <w:rsid w:val="63F7386F"/>
    <w:rsid w:val="63F773CC"/>
    <w:rsid w:val="63F83144"/>
    <w:rsid w:val="63FF2724"/>
    <w:rsid w:val="640A7584"/>
    <w:rsid w:val="64102818"/>
    <w:rsid w:val="641A755E"/>
    <w:rsid w:val="64202DC6"/>
    <w:rsid w:val="642503DD"/>
    <w:rsid w:val="64281C7B"/>
    <w:rsid w:val="642B3519"/>
    <w:rsid w:val="642B52C7"/>
    <w:rsid w:val="642C31C3"/>
    <w:rsid w:val="642E6B65"/>
    <w:rsid w:val="643248A8"/>
    <w:rsid w:val="64356146"/>
    <w:rsid w:val="643979E4"/>
    <w:rsid w:val="643E149E"/>
    <w:rsid w:val="64462101"/>
    <w:rsid w:val="644B5969"/>
    <w:rsid w:val="644D7933"/>
    <w:rsid w:val="64520AA6"/>
    <w:rsid w:val="64594474"/>
    <w:rsid w:val="645A5BAC"/>
    <w:rsid w:val="645C7B76"/>
    <w:rsid w:val="64607667"/>
    <w:rsid w:val="646276D8"/>
    <w:rsid w:val="64654C7D"/>
    <w:rsid w:val="646B7DB9"/>
    <w:rsid w:val="646D1D84"/>
    <w:rsid w:val="6472475F"/>
    <w:rsid w:val="64744EC0"/>
    <w:rsid w:val="64803865"/>
    <w:rsid w:val="64874BF3"/>
    <w:rsid w:val="64882719"/>
    <w:rsid w:val="648A6492"/>
    <w:rsid w:val="648C220A"/>
    <w:rsid w:val="64915A72"/>
    <w:rsid w:val="649317EA"/>
    <w:rsid w:val="64994927"/>
    <w:rsid w:val="649D5494"/>
    <w:rsid w:val="649E1F3D"/>
    <w:rsid w:val="64A532CB"/>
    <w:rsid w:val="64A77044"/>
    <w:rsid w:val="64A84929"/>
    <w:rsid w:val="64A86918"/>
    <w:rsid w:val="64AA08E2"/>
    <w:rsid w:val="64AC28AC"/>
    <w:rsid w:val="64AF3298"/>
    <w:rsid w:val="64AF5EF8"/>
    <w:rsid w:val="64B251B8"/>
    <w:rsid w:val="64B33C3A"/>
    <w:rsid w:val="64B67287"/>
    <w:rsid w:val="64B82FFF"/>
    <w:rsid w:val="64C37BF6"/>
    <w:rsid w:val="64C5571C"/>
    <w:rsid w:val="64CD45D0"/>
    <w:rsid w:val="64D15E74"/>
    <w:rsid w:val="64D43DE7"/>
    <w:rsid w:val="64D4770D"/>
    <w:rsid w:val="64D8544F"/>
    <w:rsid w:val="64D911C7"/>
    <w:rsid w:val="64D94D23"/>
    <w:rsid w:val="64DF4A2F"/>
    <w:rsid w:val="64E12BF2"/>
    <w:rsid w:val="64E21E2A"/>
    <w:rsid w:val="64E57B6C"/>
    <w:rsid w:val="64EA33D4"/>
    <w:rsid w:val="64EA6F30"/>
    <w:rsid w:val="64EE4C72"/>
    <w:rsid w:val="64F34037"/>
    <w:rsid w:val="64F733FB"/>
    <w:rsid w:val="64FF179F"/>
    <w:rsid w:val="650224CC"/>
    <w:rsid w:val="650C6EA7"/>
    <w:rsid w:val="65104759"/>
    <w:rsid w:val="651346D9"/>
    <w:rsid w:val="651A4F6C"/>
    <w:rsid w:val="65242442"/>
    <w:rsid w:val="65273CE0"/>
    <w:rsid w:val="652E65D2"/>
    <w:rsid w:val="653603C7"/>
    <w:rsid w:val="65393A14"/>
    <w:rsid w:val="653A7EB8"/>
    <w:rsid w:val="653B778C"/>
    <w:rsid w:val="653D52B2"/>
    <w:rsid w:val="65404DA2"/>
    <w:rsid w:val="65426D6C"/>
    <w:rsid w:val="6546685C"/>
    <w:rsid w:val="6549634D"/>
    <w:rsid w:val="654C7BEB"/>
    <w:rsid w:val="65510D5D"/>
    <w:rsid w:val="65534AD5"/>
    <w:rsid w:val="6554084E"/>
    <w:rsid w:val="655A40B6"/>
    <w:rsid w:val="655E16AA"/>
    <w:rsid w:val="65626912"/>
    <w:rsid w:val="65644F35"/>
    <w:rsid w:val="656767D3"/>
    <w:rsid w:val="657131AE"/>
    <w:rsid w:val="657F1D6E"/>
    <w:rsid w:val="65833F31"/>
    <w:rsid w:val="65841133"/>
    <w:rsid w:val="65962C14"/>
    <w:rsid w:val="65A370BE"/>
    <w:rsid w:val="65A610A9"/>
    <w:rsid w:val="65A65CF0"/>
    <w:rsid w:val="65A96DEB"/>
    <w:rsid w:val="65AB2B63"/>
    <w:rsid w:val="65B35574"/>
    <w:rsid w:val="65C23A09"/>
    <w:rsid w:val="65C46E98"/>
    <w:rsid w:val="65D5198E"/>
    <w:rsid w:val="65E120E1"/>
    <w:rsid w:val="65E322FD"/>
    <w:rsid w:val="65E47E23"/>
    <w:rsid w:val="65E63B9C"/>
    <w:rsid w:val="65E73470"/>
    <w:rsid w:val="65E87914"/>
    <w:rsid w:val="65E9368C"/>
    <w:rsid w:val="65EB11B2"/>
    <w:rsid w:val="65F0324D"/>
    <w:rsid w:val="65F20792"/>
    <w:rsid w:val="65F30067"/>
    <w:rsid w:val="65F75DA9"/>
    <w:rsid w:val="65FD2C93"/>
    <w:rsid w:val="65FF35EB"/>
    <w:rsid w:val="660014C1"/>
    <w:rsid w:val="6603474E"/>
    <w:rsid w:val="660944CD"/>
    <w:rsid w:val="660B1854"/>
    <w:rsid w:val="660D1128"/>
    <w:rsid w:val="661029C7"/>
    <w:rsid w:val="661324B7"/>
    <w:rsid w:val="6613549D"/>
    <w:rsid w:val="66157FDD"/>
    <w:rsid w:val="66171FA7"/>
    <w:rsid w:val="661E1452"/>
    <w:rsid w:val="661F21B5"/>
    <w:rsid w:val="66212E26"/>
    <w:rsid w:val="66271AA6"/>
    <w:rsid w:val="662760FD"/>
    <w:rsid w:val="66287A2C"/>
    <w:rsid w:val="662A7F2C"/>
    <w:rsid w:val="662D17CA"/>
    <w:rsid w:val="66342B59"/>
    <w:rsid w:val="6635553A"/>
    <w:rsid w:val="663568D1"/>
    <w:rsid w:val="66372649"/>
    <w:rsid w:val="663743F7"/>
    <w:rsid w:val="663A3EE7"/>
    <w:rsid w:val="663D02AB"/>
    <w:rsid w:val="663E5786"/>
    <w:rsid w:val="664803B2"/>
    <w:rsid w:val="664A237C"/>
    <w:rsid w:val="664A412A"/>
    <w:rsid w:val="664B5ACF"/>
    <w:rsid w:val="66560D21"/>
    <w:rsid w:val="6659436D"/>
    <w:rsid w:val="665C5C0C"/>
    <w:rsid w:val="665F2AAD"/>
    <w:rsid w:val="6664439F"/>
    <w:rsid w:val="666845B1"/>
    <w:rsid w:val="666920D7"/>
    <w:rsid w:val="666A0329"/>
    <w:rsid w:val="666B22F3"/>
    <w:rsid w:val="666D2919"/>
    <w:rsid w:val="666D7E19"/>
    <w:rsid w:val="66707909"/>
    <w:rsid w:val="667529CC"/>
    <w:rsid w:val="668138C4"/>
    <w:rsid w:val="66833198"/>
    <w:rsid w:val="66860EDB"/>
    <w:rsid w:val="66867795"/>
    <w:rsid w:val="66882EA5"/>
    <w:rsid w:val="668A2779"/>
    <w:rsid w:val="668B029F"/>
    <w:rsid w:val="668F7D8F"/>
    <w:rsid w:val="6694184A"/>
    <w:rsid w:val="66994B0C"/>
    <w:rsid w:val="66996E60"/>
    <w:rsid w:val="66A001EE"/>
    <w:rsid w:val="66A01F9C"/>
    <w:rsid w:val="66A46EDA"/>
    <w:rsid w:val="66A55805"/>
    <w:rsid w:val="66A575B3"/>
    <w:rsid w:val="66AD6051"/>
    <w:rsid w:val="66AF38A9"/>
    <w:rsid w:val="66B45A48"/>
    <w:rsid w:val="66B4715F"/>
    <w:rsid w:val="66B71094"/>
    <w:rsid w:val="66B75538"/>
    <w:rsid w:val="66B912B0"/>
    <w:rsid w:val="66BA2932"/>
    <w:rsid w:val="66BB1D2D"/>
    <w:rsid w:val="66BE2423"/>
    <w:rsid w:val="66C0619B"/>
    <w:rsid w:val="66C13CC1"/>
    <w:rsid w:val="66C61E70"/>
    <w:rsid w:val="66C832A1"/>
    <w:rsid w:val="66CA0DC7"/>
    <w:rsid w:val="66CA7019"/>
    <w:rsid w:val="66CC1F17"/>
    <w:rsid w:val="66CD08B8"/>
    <w:rsid w:val="66CF4630"/>
    <w:rsid w:val="66D30DE3"/>
    <w:rsid w:val="66D32372"/>
    <w:rsid w:val="66D439F4"/>
    <w:rsid w:val="66D734E4"/>
    <w:rsid w:val="66D87988"/>
    <w:rsid w:val="66E37DAE"/>
    <w:rsid w:val="66E71979"/>
    <w:rsid w:val="66EF082E"/>
    <w:rsid w:val="66F75934"/>
    <w:rsid w:val="66FD73EF"/>
    <w:rsid w:val="670047E9"/>
    <w:rsid w:val="6707201B"/>
    <w:rsid w:val="671169F6"/>
    <w:rsid w:val="671604B0"/>
    <w:rsid w:val="6716225F"/>
    <w:rsid w:val="6723497B"/>
    <w:rsid w:val="67256946"/>
    <w:rsid w:val="67283D40"/>
    <w:rsid w:val="672E2A1C"/>
    <w:rsid w:val="672E57FA"/>
    <w:rsid w:val="67340937"/>
    <w:rsid w:val="673821D5"/>
    <w:rsid w:val="673F17B5"/>
    <w:rsid w:val="67430B7A"/>
    <w:rsid w:val="67582877"/>
    <w:rsid w:val="675863D3"/>
    <w:rsid w:val="6759039D"/>
    <w:rsid w:val="675B5EC3"/>
    <w:rsid w:val="675D7E8D"/>
    <w:rsid w:val="676236F6"/>
    <w:rsid w:val="67683120"/>
    <w:rsid w:val="676A25AA"/>
    <w:rsid w:val="676C1E7F"/>
    <w:rsid w:val="67786A75"/>
    <w:rsid w:val="677A0A3F"/>
    <w:rsid w:val="677B47B7"/>
    <w:rsid w:val="677B6565"/>
    <w:rsid w:val="677B6571"/>
    <w:rsid w:val="677D0530"/>
    <w:rsid w:val="677D408C"/>
    <w:rsid w:val="677E1BB2"/>
    <w:rsid w:val="677E781F"/>
    <w:rsid w:val="678418BE"/>
    <w:rsid w:val="6784541A"/>
    <w:rsid w:val="67851192"/>
    <w:rsid w:val="67852F40"/>
    <w:rsid w:val="678C42CF"/>
    <w:rsid w:val="679118E5"/>
    <w:rsid w:val="67915D89"/>
    <w:rsid w:val="679338AF"/>
    <w:rsid w:val="67955879"/>
    <w:rsid w:val="67992501"/>
    <w:rsid w:val="67A21D44"/>
    <w:rsid w:val="67A41618"/>
    <w:rsid w:val="67AB6E4B"/>
    <w:rsid w:val="67AC2BC3"/>
    <w:rsid w:val="67B53825"/>
    <w:rsid w:val="67BA52E0"/>
    <w:rsid w:val="67BF28F6"/>
    <w:rsid w:val="67C24194"/>
    <w:rsid w:val="67C27CF0"/>
    <w:rsid w:val="67CC0761"/>
    <w:rsid w:val="67CE0D8B"/>
    <w:rsid w:val="67D30150"/>
    <w:rsid w:val="67D5211A"/>
    <w:rsid w:val="67D87514"/>
    <w:rsid w:val="67DF4D46"/>
    <w:rsid w:val="67EE6D37"/>
    <w:rsid w:val="67F3434E"/>
    <w:rsid w:val="67F464DC"/>
    <w:rsid w:val="67F5244A"/>
    <w:rsid w:val="67F65BEC"/>
    <w:rsid w:val="67FD341E"/>
    <w:rsid w:val="67FD6F7B"/>
    <w:rsid w:val="68070B84"/>
    <w:rsid w:val="680E5F39"/>
    <w:rsid w:val="6817003C"/>
    <w:rsid w:val="682329EA"/>
    <w:rsid w:val="68264723"/>
    <w:rsid w:val="68297D70"/>
    <w:rsid w:val="682E182A"/>
    <w:rsid w:val="682E5386"/>
    <w:rsid w:val="683503B5"/>
    <w:rsid w:val="68354966"/>
    <w:rsid w:val="68386205"/>
    <w:rsid w:val="684A23F5"/>
    <w:rsid w:val="685017A0"/>
    <w:rsid w:val="68556DB7"/>
    <w:rsid w:val="685A568A"/>
    <w:rsid w:val="685A617B"/>
    <w:rsid w:val="685F19E3"/>
    <w:rsid w:val="68694610"/>
    <w:rsid w:val="6873723D"/>
    <w:rsid w:val="687717A2"/>
    <w:rsid w:val="68790CF7"/>
    <w:rsid w:val="687F04C6"/>
    <w:rsid w:val="68850E7E"/>
    <w:rsid w:val="688651C2"/>
    <w:rsid w:val="68866F70"/>
    <w:rsid w:val="688B0A2A"/>
    <w:rsid w:val="68925915"/>
    <w:rsid w:val="689A2A1B"/>
    <w:rsid w:val="689B6EBF"/>
    <w:rsid w:val="689C2C37"/>
    <w:rsid w:val="689E075E"/>
    <w:rsid w:val="689E42BA"/>
    <w:rsid w:val="68A1024E"/>
    <w:rsid w:val="68A13DAA"/>
    <w:rsid w:val="68A33FC6"/>
    <w:rsid w:val="68A35D74"/>
    <w:rsid w:val="68AA5354"/>
    <w:rsid w:val="68AD09A1"/>
    <w:rsid w:val="68AD274F"/>
    <w:rsid w:val="68AF4719"/>
    <w:rsid w:val="68AF64C7"/>
    <w:rsid w:val="68B166E3"/>
    <w:rsid w:val="68B57855"/>
    <w:rsid w:val="68B910F3"/>
    <w:rsid w:val="68BA4E6C"/>
    <w:rsid w:val="68C31F72"/>
    <w:rsid w:val="68C55CEA"/>
    <w:rsid w:val="68CA1553"/>
    <w:rsid w:val="68D20407"/>
    <w:rsid w:val="68D45F2D"/>
    <w:rsid w:val="68D75A1D"/>
    <w:rsid w:val="68DD74D8"/>
    <w:rsid w:val="68E24AEE"/>
    <w:rsid w:val="68E80E73"/>
    <w:rsid w:val="68ED3493"/>
    <w:rsid w:val="68ED5241"/>
    <w:rsid w:val="68F16ADF"/>
    <w:rsid w:val="68F22857"/>
    <w:rsid w:val="68F4037D"/>
    <w:rsid w:val="68F71C1C"/>
    <w:rsid w:val="68FB795E"/>
    <w:rsid w:val="68FC5484"/>
    <w:rsid w:val="69004F74"/>
    <w:rsid w:val="69034A64"/>
    <w:rsid w:val="6905258B"/>
    <w:rsid w:val="690600B1"/>
    <w:rsid w:val="69085BD7"/>
    <w:rsid w:val="69132EFA"/>
    <w:rsid w:val="69146C72"/>
    <w:rsid w:val="691645AD"/>
    <w:rsid w:val="69180510"/>
    <w:rsid w:val="69197DE4"/>
    <w:rsid w:val="69207D66"/>
    <w:rsid w:val="69232A11"/>
    <w:rsid w:val="69256789"/>
    <w:rsid w:val="69272501"/>
    <w:rsid w:val="692A0243"/>
    <w:rsid w:val="692A1FF1"/>
    <w:rsid w:val="69313380"/>
    <w:rsid w:val="693448A9"/>
    <w:rsid w:val="69350A16"/>
    <w:rsid w:val="69366BE8"/>
    <w:rsid w:val="69432F0E"/>
    <w:rsid w:val="69450BD9"/>
    <w:rsid w:val="694806C9"/>
    <w:rsid w:val="6949691B"/>
    <w:rsid w:val="694E2184"/>
    <w:rsid w:val="695157D0"/>
    <w:rsid w:val="69584DB0"/>
    <w:rsid w:val="695A0B28"/>
    <w:rsid w:val="695D23C7"/>
    <w:rsid w:val="69601EB7"/>
    <w:rsid w:val="69642093"/>
    <w:rsid w:val="696F3EA8"/>
    <w:rsid w:val="69736E5B"/>
    <w:rsid w:val="69747710"/>
    <w:rsid w:val="6978219C"/>
    <w:rsid w:val="69790883"/>
    <w:rsid w:val="69801C11"/>
    <w:rsid w:val="698A2CFF"/>
    <w:rsid w:val="698C4A5A"/>
    <w:rsid w:val="69912070"/>
    <w:rsid w:val="699D6C67"/>
    <w:rsid w:val="69A00760"/>
    <w:rsid w:val="69A02499"/>
    <w:rsid w:val="69AB1384"/>
    <w:rsid w:val="69AF0748"/>
    <w:rsid w:val="69B1626F"/>
    <w:rsid w:val="69B31FE7"/>
    <w:rsid w:val="69B95123"/>
    <w:rsid w:val="69BA3890"/>
    <w:rsid w:val="69BB0E9B"/>
    <w:rsid w:val="69C51A15"/>
    <w:rsid w:val="69C6510F"/>
    <w:rsid w:val="69C87C07"/>
    <w:rsid w:val="69CE6E20"/>
    <w:rsid w:val="69CF4947"/>
    <w:rsid w:val="69D41F5D"/>
    <w:rsid w:val="69DD7064"/>
    <w:rsid w:val="69E07B62"/>
    <w:rsid w:val="69E228CC"/>
    <w:rsid w:val="69E330A1"/>
    <w:rsid w:val="69E91EAC"/>
    <w:rsid w:val="69EC54F9"/>
    <w:rsid w:val="69F018BB"/>
    <w:rsid w:val="69F331D1"/>
    <w:rsid w:val="69F85C4B"/>
    <w:rsid w:val="69FC282A"/>
    <w:rsid w:val="6A050368"/>
    <w:rsid w:val="6A0A597F"/>
    <w:rsid w:val="6A0C16F7"/>
    <w:rsid w:val="6A1011E7"/>
    <w:rsid w:val="6A1D56B2"/>
    <w:rsid w:val="6A1D643E"/>
    <w:rsid w:val="6A2353BE"/>
    <w:rsid w:val="6A280F9A"/>
    <w:rsid w:val="6A2904FB"/>
    <w:rsid w:val="6A2B6021"/>
    <w:rsid w:val="6A2D7FEB"/>
    <w:rsid w:val="6A2E5B11"/>
    <w:rsid w:val="6A3047F7"/>
    <w:rsid w:val="6A3273AF"/>
    <w:rsid w:val="6A3446C5"/>
    <w:rsid w:val="6A3A44B6"/>
    <w:rsid w:val="6A3F387A"/>
    <w:rsid w:val="6A4E7F61"/>
    <w:rsid w:val="6A505A87"/>
    <w:rsid w:val="6A527A52"/>
    <w:rsid w:val="6A575068"/>
    <w:rsid w:val="6A57631E"/>
    <w:rsid w:val="6A577666"/>
    <w:rsid w:val="6A58270E"/>
    <w:rsid w:val="6A5E63F6"/>
    <w:rsid w:val="6A633A0D"/>
    <w:rsid w:val="6A683C9D"/>
    <w:rsid w:val="6A692012"/>
    <w:rsid w:val="6A6B0B13"/>
    <w:rsid w:val="6A70612A"/>
    <w:rsid w:val="6A707ED8"/>
    <w:rsid w:val="6A7259FE"/>
    <w:rsid w:val="6A9204D5"/>
    <w:rsid w:val="6A936F5F"/>
    <w:rsid w:val="6A9B19C7"/>
    <w:rsid w:val="6A9C6F1F"/>
    <w:rsid w:val="6A9E4A45"/>
    <w:rsid w:val="6AA3205B"/>
    <w:rsid w:val="6AA45DD3"/>
    <w:rsid w:val="6AB06526"/>
    <w:rsid w:val="6AB44268"/>
    <w:rsid w:val="6AB73D58"/>
    <w:rsid w:val="6ABA1153"/>
    <w:rsid w:val="6ABF31D4"/>
    <w:rsid w:val="6AC5264F"/>
    <w:rsid w:val="6AC63F9C"/>
    <w:rsid w:val="6ACB15B2"/>
    <w:rsid w:val="6ACD532A"/>
    <w:rsid w:val="6ACE4BFE"/>
    <w:rsid w:val="6ACF7D70"/>
    <w:rsid w:val="6AD22940"/>
    <w:rsid w:val="6AD77F57"/>
    <w:rsid w:val="6ADF0BB9"/>
    <w:rsid w:val="6AE0505D"/>
    <w:rsid w:val="6AEB755E"/>
    <w:rsid w:val="6AEF34F2"/>
    <w:rsid w:val="6AF6662F"/>
    <w:rsid w:val="6AFB3C45"/>
    <w:rsid w:val="6B00125C"/>
    <w:rsid w:val="6B013226"/>
    <w:rsid w:val="6B016D82"/>
    <w:rsid w:val="6B0265FD"/>
    <w:rsid w:val="6B030D4C"/>
    <w:rsid w:val="6B032AFA"/>
    <w:rsid w:val="6B0A032C"/>
    <w:rsid w:val="6B0D2BA9"/>
    <w:rsid w:val="6B106FC5"/>
    <w:rsid w:val="6B130F35"/>
    <w:rsid w:val="6B142F59"/>
    <w:rsid w:val="6B166CD1"/>
    <w:rsid w:val="6B1C5EE7"/>
    <w:rsid w:val="6B206150"/>
    <w:rsid w:val="6B217424"/>
    <w:rsid w:val="6B3158B9"/>
    <w:rsid w:val="6B340F05"/>
    <w:rsid w:val="6B3453A9"/>
    <w:rsid w:val="6B39476E"/>
    <w:rsid w:val="6B4849B1"/>
    <w:rsid w:val="6B4A24D7"/>
    <w:rsid w:val="6B4C26F3"/>
    <w:rsid w:val="6B4D78E6"/>
    <w:rsid w:val="6B5275DD"/>
    <w:rsid w:val="6B5415A7"/>
    <w:rsid w:val="6B572E46"/>
    <w:rsid w:val="6B5B2936"/>
    <w:rsid w:val="6B621F16"/>
    <w:rsid w:val="6B6317EA"/>
    <w:rsid w:val="6B657311"/>
    <w:rsid w:val="6B67752D"/>
    <w:rsid w:val="6B6932A5"/>
    <w:rsid w:val="6B6C4B43"/>
    <w:rsid w:val="6B6E08BB"/>
    <w:rsid w:val="6B735ED1"/>
    <w:rsid w:val="6B7928A2"/>
    <w:rsid w:val="6B7B14D4"/>
    <w:rsid w:val="6B80239C"/>
    <w:rsid w:val="6B80414A"/>
    <w:rsid w:val="6B866E06"/>
    <w:rsid w:val="6B87197D"/>
    <w:rsid w:val="6B8F0DDA"/>
    <w:rsid w:val="6B945E48"/>
    <w:rsid w:val="6B985938"/>
    <w:rsid w:val="6B9B0F84"/>
    <w:rsid w:val="6B9D4CFC"/>
    <w:rsid w:val="6B9E0A74"/>
    <w:rsid w:val="6BB32772"/>
    <w:rsid w:val="6BC404DB"/>
    <w:rsid w:val="6BCA3618"/>
    <w:rsid w:val="6BCB670E"/>
    <w:rsid w:val="6BCF0C2E"/>
    <w:rsid w:val="6BD821D8"/>
    <w:rsid w:val="6BDA7CFF"/>
    <w:rsid w:val="6BDF5315"/>
    <w:rsid w:val="6BE40B7D"/>
    <w:rsid w:val="6BE50451"/>
    <w:rsid w:val="6BE741CA"/>
    <w:rsid w:val="6BEA3CBA"/>
    <w:rsid w:val="6BEC5C84"/>
    <w:rsid w:val="6BF16DF6"/>
    <w:rsid w:val="6BF568E6"/>
    <w:rsid w:val="6BF84629"/>
    <w:rsid w:val="6BFD579B"/>
    <w:rsid w:val="6BFF1513"/>
    <w:rsid w:val="6C006F3E"/>
    <w:rsid w:val="6C053CCB"/>
    <w:rsid w:val="6C101972"/>
    <w:rsid w:val="6C152AE5"/>
    <w:rsid w:val="6C276CBC"/>
    <w:rsid w:val="6C2A2444"/>
    <w:rsid w:val="6C2C7E2E"/>
    <w:rsid w:val="6C335661"/>
    <w:rsid w:val="6C3513D9"/>
    <w:rsid w:val="6C354F35"/>
    <w:rsid w:val="6C445178"/>
    <w:rsid w:val="6C44776E"/>
    <w:rsid w:val="6C494E84"/>
    <w:rsid w:val="6C496C32"/>
    <w:rsid w:val="6C5850C7"/>
    <w:rsid w:val="6C5A23B5"/>
    <w:rsid w:val="6C5D26DE"/>
    <w:rsid w:val="6C5E2B47"/>
    <w:rsid w:val="6C5E4626"/>
    <w:rsid w:val="6C60404F"/>
    <w:rsid w:val="6C615D2A"/>
    <w:rsid w:val="6C661592"/>
    <w:rsid w:val="6C692E30"/>
    <w:rsid w:val="6C6D2921"/>
    <w:rsid w:val="6C6E6699"/>
    <w:rsid w:val="6C783609"/>
    <w:rsid w:val="6C7F30D3"/>
    <w:rsid w:val="6C81017A"/>
    <w:rsid w:val="6C8352B4"/>
    <w:rsid w:val="6C846341"/>
    <w:rsid w:val="6C9003BD"/>
    <w:rsid w:val="6C9205D9"/>
    <w:rsid w:val="6C97174C"/>
    <w:rsid w:val="6C9D2ADA"/>
    <w:rsid w:val="6CA16A6E"/>
    <w:rsid w:val="6CA200F0"/>
    <w:rsid w:val="6CA4030D"/>
    <w:rsid w:val="6CA56125"/>
    <w:rsid w:val="6CA81BAB"/>
    <w:rsid w:val="6CAB169B"/>
    <w:rsid w:val="6CAB3449"/>
    <w:rsid w:val="6CB167EE"/>
    <w:rsid w:val="6CB27C7E"/>
    <w:rsid w:val="6CB56076"/>
    <w:rsid w:val="6CB70040"/>
    <w:rsid w:val="6CB87914"/>
    <w:rsid w:val="6CC85DA9"/>
    <w:rsid w:val="6CCF5389"/>
    <w:rsid w:val="6CD01102"/>
    <w:rsid w:val="6CD504C6"/>
    <w:rsid w:val="6CD56718"/>
    <w:rsid w:val="6CD72490"/>
    <w:rsid w:val="6CD830DA"/>
    <w:rsid w:val="6CDA788A"/>
    <w:rsid w:val="6CDD0508"/>
    <w:rsid w:val="6CDE381E"/>
    <w:rsid w:val="6CDF1C45"/>
    <w:rsid w:val="6CE044C1"/>
    <w:rsid w:val="6CE10C19"/>
    <w:rsid w:val="6CE40709"/>
    <w:rsid w:val="6CEC63F0"/>
    <w:rsid w:val="6CF22E26"/>
    <w:rsid w:val="6CF46B9E"/>
    <w:rsid w:val="6CF473BA"/>
    <w:rsid w:val="6D003795"/>
    <w:rsid w:val="6D082649"/>
    <w:rsid w:val="6D0B213A"/>
    <w:rsid w:val="6D0D1A0E"/>
    <w:rsid w:val="6D0D5EB2"/>
    <w:rsid w:val="6D1014FE"/>
    <w:rsid w:val="6D1234C8"/>
    <w:rsid w:val="6D140FEE"/>
    <w:rsid w:val="6D154D66"/>
    <w:rsid w:val="6D194857"/>
    <w:rsid w:val="6D1F01FA"/>
    <w:rsid w:val="6D237483"/>
    <w:rsid w:val="6D2F5E28"/>
    <w:rsid w:val="6D34343E"/>
    <w:rsid w:val="6D360FD1"/>
    <w:rsid w:val="6D365409"/>
    <w:rsid w:val="6D371181"/>
    <w:rsid w:val="6D3E250F"/>
    <w:rsid w:val="6D402376"/>
    <w:rsid w:val="6D4437AE"/>
    <w:rsid w:val="6D480C98"/>
    <w:rsid w:val="6D492F40"/>
    <w:rsid w:val="6D4C4C2C"/>
    <w:rsid w:val="6D527D69"/>
    <w:rsid w:val="6D572E2F"/>
    <w:rsid w:val="6D594C53"/>
    <w:rsid w:val="6D631F76"/>
    <w:rsid w:val="6D68758C"/>
    <w:rsid w:val="6D6D6950"/>
    <w:rsid w:val="6D7101EF"/>
    <w:rsid w:val="6D721E1C"/>
    <w:rsid w:val="6D765805"/>
    <w:rsid w:val="6D7A3958"/>
    <w:rsid w:val="6D7B72BF"/>
    <w:rsid w:val="6D7C6B93"/>
    <w:rsid w:val="6D7D29BB"/>
    <w:rsid w:val="6D8048D6"/>
    <w:rsid w:val="6D82064E"/>
    <w:rsid w:val="6D853DB6"/>
    <w:rsid w:val="6D8A305E"/>
    <w:rsid w:val="6D8B6DD7"/>
    <w:rsid w:val="6D8D2B4F"/>
    <w:rsid w:val="6D911177"/>
    <w:rsid w:val="6D9143ED"/>
    <w:rsid w:val="6D9319F7"/>
    <w:rsid w:val="6D981C1F"/>
    <w:rsid w:val="6D997745"/>
    <w:rsid w:val="6D9D7236"/>
    <w:rsid w:val="6DA305C4"/>
    <w:rsid w:val="6DA32372"/>
    <w:rsid w:val="6DA46816"/>
    <w:rsid w:val="6DAC7479"/>
    <w:rsid w:val="6DAE1443"/>
    <w:rsid w:val="6DB225B5"/>
    <w:rsid w:val="6DB30807"/>
    <w:rsid w:val="6DB427D1"/>
    <w:rsid w:val="6DB80D3C"/>
    <w:rsid w:val="6DB8406F"/>
    <w:rsid w:val="6DBB4AEC"/>
    <w:rsid w:val="6DC05D8D"/>
    <w:rsid w:val="6DC522E8"/>
    <w:rsid w:val="6DC742B3"/>
    <w:rsid w:val="6DCC3677"/>
    <w:rsid w:val="6DD4077E"/>
    <w:rsid w:val="6DD62748"/>
    <w:rsid w:val="6DD840B5"/>
    <w:rsid w:val="6DD864C0"/>
    <w:rsid w:val="6DDB7D5E"/>
    <w:rsid w:val="6DDF23C8"/>
    <w:rsid w:val="6DE07122"/>
    <w:rsid w:val="6DE2733E"/>
    <w:rsid w:val="6DEB6993"/>
    <w:rsid w:val="6DF204F3"/>
    <w:rsid w:val="6DF20BCA"/>
    <w:rsid w:val="6DF242FF"/>
    <w:rsid w:val="6DF373DB"/>
    <w:rsid w:val="6DF901E4"/>
    <w:rsid w:val="6DFD5F26"/>
    <w:rsid w:val="6E0252EB"/>
    <w:rsid w:val="6E030710"/>
    <w:rsid w:val="6E055C01"/>
    <w:rsid w:val="6E080427"/>
    <w:rsid w:val="6E0C6169"/>
    <w:rsid w:val="6E1374F8"/>
    <w:rsid w:val="6E184B0E"/>
    <w:rsid w:val="6E1A0886"/>
    <w:rsid w:val="6E2039C3"/>
    <w:rsid w:val="6E2214E9"/>
    <w:rsid w:val="6E2434B3"/>
    <w:rsid w:val="6E250FD9"/>
    <w:rsid w:val="6E257E0F"/>
    <w:rsid w:val="6E2C1F47"/>
    <w:rsid w:val="6E3000AA"/>
    <w:rsid w:val="6E301E58"/>
    <w:rsid w:val="6E3336F6"/>
    <w:rsid w:val="6E3C25B5"/>
    <w:rsid w:val="6E3F7222"/>
    <w:rsid w:val="6E405E13"/>
    <w:rsid w:val="6E423939"/>
    <w:rsid w:val="6E430774"/>
    <w:rsid w:val="6E453429"/>
    <w:rsid w:val="6E4678CD"/>
    <w:rsid w:val="6E470F4F"/>
    <w:rsid w:val="6E492F1A"/>
    <w:rsid w:val="6E4C2A0A"/>
    <w:rsid w:val="6E4E22DE"/>
    <w:rsid w:val="6E546B28"/>
    <w:rsid w:val="6E587601"/>
    <w:rsid w:val="6E5C0E9F"/>
    <w:rsid w:val="6E661D1D"/>
    <w:rsid w:val="6E6715F2"/>
    <w:rsid w:val="6E70494A"/>
    <w:rsid w:val="6E7066F8"/>
    <w:rsid w:val="6E7220C5"/>
    <w:rsid w:val="6E7D2BC3"/>
    <w:rsid w:val="6E7E13A9"/>
    <w:rsid w:val="6E8C1058"/>
    <w:rsid w:val="6E95001C"/>
    <w:rsid w:val="6E9C573F"/>
    <w:rsid w:val="6E9C74ED"/>
    <w:rsid w:val="6EA2262A"/>
    <w:rsid w:val="6EA445F4"/>
    <w:rsid w:val="6EA6004D"/>
    <w:rsid w:val="6EBD1AB8"/>
    <w:rsid w:val="6EC407F2"/>
    <w:rsid w:val="6EC66318"/>
    <w:rsid w:val="6ECB1B80"/>
    <w:rsid w:val="6ECC3A6D"/>
    <w:rsid w:val="6ECD414C"/>
    <w:rsid w:val="6ECE55DC"/>
    <w:rsid w:val="6ED70525"/>
    <w:rsid w:val="6ED722D3"/>
    <w:rsid w:val="6ED749C9"/>
    <w:rsid w:val="6EE54F72"/>
    <w:rsid w:val="6EED5F9B"/>
    <w:rsid w:val="6EF54E4F"/>
    <w:rsid w:val="6EF916AB"/>
    <w:rsid w:val="6EF94940"/>
    <w:rsid w:val="6EFC7F8C"/>
    <w:rsid w:val="6EFF182A"/>
    <w:rsid w:val="6F0155A2"/>
    <w:rsid w:val="6F0532E4"/>
    <w:rsid w:val="6F06705D"/>
    <w:rsid w:val="6F10538F"/>
    <w:rsid w:val="6F15104E"/>
    <w:rsid w:val="6F152DFC"/>
    <w:rsid w:val="6F16070F"/>
    <w:rsid w:val="6F194DD5"/>
    <w:rsid w:val="6F282B2F"/>
    <w:rsid w:val="6F3239AE"/>
    <w:rsid w:val="6F347726"/>
    <w:rsid w:val="6F42021D"/>
    <w:rsid w:val="6F437969"/>
    <w:rsid w:val="6F4B0F13"/>
    <w:rsid w:val="6F4D4C8B"/>
    <w:rsid w:val="6F502086"/>
    <w:rsid w:val="6F5222A2"/>
    <w:rsid w:val="6F541B76"/>
    <w:rsid w:val="6F563B40"/>
    <w:rsid w:val="6F59718C"/>
    <w:rsid w:val="6F5B73A8"/>
    <w:rsid w:val="6F5B7F64"/>
    <w:rsid w:val="6F5C6C7D"/>
    <w:rsid w:val="6F643647"/>
    <w:rsid w:val="6F644FF7"/>
    <w:rsid w:val="6F6A75EB"/>
    <w:rsid w:val="6F6F7734"/>
    <w:rsid w:val="6F760773"/>
    <w:rsid w:val="6F7945FE"/>
    <w:rsid w:val="6F7C731F"/>
    <w:rsid w:val="6F806E0F"/>
    <w:rsid w:val="6F857F81"/>
    <w:rsid w:val="6F877309"/>
    <w:rsid w:val="6F887A72"/>
    <w:rsid w:val="6F8F7052"/>
    <w:rsid w:val="6F965F19"/>
    <w:rsid w:val="6F984159"/>
    <w:rsid w:val="6F991C7F"/>
    <w:rsid w:val="6F9B59F7"/>
    <w:rsid w:val="6F9B5E2B"/>
    <w:rsid w:val="6FA2447A"/>
    <w:rsid w:val="6FA56875"/>
    <w:rsid w:val="6FA7614A"/>
    <w:rsid w:val="6FA80114"/>
    <w:rsid w:val="6FB139E6"/>
    <w:rsid w:val="6FB22D40"/>
    <w:rsid w:val="6FB62831"/>
    <w:rsid w:val="6FB6638D"/>
    <w:rsid w:val="6FB865A9"/>
    <w:rsid w:val="6FBD3BBF"/>
    <w:rsid w:val="6FC50CC6"/>
    <w:rsid w:val="6FC52A74"/>
    <w:rsid w:val="6FC565D0"/>
    <w:rsid w:val="6FC62348"/>
    <w:rsid w:val="6FC767EC"/>
    <w:rsid w:val="6FCC3E02"/>
    <w:rsid w:val="6FCF5C92"/>
    <w:rsid w:val="6FD42CB7"/>
    <w:rsid w:val="6FD64C81"/>
    <w:rsid w:val="6FD74555"/>
    <w:rsid w:val="6FD827A7"/>
    <w:rsid w:val="6FDC1B6B"/>
    <w:rsid w:val="6FE256F3"/>
    <w:rsid w:val="6FE86762"/>
    <w:rsid w:val="6FEA072C"/>
    <w:rsid w:val="6FEF5D43"/>
    <w:rsid w:val="7003534A"/>
    <w:rsid w:val="700A0487"/>
    <w:rsid w:val="700C06A3"/>
    <w:rsid w:val="700C2451"/>
    <w:rsid w:val="700C41FF"/>
    <w:rsid w:val="70174B59"/>
    <w:rsid w:val="70182BA3"/>
    <w:rsid w:val="7020414E"/>
    <w:rsid w:val="702773D1"/>
    <w:rsid w:val="70293003"/>
    <w:rsid w:val="702A5D52"/>
    <w:rsid w:val="702D1B02"/>
    <w:rsid w:val="702E205A"/>
    <w:rsid w:val="70333E81"/>
    <w:rsid w:val="703F45D4"/>
    <w:rsid w:val="70422316"/>
    <w:rsid w:val="70433998"/>
    <w:rsid w:val="70457711"/>
    <w:rsid w:val="704C0A9F"/>
    <w:rsid w:val="705363EE"/>
    <w:rsid w:val="70563546"/>
    <w:rsid w:val="7056655C"/>
    <w:rsid w:val="70567B70"/>
    <w:rsid w:val="705931BC"/>
    <w:rsid w:val="705B2F66"/>
    <w:rsid w:val="705D2CAC"/>
    <w:rsid w:val="70741DA4"/>
    <w:rsid w:val="70775FD4"/>
    <w:rsid w:val="70781894"/>
    <w:rsid w:val="70785D38"/>
    <w:rsid w:val="707B75D6"/>
    <w:rsid w:val="70853FB1"/>
    <w:rsid w:val="70860455"/>
    <w:rsid w:val="709B5583"/>
    <w:rsid w:val="709D579F"/>
    <w:rsid w:val="70A1528F"/>
    <w:rsid w:val="70A408DB"/>
    <w:rsid w:val="70B775B4"/>
    <w:rsid w:val="70B929CB"/>
    <w:rsid w:val="70BB79D3"/>
    <w:rsid w:val="70C1148D"/>
    <w:rsid w:val="70C63256"/>
    <w:rsid w:val="70C66AA3"/>
    <w:rsid w:val="70CC3D06"/>
    <w:rsid w:val="70D07922"/>
    <w:rsid w:val="70D171F6"/>
    <w:rsid w:val="70D27883"/>
    <w:rsid w:val="70DC563D"/>
    <w:rsid w:val="70DE203F"/>
    <w:rsid w:val="70E00746"/>
    <w:rsid w:val="70E01F73"/>
    <w:rsid w:val="70E1568B"/>
    <w:rsid w:val="70E4517B"/>
    <w:rsid w:val="70EE1B56"/>
    <w:rsid w:val="70F3716D"/>
    <w:rsid w:val="70F52EE5"/>
    <w:rsid w:val="70F57389"/>
    <w:rsid w:val="70F6702B"/>
    <w:rsid w:val="70F73101"/>
    <w:rsid w:val="70F74EAF"/>
    <w:rsid w:val="70F839F0"/>
    <w:rsid w:val="70FF5B11"/>
    <w:rsid w:val="71033854"/>
    <w:rsid w:val="710B095A"/>
    <w:rsid w:val="71110CB5"/>
    <w:rsid w:val="711200BC"/>
    <w:rsid w:val="711C66C3"/>
    <w:rsid w:val="71211937"/>
    <w:rsid w:val="71235CA4"/>
    <w:rsid w:val="71264C6A"/>
    <w:rsid w:val="71285068"/>
    <w:rsid w:val="712A5284"/>
    <w:rsid w:val="712B2CEC"/>
    <w:rsid w:val="712B2DAA"/>
    <w:rsid w:val="712B4B58"/>
    <w:rsid w:val="712E63F7"/>
    <w:rsid w:val="71324139"/>
    <w:rsid w:val="71335F64"/>
    <w:rsid w:val="71364778"/>
    <w:rsid w:val="713A4D9B"/>
    <w:rsid w:val="71444D01"/>
    <w:rsid w:val="714A76D4"/>
    <w:rsid w:val="714B51FB"/>
    <w:rsid w:val="714E0847"/>
    <w:rsid w:val="71573B9F"/>
    <w:rsid w:val="71584194"/>
    <w:rsid w:val="715916C6"/>
    <w:rsid w:val="715A71EC"/>
    <w:rsid w:val="715C7408"/>
    <w:rsid w:val="715E6CDC"/>
    <w:rsid w:val="71630796"/>
    <w:rsid w:val="7169675E"/>
    <w:rsid w:val="717209D9"/>
    <w:rsid w:val="717604C9"/>
    <w:rsid w:val="71797BC0"/>
    <w:rsid w:val="71836406"/>
    <w:rsid w:val="71862CD7"/>
    <w:rsid w:val="718A5D23"/>
    <w:rsid w:val="718E3E69"/>
    <w:rsid w:val="718F57A7"/>
    <w:rsid w:val="71950224"/>
    <w:rsid w:val="71A212BE"/>
    <w:rsid w:val="71A32941"/>
    <w:rsid w:val="71AA3CCF"/>
    <w:rsid w:val="71AD1A11"/>
    <w:rsid w:val="71AF7537"/>
    <w:rsid w:val="71B27028"/>
    <w:rsid w:val="71B72890"/>
    <w:rsid w:val="71BB2380"/>
    <w:rsid w:val="71C045E6"/>
    <w:rsid w:val="71C54FAD"/>
    <w:rsid w:val="71C942C6"/>
    <w:rsid w:val="71DB7B60"/>
    <w:rsid w:val="71DC5E53"/>
    <w:rsid w:val="71E573FD"/>
    <w:rsid w:val="71E73175"/>
    <w:rsid w:val="71EC253A"/>
    <w:rsid w:val="71ED1E0E"/>
    <w:rsid w:val="71EF5B86"/>
    <w:rsid w:val="71EF5D23"/>
    <w:rsid w:val="71F13D46"/>
    <w:rsid w:val="71F17B50"/>
    <w:rsid w:val="71F57420"/>
    <w:rsid w:val="71F65166"/>
    <w:rsid w:val="71FA5587"/>
    <w:rsid w:val="71FB277D"/>
    <w:rsid w:val="71FC121A"/>
    <w:rsid w:val="720438FD"/>
    <w:rsid w:val="720A29C0"/>
    <w:rsid w:val="720A6E64"/>
    <w:rsid w:val="720C498A"/>
    <w:rsid w:val="720F447A"/>
    <w:rsid w:val="72192C03"/>
    <w:rsid w:val="721F290F"/>
    <w:rsid w:val="72231CD3"/>
    <w:rsid w:val="72233A82"/>
    <w:rsid w:val="72312642"/>
    <w:rsid w:val="72374925"/>
    <w:rsid w:val="7238752D"/>
    <w:rsid w:val="723914F7"/>
    <w:rsid w:val="723D0FE7"/>
    <w:rsid w:val="723E2669"/>
    <w:rsid w:val="723F6B0D"/>
    <w:rsid w:val="72402885"/>
    <w:rsid w:val="72536115"/>
    <w:rsid w:val="725400DF"/>
    <w:rsid w:val="72541E8D"/>
    <w:rsid w:val="725A3947"/>
    <w:rsid w:val="725B76BF"/>
    <w:rsid w:val="727644F9"/>
    <w:rsid w:val="72785B7B"/>
    <w:rsid w:val="727C2D17"/>
    <w:rsid w:val="727D3192"/>
    <w:rsid w:val="72822E9E"/>
    <w:rsid w:val="7289422C"/>
    <w:rsid w:val="728A58AF"/>
    <w:rsid w:val="72916C3D"/>
    <w:rsid w:val="729D3834"/>
    <w:rsid w:val="72A66B8C"/>
    <w:rsid w:val="72A746B3"/>
    <w:rsid w:val="72A93F87"/>
    <w:rsid w:val="72AB5F51"/>
    <w:rsid w:val="72AC4A8B"/>
    <w:rsid w:val="72B166CF"/>
    <w:rsid w:val="72B578A4"/>
    <w:rsid w:val="72B73B47"/>
    <w:rsid w:val="72B868C0"/>
    <w:rsid w:val="72BD7A32"/>
    <w:rsid w:val="72C45265"/>
    <w:rsid w:val="72C54B39"/>
    <w:rsid w:val="72CB65F3"/>
    <w:rsid w:val="72CE7E91"/>
    <w:rsid w:val="72D51220"/>
    <w:rsid w:val="72D52FCE"/>
    <w:rsid w:val="72E01973"/>
    <w:rsid w:val="72E15E16"/>
    <w:rsid w:val="72E17BC5"/>
    <w:rsid w:val="72E651DB"/>
    <w:rsid w:val="72E70F53"/>
    <w:rsid w:val="72E96A79"/>
    <w:rsid w:val="72E97C2E"/>
    <w:rsid w:val="72EB27F1"/>
    <w:rsid w:val="72EB459F"/>
    <w:rsid w:val="72EC0317"/>
    <w:rsid w:val="72EF235F"/>
    <w:rsid w:val="72F53670"/>
    <w:rsid w:val="72F71196"/>
    <w:rsid w:val="72FA2A34"/>
    <w:rsid w:val="72FF44EF"/>
    <w:rsid w:val="72FF629D"/>
    <w:rsid w:val="730218E9"/>
    <w:rsid w:val="7303644A"/>
    <w:rsid w:val="73041B05"/>
    <w:rsid w:val="730E028E"/>
    <w:rsid w:val="73104006"/>
    <w:rsid w:val="73125FD0"/>
    <w:rsid w:val="7318110C"/>
    <w:rsid w:val="731F249B"/>
    <w:rsid w:val="73261A7B"/>
    <w:rsid w:val="733221CE"/>
    <w:rsid w:val="733676C5"/>
    <w:rsid w:val="73375A36"/>
    <w:rsid w:val="733B6756"/>
    <w:rsid w:val="733D0B73"/>
    <w:rsid w:val="733D49C7"/>
    <w:rsid w:val="7343262D"/>
    <w:rsid w:val="734819F2"/>
    <w:rsid w:val="734F0FD2"/>
    <w:rsid w:val="7352461E"/>
    <w:rsid w:val="735C40F9"/>
    <w:rsid w:val="735E1215"/>
    <w:rsid w:val="735E7467"/>
    <w:rsid w:val="737A5923"/>
    <w:rsid w:val="737E18B7"/>
    <w:rsid w:val="737E5EBB"/>
    <w:rsid w:val="73852C46"/>
    <w:rsid w:val="738733BB"/>
    <w:rsid w:val="73874456"/>
    <w:rsid w:val="738D1AFA"/>
    <w:rsid w:val="738F5872"/>
    <w:rsid w:val="73903399"/>
    <w:rsid w:val="73925D92"/>
    <w:rsid w:val="73927111"/>
    <w:rsid w:val="739509AF"/>
    <w:rsid w:val="739D2A0C"/>
    <w:rsid w:val="73A330CC"/>
    <w:rsid w:val="73A429A0"/>
    <w:rsid w:val="73A86934"/>
    <w:rsid w:val="73AF1A71"/>
    <w:rsid w:val="73BB6668"/>
    <w:rsid w:val="73C372CA"/>
    <w:rsid w:val="73CD1EF7"/>
    <w:rsid w:val="73D47729"/>
    <w:rsid w:val="73D94D40"/>
    <w:rsid w:val="73DB0AB8"/>
    <w:rsid w:val="73DC038C"/>
    <w:rsid w:val="73DD4830"/>
    <w:rsid w:val="73DD7583"/>
    <w:rsid w:val="73DE5EB2"/>
    <w:rsid w:val="73EA3533"/>
    <w:rsid w:val="73F2195D"/>
    <w:rsid w:val="73F27BAF"/>
    <w:rsid w:val="73F6144E"/>
    <w:rsid w:val="73F73418"/>
    <w:rsid w:val="73F97190"/>
    <w:rsid w:val="73FB4D0C"/>
    <w:rsid w:val="73FC458A"/>
    <w:rsid w:val="74026044"/>
    <w:rsid w:val="740718AD"/>
    <w:rsid w:val="740A314B"/>
    <w:rsid w:val="740D49E9"/>
    <w:rsid w:val="74116287"/>
    <w:rsid w:val="741713C4"/>
    <w:rsid w:val="741B0EB4"/>
    <w:rsid w:val="74213FF1"/>
    <w:rsid w:val="742B4C2C"/>
    <w:rsid w:val="742C0C8D"/>
    <w:rsid w:val="743106D8"/>
    <w:rsid w:val="743326A2"/>
    <w:rsid w:val="743957DE"/>
    <w:rsid w:val="744A1799"/>
    <w:rsid w:val="744D1707"/>
    <w:rsid w:val="74534AF2"/>
    <w:rsid w:val="745D327B"/>
    <w:rsid w:val="745D771F"/>
    <w:rsid w:val="74624D35"/>
    <w:rsid w:val="74634609"/>
    <w:rsid w:val="746A1E3C"/>
    <w:rsid w:val="74716D26"/>
    <w:rsid w:val="74786307"/>
    <w:rsid w:val="7480340D"/>
    <w:rsid w:val="74836A59"/>
    <w:rsid w:val="748418A9"/>
    <w:rsid w:val="74870157"/>
    <w:rsid w:val="748C570A"/>
    <w:rsid w:val="7491561A"/>
    <w:rsid w:val="74946F26"/>
    <w:rsid w:val="74980757"/>
    <w:rsid w:val="749D3FBF"/>
    <w:rsid w:val="749F7D37"/>
    <w:rsid w:val="74A215D5"/>
    <w:rsid w:val="74A25132"/>
    <w:rsid w:val="74A470FC"/>
    <w:rsid w:val="74B17A6A"/>
    <w:rsid w:val="74B530B7"/>
    <w:rsid w:val="74B90D4E"/>
    <w:rsid w:val="74BA691F"/>
    <w:rsid w:val="74BB4445"/>
    <w:rsid w:val="74BD01BD"/>
    <w:rsid w:val="74C01E2C"/>
    <w:rsid w:val="74C4779E"/>
    <w:rsid w:val="74C831AA"/>
    <w:rsid w:val="74C90910"/>
    <w:rsid w:val="74CA1554"/>
    <w:rsid w:val="74CA4688"/>
    <w:rsid w:val="74CD2FC9"/>
    <w:rsid w:val="74CE5F27"/>
    <w:rsid w:val="74D472B5"/>
    <w:rsid w:val="74D6302D"/>
    <w:rsid w:val="74EE0377"/>
    <w:rsid w:val="74EE3366"/>
    <w:rsid w:val="74F00593"/>
    <w:rsid w:val="74F31E31"/>
    <w:rsid w:val="74F55BA9"/>
    <w:rsid w:val="74F57957"/>
    <w:rsid w:val="74FD4A5E"/>
    <w:rsid w:val="75083F0D"/>
    <w:rsid w:val="75093403"/>
    <w:rsid w:val="750D42D9"/>
    <w:rsid w:val="750D4461"/>
    <w:rsid w:val="75120509"/>
    <w:rsid w:val="75157FF9"/>
    <w:rsid w:val="751853F4"/>
    <w:rsid w:val="751A73BE"/>
    <w:rsid w:val="75263FB5"/>
    <w:rsid w:val="752E10BB"/>
    <w:rsid w:val="75315CE9"/>
    <w:rsid w:val="753366D1"/>
    <w:rsid w:val="7535244A"/>
    <w:rsid w:val="75357D54"/>
    <w:rsid w:val="75371D1E"/>
    <w:rsid w:val="75387844"/>
    <w:rsid w:val="753D4E5A"/>
    <w:rsid w:val="753F2005"/>
    <w:rsid w:val="75410DEE"/>
    <w:rsid w:val="7541494A"/>
    <w:rsid w:val="7548217D"/>
    <w:rsid w:val="75483F70"/>
    <w:rsid w:val="7553467E"/>
    <w:rsid w:val="755A1EB0"/>
    <w:rsid w:val="755C79D6"/>
    <w:rsid w:val="755D54FC"/>
    <w:rsid w:val="7561323F"/>
    <w:rsid w:val="75694265"/>
    <w:rsid w:val="756B3B07"/>
    <w:rsid w:val="756D3991"/>
    <w:rsid w:val="75717D36"/>
    <w:rsid w:val="757A60AE"/>
    <w:rsid w:val="757C3BD5"/>
    <w:rsid w:val="757D16FB"/>
    <w:rsid w:val="7581743D"/>
    <w:rsid w:val="7589009F"/>
    <w:rsid w:val="758962F1"/>
    <w:rsid w:val="758B206A"/>
    <w:rsid w:val="758D7B90"/>
    <w:rsid w:val="7591618F"/>
    <w:rsid w:val="75956A44"/>
    <w:rsid w:val="759B58DC"/>
    <w:rsid w:val="75A241B6"/>
    <w:rsid w:val="75A4312B"/>
    <w:rsid w:val="75A9073C"/>
    <w:rsid w:val="75B50E95"/>
    <w:rsid w:val="75B55338"/>
    <w:rsid w:val="75BF0EF0"/>
    <w:rsid w:val="75C438F8"/>
    <w:rsid w:val="75C8506C"/>
    <w:rsid w:val="75C86E1A"/>
    <w:rsid w:val="75CB690A"/>
    <w:rsid w:val="75CE1F56"/>
    <w:rsid w:val="75CF3A6A"/>
    <w:rsid w:val="75D27C98"/>
    <w:rsid w:val="75DC4673"/>
    <w:rsid w:val="75DF5F11"/>
    <w:rsid w:val="75E2200E"/>
    <w:rsid w:val="75E34125"/>
    <w:rsid w:val="75E63744"/>
    <w:rsid w:val="75EA3234"/>
    <w:rsid w:val="75F145C2"/>
    <w:rsid w:val="75F6664F"/>
    <w:rsid w:val="75F81663"/>
    <w:rsid w:val="75F95225"/>
    <w:rsid w:val="76051E1C"/>
    <w:rsid w:val="76085468"/>
    <w:rsid w:val="76091A17"/>
    <w:rsid w:val="760A11E0"/>
    <w:rsid w:val="7610256F"/>
    <w:rsid w:val="761107C1"/>
    <w:rsid w:val="76155297"/>
    <w:rsid w:val="76157B85"/>
    <w:rsid w:val="761B163F"/>
    <w:rsid w:val="761B49FD"/>
    <w:rsid w:val="762304F4"/>
    <w:rsid w:val="76263B40"/>
    <w:rsid w:val="76366479"/>
    <w:rsid w:val="76391AC6"/>
    <w:rsid w:val="763C3364"/>
    <w:rsid w:val="763E532E"/>
    <w:rsid w:val="76426BCC"/>
    <w:rsid w:val="76432944"/>
    <w:rsid w:val="764364A0"/>
    <w:rsid w:val="76472434"/>
    <w:rsid w:val="76487F5B"/>
    <w:rsid w:val="764D37C3"/>
    <w:rsid w:val="765C57B4"/>
    <w:rsid w:val="765F3F76"/>
    <w:rsid w:val="76634D94"/>
    <w:rsid w:val="76684159"/>
    <w:rsid w:val="766E5C13"/>
    <w:rsid w:val="7671125F"/>
    <w:rsid w:val="767174B1"/>
    <w:rsid w:val="76724FD8"/>
    <w:rsid w:val="76764AC8"/>
    <w:rsid w:val="76766876"/>
    <w:rsid w:val="768014A2"/>
    <w:rsid w:val="7681677C"/>
    <w:rsid w:val="768865A9"/>
    <w:rsid w:val="768C6FB5"/>
    <w:rsid w:val="768D3BBF"/>
    <w:rsid w:val="7693567A"/>
    <w:rsid w:val="76937428"/>
    <w:rsid w:val="7696084C"/>
    <w:rsid w:val="76962A74"/>
    <w:rsid w:val="769829FF"/>
    <w:rsid w:val="76992564"/>
    <w:rsid w:val="769F401E"/>
    <w:rsid w:val="76A3502F"/>
    <w:rsid w:val="76A42953"/>
    <w:rsid w:val="76A71125"/>
    <w:rsid w:val="76A827A7"/>
    <w:rsid w:val="76AF3B36"/>
    <w:rsid w:val="76B178AE"/>
    <w:rsid w:val="76C05D43"/>
    <w:rsid w:val="76C174E4"/>
    <w:rsid w:val="76C375E1"/>
    <w:rsid w:val="76C515AB"/>
    <w:rsid w:val="76C770D1"/>
    <w:rsid w:val="76CF41D8"/>
    <w:rsid w:val="76D649A4"/>
    <w:rsid w:val="76D810FB"/>
    <w:rsid w:val="76DD06A3"/>
    <w:rsid w:val="76E557A9"/>
    <w:rsid w:val="76EC08E6"/>
    <w:rsid w:val="76EC69A5"/>
    <w:rsid w:val="77000835"/>
    <w:rsid w:val="7711659E"/>
    <w:rsid w:val="771209E9"/>
    <w:rsid w:val="77163BB5"/>
    <w:rsid w:val="77185B7F"/>
    <w:rsid w:val="771D4F43"/>
    <w:rsid w:val="771F6425"/>
    <w:rsid w:val="772938E8"/>
    <w:rsid w:val="772B3B04"/>
    <w:rsid w:val="772C486B"/>
    <w:rsid w:val="7731279D"/>
    <w:rsid w:val="773329B9"/>
    <w:rsid w:val="77385F6C"/>
    <w:rsid w:val="773A78A3"/>
    <w:rsid w:val="774150D6"/>
    <w:rsid w:val="774246E5"/>
    <w:rsid w:val="774B1AB0"/>
    <w:rsid w:val="774E77F3"/>
    <w:rsid w:val="77505319"/>
    <w:rsid w:val="77534E09"/>
    <w:rsid w:val="77565351"/>
    <w:rsid w:val="775C3CBE"/>
    <w:rsid w:val="775E5C88"/>
    <w:rsid w:val="775F37AE"/>
    <w:rsid w:val="776747E6"/>
    <w:rsid w:val="776B5CAF"/>
    <w:rsid w:val="777271A3"/>
    <w:rsid w:val="777802EC"/>
    <w:rsid w:val="777D690E"/>
    <w:rsid w:val="777F79AC"/>
    <w:rsid w:val="77813724"/>
    <w:rsid w:val="77843214"/>
    <w:rsid w:val="77873B83"/>
    <w:rsid w:val="7789082B"/>
    <w:rsid w:val="778B00FF"/>
    <w:rsid w:val="77976AA4"/>
    <w:rsid w:val="7798281C"/>
    <w:rsid w:val="779D6084"/>
    <w:rsid w:val="77A613DD"/>
    <w:rsid w:val="77A86F03"/>
    <w:rsid w:val="77AB07A1"/>
    <w:rsid w:val="77AB69F3"/>
    <w:rsid w:val="77B238DE"/>
    <w:rsid w:val="77B84C6C"/>
    <w:rsid w:val="77BA09E4"/>
    <w:rsid w:val="77BA4E88"/>
    <w:rsid w:val="77BB2A43"/>
    <w:rsid w:val="77BE04D4"/>
    <w:rsid w:val="77BF249E"/>
    <w:rsid w:val="77C30BA9"/>
    <w:rsid w:val="77C41863"/>
    <w:rsid w:val="77C74EAF"/>
    <w:rsid w:val="77C81353"/>
    <w:rsid w:val="77CF49DB"/>
    <w:rsid w:val="77D175C4"/>
    <w:rsid w:val="77D45F4A"/>
    <w:rsid w:val="77D93560"/>
    <w:rsid w:val="77E81434"/>
    <w:rsid w:val="77EB3293"/>
    <w:rsid w:val="77ED2B68"/>
    <w:rsid w:val="77F24622"/>
    <w:rsid w:val="77F75794"/>
    <w:rsid w:val="77F8207D"/>
    <w:rsid w:val="77FC0FFD"/>
    <w:rsid w:val="7800450F"/>
    <w:rsid w:val="780215B6"/>
    <w:rsid w:val="78047EB1"/>
    <w:rsid w:val="78061E7B"/>
    <w:rsid w:val="780879A1"/>
    <w:rsid w:val="780A196C"/>
    <w:rsid w:val="780A371A"/>
    <w:rsid w:val="780B56E4"/>
    <w:rsid w:val="780D4FB8"/>
    <w:rsid w:val="78112CFA"/>
    <w:rsid w:val="78120820"/>
    <w:rsid w:val="7819395D"/>
    <w:rsid w:val="781C169F"/>
    <w:rsid w:val="781E5417"/>
    <w:rsid w:val="781F0D95"/>
    <w:rsid w:val="78210A63"/>
    <w:rsid w:val="78252301"/>
    <w:rsid w:val="782567A5"/>
    <w:rsid w:val="782A7918"/>
    <w:rsid w:val="782F13D2"/>
    <w:rsid w:val="7831514A"/>
    <w:rsid w:val="783562BD"/>
    <w:rsid w:val="78411105"/>
    <w:rsid w:val="784309DA"/>
    <w:rsid w:val="78462278"/>
    <w:rsid w:val="78466FEB"/>
    <w:rsid w:val="784A7FBA"/>
    <w:rsid w:val="784C14CE"/>
    <w:rsid w:val="784D2D5B"/>
    <w:rsid w:val="784D7AAA"/>
    <w:rsid w:val="78526E6F"/>
    <w:rsid w:val="7855070D"/>
    <w:rsid w:val="786077DD"/>
    <w:rsid w:val="78616A57"/>
    <w:rsid w:val="78630553"/>
    <w:rsid w:val="7866291A"/>
    <w:rsid w:val="78686692"/>
    <w:rsid w:val="786A41B8"/>
    <w:rsid w:val="786C7F30"/>
    <w:rsid w:val="786F5C73"/>
    <w:rsid w:val="786F7A21"/>
    <w:rsid w:val="787119EB"/>
    <w:rsid w:val="78713799"/>
    <w:rsid w:val="787279DC"/>
    <w:rsid w:val="78762B5D"/>
    <w:rsid w:val="787B4617"/>
    <w:rsid w:val="7884503A"/>
    <w:rsid w:val="78850FF2"/>
    <w:rsid w:val="78866B18"/>
    <w:rsid w:val="78872FBC"/>
    <w:rsid w:val="78880AE2"/>
    <w:rsid w:val="78886D34"/>
    <w:rsid w:val="788D434B"/>
    <w:rsid w:val="789456D9"/>
    <w:rsid w:val="789816F7"/>
    <w:rsid w:val="789B1E6A"/>
    <w:rsid w:val="789B25C4"/>
    <w:rsid w:val="789E3E62"/>
    <w:rsid w:val="78A13E89"/>
    <w:rsid w:val="78A23447"/>
    <w:rsid w:val="78A31478"/>
    <w:rsid w:val="78A551F0"/>
    <w:rsid w:val="78AA6CAB"/>
    <w:rsid w:val="78B74F24"/>
    <w:rsid w:val="78B81DF0"/>
    <w:rsid w:val="78B95140"/>
    <w:rsid w:val="78BB409A"/>
    <w:rsid w:val="78BC253A"/>
    <w:rsid w:val="78CF04BF"/>
    <w:rsid w:val="78DE6954"/>
    <w:rsid w:val="78E57CE3"/>
    <w:rsid w:val="78EA354B"/>
    <w:rsid w:val="78EC1071"/>
    <w:rsid w:val="78F41CD4"/>
    <w:rsid w:val="78FD502C"/>
    <w:rsid w:val="790C526F"/>
    <w:rsid w:val="79132AA2"/>
    <w:rsid w:val="79142376"/>
    <w:rsid w:val="79183C14"/>
    <w:rsid w:val="791F1447"/>
    <w:rsid w:val="79295E21"/>
    <w:rsid w:val="7935438A"/>
    <w:rsid w:val="79377375"/>
    <w:rsid w:val="793A002E"/>
    <w:rsid w:val="793F73F3"/>
    <w:rsid w:val="794159AF"/>
    <w:rsid w:val="79451619"/>
    <w:rsid w:val="79490272"/>
    <w:rsid w:val="794964C4"/>
    <w:rsid w:val="794E7636"/>
    <w:rsid w:val="79556C16"/>
    <w:rsid w:val="795C61F7"/>
    <w:rsid w:val="795D1F6F"/>
    <w:rsid w:val="795D5ACB"/>
    <w:rsid w:val="795F1843"/>
    <w:rsid w:val="795F5CE7"/>
    <w:rsid w:val="79617076"/>
    <w:rsid w:val="7962788F"/>
    <w:rsid w:val="796450AB"/>
    <w:rsid w:val="796706F8"/>
    <w:rsid w:val="7968098F"/>
    <w:rsid w:val="796E034A"/>
    <w:rsid w:val="796E7CD8"/>
    <w:rsid w:val="797057FE"/>
    <w:rsid w:val="797177C8"/>
    <w:rsid w:val="79733540"/>
    <w:rsid w:val="797B41A3"/>
    <w:rsid w:val="797C23F5"/>
    <w:rsid w:val="798219D5"/>
    <w:rsid w:val="79826F52"/>
    <w:rsid w:val="798B2638"/>
    <w:rsid w:val="79960FDD"/>
    <w:rsid w:val="799D1324"/>
    <w:rsid w:val="79A0422D"/>
    <w:rsid w:val="79A4194C"/>
    <w:rsid w:val="79A71C08"/>
    <w:rsid w:val="79A74F98"/>
    <w:rsid w:val="79A84B20"/>
    <w:rsid w:val="79AC0800"/>
    <w:rsid w:val="79AE4579"/>
    <w:rsid w:val="79B3393D"/>
    <w:rsid w:val="79BA3514"/>
    <w:rsid w:val="79BC4EE7"/>
    <w:rsid w:val="79BE0C60"/>
    <w:rsid w:val="79BF0534"/>
    <w:rsid w:val="79C124FE"/>
    <w:rsid w:val="79C8563A"/>
    <w:rsid w:val="79CE0777"/>
    <w:rsid w:val="79CF4418"/>
    <w:rsid w:val="79D0629D"/>
    <w:rsid w:val="79D12015"/>
    <w:rsid w:val="79D3642A"/>
    <w:rsid w:val="79DC7338"/>
    <w:rsid w:val="79E65AC0"/>
    <w:rsid w:val="79F006ED"/>
    <w:rsid w:val="79F24465"/>
    <w:rsid w:val="79F44681"/>
    <w:rsid w:val="79FC3536"/>
    <w:rsid w:val="79FC52E4"/>
    <w:rsid w:val="79FC7092"/>
    <w:rsid w:val="79FE1232"/>
    <w:rsid w:val="79FE72AE"/>
    <w:rsid w:val="79FF6B82"/>
    <w:rsid w:val="7A036D91"/>
    <w:rsid w:val="7A0423EA"/>
    <w:rsid w:val="7A080AFF"/>
    <w:rsid w:val="7A081EDB"/>
    <w:rsid w:val="7A106FE1"/>
    <w:rsid w:val="7A107F05"/>
    <w:rsid w:val="7A146AD1"/>
    <w:rsid w:val="7A150154"/>
    <w:rsid w:val="7A2111EE"/>
    <w:rsid w:val="7A214D4A"/>
    <w:rsid w:val="7A232871"/>
    <w:rsid w:val="7A291E51"/>
    <w:rsid w:val="7A2D36EF"/>
    <w:rsid w:val="7A2D7B93"/>
    <w:rsid w:val="7A306423"/>
    <w:rsid w:val="7A3D7355"/>
    <w:rsid w:val="7A4078C7"/>
    <w:rsid w:val="7A431165"/>
    <w:rsid w:val="7A440A39"/>
    <w:rsid w:val="7A460C55"/>
    <w:rsid w:val="7A4B29B6"/>
    <w:rsid w:val="7A513882"/>
    <w:rsid w:val="7A540C7C"/>
    <w:rsid w:val="7A545120"/>
    <w:rsid w:val="7A57076C"/>
    <w:rsid w:val="7A603AC5"/>
    <w:rsid w:val="7A6247C1"/>
    <w:rsid w:val="7A6335B5"/>
    <w:rsid w:val="7A664E53"/>
    <w:rsid w:val="7A6D1D3E"/>
    <w:rsid w:val="7A6F1F5A"/>
    <w:rsid w:val="7A70182E"/>
    <w:rsid w:val="7A7607F4"/>
    <w:rsid w:val="7A761CCB"/>
    <w:rsid w:val="7A796935"/>
    <w:rsid w:val="7A7F1A71"/>
    <w:rsid w:val="7A85177D"/>
    <w:rsid w:val="7A88301C"/>
    <w:rsid w:val="7A912D54"/>
    <w:rsid w:val="7A94376E"/>
    <w:rsid w:val="7AA17C39"/>
    <w:rsid w:val="7AAB2866"/>
    <w:rsid w:val="7AAC2004"/>
    <w:rsid w:val="7AAD4830"/>
    <w:rsid w:val="7AAF05A8"/>
    <w:rsid w:val="7AB67B89"/>
    <w:rsid w:val="7AB83901"/>
    <w:rsid w:val="7AC027B5"/>
    <w:rsid w:val="7AC52382"/>
    <w:rsid w:val="7AC53928"/>
    <w:rsid w:val="7AC8601E"/>
    <w:rsid w:val="7AC929BC"/>
    <w:rsid w:val="7ACA7190"/>
    <w:rsid w:val="7ACD0A2E"/>
    <w:rsid w:val="7ACD6C80"/>
    <w:rsid w:val="7AD061F6"/>
    <w:rsid w:val="7AD1051F"/>
    <w:rsid w:val="7AD26045"/>
    <w:rsid w:val="7AD718AD"/>
    <w:rsid w:val="7AD973D3"/>
    <w:rsid w:val="7AE069B4"/>
    <w:rsid w:val="7AE30252"/>
    <w:rsid w:val="7AEB59C9"/>
    <w:rsid w:val="7AED10D1"/>
    <w:rsid w:val="7AEF4E49"/>
    <w:rsid w:val="7AF02BEF"/>
    <w:rsid w:val="7AF208D2"/>
    <w:rsid w:val="7AF55978"/>
    <w:rsid w:val="7AF661D7"/>
    <w:rsid w:val="7AF83CFD"/>
    <w:rsid w:val="7AF91823"/>
    <w:rsid w:val="7AF95CC7"/>
    <w:rsid w:val="7AFB37ED"/>
    <w:rsid w:val="7AFB559C"/>
    <w:rsid w:val="7AFC584B"/>
    <w:rsid w:val="7B007056"/>
    <w:rsid w:val="7B034450"/>
    <w:rsid w:val="7B0C77A9"/>
    <w:rsid w:val="7B0E3521"/>
    <w:rsid w:val="7B113011"/>
    <w:rsid w:val="7B1563F1"/>
    <w:rsid w:val="7B1623D5"/>
    <w:rsid w:val="7B1E74DC"/>
    <w:rsid w:val="7B22521E"/>
    <w:rsid w:val="7B2A7C2F"/>
    <w:rsid w:val="7B2E771F"/>
    <w:rsid w:val="7B315461"/>
    <w:rsid w:val="7B362A78"/>
    <w:rsid w:val="7B3867F0"/>
    <w:rsid w:val="7B3A2568"/>
    <w:rsid w:val="7B3B62E0"/>
    <w:rsid w:val="7B3D7962"/>
    <w:rsid w:val="7B430CF1"/>
    <w:rsid w:val="7B483FB5"/>
    <w:rsid w:val="7B4927AB"/>
    <w:rsid w:val="7B4B1BAD"/>
    <w:rsid w:val="7B4F7695"/>
    <w:rsid w:val="7B5178B1"/>
    <w:rsid w:val="7B551150"/>
    <w:rsid w:val="7B5F5B2A"/>
    <w:rsid w:val="7B6018A2"/>
    <w:rsid w:val="7B672C31"/>
    <w:rsid w:val="7B6B0973"/>
    <w:rsid w:val="7B6E2211"/>
    <w:rsid w:val="7B7A6E08"/>
    <w:rsid w:val="7B7F7F7B"/>
    <w:rsid w:val="7B810197"/>
    <w:rsid w:val="7B845591"/>
    <w:rsid w:val="7B89704B"/>
    <w:rsid w:val="7B8A691F"/>
    <w:rsid w:val="7B8B2DC3"/>
    <w:rsid w:val="7B8C2698"/>
    <w:rsid w:val="7B904EA5"/>
    <w:rsid w:val="7B937ECA"/>
    <w:rsid w:val="7B9854E0"/>
    <w:rsid w:val="7BA07EF1"/>
    <w:rsid w:val="7BA2010D"/>
    <w:rsid w:val="7BA54715"/>
    <w:rsid w:val="7BA75723"/>
    <w:rsid w:val="7BA94FF8"/>
    <w:rsid w:val="7BAD0F8C"/>
    <w:rsid w:val="7BB223DA"/>
    <w:rsid w:val="7BB67714"/>
    <w:rsid w:val="7BB67AD7"/>
    <w:rsid w:val="7BB726C2"/>
    <w:rsid w:val="7BB816DF"/>
    <w:rsid w:val="7BC13CD3"/>
    <w:rsid w:val="7BC65BA9"/>
    <w:rsid w:val="7BCE2CB0"/>
    <w:rsid w:val="7BD007D6"/>
    <w:rsid w:val="7BD06079"/>
    <w:rsid w:val="7BD209F2"/>
    <w:rsid w:val="7BDD2EF3"/>
    <w:rsid w:val="7BE11258"/>
    <w:rsid w:val="7BE91898"/>
    <w:rsid w:val="7BEE5100"/>
    <w:rsid w:val="7BF256D2"/>
    <w:rsid w:val="7BF44347"/>
    <w:rsid w:val="7C091F3A"/>
    <w:rsid w:val="7C0E57A2"/>
    <w:rsid w:val="7C176405"/>
    <w:rsid w:val="7C1C16F4"/>
    <w:rsid w:val="7C1D7794"/>
    <w:rsid w:val="7C23124E"/>
    <w:rsid w:val="7C240B22"/>
    <w:rsid w:val="7C262AEC"/>
    <w:rsid w:val="7C2D79D7"/>
    <w:rsid w:val="7C2E19A1"/>
    <w:rsid w:val="7C306DEC"/>
    <w:rsid w:val="7C3074C7"/>
    <w:rsid w:val="7C354ADD"/>
    <w:rsid w:val="7C3660C4"/>
    <w:rsid w:val="7C41457F"/>
    <w:rsid w:val="7C43544C"/>
    <w:rsid w:val="7C482A62"/>
    <w:rsid w:val="7C49795C"/>
    <w:rsid w:val="7C4F2043"/>
    <w:rsid w:val="7C53299A"/>
    <w:rsid w:val="7C547659"/>
    <w:rsid w:val="7C561F60"/>
    <w:rsid w:val="7C572738"/>
    <w:rsid w:val="7C594C70"/>
    <w:rsid w:val="7C5C02BC"/>
    <w:rsid w:val="7C5C6214"/>
    <w:rsid w:val="7C5F1B5A"/>
    <w:rsid w:val="7C63789C"/>
    <w:rsid w:val="7C653614"/>
    <w:rsid w:val="7C66113B"/>
    <w:rsid w:val="7C6B49A3"/>
    <w:rsid w:val="7C7553A2"/>
    <w:rsid w:val="7C7575D0"/>
    <w:rsid w:val="7C7C270C"/>
    <w:rsid w:val="7C7F3FAA"/>
    <w:rsid w:val="7C8141C6"/>
    <w:rsid w:val="7C831CEC"/>
    <w:rsid w:val="7C833A9B"/>
    <w:rsid w:val="7C8415C1"/>
    <w:rsid w:val="7C84325A"/>
    <w:rsid w:val="7C8D66C7"/>
    <w:rsid w:val="7C921F30"/>
    <w:rsid w:val="7C991510"/>
    <w:rsid w:val="7C9A0DE4"/>
    <w:rsid w:val="7C9B7036"/>
    <w:rsid w:val="7C9C4B5C"/>
    <w:rsid w:val="7CA01840"/>
    <w:rsid w:val="7CB225D2"/>
    <w:rsid w:val="7CB4634A"/>
    <w:rsid w:val="7CB7251E"/>
    <w:rsid w:val="7CBB37E8"/>
    <w:rsid w:val="7CC145C3"/>
    <w:rsid w:val="7CCA791B"/>
    <w:rsid w:val="7CCF0A8E"/>
    <w:rsid w:val="7CCF4F32"/>
    <w:rsid w:val="7CD2057E"/>
    <w:rsid w:val="7CD24A22"/>
    <w:rsid w:val="7CD9190C"/>
    <w:rsid w:val="7CDC5B66"/>
    <w:rsid w:val="7CE0713F"/>
    <w:rsid w:val="7CE111F7"/>
    <w:rsid w:val="7CE309DD"/>
    <w:rsid w:val="7CE53B04"/>
    <w:rsid w:val="7CE609CC"/>
    <w:rsid w:val="7CEC5AE4"/>
    <w:rsid w:val="7CED7166"/>
    <w:rsid w:val="7CEE7975"/>
    <w:rsid w:val="7CF05D24"/>
    <w:rsid w:val="7CF160B0"/>
    <w:rsid w:val="7CF76237"/>
    <w:rsid w:val="7D036989"/>
    <w:rsid w:val="7D060228"/>
    <w:rsid w:val="7D0A6036"/>
    <w:rsid w:val="7D124E1E"/>
    <w:rsid w:val="7D1D4579"/>
    <w:rsid w:val="7D1D7C18"/>
    <w:rsid w:val="7D256900"/>
    <w:rsid w:val="7D276B1C"/>
    <w:rsid w:val="7D326920"/>
    <w:rsid w:val="7D342FE7"/>
    <w:rsid w:val="7D344D95"/>
    <w:rsid w:val="7D360B0D"/>
    <w:rsid w:val="7D380D29"/>
    <w:rsid w:val="7D3B4375"/>
    <w:rsid w:val="7D43322A"/>
    <w:rsid w:val="7D4A45B8"/>
    <w:rsid w:val="7D4D5E56"/>
    <w:rsid w:val="7D511DEB"/>
    <w:rsid w:val="7D5E1E12"/>
    <w:rsid w:val="7D6C452F"/>
    <w:rsid w:val="7D7004C3"/>
    <w:rsid w:val="7D7635FF"/>
    <w:rsid w:val="7D777A3E"/>
    <w:rsid w:val="7D781125"/>
    <w:rsid w:val="7D7A30EF"/>
    <w:rsid w:val="7D7D04EA"/>
    <w:rsid w:val="7D7D673C"/>
    <w:rsid w:val="7D7E4262"/>
    <w:rsid w:val="7D853842"/>
    <w:rsid w:val="7D8555F0"/>
    <w:rsid w:val="7D8E0949"/>
    <w:rsid w:val="7D8E0CD4"/>
    <w:rsid w:val="7D8E6B9B"/>
    <w:rsid w:val="7D9026E9"/>
    <w:rsid w:val="7D935F5F"/>
    <w:rsid w:val="7D943A85"/>
    <w:rsid w:val="7D99109C"/>
    <w:rsid w:val="7DA0242A"/>
    <w:rsid w:val="7DA328A1"/>
    <w:rsid w:val="7DAB688B"/>
    <w:rsid w:val="7DAE0FEB"/>
    <w:rsid w:val="7DAE2D99"/>
    <w:rsid w:val="7DB3215D"/>
    <w:rsid w:val="7DB859C6"/>
    <w:rsid w:val="7DBA173E"/>
    <w:rsid w:val="7DBA34EC"/>
    <w:rsid w:val="7DBD2FDC"/>
    <w:rsid w:val="7DC223A1"/>
    <w:rsid w:val="7DC51E91"/>
    <w:rsid w:val="7DCB394B"/>
    <w:rsid w:val="7DCC1471"/>
    <w:rsid w:val="7DD047CF"/>
    <w:rsid w:val="7DD837D4"/>
    <w:rsid w:val="7DDA7B1F"/>
    <w:rsid w:val="7DE00EDC"/>
    <w:rsid w:val="7DE1316F"/>
    <w:rsid w:val="7DE40569"/>
    <w:rsid w:val="7DE44A0D"/>
    <w:rsid w:val="7DE70059"/>
    <w:rsid w:val="7DF10ED8"/>
    <w:rsid w:val="7DF74740"/>
    <w:rsid w:val="7DF804B8"/>
    <w:rsid w:val="7E01111B"/>
    <w:rsid w:val="7E0155BF"/>
    <w:rsid w:val="7E062BD5"/>
    <w:rsid w:val="7E064983"/>
    <w:rsid w:val="7E074257"/>
    <w:rsid w:val="7E0806FB"/>
    <w:rsid w:val="7E1846B6"/>
    <w:rsid w:val="7E1A042F"/>
    <w:rsid w:val="7E1B2D4A"/>
    <w:rsid w:val="7E2412AD"/>
    <w:rsid w:val="7E265025"/>
    <w:rsid w:val="7E266DD3"/>
    <w:rsid w:val="7E2D36EC"/>
    <w:rsid w:val="7E2D6310"/>
    <w:rsid w:val="7E2E3EDA"/>
    <w:rsid w:val="7E33504C"/>
    <w:rsid w:val="7E386B07"/>
    <w:rsid w:val="7E3F1C43"/>
    <w:rsid w:val="7E404434"/>
    <w:rsid w:val="7E484F9C"/>
    <w:rsid w:val="7E494870"/>
    <w:rsid w:val="7E550520"/>
    <w:rsid w:val="7E5D031B"/>
    <w:rsid w:val="7E633B84"/>
    <w:rsid w:val="7E68119A"/>
    <w:rsid w:val="7E6B40EC"/>
    <w:rsid w:val="7E6D67B0"/>
    <w:rsid w:val="7E711F2A"/>
    <w:rsid w:val="7E747B3F"/>
    <w:rsid w:val="7E795155"/>
    <w:rsid w:val="7E7E276B"/>
    <w:rsid w:val="7E7F64E4"/>
    <w:rsid w:val="7E835FD4"/>
    <w:rsid w:val="7E8D3D1F"/>
    <w:rsid w:val="7E9006F1"/>
    <w:rsid w:val="7E955D07"/>
    <w:rsid w:val="7E9B156F"/>
    <w:rsid w:val="7EA877E8"/>
    <w:rsid w:val="7EAF0B77"/>
    <w:rsid w:val="7EB73ECF"/>
    <w:rsid w:val="7EC11C74"/>
    <w:rsid w:val="7ECA59B1"/>
    <w:rsid w:val="7ECB1729"/>
    <w:rsid w:val="7ECD53F2"/>
    <w:rsid w:val="7ECD724F"/>
    <w:rsid w:val="7ECF2FC7"/>
    <w:rsid w:val="7ED06D3F"/>
    <w:rsid w:val="7ED92098"/>
    <w:rsid w:val="7EDB7BBE"/>
    <w:rsid w:val="7EDC7492"/>
    <w:rsid w:val="7EDE320A"/>
    <w:rsid w:val="7EE1528C"/>
    <w:rsid w:val="7EE8052D"/>
    <w:rsid w:val="7EE9099B"/>
    <w:rsid w:val="7EEB5927"/>
    <w:rsid w:val="7EF16703"/>
    <w:rsid w:val="7EF46ED2"/>
    <w:rsid w:val="7EF70770"/>
    <w:rsid w:val="7EFD0CAB"/>
    <w:rsid w:val="7EFE38AC"/>
    <w:rsid w:val="7EFE565A"/>
    <w:rsid w:val="7F01514B"/>
    <w:rsid w:val="7F08297D"/>
    <w:rsid w:val="7F0D1FD5"/>
    <w:rsid w:val="7F10538E"/>
    <w:rsid w:val="7F1135E0"/>
    <w:rsid w:val="7F182BC0"/>
    <w:rsid w:val="7F1906E6"/>
    <w:rsid w:val="7F192494"/>
    <w:rsid w:val="7F196938"/>
    <w:rsid w:val="7F1C1F84"/>
    <w:rsid w:val="7F1D01D6"/>
    <w:rsid w:val="7F1E5CFC"/>
    <w:rsid w:val="7F211349"/>
    <w:rsid w:val="7F231565"/>
    <w:rsid w:val="7F233EAD"/>
    <w:rsid w:val="7F286B7B"/>
    <w:rsid w:val="7F295766"/>
    <w:rsid w:val="7F2C666B"/>
    <w:rsid w:val="7F2E617B"/>
    <w:rsid w:val="7F313C82"/>
    <w:rsid w:val="7F345520"/>
    <w:rsid w:val="7F385010"/>
    <w:rsid w:val="7F3E639F"/>
    <w:rsid w:val="7F460DAF"/>
    <w:rsid w:val="7F48291A"/>
    <w:rsid w:val="7F4A08A0"/>
    <w:rsid w:val="7F55069E"/>
    <w:rsid w:val="7F585312"/>
    <w:rsid w:val="7F5B0CFF"/>
    <w:rsid w:val="7F631961"/>
    <w:rsid w:val="7F6A7194"/>
    <w:rsid w:val="7F6C4CBA"/>
    <w:rsid w:val="7F6F47AA"/>
    <w:rsid w:val="7F78540D"/>
    <w:rsid w:val="7F7E04DA"/>
    <w:rsid w:val="7F7E30AB"/>
    <w:rsid w:val="7F7E49ED"/>
    <w:rsid w:val="7F802513"/>
    <w:rsid w:val="7F8A3392"/>
    <w:rsid w:val="7F8A5140"/>
    <w:rsid w:val="7F9D30C5"/>
    <w:rsid w:val="7F9F6E3D"/>
    <w:rsid w:val="7FA93818"/>
    <w:rsid w:val="7FB17E3E"/>
    <w:rsid w:val="7FBD418D"/>
    <w:rsid w:val="7FBD5515"/>
    <w:rsid w:val="7FC70142"/>
    <w:rsid w:val="7FCC7A47"/>
    <w:rsid w:val="7FD05249"/>
    <w:rsid w:val="7FD30895"/>
    <w:rsid w:val="7FDA60C7"/>
    <w:rsid w:val="7FDB3BED"/>
    <w:rsid w:val="7FDB599C"/>
    <w:rsid w:val="7FDD5BB8"/>
    <w:rsid w:val="7FDD7966"/>
    <w:rsid w:val="7FDF4DCE"/>
    <w:rsid w:val="7FE40CF4"/>
    <w:rsid w:val="7FE900B8"/>
    <w:rsid w:val="7FEE1B73"/>
    <w:rsid w:val="7FF07699"/>
    <w:rsid w:val="7FF151BF"/>
    <w:rsid w:val="7FF62632"/>
    <w:rsid w:val="7FF902E4"/>
    <w:rsid w:val="7FFD5912"/>
  </w:rsids>
  <m:mathPr>
    <m:mathFont m:val="Cambria Math"/>
    <m:brkBin m:val="before"/>
    <m:brkBinSub m:val="--"/>
    <m:smallFrac m:val="1"/>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35"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position w:val="-6"/>
      <w:sz w:val="21"/>
      <w:lang w:val="en-US" w:eastAsia="zh-CN" w:bidi="ar-SA"/>
    </w:rPr>
  </w:style>
  <w:style w:type="paragraph" w:styleId="2">
    <w:name w:val="heading 1"/>
    <w:basedOn w:val="1"/>
    <w:next w:val="1"/>
    <w:link w:val="56"/>
    <w:autoRedefine/>
    <w:qFormat/>
    <w:uiPriority w:val="0"/>
    <w:pPr>
      <w:keepNext/>
      <w:keepLines/>
      <w:spacing w:line="578" w:lineRule="auto"/>
      <w:outlineLvl w:val="0"/>
    </w:pPr>
    <w:rPr>
      <w:b/>
      <w:bCs/>
      <w:kern w:val="44"/>
      <w:position w:val="0"/>
      <w:sz w:val="44"/>
      <w:szCs w:val="44"/>
    </w:rPr>
  </w:style>
  <w:style w:type="paragraph" w:styleId="3">
    <w:name w:val="heading 2"/>
    <w:basedOn w:val="1"/>
    <w:next w:val="1"/>
    <w:link w:val="57"/>
    <w:autoRedefine/>
    <w:qFormat/>
    <w:uiPriority w:val="0"/>
    <w:pPr>
      <w:keepNext/>
      <w:keepLines/>
      <w:spacing w:line="416" w:lineRule="auto"/>
      <w:outlineLvl w:val="1"/>
    </w:pPr>
    <w:rPr>
      <w:rFonts w:ascii="Arial" w:hAnsi="Arial" w:eastAsia="黑体"/>
      <w:b/>
      <w:bCs/>
      <w:position w:val="0"/>
      <w:sz w:val="32"/>
      <w:szCs w:val="32"/>
    </w:rPr>
  </w:style>
  <w:style w:type="paragraph" w:styleId="4">
    <w:name w:val="heading 3"/>
    <w:basedOn w:val="1"/>
    <w:next w:val="1"/>
    <w:link w:val="58"/>
    <w:autoRedefine/>
    <w:qFormat/>
    <w:uiPriority w:val="0"/>
    <w:pPr>
      <w:keepNext/>
      <w:keepLines/>
      <w:spacing w:line="416" w:lineRule="auto"/>
      <w:outlineLvl w:val="2"/>
    </w:pPr>
    <w:rPr>
      <w:b/>
      <w:bCs/>
      <w:sz w:val="32"/>
      <w:szCs w:val="32"/>
    </w:rPr>
  </w:style>
  <w:style w:type="paragraph" w:styleId="5">
    <w:name w:val="heading 4"/>
    <w:basedOn w:val="1"/>
    <w:next w:val="1"/>
    <w:link w:val="59"/>
    <w:autoRedefine/>
    <w:qFormat/>
    <w:uiPriority w:val="0"/>
    <w:pPr>
      <w:keepNext/>
      <w:keepLines/>
      <w:autoSpaceDE w:val="0"/>
      <w:autoSpaceDN w:val="0"/>
      <w:adjustRightInd w:val="0"/>
      <w:spacing w:line="440" w:lineRule="atLeast"/>
      <w:ind w:firstLine="425"/>
      <w:jc w:val="left"/>
      <w:textAlignment w:val="baseline"/>
      <w:outlineLvl w:val="3"/>
    </w:pPr>
    <w:rPr>
      <w:rFonts w:ascii="黑体" w:eastAsia="黑体"/>
      <w:kern w:val="0"/>
      <w:position w:val="0"/>
      <w:sz w:val="24"/>
    </w:rPr>
  </w:style>
  <w:style w:type="paragraph" w:styleId="6">
    <w:name w:val="heading 5"/>
    <w:basedOn w:val="1"/>
    <w:next w:val="1"/>
    <w:link w:val="60"/>
    <w:autoRedefine/>
    <w:qFormat/>
    <w:uiPriority w:val="9"/>
    <w:pPr>
      <w:widowControl/>
      <w:spacing w:line="252" w:lineRule="auto"/>
      <w:jc w:val="center"/>
      <w:outlineLvl w:val="4"/>
    </w:pPr>
    <w:rPr>
      <w:rFonts w:ascii="Cambria" w:hAnsi="Cambria"/>
      <w:caps/>
      <w:color w:val="622423"/>
      <w:spacing w:val="10"/>
      <w:kern w:val="0"/>
      <w:position w:val="0"/>
      <w:sz w:val="22"/>
      <w:szCs w:val="22"/>
      <w:lang w:eastAsia="en-US" w:bidi="en-US"/>
    </w:rPr>
  </w:style>
  <w:style w:type="paragraph" w:styleId="7">
    <w:name w:val="heading 6"/>
    <w:basedOn w:val="1"/>
    <w:next w:val="1"/>
    <w:link w:val="61"/>
    <w:autoRedefine/>
    <w:qFormat/>
    <w:uiPriority w:val="9"/>
    <w:pPr>
      <w:widowControl/>
      <w:spacing w:line="252" w:lineRule="auto"/>
      <w:jc w:val="center"/>
      <w:outlineLvl w:val="5"/>
    </w:pPr>
    <w:rPr>
      <w:rFonts w:ascii="Cambria" w:hAnsi="Cambria"/>
      <w:caps/>
      <w:color w:val="943634"/>
      <w:spacing w:val="10"/>
      <w:kern w:val="0"/>
      <w:position w:val="0"/>
      <w:sz w:val="22"/>
      <w:szCs w:val="22"/>
      <w:lang w:eastAsia="en-US" w:bidi="en-US"/>
    </w:rPr>
  </w:style>
  <w:style w:type="paragraph" w:styleId="8">
    <w:name w:val="heading 7"/>
    <w:basedOn w:val="1"/>
    <w:next w:val="1"/>
    <w:link w:val="62"/>
    <w:autoRedefine/>
    <w:qFormat/>
    <w:uiPriority w:val="0"/>
    <w:pPr>
      <w:widowControl/>
      <w:spacing w:line="252" w:lineRule="auto"/>
      <w:jc w:val="center"/>
      <w:outlineLvl w:val="6"/>
    </w:pPr>
    <w:rPr>
      <w:rFonts w:ascii="Cambria" w:hAnsi="Cambria"/>
      <w:i/>
      <w:iCs/>
      <w:caps/>
      <w:color w:val="943634"/>
      <w:spacing w:val="10"/>
      <w:kern w:val="0"/>
      <w:position w:val="0"/>
      <w:sz w:val="22"/>
      <w:szCs w:val="22"/>
      <w:lang w:eastAsia="en-US" w:bidi="en-US"/>
    </w:rPr>
  </w:style>
  <w:style w:type="paragraph" w:styleId="9">
    <w:name w:val="heading 8"/>
    <w:basedOn w:val="1"/>
    <w:next w:val="1"/>
    <w:link w:val="63"/>
    <w:autoRedefine/>
    <w:qFormat/>
    <w:uiPriority w:val="0"/>
    <w:pPr>
      <w:widowControl/>
      <w:spacing w:line="252" w:lineRule="auto"/>
      <w:jc w:val="center"/>
      <w:outlineLvl w:val="7"/>
    </w:pPr>
    <w:rPr>
      <w:rFonts w:ascii="Cambria" w:hAnsi="Cambria"/>
      <w:caps/>
      <w:spacing w:val="10"/>
      <w:kern w:val="0"/>
      <w:position w:val="0"/>
      <w:sz w:val="20"/>
      <w:lang w:eastAsia="en-US" w:bidi="en-US"/>
    </w:rPr>
  </w:style>
  <w:style w:type="paragraph" w:styleId="10">
    <w:name w:val="heading 9"/>
    <w:basedOn w:val="1"/>
    <w:next w:val="1"/>
    <w:link w:val="64"/>
    <w:autoRedefine/>
    <w:qFormat/>
    <w:uiPriority w:val="0"/>
    <w:pPr>
      <w:widowControl/>
      <w:spacing w:line="252" w:lineRule="auto"/>
      <w:jc w:val="center"/>
      <w:outlineLvl w:val="8"/>
    </w:pPr>
    <w:rPr>
      <w:rFonts w:ascii="Cambria" w:hAnsi="Cambria"/>
      <w:i/>
      <w:iCs/>
      <w:caps/>
      <w:spacing w:val="10"/>
      <w:kern w:val="0"/>
      <w:position w:val="0"/>
      <w:sz w:val="20"/>
      <w:lang w:eastAsia="en-US" w:bidi="en-US"/>
    </w:rPr>
  </w:style>
  <w:style w:type="character" w:default="1" w:styleId="47">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1260"/>
      <w:jc w:val="left"/>
    </w:pPr>
    <w:rPr>
      <w:rFonts w:ascii="Calibri" w:hAnsi="Calibri"/>
      <w:sz w:val="18"/>
      <w:szCs w:val="18"/>
    </w:rPr>
  </w:style>
  <w:style w:type="paragraph" w:styleId="12">
    <w:name w:val="Normal Indent"/>
    <w:basedOn w:val="1"/>
    <w:autoRedefine/>
    <w:qFormat/>
    <w:uiPriority w:val="0"/>
    <w:pPr>
      <w:ind w:firstLine="420"/>
    </w:pPr>
  </w:style>
  <w:style w:type="paragraph" w:styleId="13">
    <w:name w:val="caption"/>
    <w:basedOn w:val="1"/>
    <w:next w:val="1"/>
    <w:autoRedefine/>
    <w:qFormat/>
    <w:uiPriority w:val="35"/>
    <w:pPr>
      <w:widowControl/>
      <w:spacing w:line="252" w:lineRule="auto"/>
      <w:jc w:val="left"/>
    </w:pPr>
    <w:rPr>
      <w:rFonts w:ascii="Cambria" w:hAnsi="Cambria"/>
      <w:caps/>
      <w:spacing w:val="10"/>
      <w:kern w:val="0"/>
      <w:position w:val="0"/>
      <w:sz w:val="18"/>
      <w:szCs w:val="18"/>
      <w:lang w:eastAsia="en-US" w:bidi="en-US"/>
    </w:rPr>
  </w:style>
  <w:style w:type="paragraph" w:styleId="14">
    <w:name w:val="Document Map"/>
    <w:basedOn w:val="1"/>
    <w:link w:val="65"/>
    <w:autoRedefine/>
    <w:qFormat/>
    <w:uiPriority w:val="0"/>
    <w:rPr>
      <w:rFonts w:ascii="宋体"/>
      <w:sz w:val="18"/>
      <w:szCs w:val="18"/>
    </w:rPr>
  </w:style>
  <w:style w:type="paragraph" w:styleId="15">
    <w:name w:val="toa heading"/>
    <w:basedOn w:val="1"/>
    <w:next w:val="1"/>
    <w:autoRedefine/>
    <w:qFormat/>
    <w:uiPriority w:val="99"/>
    <w:pPr>
      <w:widowControl/>
      <w:spacing w:line="252" w:lineRule="auto"/>
      <w:jc w:val="left"/>
    </w:pPr>
    <w:rPr>
      <w:rFonts w:ascii="Cambria" w:hAnsi="Cambria"/>
      <w:kern w:val="0"/>
      <w:position w:val="0"/>
      <w:sz w:val="24"/>
      <w:szCs w:val="24"/>
      <w:lang w:eastAsia="en-US" w:bidi="en-US"/>
    </w:rPr>
  </w:style>
  <w:style w:type="paragraph" w:styleId="16">
    <w:name w:val="annotation text"/>
    <w:basedOn w:val="1"/>
    <w:link w:val="69"/>
    <w:autoRedefine/>
    <w:qFormat/>
    <w:uiPriority w:val="0"/>
    <w:pPr>
      <w:jc w:val="left"/>
    </w:pPr>
  </w:style>
  <w:style w:type="paragraph" w:styleId="17">
    <w:name w:val="Body Text 3"/>
    <w:basedOn w:val="1"/>
    <w:link w:val="77"/>
    <w:autoRedefine/>
    <w:qFormat/>
    <w:uiPriority w:val="0"/>
    <w:pPr>
      <w:jc w:val="center"/>
    </w:pPr>
    <w:rPr>
      <w:sz w:val="28"/>
    </w:rPr>
  </w:style>
  <w:style w:type="paragraph" w:styleId="18">
    <w:name w:val="Body Text"/>
    <w:basedOn w:val="1"/>
    <w:next w:val="19"/>
    <w:link w:val="73"/>
    <w:autoRedefine/>
    <w:qFormat/>
    <w:uiPriority w:val="0"/>
    <w:pPr>
      <w:snapToGrid w:val="0"/>
      <w:spacing w:line="360" w:lineRule="auto"/>
      <w:jc w:val="center"/>
    </w:pPr>
    <w:rPr>
      <w:sz w:val="28"/>
    </w:rPr>
  </w:style>
  <w:style w:type="paragraph" w:styleId="19">
    <w:name w:val="Title"/>
    <w:basedOn w:val="1"/>
    <w:next w:val="1"/>
    <w:link w:val="72"/>
    <w:autoRedefine/>
    <w:qFormat/>
    <w:uiPriority w:val="0"/>
    <w:pPr>
      <w:widowControl/>
      <w:pBdr>
        <w:top w:val="dotted" w:color="632423" w:sz="2" w:space="1"/>
        <w:bottom w:val="dotted" w:color="632423" w:sz="2" w:space="6"/>
      </w:pBdr>
      <w:jc w:val="center"/>
    </w:pPr>
    <w:rPr>
      <w:rFonts w:ascii="Cambria" w:hAnsi="Cambria"/>
      <w:caps/>
      <w:color w:val="632423"/>
      <w:spacing w:val="50"/>
      <w:kern w:val="0"/>
      <w:position w:val="0"/>
      <w:sz w:val="44"/>
      <w:szCs w:val="44"/>
      <w:lang w:eastAsia="en-US" w:bidi="en-US"/>
    </w:rPr>
  </w:style>
  <w:style w:type="paragraph" w:styleId="20">
    <w:name w:val="Body Text Indent"/>
    <w:basedOn w:val="1"/>
    <w:next w:val="21"/>
    <w:link w:val="84"/>
    <w:autoRedefine/>
    <w:qFormat/>
    <w:uiPriority w:val="0"/>
    <w:pPr>
      <w:ind w:left="420" w:leftChars="200"/>
    </w:pPr>
  </w:style>
  <w:style w:type="paragraph" w:styleId="21">
    <w:name w:val="Body Text First Indent 2"/>
    <w:basedOn w:val="20"/>
    <w:next w:val="1"/>
    <w:link w:val="126"/>
    <w:autoRedefine/>
    <w:unhideWhenUsed/>
    <w:qFormat/>
    <w:uiPriority w:val="99"/>
    <w:pPr>
      <w:spacing w:after="120"/>
      <w:ind w:firstLine="420" w:firstLineChars="200"/>
    </w:pPr>
  </w:style>
  <w:style w:type="paragraph" w:styleId="22">
    <w:name w:val="Block Text"/>
    <w:basedOn w:val="1"/>
    <w:autoRedefine/>
    <w:qFormat/>
    <w:uiPriority w:val="0"/>
    <w:pPr>
      <w:tabs>
        <w:tab w:val="left" w:pos="720"/>
      </w:tabs>
      <w:spacing w:beforeLines="100"/>
      <w:ind w:left="1800" w:right="-512" w:rightChars="-244"/>
    </w:pPr>
    <w:rPr>
      <w:position w:val="0"/>
      <w:sz w:val="36"/>
      <w:szCs w:val="24"/>
    </w:rPr>
  </w:style>
  <w:style w:type="paragraph" w:styleId="23">
    <w:name w:val="toc 5"/>
    <w:basedOn w:val="1"/>
    <w:next w:val="1"/>
    <w:autoRedefine/>
    <w:qFormat/>
    <w:uiPriority w:val="39"/>
    <w:pPr>
      <w:ind w:left="840"/>
      <w:jc w:val="left"/>
    </w:pPr>
    <w:rPr>
      <w:rFonts w:ascii="Calibri" w:hAnsi="Calibri"/>
      <w:sz w:val="18"/>
      <w:szCs w:val="18"/>
    </w:rPr>
  </w:style>
  <w:style w:type="paragraph" w:styleId="24">
    <w:name w:val="toc 3"/>
    <w:basedOn w:val="1"/>
    <w:next w:val="1"/>
    <w:autoRedefine/>
    <w:qFormat/>
    <w:uiPriority w:val="39"/>
    <w:pPr>
      <w:ind w:left="420"/>
      <w:jc w:val="left"/>
    </w:pPr>
    <w:rPr>
      <w:rFonts w:ascii="Calibri" w:hAnsi="Calibri"/>
      <w:i/>
      <w:iCs/>
      <w:sz w:val="20"/>
    </w:rPr>
  </w:style>
  <w:style w:type="paragraph" w:styleId="25">
    <w:name w:val="Plain Text"/>
    <w:basedOn w:val="1"/>
    <w:next w:val="1"/>
    <w:link w:val="82"/>
    <w:autoRedefine/>
    <w:qFormat/>
    <w:uiPriority w:val="0"/>
    <w:rPr>
      <w:rFonts w:ascii="宋体" w:hAnsi="Courier New"/>
    </w:rPr>
  </w:style>
  <w:style w:type="paragraph" w:styleId="26">
    <w:name w:val="toc 8"/>
    <w:basedOn w:val="1"/>
    <w:next w:val="1"/>
    <w:autoRedefine/>
    <w:qFormat/>
    <w:uiPriority w:val="39"/>
    <w:pPr>
      <w:ind w:left="1470"/>
      <w:jc w:val="left"/>
    </w:pPr>
    <w:rPr>
      <w:rFonts w:ascii="Calibri" w:hAnsi="Calibri"/>
      <w:sz w:val="18"/>
      <w:szCs w:val="18"/>
    </w:rPr>
  </w:style>
  <w:style w:type="paragraph" w:styleId="27">
    <w:name w:val="Date"/>
    <w:basedOn w:val="1"/>
    <w:next w:val="1"/>
    <w:link w:val="85"/>
    <w:autoRedefine/>
    <w:qFormat/>
    <w:uiPriority w:val="0"/>
    <w:pPr>
      <w:ind w:left="100" w:leftChars="2500"/>
    </w:pPr>
    <w:rPr>
      <w:position w:val="0"/>
      <w:szCs w:val="24"/>
    </w:rPr>
  </w:style>
  <w:style w:type="paragraph" w:styleId="28">
    <w:name w:val="Body Text Indent 2"/>
    <w:basedOn w:val="1"/>
    <w:link w:val="67"/>
    <w:autoRedefine/>
    <w:qFormat/>
    <w:uiPriority w:val="99"/>
    <w:pPr>
      <w:spacing w:line="480" w:lineRule="auto"/>
      <w:ind w:left="420" w:leftChars="200"/>
    </w:pPr>
  </w:style>
  <w:style w:type="paragraph" w:styleId="29">
    <w:name w:val="endnote text"/>
    <w:basedOn w:val="1"/>
    <w:link w:val="71"/>
    <w:autoRedefine/>
    <w:qFormat/>
    <w:uiPriority w:val="99"/>
    <w:pPr>
      <w:snapToGrid w:val="0"/>
      <w:jc w:val="left"/>
    </w:pPr>
  </w:style>
  <w:style w:type="paragraph" w:styleId="30">
    <w:name w:val="Balloon Text"/>
    <w:basedOn w:val="1"/>
    <w:link w:val="66"/>
    <w:autoRedefine/>
    <w:qFormat/>
    <w:uiPriority w:val="0"/>
    <w:rPr>
      <w:sz w:val="18"/>
      <w:szCs w:val="18"/>
    </w:rPr>
  </w:style>
  <w:style w:type="paragraph" w:styleId="31">
    <w:name w:val="footer"/>
    <w:basedOn w:val="1"/>
    <w:link w:val="68"/>
    <w:autoRedefine/>
    <w:qFormat/>
    <w:uiPriority w:val="0"/>
    <w:pPr>
      <w:tabs>
        <w:tab w:val="center" w:pos="4153"/>
        <w:tab w:val="right" w:pos="8306"/>
      </w:tabs>
      <w:snapToGrid w:val="0"/>
      <w:jc w:val="left"/>
    </w:pPr>
    <w:rPr>
      <w:sz w:val="18"/>
      <w:szCs w:val="18"/>
    </w:rPr>
  </w:style>
  <w:style w:type="paragraph" w:styleId="32">
    <w:name w:val="header"/>
    <w:basedOn w:val="1"/>
    <w:link w:val="78"/>
    <w:autoRedefine/>
    <w:qFormat/>
    <w:uiPriority w:val="0"/>
    <w:pPr>
      <w:pBdr>
        <w:bottom w:val="thickThinSmallGap" w:color="622423" w:sz="24" w:space="1"/>
      </w:pBdr>
      <w:tabs>
        <w:tab w:val="center" w:pos="4153"/>
        <w:tab w:val="right" w:pos="8306"/>
      </w:tabs>
      <w:snapToGrid w:val="0"/>
    </w:pPr>
    <w:rPr>
      <w:rFonts w:ascii="黑体" w:hAnsi="Cambria" w:eastAsia="黑体"/>
      <w:szCs w:val="21"/>
    </w:rPr>
  </w:style>
  <w:style w:type="paragraph" w:styleId="33">
    <w:name w:val="toc 1"/>
    <w:basedOn w:val="1"/>
    <w:next w:val="1"/>
    <w:autoRedefine/>
    <w:qFormat/>
    <w:uiPriority w:val="39"/>
    <w:pPr>
      <w:jc w:val="left"/>
    </w:pPr>
    <w:rPr>
      <w:rFonts w:ascii="Calibri" w:hAnsi="Calibri"/>
      <w:b/>
      <w:bCs/>
      <w:caps/>
      <w:sz w:val="20"/>
    </w:rPr>
  </w:style>
  <w:style w:type="paragraph" w:styleId="34">
    <w:name w:val="toc 4"/>
    <w:basedOn w:val="1"/>
    <w:next w:val="1"/>
    <w:autoRedefine/>
    <w:qFormat/>
    <w:uiPriority w:val="39"/>
    <w:pPr>
      <w:ind w:left="630"/>
      <w:jc w:val="left"/>
    </w:pPr>
    <w:rPr>
      <w:rFonts w:ascii="Calibri" w:hAnsi="Calibri"/>
      <w:sz w:val="18"/>
      <w:szCs w:val="18"/>
    </w:rPr>
  </w:style>
  <w:style w:type="paragraph" w:styleId="35">
    <w:name w:val="Subtitle"/>
    <w:basedOn w:val="1"/>
    <w:next w:val="1"/>
    <w:link w:val="87"/>
    <w:autoRedefine/>
    <w:qFormat/>
    <w:uiPriority w:val="11"/>
    <w:pPr>
      <w:widowControl/>
      <w:jc w:val="center"/>
    </w:pPr>
    <w:rPr>
      <w:rFonts w:ascii="Cambria" w:hAnsi="Cambria"/>
      <w:caps/>
      <w:spacing w:val="20"/>
      <w:kern w:val="0"/>
      <w:position w:val="0"/>
      <w:sz w:val="18"/>
      <w:szCs w:val="18"/>
      <w:lang w:eastAsia="en-US" w:bidi="en-US"/>
    </w:rPr>
  </w:style>
  <w:style w:type="paragraph" w:styleId="36">
    <w:name w:val="footnote text"/>
    <w:basedOn w:val="1"/>
    <w:link w:val="76"/>
    <w:autoRedefine/>
    <w:qFormat/>
    <w:uiPriority w:val="0"/>
    <w:pPr>
      <w:snapToGrid w:val="0"/>
      <w:jc w:val="left"/>
    </w:pPr>
    <w:rPr>
      <w:position w:val="0"/>
      <w:sz w:val="18"/>
      <w:szCs w:val="18"/>
    </w:rPr>
  </w:style>
  <w:style w:type="paragraph" w:styleId="37">
    <w:name w:val="toc 6"/>
    <w:basedOn w:val="1"/>
    <w:next w:val="1"/>
    <w:autoRedefine/>
    <w:qFormat/>
    <w:uiPriority w:val="39"/>
    <w:pPr>
      <w:ind w:left="1050"/>
      <w:jc w:val="left"/>
    </w:pPr>
    <w:rPr>
      <w:rFonts w:ascii="Calibri" w:hAnsi="Calibri"/>
      <w:sz w:val="18"/>
      <w:szCs w:val="18"/>
    </w:rPr>
  </w:style>
  <w:style w:type="paragraph" w:styleId="38">
    <w:name w:val="Body Text Indent 3"/>
    <w:basedOn w:val="1"/>
    <w:link w:val="74"/>
    <w:autoRedefine/>
    <w:qFormat/>
    <w:uiPriority w:val="0"/>
    <w:pPr>
      <w:ind w:left="420" w:leftChars="200"/>
    </w:pPr>
    <w:rPr>
      <w:sz w:val="16"/>
      <w:szCs w:val="16"/>
    </w:rPr>
  </w:style>
  <w:style w:type="paragraph" w:styleId="39">
    <w:name w:val="table of figures"/>
    <w:basedOn w:val="1"/>
    <w:next w:val="1"/>
    <w:link w:val="83"/>
    <w:autoRedefine/>
    <w:qFormat/>
    <w:uiPriority w:val="0"/>
    <w:pPr>
      <w:ind w:left="840" w:hanging="420"/>
    </w:pPr>
    <w:rPr>
      <w:position w:val="0"/>
      <w:szCs w:val="24"/>
    </w:rPr>
  </w:style>
  <w:style w:type="paragraph" w:styleId="40">
    <w:name w:val="toc 2"/>
    <w:basedOn w:val="1"/>
    <w:next w:val="1"/>
    <w:autoRedefine/>
    <w:qFormat/>
    <w:uiPriority w:val="39"/>
    <w:pPr>
      <w:ind w:left="210"/>
      <w:jc w:val="left"/>
    </w:pPr>
    <w:rPr>
      <w:rFonts w:ascii="Calibri" w:hAnsi="Calibri"/>
      <w:smallCaps/>
      <w:sz w:val="20"/>
    </w:rPr>
  </w:style>
  <w:style w:type="paragraph" w:styleId="41">
    <w:name w:val="toc 9"/>
    <w:basedOn w:val="1"/>
    <w:next w:val="1"/>
    <w:autoRedefine/>
    <w:qFormat/>
    <w:uiPriority w:val="39"/>
    <w:pPr>
      <w:ind w:left="1680"/>
      <w:jc w:val="left"/>
    </w:pPr>
    <w:rPr>
      <w:rFonts w:ascii="Calibri" w:hAnsi="Calibri"/>
      <w:sz w:val="18"/>
      <w:szCs w:val="18"/>
    </w:rPr>
  </w:style>
  <w:style w:type="paragraph" w:styleId="42">
    <w:name w:val="Body Text 2"/>
    <w:basedOn w:val="1"/>
    <w:link w:val="70"/>
    <w:autoRedefine/>
    <w:qFormat/>
    <w:uiPriority w:val="0"/>
    <w:pPr>
      <w:jc w:val="center"/>
    </w:pPr>
    <w:rPr>
      <w:sz w:val="24"/>
    </w:rPr>
  </w:style>
  <w:style w:type="paragraph" w:styleId="43">
    <w:name w:val="annotation subject"/>
    <w:basedOn w:val="16"/>
    <w:next w:val="16"/>
    <w:link w:val="86"/>
    <w:autoRedefine/>
    <w:qFormat/>
    <w:uiPriority w:val="0"/>
    <w:rPr>
      <w:b/>
      <w:bCs/>
    </w:rPr>
  </w:style>
  <w:style w:type="paragraph" w:styleId="44">
    <w:name w:val="Body Text First Indent"/>
    <w:basedOn w:val="1"/>
    <w:link w:val="132"/>
    <w:autoRedefine/>
    <w:qFormat/>
    <w:uiPriority w:val="0"/>
    <w:pPr>
      <w:spacing w:line="312" w:lineRule="auto"/>
      <w:ind w:firstLine="420"/>
    </w:pPr>
    <w:rPr>
      <w:position w:val="0"/>
      <w:szCs w:val="24"/>
    </w:rPr>
  </w:style>
  <w:style w:type="table" w:styleId="46">
    <w:name w:val="Table Grid"/>
    <w:basedOn w:val="4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autoRedefine/>
    <w:qFormat/>
    <w:uiPriority w:val="22"/>
    <w:rPr>
      <w:b/>
      <w:bCs/>
      <w:color w:val="943634"/>
      <w:spacing w:val="5"/>
    </w:rPr>
  </w:style>
  <w:style w:type="character" w:styleId="49">
    <w:name w:val="endnote reference"/>
    <w:autoRedefine/>
    <w:qFormat/>
    <w:uiPriority w:val="99"/>
    <w:rPr>
      <w:vertAlign w:val="superscript"/>
    </w:rPr>
  </w:style>
  <w:style w:type="character" w:styleId="50">
    <w:name w:val="page number"/>
    <w:basedOn w:val="47"/>
    <w:autoRedefine/>
    <w:qFormat/>
    <w:uiPriority w:val="0"/>
  </w:style>
  <w:style w:type="character" w:styleId="51">
    <w:name w:val="FollowedHyperlink"/>
    <w:autoRedefine/>
    <w:qFormat/>
    <w:uiPriority w:val="0"/>
    <w:rPr>
      <w:color w:val="800080"/>
      <w:u w:val="single"/>
    </w:rPr>
  </w:style>
  <w:style w:type="character" w:styleId="52">
    <w:name w:val="Emphasis"/>
    <w:autoRedefine/>
    <w:qFormat/>
    <w:uiPriority w:val="20"/>
    <w:rPr>
      <w:i/>
      <w:iCs/>
    </w:rPr>
  </w:style>
  <w:style w:type="character" w:styleId="53">
    <w:name w:val="Hyperlink"/>
    <w:autoRedefine/>
    <w:qFormat/>
    <w:uiPriority w:val="99"/>
    <w:rPr>
      <w:color w:val="0000FF"/>
      <w:u w:val="single"/>
    </w:rPr>
  </w:style>
  <w:style w:type="character" w:styleId="54">
    <w:name w:val="annotation reference"/>
    <w:autoRedefine/>
    <w:qFormat/>
    <w:uiPriority w:val="99"/>
    <w:rPr>
      <w:sz w:val="21"/>
      <w:szCs w:val="21"/>
    </w:rPr>
  </w:style>
  <w:style w:type="character" w:styleId="55">
    <w:name w:val="footnote reference"/>
    <w:autoRedefine/>
    <w:qFormat/>
    <w:uiPriority w:val="0"/>
    <w:rPr>
      <w:vertAlign w:val="superscript"/>
    </w:rPr>
  </w:style>
  <w:style w:type="character" w:customStyle="1" w:styleId="56">
    <w:name w:val="标题 1 Char"/>
    <w:link w:val="2"/>
    <w:autoRedefine/>
    <w:qFormat/>
    <w:uiPriority w:val="0"/>
    <w:rPr>
      <w:b/>
      <w:bCs/>
      <w:kern w:val="44"/>
      <w:sz w:val="44"/>
      <w:szCs w:val="44"/>
    </w:rPr>
  </w:style>
  <w:style w:type="character" w:customStyle="1" w:styleId="57">
    <w:name w:val="标题 2 Char"/>
    <w:link w:val="3"/>
    <w:autoRedefine/>
    <w:qFormat/>
    <w:uiPriority w:val="0"/>
    <w:rPr>
      <w:rFonts w:ascii="Arial" w:hAnsi="Arial" w:eastAsia="黑体"/>
      <w:b/>
      <w:bCs/>
      <w:kern w:val="2"/>
      <w:sz w:val="32"/>
      <w:szCs w:val="32"/>
    </w:rPr>
  </w:style>
  <w:style w:type="character" w:customStyle="1" w:styleId="58">
    <w:name w:val="标题 3 Char"/>
    <w:link w:val="4"/>
    <w:autoRedefine/>
    <w:qFormat/>
    <w:uiPriority w:val="0"/>
    <w:rPr>
      <w:b/>
      <w:bCs/>
      <w:kern w:val="2"/>
      <w:position w:val="-6"/>
      <w:sz w:val="32"/>
      <w:szCs w:val="32"/>
    </w:rPr>
  </w:style>
  <w:style w:type="character" w:customStyle="1" w:styleId="59">
    <w:name w:val="标题 4 Char"/>
    <w:link w:val="5"/>
    <w:autoRedefine/>
    <w:qFormat/>
    <w:uiPriority w:val="0"/>
    <w:rPr>
      <w:rFonts w:ascii="黑体" w:eastAsia="黑体"/>
      <w:sz w:val="24"/>
    </w:rPr>
  </w:style>
  <w:style w:type="character" w:customStyle="1" w:styleId="60">
    <w:name w:val="标题 5 Char"/>
    <w:link w:val="6"/>
    <w:autoRedefine/>
    <w:qFormat/>
    <w:uiPriority w:val="9"/>
    <w:rPr>
      <w:rFonts w:ascii="Cambria" w:hAnsi="Cambria"/>
      <w:caps/>
      <w:color w:val="622423"/>
      <w:spacing w:val="10"/>
      <w:sz w:val="22"/>
      <w:szCs w:val="22"/>
      <w:lang w:eastAsia="en-US" w:bidi="en-US"/>
    </w:rPr>
  </w:style>
  <w:style w:type="character" w:customStyle="1" w:styleId="61">
    <w:name w:val="标题 6 Char"/>
    <w:link w:val="7"/>
    <w:autoRedefine/>
    <w:qFormat/>
    <w:uiPriority w:val="9"/>
    <w:rPr>
      <w:rFonts w:ascii="Cambria" w:hAnsi="Cambria"/>
      <w:caps/>
      <w:color w:val="943634"/>
      <w:spacing w:val="10"/>
      <w:sz w:val="22"/>
      <w:szCs w:val="22"/>
      <w:lang w:eastAsia="en-US" w:bidi="en-US"/>
    </w:rPr>
  </w:style>
  <w:style w:type="character" w:customStyle="1" w:styleId="62">
    <w:name w:val="标题 7 Char"/>
    <w:link w:val="8"/>
    <w:autoRedefine/>
    <w:qFormat/>
    <w:uiPriority w:val="9"/>
    <w:rPr>
      <w:rFonts w:ascii="Cambria" w:hAnsi="Cambria"/>
      <w:i/>
      <w:iCs/>
      <w:caps/>
      <w:color w:val="943634"/>
      <w:spacing w:val="10"/>
      <w:sz w:val="22"/>
      <w:szCs w:val="22"/>
      <w:lang w:eastAsia="en-US" w:bidi="en-US"/>
    </w:rPr>
  </w:style>
  <w:style w:type="character" w:customStyle="1" w:styleId="63">
    <w:name w:val="标题 8 Char"/>
    <w:link w:val="9"/>
    <w:autoRedefine/>
    <w:qFormat/>
    <w:uiPriority w:val="9"/>
    <w:rPr>
      <w:rFonts w:ascii="Cambria" w:hAnsi="Cambria"/>
      <w:caps/>
      <w:spacing w:val="10"/>
      <w:lang w:eastAsia="en-US" w:bidi="en-US"/>
    </w:rPr>
  </w:style>
  <w:style w:type="character" w:customStyle="1" w:styleId="64">
    <w:name w:val="标题 9 Char"/>
    <w:link w:val="10"/>
    <w:autoRedefine/>
    <w:qFormat/>
    <w:uiPriority w:val="9"/>
    <w:rPr>
      <w:rFonts w:ascii="Cambria" w:hAnsi="Cambria"/>
      <w:i/>
      <w:iCs/>
      <w:caps/>
      <w:spacing w:val="10"/>
      <w:lang w:eastAsia="en-US" w:bidi="en-US"/>
    </w:rPr>
  </w:style>
  <w:style w:type="character" w:customStyle="1" w:styleId="65">
    <w:name w:val="文档结构图 Char"/>
    <w:link w:val="14"/>
    <w:autoRedefine/>
    <w:qFormat/>
    <w:uiPriority w:val="0"/>
    <w:rPr>
      <w:rFonts w:ascii="宋体"/>
      <w:kern w:val="2"/>
      <w:position w:val="-6"/>
      <w:sz w:val="18"/>
      <w:szCs w:val="18"/>
    </w:rPr>
  </w:style>
  <w:style w:type="character" w:customStyle="1" w:styleId="66">
    <w:name w:val="批注框文本 Char"/>
    <w:link w:val="30"/>
    <w:autoRedefine/>
    <w:qFormat/>
    <w:uiPriority w:val="99"/>
    <w:rPr>
      <w:kern w:val="2"/>
      <w:position w:val="-6"/>
      <w:sz w:val="18"/>
      <w:szCs w:val="18"/>
    </w:rPr>
  </w:style>
  <w:style w:type="character" w:customStyle="1" w:styleId="67">
    <w:name w:val="正文文本缩进 2 Char"/>
    <w:link w:val="28"/>
    <w:autoRedefine/>
    <w:qFormat/>
    <w:uiPriority w:val="99"/>
    <w:rPr>
      <w:kern w:val="2"/>
      <w:position w:val="-6"/>
      <w:sz w:val="21"/>
    </w:rPr>
  </w:style>
  <w:style w:type="character" w:customStyle="1" w:styleId="68">
    <w:name w:val="页脚 Char"/>
    <w:link w:val="31"/>
    <w:autoRedefine/>
    <w:qFormat/>
    <w:uiPriority w:val="0"/>
    <w:rPr>
      <w:kern w:val="2"/>
      <w:position w:val="-6"/>
      <w:sz w:val="18"/>
      <w:szCs w:val="18"/>
    </w:rPr>
  </w:style>
  <w:style w:type="character" w:customStyle="1" w:styleId="69">
    <w:name w:val="批注文字 Char"/>
    <w:link w:val="16"/>
    <w:autoRedefine/>
    <w:qFormat/>
    <w:uiPriority w:val="0"/>
    <w:rPr>
      <w:kern w:val="2"/>
      <w:position w:val="-6"/>
      <w:sz w:val="21"/>
    </w:rPr>
  </w:style>
  <w:style w:type="character" w:customStyle="1" w:styleId="70">
    <w:name w:val="正文文本 2 Char"/>
    <w:link w:val="42"/>
    <w:autoRedefine/>
    <w:qFormat/>
    <w:uiPriority w:val="0"/>
    <w:rPr>
      <w:kern w:val="2"/>
      <w:position w:val="-6"/>
      <w:sz w:val="24"/>
    </w:rPr>
  </w:style>
  <w:style w:type="character" w:customStyle="1" w:styleId="71">
    <w:name w:val="尾注文本 Char"/>
    <w:link w:val="29"/>
    <w:autoRedefine/>
    <w:qFormat/>
    <w:uiPriority w:val="99"/>
    <w:rPr>
      <w:kern w:val="2"/>
      <w:position w:val="-6"/>
      <w:sz w:val="21"/>
    </w:rPr>
  </w:style>
  <w:style w:type="character" w:customStyle="1" w:styleId="72">
    <w:name w:val="标题 Char"/>
    <w:link w:val="19"/>
    <w:autoRedefine/>
    <w:qFormat/>
    <w:uiPriority w:val="10"/>
    <w:rPr>
      <w:rFonts w:ascii="Cambria" w:hAnsi="Cambria"/>
      <w:caps/>
      <w:color w:val="632423"/>
      <w:spacing w:val="50"/>
      <w:sz w:val="44"/>
      <w:szCs w:val="44"/>
      <w:lang w:eastAsia="en-US" w:bidi="en-US"/>
    </w:rPr>
  </w:style>
  <w:style w:type="character" w:customStyle="1" w:styleId="73">
    <w:name w:val="正文文本 Char"/>
    <w:link w:val="18"/>
    <w:autoRedefine/>
    <w:qFormat/>
    <w:uiPriority w:val="0"/>
    <w:rPr>
      <w:kern w:val="2"/>
      <w:position w:val="-6"/>
      <w:sz w:val="28"/>
    </w:rPr>
  </w:style>
  <w:style w:type="character" w:customStyle="1" w:styleId="74">
    <w:name w:val="正文文本缩进 3 Char"/>
    <w:link w:val="38"/>
    <w:autoRedefine/>
    <w:qFormat/>
    <w:uiPriority w:val="99"/>
    <w:rPr>
      <w:kern w:val="2"/>
      <w:position w:val="-6"/>
      <w:sz w:val="16"/>
      <w:szCs w:val="16"/>
    </w:rPr>
  </w:style>
  <w:style w:type="character" w:customStyle="1" w:styleId="75">
    <w:name w:val="书籍标题1"/>
    <w:autoRedefine/>
    <w:qFormat/>
    <w:uiPriority w:val="33"/>
    <w:rPr>
      <w:caps/>
      <w:color w:val="622423"/>
      <w:spacing w:val="5"/>
      <w:u w:color="622423"/>
    </w:rPr>
  </w:style>
  <w:style w:type="character" w:customStyle="1" w:styleId="76">
    <w:name w:val="脚注文本 Char"/>
    <w:link w:val="36"/>
    <w:autoRedefine/>
    <w:qFormat/>
    <w:uiPriority w:val="0"/>
    <w:rPr>
      <w:kern w:val="2"/>
      <w:sz w:val="18"/>
      <w:szCs w:val="18"/>
    </w:rPr>
  </w:style>
  <w:style w:type="character" w:customStyle="1" w:styleId="77">
    <w:name w:val="正文文本 3 Char"/>
    <w:link w:val="17"/>
    <w:autoRedefine/>
    <w:qFormat/>
    <w:uiPriority w:val="0"/>
    <w:rPr>
      <w:kern w:val="2"/>
      <w:position w:val="-6"/>
      <w:sz w:val="28"/>
    </w:rPr>
  </w:style>
  <w:style w:type="character" w:customStyle="1" w:styleId="78">
    <w:name w:val="页眉 Char"/>
    <w:link w:val="32"/>
    <w:autoRedefine/>
    <w:qFormat/>
    <w:uiPriority w:val="0"/>
    <w:rPr>
      <w:rFonts w:ascii="黑体" w:hAnsi="Cambria" w:eastAsia="黑体"/>
      <w:kern w:val="2"/>
      <w:position w:val="-6"/>
      <w:sz w:val="21"/>
      <w:szCs w:val="21"/>
    </w:rPr>
  </w:style>
  <w:style w:type="character" w:customStyle="1" w:styleId="79">
    <w:name w:val="明显参考1"/>
    <w:autoRedefine/>
    <w:qFormat/>
    <w:uiPriority w:val="32"/>
    <w:rPr>
      <w:rFonts w:ascii="Calibri" w:hAnsi="Calibri" w:eastAsia="宋体" w:cs="Times New Roman"/>
      <w:b/>
      <w:bCs/>
      <w:i/>
      <w:iCs/>
      <w:color w:val="622423"/>
    </w:rPr>
  </w:style>
  <w:style w:type="character" w:customStyle="1" w:styleId="80">
    <w:name w:val="无间隔 Char"/>
    <w:link w:val="81"/>
    <w:autoRedefine/>
    <w:qFormat/>
    <w:uiPriority w:val="1"/>
    <w:rPr>
      <w:rFonts w:ascii="Calibri" w:hAnsi="Calibri"/>
      <w:sz w:val="22"/>
      <w:szCs w:val="22"/>
      <w:lang w:val="en-US" w:eastAsia="zh-CN" w:bidi="ar-SA"/>
    </w:rPr>
  </w:style>
  <w:style w:type="paragraph" w:styleId="81">
    <w:name w:val="No Spacing"/>
    <w:link w:val="80"/>
    <w:autoRedefine/>
    <w:qFormat/>
    <w:uiPriority w:val="1"/>
    <w:rPr>
      <w:rFonts w:ascii="Calibri" w:hAnsi="Calibri" w:eastAsia="宋体" w:cs="Times New Roman"/>
      <w:sz w:val="22"/>
      <w:szCs w:val="22"/>
      <w:lang w:val="en-US" w:eastAsia="zh-CN" w:bidi="ar-SA"/>
    </w:rPr>
  </w:style>
  <w:style w:type="character" w:customStyle="1" w:styleId="82">
    <w:name w:val="纯文本 Char"/>
    <w:link w:val="25"/>
    <w:autoRedefine/>
    <w:qFormat/>
    <w:uiPriority w:val="0"/>
    <w:rPr>
      <w:rFonts w:ascii="宋体" w:hAnsi="Courier New"/>
      <w:kern w:val="2"/>
      <w:position w:val="-6"/>
      <w:sz w:val="21"/>
    </w:rPr>
  </w:style>
  <w:style w:type="character" w:customStyle="1" w:styleId="83">
    <w:name w:val="图表目录 Char"/>
    <w:link w:val="39"/>
    <w:autoRedefine/>
    <w:qFormat/>
    <w:uiPriority w:val="0"/>
    <w:rPr>
      <w:kern w:val="2"/>
      <w:sz w:val="21"/>
      <w:szCs w:val="24"/>
    </w:rPr>
  </w:style>
  <w:style w:type="character" w:customStyle="1" w:styleId="84">
    <w:name w:val="正文文本缩进 Char"/>
    <w:link w:val="20"/>
    <w:autoRedefine/>
    <w:qFormat/>
    <w:uiPriority w:val="99"/>
    <w:rPr>
      <w:kern w:val="2"/>
      <w:position w:val="-6"/>
      <w:sz w:val="21"/>
    </w:rPr>
  </w:style>
  <w:style w:type="character" w:customStyle="1" w:styleId="85">
    <w:name w:val="日期 Char"/>
    <w:link w:val="27"/>
    <w:autoRedefine/>
    <w:qFormat/>
    <w:uiPriority w:val="0"/>
    <w:rPr>
      <w:kern w:val="2"/>
      <w:sz w:val="21"/>
      <w:szCs w:val="24"/>
    </w:rPr>
  </w:style>
  <w:style w:type="character" w:customStyle="1" w:styleId="86">
    <w:name w:val="批注主题 Char"/>
    <w:link w:val="43"/>
    <w:autoRedefine/>
    <w:qFormat/>
    <w:uiPriority w:val="0"/>
    <w:rPr>
      <w:b/>
      <w:bCs/>
      <w:kern w:val="2"/>
      <w:position w:val="-6"/>
      <w:sz w:val="21"/>
    </w:rPr>
  </w:style>
  <w:style w:type="character" w:customStyle="1" w:styleId="87">
    <w:name w:val="副标题 Char"/>
    <w:link w:val="35"/>
    <w:autoRedefine/>
    <w:qFormat/>
    <w:uiPriority w:val="11"/>
    <w:rPr>
      <w:rFonts w:ascii="Cambria" w:hAnsi="Cambria"/>
      <w:caps/>
      <w:spacing w:val="20"/>
      <w:sz w:val="18"/>
      <w:szCs w:val="18"/>
      <w:lang w:eastAsia="en-US" w:bidi="en-US"/>
    </w:rPr>
  </w:style>
  <w:style w:type="character" w:customStyle="1" w:styleId="88">
    <w:name w:val="引用 Char"/>
    <w:link w:val="89"/>
    <w:autoRedefine/>
    <w:qFormat/>
    <w:uiPriority w:val="29"/>
    <w:rPr>
      <w:rFonts w:ascii="Cambria" w:hAnsi="Cambria"/>
      <w:i/>
      <w:iCs/>
      <w:sz w:val="22"/>
      <w:szCs w:val="22"/>
      <w:lang w:eastAsia="en-US" w:bidi="en-US"/>
    </w:rPr>
  </w:style>
  <w:style w:type="paragraph" w:styleId="89">
    <w:name w:val="Quote"/>
    <w:basedOn w:val="1"/>
    <w:next w:val="1"/>
    <w:link w:val="88"/>
    <w:autoRedefine/>
    <w:qFormat/>
    <w:uiPriority w:val="29"/>
    <w:pPr>
      <w:widowControl/>
      <w:spacing w:line="252" w:lineRule="auto"/>
      <w:jc w:val="left"/>
    </w:pPr>
    <w:rPr>
      <w:rFonts w:ascii="Cambria" w:hAnsi="Cambria"/>
      <w:i/>
      <w:iCs/>
      <w:kern w:val="0"/>
      <w:position w:val="0"/>
      <w:sz w:val="22"/>
      <w:szCs w:val="22"/>
      <w:lang w:eastAsia="en-US" w:bidi="en-US"/>
    </w:rPr>
  </w:style>
  <w:style w:type="character" w:customStyle="1" w:styleId="90">
    <w:name w:val="明显引用 Char"/>
    <w:link w:val="91"/>
    <w:autoRedefine/>
    <w:qFormat/>
    <w:uiPriority w:val="30"/>
    <w:rPr>
      <w:rFonts w:ascii="Cambria" w:hAnsi="Cambria"/>
      <w:caps/>
      <w:color w:val="622423"/>
      <w:spacing w:val="5"/>
      <w:lang w:eastAsia="en-US" w:bidi="en-US"/>
    </w:rPr>
  </w:style>
  <w:style w:type="paragraph" w:styleId="91">
    <w:name w:val="Intense Quote"/>
    <w:basedOn w:val="1"/>
    <w:next w:val="1"/>
    <w:link w:val="90"/>
    <w:autoRedefine/>
    <w:qFormat/>
    <w:uiPriority w:val="30"/>
    <w:pPr>
      <w:widowControl/>
      <w:pBdr>
        <w:top w:val="dotted" w:color="632423" w:sz="2" w:space="10"/>
        <w:bottom w:val="dotted" w:color="632423" w:sz="2" w:space="4"/>
      </w:pBdr>
      <w:spacing w:line="300" w:lineRule="auto"/>
      <w:ind w:left="1440" w:right="1440"/>
      <w:jc w:val="left"/>
    </w:pPr>
    <w:rPr>
      <w:rFonts w:ascii="Cambria" w:hAnsi="Cambria"/>
      <w:caps/>
      <w:color w:val="622423"/>
      <w:spacing w:val="5"/>
      <w:kern w:val="0"/>
      <w:position w:val="0"/>
      <w:sz w:val="20"/>
      <w:lang w:eastAsia="en-US" w:bidi="en-US"/>
    </w:rPr>
  </w:style>
  <w:style w:type="character" w:customStyle="1" w:styleId="92">
    <w:name w:val="不明显强调1"/>
    <w:autoRedefine/>
    <w:qFormat/>
    <w:uiPriority w:val="19"/>
    <w:rPr>
      <w:i/>
      <w:iCs/>
    </w:rPr>
  </w:style>
  <w:style w:type="character" w:customStyle="1" w:styleId="93">
    <w:name w:val="明显强调1"/>
    <w:autoRedefine/>
    <w:qFormat/>
    <w:uiPriority w:val="21"/>
    <w:rPr>
      <w:i/>
      <w:iCs/>
      <w:caps/>
      <w:spacing w:val="10"/>
      <w:sz w:val="20"/>
      <w:szCs w:val="20"/>
    </w:rPr>
  </w:style>
  <w:style w:type="character" w:customStyle="1" w:styleId="94">
    <w:name w:val="不明显参考1"/>
    <w:autoRedefine/>
    <w:qFormat/>
    <w:uiPriority w:val="31"/>
    <w:rPr>
      <w:rFonts w:ascii="Calibri" w:hAnsi="Calibri" w:eastAsia="宋体" w:cs="Times New Roman"/>
      <w:i/>
      <w:iCs/>
      <w:color w:val="622423"/>
    </w:rPr>
  </w:style>
  <w:style w:type="character" w:customStyle="1" w:styleId="95">
    <w:name w:val="Char Char8"/>
    <w:autoRedefine/>
    <w:qFormat/>
    <w:uiPriority w:val="0"/>
    <w:rPr>
      <w:rFonts w:ascii="Arial" w:hAnsi="Arial" w:eastAsia="黑体"/>
      <w:b/>
      <w:bCs/>
      <w:kern w:val="2"/>
      <w:sz w:val="32"/>
      <w:szCs w:val="32"/>
      <w:lang w:val="en-US" w:eastAsia="zh-CN" w:bidi="ar-SA"/>
    </w:rPr>
  </w:style>
  <w:style w:type="character" w:customStyle="1" w:styleId="96">
    <w:name w:val="Char Char Char"/>
    <w:autoRedefine/>
    <w:qFormat/>
    <w:uiPriority w:val="0"/>
    <w:rPr>
      <w:rFonts w:ascii="Arial" w:hAnsi="Arial" w:eastAsia="黑体"/>
      <w:b/>
      <w:bCs/>
      <w:kern w:val="2"/>
      <w:sz w:val="32"/>
      <w:szCs w:val="32"/>
      <w:lang w:val="en-US" w:eastAsia="zh-CN" w:bidi="ar-SA"/>
    </w:rPr>
  </w:style>
  <w:style w:type="character" w:customStyle="1" w:styleId="97">
    <w:name w:val="font161"/>
    <w:autoRedefine/>
    <w:qFormat/>
    <w:uiPriority w:val="0"/>
    <w:rPr>
      <w:b/>
      <w:bCs/>
      <w:sz w:val="32"/>
      <w:szCs w:val="32"/>
    </w:rPr>
  </w:style>
  <w:style w:type="character" w:customStyle="1" w:styleId="98">
    <w:name w:val="Char Char2"/>
    <w:autoRedefine/>
    <w:qFormat/>
    <w:uiPriority w:val="0"/>
    <w:rPr>
      <w:rFonts w:eastAsia="宋体"/>
      <w:kern w:val="2"/>
      <w:sz w:val="21"/>
      <w:szCs w:val="24"/>
      <w:lang w:val="en-US" w:eastAsia="zh-CN" w:bidi="ar-SA"/>
    </w:rPr>
  </w:style>
  <w:style w:type="character" w:customStyle="1" w:styleId="99">
    <w:name w:val="Char Char7"/>
    <w:autoRedefine/>
    <w:qFormat/>
    <w:uiPriority w:val="0"/>
    <w:rPr>
      <w:rFonts w:ascii="Arial" w:hAnsi="Arial" w:eastAsia="黑体"/>
      <w:b/>
      <w:bCs/>
      <w:kern w:val="2"/>
      <w:sz w:val="32"/>
      <w:szCs w:val="32"/>
      <w:lang w:val="en-US" w:eastAsia="zh-CN" w:bidi="ar-SA"/>
    </w:rPr>
  </w:style>
  <w:style w:type="character" w:customStyle="1" w:styleId="100">
    <w:name w:val="纯文本 字符"/>
    <w:autoRedefine/>
    <w:qFormat/>
    <w:uiPriority w:val="0"/>
    <w:rPr>
      <w:rFonts w:ascii="宋体" w:hAnsi="Courier New"/>
      <w:color w:val="000000"/>
      <w:kern w:val="2"/>
      <w:sz w:val="21"/>
    </w:rPr>
  </w:style>
  <w:style w:type="paragraph" w:customStyle="1" w:styleId="101">
    <w:name w:val="表格"/>
    <w:basedOn w:val="1"/>
    <w:autoRedefine/>
    <w:qFormat/>
    <w:uiPriority w:val="0"/>
    <w:pPr>
      <w:jc w:val="center"/>
      <w:textAlignment w:val="center"/>
    </w:pPr>
    <w:rPr>
      <w:rFonts w:ascii="华文细黑" w:hAnsi="华文细黑"/>
      <w:kern w:val="0"/>
      <w:position w:val="0"/>
    </w:rPr>
  </w:style>
  <w:style w:type="paragraph" w:styleId="102">
    <w:name w:val="List Paragraph"/>
    <w:basedOn w:val="1"/>
    <w:autoRedefine/>
    <w:qFormat/>
    <w:uiPriority w:val="1"/>
    <w:pPr>
      <w:ind w:firstLine="420" w:firstLineChars="200"/>
    </w:pPr>
  </w:style>
  <w:style w:type="paragraph" w:customStyle="1" w:styleId="103">
    <w:name w:val="6'"/>
    <w:basedOn w:val="1"/>
    <w:autoRedefine/>
    <w:qFormat/>
    <w:uiPriority w:val="0"/>
    <w:pPr>
      <w:autoSpaceDE w:val="0"/>
      <w:autoSpaceDN w:val="0"/>
      <w:adjustRightInd w:val="0"/>
      <w:snapToGrid w:val="0"/>
      <w:spacing w:line="320" w:lineRule="exact"/>
      <w:jc w:val="center"/>
      <w:textAlignment w:val="baseline"/>
    </w:pPr>
    <w:rPr>
      <w:spacing w:val="20"/>
      <w:kern w:val="28"/>
      <w:position w:val="0"/>
    </w:rPr>
  </w:style>
  <w:style w:type="paragraph" w:customStyle="1" w:styleId="104">
    <w:name w:val="1"/>
    <w:basedOn w:val="1"/>
    <w:next w:val="20"/>
    <w:autoRedefine/>
    <w:qFormat/>
    <w:uiPriority w:val="0"/>
    <w:pPr>
      <w:widowControl/>
      <w:ind w:left="722" w:leftChars="58" w:hanging="460" w:hangingChars="200"/>
    </w:pPr>
    <w:rPr>
      <w:iCs/>
      <w:spacing w:val="20"/>
      <w:kern w:val="0"/>
      <w:position w:val="0"/>
    </w:rPr>
  </w:style>
  <w:style w:type="paragraph" w:customStyle="1" w:styleId="105">
    <w:name w:val="样式 标题 2 + Times New Roman 四号 非加粗 段前: 5 磅 段后: 0 磅 行距: 固定值 20..."/>
    <w:basedOn w:val="3"/>
    <w:autoRedefine/>
    <w:qFormat/>
    <w:uiPriority w:val="0"/>
    <w:pPr>
      <w:spacing w:line="400" w:lineRule="exact"/>
    </w:pPr>
    <w:rPr>
      <w:rFonts w:ascii="Times New Roman" w:hAnsi="Times New Roman" w:cs="宋体"/>
      <w:b w:val="0"/>
      <w:bCs w:val="0"/>
      <w:sz w:val="28"/>
      <w:szCs w:val="20"/>
    </w:rPr>
  </w:style>
  <w:style w:type="paragraph" w:customStyle="1" w:styleId="106">
    <w:name w:val="修订1"/>
    <w:autoRedefine/>
    <w:qFormat/>
    <w:uiPriority w:val="99"/>
    <w:rPr>
      <w:rFonts w:ascii="Times New Roman" w:hAnsi="Times New Roman" w:eastAsia="宋体" w:cs="Times New Roman"/>
      <w:kern w:val="2"/>
      <w:position w:val="-6"/>
      <w:sz w:val="21"/>
      <w:lang w:val="en-US" w:eastAsia="zh-CN" w:bidi="ar-SA"/>
    </w:rPr>
  </w:style>
  <w:style w:type="paragraph" w:customStyle="1" w:styleId="107">
    <w:name w:val="3"/>
    <w:basedOn w:val="1"/>
    <w:autoRedefine/>
    <w:qFormat/>
    <w:uiPriority w:val="0"/>
    <w:pPr>
      <w:tabs>
        <w:tab w:val="left" w:pos="630"/>
      </w:tabs>
      <w:adjustRightInd w:val="0"/>
      <w:snapToGrid w:val="0"/>
      <w:spacing w:line="520" w:lineRule="exact"/>
      <w:outlineLvl w:val="2"/>
    </w:pPr>
    <w:rPr>
      <w:rFonts w:eastAsia="仿宋_GB2312"/>
      <w:snapToGrid w:val="0"/>
      <w:spacing w:val="8"/>
      <w:kern w:val="0"/>
      <w:position w:val="0"/>
      <w:sz w:val="28"/>
    </w:rPr>
  </w:style>
  <w:style w:type="paragraph" w:customStyle="1" w:styleId="108">
    <w:name w:val="样式 标题 3 + (中文) 黑体 小四 非加粗 段前: 7.8 磅 段后: 0 磅 行距: 固定值 20 磅"/>
    <w:basedOn w:val="4"/>
    <w:autoRedefine/>
    <w:qFormat/>
    <w:uiPriority w:val="0"/>
    <w:pPr>
      <w:spacing w:line="400" w:lineRule="exact"/>
    </w:pPr>
    <w:rPr>
      <w:rFonts w:eastAsia="黑体" w:cs="宋体"/>
      <w:b w:val="0"/>
      <w:bCs w:val="0"/>
      <w:position w:val="0"/>
      <w:sz w:val="24"/>
      <w:szCs w:val="20"/>
    </w:rPr>
  </w:style>
  <w:style w:type="paragraph" w:customStyle="1" w:styleId="109">
    <w:name w:val="样式4"/>
    <w:basedOn w:val="4"/>
    <w:autoRedefine/>
    <w:qFormat/>
    <w:uiPriority w:val="0"/>
    <w:pPr>
      <w:spacing w:line="415" w:lineRule="auto"/>
    </w:pPr>
    <w:rPr>
      <w:rFonts w:eastAsia="Arial"/>
      <w:position w:val="0"/>
    </w:rPr>
  </w:style>
  <w:style w:type="paragraph" w:customStyle="1" w:styleId="110">
    <w:name w:val="样式3"/>
    <w:basedOn w:val="4"/>
    <w:autoRedefine/>
    <w:qFormat/>
    <w:uiPriority w:val="0"/>
    <w:pPr>
      <w:spacing w:line="415" w:lineRule="auto"/>
    </w:pPr>
    <w:rPr>
      <w:rFonts w:eastAsia="Arial"/>
      <w:position w:val="0"/>
    </w:rPr>
  </w:style>
  <w:style w:type="paragraph" w:customStyle="1" w:styleId="111">
    <w:name w:val="样式 标题 1 + 黑体 三号 非加粗 居中 段前: 6 磅 段后: 6 磅 行距: 固定值 20 磅"/>
    <w:basedOn w:val="2"/>
    <w:autoRedefine/>
    <w:qFormat/>
    <w:uiPriority w:val="0"/>
    <w:pPr>
      <w:spacing w:line="400" w:lineRule="exact"/>
      <w:jc w:val="center"/>
    </w:pPr>
    <w:rPr>
      <w:rFonts w:ascii="黑体" w:hAnsi="黑体" w:eastAsia="黑体" w:cs="宋体"/>
      <w:b w:val="0"/>
      <w:bCs w:val="0"/>
      <w:sz w:val="32"/>
      <w:szCs w:val="20"/>
    </w:rPr>
  </w:style>
  <w:style w:type="paragraph" w:customStyle="1" w:styleId="112">
    <w:name w:val="TOC 标题1"/>
    <w:basedOn w:val="2"/>
    <w:next w:val="1"/>
    <w:autoRedefine/>
    <w:qFormat/>
    <w:uiPriority w:val="39"/>
    <w:pPr>
      <w:widowControl/>
      <w:spacing w:line="276" w:lineRule="auto"/>
      <w:jc w:val="left"/>
      <w:outlineLvl w:val="9"/>
    </w:pPr>
    <w:rPr>
      <w:rFonts w:ascii="Cambria" w:hAnsi="Cambria"/>
      <w:color w:val="365F91"/>
      <w:kern w:val="0"/>
      <w:sz w:val="28"/>
      <w:szCs w:val="28"/>
    </w:rPr>
  </w:style>
  <w:style w:type="paragraph" w:customStyle="1" w:styleId="113">
    <w:name w:val="样式2"/>
    <w:basedOn w:val="4"/>
    <w:autoRedefine/>
    <w:qFormat/>
    <w:uiPriority w:val="0"/>
    <w:pPr>
      <w:spacing w:line="415" w:lineRule="auto"/>
    </w:pPr>
    <w:rPr>
      <w:position w:val="0"/>
    </w:rPr>
  </w:style>
  <w:style w:type="paragraph" w:customStyle="1" w:styleId="114">
    <w:name w:val="Char"/>
    <w:basedOn w:val="1"/>
    <w:autoRedefine/>
    <w:qFormat/>
    <w:uiPriority w:val="0"/>
    <w:pPr>
      <w:tabs>
        <w:tab w:val="left" w:pos="360"/>
      </w:tabs>
    </w:pPr>
    <w:rPr>
      <w:position w:val="0"/>
      <w:sz w:val="24"/>
      <w:szCs w:val="24"/>
    </w:rPr>
  </w:style>
  <w:style w:type="paragraph" w:customStyle="1" w:styleId="115">
    <w:name w:val="样式1"/>
    <w:basedOn w:val="4"/>
    <w:autoRedefine/>
    <w:qFormat/>
    <w:uiPriority w:val="0"/>
    <w:pPr>
      <w:spacing w:line="415" w:lineRule="auto"/>
    </w:pPr>
    <w:rPr>
      <w:rFonts w:eastAsia="Arial"/>
      <w:position w:val="0"/>
    </w:rPr>
  </w:style>
  <w:style w:type="paragraph" w:customStyle="1" w:styleId="116">
    <w:name w:val="表格文字"/>
    <w:basedOn w:val="1"/>
    <w:autoRedefine/>
    <w:qFormat/>
    <w:uiPriority w:val="0"/>
    <w:pPr>
      <w:adjustRightInd w:val="0"/>
      <w:spacing w:line="420" w:lineRule="atLeast"/>
      <w:jc w:val="left"/>
      <w:textAlignment w:val="baseline"/>
    </w:pPr>
    <w:rPr>
      <w:kern w:val="0"/>
      <w:position w:val="0"/>
    </w:rPr>
  </w:style>
  <w:style w:type="paragraph" w:customStyle="1" w:styleId="11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18">
    <w:name w:val="副标题 Char1"/>
    <w:autoRedefine/>
    <w:qFormat/>
    <w:uiPriority w:val="11"/>
    <w:rPr>
      <w:rFonts w:ascii="Cambria" w:hAnsi="Cambria" w:cs="Times New Roman"/>
      <w:b/>
      <w:bCs/>
      <w:kern w:val="28"/>
      <w:position w:val="-6"/>
      <w:sz w:val="32"/>
      <w:szCs w:val="32"/>
    </w:rPr>
  </w:style>
  <w:style w:type="character" w:customStyle="1" w:styleId="119">
    <w:name w:val="标题 Char1"/>
    <w:autoRedefine/>
    <w:qFormat/>
    <w:uiPriority w:val="10"/>
    <w:rPr>
      <w:rFonts w:ascii="Cambria" w:hAnsi="Cambria" w:cs="Times New Roman"/>
      <w:b/>
      <w:bCs/>
      <w:kern w:val="2"/>
      <w:position w:val="-6"/>
      <w:sz w:val="32"/>
      <w:szCs w:val="32"/>
    </w:rPr>
  </w:style>
  <w:style w:type="character" w:customStyle="1" w:styleId="120">
    <w:name w:val="明显引用 Char1"/>
    <w:autoRedefine/>
    <w:qFormat/>
    <w:uiPriority w:val="30"/>
    <w:rPr>
      <w:b/>
      <w:bCs/>
      <w:i/>
      <w:iCs/>
      <w:color w:val="4F81BD"/>
      <w:kern w:val="2"/>
      <w:position w:val="-6"/>
      <w:sz w:val="21"/>
    </w:rPr>
  </w:style>
  <w:style w:type="character" w:customStyle="1" w:styleId="121">
    <w:name w:val="引用 Char1"/>
    <w:autoRedefine/>
    <w:qFormat/>
    <w:uiPriority w:val="29"/>
    <w:rPr>
      <w:i/>
      <w:iCs/>
      <w:color w:val="000000"/>
      <w:kern w:val="2"/>
      <w:position w:val="-6"/>
      <w:sz w:val="21"/>
    </w:rPr>
  </w:style>
  <w:style w:type="character" w:customStyle="1" w:styleId="122">
    <w:name w:val="未处理的提及"/>
    <w:autoRedefine/>
    <w:semiHidden/>
    <w:unhideWhenUsed/>
    <w:qFormat/>
    <w:uiPriority w:val="99"/>
    <w:rPr>
      <w:color w:val="605E5C"/>
      <w:shd w:val="clear" w:color="auto" w:fill="E1DFDD"/>
    </w:rPr>
  </w:style>
  <w:style w:type="character" w:customStyle="1" w:styleId="123">
    <w:name w:val="fontstyle01"/>
    <w:basedOn w:val="47"/>
    <w:autoRedefine/>
    <w:qFormat/>
    <w:uiPriority w:val="0"/>
    <w:rPr>
      <w:rFonts w:hint="eastAsia" w:ascii="仿宋" w:hAnsi="仿宋" w:eastAsia="仿宋"/>
      <w:color w:val="000000"/>
      <w:sz w:val="20"/>
      <w:szCs w:val="20"/>
    </w:rPr>
  </w:style>
  <w:style w:type="table" w:customStyle="1" w:styleId="124">
    <w:name w:val="Table Normal_0"/>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125">
    <w:name w:val="Table Paragraph"/>
    <w:basedOn w:val="1"/>
    <w:autoRedefine/>
    <w:qFormat/>
    <w:uiPriority w:val="1"/>
    <w:pPr>
      <w:autoSpaceDE w:val="0"/>
      <w:autoSpaceDN w:val="0"/>
      <w:spacing w:before="42"/>
      <w:jc w:val="center"/>
    </w:pPr>
    <w:rPr>
      <w:rFonts w:ascii="仿宋" w:hAnsi="仿宋" w:eastAsia="仿宋" w:cs="仿宋"/>
      <w:kern w:val="0"/>
      <w:position w:val="0"/>
      <w:sz w:val="22"/>
      <w:szCs w:val="22"/>
      <w:lang w:eastAsia="en-US"/>
    </w:rPr>
  </w:style>
  <w:style w:type="character" w:customStyle="1" w:styleId="126">
    <w:name w:val="正文首行缩进 2 Char"/>
    <w:basedOn w:val="84"/>
    <w:link w:val="21"/>
    <w:autoRedefine/>
    <w:qFormat/>
    <w:uiPriority w:val="99"/>
    <w:rPr>
      <w:kern w:val="2"/>
      <w:position w:val="-6"/>
      <w:sz w:val="21"/>
    </w:rPr>
  </w:style>
  <w:style w:type="paragraph" w:customStyle="1" w:styleId="127">
    <w:name w:val="首行缩进"/>
    <w:basedOn w:val="1"/>
    <w:autoRedefine/>
    <w:qFormat/>
    <w:uiPriority w:val="0"/>
    <w:pPr>
      <w:adjustRightInd w:val="0"/>
      <w:spacing w:line="360" w:lineRule="auto"/>
      <w:ind w:firstLine="480" w:firstLineChars="200"/>
      <w:textAlignment w:val="baseline"/>
    </w:pPr>
    <w:rPr>
      <w:rFonts w:ascii="Calibri" w:hAnsi="Calibri"/>
      <w:kern w:val="0"/>
      <w:position w:val="0"/>
      <w:sz w:val="24"/>
      <w:lang w:val="zh-CN"/>
    </w:rPr>
  </w:style>
  <w:style w:type="paragraph" w:customStyle="1" w:styleId="128">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9">
    <w:name w:val="p2"/>
    <w:basedOn w:val="1"/>
    <w:autoRedefine/>
    <w:qFormat/>
    <w:uiPriority w:val="0"/>
    <w:pPr>
      <w:widowControl/>
      <w:spacing w:line="480" w:lineRule="auto"/>
      <w:ind w:firstLine="420"/>
      <w:jc w:val="left"/>
    </w:pPr>
    <w:rPr>
      <w:rFonts w:ascii="宋体" w:hAnsi="宋体" w:cs="宋体"/>
      <w:kern w:val="0"/>
      <w:position w:val="0"/>
      <w:szCs w:val="21"/>
    </w:rPr>
  </w:style>
  <w:style w:type="paragraph" w:customStyle="1" w:styleId="130">
    <w:name w:val="p1"/>
    <w:basedOn w:val="1"/>
    <w:autoRedefine/>
    <w:qFormat/>
    <w:uiPriority w:val="0"/>
    <w:pPr>
      <w:widowControl/>
      <w:spacing w:line="480" w:lineRule="auto"/>
      <w:jc w:val="center"/>
    </w:pPr>
    <w:rPr>
      <w:rFonts w:ascii="宋体" w:hAnsi="宋体" w:cs="宋体"/>
      <w:kern w:val="0"/>
      <w:position w:val="0"/>
      <w:sz w:val="28"/>
      <w:szCs w:val="28"/>
    </w:rPr>
  </w:style>
  <w:style w:type="character" w:customStyle="1" w:styleId="131">
    <w:name w:val="正文首行缩进 Char"/>
    <w:basedOn w:val="73"/>
    <w:autoRedefine/>
    <w:qFormat/>
    <w:uiPriority w:val="0"/>
    <w:rPr>
      <w:kern w:val="2"/>
      <w:position w:val="-6"/>
      <w:sz w:val="21"/>
      <w:szCs w:val="24"/>
    </w:rPr>
  </w:style>
  <w:style w:type="character" w:customStyle="1" w:styleId="132">
    <w:name w:val="正文首行缩进 Char1"/>
    <w:basedOn w:val="73"/>
    <w:link w:val="44"/>
    <w:autoRedefine/>
    <w:semiHidden/>
    <w:qFormat/>
    <w:uiPriority w:val="99"/>
    <w:rPr>
      <w:kern w:val="2"/>
      <w:position w:val="-6"/>
      <w:sz w:val="21"/>
    </w:rPr>
  </w:style>
  <w:style w:type="paragraph" w:customStyle="1" w:styleId="133">
    <w:name w:val="专用标题2"/>
    <w:basedOn w:val="3"/>
    <w:next w:val="1"/>
    <w:autoRedefine/>
    <w:qFormat/>
    <w:uiPriority w:val="0"/>
    <w:pPr>
      <w:keepNext w:val="0"/>
      <w:keepLines w:val="0"/>
      <w:widowControl/>
      <w:tabs>
        <w:tab w:val="left" w:pos="993"/>
      </w:tabs>
      <w:adjustRightInd w:val="0"/>
      <w:snapToGrid w:val="0"/>
      <w:spacing w:afterLines="50" w:line="360" w:lineRule="auto"/>
    </w:pPr>
    <w:rPr>
      <w:rFonts w:ascii="宋体" w:hAnsi="宋体" w:eastAsia="宋体" w:cs="Times"/>
      <w:bCs w:val="0"/>
      <w:kern w:val="0"/>
      <w:sz w:val="28"/>
      <w:szCs w:val="20"/>
    </w:rPr>
  </w:style>
  <w:style w:type="paragraph" w:customStyle="1" w:styleId="134">
    <w:name w:val="无间隔1"/>
    <w:autoRedefine/>
    <w:unhideWhenUsed/>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135">
    <w:name w:val="Normal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6">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7">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38">
    <w:name w:val="附件标题1"/>
    <w:next w:val="1"/>
    <w:qFormat/>
    <w:uiPriority w:val="0"/>
    <w:pPr>
      <w:numPr>
        <w:ilvl w:val="0"/>
        <w:numId w:val="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139">
    <w:name w:val="TOC 标题2"/>
    <w:basedOn w:val="2"/>
    <w:next w:val="1"/>
    <w:qFormat/>
    <w:uiPriority w:val="0"/>
    <w:pPr>
      <w:keepNext/>
      <w:keepLines/>
      <w:widowControl w:val="0"/>
      <w:adjustRightInd/>
      <w:snapToGrid/>
      <w:spacing w:before="260" w:after="260" w:line="413" w:lineRule="auto"/>
    </w:pPr>
    <w:rPr>
      <w:rFonts w:ascii="宋体" w:hAnsi="宋体" w:eastAsia="宋体" w:cs="Times New Roman"/>
      <w:sz w:val="36"/>
      <w:szCs w:val="44"/>
      <w:lang w:val="zh-CN"/>
    </w:rPr>
  </w:style>
  <w:style w:type="paragraph" w:customStyle="1" w:styleId="140">
    <w:name w:val="协议书标题2"/>
    <w:basedOn w:val="3"/>
    <w:next w:val="1"/>
    <w:qFormat/>
    <w:uiPriority w:val="0"/>
    <w:pPr>
      <w:keepNext w:val="0"/>
      <w:keepLines w:val="0"/>
      <w:numPr>
        <w:ilvl w:val="0"/>
        <w:numId w:val="2"/>
      </w:numPr>
      <w:tabs>
        <w:tab w:val="left" w:pos="567"/>
      </w:tabs>
      <w:spacing w:line="360" w:lineRule="auto"/>
      <w:ind w:firstLine="0" w:firstLineChars="0"/>
      <w:jc w:val="left"/>
    </w:pPr>
    <w:rPr>
      <w:rFonts w:ascii="宋体" w:hAnsi="宋体" w:eastAsia="宋体"/>
      <w:sz w:val="24"/>
    </w:rPr>
  </w:style>
  <w:style w:type="paragraph" w:customStyle="1" w:styleId="141">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42">
    <w:name w:val="通用标题2"/>
    <w:basedOn w:val="3"/>
    <w:next w:val="1"/>
    <w:qFormat/>
    <w:uiPriority w:val="0"/>
    <w:pPr>
      <w:keepNext w:val="0"/>
      <w:keepLines w:val="0"/>
      <w:numPr>
        <w:ilvl w:val="0"/>
        <w:numId w:val="3"/>
      </w:numPr>
      <w:tabs>
        <w:tab w:val="left" w:pos="993"/>
      </w:tabs>
      <w:spacing w:line="360" w:lineRule="auto"/>
      <w:ind w:firstLineChars="0"/>
    </w:pPr>
    <w:rPr>
      <w:rFonts w:ascii="黑体" w:hAnsi="黑体"/>
    </w:rPr>
  </w:style>
  <w:style w:type="paragraph" w:customStyle="1" w:styleId="143">
    <w:name w:val="通用标题3"/>
    <w:next w:val="1"/>
    <w:qFormat/>
    <w:uiPriority w:val="0"/>
    <w:pPr>
      <w:widowControl w:val="0"/>
      <w:numPr>
        <w:ilvl w:val="1"/>
        <w:numId w:val="4"/>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44">
    <w:name w:val="通用标题4"/>
    <w:next w:val="1"/>
    <w:qFormat/>
    <w:uiPriority w:val="0"/>
    <w:pPr>
      <w:numPr>
        <w:ilvl w:val="2"/>
        <w:numId w:val="4"/>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45">
    <w:name w:val="通用标题5"/>
    <w:qFormat/>
    <w:uiPriority w:val="0"/>
    <w:pPr>
      <w:widowControl w:val="0"/>
      <w:numPr>
        <w:ilvl w:val="3"/>
        <w:numId w:val="4"/>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46">
    <w:name w:val="通用标题6"/>
    <w:basedOn w:val="1"/>
    <w:qFormat/>
    <w:uiPriority w:val="0"/>
    <w:pPr>
      <w:numPr>
        <w:ilvl w:val="4"/>
        <w:numId w:val="5"/>
      </w:numPr>
      <w:tabs>
        <w:tab w:val="left" w:pos="993"/>
      </w:tabs>
      <w:wordWrap/>
      <w:topLinePunct w:val="0"/>
      <w:ind w:firstLine="0" w:firstLineChars="0"/>
    </w:pPr>
  </w:style>
  <w:style w:type="paragraph" w:customStyle="1" w:styleId="147">
    <w:name w:val="附件标题"/>
    <w:basedOn w:val="3"/>
    <w:next w:val="1"/>
    <w:qFormat/>
    <w:uiPriority w:val="0"/>
    <w:pPr>
      <w:numPr>
        <w:ilvl w:val="0"/>
        <w:numId w:val="6"/>
      </w:numPr>
      <w:tabs>
        <w:tab w:val="left" w:pos="1134"/>
      </w:tabs>
      <w:spacing w:line="360" w:lineRule="auto"/>
      <w:ind w:firstLine="0" w:firstLineChars="0"/>
      <w:jc w:val="center"/>
    </w:pPr>
    <w:rPr>
      <w:rFonts w:ascii="黑体" w:hAnsi="黑体"/>
      <w:sz w:val="30"/>
      <w:szCs w:val="30"/>
    </w:rPr>
  </w:style>
  <w:style w:type="paragraph" w:customStyle="1" w:styleId="148">
    <w:name w:val="&quot;footnote text&quot;"/>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9">
    <w:name w:val="WPSOffice手动目录 1"/>
    <w:qFormat/>
    <w:uiPriority w:val="0"/>
    <w:pPr>
      <w:ind w:leftChars="0"/>
    </w:pPr>
    <w:rPr>
      <w:rFonts w:ascii="Times New Roman" w:hAnsi="Times New Roman" w:eastAsia="宋体" w:cs="Times New Roman"/>
      <w:sz w:val="20"/>
      <w:szCs w:val="20"/>
      <w:lang w:val="en-US" w:eastAsia="en-US" w:bidi="ar-SA"/>
    </w:rPr>
  </w:style>
  <w:style w:type="paragraph" w:customStyle="1" w:styleId="150">
    <w:name w:val="WPSOffice手动目录 2"/>
    <w:qFormat/>
    <w:uiPriority w:val="0"/>
    <w:pPr>
      <w:ind w:leftChars="200"/>
    </w:pPr>
    <w:rPr>
      <w:rFonts w:ascii="Times New Roman" w:hAnsi="Times New Roman" w:eastAsia="宋体" w:cs="Times New Roman"/>
      <w:sz w:val="20"/>
      <w:szCs w:val="20"/>
      <w:lang w:val="en-US" w:eastAsia="en-US" w:bidi="ar-SA"/>
    </w:rPr>
  </w:style>
  <w:style w:type="paragraph" w:customStyle="1" w:styleId="151">
    <w:name w:val="Body Text First Indent 2_0"/>
    <w:qFormat/>
    <w:uiPriority w:val="0"/>
    <w:pPr>
      <w:widowControl w:val="0"/>
      <w:ind w:firstLine="420" w:firstLineChars="200"/>
      <w:jc w:val="both"/>
    </w:pPr>
    <w:rPr>
      <w:rFonts w:ascii="Calibri" w:hAnsi="Calibri"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F5FEBE-8F5D-4272-A897-32F24401A2D9}">
  <ds:schemaRefs/>
</ds:datastoreItem>
</file>

<file path=docProps/app.xml><?xml version="1.0" encoding="utf-8"?>
<Properties xmlns="http://schemas.openxmlformats.org/officeDocument/2006/extended-properties" xmlns:vt="http://schemas.openxmlformats.org/officeDocument/2006/docPropsVTypes">
  <Template>Normal</Template>
  <Company>云南天平工程项目管理有限公司</Company>
  <Pages>189</Pages>
  <Words>8209</Words>
  <Characters>9052</Characters>
  <Lines>863</Lines>
  <Paragraphs>243</Paragraphs>
  <TotalTime>8</TotalTime>
  <ScaleCrop>false</ScaleCrop>
  <LinksUpToDate>false</LinksUpToDate>
  <CharactersWithSpaces>9157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2023-03-01T02:33:00Z</dcterms:created>
  <dc:creator>guiqulai</dc:creator>
  <cp:lastModifiedBy>沃利贝尔</cp:lastModifiedBy>
  <cp:lastPrinted>2026-03-09T03:47:00Z</cp:lastPrinted>
  <dcterms:modified xsi:type="dcterms:W3CDTF">2026-04-27T06:34:14Z</dcterms:modified>
  <dc:title>招标文件</dc:title>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50C8D8AFA3DE43E883F7D6AED1860A7C_13</vt:lpwstr>
  </property>
  <property fmtid="{D5CDD505-2E9C-101B-9397-08002B2CF9AE}" pid="3" name="KSOProductBuildVer">
    <vt:lpwstr>2052-12.1.0.25225</vt:lpwstr>
  </property>
  <property fmtid="{D5CDD505-2E9C-101B-9397-08002B2CF9AE}" pid="4" name="KSOTemplateDocerSaveRecord">
    <vt:lpwstr>eyJoZGlkIjoiYjk4MzU1NDFmMWZiMzQ1ZjY4ZmZkOTQ2MWE0ZmY0MGYiLCJ1c2VySWQiOiIzNjkxNDg4MDMifQ==</vt:lpwstr>
  </property>
</Properties>
</file>