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465B9C">
      <w:pPr>
        <w:spacing w:line="360" w:lineRule="auto"/>
        <w:jc w:val="center"/>
        <w:rPr>
          <w:rFonts w:hint="eastAsia"/>
          <w:sz w:val="32"/>
          <w:szCs w:val="32"/>
        </w:rPr>
      </w:pPr>
      <w:r>
        <w:rPr>
          <w:rFonts w:hint="eastAsia" w:ascii="宋体" w:hAnsi="宋体"/>
          <w:b/>
          <w:bCs/>
          <w:sz w:val="32"/>
          <w:szCs w:val="32"/>
          <w:lang w:eastAsia="zh-CN"/>
        </w:rPr>
        <w:t>昆明市西山区福海小村(37号片区)城中村改造配套基础设施项目二期勘察、初步设计服务</w:t>
      </w:r>
      <w:r>
        <w:rPr>
          <w:rFonts w:hint="eastAsia" w:ascii="宋体" w:hAnsi="宋体"/>
          <w:b/>
          <w:bCs/>
          <w:sz w:val="32"/>
          <w:szCs w:val="32"/>
        </w:rPr>
        <w:t>招标公告</w:t>
      </w:r>
    </w:p>
    <w:p w14:paraId="4E6ABD99">
      <w:pPr>
        <w:spacing w:line="360" w:lineRule="auto"/>
        <w:ind w:right="482"/>
        <w:outlineLvl w:val="0"/>
        <w:rPr>
          <w:rFonts w:ascii="宋体" w:hAnsi="宋体"/>
          <w:b/>
          <w:sz w:val="21"/>
          <w:szCs w:val="21"/>
        </w:rPr>
      </w:pPr>
      <w:bookmarkStart w:id="0" w:name="_Toc2176080"/>
      <w:bookmarkStart w:id="1" w:name="_Toc297828664"/>
      <w:bookmarkStart w:id="2" w:name="_Toc523740365"/>
      <w:bookmarkStart w:id="3" w:name="_Toc30034"/>
      <w:bookmarkStart w:id="4" w:name="_Toc13177"/>
      <w:bookmarkStart w:id="5" w:name="_Toc20248"/>
      <w:bookmarkStart w:id="6" w:name="_Toc62498126"/>
      <w:bookmarkStart w:id="7" w:name="_Toc471744290"/>
      <w:bookmarkStart w:id="8" w:name="_Toc437527132"/>
      <w:bookmarkStart w:id="9" w:name="_Toc13930"/>
      <w:bookmarkStart w:id="10" w:name="_Toc40706687"/>
      <w:bookmarkStart w:id="11" w:name="_Toc184635069"/>
      <w:r>
        <w:rPr>
          <w:rFonts w:hint="eastAsia" w:ascii="宋体" w:hAnsi="宋体"/>
          <w:b/>
          <w:sz w:val="21"/>
          <w:szCs w:val="21"/>
        </w:rPr>
        <w:t>1.招标条件</w:t>
      </w:r>
      <w:bookmarkEnd w:id="0"/>
      <w:bookmarkEnd w:id="1"/>
      <w:bookmarkEnd w:id="2"/>
      <w:bookmarkEnd w:id="3"/>
      <w:bookmarkEnd w:id="4"/>
      <w:bookmarkEnd w:id="5"/>
      <w:bookmarkEnd w:id="6"/>
      <w:bookmarkEnd w:id="7"/>
      <w:bookmarkEnd w:id="8"/>
      <w:bookmarkEnd w:id="9"/>
      <w:bookmarkEnd w:id="10"/>
    </w:p>
    <w:p w14:paraId="64B51AF9">
      <w:pPr>
        <w:spacing w:line="360" w:lineRule="auto"/>
        <w:ind w:firstLine="420" w:firstLineChars="200"/>
        <w:rPr>
          <w:rFonts w:hint="eastAsia" w:ascii="宋体" w:hAnsi="宋体" w:eastAsia="宋体" w:cs="Times New Roman"/>
          <w:sz w:val="21"/>
          <w:szCs w:val="21"/>
          <w:lang w:eastAsia="zh-CN"/>
        </w:rPr>
      </w:pPr>
      <w:bookmarkStart w:id="12" w:name="_Toc18712"/>
      <w:bookmarkStart w:id="13" w:name="_Toc471744292"/>
      <w:bookmarkStart w:id="14" w:name="_Toc523740367"/>
      <w:bookmarkStart w:id="15" w:name="_Toc297828665"/>
      <w:bookmarkStart w:id="16" w:name="_Toc261955976"/>
      <w:bookmarkStart w:id="17" w:name="_Toc437527134"/>
      <w:bookmarkStart w:id="18" w:name="_Toc2176081"/>
      <w:bookmarkStart w:id="19" w:name="_Toc15292"/>
      <w:bookmarkStart w:id="20" w:name="_Toc262203368"/>
      <w:bookmarkStart w:id="21" w:name="_Toc265699941"/>
      <w:r>
        <w:rPr>
          <w:rFonts w:hint="eastAsia" w:ascii="宋体" w:hAnsi="宋体" w:eastAsia="宋体" w:cs="Times New Roman"/>
          <w:sz w:val="21"/>
          <w:szCs w:val="21"/>
          <w:lang w:eastAsia="zh-CN"/>
        </w:rPr>
        <w:t>本招标项目昆明市西山区福海小村(37号片区)城中村改造配套基础设施项目二期勘察、初步设计服务（项目名称）已由昆明市西山区</w:t>
      </w:r>
      <w:r>
        <w:rPr>
          <w:rFonts w:hint="eastAsia" w:ascii="宋体" w:hAnsi="宋体" w:eastAsia="宋体" w:cs="Times New Roman"/>
          <w:sz w:val="21"/>
          <w:szCs w:val="21"/>
          <w:lang w:val="en-US" w:eastAsia="zh-CN"/>
        </w:rPr>
        <w:t>发展和改革局</w:t>
      </w:r>
      <w:r>
        <w:rPr>
          <w:rFonts w:hint="eastAsia" w:ascii="宋体" w:hAnsi="宋体" w:eastAsia="宋体" w:cs="Times New Roman"/>
          <w:sz w:val="21"/>
          <w:szCs w:val="21"/>
          <w:lang w:eastAsia="zh-CN"/>
        </w:rPr>
        <w:t>（项目审批、核准或备案机关名称）以</w:t>
      </w:r>
      <w:r>
        <w:rPr>
          <w:rFonts w:hint="eastAsia" w:ascii="宋体" w:hAnsi="宋体" w:eastAsia="宋体" w:cs="Times New Roman"/>
          <w:sz w:val="21"/>
          <w:szCs w:val="21"/>
          <w:lang w:val="en-US" w:eastAsia="zh-CN"/>
        </w:rPr>
        <w:t>西发改投复【2025】29号文</w:t>
      </w:r>
      <w:r>
        <w:rPr>
          <w:rFonts w:hint="eastAsia" w:ascii="宋体" w:hAnsi="宋体" w:eastAsia="宋体" w:cs="Times New Roman"/>
          <w:sz w:val="21"/>
          <w:szCs w:val="21"/>
          <w:lang w:eastAsia="zh-CN"/>
        </w:rPr>
        <w:t>（批文名称及编号）批准建设，招标人为</w:t>
      </w:r>
      <w:r>
        <w:rPr>
          <w:rFonts w:hint="eastAsia" w:ascii="宋体" w:hAnsi="宋体" w:eastAsia="宋体" w:cs="Times New Roman"/>
          <w:sz w:val="21"/>
          <w:szCs w:val="21"/>
          <w:lang w:eastAsia="zh-CN"/>
        </w:rPr>
        <w:fldChar w:fldCharType="begin"/>
      </w:r>
      <w:r>
        <w:rPr>
          <w:rFonts w:hint="eastAsia" w:ascii="宋体" w:hAnsi="宋体" w:eastAsia="宋体" w:cs="Times New Roman"/>
          <w:sz w:val="21"/>
          <w:szCs w:val="21"/>
          <w:lang w:eastAsia="zh-CN"/>
        </w:rPr>
        <w:instrText xml:space="preserve"> AUTOTEXT  input11 \* MERGEFORMAT </w:instrText>
      </w:r>
      <w:r>
        <w:rPr>
          <w:rFonts w:hint="eastAsia" w:ascii="宋体" w:hAnsi="宋体" w:eastAsia="宋体" w:cs="Times New Roman"/>
          <w:sz w:val="21"/>
          <w:szCs w:val="21"/>
          <w:lang w:eastAsia="zh-CN"/>
        </w:rPr>
        <w:fldChar w:fldCharType="separate"/>
      </w:r>
      <w:r>
        <w:rPr>
          <w:rFonts w:hint="eastAsia" w:ascii="宋体" w:hAnsi="宋体" w:eastAsia="宋体" w:cs="Times New Roman"/>
          <w:sz w:val="21"/>
          <w:szCs w:val="21"/>
          <w:lang w:eastAsia="zh-CN"/>
        </w:rPr>
        <w:t>昆明市西山区住房和城乡建设局</w:t>
      </w:r>
      <w:r>
        <w:rPr>
          <w:rFonts w:hint="eastAsia" w:ascii="宋体" w:hAnsi="宋体" w:eastAsia="宋体" w:cs="Times New Roman"/>
          <w:sz w:val="21"/>
          <w:szCs w:val="21"/>
          <w:lang w:eastAsia="zh-CN"/>
        </w:rPr>
        <w:fldChar w:fldCharType="end"/>
      </w:r>
      <w:r>
        <w:rPr>
          <w:rFonts w:hint="eastAsia" w:ascii="宋体" w:hAnsi="宋体" w:eastAsia="宋体" w:cs="Times New Roman"/>
          <w:sz w:val="21"/>
          <w:szCs w:val="21"/>
          <w:lang w:eastAsia="zh-CN"/>
        </w:rPr>
        <w:t>，建设资金来自</w:t>
      </w:r>
      <w:r>
        <w:rPr>
          <w:rFonts w:hint="eastAsia" w:ascii="宋体" w:hAnsi="宋体" w:eastAsia="宋体" w:cs="Times New Roman"/>
          <w:sz w:val="21"/>
          <w:szCs w:val="21"/>
          <w:lang w:eastAsia="zh-CN"/>
        </w:rPr>
        <w:fldChar w:fldCharType="begin"/>
      </w:r>
      <w:r>
        <w:rPr>
          <w:rFonts w:hint="eastAsia" w:ascii="宋体" w:hAnsi="宋体" w:eastAsia="宋体" w:cs="Times New Roman"/>
          <w:sz w:val="21"/>
          <w:szCs w:val="21"/>
          <w:lang w:eastAsia="zh-CN"/>
        </w:rPr>
        <w:instrText xml:space="preserve"> AUTOTEXT  input12 \* MERGEFORMAT </w:instrText>
      </w:r>
      <w:r>
        <w:rPr>
          <w:rFonts w:hint="eastAsia" w:ascii="宋体" w:hAnsi="宋体" w:eastAsia="宋体" w:cs="Times New Roman"/>
          <w:sz w:val="21"/>
          <w:szCs w:val="21"/>
          <w:lang w:eastAsia="zh-CN"/>
        </w:rPr>
        <w:fldChar w:fldCharType="separate"/>
      </w:r>
      <w:r>
        <w:rPr>
          <w:rFonts w:hint="eastAsia" w:ascii="宋体" w:hAnsi="宋体" w:eastAsia="宋体" w:cs="Times New Roman"/>
          <w:sz w:val="21"/>
          <w:szCs w:val="21"/>
          <w:lang w:eastAsia="zh-CN"/>
        </w:rPr>
        <w:t>积极申请中央、省、市资金补助，不足部分由区财政统筹安排</w:t>
      </w:r>
      <w:r>
        <w:rPr>
          <w:rFonts w:hint="eastAsia" w:ascii="宋体" w:hAnsi="宋体" w:eastAsia="宋体" w:cs="Times New Roman"/>
          <w:sz w:val="21"/>
          <w:szCs w:val="21"/>
          <w:lang w:eastAsia="zh-CN"/>
        </w:rPr>
        <w:fldChar w:fldCharType="end"/>
      </w:r>
      <w:r>
        <w:rPr>
          <w:rFonts w:hint="eastAsia" w:ascii="宋体" w:hAnsi="宋体" w:eastAsia="宋体" w:cs="Times New Roman"/>
          <w:sz w:val="21"/>
          <w:szCs w:val="21"/>
          <w:lang w:eastAsia="zh-CN"/>
        </w:rPr>
        <w:t>（资金来源），项目出资比例为</w:t>
      </w:r>
      <w:r>
        <w:rPr>
          <w:rFonts w:hint="eastAsia" w:ascii="宋体" w:hAnsi="宋体" w:eastAsia="宋体" w:cs="Times New Roman"/>
          <w:sz w:val="21"/>
          <w:szCs w:val="21"/>
          <w:lang w:eastAsia="zh-CN"/>
        </w:rPr>
        <w:fldChar w:fldCharType="begin"/>
      </w:r>
      <w:r>
        <w:rPr>
          <w:rFonts w:hint="eastAsia" w:ascii="宋体" w:hAnsi="宋体" w:eastAsia="宋体" w:cs="Times New Roman"/>
          <w:sz w:val="21"/>
          <w:szCs w:val="21"/>
          <w:lang w:eastAsia="zh-CN"/>
        </w:rPr>
        <w:instrText xml:space="preserve"> AUTOTEXT  input13 \* MERGEFORMAT </w:instrText>
      </w:r>
      <w:r>
        <w:rPr>
          <w:rFonts w:hint="eastAsia" w:ascii="宋体" w:hAnsi="宋体" w:eastAsia="宋体" w:cs="Times New Roman"/>
          <w:sz w:val="21"/>
          <w:szCs w:val="21"/>
          <w:lang w:eastAsia="zh-CN"/>
        </w:rPr>
        <w:fldChar w:fldCharType="separate"/>
      </w:r>
      <w:r>
        <w:rPr>
          <w:rFonts w:hint="eastAsia" w:ascii="宋体" w:hAnsi="宋体" w:eastAsia="宋体" w:cs="Times New Roman"/>
          <w:sz w:val="21"/>
          <w:szCs w:val="21"/>
          <w:lang w:eastAsia="zh-CN"/>
        </w:rPr>
        <w:t>100%</w:t>
      </w:r>
      <w:r>
        <w:rPr>
          <w:rFonts w:hint="eastAsia" w:ascii="宋体" w:hAnsi="宋体" w:eastAsia="宋体" w:cs="Times New Roman"/>
          <w:sz w:val="21"/>
          <w:szCs w:val="21"/>
          <w:lang w:eastAsia="zh-CN"/>
        </w:rPr>
        <w:fldChar w:fldCharType="end"/>
      </w:r>
      <w:r>
        <w:rPr>
          <w:rFonts w:hint="eastAsia" w:ascii="宋体" w:hAnsi="宋体" w:eastAsia="宋体" w:cs="Times New Roman"/>
          <w:sz w:val="21"/>
          <w:szCs w:val="21"/>
          <w:lang w:eastAsia="zh-CN"/>
        </w:rPr>
        <w:t>，项目已具备招标条件，现对该项目的勘察、初步设计服务进行公开招标，本次招标采取资格后审方式。</w:t>
      </w:r>
    </w:p>
    <w:p w14:paraId="5BD18541">
      <w:pPr>
        <w:spacing w:line="360" w:lineRule="auto"/>
        <w:ind w:right="482"/>
        <w:outlineLvl w:val="0"/>
        <w:rPr>
          <w:rFonts w:ascii="宋体" w:hAnsi="宋体"/>
          <w:b/>
          <w:sz w:val="21"/>
          <w:szCs w:val="21"/>
        </w:rPr>
      </w:pPr>
      <w:bookmarkStart w:id="22" w:name="_Toc62498127"/>
      <w:bookmarkStart w:id="23" w:name="_Toc40706688"/>
      <w:bookmarkStart w:id="24" w:name="_Toc21462"/>
      <w:bookmarkStart w:id="25" w:name="_Toc20721"/>
      <w:r>
        <w:rPr>
          <w:rFonts w:hint="eastAsia" w:ascii="宋体" w:hAnsi="宋体"/>
          <w:b/>
          <w:sz w:val="21"/>
          <w:szCs w:val="21"/>
        </w:rPr>
        <w:t>2.项目概况</w:t>
      </w:r>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7D2158ED">
      <w:pPr>
        <w:tabs>
          <w:tab w:val="left" w:pos="7020"/>
        </w:tabs>
        <w:spacing w:line="360" w:lineRule="auto"/>
        <w:ind w:firstLine="420" w:firstLineChars="200"/>
        <w:rPr>
          <w:rFonts w:hint="eastAsia" w:ascii="宋体" w:hAnsi="宋体" w:eastAsia="宋体"/>
          <w:sz w:val="21"/>
          <w:szCs w:val="21"/>
          <w:highlight w:val="none"/>
          <w:lang w:eastAsia="zh-CN"/>
        </w:rPr>
      </w:pPr>
      <w:r>
        <w:rPr>
          <w:rFonts w:hint="eastAsia" w:ascii="宋体" w:hAnsi="宋体"/>
          <w:sz w:val="21"/>
          <w:szCs w:val="21"/>
        </w:rPr>
        <w:t>2.1项目名称：</w:t>
      </w:r>
      <w:r>
        <w:rPr>
          <w:rFonts w:hint="eastAsia" w:ascii="宋体" w:hAnsi="宋体"/>
          <w:sz w:val="21"/>
          <w:szCs w:val="21"/>
          <w:highlight w:val="none"/>
          <w:lang w:eastAsia="zh-CN"/>
        </w:rPr>
        <w:t>昆明市西山区福海小村(37号片区)城中村改造配套基础设施项目二期勘察、初步设计服务</w:t>
      </w:r>
    </w:p>
    <w:p w14:paraId="67465E17">
      <w:pPr>
        <w:spacing w:line="360" w:lineRule="auto"/>
        <w:ind w:firstLine="420" w:firstLineChars="200"/>
        <w:rPr>
          <w:rFonts w:hint="default" w:ascii="宋体" w:hAnsi="宋体" w:eastAsia="宋体"/>
          <w:sz w:val="21"/>
          <w:szCs w:val="21"/>
          <w:highlight w:val="yellow"/>
          <w:lang w:val="en-US" w:eastAsia="zh-CN"/>
        </w:rPr>
      </w:pPr>
      <w:r>
        <w:rPr>
          <w:rFonts w:hint="eastAsia" w:ascii="宋体" w:hAnsi="宋体"/>
          <w:sz w:val="21"/>
          <w:szCs w:val="21"/>
        </w:rPr>
        <w:t>2.2</w:t>
      </w:r>
      <w:r>
        <w:rPr>
          <w:rFonts w:hint="eastAsia" w:ascii="宋体" w:hAnsi="宋体"/>
          <w:sz w:val="21"/>
          <w:szCs w:val="21"/>
          <w:lang w:val="en-US" w:eastAsia="zh-CN"/>
        </w:rPr>
        <w:t>项目规模</w:t>
      </w:r>
      <w:r>
        <w:rPr>
          <w:rFonts w:hint="eastAsia" w:ascii="宋体" w:hAnsi="宋体"/>
          <w:sz w:val="21"/>
          <w:szCs w:val="21"/>
        </w:rPr>
        <w:t>：</w:t>
      </w:r>
      <w:r>
        <w:rPr>
          <w:rFonts w:hint="eastAsia" w:ascii="宋体" w:hAnsi="宋体"/>
          <w:sz w:val="21"/>
          <w:szCs w:val="21"/>
          <w:lang w:val="en-US" w:eastAsia="zh-CN"/>
        </w:rPr>
        <w:t>主要是对</w:t>
      </w:r>
      <w:r>
        <w:rPr>
          <w:rFonts w:hint="eastAsia" w:ascii="宋体" w:hAnsi="宋体"/>
          <w:sz w:val="21"/>
          <w:szCs w:val="21"/>
          <w:lang w:eastAsia="zh-CN"/>
        </w:rPr>
        <w:t>昆明市西山区福海小村(37号片区)城中村</w:t>
      </w:r>
      <w:r>
        <w:rPr>
          <w:rFonts w:hint="eastAsia" w:ascii="宋体" w:hAnsi="宋体"/>
          <w:sz w:val="21"/>
          <w:szCs w:val="21"/>
          <w:highlight w:val="none"/>
          <w:lang w:eastAsia="zh-CN"/>
        </w:rPr>
        <w:t>配套基础设施二期</w:t>
      </w:r>
      <w:r>
        <w:rPr>
          <w:rFonts w:hint="eastAsia" w:ascii="宋体" w:hAnsi="宋体"/>
          <w:sz w:val="21"/>
          <w:szCs w:val="21"/>
          <w:highlight w:val="none"/>
          <w:lang w:val="en-US" w:eastAsia="zh-CN"/>
        </w:rPr>
        <w:t>进行</w:t>
      </w:r>
      <w:r>
        <w:rPr>
          <w:rFonts w:hint="eastAsia" w:ascii="宋体" w:hAnsi="宋体"/>
          <w:sz w:val="21"/>
          <w:szCs w:val="21"/>
          <w:lang w:val="en-US" w:eastAsia="zh-CN"/>
        </w:rPr>
        <w:t>改造，</w:t>
      </w:r>
      <w:r>
        <w:rPr>
          <w:rFonts w:hint="eastAsia" w:ascii="宋体" w:hAnsi="宋体"/>
          <w:sz w:val="21"/>
          <w:szCs w:val="21"/>
        </w:rPr>
        <w:t>改造户数522户</w:t>
      </w:r>
      <w:r>
        <w:rPr>
          <w:rFonts w:hint="eastAsia" w:ascii="宋体" w:hAnsi="宋体"/>
          <w:sz w:val="21"/>
          <w:szCs w:val="21"/>
          <w:lang w:eastAsia="zh-CN"/>
        </w:rPr>
        <w:t>，</w:t>
      </w:r>
      <w:r>
        <w:rPr>
          <w:rFonts w:hint="eastAsia" w:ascii="宋体" w:hAnsi="宋体"/>
          <w:sz w:val="21"/>
          <w:szCs w:val="21"/>
        </w:rPr>
        <w:t>改造面积51.13万平方米。建设配套道路面积95400平方米，供电管道8.8公里、通信管道6.2公里，以及其他附属设施</w:t>
      </w:r>
      <w:r>
        <w:rPr>
          <w:rFonts w:hint="eastAsia" w:ascii="宋体" w:hAnsi="宋体"/>
          <w:sz w:val="21"/>
          <w:szCs w:val="21"/>
          <w:lang w:eastAsia="zh-CN"/>
        </w:rPr>
        <w:t>。项目投资估算:36989.41万元，其中:工程建设费用30072.69万元，工程建设其他费用3554.05万元，预备费3362.67万元。</w:t>
      </w:r>
      <w:r>
        <w:rPr>
          <w:rFonts w:hint="eastAsia" w:ascii="宋体" w:hAnsi="宋体"/>
          <w:sz w:val="21"/>
          <w:szCs w:val="21"/>
          <w:lang w:val="en-US" w:eastAsia="zh-CN"/>
        </w:rPr>
        <w:t>本</w:t>
      </w:r>
      <w:r>
        <w:rPr>
          <w:rFonts w:hint="eastAsia" w:ascii="宋体" w:hAnsi="宋体"/>
          <w:sz w:val="21"/>
          <w:szCs w:val="21"/>
          <w:highlight w:val="none"/>
          <w:lang w:val="en-US" w:eastAsia="zh-CN"/>
        </w:rPr>
        <w:t>次招标规模约240万元。</w:t>
      </w:r>
    </w:p>
    <w:p w14:paraId="1505CEA1">
      <w:pPr>
        <w:tabs>
          <w:tab w:val="left" w:pos="7020"/>
        </w:tabs>
        <w:spacing w:line="360" w:lineRule="auto"/>
        <w:ind w:firstLine="420" w:firstLineChars="200"/>
        <w:rPr>
          <w:rFonts w:hint="default" w:ascii="宋体" w:hAnsi="宋体"/>
          <w:sz w:val="21"/>
          <w:szCs w:val="21"/>
          <w:lang w:val="en-US" w:eastAsia="zh-CN"/>
        </w:rPr>
      </w:pPr>
      <w:r>
        <w:rPr>
          <w:rFonts w:hint="eastAsia" w:ascii="宋体" w:hAnsi="宋体"/>
          <w:sz w:val="21"/>
          <w:szCs w:val="21"/>
        </w:rPr>
        <w:t>2.3招标</w:t>
      </w:r>
      <w:r>
        <w:rPr>
          <w:rFonts w:hint="eastAsia" w:ascii="宋体" w:hAnsi="宋体"/>
          <w:sz w:val="21"/>
          <w:szCs w:val="21"/>
          <w:lang w:val="en-US" w:eastAsia="zh-CN"/>
        </w:rPr>
        <w:t>范围</w:t>
      </w:r>
      <w:r>
        <w:rPr>
          <w:rFonts w:hint="eastAsia" w:ascii="宋体" w:hAnsi="宋体"/>
          <w:sz w:val="21"/>
          <w:szCs w:val="21"/>
        </w:rPr>
        <w:t>：</w:t>
      </w:r>
      <w:r>
        <w:rPr>
          <w:rFonts w:hint="eastAsia" w:ascii="宋体" w:hAnsi="宋体"/>
          <w:sz w:val="21"/>
          <w:szCs w:val="21"/>
          <w:lang w:val="en-US" w:eastAsia="zh-CN"/>
        </w:rPr>
        <w:t>完成昆</w:t>
      </w:r>
      <w:r>
        <w:rPr>
          <w:rFonts w:hint="eastAsia" w:ascii="宋体" w:hAnsi="宋体"/>
          <w:sz w:val="21"/>
          <w:szCs w:val="21"/>
          <w:lang w:eastAsia="zh-CN"/>
        </w:rPr>
        <w:t>明市西山区福海小村(37号片区)城中村改造配套基础设施项目二期勘察、初步设计服务</w:t>
      </w:r>
      <w:r>
        <w:rPr>
          <w:rFonts w:hint="eastAsia" w:ascii="宋体" w:hAnsi="宋体"/>
          <w:sz w:val="21"/>
          <w:szCs w:val="21"/>
          <w:lang w:val="en-US" w:eastAsia="zh-CN"/>
        </w:rPr>
        <w:t>工作</w:t>
      </w:r>
      <w:r>
        <w:rPr>
          <w:rFonts w:hint="eastAsia" w:ascii="宋体" w:hAnsi="宋体"/>
          <w:sz w:val="21"/>
          <w:szCs w:val="21"/>
          <w:lang w:eastAsia="zh-CN"/>
        </w:rPr>
        <w:t>，</w:t>
      </w:r>
      <w:r>
        <w:rPr>
          <w:rFonts w:hint="eastAsia" w:ascii="宋体" w:hAnsi="宋体"/>
          <w:sz w:val="21"/>
          <w:szCs w:val="21"/>
          <w:lang w:val="en-US" w:eastAsia="zh-CN"/>
        </w:rPr>
        <w:t>其中：</w:t>
      </w:r>
    </w:p>
    <w:p w14:paraId="52EEBF90">
      <w:pPr>
        <w:pageBreakBefore w:val="0"/>
        <w:kinsoku/>
        <w:wordWrap w:val="0"/>
        <w:overflowPunct/>
        <w:topLinePunct w:val="0"/>
        <w:autoSpaceDE w:val="0"/>
        <w:autoSpaceDN w:val="0"/>
        <w:bidi w:val="0"/>
        <w:adjustRightInd w:val="0"/>
        <w:spacing w:beforeAutospacing="0" w:afterAutospacing="0" w:line="360" w:lineRule="auto"/>
        <w:ind w:left="0" w:leftChars="0" w:right="0" w:rightChars="0" w:firstLine="420" w:firstLineChars="200"/>
        <w:textAlignment w:val="auto"/>
        <w:rPr>
          <w:rFonts w:hint="eastAsia" w:ascii="宋体" w:hAnsi="宋体"/>
          <w:sz w:val="21"/>
          <w:szCs w:val="21"/>
          <w:lang w:val="en-US" w:eastAsia="zh-CN"/>
        </w:rPr>
      </w:pPr>
      <w:r>
        <w:rPr>
          <w:rFonts w:hint="eastAsia" w:ascii="宋体" w:hAnsi="宋体"/>
          <w:sz w:val="21"/>
          <w:szCs w:val="21"/>
          <w:lang w:val="en-US" w:eastAsia="zh-CN"/>
        </w:rPr>
        <w:t>（1）勘察部分：完成项目所涉及的全部勘察工作，包括但不限于：初步勘察、详细勘察、施工勘察、勘探、取样、试验、测试、资料收集整理分项、提交工程勘察报告等工作，出具完整的符合国家相关勘察要求的勘察报告及其相关的成果资</w:t>
      </w:r>
      <w:r>
        <w:rPr>
          <w:rFonts w:hint="eastAsia" w:ascii="宋体" w:hAnsi="宋体" w:eastAsia="宋体" w:cs="Times New Roman"/>
          <w:sz w:val="21"/>
          <w:szCs w:val="21"/>
          <w:lang w:val="en-US" w:eastAsia="zh-CN"/>
        </w:rPr>
        <w:t>料，以及项目实施过程中的后续服务，直至本项目竣工验收，</w:t>
      </w:r>
      <w:r>
        <w:rPr>
          <w:rFonts w:hint="eastAsia" w:ascii="宋体" w:hAnsi="宋体"/>
          <w:sz w:val="21"/>
          <w:szCs w:val="21"/>
          <w:lang w:val="en-US" w:eastAsia="zh-CN"/>
        </w:rPr>
        <w:t>并承担相关勘察缺陷责任，成果资料满足设计要求。（具体工作以招标人实际委托通知为准）。</w:t>
      </w:r>
    </w:p>
    <w:p w14:paraId="33BEB49D">
      <w:pPr>
        <w:pageBreakBefore w:val="0"/>
        <w:kinsoku/>
        <w:wordWrap w:val="0"/>
        <w:overflowPunct/>
        <w:topLinePunct w:val="0"/>
        <w:autoSpaceDE w:val="0"/>
        <w:autoSpaceDN w:val="0"/>
        <w:bidi w:val="0"/>
        <w:adjustRightInd w:val="0"/>
        <w:spacing w:beforeAutospacing="0" w:afterAutospacing="0" w:line="360" w:lineRule="auto"/>
        <w:ind w:left="0" w:leftChars="0" w:right="0" w:rightChars="0" w:firstLine="420" w:firstLineChars="200"/>
        <w:textAlignment w:val="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2）设计部分：完成本项目的初步设计（含概算编制）工作，包含但不限于：初步设计方案编制及评审工作并取得相关批复，满足报批初步设计条件的相关内容的要求。提供全套设计成果，并配合完成相关评审工作和审批手续、规划报批手续，取得相关部门的初步设计批复。（具体工作以招标人实际委托通知为准）。</w:t>
      </w:r>
    </w:p>
    <w:p w14:paraId="3BCE3907">
      <w:pPr>
        <w:tabs>
          <w:tab w:val="left" w:pos="7020"/>
        </w:tabs>
        <w:spacing w:line="360" w:lineRule="auto"/>
        <w:ind w:firstLine="420" w:firstLineChars="200"/>
        <w:rPr>
          <w:rFonts w:hint="eastAsia" w:ascii="宋体" w:hAnsi="宋体"/>
          <w:sz w:val="21"/>
          <w:szCs w:val="21"/>
          <w:highlight w:val="none"/>
        </w:rPr>
      </w:pPr>
      <w:bookmarkStart w:id="26" w:name="_Toc261955977"/>
      <w:bookmarkStart w:id="27" w:name="_Toc11402"/>
      <w:bookmarkStart w:id="28" w:name="_Toc7631"/>
      <w:bookmarkStart w:id="29" w:name="_Toc265699942"/>
      <w:bookmarkStart w:id="30" w:name="_Toc297828666"/>
      <w:r>
        <w:rPr>
          <w:rFonts w:hint="eastAsia" w:ascii="宋体" w:hAnsi="宋体"/>
          <w:sz w:val="21"/>
          <w:szCs w:val="21"/>
          <w:highlight w:val="none"/>
        </w:rPr>
        <w:t>2.</w:t>
      </w:r>
      <w:r>
        <w:rPr>
          <w:rFonts w:hint="eastAsia" w:ascii="宋体" w:hAnsi="宋体"/>
          <w:sz w:val="21"/>
          <w:szCs w:val="21"/>
          <w:highlight w:val="none"/>
          <w:lang w:val="en-US" w:eastAsia="zh-CN"/>
        </w:rPr>
        <w:t>4项目</w:t>
      </w:r>
      <w:r>
        <w:rPr>
          <w:rFonts w:hint="eastAsia" w:ascii="宋体" w:hAnsi="宋体"/>
          <w:sz w:val="21"/>
          <w:szCs w:val="21"/>
          <w:highlight w:val="none"/>
        </w:rPr>
        <w:t>地点：昆明市西山区福海街道范围内。</w:t>
      </w:r>
    </w:p>
    <w:p w14:paraId="6A794447">
      <w:pPr>
        <w:tabs>
          <w:tab w:val="left" w:pos="7020"/>
        </w:tabs>
        <w:spacing w:line="360" w:lineRule="auto"/>
        <w:ind w:firstLine="420" w:firstLineChars="200"/>
        <w:rPr>
          <w:rFonts w:hint="eastAsia" w:ascii="宋体" w:hAnsi="宋体"/>
          <w:sz w:val="21"/>
          <w:szCs w:val="21"/>
        </w:rPr>
      </w:pPr>
      <w:r>
        <w:rPr>
          <w:rFonts w:hint="eastAsia" w:ascii="宋体" w:hAnsi="宋体"/>
          <w:sz w:val="21"/>
          <w:szCs w:val="21"/>
        </w:rPr>
        <w:t>2.</w:t>
      </w:r>
      <w:r>
        <w:rPr>
          <w:rFonts w:hint="eastAsia" w:ascii="宋体" w:hAnsi="宋体"/>
          <w:sz w:val="21"/>
          <w:szCs w:val="21"/>
          <w:lang w:val="en-US" w:eastAsia="zh-CN"/>
        </w:rPr>
        <w:t>5</w:t>
      </w:r>
      <w:r>
        <w:rPr>
          <w:rFonts w:hint="eastAsia" w:ascii="宋体" w:hAnsi="宋体"/>
          <w:sz w:val="21"/>
          <w:szCs w:val="21"/>
        </w:rPr>
        <w:t>质量</w:t>
      </w:r>
      <w:r>
        <w:rPr>
          <w:rFonts w:hint="eastAsia" w:ascii="宋体" w:hAnsi="宋体"/>
          <w:sz w:val="21"/>
          <w:szCs w:val="21"/>
          <w:lang w:val="en-US" w:eastAsia="zh-CN"/>
        </w:rPr>
        <w:t>要求</w:t>
      </w:r>
      <w:r>
        <w:rPr>
          <w:rFonts w:hint="eastAsia" w:ascii="宋体" w:hAnsi="宋体"/>
          <w:sz w:val="21"/>
          <w:szCs w:val="21"/>
        </w:rPr>
        <w:t>：</w:t>
      </w:r>
      <w:bookmarkStart w:id="31" w:name="_Toc511912672"/>
      <w:bookmarkStart w:id="32" w:name="_Toc523740368"/>
      <w:bookmarkStart w:id="33" w:name="_Toc471744293"/>
      <w:bookmarkStart w:id="34" w:name="_Toc502166246"/>
      <w:r>
        <w:rPr>
          <w:rFonts w:hint="eastAsia" w:ascii="宋体" w:hAnsi="宋体"/>
          <w:sz w:val="21"/>
          <w:szCs w:val="21"/>
        </w:rPr>
        <w:t>（1）勘察符合《岩土工程勘察规范》（GB 50021</w:t>
      </w:r>
      <w:r>
        <w:rPr>
          <w:rFonts w:hint="eastAsia" w:ascii="宋体" w:hAnsi="宋体"/>
          <w:sz w:val="21"/>
          <w:szCs w:val="21"/>
          <w:lang w:val="en-US" w:eastAsia="zh-CN"/>
        </w:rPr>
        <w:t>-2025</w:t>
      </w:r>
      <w:r>
        <w:rPr>
          <w:rFonts w:hint="eastAsia" w:ascii="宋体" w:hAnsi="宋体"/>
          <w:sz w:val="21"/>
          <w:szCs w:val="21"/>
        </w:rPr>
        <w:t>）、《</w:t>
      </w:r>
      <w:r>
        <w:rPr>
          <w:rFonts w:hint="eastAsia" w:ascii="宋体" w:hAnsi="宋体"/>
          <w:sz w:val="21"/>
          <w:szCs w:val="21"/>
          <w:lang w:val="en-US" w:eastAsia="zh-CN"/>
        </w:rPr>
        <w:t>城市工程地质勘察规范》（CJJ7）</w:t>
      </w:r>
      <w:r>
        <w:rPr>
          <w:rFonts w:hint="eastAsia" w:ascii="宋体" w:hAnsi="宋体"/>
          <w:sz w:val="21"/>
          <w:szCs w:val="21"/>
        </w:rPr>
        <w:t>等国家、地方及行业现行标准、规范和规程的要求，确保测量、记录、取样和试验成果的准确性、真实性和可靠性，并对提交的勘察成果负终身质量责任，且勘察成果必须满足本项目工程设计及施工的要求，出具的勘察成果文件须达到国家规范合格标准并通过相关行政主管审查、备案。</w:t>
      </w:r>
    </w:p>
    <w:p w14:paraId="78EFADFA">
      <w:pPr>
        <w:tabs>
          <w:tab w:val="left" w:pos="7020"/>
        </w:tabs>
        <w:spacing w:line="360" w:lineRule="auto"/>
        <w:ind w:firstLine="420" w:firstLineChars="200"/>
        <w:rPr>
          <w:rFonts w:hint="eastAsia" w:ascii="宋体" w:hAnsi="宋体"/>
          <w:sz w:val="21"/>
          <w:szCs w:val="21"/>
        </w:rPr>
      </w:pPr>
      <w:r>
        <w:rPr>
          <w:rFonts w:hint="eastAsia" w:ascii="宋体" w:hAnsi="宋体"/>
          <w:sz w:val="21"/>
          <w:szCs w:val="21"/>
        </w:rPr>
        <w:t>（2）</w:t>
      </w:r>
      <w:r>
        <w:rPr>
          <w:rFonts w:hint="eastAsia" w:ascii="宋体" w:hAnsi="宋体"/>
          <w:sz w:val="21"/>
          <w:szCs w:val="21"/>
          <w:lang w:val="en-US" w:eastAsia="zh-CN"/>
        </w:rPr>
        <w:t>初步</w:t>
      </w:r>
      <w:r>
        <w:rPr>
          <w:rFonts w:hint="eastAsia" w:ascii="宋体" w:hAnsi="宋体"/>
          <w:sz w:val="21"/>
          <w:szCs w:val="21"/>
        </w:rPr>
        <w:t>设计符合《建筑工程设计文件编制深度规定（2016版）》及国家、地方及行业现行设计标准、规范和规程的要求；确保设计成果资料完整、真实准确、清晰有据、符合项目实际，确保设计成果资料通过相关主管部门的审批，且取得批复文件，并对所提供的成果质量负终身责任。</w:t>
      </w:r>
    </w:p>
    <w:p w14:paraId="4BA935E5">
      <w:pPr>
        <w:tabs>
          <w:tab w:val="left" w:pos="7020"/>
        </w:tabs>
        <w:spacing w:line="360"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2.6完成期限：20日历天，其中：勘察周期10日历天，初步设计周期10日历天。</w:t>
      </w:r>
    </w:p>
    <w:p w14:paraId="0B39AEA8">
      <w:pPr>
        <w:spacing w:line="360" w:lineRule="auto"/>
        <w:ind w:firstLine="420" w:firstLineChars="200"/>
        <w:rPr>
          <w:rFonts w:hint="eastAsia" w:ascii="宋体" w:hAnsi="宋体"/>
          <w:color w:val="auto"/>
          <w:sz w:val="21"/>
          <w:szCs w:val="21"/>
          <w:highlight w:val="yellow"/>
          <w:lang w:eastAsia="zh-CN"/>
        </w:rPr>
      </w:pPr>
      <w:r>
        <w:rPr>
          <w:rFonts w:hint="eastAsia" w:ascii="宋体" w:hAnsi="宋体"/>
          <w:color w:val="auto"/>
          <w:sz w:val="21"/>
          <w:szCs w:val="21"/>
          <w:highlight w:val="none"/>
        </w:rPr>
        <w:t>2.7标段划分：本项目</w:t>
      </w:r>
      <w:r>
        <w:rPr>
          <w:rFonts w:hint="eastAsia" w:ascii="宋体" w:hAnsi="宋体"/>
          <w:color w:val="auto"/>
          <w:sz w:val="21"/>
          <w:szCs w:val="21"/>
          <w:highlight w:val="none"/>
          <w:lang w:val="en-US" w:eastAsia="zh-CN"/>
        </w:rPr>
        <w:t>不</w:t>
      </w:r>
      <w:r>
        <w:rPr>
          <w:rFonts w:hint="eastAsia" w:ascii="宋体" w:hAnsi="宋体"/>
          <w:color w:val="auto"/>
          <w:sz w:val="21"/>
          <w:szCs w:val="21"/>
          <w:highlight w:val="none"/>
        </w:rPr>
        <w:t>划分标段</w:t>
      </w:r>
    </w:p>
    <w:p w14:paraId="2000E383">
      <w:pPr>
        <w:spacing w:line="360" w:lineRule="auto"/>
        <w:ind w:firstLine="420" w:firstLineChars="200"/>
        <w:rPr>
          <w:rFonts w:hint="eastAsia" w:ascii="宋体" w:hAnsi="宋体"/>
          <w:sz w:val="21"/>
          <w:szCs w:val="21"/>
        </w:rPr>
      </w:pPr>
      <w:r>
        <w:rPr>
          <w:rFonts w:hint="eastAsia" w:ascii="宋体" w:hAnsi="宋体"/>
          <w:sz w:val="21"/>
          <w:szCs w:val="21"/>
        </w:rPr>
        <w:t>2.8本项目招标资格审查采用资格后审方式。</w:t>
      </w:r>
      <w:bookmarkEnd w:id="31"/>
      <w:bookmarkEnd w:id="32"/>
      <w:bookmarkEnd w:id="33"/>
      <w:bookmarkEnd w:id="34"/>
    </w:p>
    <w:p w14:paraId="516670C9">
      <w:pPr>
        <w:spacing w:line="360" w:lineRule="auto"/>
        <w:outlineLvl w:val="0"/>
        <w:rPr>
          <w:rFonts w:ascii="宋体" w:hAnsi="宋体"/>
          <w:b/>
          <w:sz w:val="21"/>
          <w:szCs w:val="21"/>
          <w:highlight w:val="none"/>
        </w:rPr>
      </w:pPr>
      <w:bookmarkStart w:id="35" w:name="_Toc523740370"/>
      <w:bookmarkStart w:id="36" w:name="_Toc40706690"/>
      <w:bookmarkStart w:id="37" w:name="_Toc23454"/>
      <w:bookmarkStart w:id="38" w:name="_Toc16279"/>
      <w:bookmarkStart w:id="39" w:name="_Toc62498128"/>
      <w:bookmarkStart w:id="40" w:name="_Toc471744295"/>
      <w:bookmarkStart w:id="41" w:name="_Toc2176083"/>
      <w:bookmarkStart w:id="42" w:name="_Toc437527137"/>
      <w:r>
        <w:rPr>
          <w:rFonts w:hint="eastAsia" w:ascii="宋体" w:hAnsi="宋体"/>
          <w:b/>
          <w:sz w:val="21"/>
          <w:szCs w:val="21"/>
          <w:highlight w:val="none"/>
        </w:rPr>
        <w:t>3.投标人资格要求</w:t>
      </w:r>
      <w:bookmarkEnd w:id="26"/>
      <w:bookmarkEnd w:id="27"/>
      <w:bookmarkEnd w:id="28"/>
      <w:bookmarkEnd w:id="29"/>
      <w:bookmarkEnd w:id="30"/>
      <w:bookmarkEnd w:id="35"/>
      <w:bookmarkEnd w:id="36"/>
      <w:bookmarkEnd w:id="37"/>
      <w:bookmarkEnd w:id="38"/>
      <w:bookmarkEnd w:id="39"/>
      <w:bookmarkEnd w:id="40"/>
      <w:bookmarkEnd w:id="41"/>
      <w:bookmarkEnd w:id="42"/>
    </w:p>
    <w:p w14:paraId="26CD2991">
      <w:pPr>
        <w:spacing w:line="360" w:lineRule="auto"/>
        <w:ind w:firstLine="420" w:firstLineChars="200"/>
        <w:rPr>
          <w:rFonts w:hint="eastAsia" w:ascii="宋体" w:hAnsi="宋体" w:eastAsia="宋体"/>
          <w:sz w:val="21"/>
          <w:szCs w:val="21"/>
          <w:highlight w:val="none"/>
          <w:lang w:eastAsia="zh-CN"/>
        </w:rPr>
      </w:pPr>
      <w:bookmarkStart w:id="43" w:name="_Toc502166249"/>
      <w:bookmarkStart w:id="44" w:name="_Toc471744296"/>
      <w:bookmarkStart w:id="45" w:name="_Toc523740371"/>
      <w:bookmarkStart w:id="46" w:name="_Toc40706695"/>
      <w:bookmarkStart w:id="47" w:name="_Toc2176084"/>
      <w:bookmarkStart w:id="48" w:name="_Toc511912675"/>
      <w:r>
        <w:rPr>
          <w:rFonts w:hint="eastAsia" w:ascii="宋体" w:hAnsi="宋体"/>
          <w:sz w:val="21"/>
          <w:szCs w:val="21"/>
          <w:highlight w:val="none"/>
          <w:lang w:val="en-US" w:eastAsia="zh-CN"/>
        </w:rPr>
        <w:t>3.</w:t>
      </w:r>
      <w:r>
        <w:rPr>
          <w:rFonts w:hint="eastAsia" w:ascii="宋体" w:hAnsi="宋体"/>
          <w:sz w:val="21"/>
          <w:szCs w:val="21"/>
          <w:highlight w:val="none"/>
        </w:rPr>
        <w:t>1投标人须是在中国境内合法注册的企业，具有独立法人资格的单位或其他组织，具备有效的营业执照或其他法定凭证。</w:t>
      </w:r>
      <w:r>
        <w:rPr>
          <w:rFonts w:hint="eastAsia" w:ascii="宋体" w:hAnsi="宋体"/>
          <w:sz w:val="21"/>
          <w:szCs w:val="21"/>
          <w:highlight w:val="none"/>
          <w:lang w:eastAsia="zh-CN"/>
        </w:rPr>
        <w:t>（</w:t>
      </w:r>
      <w:r>
        <w:rPr>
          <w:rFonts w:hint="eastAsia" w:ascii="宋体" w:hAnsi="宋体"/>
          <w:sz w:val="21"/>
          <w:szCs w:val="21"/>
          <w:highlight w:val="none"/>
        </w:rPr>
        <w:t>投标人为联合体的，联合体双方均须提供有效的营业执照副本或其他法定凭证副本原件扫描件</w:t>
      </w:r>
      <w:r>
        <w:rPr>
          <w:rFonts w:hint="eastAsia" w:ascii="宋体" w:hAnsi="宋体"/>
          <w:sz w:val="21"/>
          <w:szCs w:val="21"/>
          <w:highlight w:val="none"/>
          <w:lang w:eastAsia="zh-CN"/>
        </w:rPr>
        <w:t>）。</w:t>
      </w:r>
    </w:p>
    <w:p w14:paraId="2B2B8ECC">
      <w:pPr>
        <w:spacing w:line="360" w:lineRule="auto"/>
        <w:ind w:firstLine="420" w:firstLineChars="200"/>
        <w:rPr>
          <w:rFonts w:hint="eastAsia" w:ascii="宋体" w:hAnsi="宋体"/>
          <w:sz w:val="21"/>
          <w:szCs w:val="21"/>
          <w:highlight w:val="none"/>
          <w:lang w:eastAsia="zh-CN"/>
        </w:rPr>
      </w:pPr>
      <w:r>
        <w:rPr>
          <w:rFonts w:hint="eastAsia" w:ascii="宋体" w:hAnsi="宋体"/>
          <w:sz w:val="21"/>
          <w:szCs w:val="21"/>
          <w:highlight w:val="none"/>
          <w:lang w:val="en-US" w:eastAsia="zh-CN"/>
        </w:rPr>
        <w:t>3.</w:t>
      </w:r>
      <w:r>
        <w:rPr>
          <w:rFonts w:hint="eastAsia" w:ascii="宋体" w:hAnsi="宋体"/>
          <w:sz w:val="21"/>
          <w:szCs w:val="21"/>
          <w:highlight w:val="none"/>
        </w:rPr>
        <w:t>2资质</w:t>
      </w:r>
      <w:r>
        <w:rPr>
          <w:rFonts w:hint="eastAsia" w:ascii="宋体" w:hAnsi="宋体"/>
          <w:sz w:val="21"/>
          <w:szCs w:val="21"/>
          <w:highlight w:val="none"/>
          <w:lang w:val="en-US" w:eastAsia="zh-CN"/>
        </w:rPr>
        <w:t>要求</w:t>
      </w:r>
      <w:r>
        <w:rPr>
          <w:rFonts w:hint="eastAsia" w:ascii="宋体" w:hAnsi="宋体"/>
          <w:sz w:val="21"/>
          <w:szCs w:val="21"/>
          <w:highlight w:val="none"/>
        </w:rPr>
        <w:t>：①勘察资质要求：具备建设行政主管部门颁发的工程勘察</w:t>
      </w:r>
      <w:r>
        <w:rPr>
          <w:rFonts w:hint="eastAsia" w:ascii="宋体" w:hAnsi="宋体"/>
          <w:sz w:val="21"/>
          <w:szCs w:val="21"/>
          <w:highlight w:val="none"/>
          <w:lang w:val="en-US" w:eastAsia="zh-CN"/>
        </w:rPr>
        <w:t>专业类</w:t>
      </w:r>
      <w:r>
        <w:rPr>
          <w:rFonts w:hint="eastAsia" w:ascii="宋体" w:hAnsi="宋体"/>
          <w:sz w:val="21"/>
          <w:szCs w:val="21"/>
          <w:highlight w:val="none"/>
        </w:rPr>
        <w:t>（岩土工程）乙级及以上资质；</w:t>
      </w:r>
    </w:p>
    <w:p w14:paraId="5FB9C187">
      <w:pPr>
        <w:spacing w:line="360" w:lineRule="auto"/>
        <w:ind w:firstLine="420" w:firstLineChars="200"/>
        <w:rPr>
          <w:rFonts w:hint="eastAsia" w:ascii="宋体" w:hAnsi="宋体"/>
          <w:sz w:val="21"/>
          <w:szCs w:val="21"/>
          <w:highlight w:val="none"/>
          <w:lang w:val="en-US" w:eastAsia="zh-CN"/>
        </w:rPr>
      </w:pPr>
      <w:r>
        <w:rPr>
          <w:rFonts w:hint="eastAsia" w:ascii="宋体" w:hAnsi="宋体"/>
          <w:sz w:val="21"/>
          <w:szCs w:val="21"/>
          <w:highlight w:val="none"/>
        </w:rPr>
        <w:t>②设计资质要求：具备建设行政主管部门颁发的工程设计市政行业乙级</w:t>
      </w:r>
      <w:r>
        <w:rPr>
          <w:rFonts w:hint="eastAsia" w:ascii="宋体" w:hAnsi="宋体"/>
          <w:sz w:val="21"/>
          <w:szCs w:val="21"/>
          <w:highlight w:val="none"/>
          <w:lang w:val="en-US" w:eastAsia="zh-CN"/>
        </w:rPr>
        <w:t>及以上</w:t>
      </w:r>
      <w:r>
        <w:rPr>
          <w:rFonts w:hint="eastAsia" w:ascii="宋体" w:hAnsi="宋体"/>
          <w:sz w:val="21"/>
          <w:szCs w:val="21"/>
          <w:highlight w:val="none"/>
        </w:rPr>
        <w:t>资质或工程设计市政行业（道路工程）专业设计乙级</w:t>
      </w:r>
      <w:r>
        <w:rPr>
          <w:rFonts w:hint="eastAsia" w:ascii="宋体" w:hAnsi="宋体"/>
          <w:sz w:val="21"/>
          <w:szCs w:val="21"/>
          <w:highlight w:val="none"/>
          <w:lang w:val="en-US" w:eastAsia="zh-CN"/>
        </w:rPr>
        <w:t>及以上</w:t>
      </w:r>
      <w:r>
        <w:rPr>
          <w:rFonts w:hint="eastAsia" w:ascii="宋体" w:hAnsi="宋体"/>
          <w:sz w:val="21"/>
          <w:szCs w:val="21"/>
          <w:highlight w:val="none"/>
        </w:rPr>
        <w:t>资质</w:t>
      </w:r>
      <w:r>
        <w:rPr>
          <w:rFonts w:hint="eastAsia" w:ascii="宋体" w:hAnsi="宋体"/>
          <w:sz w:val="21"/>
          <w:szCs w:val="21"/>
          <w:highlight w:val="none"/>
          <w:lang w:val="en-US" w:eastAsia="zh-CN"/>
        </w:rPr>
        <w:t>；</w:t>
      </w:r>
    </w:p>
    <w:p w14:paraId="7BC1D9A6">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3.</w:t>
      </w:r>
      <w:r>
        <w:rPr>
          <w:rFonts w:hint="eastAsia" w:ascii="宋体" w:hAnsi="宋体"/>
          <w:sz w:val="21"/>
          <w:szCs w:val="21"/>
          <w:highlight w:val="none"/>
          <w:lang w:val="en-US" w:eastAsia="zh-CN"/>
        </w:rPr>
        <w:t>3</w:t>
      </w:r>
      <w:r>
        <w:rPr>
          <w:rFonts w:hint="eastAsia" w:ascii="宋体" w:hAnsi="宋体"/>
          <w:sz w:val="21"/>
          <w:szCs w:val="21"/>
          <w:highlight w:val="none"/>
        </w:rPr>
        <w:t>财务要求：提供202</w:t>
      </w:r>
      <w:r>
        <w:rPr>
          <w:rFonts w:hint="eastAsia" w:ascii="宋体" w:hAnsi="宋体"/>
          <w:sz w:val="21"/>
          <w:szCs w:val="21"/>
          <w:highlight w:val="none"/>
          <w:lang w:val="en-US" w:eastAsia="zh-CN"/>
        </w:rPr>
        <w:t>2</w:t>
      </w:r>
      <w:r>
        <w:rPr>
          <w:rFonts w:hint="eastAsia" w:ascii="宋体" w:hAnsi="宋体"/>
          <w:sz w:val="21"/>
          <w:szCs w:val="21"/>
          <w:highlight w:val="none"/>
        </w:rPr>
        <w:t>年-202</w:t>
      </w:r>
      <w:r>
        <w:rPr>
          <w:rFonts w:hint="eastAsia" w:ascii="宋体" w:hAnsi="宋体"/>
          <w:sz w:val="21"/>
          <w:szCs w:val="21"/>
          <w:highlight w:val="none"/>
          <w:lang w:val="en-US" w:eastAsia="zh-CN"/>
        </w:rPr>
        <w:t>4</w:t>
      </w:r>
      <w:r>
        <w:rPr>
          <w:rFonts w:hint="eastAsia" w:ascii="宋体" w:hAnsi="宋体"/>
          <w:sz w:val="21"/>
          <w:szCs w:val="21"/>
          <w:highlight w:val="none"/>
        </w:rPr>
        <w:t>年经第三方机构审计的审计报告及财务报表【包括资产负债表、现金流量表和利润表（或损益表）】【注：成立企业不满三年的须提供成立至今的财务报表（包括资产负债表、现金流量表和利润表（或损益表））；新成立企业不满一年的，须提供开户银行出具的资信证明或资金存款证明】</w:t>
      </w:r>
      <w:r>
        <w:rPr>
          <w:rFonts w:hint="eastAsia" w:ascii="宋体" w:hAnsi="宋体"/>
          <w:sz w:val="21"/>
          <w:szCs w:val="21"/>
          <w:highlight w:val="none"/>
          <w:lang w:eastAsia="zh-CN"/>
        </w:rPr>
        <w:t>（</w:t>
      </w:r>
      <w:r>
        <w:rPr>
          <w:rFonts w:hint="eastAsia" w:ascii="宋体" w:hAnsi="宋体"/>
          <w:sz w:val="21"/>
          <w:szCs w:val="21"/>
          <w:highlight w:val="none"/>
        </w:rPr>
        <w:t>投标人为联合体投标的，联合体双方均须提供</w:t>
      </w:r>
      <w:r>
        <w:rPr>
          <w:rFonts w:hint="eastAsia" w:ascii="宋体" w:hAnsi="宋体"/>
          <w:sz w:val="21"/>
          <w:szCs w:val="21"/>
          <w:highlight w:val="none"/>
          <w:lang w:eastAsia="zh-CN"/>
        </w:rPr>
        <w:t>）</w:t>
      </w:r>
      <w:r>
        <w:rPr>
          <w:rFonts w:hint="eastAsia" w:ascii="宋体" w:hAnsi="宋体"/>
          <w:sz w:val="21"/>
          <w:szCs w:val="21"/>
          <w:highlight w:val="none"/>
        </w:rPr>
        <w:t>。</w:t>
      </w:r>
    </w:p>
    <w:p w14:paraId="4C5723D6">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lang w:val="en-US" w:eastAsia="zh-CN"/>
        </w:rPr>
        <w:t>3.</w:t>
      </w:r>
      <w:r>
        <w:rPr>
          <w:rFonts w:hint="eastAsia" w:ascii="宋体" w:hAnsi="宋体"/>
          <w:sz w:val="21"/>
          <w:szCs w:val="21"/>
          <w:highlight w:val="none"/>
        </w:rPr>
        <w:t>4项目负责人要求：①勘察负责人：具备国家注册土木工程师（岩土）资格，</w:t>
      </w:r>
      <w:r>
        <w:rPr>
          <w:rFonts w:hint="eastAsia" w:ascii="宋体" w:hAnsi="宋体"/>
          <w:sz w:val="21"/>
          <w:szCs w:val="21"/>
          <w:highlight w:val="none"/>
          <w:lang w:val="en-US" w:eastAsia="zh-CN"/>
        </w:rPr>
        <w:t>须为本单位职工</w:t>
      </w:r>
      <w:r>
        <w:rPr>
          <w:rFonts w:hint="eastAsia" w:ascii="宋体" w:hAnsi="宋体"/>
          <w:sz w:val="21"/>
          <w:szCs w:val="21"/>
          <w:highlight w:val="none"/>
        </w:rPr>
        <w:t>并提供</w:t>
      </w:r>
      <w:r>
        <w:rPr>
          <w:rFonts w:hint="eastAsia" w:ascii="宋体" w:hAnsi="宋体"/>
          <w:sz w:val="21"/>
          <w:szCs w:val="21"/>
          <w:highlight w:val="none"/>
          <w:lang w:val="en-US" w:eastAsia="zh-CN"/>
        </w:rPr>
        <w:t>2024年10月至今任意1月的社保缴纳证明材料。</w:t>
      </w:r>
    </w:p>
    <w:p w14:paraId="6C303F4D">
      <w:pPr>
        <w:spacing w:line="360" w:lineRule="auto"/>
        <w:ind w:firstLine="420" w:firstLineChars="200"/>
        <w:rPr>
          <w:rFonts w:hint="eastAsia"/>
          <w:lang w:val="en-US" w:eastAsia="zh-CN"/>
        </w:rPr>
      </w:pPr>
      <w:r>
        <w:rPr>
          <w:rFonts w:hint="eastAsia" w:ascii="宋体" w:hAnsi="宋体"/>
          <w:sz w:val="21"/>
          <w:szCs w:val="21"/>
          <w:highlight w:val="none"/>
        </w:rPr>
        <w:t>②设计负责人：</w:t>
      </w:r>
      <w:r>
        <w:rPr>
          <w:rFonts w:hint="eastAsia" w:ascii="宋体" w:hAnsi="宋体"/>
          <w:sz w:val="21"/>
          <w:szCs w:val="21"/>
          <w:highlight w:val="none"/>
          <w:lang w:val="en-US" w:eastAsia="zh-CN"/>
        </w:rPr>
        <w:t>具有国家注册土木工程师（道路）资格或</w:t>
      </w:r>
      <w:r>
        <w:rPr>
          <w:rFonts w:hint="eastAsia" w:ascii="宋体" w:hAnsi="宋体"/>
          <w:sz w:val="21"/>
          <w:szCs w:val="21"/>
          <w:highlight w:val="none"/>
        </w:rPr>
        <w:t>国家</w:t>
      </w:r>
      <w:r>
        <w:rPr>
          <w:rFonts w:hint="eastAsia" w:ascii="宋体" w:hAnsi="宋体"/>
          <w:sz w:val="21"/>
          <w:szCs w:val="21"/>
          <w:highlight w:val="none"/>
          <w:lang w:val="en-US" w:eastAsia="zh-CN"/>
        </w:rPr>
        <w:t>一级</w:t>
      </w:r>
      <w:r>
        <w:rPr>
          <w:rFonts w:hint="eastAsia" w:ascii="宋体" w:hAnsi="宋体"/>
          <w:sz w:val="21"/>
          <w:szCs w:val="21"/>
          <w:highlight w:val="none"/>
        </w:rPr>
        <w:t>注册建筑师或国家</w:t>
      </w:r>
      <w:r>
        <w:rPr>
          <w:rFonts w:hint="eastAsia" w:ascii="宋体" w:hAnsi="宋体"/>
          <w:sz w:val="21"/>
          <w:szCs w:val="21"/>
          <w:highlight w:val="none"/>
          <w:lang w:val="en-US" w:eastAsia="zh-CN"/>
        </w:rPr>
        <w:t>一级</w:t>
      </w:r>
      <w:r>
        <w:rPr>
          <w:rFonts w:hint="eastAsia" w:ascii="宋体" w:hAnsi="宋体"/>
          <w:sz w:val="21"/>
          <w:szCs w:val="21"/>
          <w:highlight w:val="none"/>
        </w:rPr>
        <w:t>注册结构工程师，</w:t>
      </w:r>
      <w:r>
        <w:rPr>
          <w:rFonts w:hint="eastAsia" w:ascii="宋体" w:hAnsi="宋体"/>
          <w:sz w:val="21"/>
          <w:szCs w:val="21"/>
          <w:highlight w:val="none"/>
          <w:lang w:val="en-US" w:eastAsia="zh-CN"/>
        </w:rPr>
        <w:t>须为本单位职工</w:t>
      </w:r>
      <w:r>
        <w:rPr>
          <w:rFonts w:hint="eastAsia" w:ascii="宋体" w:hAnsi="宋体"/>
          <w:sz w:val="21"/>
          <w:szCs w:val="21"/>
          <w:highlight w:val="none"/>
        </w:rPr>
        <w:t>并提供</w:t>
      </w:r>
      <w:r>
        <w:rPr>
          <w:rFonts w:hint="eastAsia" w:ascii="宋体" w:hAnsi="宋体"/>
          <w:sz w:val="21"/>
          <w:szCs w:val="21"/>
          <w:highlight w:val="none"/>
          <w:lang w:val="en-US" w:eastAsia="zh-CN"/>
        </w:rPr>
        <w:t>2024年10月至今任意1月的社保缴纳证明材料。</w:t>
      </w:r>
    </w:p>
    <w:p w14:paraId="390E85D6">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lang w:val="en-US" w:eastAsia="zh-CN"/>
        </w:rPr>
        <w:t>3.5</w:t>
      </w:r>
      <w:r>
        <w:rPr>
          <w:rFonts w:hint="eastAsia" w:ascii="宋体" w:hAnsi="宋体"/>
          <w:sz w:val="21"/>
          <w:szCs w:val="21"/>
          <w:highlight w:val="none"/>
        </w:rPr>
        <w:t>信誉要求：</w:t>
      </w:r>
      <w:r>
        <w:rPr>
          <w:rFonts w:hint="eastAsia" w:ascii="宋体" w:hAnsi="宋体"/>
          <w:sz w:val="21"/>
          <w:szCs w:val="21"/>
          <w:highlight w:val="none"/>
          <w:lang w:val="en-US" w:eastAsia="zh-CN"/>
        </w:rPr>
        <w:t>（1）</w:t>
      </w:r>
      <w:r>
        <w:rPr>
          <w:rFonts w:hint="eastAsia" w:ascii="宋体" w:hAnsi="宋体"/>
          <w:sz w:val="21"/>
          <w:szCs w:val="21"/>
          <w:highlight w:val="none"/>
        </w:rPr>
        <w:t>当前未被建设行政主管部门取消投标资格；</w:t>
      </w:r>
      <w:r>
        <w:rPr>
          <w:rFonts w:hint="eastAsia" w:ascii="宋体" w:hAnsi="宋体"/>
          <w:sz w:val="21"/>
          <w:szCs w:val="21"/>
          <w:highlight w:val="none"/>
          <w:lang w:val="en-US" w:eastAsia="zh-CN"/>
        </w:rPr>
        <w:t>（2）</w:t>
      </w:r>
      <w:r>
        <w:rPr>
          <w:rFonts w:hint="eastAsia" w:ascii="宋体" w:hAnsi="宋体"/>
          <w:sz w:val="21"/>
          <w:szCs w:val="21"/>
          <w:highlight w:val="none"/>
        </w:rPr>
        <w:t>未被“中国执行信息公开网（http://zxgk.court.gov.cn/shixin/）”列入失信被执行人；</w:t>
      </w:r>
      <w:r>
        <w:rPr>
          <w:rFonts w:hint="eastAsia" w:ascii="宋体" w:hAnsi="宋体"/>
          <w:sz w:val="21"/>
          <w:szCs w:val="21"/>
          <w:highlight w:val="none"/>
          <w:lang w:val="en-US" w:eastAsia="zh-CN"/>
        </w:rPr>
        <w:t>（3）</w:t>
      </w:r>
      <w:r>
        <w:rPr>
          <w:rFonts w:hint="eastAsia" w:ascii="宋体" w:hAnsi="宋体"/>
          <w:sz w:val="21"/>
          <w:szCs w:val="21"/>
          <w:highlight w:val="none"/>
        </w:rPr>
        <w:t>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r>
        <w:rPr>
          <w:rFonts w:hint="eastAsia" w:ascii="宋体" w:hAnsi="宋体"/>
          <w:sz w:val="21"/>
          <w:szCs w:val="21"/>
          <w:highlight w:val="none"/>
          <w:lang w:eastAsia="zh-CN"/>
        </w:rPr>
        <w:t>（</w:t>
      </w:r>
      <w:r>
        <w:rPr>
          <w:rFonts w:hint="eastAsia" w:ascii="宋体" w:hAnsi="宋体"/>
          <w:sz w:val="21"/>
          <w:szCs w:val="21"/>
          <w:highlight w:val="none"/>
        </w:rPr>
        <w:t>投标人为联合体投标的，联合体双方均须查询</w:t>
      </w:r>
      <w:r>
        <w:rPr>
          <w:rFonts w:hint="eastAsia" w:ascii="宋体" w:hAnsi="宋体"/>
          <w:sz w:val="21"/>
          <w:szCs w:val="21"/>
          <w:highlight w:val="none"/>
          <w:lang w:eastAsia="zh-CN"/>
        </w:rPr>
        <w:t>）</w:t>
      </w:r>
      <w:r>
        <w:rPr>
          <w:rFonts w:hint="eastAsia" w:ascii="宋体" w:hAnsi="宋体"/>
          <w:sz w:val="21"/>
          <w:szCs w:val="21"/>
          <w:highlight w:val="none"/>
        </w:rPr>
        <w:t xml:space="preserve">。 </w:t>
      </w:r>
    </w:p>
    <w:p w14:paraId="21E91BF6">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lang w:val="en-US" w:eastAsia="zh-CN"/>
        </w:rPr>
        <w:t>3.6</w:t>
      </w:r>
      <w:r>
        <w:rPr>
          <w:rFonts w:hint="eastAsia" w:ascii="宋体" w:hAnsi="宋体"/>
          <w:sz w:val="21"/>
          <w:szCs w:val="21"/>
          <w:highlight w:val="none"/>
        </w:rPr>
        <w:t xml:space="preserve">单位负责人为同一人或者存在控股、管理关系的不同单位。不得参加同一标段或者未划分标段的同一招标项目投标（提供承诺书，投标人为联合体投标的，联合体双方均须提供）。 </w:t>
      </w:r>
    </w:p>
    <w:bookmarkEnd w:id="43"/>
    <w:bookmarkEnd w:id="44"/>
    <w:bookmarkEnd w:id="45"/>
    <w:bookmarkEnd w:id="46"/>
    <w:bookmarkEnd w:id="47"/>
    <w:bookmarkEnd w:id="48"/>
    <w:p w14:paraId="19849782">
      <w:pPr>
        <w:spacing w:line="360" w:lineRule="auto"/>
        <w:ind w:firstLine="420" w:firstLineChars="200"/>
        <w:rPr>
          <w:rFonts w:hint="eastAsia" w:ascii="宋体" w:hAnsi="宋体"/>
          <w:sz w:val="21"/>
          <w:szCs w:val="21"/>
          <w:lang w:val="en-US" w:eastAsia="zh-CN"/>
        </w:rPr>
      </w:pPr>
      <w:bookmarkStart w:id="49" w:name="_Toc40706705"/>
      <w:bookmarkStart w:id="50" w:name="_Toc2176092"/>
      <w:r>
        <w:rPr>
          <w:rFonts w:hint="eastAsia" w:ascii="宋体" w:hAnsi="宋体"/>
          <w:sz w:val="21"/>
          <w:szCs w:val="21"/>
        </w:rPr>
        <w:t>3.</w:t>
      </w:r>
      <w:bookmarkEnd w:id="49"/>
      <w:bookmarkEnd w:id="50"/>
      <w:r>
        <w:rPr>
          <w:rFonts w:hint="eastAsia" w:ascii="宋体" w:hAnsi="宋体"/>
          <w:sz w:val="21"/>
          <w:szCs w:val="21"/>
          <w:lang w:val="en-US" w:eastAsia="zh-CN"/>
        </w:rPr>
        <w:t>7联合体投标：本项目接受联合体投标。联合体投标的，应满足下列要求：（1）联合体各方均应订立联合体投标协议，约定联合体各方承担的相应工作和责任，并约定具备设计资质的单位作为联合体的牵头人，与招标人之间的往来信函等均通过牵头人办理。（2）联合体成员数量不得超过两家（即：联合体单位数量最多为两家）。（3）联合体各方订立联合体投标协议后，不得再单独或组成新的联合体参加同一项目的投标。</w:t>
      </w:r>
    </w:p>
    <w:p w14:paraId="2D3EE33B">
      <w:pPr>
        <w:spacing w:line="360" w:lineRule="auto"/>
        <w:outlineLvl w:val="0"/>
        <w:rPr>
          <w:rFonts w:hint="eastAsia" w:ascii="宋体" w:hAnsi="宋体" w:eastAsia="宋体" w:cs="Times New Roman"/>
          <w:b/>
          <w:sz w:val="21"/>
          <w:szCs w:val="21"/>
        </w:rPr>
      </w:pPr>
      <w:r>
        <w:rPr>
          <w:rFonts w:hint="eastAsia" w:ascii="宋体" w:hAnsi="宋体" w:eastAsia="宋体" w:cs="Times New Roman"/>
          <w:b/>
          <w:sz w:val="21"/>
          <w:szCs w:val="21"/>
        </w:rPr>
        <w:t>4.评标办法</w:t>
      </w:r>
    </w:p>
    <w:p w14:paraId="327165A4">
      <w:pPr>
        <w:adjustRightInd w:val="0"/>
        <w:snapToGrid w:val="0"/>
        <w:spacing w:line="360" w:lineRule="auto"/>
        <w:ind w:firstLine="400" w:firstLineChars="200"/>
        <w:jc w:val="left"/>
        <w:rPr>
          <w:rFonts w:hint="default" w:ascii="宋体" w:hAnsi="宋体"/>
          <w:b/>
          <w:bCs/>
          <w:sz w:val="21"/>
          <w:szCs w:val="21"/>
          <w:lang w:val="en-US" w:eastAsia="zh-CN"/>
        </w:rPr>
      </w:pPr>
      <w:r>
        <w:rPr>
          <w:rFonts w:hint="eastAsia" w:ascii="宋体" w:hAnsi="宋体"/>
          <w:snapToGrid w:val="0"/>
          <w:kern w:val="0"/>
          <w:szCs w:val="28"/>
        </w:rPr>
        <w:t>本项目采用</w:t>
      </w:r>
      <w:r>
        <w:rPr>
          <w:rFonts w:ascii="宋体" w:hAnsi="宋体"/>
          <w:snapToGrid w:val="0"/>
          <w:kern w:val="0"/>
          <w:szCs w:val="28"/>
          <w:u w:val="single"/>
        </w:rPr>
        <w:fldChar w:fldCharType="begin"/>
      </w:r>
      <w:r>
        <w:rPr>
          <w:rFonts w:ascii="宋体" w:hAnsi="宋体"/>
          <w:snapToGrid w:val="0"/>
          <w:kern w:val="0"/>
          <w:szCs w:val="28"/>
          <w:u w:val="single"/>
        </w:rPr>
        <w:instrText xml:space="preserve"> AUTOTEXT  input25 \* MERGEFORMAT </w:instrText>
      </w:r>
      <w:r>
        <w:rPr>
          <w:rFonts w:ascii="宋体" w:hAnsi="宋体"/>
          <w:snapToGrid w:val="0"/>
          <w:kern w:val="0"/>
          <w:szCs w:val="28"/>
          <w:u w:val="single"/>
        </w:rPr>
        <w:fldChar w:fldCharType="separate"/>
      </w:r>
      <w:r>
        <w:rPr>
          <w:rFonts w:ascii="宋体" w:hAnsi="宋体"/>
          <w:snapToGrid w:val="0"/>
          <w:color w:val="000000"/>
          <w:kern w:val="0"/>
          <w:szCs w:val="28"/>
          <w:u w:val="single"/>
        </w:rPr>
        <w:t>综合评估法</w:t>
      </w:r>
      <w:r>
        <w:rPr>
          <w:rFonts w:ascii="宋体" w:hAnsi="宋体"/>
          <w:snapToGrid w:val="0"/>
          <w:kern w:val="0"/>
          <w:szCs w:val="28"/>
          <w:u w:val="single"/>
        </w:rPr>
        <w:fldChar w:fldCharType="end"/>
      </w:r>
      <w:r>
        <w:rPr>
          <w:rFonts w:hint="eastAsia" w:ascii="宋体" w:hAnsi="宋体"/>
          <w:snapToGrid w:val="0"/>
          <w:kern w:val="0"/>
          <w:szCs w:val="28"/>
        </w:rPr>
        <w:t>。</w:t>
      </w:r>
    </w:p>
    <w:p w14:paraId="2F392F5D">
      <w:pPr>
        <w:spacing w:line="360" w:lineRule="auto"/>
        <w:outlineLvl w:val="0"/>
        <w:rPr>
          <w:rFonts w:ascii="宋体" w:hAnsi="宋体"/>
          <w:b/>
          <w:sz w:val="21"/>
          <w:szCs w:val="21"/>
        </w:rPr>
      </w:pPr>
      <w:bookmarkStart w:id="51" w:name="_Toc261955979"/>
      <w:bookmarkStart w:id="52" w:name="_Toc523740382"/>
      <w:bookmarkStart w:id="53" w:name="_Toc437527140"/>
      <w:bookmarkStart w:id="54" w:name="_Toc6553"/>
      <w:bookmarkStart w:id="55" w:name="_Toc297828668"/>
      <w:bookmarkStart w:id="56" w:name="_Toc265699944"/>
      <w:bookmarkStart w:id="57" w:name="_Toc21815"/>
      <w:bookmarkStart w:id="58" w:name="_Toc3295"/>
      <w:bookmarkStart w:id="59" w:name="_Toc40706707"/>
      <w:bookmarkStart w:id="60" w:name="_Toc62498129"/>
      <w:bookmarkStart w:id="61" w:name="_Toc471744307"/>
      <w:bookmarkStart w:id="62" w:name="_Toc31539"/>
      <w:bookmarkStart w:id="63" w:name="_Toc2176094"/>
      <w:r>
        <w:rPr>
          <w:rFonts w:hint="eastAsia" w:ascii="宋体" w:hAnsi="宋体"/>
          <w:b/>
          <w:sz w:val="21"/>
          <w:szCs w:val="21"/>
          <w:lang w:val="en-US" w:eastAsia="zh-CN"/>
        </w:rPr>
        <w:t>5</w:t>
      </w:r>
      <w:r>
        <w:rPr>
          <w:rFonts w:hint="eastAsia" w:ascii="宋体" w:hAnsi="宋体"/>
          <w:b/>
          <w:sz w:val="21"/>
          <w:szCs w:val="21"/>
        </w:rPr>
        <w:t>.招标文件的获取</w:t>
      </w:r>
      <w:bookmarkEnd w:id="51"/>
      <w:bookmarkEnd w:id="52"/>
      <w:bookmarkEnd w:id="53"/>
      <w:bookmarkEnd w:id="54"/>
      <w:bookmarkEnd w:id="55"/>
      <w:bookmarkEnd w:id="56"/>
      <w:bookmarkEnd w:id="57"/>
      <w:bookmarkEnd w:id="58"/>
      <w:bookmarkEnd w:id="59"/>
      <w:bookmarkEnd w:id="60"/>
      <w:bookmarkEnd w:id="61"/>
      <w:bookmarkEnd w:id="62"/>
      <w:bookmarkEnd w:id="63"/>
    </w:p>
    <w:p w14:paraId="3BEA7770">
      <w:pPr>
        <w:spacing w:line="360" w:lineRule="auto"/>
        <w:ind w:firstLine="420" w:firstLineChars="200"/>
        <w:rPr>
          <w:rFonts w:hint="eastAsia" w:ascii="宋体" w:hAnsi="宋体" w:eastAsia="宋体" w:cs="Times New Roman"/>
          <w:sz w:val="21"/>
          <w:szCs w:val="21"/>
        </w:rPr>
      </w:pPr>
      <w:r>
        <w:rPr>
          <w:rFonts w:hint="eastAsia" w:ascii="宋体" w:hAnsi="宋体"/>
          <w:sz w:val="21"/>
          <w:szCs w:val="21"/>
          <w:lang w:val="en-US" w:eastAsia="zh-CN"/>
        </w:rPr>
        <w:t>5</w:t>
      </w:r>
      <w:r>
        <w:rPr>
          <w:rFonts w:ascii="宋体" w:hAnsi="宋体"/>
          <w:sz w:val="21"/>
          <w:szCs w:val="21"/>
        </w:rPr>
        <w:t>.1</w:t>
      </w:r>
      <w:r>
        <w:rPr>
          <w:rFonts w:hint="eastAsia" w:ascii="宋体" w:hAnsi="宋体"/>
          <w:sz w:val="21"/>
          <w:szCs w:val="21"/>
        </w:rPr>
        <w:t>凡有意参加投标者，请于</w:t>
      </w:r>
      <w:r>
        <w:rPr>
          <w:rFonts w:hint="eastAsia" w:ascii="宋体" w:hAnsi="宋体"/>
          <w:sz w:val="21"/>
          <w:szCs w:val="21"/>
          <w:lang w:val="en-US" w:eastAsia="zh-CN"/>
        </w:rPr>
        <w:t xml:space="preserve"> </w:t>
      </w:r>
      <w:r>
        <w:rPr>
          <w:rFonts w:hint="eastAsia" w:ascii="宋体" w:hAnsi="宋体"/>
          <w:sz w:val="21"/>
          <w:szCs w:val="21"/>
          <w:u w:val="single"/>
          <w:lang w:val="en-US" w:eastAsia="zh-CN"/>
        </w:rPr>
        <w:t>2025</w:t>
      </w:r>
      <w:r>
        <w:rPr>
          <w:rFonts w:hint="eastAsia" w:ascii="宋体" w:hAnsi="宋体"/>
          <w:sz w:val="21"/>
          <w:szCs w:val="21"/>
          <w:lang w:val="en-US" w:eastAsia="zh-CN"/>
        </w:rPr>
        <w:t xml:space="preserve"> </w:t>
      </w:r>
      <w:r>
        <w:rPr>
          <w:rFonts w:hint="eastAsia" w:ascii="宋体" w:hAnsi="宋体"/>
          <w:sz w:val="21"/>
          <w:szCs w:val="21"/>
        </w:rPr>
        <w:t>年</w:t>
      </w:r>
      <w:r>
        <w:rPr>
          <w:rFonts w:hint="eastAsia" w:ascii="宋体" w:hAnsi="宋体"/>
          <w:sz w:val="21"/>
          <w:szCs w:val="21"/>
          <w:u w:val="single"/>
          <w:lang w:val="en-US" w:eastAsia="zh-CN"/>
        </w:rPr>
        <w:t xml:space="preserve"> 11 </w:t>
      </w:r>
      <w:r>
        <w:rPr>
          <w:rFonts w:hint="eastAsia" w:ascii="宋体" w:hAnsi="宋体"/>
          <w:sz w:val="21"/>
          <w:szCs w:val="21"/>
        </w:rPr>
        <w:t>月</w:t>
      </w:r>
      <w:r>
        <w:rPr>
          <w:rFonts w:hint="eastAsia" w:ascii="宋体" w:hAnsi="宋体"/>
          <w:sz w:val="21"/>
          <w:szCs w:val="21"/>
          <w:u w:val="single"/>
          <w:lang w:val="en-US" w:eastAsia="zh-CN"/>
        </w:rPr>
        <w:t xml:space="preserve"> 14 </w:t>
      </w:r>
      <w:r>
        <w:rPr>
          <w:rFonts w:hint="eastAsia" w:ascii="宋体" w:hAnsi="宋体"/>
          <w:sz w:val="21"/>
          <w:szCs w:val="21"/>
        </w:rPr>
        <w:t>日至</w:t>
      </w:r>
      <w:r>
        <w:rPr>
          <w:rFonts w:hint="eastAsia" w:ascii="宋体" w:hAnsi="宋体"/>
          <w:sz w:val="21"/>
          <w:szCs w:val="21"/>
          <w:u w:val="single"/>
          <w:lang w:val="en-US" w:eastAsia="zh-CN"/>
        </w:rPr>
        <w:t>2025</w:t>
      </w:r>
      <w:r>
        <w:rPr>
          <w:rFonts w:hint="eastAsia" w:ascii="宋体" w:hAnsi="宋体"/>
          <w:sz w:val="21"/>
          <w:szCs w:val="21"/>
        </w:rPr>
        <w:t>年</w:t>
      </w:r>
      <w:r>
        <w:rPr>
          <w:rFonts w:hint="eastAsia" w:ascii="宋体" w:hAnsi="宋体"/>
          <w:sz w:val="21"/>
          <w:szCs w:val="21"/>
          <w:u w:val="single"/>
          <w:lang w:val="en-US" w:eastAsia="zh-CN"/>
        </w:rPr>
        <w:t>11</w:t>
      </w:r>
      <w:r>
        <w:rPr>
          <w:rFonts w:hint="eastAsia" w:ascii="宋体" w:hAnsi="宋体"/>
          <w:sz w:val="21"/>
          <w:szCs w:val="21"/>
        </w:rPr>
        <w:t>月</w:t>
      </w:r>
      <w:r>
        <w:rPr>
          <w:rFonts w:hint="eastAsia" w:ascii="宋体" w:hAnsi="宋体"/>
          <w:sz w:val="21"/>
          <w:szCs w:val="21"/>
          <w:u w:val="single"/>
          <w:lang w:val="en-US" w:eastAsia="zh-CN"/>
        </w:rPr>
        <w:t xml:space="preserve"> 20 </w:t>
      </w:r>
      <w:r>
        <w:rPr>
          <w:rFonts w:hint="eastAsia" w:ascii="宋体" w:hAnsi="宋体"/>
          <w:sz w:val="21"/>
          <w:szCs w:val="21"/>
        </w:rPr>
        <w:t>日</w:t>
      </w:r>
      <w:r>
        <w:rPr>
          <w:rFonts w:hint="eastAsia" w:ascii="宋体" w:hAnsi="宋体"/>
          <w:sz w:val="21"/>
          <w:szCs w:val="21"/>
          <w:u w:val="single"/>
          <w:lang w:val="en-US" w:eastAsia="zh-CN"/>
        </w:rPr>
        <w:t>23</w:t>
      </w:r>
      <w:r>
        <w:rPr>
          <w:rFonts w:hint="eastAsia" w:ascii="宋体" w:hAnsi="宋体"/>
          <w:sz w:val="21"/>
          <w:szCs w:val="21"/>
        </w:rPr>
        <w:t>时</w:t>
      </w:r>
      <w:r>
        <w:rPr>
          <w:rFonts w:hint="eastAsia" w:ascii="宋体" w:hAnsi="宋体"/>
          <w:sz w:val="21"/>
          <w:szCs w:val="21"/>
          <w:u w:val="single"/>
          <w:lang w:val="en-US" w:eastAsia="zh-CN"/>
        </w:rPr>
        <w:t>59</w:t>
      </w:r>
      <w:r>
        <w:rPr>
          <w:rFonts w:hint="eastAsia" w:ascii="宋体" w:hAnsi="宋体"/>
          <w:sz w:val="21"/>
          <w:szCs w:val="21"/>
          <w:lang w:val="en-US" w:eastAsia="zh-CN"/>
        </w:rPr>
        <w:t>分</w:t>
      </w:r>
      <w:r>
        <w:rPr>
          <w:rFonts w:hint="eastAsia" w:ascii="宋体" w:hAnsi="宋体"/>
          <w:sz w:val="21"/>
          <w:szCs w:val="21"/>
        </w:rPr>
        <w:t>（北京时间，下同），登录</w:t>
      </w:r>
      <w:r>
        <w:rPr>
          <w:rFonts w:hint="eastAsia" w:ascii="宋体" w:hAnsi="宋体"/>
          <w:sz w:val="21"/>
          <w:szCs w:val="21"/>
        </w:rPr>
        <w:fldChar w:fldCharType="begin"/>
      </w:r>
      <w:r>
        <w:rPr>
          <w:rFonts w:hint="eastAsia" w:ascii="宋体" w:hAnsi="宋体"/>
          <w:sz w:val="21"/>
          <w:szCs w:val="21"/>
        </w:rPr>
        <w:instrText xml:space="preserve"> AUTOTEXT  input423 \* MERGEFORMAT </w:instrText>
      </w:r>
      <w:r>
        <w:rPr>
          <w:rFonts w:hint="eastAsia" w:ascii="宋体" w:hAnsi="宋体"/>
          <w:sz w:val="21"/>
          <w:szCs w:val="21"/>
        </w:rPr>
        <w:fldChar w:fldCharType="separate"/>
      </w:r>
      <w:r>
        <w:rPr>
          <w:rFonts w:hint="eastAsia" w:ascii="宋体" w:hAnsi="宋体"/>
          <w:sz w:val="21"/>
          <w:szCs w:val="21"/>
        </w:rPr>
        <w:t>云南省公共资源交易平台（点击切换至“昆明市”）</w:t>
      </w:r>
      <w:r>
        <w:rPr>
          <w:rFonts w:hint="eastAsia" w:ascii="宋体" w:hAnsi="宋体"/>
          <w:sz w:val="21"/>
          <w:szCs w:val="21"/>
        </w:rPr>
        <w:fldChar w:fldCharType="end"/>
      </w:r>
      <w:r>
        <w:rPr>
          <w:rFonts w:hint="eastAsia" w:ascii="宋体" w:hAnsi="宋体"/>
          <w:sz w:val="21"/>
          <w:szCs w:val="21"/>
        </w:rPr>
        <w:t>，凭企业数字证书（</w:t>
      </w:r>
      <w:r>
        <w:rPr>
          <w:rFonts w:hint="eastAsia" w:ascii="宋体" w:hAnsi="宋体"/>
          <w:szCs w:val="21"/>
        </w:rPr>
        <w:t>USBKEY</w:t>
      </w:r>
      <w:r>
        <w:rPr>
          <w:rFonts w:hint="eastAsia" w:ascii="宋体" w:hAnsi="宋体"/>
          <w:sz w:val="21"/>
          <w:szCs w:val="21"/>
        </w:rPr>
        <w:t>）在网上获取招标文件及其它招标资料；</w:t>
      </w:r>
      <w:r>
        <w:rPr>
          <w:rFonts w:hint="eastAsia" w:ascii="宋体" w:hAnsi="宋体" w:eastAsia="宋体" w:cs="Times New Roman"/>
          <w:sz w:val="21"/>
          <w:szCs w:val="21"/>
        </w:rPr>
        <w:t>未办理企业数字证书（</w:t>
      </w:r>
      <w:r>
        <w:rPr>
          <w:rFonts w:hint="eastAsia" w:ascii="宋体" w:hAnsi="宋体"/>
          <w:szCs w:val="21"/>
        </w:rPr>
        <w:t>USBKEY</w:t>
      </w:r>
      <w:r>
        <w:rPr>
          <w:rFonts w:hint="eastAsia" w:ascii="宋体" w:hAnsi="宋体" w:eastAsia="宋体" w:cs="Times New Roman"/>
          <w:sz w:val="21"/>
          <w:szCs w:val="21"/>
        </w:rPr>
        <w:t>）的企业需要按照云南省公共资源交易电子认证的要求，办理企业数字证书（</w:t>
      </w:r>
      <w:r>
        <w:rPr>
          <w:rFonts w:hint="eastAsia" w:ascii="宋体" w:hAnsi="宋体"/>
          <w:szCs w:val="21"/>
        </w:rPr>
        <w:t>USBKEY</w:t>
      </w:r>
      <w:r>
        <w:rPr>
          <w:rFonts w:hint="eastAsia" w:ascii="宋体" w:hAnsi="宋体" w:eastAsia="宋体" w:cs="Times New Roman"/>
          <w:sz w:val="21"/>
          <w:szCs w:val="21"/>
        </w:rPr>
        <w:t>），并在</w:t>
      </w:r>
      <w:r>
        <w:rPr>
          <w:rFonts w:hint="eastAsia" w:ascii="宋体" w:hAnsi="宋体" w:eastAsia="宋体" w:cs="Times New Roman"/>
          <w:sz w:val="21"/>
          <w:szCs w:val="21"/>
        </w:rPr>
        <w:fldChar w:fldCharType="begin"/>
      </w:r>
      <w:r>
        <w:rPr>
          <w:rFonts w:hint="eastAsia" w:ascii="宋体" w:hAnsi="宋体" w:eastAsia="宋体" w:cs="Times New Roman"/>
          <w:sz w:val="21"/>
          <w:szCs w:val="21"/>
        </w:rPr>
        <w:instrText xml:space="preserve"> AUTOTEXT  input423 \* MERGEFORMAT </w:instrText>
      </w:r>
      <w:r>
        <w:rPr>
          <w:rFonts w:hint="eastAsia" w:ascii="宋体" w:hAnsi="宋体" w:eastAsia="宋体" w:cs="Times New Roman"/>
          <w:sz w:val="21"/>
          <w:szCs w:val="21"/>
        </w:rPr>
        <w:fldChar w:fldCharType="separate"/>
      </w:r>
      <w:r>
        <w:rPr>
          <w:rFonts w:hint="eastAsia" w:ascii="宋体" w:hAnsi="宋体" w:eastAsia="宋体" w:cs="Times New Roman"/>
          <w:sz w:val="21"/>
          <w:szCs w:val="21"/>
        </w:rPr>
        <w:t>云南省公共资源交易平台（点击切换至“昆明市”）</w:t>
      </w:r>
      <w:r>
        <w:rPr>
          <w:rFonts w:hint="eastAsia" w:ascii="宋体" w:hAnsi="宋体" w:eastAsia="宋体" w:cs="Times New Roman"/>
          <w:sz w:val="21"/>
          <w:szCs w:val="21"/>
        </w:rPr>
        <w:fldChar w:fldCharType="end"/>
      </w:r>
      <w:r>
        <w:rPr>
          <w:rFonts w:hint="eastAsia" w:ascii="宋体" w:hAnsi="宋体" w:eastAsia="宋体" w:cs="Times New Roman"/>
          <w:sz w:val="21"/>
          <w:szCs w:val="21"/>
        </w:rPr>
        <w:t>完成注册通过后，便可获取招标文件，此为获取招标文件的唯一途径。</w:t>
      </w:r>
    </w:p>
    <w:p w14:paraId="4CC55C8F">
      <w:pPr>
        <w:spacing w:line="360" w:lineRule="auto"/>
        <w:ind w:firstLine="420" w:firstLineChars="200"/>
        <w:rPr>
          <w:rFonts w:hint="eastAsia" w:ascii="宋体" w:hAnsi="宋体" w:eastAsia="宋体" w:cs="Times New Roman"/>
          <w:sz w:val="21"/>
          <w:szCs w:val="21"/>
        </w:rPr>
      </w:pPr>
      <w:r>
        <w:rPr>
          <w:rFonts w:hint="eastAsia" w:ascii="宋体" w:hAnsi="宋体" w:eastAsia="宋体" w:cs="Times New Roman"/>
          <w:sz w:val="21"/>
          <w:szCs w:val="21"/>
          <w:lang w:val="en-US" w:eastAsia="zh-CN"/>
        </w:rPr>
        <w:t>5</w:t>
      </w:r>
      <w:r>
        <w:rPr>
          <w:rFonts w:hint="eastAsia" w:ascii="宋体" w:hAnsi="宋体" w:eastAsia="宋体" w:cs="Times New Roman"/>
          <w:sz w:val="21"/>
          <w:szCs w:val="21"/>
        </w:rPr>
        <w:t>.2按照《云南省发展和改革委员会等部门关于鼓励减免政府投资项目投标保证金的通知》（云发改交易管理〔2023〕397号）的要求，减免政府投资项目投标保证金，降幅不得低于现收取数额的50%。具体减免金额参照对应项目地区的相关文件为准，并在招标文件中明确减免投标保证金的情况。</w:t>
      </w:r>
    </w:p>
    <w:p w14:paraId="07CA1F3D">
      <w:pPr>
        <w:spacing w:line="360" w:lineRule="auto"/>
        <w:ind w:firstLine="420" w:firstLineChars="200"/>
        <w:rPr>
          <w:rFonts w:ascii="宋体" w:hAnsi="宋体"/>
          <w:sz w:val="21"/>
          <w:szCs w:val="21"/>
        </w:rPr>
      </w:pPr>
      <w:r>
        <w:rPr>
          <w:rFonts w:hint="eastAsia" w:ascii="宋体" w:hAnsi="宋体"/>
          <w:sz w:val="21"/>
          <w:szCs w:val="21"/>
          <w:lang w:val="en-US" w:eastAsia="zh-CN"/>
        </w:rPr>
        <w:t>5</w:t>
      </w:r>
      <w:r>
        <w:rPr>
          <w:rFonts w:hint="eastAsia" w:ascii="宋体" w:hAnsi="宋体"/>
          <w:sz w:val="21"/>
          <w:szCs w:val="21"/>
        </w:rPr>
        <w:t>.</w:t>
      </w:r>
      <w:r>
        <w:rPr>
          <w:rFonts w:hint="eastAsia" w:ascii="宋体" w:hAnsi="宋体"/>
          <w:sz w:val="21"/>
          <w:szCs w:val="21"/>
          <w:lang w:val="en-US" w:eastAsia="zh-CN"/>
        </w:rPr>
        <w:t>3</w:t>
      </w:r>
      <w:r>
        <w:rPr>
          <w:rFonts w:hint="eastAsia" w:ascii="宋体" w:hAnsi="宋体"/>
          <w:sz w:val="21"/>
          <w:szCs w:val="21"/>
        </w:rPr>
        <w:t>招标人不提供邮购招标文件服务。</w:t>
      </w:r>
    </w:p>
    <w:p w14:paraId="7BDF57D0">
      <w:pPr>
        <w:spacing w:line="360" w:lineRule="auto"/>
        <w:outlineLvl w:val="0"/>
        <w:rPr>
          <w:rFonts w:ascii="宋体" w:hAnsi="宋体"/>
          <w:b/>
          <w:sz w:val="21"/>
          <w:szCs w:val="21"/>
        </w:rPr>
      </w:pPr>
      <w:bookmarkStart w:id="64" w:name="_Toc265699945"/>
      <w:bookmarkStart w:id="65" w:name="_Toc437527141"/>
      <w:bookmarkStart w:id="66" w:name="_Toc40706708"/>
      <w:bookmarkStart w:id="67" w:name="_Toc471744308"/>
      <w:bookmarkStart w:id="68" w:name="_Toc523740383"/>
      <w:bookmarkStart w:id="69" w:name="_Toc16241"/>
      <w:bookmarkStart w:id="70" w:name="_Toc2521"/>
      <w:bookmarkStart w:id="71" w:name="_Toc23263"/>
      <w:bookmarkStart w:id="72" w:name="_Toc5574"/>
      <w:bookmarkStart w:id="73" w:name="_Toc2176095"/>
      <w:bookmarkStart w:id="74" w:name="_Toc62498130"/>
      <w:bookmarkStart w:id="75" w:name="_Toc261955980"/>
      <w:bookmarkStart w:id="76" w:name="_Toc297828669"/>
      <w:r>
        <w:rPr>
          <w:rFonts w:hint="eastAsia" w:ascii="宋体" w:hAnsi="宋体"/>
          <w:b/>
          <w:sz w:val="21"/>
          <w:szCs w:val="21"/>
          <w:lang w:val="en-US" w:eastAsia="zh-CN"/>
        </w:rPr>
        <w:t>6</w:t>
      </w:r>
      <w:r>
        <w:rPr>
          <w:rFonts w:hint="eastAsia" w:ascii="宋体" w:hAnsi="宋体"/>
          <w:b/>
          <w:sz w:val="21"/>
          <w:szCs w:val="21"/>
        </w:rPr>
        <w:t>.投标文件的递交</w:t>
      </w:r>
      <w:bookmarkEnd w:id="64"/>
      <w:bookmarkEnd w:id="65"/>
      <w:bookmarkEnd w:id="66"/>
      <w:bookmarkEnd w:id="67"/>
      <w:bookmarkEnd w:id="68"/>
      <w:bookmarkEnd w:id="69"/>
      <w:bookmarkEnd w:id="70"/>
      <w:bookmarkEnd w:id="71"/>
      <w:bookmarkEnd w:id="72"/>
      <w:bookmarkEnd w:id="73"/>
      <w:bookmarkEnd w:id="74"/>
      <w:bookmarkEnd w:id="75"/>
      <w:bookmarkEnd w:id="76"/>
    </w:p>
    <w:p w14:paraId="7DC84118">
      <w:pPr>
        <w:spacing w:line="360" w:lineRule="auto"/>
        <w:ind w:firstLine="420" w:firstLineChars="200"/>
        <w:rPr>
          <w:rFonts w:hint="eastAsia" w:ascii="宋体" w:hAnsi="宋体"/>
          <w:sz w:val="21"/>
          <w:szCs w:val="21"/>
        </w:rPr>
      </w:pPr>
      <w:bookmarkStart w:id="77" w:name="_Toc40706709"/>
      <w:bookmarkStart w:id="78" w:name="_Toc437527142"/>
      <w:bookmarkStart w:id="79" w:name="_Toc2176096"/>
      <w:bookmarkStart w:id="80" w:name="_Toc297828670"/>
      <w:bookmarkStart w:id="81" w:name="_Toc261955981"/>
      <w:bookmarkStart w:id="82" w:name="_Toc523740384"/>
      <w:bookmarkStart w:id="83" w:name="_Toc6853"/>
      <w:bookmarkStart w:id="84" w:name="_Toc471744309"/>
      <w:bookmarkStart w:id="85" w:name="_Toc18752"/>
      <w:bookmarkStart w:id="86" w:name="_Toc265699946"/>
      <w:r>
        <w:rPr>
          <w:rFonts w:hint="eastAsia" w:ascii="宋体" w:hAnsi="宋体"/>
          <w:sz w:val="21"/>
          <w:szCs w:val="21"/>
          <w:lang w:val="en-US" w:eastAsia="zh-CN"/>
        </w:rPr>
        <w:t>6</w:t>
      </w:r>
      <w:r>
        <w:rPr>
          <w:rFonts w:hint="eastAsia" w:ascii="宋体" w:hAnsi="宋体"/>
          <w:sz w:val="21"/>
          <w:szCs w:val="21"/>
        </w:rPr>
        <w:t>.1本次招标（</w:t>
      </w:r>
      <w:r>
        <w:rPr>
          <w:rFonts w:hint="eastAsia" w:ascii="宋体" w:hAnsi="宋体"/>
          <w:sz w:val="21"/>
          <w:szCs w:val="21"/>
        </w:rPr>
        <w:fldChar w:fldCharType="begin"/>
      </w:r>
      <w:r>
        <w:rPr>
          <w:rFonts w:hint="eastAsia" w:ascii="宋体" w:hAnsi="宋体"/>
          <w:sz w:val="21"/>
          <w:szCs w:val="21"/>
        </w:rPr>
        <w:instrText xml:space="preserve"> AUTOTEXT  input27 \* MERGEFORMAT </w:instrText>
      </w:r>
      <w:r>
        <w:rPr>
          <w:rFonts w:hint="eastAsia" w:ascii="宋体" w:hAnsi="宋体"/>
          <w:sz w:val="21"/>
          <w:szCs w:val="21"/>
        </w:rPr>
        <w:fldChar w:fldCharType="separate"/>
      </w:r>
      <w:r>
        <w:rPr>
          <w:rFonts w:hint="eastAsia" w:ascii="宋体" w:hAnsi="宋体"/>
          <w:sz w:val="21"/>
          <w:szCs w:val="21"/>
        </w:rPr>
        <w:t>□</w:t>
      </w:r>
      <w:r>
        <w:rPr>
          <w:rFonts w:hint="eastAsia" w:ascii="宋体" w:hAnsi="宋体"/>
          <w:sz w:val="21"/>
          <w:szCs w:val="21"/>
        </w:rPr>
        <w:fldChar w:fldCharType="end"/>
      </w:r>
      <w:r>
        <w:rPr>
          <w:rFonts w:hint="eastAsia" w:ascii="宋体" w:hAnsi="宋体"/>
          <w:sz w:val="21"/>
          <w:szCs w:val="21"/>
        </w:rPr>
        <w:t>组织；</w:t>
      </w:r>
      <w:r>
        <w:rPr>
          <w:rFonts w:hint="eastAsia" w:ascii="宋体" w:hAnsi="宋体"/>
          <w:sz w:val="21"/>
          <w:szCs w:val="21"/>
        </w:rPr>
        <w:fldChar w:fldCharType="begin"/>
      </w:r>
      <w:r>
        <w:rPr>
          <w:rFonts w:hint="eastAsia" w:ascii="宋体" w:hAnsi="宋体"/>
          <w:sz w:val="21"/>
          <w:szCs w:val="21"/>
        </w:rPr>
        <w:instrText xml:space="preserve"> AUTOTEXT  input28 \* MERGEFORMAT </w:instrText>
      </w:r>
      <w:r>
        <w:rPr>
          <w:rFonts w:hint="eastAsia" w:ascii="宋体" w:hAnsi="宋体"/>
          <w:sz w:val="21"/>
          <w:szCs w:val="21"/>
        </w:rPr>
        <w:fldChar w:fldCharType="separate"/>
      </w:r>
      <w:r>
        <w:rPr>
          <w:rFonts w:hint="eastAsia" w:ascii="宋体" w:hAnsi="宋体"/>
          <w:sz w:val="21"/>
          <w:szCs w:val="21"/>
        </w:rPr>
        <w:t>☑</w:t>
      </w:r>
      <w:r>
        <w:rPr>
          <w:rFonts w:hint="eastAsia" w:ascii="宋体" w:hAnsi="宋体"/>
          <w:sz w:val="21"/>
          <w:szCs w:val="21"/>
        </w:rPr>
        <w:fldChar w:fldCharType="end"/>
      </w:r>
      <w:r>
        <w:rPr>
          <w:rFonts w:hint="eastAsia" w:ascii="宋体" w:hAnsi="宋体"/>
          <w:sz w:val="21"/>
          <w:szCs w:val="21"/>
        </w:rPr>
        <w:t>不组织）踏勘现场。</w:t>
      </w:r>
    </w:p>
    <w:p w14:paraId="6C8C6BA7">
      <w:pPr>
        <w:spacing w:line="360" w:lineRule="auto"/>
        <w:ind w:firstLine="420" w:firstLineChars="200"/>
        <w:rPr>
          <w:rFonts w:hint="eastAsia" w:ascii="宋体" w:hAnsi="宋体"/>
          <w:sz w:val="21"/>
          <w:szCs w:val="21"/>
        </w:rPr>
      </w:pPr>
      <w:r>
        <w:rPr>
          <w:rFonts w:hint="eastAsia" w:ascii="宋体" w:hAnsi="宋体"/>
          <w:sz w:val="21"/>
          <w:szCs w:val="21"/>
          <w:lang w:val="en-US" w:eastAsia="zh-CN"/>
        </w:rPr>
        <w:t>6.2</w:t>
      </w:r>
      <w:r>
        <w:rPr>
          <w:rFonts w:hint="eastAsia" w:ascii="宋体" w:hAnsi="宋体"/>
          <w:sz w:val="21"/>
          <w:szCs w:val="21"/>
        </w:rPr>
        <w:t>投标文件递交的截止时间（投标截止时间，下同）为</w:t>
      </w:r>
      <w:r>
        <w:rPr>
          <w:rFonts w:hint="eastAsia" w:ascii="宋体" w:hAnsi="宋体"/>
          <w:sz w:val="21"/>
          <w:szCs w:val="21"/>
          <w:u w:val="single"/>
          <w:lang w:val="en-US" w:eastAsia="zh-CN"/>
        </w:rPr>
        <w:t>2025</w:t>
      </w:r>
      <w:r>
        <w:rPr>
          <w:rFonts w:hint="eastAsia" w:ascii="宋体" w:hAnsi="宋体"/>
          <w:sz w:val="21"/>
          <w:szCs w:val="21"/>
        </w:rPr>
        <w:t>年</w:t>
      </w:r>
      <w:r>
        <w:rPr>
          <w:rFonts w:hint="eastAsia" w:ascii="宋体" w:hAnsi="宋体"/>
          <w:sz w:val="21"/>
          <w:szCs w:val="21"/>
          <w:u w:val="single"/>
          <w:lang w:val="en-US" w:eastAsia="zh-CN"/>
        </w:rPr>
        <w:t>12</w:t>
      </w:r>
      <w:r>
        <w:rPr>
          <w:rFonts w:hint="eastAsia" w:ascii="宋体" w:hAnsi="宋体"/>
          <w:sz w:val="21"/>
          <w:szCs w:val="21"/>
        </w:rPr>
        <w:t>月</w:t>
      </w:r>
      <w:r>
        <w:rPr>
          <w:rFonts w:hint="eastAsia" w:ascii="宋体" w:hAnsi="宋体"/>
          <w:sz w:val="21"/>
          <w:szCs w:val="21"/>
          <w:u w:val="single"/>
          <w:lang w:val="en-US" w:eastAsia="zh-CN"/>
        </w:rPr>
        <w:t xml:space="preserve"> 05 </w:t>
      </w:r>
      <w:r>
        <w:rPr>
          <w:rFonts w:hint="eastAsia" w:ascii="宋体" w:hAnsi="宋体"/>
          <w:sz w:val="21"/>
          <w:szCs w:val="21"/>
        </w:rPr>
        <w:t>日</w:t>
      </w:r>
      <w:r>
        <w:rPr>
          <w:rFonts w:hint="eastAsia" w:ascii="宋体" w:hAnsi="宋体"/>
          <w:sz w:val="21"/>
          <w:szCs w:val="21"/>
          <w:u w:val="single"/>
          <w:lang w:val="en-US" w:eastAsia="zh-CN"/>
        </w:rPr>
        <w:t>09</w:t>
      </w:r>
      <w:r>
        <w:rPr>
          <w:rFonts w:hint="eastAsia" w:ascii="宋体" w:hAnsi="宋体"/>
          <w:sz w:val="21"/>
          <w:szCs w:val="21"/>
        </w:rPr>
        <w:t>时</w:t>
      </w:r>
      <w:r>
        <w:rPr>
          <w:rFonts w:hint="eastAsia" w:ascii="宋体" w:hAnsi="宋体"/>
          <w:sz w:val="21"/>
          <w:szCs w:val="21"/>
          <w:u w:val="single"/>
          <w:lang w:val="en-US" w:eastAsia="zh-CN"/>
        </w:rPr>
        <w:t>00</w:t>
      </w:r>
      <w:r>
        <w:rPr>
          <w:rFonts w:hint="eastAsia" w:ascii="宋体" w:hAnsi="宋体"/>
          <w:sz w:val="21"/>
          <w:szCs w:val="21"/>
        </w:rPr>
        <w:t>分。</w:t>
      </w:r>
      <w:bookmarkEnd w:id="77"/>
    </w:p>
    <w:p w14:paraId="31172094">
      <w:pPr>
        <w:spacing w:line="360" w:lineRule="auto"/>
        <w:ind w:firstLine="420" w:firstLineChars="200"/>
        <w:rPr>
          <w:rFonts w:hint="eastAsia" w:ascii="宋体" w:hAnsi="宋体" w:eastAsia="宋体" w:cs="Times New Roman"/>
          <w:sz w:val="21"/>
          <w:szCs w:val="21"/>
        </w:rPr>
      </w:pPr>
      <w:bookmarkStart w:id="87" w:name="_Toc40706710"/>
      <w:r>
        <w:rPr>
          <w:rFonts w:hint="eastAsia" w:ascii="宋体" w:hAnsi="宋体" w:eastAsia="宋体" w:cs="Times New Roman"/>
          <w:sz w:val="21"/>
          <w:szCs w:val="21"/>
          <w:lang w:val="en-US" w:eastAsia="zh-CN"/>
        </w:rPr>
        <w:t>6</w:t>
      </w:r>
      <w:r>
        <w:rPr>
          <w:rFonts w:hint="eastAsia" w:ascii="宋体" w:hAnsi="宋体" w:eastAsia="宋体" w:cs="Times New Roman"/>
          <w:sz w:val="21"/>
          <w:szCs w:val="21"/>
        </w:rPr>
        <w:t>.</w:t>
      </w:r>
      <w:bookmarkEnd w:id="87"/>
      <w:r>
        <w:rPr>
          <w:rFonts w:hint="eastAsia" w:ascii="宋体" w:hAnsi="宋体" w:eastAsia="宋体" w:cs="Times New Roman"/>
          <w:sz w:val="21"/>
          <w:szCs w:val="21"/>
        </w:rPr>
        <w:t>3电子投标文件递交方式：</w:t>
      </w:r>
    </w:p>
    <w:p w14:paraId="0F9353F0">
      <w:pPr>
        <w:spacing w:line="360" w:lineRule="auto"/>
        <w:ind w:firstLine="420" w:firstLineChars="200"/>
        <w:rPr>
          <w:rFonts w:hint="eastAsia" w:ascii="宋体" w:hAnsi="宋体" w:eastAsia="宋体" w:cs="Times New Roman"/>
          <w:sz w:val="21"/>
          <w:szCs w:val="21"/>
        </w:rPr>
      </w:pPr>
      <w:r>
        <w:rPr>
          <w:rFonts w:hint="eastAsia" w:ascii="宋体" w:hAnsi="宋体" w:eastAsia="宋体" w:cs="Times New Roman"/>
          <w:sz w:val="21"/>
          <w:szCs w:val="21"/>
        </w:rPr>
        <w:t>网上递交：网上递交网址为：</w:t>
      </w:r>
      <w:r>
        <w:rPr>
          <w:rFonts w:hint="eastAsia" w:ascii="宋体" w:hAnsi="宋体" w:eastAsia="宋体" w:cs="Times New Roman"/>
          <w:sz w:val="21"/>
          <w:szCs w:val="21"/>
        </w:rPr>
        <w:fldChar w:fldCharType="begin"/>
      </w:r>
      <w:r>
        <w:rPr>
          <w:rFonts w:hint="eastAsia" w:ascii="宋体" w:hAnsi="宋体" w:eastAsia="宋体" w:cs="Times New Roman"/>
          <w:sz w:val="21"/>
          <w:szCs w:val="21"/>
        </w:rPr>
        <w:instrText xml:space="preserve"> AUTOTEXT  input217 \* MERGEFORMAT </w:instrText>
      </w:r>
      <w:r>
        <w:rPr>
          <w:rFonts w:hint="eastAsia" w:ascii="宋体" w:hAnsi="宋体" w:eastAsia="宋体" w:cs="Times New Roman"/>
          <w:sz w:val="21"/>
          <w:szCs w:val="21"/>
        </w:rPr>
        <w:fldChar w:fldCharType="separate"/>
      </w:r>
      <w:r>
        <w:rPr>
          <w:rFonts w:hint="eastAsia" w:ascii="宋体" w:hAnsi="宋体" w:eastAsia="宋体" w:cs="Times New Roman"/>
          <w:sz w:val="21"/>
          <w:szCs w:val="21"/>
          <w:u w:val="single"/>
        </w:rPr>
        <w:t xml:space="preserve"> https://ggzy.yn.gov.cn/#/homePage</w:t>
      </w:r>
      <w:r>
        <w:rPr>
          <w:rFonts w:hint="eastAsia" w:ascii="宋体" w:hAnsi="宋体" w:eastAsia="宋体" w:cs="Times New Roman"/>
          <w:sz w:val="21"/>
          <w:szCs w:val="21"/>
        </w:rPr>
        <w:t>，点击切换至“昆明市”</w:t>
      </w:r>
      <w:r>
        <w:rPr>
          <w:rFonts w:hint="eastAsia" w:ascii="宋体" w:hAnsi="宋体" w:eastAsia="宋体" w:cs="Times New Roman"/>
          <w:sz w:val="21"/>
          <w:szCs w:val="21"/>
        </w:rPr>
        <w:fldChar w:fldCharType="end"/>
      </w:r>
      <w:r>
        <w:rPr>
          <w:rFonts w:hint="eastAsia" w:ascii="宋体" w:hAnsi="宋体" w:eastAsia="宋体" w:cs="Times New Roman"/>
          <w:sz w:val="21"/>
          <w:szCs w:val="21"/>
        </w:rPr>
        <w:t>，投标人须在投标截止时间前完成所有投标文件的上传。投标人根据拟要投标的项目，按照招标文件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3E92B60D">
      <w:pPr>
        <w:spacing w:line="360" w:lineRule="auto"/>
        <w:outlineLvl w:val="0"/>
        <w:rPr>
          <w:rFonts w:ascii="宋体" w:hAnsi="宋体"/>
          <w:b/>
          <w:sz w:val="21"/>
          <w:szCs w:val="21"/>
        </w:rPr>
      </w:pPr>
      <w:bookmarkStart w:id="88" w:name="_Toc40706712"/>
      <w:bookmarkStart w:id="89" w:name="_Toc62498131"/>
      <w:bookmarkStart w:id="90" w:name="_Toc17085"/>
      <w:bookmarkStart w:id="91" w:name="_Toc26153"/>
      <w:r>
        <w:rPr>
          <w:rFonts w:hint="eastAsia" w:ascii="宋体" w:hAnsi="宋体"/>
          <w:b/>
          <w:sz w:val="21"/>
          <w:szCs w:val="21"/>
          <w:lang w:val="en-US" w:eastAsia="zh-CN"/>
        </w:rPr>
        <w:t>7</w:t>
      </w:r>
      <w:r>
        <w:rPr>
          <w:rFonts w:hint="eastAsia" w:ascii="宋体" w:hAnsi="宋体"/>
          <w:b/>
          <w:sz w:val="21"/>
          <w:szCs w:val="21"/>
        </w:rPr>
        <w:t>.发布公告媒介</w:t>
      </w:r>
      <w:bookmarkEnd w:id="78"/>
      <w:bookmarkEnd w:id="79"/>
      <w:bookmarkEnd w:id="80"/>
      <w:bookmarkEnd w:id="81"/>
      <w:bookmarkEnd w:id="82"/>
      <w:bookmarkEnd w:id="83"/>
      <w:bookmarkEnd w:id="84"/>
      <w:bookmarkEnd w:id="85"/>
      <w:bookmarkEnd w:id="86"/>
      <w:bookmarkEnd w:id="88"/>
      <w:bookmarkEnd w:id="89"/>
      <w:bookmarkEnd w:id="90"/>
      <w:bookmarkEnd w:id="91"/>
    </w:p>
    <w:p w14:paraId="2D693D61">
      <w:pPr>
        <w:spacing w:line="360" w:lineRule="auto"/>
        <w:ind w:firstLine="420" w:firstLineChars="200"/>
        <w:rPr>
          <w:rFonts w:hint="eastAsia" w:ascii="宋体" w:hAnsi="宋体" w:eastAsia="宋体" w:cs="Times New Roman"/>
          <w:sz w:val="21"/>
          <w:szCs w:val="21"/>
        </w:rPr>
      </w:pPr>
      <w:r>
        <w:rPr>
          <w:rFonts w:hint="eastAsia" w:ascii="宋体" w:hAnsi="宋体" w:eastAsia="宋体" w:cs="Times New Roman"/>
          <w:sz w:val="21"/>
          <w:szCs w:val="21"/>
        </w:rPr>
        <w:t>本次招标公告同时在云南省建设监管公共服务平台（https://www.ynjzjgcx.com）、云南省公共资源交易信息网（https://ggzy.yn.gov.cn/）及</w:t>
      </w:r>
      <w:r>
        <w:rPr>
          <w:rFonts w:hint="eastAsia" w:ascii="宋体" w:hAnsi="宋体" w:eastAsia="宋体" w:cs="Times New Roman"/>
          <w:sz w:val="21"/>
          <w:szCs w:val="21"/>
        </w:rPr>
        <w:fldChar w:fldCharType="begin"/>
      </w:r>
      <w:r>
        <w:rPr>
          <w:rFonts w:hint="eastAsia" w:ascii="宋体" w:hAnsi="宋体" w:eastAsia="宋体" w:cs="Times New Roman"/>
          <w:sz w:val="21"/>
          <w:szCs w:val="21"/>
        </w:rPr>
        <w:instrText xml:space="preserve"> AUTOTEXT  input31 \* MERGEFORMAT </w:instrText>
      </w:r>
      <w:r>
        <w:rPr>
          <w:rFonts w:hint="eastAsia" w:ascii="宋体" w:hAnsi="宋体" w:eastAsia="宋体" w:cs="Times New Roman"/>
          <w:sz w:val="21"/>
          <w:szCs w:val="21"/>
        </w:rPr>
        <w:fldChar w:fldCharType="separate"/>
      </w:r>
      <w:r>
        <w:rPr>
          <w:rFonts w:hint="eastAsia" w:ascii="宋体" w:hAnsi="宋体" w:eastAsia="宋体" w:cs="Times New Roman"/>
          <w:sz w:val="21"/>
          <w:szCs w:val="21"/>
        </w:rPr>
        <w:t>云南省公共资源交易中心（点击切换至“昆明市”）（http://ggzy.yn.gov.cn/ynggfwpt-home-web/#/homePage）</w:t>
      </w:r>
      <w:r>
        <w:rPr>
          <w:rFonts w:hint="eastAsia" w:ascii="宋体" w:hAnsi="宋体" w:eastAsia="宋体" w:cs="Times New Roman"/>
          <w:sz w:val="21"/>
          <w:szCs w:val="21"/>
        </w:rPr>
        <w:fldChar w:fldCharType="end"/>
      </w:r>
      <w:r>
        <w:rPr>
          <w:rFonts w:hint="eastAsia" w:ascii="宋体" w:hAnsi="宋体" w:eastAsia="宋体" w:cs="Times New Roman"/>
          <w:sz w:val="21"/>
          <w:szCs w:val="21"/>
        </w:rPr>
        <w:t>（其他发布公告的所有媒介名称）上发布。</w:t>
      </w:r>
    </w:p>
    <w:p w14:paraId="7F85381D">
      <w:pPr>
        <w:spacing w:line="360" w:lineRule="auto"/>
        <w:rPr>
          <w:rFonts w:ascii="宋体" w:hAnsi="宋体"/>
          <w:b/>
          <w:sz w:val="21"/>
          <w:szCs w:val="21"/>
        </w:rPr>
      </w:pPr>
      <w:r>
        <w:rPr>
          <w:rFonts w:hint="eastAsia" w:ascii="宋体" w:hAnsi="宋体"/>
          <w:b/>
          <w:sz w:val="21"/>
          <w:szCs w:val="21"/>
          <w:lang w:val="en-US" w:eastAsia="zh-CN"/>
        </w:rPr>
        <w:t>8</w:t>
      </w:r>
      <w:r>
        <w:rPr>
          <w:rFonts w:hint="eastAsia" w:ascii="宋体" w:hAnsi="宋体"/>
          <w:b/>
          <w:sz w:val="21"/>
          <w:szCs w:val="21"/>
        </w:rPr>
        <w:t>.联系方式</w:t>
      </w:r>
    </w:p>
    <w:tbl>
      <w:tblPr>
        <w:tblStyle w:val="2"/>
        <w:tblW w:w="9286" w:type="dxa"/>
        <w:jc w:val="center"/>
        <w:tblLayout w:type="fixed"/>
        <w:tblCellMar>
          <w:top w:w="0" w:type="dxa"/>
          <w:left w:w="108" w:type="dxa"/>
          <w:bottom w:w="0" w:type="dxa"/>
          <w:right w:w="108" w:type="dxa"/>
        </w:tblCellMar>
      </w:tblPr>
      <w:tblGrid>
        <w:gridCol w:w="1952"/>
        <w:gridCol w:w="2460"/>
        <w:gridCol w:w="1880"/>
        <w:gridCol w:w="2994"/>
      </w:tblGrid>
      <w:tr w14:paraId="0FFA4FC9">
        <w:trPr>
          <w:cantSplit/>
          <w:jc w:val="center"/>
        </w:trPr>
        <w:tc>
          <w:tcPr>
            <w:tcW w:w="1952" w:type="dxa"/>
            <w:noWrap w:val="0"/>
            <w:vAlign w:val="center"/>
          </w:tcPr>
          <w:p w14:paraId="5080CC1B">
            <w:pPr>
              <w:topLinePunct/>
              <w:adjustRightInd w:val="0"/>
              <w:snapToGrid w:val="0"/>
              <w:spacing w:line="360" w:lineRule="auto"/>
              <w:jc w:val="right"/>
              <w:rPr>
                <w:rFonts w:ascii="Times New Roman" w:hAnsi="Times New Roman"/>
                <w:color w:val="000000"/>
                <w:kern w:val="0"/>
                <w:sz w:val="21"/>
                <w:szCs w:val="21"/>
              </w:rPr>
            </w:pPr>
            <w:bookmarkStart w:id="92" w:name="_Hlk113217342"/>
            <w:r>
              <w:rPr>
                <w:rFonts w:ascii="Times New Roman" w:hAnsi="Times New Roman"/>
                <w:color w:val="000000"/>
                <w:kern w:val="0"/>
                <w:sz w:val="21"/>
                <w:szCs w:val="21"/>
              </w:rPr>
              <w:t>招 标 人：</w:t>
            </w:r>
          </w:p>
        </w:tc>
        <w:tc>
          <w:tcPr>
            <w:tcW w:w="2460" w:type="dxa"/>
            <w:noWrap w:val="0"/>
            <w:vAlign w:val="center"/>
          </w:tcPr>
          <w:p w14:paraId="72760BC7">
            <w:pPr>
              <w:topLinePunct/>
              <w:adjustRightInd w:val="0"/>
              <w:snapToGrid w:val="0"/>
              <w:spacing w:line="360" w:lineRule="auto"/>
              <w:rPr>
                <w:rFonts w:ascii="Times New Roman" w:hAnsi="Times New Roman"/>
                <w:color w:val="000000"/>
                <w:kern w:val="0"/>
                <w:sz w:val="21"/>
                <w:szCs w:val="21"/>
              </w:rPr>
            </w:pP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input55 \* MERGEFORMAT </w:instrText>
            </w:r>
            <w:r>
              <w:rPr>
                <w:rFonts w:ascii="Times New Roman" w:hAnsi="Times New Roman"/>
                <w:color w:val="000000"/>
                <w:kern w:val="0"/>
                <w:sz w:val="21"/>
                <w:szCs w:val="21"/>
                <w:u w:val="single"/>
              </w:rPr>
              <w:fldChar w:fldCharType="separate"/>
            </w:r>
            <w:r>
              <w:rPr>
                <w:rFonts w:ascii="Times New Roman" w:hAnsi="Times New Roman"/>
                <w:color w:val="000000"/>
                <w:kern w:val="0"/>
                <w:sz w:val="21"/>
                <w:szCs w:val="21"/>
                <w:u w:val="single"/>
              </w:rPr>
              <w:t>昆明市西山区住房和城乡建设局</w:t>
            </w:r>
            <w:r>
              <w:rPr>
                <w:rFonts w:ascii="Times New Roman" w:hAnsi="Times New Roman"/>
                <w:color w:val="000000"/>
                <w:kern w:val="0"/>
                <w:sz w:val="21"/>
                <w:szCs w:val="21"/>
                <w:u w:val="single"/>
              </w:rPr>
              <w:fldChar w:fldCharType="end"/>
            </w:r>
          </w:p>
        </w:tc>
        <w:tc>
          <w:tcPr>
            <w:tcW w:w="1880" w:type="dxa"/>
            <w:noWrap w:val="0"/>
            <w:vAlign w:val="center"/>
          </w:tcPr>
          <w:p w14:paraId="03368D9B">
            <w:pPr>
              <w:topLinePunct/>
              <w:adjustRightInd w:val="0"/>
              <w:snapToGrid w:val="0"/>
              <w:spacing w:line="360" w:lineRule="auto"/>
              <w:jc w:val="right"/>
              <w:rPr>
                <w:rFonts w:ascii="Times New Roman" w:hAnsi="Times New Roman"/>
                <w:color w:val="000000"/>
                <w:kern w:val="0"/>
                <w:sz w:val="21"/>
                <w:szCs w:val="21"/>
              </w:rPr>
            </w:pPr>
            <w:r>
              <w:rPr>
                <w:rFonts w:ascii="Times New Roman" w:hAnsi="Times New Roman"/>
                <w:color w:val="000000"/>
                <w:kern w:val="0"/>
                <w:sz w:val="21"/>
                <w:szCs w:val="21"/>
              </w:rPr>
              <w:t>招标代理机构：</w:t>
            </w:r>
          </w:p>
        </w:tc>
        <w:tc>
          <w:tcPr>
            <w:tcW w:w="2994" w:type="dxa"/>
            <w:noWrap w:val="0"/>
            <w:vAlign w:val="center"/>
          </w:tcPr>
          <w:p w14:paraId="313C962B">
            <w:pPr>
              <w:topLinePunct/>
              <w:adjustRightInd w:val="0"/>
              <w:snapToGrid w:val="0"/>
              <w:spacing w:line="360" w:lineRule="auto"/>
              <w:rPr>
                <w:rFonts w:ascii="Times New Roman" w:hAnsi="Times New Roman"/>
                <w:color w:val="000000"/>
                <w:kern w:val="0"/>
                <w:sz w:val="21"/>
                <w:szCs w:val="21"/>
              </w:rPr>
            </w:pP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input56 \* MERGEFORMAT </w:instrText>
            </w:r>
            <w:r>
              <w:rPr>
                <w:rFonts w:ascii="Times New Roman" w:hAnsi="Times New Roman"/>
                <w:color w:val="000000"/>
                <w:kern w:val="0"/>
                <w:sz w:val="21"/>
                <w:szCs w:val="21"/>
                <w:u w:val="single"/>
              </w:rPr>
              <w:fldChar w:fldCharType="separate"/>
            </w:r>
            <w:r>
              <w:rPr>
                <w:rFonts w:ascii="Times New Roman" w:hAnsi="Times New Roman"/>
                <w:color w:val="000000"/>
                <w:kern w:val="0"/>
                <w:sz w:val="21"/>
                <w:szCs w:val="21"/>
                <w:u w:val="single"/>
              </w:rPr>
              <w:t>云南聚德工程信息咨询有限公司</w:t>
            </w:r>
            <w:r>
              <w:rPr>
                <w:rFonts w:ascii="Times New Roman" w:hAnsi="Times New Roman"/>
                <w:color w:val="000000"/>
                <w:kern w:val="0"/>
                <w:sz w:val="21"/>
                <w:szCs w:val="21"/>
                <w:u w:val="single"/>
              </w:rPr>
              <w:fldChar w:fldCharType="end"/>
            </w:r>
          </w:p>
        </w:tc>
      </w:tr>
      <w:tr w14:paraId="7C906946">
        <w:tblPrEx>
          <w:tblCellMar>
            <w:top w:w="0" w:type="dxa"/>
            <w:left w:w="108" w:type="dxa"/>
            <w:bottom w:w="0" w:type="dxa"/>
            <w:right w:w="108" w:type="dxa"/>
          </w:tblCellMar>
        </w:tblPrEx>
        <w:trPr>
          <w:cantSplit/>
          <w:jc w:val="center"/>
        </w:trPr>
        <w:tc>
          <w:tcPr>
            <w:tcW w:w="1952" w:type="dxa"/>
            <w:noWrap w:val="0"/>
            <w:vAlign w:val="center"/>
          </w:tcPr>
          <w:p w14:paraId="5D672756">
            <w:pPr>
              <w:topLinePunct/>
              <w:adjustRightInd w:val="0"/>
              <w:snapToGrid w:val="0"/>
              <w:spacing w:line="360" w:lineRule="auto"/>
              <w:jc w:val="right"/>
              <w:rPr>
                <w:rFonts w:ascii="Times New Roman" w:hAnsi="Times New Roman"/>
                <w:color w:val="000000"/>
                <w:kern w:val="0"/>
                <w:sz w:val="21"/>
                <w:szCs w:val="21"/>
              </w:rPr>
            </w:pPr>
            <w:r>
              <w:rPr>
                <w:rFonts w:ascii="Times New Roman" w:hAnsi="Times New Roman"/>
                <w:color w:val="000000"/>
                <w:kern w:val="0"/>
                <w:sz w:val="21"/>
                <w:szCs w:val="21"/>
              </w:rPr>
              <w:t>地    址：</w:t>
            </w:r>
          </w:p>
        </w:tc>
        <w:tc>
          <w:tcPr>
            <w:tcW w:w="2460" w:type="dxa"/>
            <w:noWrap w:val="0"/>
            <w:vAlign w:val="center"/>
          </w:tcPr>
          <w:p w14:paraId="59F83B90">
            <w:pPr>
              <w:topLinePunct/>
              <w:adjustRightInd w:val="0"/>
              <w:snapToGrid w:val="0"/>
              <w:spacing w:line="360" w:lineRule="auto"/>
              <w:rPr>
                <w:rFonts w:ascii="Times New Roman" w:hAnsi="Times New Roman"/>
                <w:color w:val="000000"/>
                <w:kern w:val="0"/>
                <w:sz w:val="21"/>
                <w:szCs w:val="21"/>
              </w:rPr>
            </w:pP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input57 \* MERGEFORMAT </w:instrText>
            </w:r>
            <w:r>
              <w:rPr>
                <w:rFonts w:ascii="Times New Roman" w:hAnsi="Times New Roman"/>
                <w:color w:val="000000"/>
                <w:kern w:val="0"/>
                <w:sz w:val="21"/>
                <w:szCs w:val="21"/>
                <w:u w:val="single"/>
              </w:rPr>
              <w:fldChar w:fldCharType="separate"/>
            </w:r>
            <w:r>
              <w:rPr>
                <w:rFonts w:ascii="Times New Roman" w:hAnsi="Times New Roman"/>
                <w:color w:val="000000"/>
                <w:kern w:val="0"/>
                <w:sz w:val="21"/>
                <w:szCs w:val="21"/>
                <w:u w:val="single"/>
              </w:rPr>
              <w:t>昆明市西山区春雨路188号城投商务大厦</w:t>
            </w:r>
            <w:r>
              <w:rPr>
                <w:rFonts w:ascii="Times New Roman" w:hAnsi="Times New Roman"/>
                <w:color w:val="000000"/>
                <w:kern w:val="0"/>
                <w:sz w:val="21"/>
                <w:szCs w:val="21"/>
                <w:u w:val="single"/>
              </w:rPr>
              <w:fldChar w:fldCharType="end"/>
            </w:r>
          </w:p>
        </w:tc>
        <w:tc>
          <w:tcPr>
            <w:tcW w:w="1880" w:type="dxa"/>
            <w:noWrap w:val="0"/>
            <w:vAlign w:val="center"/>
          </w:tcPr>
          <w:p w14:paraId="2F4E37A4">
            <w:pPr>
              <w:topLinePunct/>
              <w:adjustRightInd w:val="0"/>
              <w:snapToGrid w:val="0"/>
              <w:spacing w:line="360" w:lineRule="auto"/>
              <w:jc w:val="right"/>
              <w:rPr>
                <w:rFonts w:ascii="Times New Roman" w:hAnsi="Times New Roman"/>
                <w:color w:val="000000"/>
                <w:kern w:val="0"/>
                <w:sz w:val="21"/>
                <w:szCs w:val="21"/>
              </w:rPr>
            </w:pPr>
            <w:r>
              <w:rPr>
                <w:rFonts w:ascii="Times New Roman" w:hAnsi="Times New Roman"/>
                <w:color w:val="000000"/>
                <w:kern w:val="0"/>
                <w:sz w:val="21"/>
                <w:szCs w:val="21"/>
              </w:rPr>
              <w:t>地    址：</w:t>
            </w:r>
          </w:p>
        </w:tc>
        <w:tc>
          <w:tcPr>
            <w:tcW w:w="2994" w:type="dxa"/>
            <w:noWrap w:val="0"/>
            <w:vAlign w:val="center"/>
          </w:tcPr>
          <w:p w14:paraId="744260D1">
            <w:pPr>
              <w:topLinePunct/>
              <w:adjustRightInd w:val="0"/>
              <w:snapToGrid w:val="0"/>
              <w:spacing w:line="360" w:lineRule="auto"/>
              <w:rPr>
                <w:rFonts w:ascii="Times New Roman" w:hAnsi="Times New Roman"/>
                <w:color w:val="000000"/>
                <w:kern w:val="0"/>
                <w:sz w:val="21"/>
                <w:szCs w:val="21"/>
                <w:u w:val="single"/>
              </w:rPr>
            </w:pP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input58 \* MERGEFORMAT </w:instrText>
            </w:r>
            <w:r>
              <w:rPr>
                <w:rFonts w:ascii="Times New Roman" w:hAnsi="Times New Roman"/>
                <w:color w:val="000000"/>
                <w:kern w:val="0"/>
                <w:sz w:val="21"/>
                <w:szCs w:val="21"/>
                <w:u w:val="single"/>
              </w:rPr>
              <w:fldChar w:fldCharType="separate"/>
            </w:r>
            <w:r>
              <w:rPr>
                <w:rFonts w:ascii="Times New Roman" w:hAnsi="Times New Roman"/>
                <w:color w:val="000000"/>
                <w:kern w:val="0"/>
                <w:sz w:val="21"/>
                <w:szCs w:val="21"/>
                <w:u w:val="single"/>
              </w:rPr>
              <w:t>昆明市西山区马街街道办事处春雨路168号华苑路羲辉时代大厦B座21层2114号</w:t>
            </w:r>
            <w:r>
              <w:rPr>
                <w:rFonts w:ascii="Times New Roman" w:hAnsi="Times New Roman"/>
                <w:color w:val="000000"/>
                <w:kern w:val="0"/>
                <w:sz w:val="21"/>
                <w:szCs w:val="21"/>
                <w:u w:val="single"/>
              </w:rPr>
              <w:fldChar w:fldCharType="end"/>
            </w:r>
          </w:p>
        </w:tc>
      </w:tr>
      <w:tr w14:paraId="1B723030">
        <w:tblPrEx>
          <w:tblCellMar>
            <w:top w:w="0" w:type="dxa"/>
            <w:left w:w="108" w:type="dxa"/>
            <w:bottom w:w="0" w:type="dxa"/>
            <w:right w:w="108" w:type="dxa"/>
          </w:tblCellMar>
        </w:tblPrEx>
        <w:trPr>
          <w:cantSplit/>
          <w:trHeight w:val="513" w:hRule="atLeast"/>
          <w:jc w:val="center"/>
        </w:trPr>
        <w:tc>
          <w:tcPr>
            <w:tcW w:w="1952" w:type="dxa"/>
            <w:noWrap w:val="0"/>
            <w:vAlign w:val="center"/>
          </w:tcPr>
          <w:p w14:paraId="230072AF">
            <w:pPr>
              <w:topLinePunct/>
              <w:adjustRightInd w:val="0"/>
              <w:snapToGrid w:val="0"/>
              <w:spacing w:line="360" w:lineRule="auto"/>
              <w:jc w:val="right"/>
              <w:rPr>
                <w:rFonts w:ascii="Times New Roman" w:hAnsi="Times New Roman"/>
                <w:color w:val="000000"/>
                <w:kern w:val="0"/>
                <w:sz w:val="21"/>
                <w:szCs w:val="21"/>
              </w:rPr>
            </w:pPr>
            <w:r>
              <w:rPr>
                <w:rFonts w:ascii="Times New Roman" w:hAnsi="Times New Roman"/>
                <w:color w:val="000000"/>
                <w:kern w:val="0"/>
                <w:sz w:val="21"/>
                <w:szCs w:val="21"/>
              </w:rPr>
              <w:t>邮    编：</w:t>
            </w:r>
          </w:p>
        </w:tc>
        <w:tc>
          <w:tcPr>
            <w:tcW w:w="2460" w:type="dxa"/>
            <w:noWrap w:val="0"/>
            <w:vAlign w:val="center"/>
          </w:tcPr>
          <w:p w14:paraId="166753DB">
            <w:pPr>
              <w:topLinePunct/>
              <w:adjustRightInd w:val="0"/>
              <w:snapToGrid w:val="0"/>
              <w:spacing w:line="360" w:lineRule="auto"/>
              <w:rPr>
                <w:rFonts w:ascii="Times New Roman" w:hAnsi="Times New Roman"/>
                <w:color w:val="000000"/>
                <w:kern w:val="0"/>
                <w:sz w:val="21"/>
                <w:szCs w:val="21"/>
              </w:rPr>
            </w:pP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input63 \* MERGEFORMAT </w:instrText>
            </w:r>
            <w:r>
              <w:rPr>
                <w:rFonts w:ascii="Times New Roman" w:hAnsi="Times New Roman"/>
                <w:color w:val="000000"/>
                <w:kern w:val="0"/>
                <w:sz w:val="21"/>
                <w:szCs w:val="21"/>
                <w:u w:val="single"/>
              </w:rPr>
              <w:fldChar w:fldCharType="separate"/>
            </w:r>
            <w:r>
              <w:rPr>
                <w:rFonts w:ascii="Times New Roman" w:hAnsi="Times New Roman"/>
                <w:color w:val="000000"/>
                <w:kern w:val="0"/>
                <w:sz w:val="21"/>
                <w:szCs w:val="21"/>
                <w:u w:val="single"/>
              </w:rPr>
              <w:t>650</w:t>
            </w:r>
            <w:r>
              <w:rPr>
                <w:rFonts w:hint="eastAsia" w:ascii="Times New Roman" w:hAnsi="Times New Roman"/>
                <w:color w:val="000000"/>
                <w:kern w:val="0"/>
                <w:sz w:val="21"/>
                <w:szCs w:val="21"/>
                <w:u w:val="single"/>
                <w:lang w:val="en-US" w:eastAsia="zh-CN"/>
              </w:rPr>
              <w:t>1</w:t>
            </w:r>
            <w:r>
              <w:rPr>
                <w:rFonts w:ascii="Times New Roman" w:hAnsi="Times New Roman"/>
                <w:color w:val="000000"/>
                <w:kern w:val="0"/>
                <w:sz w:val="21"/>
                <w:szCs w:val="21"/>
                <w:u w:val="single"/>
              </w:rPr>
              <w:t>00</w:t>
            </w:r>
            <w:r>
              <w:rPr>
                <w:rFonts w:ascii="Times New Roman" w:hAnsi="Times New Roman"/>
                <w:color w:val="000000"/>
                <w:kern w:val="0"/>
                <w:sz w:val="21"/>
                <w:szCs w:val="21"/>
                <w:u w:val="single"/>
              </w:rPr>
              <w:fldChar w:fldCharType="end"/>
            </w:r>
          </w:p>
        </w:tc>
        <w:tc>
          <w:tcPr>
            <w:tcW w:w="1880" w:type="dxa"/>
            <w:noWrap w:val="0"/>
            <w:vAlign w:val="center"/>
          </w:tcPr>
          <w:p w14:paraId="09BB446B">
            <w:pPr>
              <w:topLinePunct/>
              <w:adjustRightInd w:val="0"/>
              <w:snapToGrid w:val="0"/>
              <w:spacing w:line="360" w:lineRule="auto"/>
              <w:jc w:val="right"/>
              <w:rPr>
                <w:rFonts w:ascii="Times New Roman" w:hAnsi="Times New Roman"/>
                <w:color w:val="000000"/>
                <w:kern w:val="0"/>
                <w:sz w:val="21"/>
                <w:szCs w:val="21"/>
              </w:rPr>
            </w:pPr>
            <w:r>
              <w:rPr>
                <w:rFonts w:ascii="Times New Roman" w:hAnsi="Times New Roman"/>
                <w:color w:val="000000"/>
                <w:kern w:val="0"/>
                <w:sz w:val="21"/>
                <w:szCs w:val="21"/>
              </w:rPr>
              <w:t>邮    编：</w:t>
            </w:r>
          </w:p>
        </w:tc>
        <w:tc>
          <w:tcPr>
            <w:tcW w:w="2994" w:type="dxa"/>
            <w:noWrap w:val="0"/>
            <w:vAlign w:val="center"/>
          </w:tcPr>
          <w:p w14:paraId="68F024F1">
            <w:pPr>
              <w:topLinePunct/>
              <w:adjustRightInd w:val="0"/>
              <w:snapToGrid w:val="0"/>
              <w:spacing w:line="360" w:lineRule="auto"/>
              <w:rPr>
                <w:rFonts w:ascii="Times New Roman" w:hAnsi="Times New Roman"/>
                <w:color w:val="000000"/>
                <w:kern w:val="0"/>
                <w:sz w:val="21"/>
                <w:szCs w:val="21"/>
              </w:rPr>
            </w:pPr>
            <w:r>
              <w:rPr>
                <w:rFonts w:ascii="Times New Roman" w:hAnsi="Times New Roman"/>
                <w:color w:val="000000"/>
                <w:kern w:val="0"/>
                <w:sz w:val="21"/>
                <w:szCs w:val="21"/>
                <w:u w:val="single"/>
              </w:rPr>
              <w:t>650100</w:t>
            </w:r>
          </w:p>
        </w:tc>
      </w:tr>
      <w:tr w14:paraId="7A4DE87E">
        <w:tblPrEx>
          <w:tblCellMar>
            <w:top w:w="0" w:type="dxa"/>
            <w:left w:w="108" w:type="dxa"/>
            <w:bottom w:w="0" w:type="dxa"/>
            <w:right w:w="108" w:type="dxa"/>
          </w:tblCellMar>
        </w:tblPrEx>
        <w:trPr>
          <w:cantSplit/>
          <w:jc w:val="center"/>
        </w:trPr>
        <w:tc>
          <w:tcPr>
            <w:tcW w:w="1952" w:type="dxa"/>
            <w:noWrap w:val="0"/>
            <w:vAlign w:val="center"/>
          </w:tcPr>
          <w:p w14:paraId="7EC8EE37">
            <w:pPr>
              <w:topLinePunct/>
              <w:adjustRightInd w:val="0"/>
              <w:snapToGrid w:val="0"/>
              <w:spacing w:line="360" w:lineRule="auto"/>
              <w:jc w:val="right"/>
              <w:rPr>
                <w:rFonts w:ascii="Times New Roman" w:hAnsi="Times New Roman"/>
                <w:color w:val="000000"/>
                <w:kern w:val="0"/>
                <w:sz w:val="21"/>
                <w:szCs w:val="21"/>
                <w:highlight w:val="none"/>
              </w:rPr>
            </w:pPr>
            <w:r>
              <w:rPr>
                <w:rFonts w:ascii="Times New Roman" w:hAnsi="Times New Roman"/>
                <w:color w:val="000000"/>
                <w:kern w:val="0"/>
                <w:sz w:val="21"/>
                <w:szCs w:val="21"/>
                <w:highlight w:val="none"/>
              </w:rPr>
              <w:t>联 系 人：</w:t>
            </w:r>
          </w:p>
        </w:tc>
        <w:tc>
          <w:tcPr>
            <w:tcW w:w="2460" w:type="dxa"/>
            <w:noWrap w:val="0"/>
            <w:vAlign w:val="center"/>
          </w:tcPr>
          <w:p w14:paraId="38568638">
            <w:pPr>
              <w:topLinePunct/>
              <w:adjustRightInd w:val="0"/>
              <w:snapToGrid w:val="0"/>
              <w:spacing w:line="360" w:lineRule="auto"/>
              <w:rPr>
                <w:rFonts w:hint="default" w:ascii="Times New Roman" w:hAnsi="Times New Roman" w:eastAsia="宋体"/>
                <w:color w:val="000000"/>
                <w:kern w:val="0"/>
                <w:sz w:val="21"/>
                <w:szCs w:val="21"/>
                <w:lang w:val="en-US" w:eastAsia="zh-CN"/>
              </w:rPr>
            </w:pPr>
            <w:r>
              <w:rPr>
                <w:rFonts w:hint="eastAsia" w:ascii="Times New Roman" w:hAnsi="Times New Roman"/>
                <w:color w:val="000000"/>
                <w:kern w:val="0"/>
                <w:sz w:val="21"/>
                <w:szCs w:val="21"/>
                <w:u w:val="single"/>
                <w:lang w:val="en-US" w:eastAsia="zh-CN"/>
              </w:rPr>
              <w:t>李工</w:t>
            </w:r>
          </w:p>
        </w:tc>
        <w:tc>
          <w:tcPr>
            <w:tcW w:w="1880" w:type="dxa"/>
            <w:noWrap w:val="0"/>
            <w:vAlign w:val="center"/>
          </w:tcPr>
          <w:p w14:paraId="75186810">
            <w:pPr>
              <w:topLinePunct/>
              <w:adjustRightInd w:val="0"/>
              <w:snapToGrid w:val="0"/>
              <w:spacing w:line="360" w:lineRule="auto"/>
              <w:jc w:val="right"/>
              <w:rPr>
                <w:rFonts w:ascii="Times New Roman" w:hAnsi="Times New Roman"/>
                <w:color w:val="000000"/>
                <w:kern w:val="0"/>
                <w:sz w:val="21"/>
                <w:szCs w:val="21"/>
              </w:rPr>
            </w:pPr>
            <w:r>
              <w:rPr>
                <w:rFonts w:ascii="Times New Roman" w:hAnsi="Times New Roman"/>
                <w:color w:val="000000"/>
                <w:kern w:val="0"/>
                <w:sz w:val="21"/>
                <w:szCs w:val="21"/>
              </w:rPr>
              <w:t>联 系 人：</w:t>
            </w:r>
          </w:p>
        </w:tc>
        <w:tc>
          <w:tcPr>
            <w:tcW w:w="2994" w:type="dxa"/>
            <w:noWrap w:val="0"/>
            <w:vAlign w:val="center"/>
          </w:tcPr>
          <w:p w14:paraId="5E98570C">
            <w:pPr>
              <w:topLinePunct/>
              <w:adjustRightInd w:val="0"/>
              <w:snapToGrid w:val="0"/>
              <w:spacing w:line="360" w:lineRule="auto"/>
              <w:rPr>
                <w:rFonts w:ascii="Times New Roman" w:hAnsi="Times New Roman"/>
                <w:color w:val="000000"/>
                <w:kern w:val="0"/>
                <w:sz w:val="21"/>
                <w:szCs w:val="21"/>
                <w:u w:val="single"/>
              </w:rPr>
            </w:pP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input62 \* MERGEFORMAT </w:instrText>
            </w:r>
            <w:r>
              <w:rPr>
                <w:rFonts w:ascii="Times New Roman" w:hAnsi="Times New Roman"/>
                <w:color w:val="000000"/>
                <w:kern w:val="0"/>
                <w:sz w:val="21"/>
                <w:szCs w:val="21"/>
                <w:u w:val="single"/>
              </w:rPr>
              <w:fldChar w:fldCharType="separate"/>
            </w:r>
            <w:r>
              <w:rPr>
                <w:rFonts w:ascii="Times New Roman" w:hAnsi="Times New Roman"/>
                <w:color w:val="000000"/>
                <w:kern w:val="0"/>
                <w:sz w:val="21"/>
                <w:szCs w:val="21"/>
                <w:u w:val="single"/>
              </w:rPr>
              <w:t>陈艳</w:t>
            </w:r>
            <w:r>
              <w:rPr>
                <w:rFonts w:ascii="Times New Roman" w:hAnsi="Times New Roman"/>
                <w:color w:val="000000"/>
                <w:kern w:val="0"/>
                <w:sz w:val="21"/>
                <w:szCs w:val="21"/>
                <w:u w:val="single"/>
              </w:rPr>
              <w:fldChar w:fldCharType="end"/>
            </w:r>
          </w:p>
        </w:tc>
      </w:tr>
      <w:tr w14:paraId="3F8BE4DD">
        <w:tblPrEx>
          <w:tblCellMar>
            <w:top w:w="0" w:type="dxa"/>
            <w:left w:w="108" w:type="dxa"/>
            <w:bottom w:w="0" w:type="dxa"/>
            <w:right w:w="108" w:type="dxa"/>
          </w:tblCellMar>
        </w:tblPrEx>
        <w:trPr>
          <w:cantSplit/>
          <w:jc w:val="center"/>
        </w:trPr>
        <w:tc>
          <w:tcPr>
            <w:tcW w:w="1952" w:type="dxa"/>
            <w:noWrap w:val="0"/>
            <w:vAlign w:val="center"/>
          </w:tcPr>
          <w:p w14:paraId="6DECA671">
            <w:pPr>
              <w:topLinePunct/>
              <w:adjustRightInd w:val="0"/>
              <w:snapToGrid w:val="0"/>
              <w:spacing w:line="360" w:lineRule="auto"/>
              <w:jc w:val="right"/>
              <w:rPr>
                <w:rFonts w:ascii="Times New Roman" w:hAnsi="Times New Roman"/>
                <w:color w:val="000000"/>
                <w:kern w:val="0"/>
                <w:sz w:val="21"/>
                <w:szCs w:val="21"/>
                <w:highlight w:val="none"/>
              </w:rPr>
            </w:pPr>
            <w:r>
              <w:rPr>
                <w:rFonts w:ascii="Times New Roman" w:hAnsi="Times New Roman"/>
                <w:color w:val="000000"/>
                <w:kern w:val="0"/>
                <w:sz w:val="21"/>
                <w:szCs w:val="21"/>
                <w:highlight w:val="none"/>
              </w:rPr>
              <w:t>电    话：</w:t>
            </w:r>
          </w:p>
        </w:tc>
        <w:tc>
          <w:tcPr>
            <w:tcW w:w="2460" w:type="dxa"/>
            <w:noWrap w:val="0"/>
            <w:vAlign w:val="center"/>
          </w:tcPr>
          <w:p w14:paraId="59A83EF2">
            <w:pPr>
              <w:topLinePunct/>
              <w:adjustRightInd w:val="0"/>
              <w:snapToGrid w:val="0"/>
              <w:spacing w:line="360" w:lineRule="auto"/>
              <w:rPr>
                <w:rFonts w:hint="default" w:ascii="Times New Roman" w:hAnsi="Times New Roman" w:eastAsia="宋体"/>
                <w:color w:val="000000"/>
                <w:kern w:val="0"/>
                <w:sz w:val="21"/>
                <w:szCs w:val="21"/>
                <w:lang w:val="en-US" w:eastAsia="zh-CN"/>
              </w:rPr>
            </w:pPr>
            <w:r>
              <w:rPr>
                <w:rFonts w:hint="eastAsia" w:ascii="Times New Roman" w:hAnsi="Times New Roman"/>
                <w:color w:val="000000"/>
                <w:kern w:val="0"/>
                <w:sz w:val="21"/>
                <w:szCs w:val="21"/>
                <w:u w:val="single"/>
                <w:lang w:val="en-US" w:eastAsia="zh-CN"/>
              </w:rPr>
              <w:t>0871-68330871</w:t>
            </w:r>
          </w:p>
        </w:tc>
        <w:tc>
          <w:tcPr>
            <w:tcW w:w="1880" w:type="dxa"/>
            <w:noWrap w:val="0"/>
            <w:vAlign w:val="center"/>
          </w:tcPr>
          <w:p w14:paraId="03970954">
            <w:pPr>
              <w:topLinePunct/>
              <w:adjustRightInd w:val="0"/>
              <w:snapToGrid w:val="0"/>
              <w:spacing w:line="360" w:lineRule="auto"/>
              <w:jc w:val="right"/>
              <w:rPr>
                <w:rFonts w:ascii="Times New Roman" w:hAnsi="Times New Roman"/>
                <w:color w:val="000000"/>
                <w:kern w:val="0"/>
                <w:sz w:val="21"/>
                <w:szCs w:val="21"/>
              </w:rPr>
            </w:pPr>
            <w:r>
              <w:rPr>
                <w:rFonts w:ascii="Times New Roman" w:hAnsi="Times New Roman"/>
                <w:color w:val="000000"/>
                <w:kern w:val="0"/>
                <w:sz w:val="21"/>
                <w:szCs w:val="21"/>
              </w:rPr>
              <w:t>电    话：</w:t>
            </w:r>
          </w:p>
        </w:tc>
        <w:tc>
          <w:tcPr>
            <w:tcW w:w="2994" w:type="dxa"/>
            <w:noWrap w:val="0"/>
            <w:vAlign w:val="center"/>
          </w:tcPr>
          <w:p w14:paraId="50C810CA">
            <w:pPr>
              <w:topLinePunct/>
              <w:adjustRightInd w:val="0"/>
              <w:snapToGrid w:val="0"/>
              <w:spacing w:line="360" w:lineRule="auto"/>
              <w:rPr>
                <w:rFonts w:ascii="Times New Roman" w:hAnsi="Times New Roman"/>
                <w:color w:val="000000"/>
                <w:kern w:val="0"/>
                <w:sz w:val="21"/>
                <w:szCs w:val="21"/>
                <w:u w:val="single"/>
              </w:rPr>
            </w:pP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input64 \* MERGEFORMAT </w:instrText>
            </w:r>
            <w:r>
              <w:rPr>
                <w:rFonts w:ascii="Times New Roman" w:hAnsi="Times New Roman"/>
                <w:color w:val="000000"/>
                <w:kern w:val="0"/>
                <w:sz w:val="21"/>
                <w:szCs w:val="21"/>
                <w:u w:val="single"/>
              </w:rPr>
              <w:fldChar w:fldCharType="separate"/>
            </w:r>
            <w:r>
              <w:rPr>
                <w:rFonts w:ascii="Times New Roman" w:hAnsi="Times New Roman"/>
                <w:color w:val="000000"/>
                <w:kern w:val="0"/>
                <w:sz w:val="21"/>
                <w:szCs w:val="21"/>
                <w:u w:val="single"/>
              </w:rPr>
              <w:t>13577157980</w:t>
            </w:r>
            <w:r>
              <w:rPr>
                <w:rFonts w:ascii="Times New Roman" w:hAnsi="Times New Roman"/>
                <w:color w:val="000000"/>
                <w:kern w:val="0"/>
                <w:sz w:val="21"/>
                <w:szCs w:val="21"/>
                <w:u w:val="single"/>
              </w:rPr>
              <w:fldChar w:fldCharType="end"/>
            </w:r>
          </w:p>
        </w:tc>
      </w:tr>
      <w:tr w14:paraId="03C7E854">
        <w:tblPrEx>
          <w:tblCellMar>
            <w:top w:w="0" w:type="dxa"/>
            <w:left w:w="108" w:type="dxa"/>
            <w:bottom w:w="0" w:type="dxa"/>
            <w:right w:w="108" w:type="dxa"/>
          </w:tblCellMar>
        </w:tblPrEx>
        <w:trPr>
          <w:cantSplit/>
          <w:jc w:val="center"/>
        </w:trPr>
        <w:tc>
          <w:tcPr>
            <w:tcW w:w="1952" w:type="dxa"/>
            <w:noWrap w:val="0"/>
            <w:vAlign w:val="center"/>
          </w:tcPr>
          <w:p w14:paraId="6F478E64">
            <w:pPr>
              <w:topLinePunct/>
              <w:adjustRightInd w:val="0"/>
              <w:snapToGrid w:val="0"/>
              <w:spacing w:line="360" w:lineRule="auto"/>
              <w:jc w:val="right"/>
              <w:rPr>
                <w:rFonts w:ascii="Times New Roman" w:hAnsi="Times New Roman"/>
                <w:color w:val="000000"/>
                <w:kern w:val="0"/>
                <w:sz w:val="21"/>
                <w:szCs w:val="21"/>
                <w:highlight w:val="none"/>
              </w:rPr>
            </w:pPr>
            <w:r>
              <w:rPr>
                <w:rFonts w:ascii="Times New Roman" w:hAnsi="Times New Roman"/>
                <w:color w:val="000000"/>
                <w:kern w:val="0"/>
                <w:sz w:val="21"/>
                <w:szCs w:val="21"/>
                <w:highlight w:val="none"/>
              </w:rPr>
              <w:t>传    真：</w:t>
            </w:r>
          </w:p>
        </w:tc>
        <w:tc>
          <w:tcPr>
            <w:tcW w:w="2460" w:type="dxa"/>
            <w:noWrap w:val="0"/>
            <w:vAlign w:val="center"/>
          </w:tcPr>
          <w:p w14:paraId="002B46E6">
            <w:pPr>
              <w:topLinePunct/>
              <w:adjustRightInd w:val="0"/>
              <w:snapToGrid w:val="0"/>
              <w:spacing w:line="360" w:lineRule="auto"/>
              <w:rPr>
                <w:rFonts w:ascii="Times New Roman" w:hAnsi="Times New Roman"/>
                <w:color w:val="000000"/>
                <w:kern w:val="0"/>
                <w:sz w:val="21"/>
                <w:szCs w:val="21"/>
              </w:rPr>
            </w:pPr>
            <w:r>
              <w:rPr>
                <w:rFonts w:hint="eastAsia" w:ascii="Times New Roman" w:hAnsi="Times New Roman"/>
                <w:color w:val="000000"/>
                <w:kern w:val="0"/>
                <w:sz w:val="21"/>
                <w:szCs w:val="21"/>
                <w:u w:val="single"/>
                <w:lang w:val="en-US" w:eastAsia="zh-CN"/>
              </w:rPr>
              <w:t>/</w:t>
            </w: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input69 \* MERGEFORMAT </w:instrText>
            </w:r>
            <w:r>
              <w:rPr>
                <w:rFonts w:ascii="Times New Roman" w:hAnsi="Times New Roman"/>
                <w:color w:val="000000"/>
                <w:kern w:val="0"/>
                <w:sz w:val="21"/>
                <w:szCs w:val="21"/>
                <w:u w:val="single"/>
              </w:rPr>
              <w:fldChar w:fldCharType="end"/>
            </w:r>
          </w:p>
        </w:tc>
        <w:tc>
          <w:tcPr>
            <w:tcW w:w="1880" w:type="dxa"/>
            <w:noWrap w:val="0"/>
            <w:vAlign w:val="center"/>
          </w:tcPr>
          <w:p w14:paraId="59288F1B">
            <w:pPr>
              <w:topLinePunct/>
              <w:adjustRightInd w:val="0"/>
              <w:snapToGrid w:val="0"/>
              <w:spacing w:line="360" w:lineRule="auto"/>
              <w:jc w:val="right"/>
              <w:rPr>
                <w:rFonts w:ascii="Times New Roman" w:hAnsi="Times New Roman"/>
                <w:color w:val="000000"/>
                <w:kern w:val="0"/>
                <w:sz w:val="21"/>
                <w:szCs w:val="21"/>
              </w:rPr>
            </w:pPr>
            <w:r>
              <w:rPr>
                <w:rFonts w:ascii="Times New Roman" w:hAnsi="Times New Roman"/>
                <w:color w:val="000000"/>
                <w:kern w:val="0"/>
                <w:sz w:val="21"/>
                <w:szCs w:val="21"/>
              </w:rPr>
              <w:t>传    真：</w:t>
            </w:r>
          </w:p>
        </w:tc>
        <w:tc>
          <w:tcPr>
            <w:tcW w:w="2994" w:type="dxa"/>
            <w:noWrap w:val="0"/>
            <w:vAlign w:val="center"/>
          </w:tcPr>
          <w:p w14:paraId="2471A0FB">
            <w:pPr>
              <w:topLinePunct/>
              <w:adjustRightInd w:val="0"/>
              <w:snapToGrid w:val="0"/>
              <w:spacing w:line="360" w:lineRule="auto"/>
              <w:rPr>
                <w:rFonts w:ascii="Times New Roman" w:hAnsi="Times New Roman"/>
                <w:color w:val="000000"/>
                <w:kern w:val="0"/>
                <w:sz w:val="21"/>
                <w:szCs w:val="21"/>
              </w:rPr>
            </w:pPr>
            <w:r>
              <w:rPr>
                <w:rFonts w:hint="eastAsia" w:ascii="Times New Roman" w:hAnsi="Times New Roman"/>
                <w:color w:val="000000"/>
                <w:kern w:val="0"/>
                <w:sz w:val="21"/>
                <w:szCs w:val="21"/>
                <w:u w:val="single"/>
                <w:lang w:val="en-US" w:eastAsia="zh-CN"/>
              </w:rPr>
              <w:t>/</w:t>
            </w: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input70 \* MERGEFORMAT </w:instrText>
            </w:r>
            <w:r>
              <w:rPr>
                <w:rFonts w:ascii="Times New Roman" w:hAnsi="Times New Roman"/>
                <w:color w:val="000000"/>
                <w:kern w:val="0"/>
                <w:sz w:val="21"/>
                <w:szCs w:val="21"/>
                <w:u w:val="single"/>
              </w:rPr>
              <w:fldChar w:fldCharType="end"/>
            </w:r>
          </w:p>
        </w:tc>
      </w:tr>
      <w:tr w14:paraId="741246E4">
        <w:tblPrEx>
          <w:tblCellMar>
            <w:top w:w="0" w:type="dxa"/>
            <w:left w:w="108" w:type="dxa"/>
            <w:bottom w:w="0" w:type="dxa"/>
            <w:right w:w="108" w:type="dxa"/>
          </w:tblCellMar>
        </w:tblPrEx>
        <w:trPr>
          <w:cantSplit/>
          <w:jc w:val="center"/>
        </w:trPr>
        <w:tc>
          <w:tcPr>
            <w:tcW w:w="1952" w:type="dxa"/>
            <w:noWrap w:val="0"/>
            <w:vAlign w:val="center"/>
          </w:tcPr>
          <w:p w14:paraId="0A7FB1A3">
            <w:pPr>
              <w:topLinePunct/>
              <w:adjustRightInd w:val="0"/>
              <w:snapToGrid w:val="0"/>
              <w:spacing w:line="360" w:lineRule="auto"/>
              <w:jc w:val="right"/>
              <w:rPr>
                <w:rFonts w:ascii="Times New Roman" w:hAnsi="Times New Roman"/>
                <w:color w:val="000000"/>
                <w:kern w:val="0"/>
                <w:sz w:val="21"/>
                <w:szCs w:val="21"/>
              </w:rPr>
            </w:pPr>
            <w:r>
              <w:rPr>
                <w:rFonts w:ascii="Times New Roman" w:hAnsi="Times New Roman"/>
                <w:color w:val="000000"/>
                <w:kern w:val="0"/>
                <w:sz w:val="21"/>
                <w:szCs w:val="21"/>
              </w:rPr>
              <w:t>电子邮件：</w:t>
            </w:r>
          </w:p>
        </w:tc>
        <w:tc>
          <w:tcPr>
            <w:tcW w:w="2460" w:type="dxa"/>
            <w:noWrap w:val="0"/>
            <w:vAlign w:val="center"/>
          </w:tcPr>
          <w:p w14:paraId="55A49EC4">
            <w:pPr>
              <w:topLinePunct/>
              <w:adjustRightInd w:val="0"/>
              <w:snapToGrid w:val="0"/>
              <w:spacing w:line="360" w:lineRule="auto"/>
              <w:rPr>
                <w:rFonts w:ascii="Times New Roman" w:hAnsi="Times New Roman"/>
                <w:color w:val="000000"/>
                <w:kern w:val="0"/>
                <w:sz w:val="21"/>
                <w:szCs w:val="21"/>
              </w:rPr>
            </w:pPr>
            <w:r>
              <w:rPr>
                <w:rFonts w:hint="eastAsia" w:ascii="Times New Roman" w:hAnsi="Times New Roman"/>
                <w:color w:val="000000"/>
                <w:kern w:val="0"/>
                <w:sz w:val="21"/>
                <w:szCs w:val="21"/>
                <w:u w:val="single"/>
                <w:lang w:val="en-US" w:eastAsia="zh-CN"/>
              </w:rPr>
              <w:t>/</w:t>
            </w: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input71 \* MERGEFORMAT </w:instrText>
            </w:r>
            <w:r>
              <w:rPr>
                <w:rFonts w:ascii="Times New Roman" w:hAnsi="Times New Roman"/>
                <w:color w:val="000000"/>
                <w:kern w:val="0"/>
                <w:sz w:val="21"/>
                <w:szCs w:val="21"/>
                <w:u w:val="single"/>
              </w:rPr>
              <w:fldChar w:fldCharType="end"/>
            </w:r>
          </w:p>
        </w:tc>
        <w:tc>
          <w:tcPr>
            <w:tcW w:w="1880" w:type="dxa"/>
            <w:noWrap w:val="0"/>
            <w:vAlign w:val="center"/>
          </w:tcPr>
          <w:p w14:paraId="0A14821B">
            <w:pPr>
              <w:topLinePunct/>
              <w:adjustRightInd w:val="0"/>
              <w:snapToGrid w:val="0"/>
              <w:spacing w:line="360" w:lineRule="auto"/>
              <w:jc w:val="right"/>
              <w:rPr>
                <w:rFonts w:ascii="Times New Roman" w:hAnsi="Times New Roman"/>
                <w:color w:val="000000"/>
                <w:kern w:val="0"/>
                <w:sz w:val="21"/>
                <w:szCs w:val="21"/>
              </w:rPr>
            </w:pPr>
            <w:r>
              <w:rPr>
                <w:rFonts w:ascii="Times New Roman" w:hAnsi="Times New Roman"/>
                <w:color w:val="000000"/>
                <w:kern w:val="0"/>
                <w:sz w:val="21"/>
                <w:szCs w:val="21"/>
              </w:rPr>
              <w:t>电子邮件：</w:t>
            </w:r>
          </w:p>
        </w:tc>
        <w:tc>
          <w:tcPr>
            <w:tcW w:w="2994" w:type="dxa"/>
            <w:noWrap w:val="0"/>
            <w:vAlign w:val="center"/>
          </w:tcPr>
          <w:p w14:paraId="5EB0010A">
            <w:pPr>
              <w:topLinePunct/>
              <w:adjustRightInd w:val="0"/>
              <w:snapToGrid w:val="0"/>
              <w:spacing w:line="360" w:lineRule="auto"/>
              <w:rPr>
                <w:rFonts w:ascii="Times New Roman" w:hAnsi="Times New Roman"/>
                <w:color w:val="000000"/>
                <w:kern w:val="0"/>
                <w:sz w:val="21"/>
                <w:szCs w:val="21"/>
              </w:rPr>
            </w:pPr>
            <w:r>
              <w:rPr>
                <w:rFonts w:hint="eastAsia" w:ascii="Times New Roman" w:hAnsi="Times New Roman"/>
                <w:color w:val="000000"/>
                <w:kern w:val="0"/>
                <w:sz w:val="21"/>
                <w:szCs w:val="21"/>
                <w:u w:val="single"/>
                <w:lang w:val="en-US" w:eastAsia="zh-CN"/>
              </w:rPr>
              <w:t>/</w:t>
            </w: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input72 \* MERGEFORMAT </w:instrText>
            </w:r>
            <w:r>
              <w:rPr>
                <w:rFonts w:ascii="Times New Roman" w:hAnsi="Times New Roman"/>
                <w:color w:val="000000"/>
                <w:kern w:val="0"/>
                <w:sz w:val="21"/>
                <w:szCs w:val="21"/>
                <w:u w:val="single"/>
              </w:rPr>
              <w:fldChar w:fldCharType="end"/>
            </w:r>
          </w:p>
        </w:tc>
      </w:tr>
      <w:tr w14:paraId="4BB5560B">
        <w:tblPrEx>
          <w:tblCellMar>
            <w:top w:w="0" w:type="dxa"/>
            <w:left w:w="108" w:type="dxa"/>
            <w:bottom w:w="0" w:type="dxa"/>
            <w:right w:w="108" w:type="dxa"/>
          </w:tblCellMar>
        </w:tblPrEx>
        <w:trPr>
          <w:cantSplit/>
          <w:jc w:val="center"/>
        </w:trPr>
        <w:tc>
          <w:tcPr>
            <w:tcW w:w="1952" w:type="dxa"/>
            <w:noWrap w:val="0"/>
            <w:vAlign w:val="center"/>
          </w:tcPr>
          <w:p w14:paraId="4C82DB59">
            <w:pPr>
              <w:topLinePunct/>
              <w:adjustRightInd w:val="0"/>
              <w:snapToGrid w:val="0"/>
              <w:spacing w:line="360" w:lineRule="auto"/>
              <w:jc w:val="right"/>
              <w:rPr>
                <w:rFonts w:ascii="Times New Roman" w:hAnsi="Times New Roman"/>
                <w:color w:val="000000"/>
                <w:kern w:val="0"/>
                <w:sz w:val="21"/>
                <w:szCs w:val="21"/>
              </w:rPr>
            </w:pPr>
            <w:r>
              <w:rPr>
                <w:rFonts w:ascii="Times New Roman" w:hAnsi="Times New Roman"/>
                <w:color w:val="000000"/>
                <w:kern w:val="0"/>
                <w:sz w:val="21"/>
                <w:szCs w:val="21"/>
              </w:rPr>
              <w:t>网    址：</w:t>
            </w:r>
          </w:p>
        </w:tc>
        <w:tc>
          <w:tcPr>
            <w:tcW w:w="2460" w:type="dxa"/>
            <w:noWrap w:val="0"/>
            <w:vAlign w:val="center"/>
          </w:tcPr>
          <w:p w14:paraId="5B93F77F">
            <w:pPr>
              <w:topLinePunct/>
              <w:adjustRightInd w:val="0"/>
              <w:snapToGrid w:val="0"/>
              <w:spacing w:line="360" w:lineRule="auto"/>
              <w:rPr>
                <w:rFonts w:ascii="Times New Roman" w:hAnsi="Times New Roman"/>
                <w:color w:val="000000"/>
                <w:kern w:val="0"/>
                <w:sz w:val="21"/>
                <w:szCs w:val="21"/>
              </w:rPr>
            </w:pPr>
            <w:r>
              <w:rPr>
                <w:rFonts w:hint="eastAsia" w:ascii="Times New Roman" w:hAnsi="Times New Roman"/>
                <w:color w:val="000000"/>
                <w:kern w:val="0"/>
                <w:sz w:val="21"/>
                <w:szCs w:val="21"/>
                <w:u w:val="single"/>
                <w:lang w:val="en-US" w:eastAsia="zh-CN"/>
              </w:rPr>
              <w:t>/</w:t>
            </w: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input73 \* MERGEFORMAT </w:instrText>
            </w:r>
            <w:r>
              <w:rPr>
                <w:rFonts w:ascii="Times New Roman" w:hAnsi="Times New Roman"/>
                <w:color w:val="000000"/>
                <w:kern w:val="0"/>
                <w:sz w:val="21"/>
                <w:szCs w:val="21"/>
                <w:u w:val="single"/>
              </w:rPr>
              <w:fldChar w:fldCharType="end"/>
            </w:r>
          </w:p>
        </w:tc>
        <w:tc>
          <w:tcPr>
            <w:tcW w:w="1880" w:type="dxa"/>
            <w:noWrap w:val="0"/>
            <w:vAlign w:val="center"/>
          </w:tcPr>
          <w:p w14:paraId="01029132">
            <w:pPr>
              <w:topLinePunct/>
              <w:adjustRightInd w:val="0"/>
              <w:snapToGrid w:val="0"/>
              <w:spacing w:line="360" w:lineRule="auto"/>
              <w:jc w:val="right"/>
              <w:rPr>
                <w:rFonts w:ascii="Times New Roman" w:hAnsi="Times New Roman"/>
                <w:color w:val="000000"/>
                <w:kern w:val="0"/>
                <w:sz w:val="21"/>
                <w:szCs w:val="21"/>
              </w:rPr>
            </w:pPr>
            <w:r>
              <w:rPr>
                <w:rFonts w:ascii="Times New Roman" w:hAnsi="Times New Roman"/>
                <w:color w:val="000000"/>
                <w:kern w:val="0"/>
                <w:sz w:val="21"/>
                <w:szCs w:val="21"/>
              </w:rPr>
              <w:t>网    址：</w:t>
            </w:r>
          </w:p>
        </w:tc>
        <w:tc>
          <w:tcPr>
            <w:tcW w:w="2994" w:type="dxa"/>
            <w:noWrap w:val="0"/>
            <w:vAlign w:val="center"/>
          </w:tcPr>
          <w:p w14:paraId="377CC53E">
            <w:pPr>
              <w:topLinePunct/>
              <w:adjustRightInd w:val="0"/>
              <w:snapToGrid w:val="0"/>
              <w:spacing w:line="360" w:lineRule="auto"/>
              <w:rPr>
                <w:rFonts w:ascii="Times New Roman" w:hAnsi="Times New Roman"/>
                <w:color w:val="000000"/>
                <w:kern w:val="0"/>
                <w:sz w:val="21"/>
                <w:szCs w:val="21"/>
              </w:rPr>
            </w:pPr>
            <w:r>
              <w:rPr>
                <w:rFonts w:hint="eastAsia" w:ascii="Times New Roman" w:hAnsi="Times New Roman"/>
                <w:color w:val="000000"/>
                <w:kern w:val="0"/>
                <w:sz w:val="21"/>
                <w:szCs w:val="21"/>
                <w:u w:val="single"/>
                <w:lang w:val="en-US" w:eastAsia="zh-CN"/>
              </w:rPr>
              <w:t>/</w:t>
            </w: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input74 \* MERGEFORMAT </w:instrText>
            </w:r>
            <w:r>
              <w:rPr>
                <w:rFonts w:ascii="Times New Roman" w:hAnsi="Times New Roman"/>
                <w:color w:val="000000"/>
                <w:kern w:val="0"/>
                <w:sz w:val="21"/>
                <w:szCs w:val="21"/>
                <w:u w:val="single"/>
              </w:rPr>
              <w:fldChar w:fldCharType="end"/>
            </w:r>
          </w:p>
        </w:tc>
      </w:tr>
      <w:tr w14:paraId="60E3DB60">
        <w:tblPrEx>
          <w:tblCellMar>
            <w:top w:w="0" w:type="dxa"/>
            <w:left w:w="108" w:type="dxa"/>
            <w:bottom w:w="0" w:type="dxa"/>
            <w:right w:w="108" w:type="dxa"/>
          </w:tblCellMar>
        </w:tblPrEx>
        <w:trPr>
          <w:cantSplit/>
          <w:jc w:val="center"/>
        </w:trPr>
        <w:tc>
          <w:tcPr>
            <w:tcW w:w="1952" w:type="dxa"/>
            <w:noWrap w:val="0"/>
            <w:vAlign w:val="center"/>
          </w:tcPr>
          <w:p w14:paraId="3DB930D8">
            <w:pPr>
              <w:topLinePunct/>
              <w:adjustRightInd w:val="0"/>
              <w:snapToGrid w:val="0"/>
              <w:spacing w:line="360" w:lineRule="auto"/>
              <w:jc w:val="right"/>
              <w:rPr>
                <w:rFonts w:ascii="Times New Roman" w:hAnsi="Times New Roman"/>
                <w:color w:val="000000"/>
                <w:kern w:val="0"/>
                <w:sz w:val="21"/>
                <w:szCs w:val="21"/>
              </w:rPr>
            </w:pPr>
            <w:r>
              <w:rPr>
                <w:rFonts w:hint="eastAsia" w:ascii="Times New Roman" w:hAnsi="Times New Roman"/>
                <w:color w:val="000000"/>
                <w:kern w:val="0"/>
                <w:sz w:val="21"/>
                <w:szCs w:val="21"/>
              </w:rPr>
              <w:t>行政监督单位：</w:t>
            </w:r>
          </w:p>
        </w:tc>
        <w:tc>
          <w:tcPr>
            <w:tcW w:w="7334" w:type="dxa"/>
            <w:gridSpan w:val="3"/>
            <w:noWrap w:val="0"/>
            <w:vAlign w:val="center"/>
          </w:tcPr>
          <w:p w14:paraId="7D559172">
            <w:pPr>
              <w:topLinePunct/>
              <w:adjustRightInd w:val="0"/>
              <w:snapToGrid w:val="0"/>
              <w:spacing w:line="360" w:lineRule="auto"/>
              <w:rPr>
                <w:rFonts w:ascii="Times New Roman" w:hAnsi="Times New Roman"/>
                <w:color w:val="000000"/>
                <w:kern w:val="0"/>
                <w:sz w:val="21"/>
                <w:szCs w:val="21"/>
                <w:u w:val="single"/>
              </w:rPr>
            </w:pPr>
            <w:r>
              <w:rPr>
                <w:rFonts w:ascii="Times New Roman" w:hAnsi="Times New Roman"/>
                <w:color w:val="000000"/>
                <w:kern w:val="0"/>
                <w:sz w:val="21"/>
                <w:szCs w:val="21"/>
                <w:u w:val="single"/>
              </w:rPr>
              <w:fldChar w:fldCharType="begin"/>
            </w:r>
            <w:r>
              <w:rPr>
                <w:rFonts w:ascii="Times New Roman" w:hAnsi="Times New Roman"/>
                <w:color w:val="000000"/>
                <w:kern w:val="0"/>
                <w:sz w:val="21"/>
                <w:szCs w:val="21"/>
                <w:u w:val="single"/>
              </w:rPr>
              <w:instrText xml:space="preserve"> AUTOTEXT  input260 \* MERGEFORMAT </w:instrText>
            </w:r>
            <w:r>
              <w:rPr>
                <w:rFonts w:ascii="Times New Roman" w:hAnsi="Times New Roman"/>
                <w:color w:val="000000"/>
                <w:kern w:val="0"/>
                <w:sz w:val="21"/>
                <w:szCs w:val="21"/>
                <w:u w:val="single"/>
              </w:rPr>
              <w:fldChar w:fldCharType="separate"/>
            </w:r>
            <w:r>
              <w:rPr>
                <w:rFonts w:ascii="Times New Roman" w:hAnsi="Times New Roman"/>
                <w:color w:val="000000"/>
                <w:kern w:val="0"/>
                <w:sz w:val="21"/>
                <w:szCs w:val="21"/>
                <w:u w:val="single"/>
              </w:rPr>
              <w:t>昆明市西山区政务服务管理局</w:t>
            </w:r>
            <w:r>
              <w:rPr>
                <w:rFonts w:ascii="Times New Roman" w:hAnsi="Times New Roman"/>
                <w:color w:val="000000"/>
                <w:kern w:val="0"/>
                <w:sz w:val="21"/>
                <w:szCs w:val="21"/>
                <w:u w:val="single"/>
              </w:rPr>
              <w:fldChar w:fldCharType="end"/>
            </w:r>
          </w:p>
        </w:tc>
      </w:tr>
      <w:tr w14:paraId="106E90F3">
        <w:tblPrEx>
          <w:tblCellMar>
            <w:top w:w="0" w:type="dxa"/>
            <w:left w:w="108" w:type="dxa"/>
            <w:bottom w:w="0" w:type="dxa"/>
            <w:right w:w="108" w:type="dxa"/>
          </w:tblCellMar>
        </w:tblPrEx>
        <w:trPr>
          <w:cantSplit/>
          <w:jc w:val="center"/>
        </w:trPr>
        <w:tc>
          <w:tcPr>
            <w:tcW w:w="1952" w:type="dxa"/>
            <w:noWrap w:val="0"/>
            <w:vAlign w:val="center"/>
          </w:tcPr>
          <w:p w14:paraId="65678747">
            <w:pPr>
              <w:topLinePunct/>
              <w:adjustRightInd w:val="0"/>
              <w:snapToGrid w:val="0"/>
              <w:spacing w:line="360" w:lineRule="auto"/>
              <w:jc w:val="right"/>
              <w:rPr>
                <w:rFonts w:hint="eastAsia" w:ascii="Times New Roman" w:hAnsi="Times New Roman" w:eastAsia="宋体" w:cs="Times New Roman"/>
                <w:color w:val="000000"/>
                <w:kern w:val="0"/>
                <w:sz w:val="21"/>
                <w:szCs w:val="21"/>
                <w:u w:val="single"/>
                <w:lang w:val="en-US" w:eastAsia="zh-CN"/>
              </w:rPr>
            </w:pPr>
            <w:r>
              <w:rPr>
                <w:rFonts w:hint="eastAsia" w:ascii="Times New Roman" w:hAnsi="Times New Roman" w:eastAsia="宋体" w:cs="Times New Roman"/>
                <w:color w:val="000000"/>
                <w:kern w:val="0"/>
                <w:sz w:val="21"/>
                <w:szCs w:val="21"/>
                <w:u w:val="none"/>
              </w:rPr>
              <w:t>监 督 电 话：</w:t>
            </w:r>
          </w:p>
        </w:tc>
        <w:tc>
          <w:tcPr>
            <w:tcW w:w="7334" w:type="dxa"/>
            <w:gridSpan w:val="3"/>
            <w:noWrap w:val="0"/>
            <w:vAlign w:val="center"/>
          </w:tcPr>
          <w:p w14:paraId="2398CB56">
            <w:pPr>
              <w:topLinePunct/>
              <w:adjustRightInd w:val="0"/>
              <w:snapToGrid w:val="0"/>
              <w:spacing w:line="360" w:lineRule="auto"/>
              <w:jc w:val="both"/>
              <w:rPr>
                <w:rFonts w:hint="eastAsia" w:ascii="Times New Roman" w:hAnsi="Times New Roman" w:eastAsia="宋体" w:cs="Times New Roman"/>
                <w:color w:val="000000"/>
                <w:kern w:val="0"/>
                <w:sz w:val="21"/>
                <w:szCs w:val="21"/>
                <w:u w:val="single"/>
                <w:lang w:val="en-US" w:eastAsia="zh-CN"/>
              </w:rPr>
            </w:pPr>
            <w:r>
              <w:rPr>
                <w:rFonts w:hint="eastAsia" w:ascii="Times New Roman" w:hAnsi="Times New Roman" w:eastAsia="宋体" w:cs="Times New Roman"/>
                <w:color w:val="000000"/>
                <w:kern w:val="0"/>
                <w:sz w:val="21"/>
                <w:szCs w:val="21"/>
                <w:u w:val="single"/>
              </w:rPr>
              <w:fldChar w:fldCharType="begin"/>
            </w:r>
            <w:r>
              <w:rPr>
                <w:rFonts w:hint="eastAsia" w:ascii="Times New Roman" w:hAnsi="Times New Roman" w:eastAsia="宋体" w:cs="Times New Roman"/>
                <w:color w:val="000000"/>
                <w:kern w:val="0"/>
                <w:sz w:val="21"/>
                <w:szCs w:val="21"/>
                <w:u w:val="single"/>
              </w:rPr>
              <w:instrText xml:space="preserve"> AUTOTEXT  input261 \* MERGEFORMAT </w:instrText>
            </w:r>
            <w:r>
              <w:rPr>
                <w:rFonts w:hint="eastAsia" w:ascii="Times New Roman" w:hAnsi="Times New Roman" w:eastAsia="宋体" w:cs="Times New Roman"/>
                <w:color w:val="000000"/>
                <w:kern w:val="0"/>
                <w:sz w:val="21"/>
                <w:szCs w:val="21"/>
                <w:u w:val="single"/>
              </w:rPr>
              <w:fldChar w:fldCharType="separate"/>
            </w:r>
            <w:r>
              <w:rPr>
                <w:rFonts w:hint="eastAsia" w:ascii="Times New Roman" w:hAnsi="Times New Roman" w:eastAsia="宋体" w:cs="Times New Roman"/>
                <w:color w:val="000000"/>
                <w:kern w:val="0"/>
                <w:sz w:val="21"/>
                <w:szCs w:val="21"/>
                <w:u w:val="single"/>
              </w:rPr>
              <w:t xml:space="preserve">0871-65176568  </w:t>
            </w:r>
            <w:r>
              <w:rPr>
                <w:rFonts w:hint="eastAsia" w:ascii="Times New Roman" w:hAnsi="Times New Roman" w:eastAsia="宋体" w:cs="Times New Roman"/>
                <w:color w:val="000000"/>
                <w:kern w:val="0"/>
                <w:sz w:val="21"/>
                <w:szCs w:val="21"/>
                <w:u w:val="single"/>
              </w:rPr>
              <w:fldChar w:fldCharType="end"/>
            </w:r>
          </w:p>
        </w:tc>
      </w:tr>
      <w:bookmarkEnd w:id="11"/>
      <w:bookmarkEnd w:id="92"/>
    </w:tbl>
    <w:p w14:paraId="11478266">
      <w:bookmarkStart w:id="93" w:name="_GoBack"/>
      <w:bookmarkEnd w:id="9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5B62EF"/>
    <w:rsid w:val="465B62EF"/>
    <w:rsid w:val="4AC513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3179</Words>
  <Characters>3576</Characters>
  <Lines>0</Lines>
  <Paragraphs>0</Paragraphs>
  <TotalTime>1</TotalTime>
  <ScaleCrop>false</ScaleCrop>
  <LinksUpToDate>false</LinksUpToDate>
  <CharactersWithSpaces>3641</CharactersWithSpaces>
  <Application>WPS Office_12.1.0.23122_F1E327BC-269C-435d-A152-05C5408002CA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2025-11-11T05:53:00Z</dcterms:created>
  <dc:creator>djfoajf</dc:creator>
  <cp:lastModifiedBy>djfoajf</cp:lastModifiedBy>
  <dcterms:modified xsi:type="dcterms:W3CDTF">2025-11-13T02:40:16Z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2052-12.1.0.23122</vt:lpwstr>
  </property>
  <property fmtid="{D5CDD505-2E9C-101B-9397-08002B2CF9AE}" pid="3" name="ICV">
    <vt:lpwstr>9A2756E2D4CD4EA7BEB4124D97866094_11</vt:lpwstr>
  </property>
  <property fmtid="{D5CDD505-2E9C-101B-9397-08002B2CF9AE}" pid="4" name="KSOTemplateDocerSaveRecord">
    <vt:lpwstr>eyJoZGlkIjoiOTEzNDNjYjZjZWUxNWYwYzZhMTVjOTAxYzdjMGUxOWUiLCJ1c2VySWQiOiIzNjE0MTk4NjgifQ==</vt:lpwstr>
  </property>
</Properties>
</file>