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9B28D4">
      <w:pPr>
        <w:jc w:val="center"/>
        <w:rPr>
          <w:rFonts w:hint="eastAsia" w:ascii="宋体" w:hAnsi="宋体" w:eastAsia="宋体" w:cs="宋体"/>
          <w:b/>
          <w:color w:val="000000" w:themeColor="text1"/>
          <w:sz w:val="36"/>
          <w:lang w:eastAsia="zh-CN"/>
          <w14:textFill>
            <w14:solidFill>
              <w14:schemeClr w14:val="tx1"/>
            </w14:solidFill>
          </w14:textFill>
        </w:rPr>
        <w:sectPr>
          <w:headerReference r:id="rId3" w:type="default"/>
          <w:footerReference r:id="rId4" w:type="default"/>
          <w:pgSz w:w="11906" w:h="16838"/>
          <w:pgMar w:top="1418" w:right="1134" w:bottom="1418" w:left="1574" w:header="851" w:footer="992" w:gutter="0"/>
          <w:pgNumType w:fmt="decimal"/>
          <w:cols w:space="720" w:num="1"/>
          <w:docGrid w:type="lines" w:linePitch="312" w:charSpace="0"/>
        </w:sectPr>
      </w:pPr>
      <w:bookmarkStart w:id="0" w:name="_Toc300834926"/>
      <w:bookmarkStart w:id="1" w:name="_Toc152042286"/>
      <w:bookmarkStart w:id="2" w:name="_Toc144974478"/>
      <w:bookmarkStart w:id="3" w:name="_Toc27798"/>
      <w:bookmarkStart w:id="4" w:name="_Toc247527532"/>
      <w:r>
        <w:rPr>
          <w:rFonts w:hint="eastAsia" w:ascii="宋体" w:hAnsi="宋体" w:eastAsia="宋体" w:cs="宋体"/>
          <w:b/>
          <w:color w:val="000000" w:themeColor="text1"/>
          <w:sz w:val="36"/>
          <w:lang w:eastAsia="zh-CN"/>
          <w14:textFill>
            <w14:solidFill>
              <w14:schemeClr w14:val="tx1"/>
            </w14:solidFill>
          </w14:textFill>
        </w:rPr>
        <w:drawing>
          <wp:inline distT="0" distB="0" distL="114300" distR="114300">
            <wp:extent cx="5838190" cy="8258810"/>
            <wp:effectExtent l="0" t="0" r="10160" b="8890"/>
            <wp:docPr id="8" name="图片 8" descr="q前期资料(各3份）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q前期资料(各3份）_01"/>
                    <pic:cNvPicPr>
                      <a:picLocks noChangeAspect="1"/>
                    </pic:cNvPicPr>
                  </pic:nvPicPr>
                  <pic:blipFill>
                    <a:blip r:embed="rId17"/>
                    <a:stretch>
                      <a:fillRect/>
                    </a:stretch>
                  </pic:blipFill>
                  <pic:spPr>
                    <a:xfrm>
                      <a:off x="0" y="0"/>
                      <a:ext cx="5838190" cy="8258810"/>
                    </a:xfrm>
                    <a:prstGeom prst="rect">
                      <a:avLst/>
                    </a:prstGeom>
                  </pic:spPr>
                </pic:pic>
              </a:graphicData>
            </a:graphic>
          </wp:inline>
        </w:drawing>
      </w:r>
      <w:bookmarkStart w:id="1901" w:name="_GoBack"/>
      <w:bookmarkEnd w:id="1901"/>
    </w:p>
    <w:p w14:paraId="4D796738">
      <w:pPr>
        <w:jc w:val="center"/>
        <w:rPr>
          <w:rFonts w:hint="eastAsia"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t>目　录</w:t>
      </w:r>
      <w:bookmarkEnd w:id="0"/>
      <w:bookmarkEnd w:id="1"/>
      <w:bookmarkEnd w:id="2"/>
      <w:bookmarkEnd w:id="3"/>
      <w:bookmarkEnd w:id="4"/>
    </w:p>
    <w:p w14:paraId="2938E48B">
      <w:pPr>
        <w:pStyle w:val="28"/>
        <w:tabs>
          <w:tab w:val="right" w:leader="dot" w:pos="9638"/>
        </w:tabs>
        <w:spacing w:line="300" w:lineRule="exact"/>
        <w:rPr>
          <w:rFonts w:hint="eastAsia" w:ascii="宋体" w:hAnsi="宋体" w:cs="宋体"/>
          <w:color w:val="000000" w:themeColor="text1"/>
          <w14:textFill>
            <w14:solidFill>
              <w14:schemeClr w14:val="tx1"/>
            </w14:solidFill>
          </w14:textFill>
        </w:rPr>
      </w:pPr>
      <w:bookmarkStart w:id="5" w:name="_Toc247513932"/>
      <w:bookmarkStart w:id="6" w:name="_Toc247527533"/>
      <w:bookmarkStart w:id="7" w:name="_Toc144974479"/>
      <w:bookmarkStart w:id="8" w:name="_Toc152042287"/>
      <w:bookmarkStart w:id="9" w:name="_Toc152045511"/>
      <w:r>
        <w:rPr>
          <w:rFonts w:hint="eastAsia" w:ascii="宋体" w:hAnsi="宋体" w:cs="宋体"/>
          <w:b w:val="0"/>
          <w:color w:val="000000" w:themeColor="text1"/>
          <w:sz w:val="22"/>
          <w:szCs w:val="24"/>
          <w14:textFill>
            <w14:solidFill>
              <w14:schemeClr w14:val="tx1"/>
            </w14:solidFill>
          </w14:textFill>
        </w:rPr>
        <w:fldChar w:fldCharType="begin"/>
      </w:r>
      <w:r>
        <w:rPr>
          <w:rFonts w:hint="eastAsia" w:ascii="宋体" w:hAnsi="宋体" w:cs="宋体"/>
          <w:b w:val="0"/>
          <w:color w:val="000000" w:themeColor="text1"/>
          <w:sz w:val="22"/>
          <w:szCs w:val="24"/>
          <w14:textFill>
            <w14:solidFill>
              <w14:schemeClr w14:val="tx1"/>
            </w14:solidFill>
          </w14:textFill>
        </w:rPr>
        <w:instrText xml:space="preserve"> TOC \o "1-3" \h \z \u </w:instrText>
      </w:r>
      <w:r>
        <w:rPr>
          <w:rFonts w:hint="eastAsia" w:ascii="宋体" w:hAnsi="宋体" w:cs="宋体"/>
          <w:b w:val="0"/>
          <w:color w:val="000000" w:themeColor="text1"/>
          <w:sz w:val="22"/>
          <w:szCs w:val="24"/>
          <w14:textFill>
            <w14:solidFill>
              <w14:schemeClr w14:val="tx1"/>
            </w14:solidFill>
          </w14:textFill>
        </w:rPr>
        <w:fldChar w:fldCharType="separate"/>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"_Toc9398"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第一卷</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_Toc9398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5</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1D6C798C">
      <w:pPr>
        <w:pStyle w:val="28"/>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"_Toc17207"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第一章 招标公告</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_Toc17207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6</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10983E5C">
      <w:pPr>
        <w:pStyle w:val="32"/>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"_Toc26505" </w:instrText>
      </w:r>
      <w:r>
        <w:rPr>
          <w:color w:val="000000" w:themeColor="text1"/>
          <w14:textFill>
            <w14:solidFill>
              <w14:schemeClr w14:val="tx1"/>
            </w14:solidFill>
          </w14:textFill>
        </w:rPr>
        <w:fldChar w:fldCharType="separate"/>
      </w:r>
      <w:r>
        <w:rPr>
          <w:rFonts w:hint="eastAsia" w:ascii="宋体" w:hAnsi="宋体" w:cs="宋体"/>
          <w:color w:val="000000" w:themeColor="text1"/>
          <w:szCs w:val="21"/>
          <w14:textFill>
            <w14:solidFill>
              <w14:schemeClr w14:val="tx1"/>
            </w14:solidFill>
          </w14:textFill>
        </w:rPr>
        <w:t>1.招标条件</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_Toc26505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6</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6817F12E">
      <w:pPr>
        <w:pStyle w:val="32"/>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"_Toc3203" </w:instrText>
      </w:r>
      <w:r>
        <w:rPr>
          <w:color w:val="000000" w:themeColor="text1"/>
          <w14:textFill>
            <w14:solidFill>
              <w14:schemeClr w14:val="tx1"/>
            </w14:solidFill>
          </w14:textFill>
        </w:rPr>
        <w:fldChar w:fldCharType="separate"/>
      </w:r>
      <w:r>
        <w:rPr>
          <w:rFonts w:hint="eastAsia" w:ascii="宋体" w:hAnsi="宋体" w:cs="宋体"/>
          <w:color w:val="000000" w:themeColor="text1"/>
          <w:szCs w:val="21"/>
          <w14:textFill>
            <w14:solidFill>
              <w14:schemeClr w14:val="tx1"/>
            </w14:solidFill>
          </w14:textFill>
        </w:rPr>
        <w:t>2.项目概况与招标范围</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_Toc3203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6</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08345139">
      <w:pPr>
        <w:pStyle w:val="32"/>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"_Toc29558" </w:instrText>
      </w:r>
      <w:r>
        <w:rPr>
          <w:color w:val="000000" w:themeColor="text1"/>
          <w14:textFill>
            <w14:solidFill>
              <w14:schemeClr w14:val="tx1"/>
            </w14:solidFill>
          </w14:textFill>
        </w:rPr>
        <w:fldChar w:fldCharType="separate"/>
      </w:r>
      <w:r>
        <w:rPr>
          <w:rFonts w:hint="eastAsia" w:ascii="宋体" w:hAnsi="宋体" w:cs="宋体"/>
          <w:color w:val="000000" w:themeColor="text1"/>
          <w:szCs w:val="21"/>
          <w14:textFill>
            <w14:solidFill>
              <w14:schemeClr w14:val="tx1"/>
            </w14:solidFill>
          </w14:textFill>
        </w:rPr>
        <w:t>3.投标人资格要求</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_Toc29558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6</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02429E74">
      <w:pPr>
        <w:pStyle w:val="32"/>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"_Toc23015" </w:instrText>
      </w:r>
      <w:r>
        <w:rPr>
          <w:color w:val="000000" w:themeColor="text1"/>
          <w14:textFill>
            <w14:solidFill>
              <w14:schemeClr w14:val="tx1"/>
            </w14:solidFill>
          </w14:textFill>
        </w:rPr>
        <w:fldChar w:fldCharType="separate"/>
      </w:r>
      <w:r>
        <w:rPr>
          <w:rFonts w:hint="eastAsia" w:ascii="宋体" w:hAnsi="宋体" w:cs="宋体"/>
          <w:color w:val="000000" w:themeColor="text1"/>
          <w:szCs w:val="21"/>
          <w14:textFill>
            <w14:solidFill>
              <w14:schemeClr w14:val="tx1"/>
            </w14:solidFill>
          </w14:textFill>
        </w:rPr>
        <w:t>4.资格审查方式</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_Toc23015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7</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672DF9DB">
      <w:pPr>
        <w:pStyle w:val="32"/>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"_Toc15848" </w:instrText>
      </w:r>
      <w:r>
        <w:rPr>
          <w:color w:val="000000" w:themeColor="text1"/>
          <w14:textFill>
            <w14:solidFill>
              <w14:schemeClr w14:val="tx1"/>
            </w14:solidFill>
          </w14:textFill>
        </w:rPr>
        <w:fldChar w:fldCharType="separate"/>
      </w:r>
      <w:r>
        <w:rPr>
          <w:rFonts w:hint="eastAsia" w:ascii="宋体" w:hAnsi="宋体" w:cs="宋体"/>
          <w:color w:val="000000" w:themeColor="text1"/>
          <w:szCs w:val="21"/>
          <w14:textFill>
            <w14:solidFill>
              <w14:schemeClr w14:val="tx1"/>
            </w14:solidFill>
          </w14:textFill>
        </w:rPr>
        <w:t>5.招标文件的获取</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_Toc15848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8</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5D2A9100">
      <w:pPr>
        <w:pStyle w:val="32"/>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"_Toc20562" </w:instrText>
      </w:r>
      <w:r>
        <w:rPr>
          <w:color w:val="000000" w:themeColor="text1"/>
          <w14:textFill>
            <w14:solidFill>
              <w14:schemeClr w14:val="tx1"/>
            </w14:solidFill>
          </w14:textFill>
        </w:rPr>
        <w:fldChar w:fldCharType="separate"/>
      </w:r>
      <w:r>
        <w:rPr>
          <w:rFonts w:hint="eastAsia" w:ascii="宋体" w:hAnsi="宋体" w:cs="宋体"/>
          <w:color w:val="000000" w:themeColor="text1"/>
          <w:szCs w:val="21"/>
          <w14:textFill>
            <w14:solidFill>
              <w14:schemeClr w14:val="tx1"/>
            </w14:solidFill>
          </w14:textFill>
        </w:rPr>
        <w:t>6.投标文件的递交时间及地点</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_Toc20562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8</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42C5CF37">
      <w:pPr>
        <w:pStyle w:val="32"/>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"_Toc4222" </w:instrText>
      </w:r>
      <w:r>
        <w:rPr>
          <w:color w:val="000000" w:themeColor="text1"/>
          <w14:textFill>
            <w14:solidFill>
              <w14:schemeClr w14:val="tx1"/>
            </w14:solidFill>
          </w14:textFill>
        </w:rPr>
        <w:fldChar w:fldCharType="separate"/>
      </w:r>
      <w:r>
        <w:rPr>
          <w:rFonts w:hint="eastAsia" w:ascii="宋体" w:hAnsi="宋体" w:cs="宋体"/>
          <w:color w:val="000000" w:themeColor="text1"/>
          <w:szCs w:val="21"/>
          <w14:textFill>
            <w14:solidFill>
              <w14:schemeClr w14:val="tx1"/>
            </w14:solidFill>
          </w14:textFill>
        </w:rPr>
        <w:t>7.发布公告的媒介</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t>8</w:t>
      </w:r>
    </w:p>
    <w:p w14:paraId="3AEA1CB6">
      <w:pPr>
        <w:pStyle w:val="32"/>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"_Toc4528" </w:instrText>
      </w:r>
      <w:r>
        <w:rPr>
          <w:color w:val="000000" w:themeColor="text1"/>
          <w14:textFill>
            <w14:solidFill>
              <w14:schemeClr w14:val="tx1"/>
            </w14:solidFill>
          </w14:textFill>
        </w:rPr>
        <w:fldChar w:fldCharType="separate"/>
      </w:r>
      <w:r>
        <w:rPr>
          <w:rFonts w:hint="eastAsia" w:ascii="宋体" w:hAnsi="宋体" w:cs="宋体"/>
          <w:color w:val="000000" w:themeColor="text1"/>
          <w:szCs w:val="21"/>
          <w14:textFill>
            <w14:solidFill>
              <w14:schemeClr w14:val="tx1"/>
            </w14:solidFill>
          </w14:textFill>
        </w:rPr>
        <w:t>8.联系方式</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t>8</w:t>
      </w:r>
    </w:p>
    <w:p w14:paraId="07064DE3">
      <w:pPr>
        <w:pStyle w:val="28"/>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"_Toc4397"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第二章 投标人须知</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lang w:val="en-US" w:eastAsia="zh-CN"/>
          <w14:textFill>
            <w14:solidFill>
              <w14:schemeClr w14:val="tx1"/>
            </w14:solidFill>
          </w14:textFill>
        </w:rPr>
        <w:t>9</w:t>
      </w:r>
      <w:r>
        <w:rPr>
          <w:rFonts w:hint="eastAsia" w:ascii="宋体" w:hAnsi="宋体" w:cs="宋体"/>
          <w:color w:val="000000" w:themeColor="text1"/>
          <w14:textFill>
            <w14:solidFill>
              <w14:schemeClr w14:val="tx1"/>
            </w14:solidFill>
          </w14:textFill>
        </w:rPr>
        <w:fldChar w:fldCharType="end"/>
      </w:r>
    </w:p>
    <w:p w14:paraId="41972699">
      <w:pPr>
        <w:pStyle w:val="32"/>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"_Toc28909"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投标人须知前附表</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_Toc28909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10</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23D938A6">
      <w:pPr>
        <w:pStyle w:val="32"/>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"_Toc16569"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1. 总则</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_Toc16569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20</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2B159494">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"_Toc10017"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1.1 项目概况</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_Toc10017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20</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7C22E5CF">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"_Toc18869"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1.2 项目的资金来源和落实情况</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_Toc18869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20</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5F8FFA59">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"_Toc6917"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1.3 招标范围、计划工期和质量标准</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_Toc6917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20</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29180399">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"_Toc3231"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1.4 投标人资格要求（适用于未进行资格预审的）</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_Toc3231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20</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4B1B40FF">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"_Toc5407"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1.5 费用承担和设计成果补偿</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_Toc5407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21</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78F15BDD">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"_Toc31200"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1.6 保密</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_Toc31200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21</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031ED6EF">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"_Toc20044"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1.7 语言文字</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_Toc20044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21</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4BFD09B0">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"_Toc4269"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1.8 计量单位</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_Toc4269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21</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0B4ECE76">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"_Toc29579"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1.9 踏勘现场</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_Toc29579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21</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72048C7C">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"_Toc21026"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1.10 投标预备会</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_Toc21026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22</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1545F66E">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"_Toc20792"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1.11 分包</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_Toc20792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22</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7AD52665">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"_Toc12818"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1.12 偏离</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_Toc12818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22</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0B590529">
      <w:pPr>
        <w:pStyle w:val="32"/>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"_Toc10527" </w:instrText>
      </w:r>
      <w:r>
        <w:rPr>
          <w:color w:val="000000" w:themeColor="text1"/>
          <w14:textFill>
            <w14:solidFill>
              <w14:schemeClr w14:val="tx1"/>
            </w14:solidFill>
          </w14:textFill>
        </w:rPr>
        <w:fldChar w:fldCharType="separate"/>
      </w:r>
      <w:r>
        <w:rPr>
          <w:rFonts w:hint="eastAsia" w:ascii="宋体" w:hAnsi="宋体" w:cs="宋体"/>
          <w:bCs/>
          <w:color w:val="000000" w:themeColor="text1"/>
          <w14:textFill>
            <w14:solidFill>
              <w14:schemeClr w14:val="tx1"/>
            </w14:solidFill>
          </w14:textFill>
        </w:rPr>
        <w:t>2. 招标文件</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_Toc10527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22</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55F483D7">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"_Toc6999"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2.1 招标文件的组成</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_Toc6999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22</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19EE29A0">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"_Toc4612"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2.2 招标文件的澄清</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_Toc4612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22</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68A7E200">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"_Toc2988" </w:instrText>
      </w:r>
      <w:r>
        <w:rPr>
          <w:color w:val="000000" w:themeColor="text1"/>
          <w14:textFill>
            <w14:solidFill>
              <w14:schemeClr w14:val="tx1"/>
            </w14:solidFill>
          </w14:textFill>
        </w:rPr>
        <w:fldChar w:fldCharType="separate"/>
      </w:r>
      <w:r>
        <w:rPr>
          <w:rFonts w:hint="eastAsia" w:ascii="宋体" w:hAnsi="宋体" w:cs="宋体"/>
          <w:bCs/>
          <w:color w:val="000000" w:themeColor="text1"/>
          <w14:textFill>
            <w14:solidFill>
              <w14:schemeClr w14:val="tx1"/>
            </w14:solidFill>
          </w14:textFill>
        </w:rPr>
        <w:t>2.3 招标文件的修改</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_Toc2988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23</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7E57968A">
      <w:pPr>
        <w:pStyle w:val="32"/>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"_Toc29849" </w:instrText>
      </w:r>
      <w:r>
        <w:rPr>
          <w:color w:val="000000" w:themeColor="text1"/>
          <w14:textFill>
            <w14:solidFill>
              <w14:schemeClr w14:val="tx1"/>
            </w14:solidFill>
          </w14:textFill>
        </w:rPr>
        <w:fldChar w:fldCharType="separate"/>
      </w:r>
      <w:r>
        <w:rPr>
          <w:rFonts w:hint="eastAsia" w:ascii="宋体" w:hAnsi="宋体" w:cs="宋体"/>
          <w:bCs/>
          <w:color w:val="000000" w:themeColor="text1"/>
          <w14:textFill>
            <w14:solidFill>
              <w14:schemeClr w14:val="tx1"/>
            </w14:solidFill>
          </w14:textFill>
        </w:rPr>
        <w:t>3. 投标文件</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_Toc29849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23</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32493C9B">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"_Toc11095"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3.1 投标文件的组成</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_Toc11095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23</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0C3609E1">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"_Toc6393"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3.2 投标报价</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_Toc6393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24</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5665E875">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"_Toc10034"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3.3 投标有效期</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_Toc10034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24</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1AB3A7A6">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"_Toc4380"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3.4 投标保证金</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_Toc4380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24</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5AE4F7D0">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"_Toc1995"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3.5 资格审查资料（适用于未进行资格预审的）</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_Toc1995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25</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0A221F68">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"_Toc28651"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3.6 备选投标方案</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_Toc28651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25</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141BC754">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"_Toc22195"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3.7 投标文件的编制</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_Toc22195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25</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0DCF3035">
      <w:pPr>
        <w:pStyle w:val="32"/>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"_Toc31187"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4. 投标</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_Toc31187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26</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323891CC">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"_Toc11071"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4.1投标文件的上传</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_Toc11071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26</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34977808">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"_Toc8966" </w:instrText>
      </w:r>
      <w:r>
        <w:rPr>
          <w:color w:val="000000" w:themeColor="text1"/>
          <w14:textFill>
            <w14:solidFill>
              <w14:schemeClr w14:val="tx1"/>
            </w14:solidFill>
          </w14:textFill>
        </w:rPr>
        <w:fldChar w:fldCharType="separate"/>
      </w:r>
      <w:r>
        <w:rPr>
          <w:rFonts w:hint="eastAsia" w:ascii="宋体" w:hAnsi="宋体" w:cs="宋体"/>
          <w:bCs/>
          <w:color w:val="000000" w:themeColor="text1"/>
          <w14:textFill>
            <w14:solidFill>
              <w14:schemeClr w14:val="tx1"/>
            </w14:solidFill>
          </w14:textFill>
        </w:rPr>
        <w:t>4.2 投标文件的密封和标记</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_Toc8966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26</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2D09D134">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"_Toc16959"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4.3 投标文件的递交</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_Toc16959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26</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64E9D2E0">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"_Toc4311"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4.4 投标文件的修改与撤回</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_Toc4311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26</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2C2B0B5B">
      <w:pPr>
        <w:pStyle w:val="32"/>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"_Toc8312"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5. 开标</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_Toc8312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27</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0A2E3DC8">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"_Toc16075"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5.1 开标时间和地点</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_Toc16075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27</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57930303">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"_Toc32228" </w:instrText>
      </w:r>
      <w:r>
        <w:rPr>
          <w:color w:val="000000" w:themeColor="text1"/>
          <w14:textFill>
            <w14:solidFill>
              <w14:schemeClr w14:val="tx1"/>
            </w14:solidFill>
          </w14:textFill>
        </w:rPr>
        <w:fldChar w:fldCharType="separate"/>
      </w:r>
      <w:r>
        <w:rPr>
          <w:rFonts w:hint="eastAsia" w:ascii="宋体" w:hAnsi="宋体" w:cs="宋体"/>
          <w:bCs/>
          <w:color w:val="000000" w:themeColor="text1"/>
          <w14:textFill>
            <w14:solidFill>
              <w14:schemeClr w14:val="tx1"/>
            </w14:solidFill>
          </w14:textFill>
        </w:rPr>
        <w:t>5.2 开标程序</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_Toc32228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27</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53AB4A3C">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"_Toc11603"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5.3 开标异议</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_Toc11603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27</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527E81B0">
      <w:pPr>
        <w:pStyle w:val="32"/>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"_Toc26631"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6. 评标</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_Toc26631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27</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1B11619C">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"_Toc28501"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6.1 评标委员会</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_Toc28501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27</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34C56073">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"_Toc15324"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6.2 评标原则</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_Toc15324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28</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51D21302">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"_Toc21734"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6.3 评标</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_Toc21734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28</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023FDF29">
      <w:pPr>
        <w:pStyle w:val="32"/>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"_Toc23582"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7. 合同授予</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_Toc23582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28</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03FBF556">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"_Toc9441"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7.1 定标方式</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_Toc9441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28</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1B03DA88">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"_Toc28420"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7.2 中标候选人公示</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_Toc28420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28</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339E054C">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"_Toc9288"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7.3 中标通知</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_Toc9288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28</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2D5E0C4B">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"_Toc1699" </w:instrText>
      </w:r>
      <w:r>
        <w:rPr>
          <w:color w:val="000000" w:themeColor="text1"/>
          <w14:textFill>
            <w14:solidFill>
              <w14:schemeClr w14:val="tx1"/>
            </w14:solidFill>
          </w14:textFill>
        </w:rPr>
        <w:fldChar w:fldCharType="separate"/>
      </w:r>
      <w:r>
        <w:rPr>
          <w:rFonts w:hint="eastAsia" w:ascii="宋体" w:hAnsi="宋体" w:cs="宋体"/>
          <w:bCs/>
          <w:color w:val="000000" w:themeColor="text1"/>
          <w14:textFill>
            <w14:solidFill>
              <w14:schemeClr w14:val="tx1"/>
            </w14:solidFill>
          </w14:textFill>
        </w:rPr>
        <w:t>7.4 履约担保</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_Toc1699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28</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5AE7ED2C">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"_Toc24973"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7.5 签订合同</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_Toc24973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29</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2B34695F">
      <w:pPr>
        <w:pStyle w:val="32"/>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"_Toc29072"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8. 纪律和监督</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_Toc29072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29</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07523E8B">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"_Toc11057"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8.1 对招标人的纪律要求</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_Toc11057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29</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3401C6A6">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"_Toc7555"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8.2 对投标人的纪律要求</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_Toc7555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29</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11C8A376">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"_Toc5216"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8.3 对评标委员会成员的纪律要求</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_Toc5216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29</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5AC3E5E9">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"_Toc1021"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8.4 对与评标活动有关的工作人员的纪律要求</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_Toc1021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29</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739484DC">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"_Toc16246"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8.5 投诉</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_Toc16246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30</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222DE3AC">
      <w:pPr>
        <w:pStyle w:val="32"/>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"_Toc6473"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9. 需要补充的其他内容</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_Toc6473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30</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6EF9FDF7">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"_Toc9611"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附件一：开标记录表</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_Toc9611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31</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35387094">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"_Toc14408"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附件二：问题澄清通知</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_Toc14408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32</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6D6CAE54">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"_Toc2933"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附件三：问题的澄清</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_Toc2933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33</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126DBAE0">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"_Toc6639"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附件四：中标通知书</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_Toc6639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34</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3FA615CF">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"_Toc6126"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附件五：中标结果通知书</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_Toc6126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35</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206157A4">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"_Toc7518"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附件六：确认通知</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_Toc7518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36</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199618BC">
      <w:pPr>
        <w:pStyle w:val="28"/>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"_Toc23476"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第三章 评标办法（综合评估法）</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_Toc23476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37</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69299A35">
      <w:pPr>
        <w:pStyle w:val="32"/>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"_Toc3571"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评标办法前附表</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_Toc3571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37</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6A2C2935">
      <w:pPr>
        <w:pStyle w:val="32"/>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"_Toc25566"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1. 评标方法</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_Toc25566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42</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7C65DEDA">
      <w:pPr>
        <w:pStyle w:val="32"/>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"_Toc16083"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 评审标准</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_Toc16083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42</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4A99A9FA">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"_Toc28613"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2.1 初步评审标准</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_Toc28613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42</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77DB22B3">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"_Toc20398"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2.2 分值构成与评分标准</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_Toc20398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42</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321456AD">
      <w:pPr>
        <w:pStyle w:val="32"/>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"_Toc28454"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3. 评标程序</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_Toc28454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42</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3E2DFBFC">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"_Toc19670"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3.1 初步评审</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_Toc19670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42</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098A27B9">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"_Toc21101"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3.2 详细评审</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_Toc21101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43</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2E484E84">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"_Toc11490"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3.3 投标文件的澄清和补正</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_Toc11490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43</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4E6A5731">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"_Toc17995"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3.4 评标结果</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_Toc17995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44</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389508EE">
      <w:pPr>
        <w:pStyle w:val="28"/>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"_Toc101"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第四章 合同条款及格式</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_Toc101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45</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76B8DE5F">
      <w:pPr>
        <w:pStyle w:val="28"/>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"_Toc3704"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第二卷</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_Toc3704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141</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5F03145F">
      <w:pPr>
        <w:pStyle w:val="28"/>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"_Toc27345"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第五章 发包人要求</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_Toc27345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143</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2159428D">
      <w:pPr>
        <w:pStyle w:val="28"/>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"_Toc14923"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第六章  发包人提供的资料</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_Toc14923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197</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0DCED497">
      <w:pPr>
        <w:pStyle w:val="28"/>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"_Toc3838"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第三卷</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_Toc3838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198</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5A50F513">
      <w:pPr>
        <w:pStyle w:val="28"/>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"_Toc13677"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第七章  投标文件格式</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_Toc13677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199</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68193268">
      <w:pPr>
        <w:pStyle w:val="32"/>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"_Toc19129"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一、 投标（唱标）一览表</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_Toc19129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201</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4E4ED6EF">
      <w:pPr>
        <w:pStyle w:val="32"/>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"_Toc20090"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二、投标函及投标函附录</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_Toc20090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202</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53E3F47A">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"_Toc8181"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（一）投标函</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_Toc8181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202</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62370275">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"_Toc24123"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（二）投标函附录</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_Toc24123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203</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63C4D9DA">
      <w:pPr>
        <w:pStyle w:val="32"/>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"_Toc28788"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三、法定代表人身份证明</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_Toc28788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205</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6E6618D1">
      <w:pPr>
        <w:pStyle w:val="32"/>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"_Toc25374"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四、授权委托书</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_Toc25374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206</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1DE6364B">
      <w:pPr>
        <w:pStyle w:val="32"/>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"_Toc7635"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五、联合体协议书</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_Toc7635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207</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4B971907">
      <w:pPr>
        <w:pStyle w:val="32"/>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"_Toc18822"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六、承诺书</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_Toc18822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208</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21323176">
      <w:pPr>
        <w:pStyle w:val="32"/>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"_Toc14115"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七、投标保证金</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t>1</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t>32</w:t>
      </w:r>
    </w:p>
    <w:p w14:paraId="50009540">
      <w:pPr>
        <w:pStyle w:val="32"/>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"_Toc20379"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八、承包人建议书</w:t>
      </w:r>
      <w:r>
        <w:rPr>
          <w:rFonts w:hint="eastAsia" w:ascii="宋体" w:hAnsi="宋体" w:cs="宋体"/>
          <w:color w:val="000000" w:themeColor="text1"/>
          <w:lang w:eastAsia="zh-CN"/>
          <w14:textFill>
            <w14:solidFill>
              <w14:schemeClr w14:val="tx1"/>
            </w14:solidFill>
          </w14:textFill>
        </w:rPr>
        <w:t>、</w:t>
      </w:r>
      <w:r>
        <w:rPr>
          <w:rFonts w:hint="eastAsia" w:ascii="宋体" w:hAnsi="宋体" w:cs="宋体"/>
          <w:color w:val="000000" w:themeColor="text1"/>
          <w:lang w:val="en-US" w:eastAsia="zh-CN"/>
          <w14:textFill>
            <w14:solidFill>
              <w14:schemeClr w14:val="tx1"/>
            </w14:solidFill>
          </w14:textFill>
        </w:rPr>
        <w:t>实施方案</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_Toc20379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213</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7861399D">
      <w:pPr>
        <w:pStyle w:val="32"/>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"_Toc10356" </w:instrText>
      </w:r>
      <w:r>
        <w:rPr>
          <w:color w:val="000000" w:themeColor="text1"/>
          <w14:textFill>
            <w14:solidFill>
              <w14:schemeClr w14:val="tx1"/>
            </w14:solidFill>
          </w14:textFill>
        </w:rPr>
        <w:fldChar w:fldCharType="separate"/>
      </w:r>
      <w:r>
        <w:rPr>
          <w:rFonts w:hint="eastAsia"/>
          <w:color w:val="000000" w:themeColor="text1"/>
          <w:lang w:val="en-US" w:eastAsia="zh-CN"/>
          <w14:textFill>
            <w14:solidFill>
              <w14:schemeClr w14:val="tx1"/>
            </w14:solidFill>
          </w14:textFill>
        </w:rPr>
        <w:t>九</w:t>
      </w:r>
      <w:r>
        <w:rPr>
          <w:rFonts w:hint="eastAsia" w:ascii="宋体" w:hAnsi="宋体" w:cs="宋体"/>
          <w:color w:val="000000" w:themeColor="text1"/>
          <w:szCs w:val="27"/>
          <w14:textFill>
            <w14:solidFill>
              <w14:schemeClr w14:val="tx1"/>
            </w14:solidFill>
          </w14:textFill>
        </w:rPr>
        <w:t>、</w:t>
      </w:r>
      <w:r>
        <w:rPr>
          <w:rFonts w:hint="eastAsia" w:ascii="宋体" w:hAnsi="宋体" w:cs="宋体"/>
          <w:color w:val="000000" w:themeColor="text1"/>
          <w14:textFill>
            <w14:solidFill>
              <w14:schemeClr w14:val="tx1"/>
            </w14:solidFill>
          </w14:textFill>
        </w:rPr>
        <w:t>资格审查资料</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_Toc10356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214</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0A1BD2A9">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"_Toc15720"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（一）投标人基本情况表</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_Toc15720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214</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2269184B">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"_Toc25056"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（二）近年财务状况表</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_Toc25056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215</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3A355CAD">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"_Toc14127"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（三）近年完成的类似项目情况表</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_Toc14127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216</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2FC6E4EB">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"_Toc26895"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（四）正在实施的和新承接的项目情况表</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_Toc26895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217</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45771FF7">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"_Toc4147"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（五）近年发生的重大诉讼及仲裁情况</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_Toc4147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218</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79239990">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"_Toc11756"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（六）拟投入本项目的主要施工设备表</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_Toc11756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219</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107FF600">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"_Toc32515"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（七）拟配备本项目的试验和检测仪器设备表</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_Toc32515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220</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15B812DE">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"_Toc8683" </w:instrText>
      </w:r>
      <w:r>
        <w:rPr>
          <w:color w:val="000000" w:themeColor="text1"/>
          <w14:textFill>
            <w14:solidFill>
              <w14:schemeClr w14:val="tx1"/>
            </w14:solidFill>
          </w14:textFill>
        </w:rPr>
        <w:fldChar w:fldCharType="separate"/>
      </w:r>
      <w:r>
        <w:rPr>
          <w:rFonts w:hint="eastAsia" w:ascii="宋体" w:hAnsi="宋体" w:cs="宋体"/>
          <w:bCs/>
          <w:color w:val="000000" w:themeColor="text1"/>
          <w14:textFill>
            <w14:solidFill>
              <w14:schemeClr w14:val="tx1"/>
            </w14:solidFill>
          </w14:textFill>
        </w:rPr>
        <w:t>（八）项目管理机构组成表</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_Toc8683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221</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7BF9562F">
      <w:pPr>
        <w:pStyle w:val="20"/>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"_Toc30681" </w:instrText>
      </w:r>
      <w:r>
        <w:rPr>
          <w:color w:val="000000" w:themeColor="text1"/>
          <w14:textFill>
            <w14:solidFill>
              <w14:schemeClr w14:val="tx1"/>
            </w14:solidFill>
          </w14:textFill>
        </w:rPr>
        <w:fldChar w:fldCharType="separate"/>
      </w:r>
      <w:r>
        <w:rPr>
          <w:rFonts w:hint="eastAsia" w:ascii="宋体" w:hAnsi="宋体" w:cs="宋体"/>
          <w:bCs/>
          <w:color w:val="000000" w:themeColor="text1"/>
          <w14:textFill>
            <w14:solidFill>
              <w14:schemeClr w14:val="tx1"/>
            </w14:solidFill>
          </w14:textFill>
        </w:rPr>
        <w:t>（九）主要人员简历表</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_Toc30681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222</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643CD7BC">
      <w:pPr>
        <w:pStyle w:val="32"/>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"_Toc30352" </w:instrText>
      </w:r>
      <w:r>
        <w:rPr>
          <w:color w:val="000000" w:themeColor="text1"/>
          <w14:textFill>
            <w14:solidFill>
              <w14:schemeClr w14:val="tx1"/>
            </w14:solidFill>
          </w14:textFill>
        </w:rPr>
        <w:fldChar w:fldCharType="separate"/>
      </w:r>
      <w:r>
        <w:rPr>
          <w:rFonts w:hint="eastAsia" w:ascii="宋体" w:hAnsi="宋体" w:cs="宋体"/>
          <w:bCs/>
          <w:color w:val="000000" w:themeColor="text1"/>
          <w:szCs w:val="27"/>
          <w14:textFill>
            <w14:solidFill>
              <w14:schemeClr w14:val="tx1"/>
            </w14:solidFill>
          </w14:textFill>
        </w:rPr>
        <w:t>十、其他资料</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_Toc30352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223</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3DA57608">
      <w:pPr>
        <w:pStyle w:val="28"/>
        <w:tabs>
          <w:tab w:val="right" w:leader="dot" w:pos="9638"/>
        </w:tabs>
        <w:spacing w:line="300" w:lineRule="exact"/>
        <w:rPr>
          <w:rFonts w:hint="eastAsia"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"_Toc914" </w:instrText>
      </w:r>
      <w:r>
        <w:rPr>
          <w:color w:val="000000" w:themeColor="text1"/>
          <w14:textFill>
            <w14:solidFill>
              <w14:schemeClr w14:val="tx1"/>
            </w14:solidFill>
          </w14:textFill>
        </w:rPr>
        <w:fldChar w:fldCharType="separate"/>
      </w:r>
      <w:r>
        <w:rPr>
          <w:rFonts w:hint="eastAsia" w:ascii="宋体" w:hAnsi="宋体" w:cs="宋体"/>
          <w:color w:val="000000" w:themeColor="text1"/>
          <w:kern w:val="44"/>
          <w:szCs w:val="44"/>
          <w14:textFill>
            <w14:solidFill>
              <w14:schemeClr w14:val="tx1"/>
            </w14:solidFill>
          </w14:textFill>
        </w:rPr>
        <w:t>第八章 云南省公共资源交易电子化招标文件应注明电子化交易的内容</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_Toc914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224</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fldChar w:fldCharType="end"/>
      </w:r>
    </w:p>
    <w:p w14:paraId="6AB76D19">
      <w:pPr>
        <w:spacing w:line="360" w:lineRule="exact"/>
        <w:ind w:left="141" w:leftChars="67" w:firstLine="123" w:firstLineChars="59"/>
        <w:rPr>
          <w:rFonts w:hint="eastAsia" w:ascii="宋体" w:hAnsi="宋体" w:cs="宋体"/>
          <w:color w:val="000000" w:themeColor="text1"/>
          <w14:textFill>
            <w14:solidFill>
              <w14:schemeClr w14:val="tx1"/>
            </w14:solidFill>
          </w14:textFill>
        </w:rPr>
        <w:sectPr>
          <w:footerReference r:id="rId5" w:type="default"/>
          <w:pgSz w:w="11906" w:h="16838"/>
          <w:pgMar w:top="1418" w:right="1134" w:bottom="1418" w:left="1574" w:header="851" w:footer="992" w:gutter="0"/>
          <w:pgNumType w:fmt="decimal"/>
          <w:cols w:space="720" w:num="1"/>
          <w:docGrid w:type="lines" w:linePitch="312" w:charSpace="0"/>
        </w:sectPr>
      </w:pPr>
      <w:r>
        <w:rPr>
          <w:rFonts w:hint="eastAsia" w:ascii="宋体" w:hAnsi="宋体" w:cs="宋体"/>
          <w:color w:val="000000" w:themeColor="text1"/>
          <w14:textFill>
            <w14:solidFill>
              <w14:schemeClr w14:val="tx1"/>
            </w14:solidFill>
          </w14:textFill>
        </w:rPr>
        <w:fldChar w:fldCharType="end"/>
      </w:r>
    </w:p>
    <w:p w14:paraId="6A1558EF">
      <w:pPr>
        <w:rPr>
          <w:rFonts w:hint="eastAsia" w:ascii="宋体" w:hAnsi="宋体" w:cs="宋体"/>
          <w:color w:val="000000" w:themeColor="text1"/>
          <w14:textFill>
            <w14:solidFill>
              <w14:schemeClr w14:val="tx1"/>
            </w14:solidFill>
          </w14:textFill>
        </w:rPr>
      </w:pPr>
    </w:p>
    <w:p w14:paraId="00914B21">
      <w:pPr>
        <w:pStyle w:val="2"/>
        <w:jc w:val="center"/>
        <w:rPr>
          <w:rFonts w:hint="eastAsia" w:ascii="宋体" w:hAnsi="宋体" w:cs="宋体"/>
          <w:color w:val="000000" w:themeColor="text1"/>
          <w14:textFill>
            <w14:solidFill>
              <w14:schemeClr w14:val="tx1"/>
            </w14:solidFill>
          </w14:textFill>
        </w:rPr>
      </w:pPr>
    </w:p>
    <w:p w14:paraId="222A589F">
      <w:pPr>
        <w:pStyle w:val="2"/>
        <w:jc w:val="center"/>
        <w:rPr>
          <w:rFonts w:hint="eastAsia" w:ascii="宋体" w:hAnsi="宋体" w:cs="宋体"/>
          <w:color w:val="000000" w:themeColor="text1"/>
          <w14:textFill>
            <w14:solidFill>
              <w14:schemeClr w14:val="tx1"/>
            </w14:solidFill>
          </w14:textFill>
        </w:rPr>
      </w:pPr>
    </w:p>
    <w:p w14:paraId="001E901B">
      <w:pPr>
        <w:pStyle w:val="2"/>
        <w:tabs>
          <w:tab w:val="left" w:pos="6090"/>
        </w:tabs>
        <w:jc w:val="center"/>
        <w:rPr>
          <w:rFonts w:hint="eastAsia" w:ascii="宋体" w:hAnsi="宋体" w:cs="宋体"/>
          <w:color w:val="000000" w:themeColor="text1"/>
          <w14:textFill>
            <w14:solidFill>
              <w14:schemeClr w14:val="tx1"/>
            </w14:solidFill>
          </w14:textFill>
        </w:rPr>
      </w:pPr>
    </w:p>
    <w:p w14:paraId="61309373">
      <w:pPr>
        <w:pStyle w:val="2"/>
        <w:jc w:val="center"/>
        <w:rPr>
          <w:rFonts w:hint="eastAsia" w:ascii="宋体" w:hAnsi="宋体" w:cs="宋体"/>
          <w:color w:val="000000" w:themeColor="text1"/>
          <w14:textFill>
            <w14:solidFill>
              <w14:schemeClr w14:val="tx1"/>
            </w14:solidFill>
          </w14:textFill>
        </w:rPr>
      </w:pPr>
      <w:bookmarkStart w:id="10" w:name="_Toc9398"/>
      <w:r>
        <w:rPr>
          <w:rFonts w:hint="eastAsia" w:ascii="宋体" w:hAnsi="宋体" w:cs="宋体"/>
          <w:color w:val="000000" w:themeColor="text1"/>
          <w14:textFill>
            <w14:solidFill>
              <w14:schemeClr w14:val="tx1"/>
            </w14:solidFill>
          </w14:textFill>
        </w:rPr>
        <w:t>第一卷</w:t>
      </w:r>
      <w:bookmarkEnd w:id="5"/>
      <w:bookmarkEnd w:id="6"/>
      <w:bookmarkEnd w:id="10"/>
    </w:p>
    <w:p w14:paraId="33A5D803">
      <w:pPr>
        <w:pStyle w:val="2"/>
        <w:spacing w:before="200" w:after="200" w:line="540" w:lineRule="exact"/>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bookmarkStart w:id="11" w:name="_Toc247527534"/>
      <w:bookmarkStart w:id="12" w:name="_Toc247513933"/>
      <w:bookmarkStart w:id="13" w:name="_Toc17207"/>
      <w:r>
        <w:rPr>
          <w:rFonts w:hint="eastAsia" w:ascii="宋体" w:hAnsi="宋体" w:cs="宋体"/>
          <w:color w:val="000000" w:themeColor="text1"/>
          <w14:textFill>
            <w14:solidFill>
              <w14:schemeClr w14:val="tx1"/>
            </w14:solidFill>
          </w14:textFill>
        </w:rPr>
        <w:t>第一章 招标公告</w:t>
      </w:r>
      <w:bookmarkEnd w:id="7"/>
      <w:bookmarkEnd w:id="8"/>
      <w:bookmarkEnd w:id="9"/>
      <w:bookmarkEnd w:id="11"/>
      <w:bookmarkEnd w:id="12"/>
      <w:bookmarkEnd w:id="13"/>
    </w:p>
    <w:p w14:paraId="6A2A729B">
      <w:pPr>
        <w:spacing w:line="440" w:lineRule="exact"/>
        <w:jc w:val="center"/>
        <w:rPr>
          <w:rFonts w:hint="eastAsia" w:ascii="宋体" w:hAnsi="宋体" w:cs="宋体"/>
          <w:b/>
          <w:color w:val="000000" w:themeColor="text1"/>
          <w:sz w:val="36"/>
          <w:szCs w:val="36"/>
          <w14:textFill>
            <w14:solidFill>
              <w14:schemeClr w14:val="tx1"/>
            </w14:solidFill>
          </w14:textFill>
        </w:rPr>
      </w:pPr>
      <w:bookmarkStart w:id="14" w:name="_Toc5043"/>
      <w:bookmarkStart w:id="15" w:name="_Toc247527551"/>
      <w:bookmarkStart w:id="16" w:name="_Toc152045527"/>
      <w:bookmarkStart w:id="17" w:name="_Toc247513950"/>
      <w:bookmarkStart w:id="18" w:name="_Toc152042303"/>
      <w:bookmarkStart w:id="19" w:name="_Toc144974495"/>
      <w:r>
        <w:rPr>
          <w:rFonts w:hint="eastAsia" w:ascii="宋体" w:hAnsi="宋体" w:cs="宋体"/>
          <w:b/>
          <w:color w:val="000000" w:themeColor="text1"/>
          <w:sz w:val="32"/>
          <w:szCs w:val="32"/>
          <w:lang w:eastAsia="zh-CN"/>
          <w14:textFill>
            <w14:solidFill>
              <w14:schemeClr w14:val="tx1"/>
            </w14:solidFill>
          </w14:textFill>
        </w:rPr>
        <w:t>蒙自（新亚太）零碳智慧冷链物流产业园区项目勘察、设计、采购、施工总承包（EPC）</w:t>
      </w:r>
      <w:r>
        <w:rPr>
          <w:rFonts w:hint="eastAsia" w:ascii="宋体" w:hAnsi="宋体" w:cs="宋体"/>
          <w:b/>
          <w:color w:val="000000" w:themeColor="text1"/>
          <w:sz w:val="36"/>
          <w:szCs w:val="36"/>
          <w14:textFill>
            <w14:solidFill>
              <w14:schemeClr w14:val="tx1"/>
            </w14:solidFill>
          </w14:textFill>
        </w:rPr>
        <w:t xml:space="preserve">  </w:t>
      </w:r>
    </w:p>
    <w:p w14:paraId="2EE66FC0">
      <w:pPr>
        <w:spacing w:line="440" w:lineRule="exact"/>
        <w:jc w:val="center"/>
        <w:rPr>
          <w:rFonts w:hint="eastAsia" w:ascii="宋体" w:hAnsi="宋体" w:cs="宋体"/>
          <w:b/>
          <w:color w:val="000000" w:themeColor="text1"/>
          <w:w w:val="90"/>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招标公告</w:t>
      </w:r>
    </w:p>
    <w:p w14:paraId="434BFD7E">
      <w:pPr>
        <w:spacing w:line="500" w:lineRule="exact"/>
        <w:jc w:val="center"/>
        <w:rPr>
          <w:rFonts w:hint="default"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招标编号：HHZB202</w:t>
      </w:r>
      <w:r>
        <w:rPr>
          <w:rFonts w:hint="eastAsia" w:ascii="宋体" w:hAnsi="宋体" w:cs="宋体"/>
          <w:color w:val="000000" w:themeColor="text1"/>
          <w:sz w:val="20"/>
          <w:szCs w:val="20"/>
          <w:lang w:val="en-US" w:eastAsia="zh-CN"/>
          <w14:textFill>
            <w14:solidFill>
              <w14:schemeClr w14:val="tx1"/>
            </w14:solidFill>
          </w14:textFill>
        </w:rPr>
        <w:t>60028</w:t>
      </w:r>
    </w:p>
    <w:bookmarkEnd w:id="14"/>
    <w:p w14:paraId="63FF2B17">
      <w:pPr>
        <w:pStyle w:val="96"/>
        <w:pageBreakBefore w:val="0"/>
        <w:kinsoku/>
        <w:wordWrap/>
        <w:overflowPunct/>
        <w:topLinePunct/>
        <w:autoSpaceDE/>
        <w:autoSpaceDN/>
        <w:bidi w:val="0"/>
        <w:adjustRightInd/>
        <w:snapToGrid/>
        <w:spacing w:before="0" w:line="360" w:lineRule="auto"/>
        <w:jc w:val="both"/>
        <w:textAlignment w:val="auto"/>
        <w:rPr>
          <w:rFonts w:hint="eastAsia" w:ascii="宋体" w:hAnsi="宋体" w:eastAsia="宋体"/>
          <w:b/>
          <w:color w:val="000000" w:themeColor="text1"/>
          <w:sz w:val="21"/>
          <w:szCs w:val="21"/>
          <w14:textFill>
            <w14:solidFill>
              <w14:schemeClr w14:val="tx1"/>
            </w14:solidFill>
          </w14:textFill>
        </w:rPr>
      </w:pPr>
      <w:bookmarkStart w:id="20" w:name="_Toc31883"/>
      <w:bookmarkStart w:id="21" w:name="_Toc247513934"/>
      <w:bookmarkStart w:id="22" w:name="_Toc247527535"/>
      <w:bookmarkStart w:id="23" w:name="_Toc54189758"/>
      <w:bookmarkStart w:id="24" w:name="_Toc152045512"/>
      <w:bookmarkStart w:id="25" w:name="_Toc511772034"/>
      <w:bookmarkStart w:id="26" w:name="_Toc144974480"/>
      <w:bookmarkStart w:id="27" w:name="_Toc152042288"/>
      <w:bookmarkStart w:id="28" w:name="_Toc5698"/>
      <w:bookmarkStart w:id="29" w:name="_Toc26505"/>
      <w:bookmarkStart w:id="30" w:name="_Toc434390679"/>
      <w:bookmarkStart w:id="31" w:name="_Toc54189774"/>
      <w:bookmarkStart w:id="32" w:name="_Toc29639"/>
      <w:bookmarkStart w:id="33" w:name="_Toc511772042"/>
      <w:bookmarkStart w:id="34" w:name="_Toc179715690"/>
      <w:r>
        <w:rPr>
          <w:rFonts w:hint="eastAsia" w:ascii="宋体" w:hAnsi="宋体" w:eastAsia="宋体"/>
          <w:b/>
          <w:color w:val="000000" w:themeColor="text1"/>
          <w:sz w:val="21"/>
          <w:szCs w:val="21"/>
          <w14:textFill>
            <w14:solidFill>
              <w14:schemeClr w14:val="tx1"/>
            </w14:solidFill>
          </w14:textFill>
        </w:rPr>
        <w:t>1.招标条件</w:t>
      </w:r>
      <w:bookmarkEnd w:id="20"/>
      <w:bookmarkEnd w:id="21"/>
      <w:bookmarkEnd w:id="22"/>
      <w:bookmarkEnd w:id="23"/>
      <w:bookmarkEnd w:id="24"/>
      <w:bookmarkEnd w:id="25"/>
      <w:bookmarkEnd w:id="26"/>
      <w:bookmarkEnd w:id="27"/>
      <w:bookmarkEnd w:id="28"/>
      <w:bookmarkEnd w:id="29"/>
    </w:p>
    <w:p w14:paraId="1BCB6402">
      <w:pPr>
        <w:pageBreakBefore w:val="0"/>
        <w:tabs>
          <w:tab w:val="left" w:pos="1980"/>
        </w:tabs>
        <w:kinsoku/>
        <w:wordWrap/>
        <w:overflowPunct/>
        <w:topLinePunct/>
        <w:autoSpaceDE/>
        <w:autoSpaceDN/>
        <w:bidi w:val="0"/>
        <w:adjustRightInd/>
        <w:snapToGrid/>
        <w:spacing w:line="360" w:lineRule="auto"/>
        <w:ind w:firstLine="420" w:firstLineChars="200"/>
        <w:jc w:val="both"/>
        <w:textAlignment w:val="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本招标项目</w:t>
      </w:r>
      <w:r>
        <w:rPr>
          <w:rFonts w:hint="eastAsia" w:ascii="宋体" w:hAnsi="宋体" w:cs="宋体"/>
          <w:color w:val="000000" w:themeColor="text1"/>
          <w:lang w:eastAsia="zh-CN"/>
          <w14:textFill>
            <w14:solidFill>
              <w14:schemeClr w14:val="tx1"/>
            </w14:solidFill>
          </w14:textFill>
        </w:rPr>
        <w:t>蒙自（新亚太）零碳智慧冷链物流产业园区项目</w:t>
      </w:r>
      <w:r>
        <w:rPr>
          <w:rFonts w:hint="eastAsia" w:ascii="宋体" w:hAnsi="宋体" w:cs="宋体"/>
          <w:color w:val="000000" w:themeColor="text1"/>
          <w14:textFill>
            <w14:solidFill>
              <w14:schemeClr w14:val="tx1"/>
            </w14:solidFill>
          </w14:textFill>
        </w:rPr>
        <w:t>已由</w:t>
      </w:r>
      <w:r>
        <w:rPr>
          <w:rFonts w:hint="eastAsia" w:ascii="宋体" w:hAnsi="宋体" w:cs="宋体"/>
          <w:color w:val="000000" w:themeColor="text1"/>
          <w:u w:val="single"/>
          <w:lang w:val="en-US" w:eastAsia="zh-CN"/>
          <w14:textFill>
            <w14:solidFill>
              <w14:schemeClr w14:val="tx1"/>
            </w14:solidFill>
          </w14:textFill>
        </w:rPr>
        <w:t>蒙自经济技术开发区管理委员会</w:t>
      </w:r>
      <w:r>
        <w:rPr>
          <w:rFonts w:hint="eastAsia" w:ascii="宋体" w:hAnsi="宋体" w:cs="宋体"/>
          <w:color w:val="000000" w:themeColor="text1"/>
          <w:u w:val="none"/>
          <w:lang w:val="en-US" w:eastAsia="zh-CN"/>
          <w14:textFill>
            <w14:solidFill>
              <w14:schemeClr w14:val="tx1"/>
            </w14:solidFill>
          </w14:textFill>
        </w:rPr>
        <w:t>完成备案，备案号为</w:t>
      </w:r>
      <w:r>
        <w:rPr>
          <w:rFonts w:hint="eastAsia" w:ascii="宋体" w:hAnsi="宋体" w:cs="宋体"/>
          <w:color w:val="000000" w:themeColor="text1"/>
          <w:u w:val="single"/>
          <w:lang w:val="en-US" w:eastAsia="zh-CN"/>
          <w14:textFill>
            <w14:solidFill>
              <w14:schemeClr w14:val="tx1"/>
            </w14:solidFill>
          </w14:textFill>
        </w:rPr>
        <w:t>2512-532599-89-01-732461</w:t>
      </w:r>
      <w:r>
        <w:rPr>
          <w:rFonts w:hint="eastAsia" w:ascii="宋体" w:hAnsi="宋体" w:cs="宋体"/>
          <w:color w:val="000000" w:themeColor="text1"/>
          <w14:textFill>
            <w14:solidFill>
              <w14:schemeClr w14:val="tx1"/>
            </w14:solidFill>
          </w14:textFill>
        </w:rPr>
        <w:t>，</w:t>
      </w:r>
      <w:r>
        <w:rPr>
          <w:rFonts w:hint="eastAsia" w:ascii="宋体" w:hAnsi="宋体" w:cs="宋体"/>
          <w:color w:val="000000" w:themeColor="text1"/>
          <w:lang w:val="en-US" w:eastAsia="zh-CN"/>
          <w14:textFill>
            <w14:solidFill>
              <w14:schemeClr w14:val="tx1"/>
            </w14:solidFill>
          </w14:textFill>
        </w:rPr>
        <w:t>项目业主</w:t>
      </w:r>
      <w:r>
        <w:rPr>
          <w:rFonts w:hint="eastAsia" w:ascii="宋体" w:hAnsi="宋体" w:cs="宋体"/>
          <w:color w:val="000000" w:themeColor="text1"/>
          <w14:textFill>
            <w14:solidFill>
              <w14:schemeClr w14:val="tx1"/>
            </w14:solidFill>
          </w14:textFill>
        </w:rPr>
        <w:t>为</w:t>
      </w:r>
      <w:r>
        <w:rPr>
          <w:rFonts w:hint="eastAsia" w:ascii="宋体" w:hAnsi="宋体" w:eastAsia="宋体" w:cs="宋体"/>
          <w:color w:val="000000" w:themeColor="text1"/>
          <w:kern w:val="2"/>
          <w:sz w:val="21"/>
          <w:szCs w:val="24"/>
          <w:lang w:val="en-US" w:eastAsia="zh-CN" w:bidi="ar-SA"/>
          <w14:textFill>
            <w14:solidFill>
              <w14:schemeClr w14:val="tx1"/>
            </w14:solidFill>
          </w14:textFill>
        </w:rPr>
        <w:t>中能国和（云南）控股有限公司</w:t>
      </w:r>
      <w:r>
        <w:rPr>
          <w:rFonts w:hint="eastAsia" w:ascii="宋体" w:hAnsi="宋体" w:cs="宋体"/>
          <w:color w:val="000000" w:themeColor="text1"/>
          <w:lang w:val="en-US" w:eastAsia="zh-CN"/>
          <w14:textFill>
            <w14:solidFill>
              <w14:schemeClr w14:val="tx1"/>
            </w14:solidFill>
          </w14:textFill>
        </w:rPr>
        <w:t>，</w:t>
      </w:r>
      <w:r>
        <w:rPr>
          <w:rFonts w:hint="eastAsia" w:ascii="宋体" w:hAnsi="宋体" w:cs="宋体"/>
          <w:color w:val="000000" w:themeColor="text1"/>
          <w14:textFill>
            <w14:solidFill>
              <w14:schemeClr w14:val="tx1"/>
            </w14:solidFill>
          </w14:textFill>
        </w:rPr>
        <w:t>建设资金来源为</w:t>
      </w:r>
      <w:r>
        <w:rPr>
          <w:rFonts w:hint="eastAsia" w:ascii="宋体" w:hAnsi="宋体" w:cs="宋体"/>
          <w:color w:val="000000" w:themeColor="text1"/>
          <w:u w:val="single"/>
          <w:lang w:val="en-US" w:eastAsia="zh-CN"/>
          <w14:textFill>
            <w14:solidFill>
              <w14:schemeClr w14:val="tx1"/>
            </w14:solidFill>
          </w14:textFill>
        </w:rPr>
        <w:t>自有及其他资金</w:t>
      </w:r>
      <w:r>
        <w:rPr>
          <w:rFonts w:hint="eastAsia" w:ascii="宋体" w:hAnsi="宋体" w:cs="宋体"/>
          <w:color w:val="000000" w:themeColor="text1"/>
          <w14:textFill>
            <w14:solidFill>
              <w14:schemeClr w14:val="tx1"/>
            </w14:solidFill>
          </w14:textFill>
        </w:rPr>
        <w:t>。项目已具备招标条件，现对</w:t>
      </w:r>
      <w:r>
        <w:rPr>
          <w:rFonts w:hint="eastAsia" w:ascii="宋体" w:hAnsi="宋体" w:eastAsia="宋体" w:cs="宋体"/>
          <w:color w:val="000000" w:themeColor="text1"/>
          <w:kern w:val="2"/>
          <w:sz w:val="21"/>
          <w:szCs w:val="24"/>
          <w:u w:val="single"/>
          <w:lang w:val="en-US" w:eastAsia="zh-CN" w:bidi="ar-SA"/>
          <w14:textFill>
            <w14:solidFill>
              <w14:schemeClr w14:val="tx1"/>
            </w14:solidFill>
          </w14:textFill>
        </w:rPr>
        <w:t>蒙自（新亚太）零碳智慧冷链物流产业园区项目</w:t>
      </w:r>
      <w:r>
        <w:rPr>
          <w:rFonts w:hint="eastAsia" w:ascii="宋体" w:hAnsi="宋体" w:cs="宋体"/>
          <w:color w:val="000000" w:themeColor="text1"/>
          <w14:textFill>
            <w14:solidFill>
              <w14:schemeClr w14:val="tx1"/>
            </w14:solidFill>
          </w14:textFill>
        </w:rPr>
        <w:t>进行勘察设计</w:t>
      </w:r>
      <w:r>
        <w:rPr>
          <w:rFonts w:hint="eastAsia" w:ascii="宋体" w:hAnsi="宋体" w:cs="宋体"/>
          <w:color w:val="000000" w:themeColor="text1"/>
          <w:lang w:val="en-US" w:eastAsia="zh-CN"/>
          <w14:textFill>
            <w14:solidFill>
              <w14:schemeClr w14:val="tx1"/>
            </w14:solidFill>
          </w14:textFill>
        </w:rPr>
        <w:t>采购</w:t>
      </w:r>
      <w:r>
        <w:rPr>
          <w:rFonts w:hint="eastAsia" w:ascii="宋体" w:hAnsi="宋体" w:cs="宋体"/>
          <w:color w:val="000000" w:themeColor="text1"/>
          <w14:textFill>
            <w14:solidFill>
              <w14:schemeClr w14:val="tx1"/>
            </w14:solidFill>
          </w14:textFill>
        </w:rPr>
        <w:t>施工总承包公开招标，特邀请有兴趣的潜在投标人参加投标。</w:t>
      </w:r>
    </w:p>
    <w:p w14:paraId="1507E5C9">
      <w:pPr>
        <w:pStyle w:val="96"/>
        <w:pageBreakBefore w:val="0"/>
        <w:kinsoku/>
        <w:wordWrap/>
        <w:overflowPunct/>
        <w:topLinePunct/>
        <w:autoSpaceDE/>
        <w:autoSpaceDN/>
        <w:bidi w:val="0"/>
        <w:adjustRightInd/>
        <w:snapToGrid/>
        <w:spacing w:before="0" w:line="360" w:lineRule="auto"/>
        <w:jc w:val="both"/>
        <w:textAlignment w:val="auto"/>
        <w:rPr>
          <w:rFonts w:hint="eastAsia" w:ascii="宋体" w:hAnsi="宋体" w:eastAsia="宋体"/>
          <w:b/>
          <w:color w:val="000000" w:themeColor="text1"/>
          <w:sz w:val="21"/>
          <w:szCs w:val="21"/>
          <w14:textFill>
            <w14:solidFill>
              <w14:schemeClr w14:val="tx1"/>
            </w14:solidFill>
          </w14:textFill>
        </w:rPr>
      </w:pPr>
      <w:bookmarkStart w:id="35" w:name="_Toc460833202"/>
      <w:bookmarkStart w:id="36" w:name="_Toc54189759"/>
      <w:bookmarkStart w:id="37" w:name="_Toc9681"/>
      <w:bookmarkStart w:id="38" w:name="_Toc5333"/>
      <w:bookmarkStart w:id="39" w:name="_Toc461443948"/>
      <w:bookmarkStart w:id="40" w:name="_Toc511772035"/>
      <w:bookmarkStart w:id="41" w:name="_Toc3203"/>
      <w:bookmarkStart w:id="42" w:name="_Toc434390673"/>
      <w:r>
        <w:rPr>
          <w:rFonts w:hint="eastAsia" w:ascii="宋体" w:hAnsi="宋体" w:eastAsia="宋体"/>
          <w:b/>
          <w:color w:val="000000" w:themeColor="text1"/>
          <w:sz w:val="21"/>
          <w:szCs w:val="21"/>
          <w14:textFill>
            <w14:solidFill>
              <w14:schemeClr w14:val="tx1"/>
            </w14:solidFill>
          </w14:textFill>
        </w:rPr>
        <w:t>2.项目概况与招标范围</w:t>
      </w:r>
      <w:bookmarkEnd w:id="35"/>
      <w:bookmarkEnd w:id="36"/>
      <w:bookmarkEnd w:id="37"/>
      <w:bookmarkEnd w:id="38"/>
      <w:bookmarkEnd w:id="39"/>
      <w:bookmarkEnd w:id="40"/>
      <w:bookmarkEnd w:id="41"/>
      <w:bookmarkEnd w:id="42"/>
    </w:p>
    <w:p w14:paraId="2B4C711F">
      <w:pPr>
        <w:pageBreakBefore w:val="0"/>
        <w:tabs>
          <w:tab w:val="left" w:pos="1980"/>
        </w:tabs>
        <w:kinsoku/>
        <w:wordWrap/>
        <w:overflowPunct/>
        <w:topLinePunct/>
        <w:autoSpaceDE/>
        <w:autoSpaceDN/>
        <w:bidi w:val="0"/>
        <w:adjustRightInd/>
        <w:snapToGrid/>
        <w:spacing w:line="360" w:lineRule="auto"/>
        <w:ind w:firstLine="420" w:firstLineChars="200"/>
        <w:jc w:val="both"/>
        <w:textAlignment w:val="auto"/>
        <w:rPr>
          <w:rFonts w:hint="eastAsia" w:ascii="宋体" w:hAnsi="宋体" w:cs="宋体"/>
          <w:color w:val="000000" w:themeColor="text1"/>
          <w14:textFill>
            <w14:solidFill>
              <w14:schemeClr w14:val="tx1"/>
            </w14:solidFill>
          </w14:textFill>
        </w:rPr>
      </w:pPr>
      <w:bookmarkStart w:id="43" w:name="_Toc144974396"/>
      <w:bookmarkStart w:id="44" w:name="_Toc179715685"/>
      <w:bookmarkStart w:id="45" w:name="_Toc152047193"/>
      <w:bookmarkStart w:id="46" w:name="_Toc13327"/>
      <w:bookmarkStart w:id="47" w:name="_Toc461443949"/>
      <w:bookmarkStart w:id="48" w:name="_Toc460833203"/>
      <w:bookmarkStart w:id="49" w:name="_Toc511772036"/>
      <w:bookmarkStart w:id="50" w:name="_Toc434390674"/>
      <w:bookmarkStart w:id="51" w:name="_Toc54189760"/>
      <w:bookmarkStart w:id="52" w:name="_Toc7671"/>
      <w:bookmarkStart w:id="53" w:name="_Toc29558"/>
      <w:r>
        <w:rPr>
          <w:rFonts w:hint="eastAsia" w:ascii="宋体" w:hAnsi="宋体" w:cs="宋体"/>
          <w:color w:val="000000" w:themeColor="text1"/>
          <w14:textFill>
            <w14:solidFill>
              <w14:schemeClr w14:val="tx1"/>
            </w14:solidFill>
          </w14:textFill>
        </w:rPr>
        <w:t>2.1  建设地点：</w:t>
      </w:r>
      <w:r>
        <w:rPr>
          <w:rFonts w:hint="eastAsia" w:ascii="宋体" w:hAnsi="宋体" w:cs="宋体"/>
          <w:color w:val="000000" w:themeColor="text1"/>
          <w:lang w:val="en-US" w:eastAsia="zh-CN"/>
          <w14:textFill>
            <w14:solidFill>
              <w14:schemeClr w14:val="tx1"/>
            </w14:solidFill>
          </w14:textFill>
        </w:rPr>
        <w:t>红河州蒙自市雨过铺街道田心村云南新亚太物流港</w:t>
      </w:r>
      <w:r>
        <w:rPr>
          <w:rFonts w:hint="eastAsia" w:ascii="宋体" w:hAnsi="宋体" w:cs="宋体"/>
          <w:color w:val="000000" w:themeColor="text1"/>
          <w14:textFill>
            <w14:solidFill>
              <w14:schemeClr w14:val="tx1"/>
            </w14:solidFill>
          </w14:textFill>
        </w:rPr>
        <w:t>。</w:t>
      </w:r>
    </w:p>
    <w:p w14:paraId="449384E4">
      <w:pPr>
        <w:pageBreakBefore w:val="0"/>
        <w:tabs>
          <w:tab w:val="left" w:pos="1980"/>
        </w:tabs>
        <w:kinsoku/>
        <w:wordWrap/>
        <w:overflowPunct/>
        <w:topLinePunct/>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kern w:val="2"/>
          <w:sz w:val="21"/>
          <w:szCs w:val="24"/>
          <w:lang w:val="en-US" w:eastAsia="zh-CN" w:bidi="ar-SA"/>
          <w14:textFill>
            <w14:solidFill>
              <w14:schemeClr w14:val="tx1"/>
            </w14:solidFill>
          </w14:textFill>
        </w:rPr>
      </w:pPr>
      <w:r>
        <w:rPr>
          <w:rFonts w:hint="eastAsia" w:ascii="宋体" w:hAnsi="宋体" w:cs="宋体"/>
          <w:color w:val="000000" w:themeColor="text1"/>
          <w14:textFill>
            <w14:solidFill>
              <w14:schemeClr w14:val="tx1"/>
            </w14:solidFill>
          </w14:textFill>
        </w:rPr>
        <w:t>2.2  建设内容：</w:t>
      </w:r>
      <w:r>
        <w:rPr>
          <w:rFonts w:hint="eastAsia" w:ascii="宋体" w:hAnsi="宋体" w:eastAsia="宋体" w:cs="宋体"/>
          <w:color w:val="000000" w:themeColor="text1"/>
          <w:kern w:val="2"/>
          <w:sz w:val="21"/>
          <w:szCs w:val="24"/>
          <w:lang w:val="en-US" w:eastAsia="zh-CN" w:bidi="ar-SA"/>
          <w14:textFill>
            <w14:solidFill>
              <w14:schemeClr w14:val="tx1"/>
            </w14:solidFill>
          </w14:textFill>
        </w:rPr>
        <w:t>规划用地面积 159.7亩。立体 冷链库 38400 平方米，库容量:19.2万吨。其中：低温库（-25℃至 0℃） 9600 平方米，容量 4.8 万吨；高温库（0℃至15℃）14400 平方 米，容量 7.2 万吨；恒温库（10℃至25℃）4800 平方米，容量 2.4 万 吨；气调库CA（-10℃至15℃）9600 平方米，容量 4.8 万吨。农产品集 采集配中心12000平方米；恒温分拣加工中心 20655</w:t>
      </w:r>
      <w:r>
        <w:rPr>
          <w:rFonts w:hint="eastAsia" w:ascii="宋体" w:hAnsi="宋体" w:eastAsia="宋体" w:cs="宋体"/>
          <w:color w:val="000000" w:themeColor="text1"/>
          <w:kern w:val="2"/>
          <w:sz w:val="21"/>
          <w:szCs w:val="24"/>
          <w:highlight w:val="none"/>
          <w:lang w:val="en-US" w:eastAsia="zh-CN" w:bidi="ar-SA"/>
          <w14:textFill>
            <w14:solidFill>
              <w14:schemeClr w14:val="tx1"/>
            </w14:solidFill>
          </w14:textFill>
        </w:rPr>
        <w:t xml:space="preserve"> 平方米，现代服务型商业建筑65820平方米，其中产业综合楼26201平方米，商业配套楼 34219 平方米，总部大楼 5409 平方米。同时</w:t>
      </w:r>
      <w:r>
        <w:rPr>
          <w:rFonts w:hint="eastAsia" w:ascii="宋体" w:hAnsi="宋体" w:cs="宋体"/>
          <w:color w:val="000000" w:themeColor="text1"/>
          <w:kern w:val="2"/>
          <w:sz w:val="21"/>
          <w:szCs w:val="24"/>
          <w:highlight w:val="none"/>
          <w:lang w:val="en-US" w:eastAsia="zh-CN" w:bidi="ar-SA"/>
          <w14:textFill>
            <w14:solidFill>
              <w14:schemeClr w14:val="tx1"/>
            </w14:solidFill>
          </w14:textFill>
        </w:rPr>
        <w:t>，</w:t>
      </w:r>
      <w:r>
        <w:rPr>
          <w:rFonts w:hint="eastAsia" w:ascii="宋体" w:hAnsi="宋体" w:eastAsia="宋体" w:cs="宋体"/>
          <w:color w:val="000000" w:themeColor="text1"/>
          <w:kern w:val="2"/>
          <w:sz w:val="21"/>
          <w:szCs w:val="24"/>
          <w:highlight w:val="none"/>
          <w:lang w:val="en-US" w:eastAsia="zh-CN" w:bidi="ar-SA"/>
          <w14:textFill>
            <w14:solidFill>
              <w14:schemeClr w14:val="tx1"/>
            </w14:solidFill>
          </w14:textFill>
        </w:rPr>
        <w:t>建设 BIPV+BAPV分布式光伏系统，装机容量AC-25MWp，储能系统容量 2MW/8MWh 的供能系统，项目实施过</w:t>
      </w:r>
      <w:r>
        <w:rPr>
          <w:rFonts w:hint="eastAsia" w:ascii="宋体" w:hAnsi="宋体" w:eastAsia="宋体" w:cs="宋体"/>
          <w:color w:val="000000" w:themeColor="text1"/>
          <w:kern w:val="2"/>
          <w:sz w:val="21"/>
          <w:szCs w:val="24"/>
          <w:lang w:val="en-US" w:eastAsia="zh-CN" w:bidi="ar-SA"/>
          <w14:textFill>
            <w14:solidFill>
              <w14:schemeClr w14:val="tx1"/>
            </w14:solidFill>
          </w14:textFill>
        </w:rPr>
        <w:t xml:space="preserve">程中，同步投资建设云南省老兵到家五级交易流通体系，项目解决农产 品上行、工业品下行和退伍军人就业创业问题。建筑面积以最终的设计方案为准。  </w:t>
      </w:r>
    </w:p>
    <w:p w14:paraId="5C31F0CE">
      <w:pPr>
        <w:pageBreakBefore w:val="0"/>
        <w:tabs>
          <w:tab w:val="left" w:pos="1980"/>
        </w:tabs>
        <w:kinsoku/>
        <w:wordWrap/>
        <w:overflowPunct/>
        <w:topLinePunct/>
        <w:autoSpaceDE/>
        <w:autoSpaceDN/>
        <w:bidi w:val="0"/>
        <w:adjustRightInd/>
        <w:snapToGrid/>
        <w:spacing w:line="360" w:lineRule="auto"/>
        <w:ind w:firstLine="420" w:firstLineChars="200"/>
        <w:jc w:val="both"/>
        <w:textAlignment w:val="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2.3  计划总投资：</w:t>
      </w:r>
      <w:r>
        <w:rPr>
          <w:rFonts w:hint="eastAsia" w:ascii="宋体" w:hAnsi="宋体" w:cs="宋体"/>
          <w:color w:val="000000" w:themeColor="text1"/>
          <w:lang w:eastAsia="zh-CN"/>
          <w14:textFill>
            <w14:solidFill>
              <w14:schemeClr w14:val="tx1"/>
            </w14:solidFill>
          </w14:textFill>
        </w:rPr>
        <w:t>蒙自（新亚太）零碳智慧冷链物流产业园区项目</w:t>
      </w:r>
      <w:r>
        <w:rPr>
          <w:rFonts w:hint="eastAsia" w:ascii="宋体" w:hAnsi="宋体" w:cs="宋体"/>
          <w:color w:val="000000" w:themeColor="text1"/>
          <w14:textFill>
            <w14:solidFill>
              <w14:schemeClr w14:val="tx1"/>
            </w14:solidFill>
          </w14:textFill>
        </w:rPr>
        <w:t>总投资为</w:t>
      </w:r>
      <w:r>
        <w:rPr>
          <w:rFonts w:hint="eastAsia" w:ascii="宋体" w:hAnsi="宋体" w:cs="宋体"/>
          <w:color w:val="000000" w:themeColor="text1"/>
          <w:lang w:val="en-US" w:eastAsia="zh-CN"/>
          <w14:textFill>
            <w14:solidFill>
              <w14:schemeClr w14:val="tx1"/>
            </w14:solidFill>
          </w14:textFill>
        </w:rPr>
        <w:t>128420</w:t>
      </w:r>
      <w:r>
        <w:rPr>
          <w:rFonts w:hint="eastAsia" w:ascii="宋体" w:hAnsi="宋体" w:cs="宋体"/>
          <w:color w:val="000000" w:themeColor="text1"/>
          <w14:textFill>
            <w14:solidFill>
              <w14:schemeClr w14:val="tx1"/>
            </w14:solidFill>
          </w14:textFill>
        </w:rPr>
        <w:t>万元</w:t>
      </w:r>
      <w:r>
        <w:rPr>
          <w:rFonts w:hint="eastAsia" w:ascii="宋体" w:hAnsi="宋体" w:cs="宋体"/>
          <w:color w:val="000000" w:themeColor="text1"/>
          <w:lang w:eastAsia="zh-CN"/>
          <w14:textFill>
            <w14:solidFill>
              <w14:schemeClr w14:val="tx1"/>
            </w14:solidFill>
          </w14:textFill>
        </w:rPr>
        <w:t>，</w:t>
      </w:r>
      <w:r>
        <w:rPr>
          <w:rFonts w:hint="eastAsia" w:ascii="宋体" w:hAnsi="宋体" w:cs="宋体"/>
          <w:color w:val="000000" w:themeColor="text1"/>
          <w:lang w:val="en-US" w:eastAsia="zh-CN"/>
          <w14:textFill>
            <w14:solidFill>
              <w14:schemeClr w14:val="tx1"/>
            </w14:solidFill>
          </w14:textFill>
        </w:rPr>
        <w:t>其中建筑安装工程费107442万元</w:t>
      </w:r>
      <w:r>
        <w:rPr>
          <w:rFonts w:hint="eastAsia"/>
          <w:color w:val="000000" w:themeColor="text1"/>
          <w:lang w:val="en-US" w:eastAsia="zh-CN"/>
          <w14:textFill>
            <w14:solidFill>
              <w14:schemeClr w14:val="tx1"/>
            </w14:solidFill>
          </w14:textFill>
        </w:rPr>
        <w:t>。</w:t>
      </w:r>
    </w:p>
    <w:p w14:paraId="1FDA658F">
      <w:pPr>
        <w:pageBreakBefore w:val="0"/>
        <w:tabs>
          <w:tab w:val="left" w:pos="1980"/>
        </w:tabs>
        <w:kinsoku/>
        <w:wordWrap/>
        <w:overflowPunct/>
        <w:topLinePunct/>
        <w:autoSpaceDE/>
        <w:autoSpaceDN/>
        <w:bidi w:val="0"/>
        <w:adjustRightInd/>
        <w:snapToGrid/>
        <w:spacing w:line="360" w:lineRule="auto"/>
        <w:ind w:firstLine="420" w:firstLineChars="200"/>
        <w:jc w:val="both"/>
        <w:textAlignment w:val="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2.4  计划工期：总工期</w:t>
      </w:r>
      <w:r>
        <w:rPr>
          <w:rFonts w:hint="eastAsia" w:ascii="宋体" w:hAnsi="宋体" w:cs="宋体"/>
          <w:color w:val="000000" w:themeColor="text1"/>
          <w:highlight w:val="none"/>
          <w:lang w:val="en-US" w:eastAsia="zh-CN"/>
          <w14:textFill>
            <w14:solidFill>
              <w14:schemeClr w14:val="tx1"/>
            </w14:solidFill>
          </w14:textFill>
        </w:rPr>
        <w:t>24</w:t>
      </w:r>
      <w:r>
        <w:rPr>
          <w:rFonts w:hint="eastAsia" w:ascii="宋体" w:hAnsi="宋体" w:cs="宋体"/>
          <w:color w:val="000000" w:themeColor="text1"/>
          <w:highlight w:val="none"/>
          <w14:textFill>
            <w14:solidFill>
              <w14:schemeClr w14:val="tx1"/>
            </w14:solidFill>
          </w14:textFill>
        </w:rPr>
        <w:t>个月，其中勘察周期</w:t>
      </w:r>
      <w:r>
        <w:rPr>
          <w:rFonts w:hint="eastAsia" w:ascii="宋体" w:hAnsi="宋体" w:cs="宋体"/>
          <w:color w:val="000000" w:themeColor="text1"/>
          <w:highlight w:val="none"/>
          <w:lang w:val="en-US" w:eastAsia="zh-CN"/>
          <w14:textFill>
            <w14:solidFill>
              <w14:schemeClr w14:val="tx1"/>
            </w14:solidFill>
          </w14:textFill>
        </w:rPr>
        <w:t>20</w:t>
      </w:r>
      <w:r>
        <w:rPr>
          <w:rFonts w:hint="eastAsia" w:ascii="宋体" w:hAnsi="宋体" w:cs="宋体"/>
          <w:color w:val="000000" w:themeColor="text1"/>
          <w:highlight w:val="none"/>
          <w14:textFill>
            <w14:solidFill>
              <w14:schemeClr w14:val="tx1"/>
            </w14:solidFill>
          </w14:textFill>
        </w:rPr>
        <w:t>日历天，设计周期</w:t>
      </w:r>
      <w:r>
        <w:rPr>
          <w:rFonts w:hint="eastAsia" w:ascii="宋体" w:hAnsi="宋体" w:cs="宋体"/>
          <w:color w:val="000000" w:themeColor="text1"/>
          <w:highlight w:val="none"/>
          <w:lang w:val="en-US" w:eastAsia="zh-CN"/>
          <w14:textFill>
            <w14:solidFill>
              <w14:schemeClr w14:val="tx1"/>
            </w14:solidFill>
          </w14:textFill>
        </w:rPr>
        <w:t>9</w:t>
      </w:r>
      <w:r>
        <w:rPr>
          <w:rFonts w:hint="eastAsia" w:ascii="宋体" w:hAnsi="宋体" w:cs="宋体"/>
          <w:color w:val="000000" w:themeColor="text1"/>
          <w:highlight w:val="none"/>
          <w14:textFill>
            <w14:solidFill>
              <w14:schemeClr w14:val="tx1"/>
            </w14:solidFill>
          </w14:textFill>
        </w:rPr>
        <w:t>0日历天（含初步设计</w:t>
      </w:r>
      <w:r>
        <w:rPr>
          <w:rFonts w:hint="eastAsia" w:ascii="宋体" w:hAnsi="宋体" w:cs="宋体"/>
          <w:color w:val="000000" w:themeColor="text1"/>
          <w:highlight w:val="none"/>
          <w:lang w:val="en-US" w:eastAsia="zh-CN"/>
          <w14:textFill>
            <w14:solidFill>
              <w14:schemeClr w14:val="tx1"/>
            </w14:solidFill>
          </w14:textFill>
        </w:rPr>
        <w:t>3</w:t>
      </w:r>
      <w:r>
        <w:rPr>
          <w:rFonts w:hint="eastAsia" w:ascii="宋体" w:hAnsi="宋体" w:cs="宋体"/>
          <w:color w:val="000000" w:themeColor="text1"/>
          <w:highlight w:val="none"/>
          <w14:textFill>
            <w14:solidFill>
              <w14:schemeClr w14:val="tx1"/>
            </w14:solidFill>
          </w14:textFill>
        </w:rPr>
        <w:t>0日历天，施工图设计</w:t>
      </w:r>
      <w:r>
        <w:rPr>
          <w:rFonts w:hint="eastAsia" w:ascii="宋体" w:hAnsi="宋体" w:cs="宋体"/>
          <w:color w:val="000000" w:themeColor="text1"/>
          <w:highlight w:val="none"/>
          <w:lang w:val="en-US" w:eastAsia="zh-CN"/>
          <w14:textFill>
            <w14:solidFill>
              <w14:schemeClr w14:val="tx1"/>
            </w14:solidFill>
          </w14:textFill>
        </w:rPr>
        <w:t>6</w:t>
      </w:r>
      <w:r>
        <w:rPr>
          <w:rFonts w:hint="eastAsia" w:ascii="宋体" w:hAnsi="宋体" w:cs="宋体"/>
          <w:color w:val="000000" w:themeColor="text1"/>
          <w:highlight w:val="none"/>
          <w14:textFill>
            <w14:solidFill>
              <w14:schemeClr w14:val="tx1"/>
            </w14:solidFill>
          </w14:textFill>
        </w:rPr>
        <w:t>0日历天）。</w:t>
      </w:r>
    </w:p>
    <w:p w14:paraId="3BBC3BE4">
      <w:pPr>
        <w:pageBreakBefore w:val="0"/>
        <w:tabs>
          <w:tab w:val="left" w:pos="1980"/>
        </w:tabs>
        <w:kinsoku/>
        <w:wordWrap/>
        <w:overflowPunct/>
        <w:topLinePunct/>
        <w:autoSpaceDE/>
        <w:autoSpaceDN/>
        <w:bidi w:val="0"/>
        <w:adjustRightInd/>
        <w:snapToGrid/>
        <w:spacing w:line="360" w:lineRule="auto"/>
        <w:ind w:firstLine="420" w:firstLineChars="200"/>
        <w:jc w:val="both"/>
        <w:textAlignment w:val="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2.5 </w:t>
      </w:r>
      <w:r>
        <w:rPr>
          <w:rFonts w:hint="eastAsia" w:ascii="宋体" w:hAnsi="宋体" w:cs="宋体"/>
          <w:color w:val="000000" w:themeColor="text1"/>
          <w:lang w:val="en-US" w:eastAsia="zh-CN"/>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招标范围：</w:t>
      </w:r>
      <w:r>
        <w:rPr>
          <w:rFonts w:hint="eastAsia" w:ascii="宋体" w:hAnsi="宋体" w:cs="宋体"/>
          <w:color w:val="000000" w:themeColor="text1"/>
          <w:lang w:val="en-US" w:eastAsia="zh-CN"/>
          <w14:textFill>
            <w14:solidFill>
              <w14:schemeClr w14:val="tx1"/>
            </w14:solidFill>
          </w14:textFill>
        </w:rPr>
        <w:t>完成</w:t>
      </w:r>
      <w:r>
        <w:rPr>
          <w:rFonts w:hint="eastAsia" w:ascii="宋体" w:hAnsi="宋体" w:eastAsia="宋体" w:cs="宋体"/>
          <w:color w:val="000000" w:themeColor="text1"/>
          <w:kern w:val="2"/>
          <w:sz w:val="21"/>
          <w:szCs w:val="24"/>
          <w:lang w:val="en-US" w:eastAsia="zh-CN" w:bidi="ar-SA"/>
          <w14:textFill>
            <w14:solidFill>
              <w14:schemeClr w14:val="tx1"/>
            </w14:solidFill>
          </w14:textFill>
        </w:rPr>
        <w:t>蒙自（新亚太）零碳智慧冷链物流产业园区项目</w:t>
      </w:r>
      <w:r>
        <w:rPr>
          <w:rFonts w:hint="eastAsia" w:ascii="宋体" w:hAnsi="宋体" w:cs="宋体"/>
          <w:color w:val="000000" w:themeColor="text1"/>
          <w14:textFill>
            <w14:solidFill>
              <w14:schemeClr w14:val="tx1"/>
            </w14:solidFill>
          </w14:textFill>
        </w:rPr>
        <w:t xml:space="preserve">的勘察（含初步勘察、详细勘察）、初步设计、施工图设计及后续服务、材料设备采购安装及施工总承包，并对工程的质量、安全、工期和造价等全面负责。 </w:t>
      </w:r>
    </w:p>
    <w:p w14:paraId="2953024E">
      <w:pPr>
        <w:pageBreakBefore w:val="0"/>
        <w:tabs>
          <w:tab w:val="left" w:pos="1980"/>
        </w:tabs>
        <w:kinsoku/>
        <w:wordWrap/>
        <w:overflowPunct/>
        <w:topLinePunct/>
        <w:autoSpaceDE/>
        <w:autoSpaceDN/>
        <w:bidi w:val="0"/>
        <w:adjustRightInd/>
        <w:snapToGrid/>
        <w:spacing w:line="360" w:lineRule="auto"/>
        <w:ind w:firstLine="420" w:firstLineChars="200"/>
        <w:jc w:val="both"/>
        <w:textAlignment w:val="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2.6</w:t>
      </w:r>
      <w:r>
        <w:rPr>
          <w:rFonts w:hint="eastAsia" w:ascii="宋体" w:hAnsi="宋体" w:cs="宋体"/>
          <w:color w:val="000000" w:themeColor="text1"/>
          <w:lang w:val="en-US" w:eastAsia="zh-CN"/>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质量要求：</w:t>
      </w:r>
    </w:p>
    <w:p w14:paraId="29BAD9B6">
      <w:pPr>
        <w:pageBreakBefore w:val="0"/>
        <w:kinsoku/>
        <w:wordWrap/>
        <w:overflowPunct/>
        <w:topLinePunct/>
        <w:autoSpaceDE/>
        <w:autoSpaceDN/>
        <w:bidi w:val="0"/>
        <w:adjustRightInd/>
        <w:snapToGrid/>
        <w:spacing w:line="360" w:lineRule="auto"/>
        <w:ind w:right="-109" w:rightChars="-52" w:firstLine="420" w:firstLineChars="200"/>
        <w:jc w:val="both"/>
        <w:textAlignment w:val="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勘察质量标准：符合《岩土工程勘察规范》规定的质量验收标准，并满足设计及审查要求，通过有关部门的审查。</w:t>
      </w:r>
    </w:p>
    <w:p w14:paraId="2A1BD20C">
      <w:pPr>
        <w:pageBreakBefore w:val="0"/>
        <w:kinsoku/>
        <w:wordWrap/>
        <w:overflowPunct/>
        <w:topLinePunct/>
        <w:autoSpaceDE/>
        <w:autoSpaceDN/>
        <w:bidi w:val="0"/>
        <w:adjustRightInd/>
        <w:snapToGrid/>
        <w:spacing w:line="360" w:lineRule="auto"/>
        <w:ind w:right="-109" w:rightChars="-52" w:firstLine="420" w:firstLineChars="200"/>
        <w:jc w:val="both"/>
        <w:textAlignment w:val="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设计质量标准：符合国家、行业及地方现行的相关标准及规范，设计成果通过有关部门的审查； </w:t>
      </w:r>
    </w:p>
    <w:p w14:paraId="4C31D4DC">
      <w:pPr>
        <w:pageBreakBefore w:val="0"/>
        <w:tabs>
          <w:tab w:val="left" w:pos="1980"/>
        </w:tabs>
        <w:kinsoku/>
        <w:wordWrap/>
        <w:overflowPunct/>
        <w:topLinePunct/>
        <w:autoSpaceDE/>
        <w:autoSpaceDN/>
        <w:bidi w:val="0"/>
        <w:adjustRightInd/>
        <w:snapToGrid/>
        <w:spacing w:line="360" w:lineRule="auto"/>
        <w:ind w:firstLine="420" w:firstLineChars="200"/>
        <w:jc w:val="both"/>
        <w:textAlignment w:val="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施工质量标准：应符合现行的国家、地方相关质量标准和技术规范，并执行《建设项目工程总承包管理规范》（GB/T50358-2017）、《建筑工程施工质量统一验收标准》（GB50300-2013）要求，并确保一次性验收合格。</w:t>
      </w:r>
    </w:p>
    <w:p w14:paraId="05DA6803">
      <w:pPr>
        <w:pageBreakBefore w:val="0"/>
        <w:widowControl w:val="0"/>
        <w:tabs>
          <w:tab w:val="left" w:pos="1980"/>
        </w:tabs>
        <w:kinsoku/>
        <w:wordWrap/>
        <w:overflowPunct/>
        <w:topLinePunct/>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kern w:val="2"/>
          <w:sz w:val="21"/>
          <w:szCs w:val="24"/>
          <w:lang w:val="en-US" w:eastAsia="zh-CN" w:bidi="ar-SA"/>
          <w14:textFill>
            <w14:solidFill>
              <w14:schemeClr w14:val="tx1"/>
            </w14:solidFill>
          </w14:textFill>
        </w:rPr>
      </w:pPr>
      <w:r>
        <w:rPr>
          <w:rFonts w:hint="eastAsia" w:ascii="宋体" w:hAnsi="宋体" w:eastAsia="宋体" w:cs="宋体"/>
          <w:color w:val="000000" w:themeColor="text1"/>
          <w:kern w:val="2"/>
          <w:sz w:val="21"/>
          <w:szCs w:val="24"/>
          <w:lang w:val="en-US" w:eastAsia="zh-CN" w:bidi="ar-SA"/>
          <w14:textFill>
            <w14:solidFill>
              <w14:schemeClr w14:val="tx1"/>
            </w14:solidFill>
          </w14:textFill>
        </w:rPr>
        <w:t>设备质量标准：应格符合国家、行业及云南省现行相关产品质量标准、技术规范及安全认证要求（如 CE、CCC 等强制性认证）；设备性能参数需全面满足项目设计文件、招标文件及合同约定的技术指标，且设备出厂前须经制造商全性能检测合格并提供完整检测报告；设备到场后需通过建设单位、监理单位、施工单位联合开箱检验，安装调试后应达到设计运行效率，确保通过竣工验收及相关主管部门的专项检测备案，质保期内满足正常运行及维护要求。</w:t>
      </w:r>
    </w:p>
    <w:p w14:paraId="7DB56582">
      <w:pPr>
        <w:pageBreakBefore w:val="0"/>
        <w:tabs>
          <w:tab w:val="left" w:pos="1980"/>
        </w:tabs>
        <w:kinsoku/>
        <w:wordWrap/>
        <w:overflowPunct/>
        <w:topLinePunct/>
        <w:autoSpaceDE/>
        <w:autoSpaceDN/>
        <w:bidi w:val="0"/>
        <w:adjustRightInd/>
        <w:snapToGrid/>
        <w:spacing w:line="360" w:lineRule="auto"/>
        <w:ind w:firstLine="420" w:firstLineChars="200"/>
        <w:jc w:val="both"/>
        <w:textAlignment w:val="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2.7</w:t>
      </w:r>
      <w:r>
        <w:rPr>
          <w:rFonts w:hint="eastAsia" w:ascii="宋体" w:hAnsi="宋体" w:cs="宋体"/>
          <w:color w:val="000000" w:themeColor="text1"/>
          <w:lang w:val="en-US" w:eastAsia="zh-CN"/>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标段划分：共划分为1个标段。</w:t>
      </w:r>
    </w:p>
    <w:p w14:paraId="4F2BA941">
      <w:pPr>
        <w:pStyle w:val="96"/>
        <w:pageBreakBefore w:val="0"/>
        <w:kinsoku/>
        <w:wordWrap/>
        <w:overflowPunct/>
        <w:topLinePunct/>
        <w:autoSpaceDE/>
        <w:autoSpaceDN/>
        <w:bidi w:val="0"/>
        <w:adjustRightInd/>
        <w:snapToGrid/>
        <w:spacing w:before="0" w:line="360" w:lineRule="auto"/>
        <w:jc w:val="both"/>
        <w:textAlignment w:val="auto"/>
        <w:rPr>
          <w:rFonts w:hint="eastAsia"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3</w:t>
      </w:r>
      <w:bookmarkEnd w:id="43"/>
      <w:bookmarkEnd w:id="44"/>
      <w:bookmarkEnd w:id="45"/>
      <w:bookmarkStart w:id="54" w:name="_Toc144974397"/>
      <w:r>
        <w:rPr>
          <w:rFonts w:hint="eastAsia" w:ascii="宋体" w:hAnsi="宋体" w:eastAsia="宋体"/>
          <w:b/>
          <w:color w:val="000000" w:themeColor="text1"/>
          <w:sz w:val="21"/>
          <w:szCs w:val="21"/>
          <w14:textFill>
            <w14:solidFill>
              <w14:schemeClr w14:val="tx1"/>
            </w14:solidFill>
          </w14:textFill>
        </w:rPr>
        <w:t>.投标人资格要求</w:t>
      </w:r>
      <w:bookmarkEnd w:id="46"/>
      <w:bookmarkEnd w:id="47"/>
      <w:bookmarkEnd w:id="48"/>
      <w:bookmarkEnd w:id="49"/>
      <w:bookmarkEnd w:id="50"/>
      <w:bookmarkEnd w:id="51"/>
      <w:bookmarkEnd w:id="52"/>
      <w:bookmarkEnd w:id="53"/>
    </w:p>
    <w:bookmarkEnd w:id="54"/>
    <w:p w14:paraId="32F06E28">
      <w:pPr>
        <w:pageBreakBefore w:val="0"/>
        <w:tabs>
          <w:tab w:val="left" w:pos="1980"/>
        </w:tabs>
        <w:kinsoku/>
        <w:wordWrap/>
        <w:overflowPunct/>
        <w:topLinePunct/>
        <w:autoSpaceDE/>
        <w:autoSpaceDN/>
        <w:bidi w:val="0"/>
        <w:adjustRightInd/>
        <w:snapToGrid/>
        <w:spacing w:line="360" w:lineRule="auto"/>
        <w:ind w:firstLine="420" w:firstLineChars="200"/>
        <w:jc w:val="both"/>
        <w:textAlignment w:val="auto"/>
        <w:rPr>
          <w:rFonts w:hint="eastAsia" w:ascii="宋体" w:hAnsi="宋体" w:cs="宋体"/>
          <w:color w:val="000000" w:themeColor="text1"/>
          <w14:textFill>
            <w14:solidFill>
              <w14:schemeClr w14:val="tx1"/>
            </w14:solidFill>
          </w14:textFill>
        </w:rPr>
      </w:pPr>
      <w:bookmarkStart w:id="55" w:name="_Toc152047194"/>
      <w:bookmarkStart w:id="56" w:name="_Toc179715686"/>
      <w:bookmarkStart w:id="57" w:name="_Toc54189765"/>
      <w:bookmarkStart w:id="58" w:name="_Toc17277"/>
      <w:bookmarkStart w:id="59" w:name="_Toc15307"/>
      <w:bookmarkStart w:id="60" w:name="_Toc461443950"/>
      <w:bookmarkStart w:id="61" w:name="_Toc434390675"/>
      <w:bookmarkStart w:id="62" w:name="_Toc511772037"/>
      <w:bookmarkStart w:id="63" w:name="_Toc23015"/>
      <w:bookmarkStart w:id="64" w:name="_Toc460833204"/>
      <w:r>
        <w:rPr>
          <w:rFonts w:hint="eastAsia" w:ascii="宋体" w:hAnsi="宋体" w:cs="宋体"/>
          <w:color w:val="auto"/>
        </w:rPr>
        <w:t>3.1 资质要求</w:t>
      </w:r>
      <w:r>
        <w:rPr>
          <w:rFonts w:hint="eastAsia" w:ascii="宋体" w:hAnsi="宋体" w:cs="宋体"/>
          <w:color w:val="8064A2" w:themeColor="accent4"/>
          <w14:textFill>
            <w14:solidFill>
              <w14:schemeClr w14:val="accent4"/>
            </w14:solidFill>
          </w14:textFill>
        </w:rPr>
        <w:t>：</w:t>
      </w:r>
      <w:r>
        <w:rPr>
          <w:rFonts w:hint="eastAsia" w:ascii="宋体" w:hAnsi="宋体" w:cs="宋体"/>
          <w:color w:val="000000" w:themeColor="text1"/>
          <w14:textFill>
            <w14:solidFill>
              <w14:schemeClr w14:val="tx1"/>
            </w14:solidFill>
          </w14:textFill>
        </w:rPr>
        <w:t>投标人须为在中华人民共和国注册的独立法人或联合体，并具有：</w:t>
      </w:r>
    </w:p>
    <w:p w14:paraId="3F8A8825">
      <w:pPr>
        <w:pageBreakBefore w:val="0"/>
        <w:tabs>
          <w:tab w:val="left" w:pos="1980"/>
        </w:tabs>
        <w:kinsoku/>
        <w:wordWrap/>
        <w:overflowPunct/>
        <w:topLinePunct/>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勘察资质：具备建设行政主管部门颁发的工程勘察综合资质或</w:t>
      </w:r>
      <w:r>
        <w:rPr>
          <w:rFonts w:hint="eastAsia" w:ascii="宋体" w:hAnsi="宋体" w:cs="宋体"/>
          <w:color w:val="000000" w:themeColor="text1"/>
          <w:highlight w:val="none"/>
          <w:lang w:val="en-US" w:eastAsia="zh-CN"/>
          <w14:textFill>
            <w14:solidFill>
              <w14:schemeClr w14:val="tx1"/>
            </w14:solidFill>
          </w14:textFill>
        </w:rPr>
        <w:t>同时具备</w:t>
      </w:r>
      <w:r>
        <w:rPr>
          <w:rFonts w:hint="eastAsia" w:ascii="宋体" w:hAnsi="宋体" w:cs="宋体"/>
          <w:color w:val="000000" w:themeColor="text1"/>
          <w:highlight w:val="none"/>
          <w14:textFill>
            <w14:solidFill>
              <w14:schemeClr w14:val="tx1"/>
            </w14:solidFill>
          </w14:textFill>
        </w:rPr>
        <w:t>工程勘察专业类（岩土工程勘察</w:t>
      </w:r>
      <w:r>
        <w:rPr>
          <w:rFonts w:hint="eastAsia" w:ascii="宋体" w:hAnsi="宋体" w:cs="宋体"/>
          <w:color w:val="000000" w:themeColor="text1"/>
          <w:highlight w:val="none"/>
          <w:lang w:eastAsia="zh-CN"/>
          <w14:textFill>
            <w14:solidFill>
              <w14:schemeClr w14:val="tx1"/>
            </w14:solidFill>
          </w14:textFill>
        </w:rPr>
        <w:t>、</w:t>
      </w:r>
      <w:r>
        <w:rPr>
          <w:rFonts w:hint="eastAsia" w:ascii="宋体" w:hAnsi="宋体" w:cs="宋体"/>
          <w:color w:val="000000" w:themeColor="text1"/>
          <w:highlight w:val="none"/>
          <w:lang w:val="en-US" w:eastAsia="zh-CN"/>
          <w14:textFill>
            <w14:solidFill>
              <w14:schemeClr w14:val="tx1"/>
            </w14:solidFill>
          </w14:textFill>
        </w:rPr>
        <w:t>工程测量</w:t>
      </w:r>
      <w:r>
        <w:rPr>
          <w:rFonts w:hint="eastAsia" w:ascii="宋体" w:hAnsi="宋体" w:cs="宋体"/>
          <w:color w:val="000000" w:themeColor="text1"/>
          <w:highlight w:val="none"/>
          <w14:textFill>
            <w14:solidFill>
              <w14:schemeClr w14:val="tx1"/>
            </w14:solidFill>
          </w14:textFill>
        </w:rPr>
        <w:t>）乙级及以上资质</w:t>
      </w:r>
      <w:r>
        <w:rPr>
          <w:rFonts w:hint="eastAsia" w:ascii="宋体" w:hAnsi="宋体" w:cs="宋体"/>
          <w:color w:val="000000" w:themeColor="text1"/>
          <w:highlight w:val="none"/>
          <w:lang w:eastAsia="zh-CN"/>
          <w14:textFill>
            <w14:solidFill>
              <w14:schemeClr w14:val="tx1"/>
            </w14:solidFill>
          </w14:textFill>
        </w:rPr>
        <w:t>；</w:t>
      </w:r>
    </w:p>
    <w:p w14:paraId="194B6D5D">
      <w:pPr>
        <w:pageBreakBefore w:val="0"/>
        <w:tabs>
          <w:tab w:val="left" w:pos="1980"/>
        </w:tabs>
        <w:kinsoku/>
        <w:wordWrap/>
        <w:overflowPunct/>
        <w:topLinePunct/>
        <w:autoSpaceDE/>
        <w:autoSpaceDN/>
        <w:bidi w:val="0"/>
        <w:adjustRightInd/>
        <w:snapToGrid/>
        <w:spacing w:line="360" w:lineRule="auto"/>
        <w:ind w:firstLine="420" w:firstLineChars="200"/>
        <w:jc w:val="both"/>
        <w:textAlignment w:val="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设计资质：具</w:t>
      </w:r>
      <w:r>
        <w:rPr>
          <w:rFonts w:hint="eastAsia" w:ascii="宋体" w:hAnsi="宋体" w:cs="宋体"/>
          <w:color w:val="000000" w:themeColor="text1"/>
          <w:highlight w:val="none"/>
          <w:lang w:val="en-US" w:eastAsia="zh-CN"/>
          <w14:textFill>
            <w14:solidFill>
              <w14:schemeClr w14:val="tx1"/>
            </w14:solidFill>
          </w14:textFill>
        </w:rPr>
        <w:t>备</w:t>
      </w:r>
      <w:r>
        <w:rPr>
          <w:rFonts w:hint="eastAsia" w:ascii="宋体" w:hAnsi="宋体" w:cs="宋体"/>
          <w:color w:val="000000" w:themeColor="text1"/>
          <w:highlight w:val="none"/>
          <w14:textFill>
            <w14:solidFill>
              <w14:schemeClr w14:val="tx1"/>
            </w14:solidFill>
          </w14:textFill>
        </w:rPr>
        <w:t>建设行政主管部门颁发的工程设计综合资质</w:t>
      </w:r>
      <w:r>
        <w:rPr>
          <w:rFonts w:hint="eastAsia" w:ascii="宋体" w:hAnsi="宋体" w:cs="宋体"/>
          <w:color w:val="000000" w:themeColor="text1"/>
          <w:highlight w:val="none"/>
          <w:lang w:val="en-US" w:eastAsia="zh-CN"/>
          <w14:textFill>
            <w14:solidFill>
              <w14:schemeClr w14:val="tx1"/>
            </w14:solidFill>
          </w14:textFill>
        </w:rPr>
        <w:t>或具备</w:t>
      </w:r>
      <w:r>
        <w:rPr>
          <w:rFonts w:hint="eastAsia" w:ascii="宋体" w:hAnsi="宋体" w:cs="宋体"/>
          <w:color w:val="000000" w:themeColor="text1"/>
          <w:highlight w:val="none"/>
          <w14:textFill>
            <w14:solidFill>
              <w14:schemeClr w14:val="tx1"/>
            </w14:solidFill>
          </w14:textFill>
        </w:rPr>
        <w:t>工程设计建筑行业（建筑工程）专业</w:t>
      </w:r>
      <w:r>
        <w:rPr>
          <w:rFonts w:hint="eastAsia" w:ascii="宋体" w:hAnsi="宋体" w:cs="宋体"/>
          <w:color w:val="000000" w:themeColor="text1"/>
          <w:highlight w:val="none"/>
          <w:lang w:val="en-US" w:eastAsia="zh-CN"/>
          <w14:textFill>
            <w14:solidFill>
              <w14:schemeClr w14:val="tx1"/>
            </w14:solidFill>
          </w14:textFill>
        </w:rPr>
        <w:t>甲</w:t>
      </w:r>
      <w:r>
        <w:rPr>
          <w:rFonts w:hint="eastAsia" w:ascii="宋体" w:hAnsi="宋体" w:cs="宋体"/>
          <w:color w:val="000000" w:themeColor="text1"/>
          <w:highlight w:val="none"/>
          <w14:textFill>
            <w14:solidFill>
              <w14:schemeClr w14:val="tx1"/>
            </w14:solidFill>
          </w14:textFill>
        </w:rPr>
        <w:t>级资质</w:t>
      </w:r>
      <w:r>
        <w:rPr>
          <w:rFonts w:hint="eastAsia" w:ascii="宋体" w:hAnsi="宋体" w:cs="宋体"/>
          <w:color w:val="000000" w:themeColor="text1"/>
          <w:highlight w:val="none"/>
          <w:lang w:eastAsia="zh-CN"/>
          <w14:textFill>
            <w14:solidFill>
              <w14:schemeClr w14:val="tx1"/>
            </w14:solidFill>
          </w14:textFill>
        </w:rPr>
        <w:t>；</w:t>
      </w:r>
    </w:p>
    <w:p w14:paraId="6D71225A">
      <w:pPr>
        <w:pageBreakBefore w:val="0"/>
        <w:tabs>
          <w:tab w:val="left" w:pos="1980"/>
        </w:tabs>
        <w:kinsoku/>
        <w:wordWrap/>
        <w:overflowPunct/>
        <w:topLinePunct/>
        <w:autoSpaceDE/>
        <w:autoSpaceDN/>
        <w:bidi w:val="0"/>
        <w:adjustRightInd/>
        <w:snapToGrid/>
        <w:spacing w:line="360" w:lineRule="auto"/>
        <w:ind w:firstLine="420" w:firstLineChars="200"/>
        <w:jc w:val="both"/>
        <w:textAlignment w:val="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施工资质：具备建设行政主管部门颁发的建筑工程施工总承包</w:t>
      </w:r>
      <w:r>
        <w:rPr>
          <w:rFonts w:hint="eastAsia" w:ascii="宋体" w:hAnsi="宋体" w:cs="宋体"/>
          <w:color w:val="000000" w:themeColor="text1"/>
          <w:highlight w:val="none"/>
          <w:lang w:val="en-US" w:eastAsia="zh-CN"/>
          <w14:textFill>
            <w14:solidFill>
              <w14:schemeClr w14:val="tx1"/>
            </w14:solidFill>
          </w14:textFill>
        </w:rPr>
        <w:t>二级及以上资质</w:t>
      </w:r>
      <w:r>
        <w:rPr>
          <w:rFonts w:hint="eastAsia" w:ascii="宋体" w:hAnsi="宋体" w:cs="宋体"/>
          <w:color w:val="000000" w:themeColor="text1"/>
          <w:highlight w:val="none"/>
          <w:lang w:eastAsia="zh-CN"/>
          <w14:textFill>
            <w14:solidFill>
              <w14:schemeClr w14:val="tx1"/>
            </w14:solidFill>
          </w14:textFill>
        </w:rPr>
        <w:t>、</w:t>
      </w:r>
      <w:r>
        <w:rPr>
          <w:rFonts w:hint="eastAsia" w:ascii="宋体" w:hAnsi="宋体" w:cs="宋体"/>
          <w:color w:val="000000" w:themeColor="text1"/>
          <w:highlight w:val="none"/>
          <w:lang w:val="en-US" w:eastAsia="zh-CN"/>
          <w14:textFill>
            <w14:solidFill>
              <w14:schemeClr w14:val="tx1"/>
            </w14:solidFill>
          </w14:textFill>
        </w:rPr>
        <w:t>市政公用工程施工总承包二级及以上资质、</w:t>
      </w:r>
      <w:r>
        <w:rPr>
          <w:rFonts w:hint="eastAsia" w:ascii="宋体" w:hAnsi="宋体" w:cs="宋体"/>
          <w:color w:val="auto"/>
          <w:kern w:val="2"/>
          <w:sz w:val="21"/>
          <w:szCs w:val="24"/>
          <w:highlight w:val="none"/>
          <w:lang w:val="en-US" w:eastAsia="zh-CN" w:bidi="ar-SA"/>
        </w:rPr>
        <w:t>电力工程施工总承包二级资质及以上资质和承装（修、试）电力设施三级及以上许可证</w:t>
      </w:r>
      <w:r>
        <w:rPr>
          <w:rFonts w:hint="eastAsia" w:ascii="宋体" w:hAnsi="宋体" w:eastAsia="宋体" w:cs="宋体"/>
          <w:color w:val="auto"/>
          <w:kern w:val="2"/>
          <w:sz w:val="21"/>
          <w:szCs w:val="24"/>
          <w:highlight w:val="none"/>
          <w:lang w:val="en-US" w:eastAsia="zh-CN" w:bidi="ar-SA"/>
        </w:rPr>
        <w:t>，</w:t>
      </w:r>
      <w:r>
        <w:rPr>
          <w:rFonts w:hint="eastAsia" w:ascii="宋体" w:hAnsi="宋体" w:cs="宋体"/>
          <w:color w:val="000000" w:themeColor="text1"/>
          <w:highlight w:val="none"/>
          <w14:textFill>
            <w14:solidFill>
              <w14:schemeClr w14:val="tx1"/>
            </w14:solidFill>
          </w14:textFill>
        </w:rPr>
        <w:t>安全生产许可证在有效期内；</w:t>
      </w:r>
    </w:p>
    <w:p w14:paraId="63F556E0">
      <w:pPr>
        <w:pageBreakBefore w:val="0"/>
        <w:widowControl w:val="0"/>
        <w:shd w:val="clear" w:color="auto" w:fill="auto"/>
        <w:tabs>
          <w:tab w:val="left" w:pos="1980"/>
        </w:tabs>
        <w:kinsoku/>
        <w:wordWrap/>
        <w:overflowPunct/>
        <w:topLinePunct/>
        <w:autoSpaceDE/>
        <w:autoSpaceDN/>
        <w:bidi w:val="0"/>
        <w:adjustRightInd/>
        <w:snapToGrid/>
        <w:spacing w:line="360" w:lineRule="auto"/>
        <w:ind w:firstLine="420" w:firstLineChars="200"/>
        <w:jc w:val="both"/>
        <w:textAlignment w:val="auto"/>
        <w:rPr>
          <w:rFonts w:hint="eastAsia"/>
          <w:highlight w:val="none"/>
        </w:rPr>
      </w:pPr>
      <w:r>
        <w:rPr>
          <w:rFonts w:hint="eastAsia" w:ascii="宋体" w:hAnsi="宋体" w:eastAsia="宋体" w:cs="宋体"/>
          <w:color w:val="000000" w:themeColor="text1"/>
          <w:kern w:val="2"/>
          <w:sz w:val="21"/>
          <w:szCs w:val="24"/>
          <w:highlight w:val="none"/>
          <w:lang w:val="en-US" w:eastAsia="zh-CN" w:bidi="ar-SA"/>
          <w14:textFill>
            <w14:solidFill>
              <w14:schemeClr w14:val="tx1"/>
            </w14:solidFill>
          </w14:textFill>
        </w:rPr>
        <w:t>设备资质：</w:t>
      </w:r>
      <w:r>
        <w:rPr>
          <w:rFonts w:hint="eastAsia" w:ascii="宋体" w:hAnsi="宋体" w:cs="宋体"/>
          <w:color w:val="auto"/>
          <w:highlight w:val="none"/>
        </w:rPr>
        <w:t>具备</w:t>
      </w:r>
      <w:r>
        <w:rPr>
          <w:rFonts w:hint="eastAsia" w:ascii="宋体" w:hAnsi="宋体" w:eastAsia="宋体" w:cs="宋体"/>
          <w:color w:val="auto"/>
          <w:kern w:val="2"/>
          <w:sz w:val="21"/>
          <w:szCs w:val="24"/>
          <w:highlight w:val="none"/>
          <w:lang w:val="en-US" w:eastAsia="zh-CN" w:bidi="ar-SA"/>
        </w:rPr>
        <w:t>《特种设备生产许可证》，包含压力管道设计（GC2 及以上）和压力管道安装（GC2 及以上，含工业管道）两项许可范围</w:t>
      </w:r>
      <w:r>
        <w:rPr>
          <w:rFonts w:hint="eastAsia" w:ascii="宋体" w:hAnsi="宋体" w:cs="宋体"/>
          <w:color w:val="auto"/>
          <w:kern w:val="2"/>
          <w:sz w:val="21"/>
          <w:szCs w:val="24"/>
          <w:highlight w:val="none"/>
          <w:lang w:val="en-US" w:eastAsia="zh-CN" w:bidi="ar-SA"/>
        </w:rPr>
        <w:t>和</w:t>
      </w:r>
      <w:r>
        <w:rPr>
          <w:rFonts w:hint="eastAsia" w:ascii="宋体" w:hAnsi="宋体" w:eastAsia="宋体" w:cs="宋体"/>
          <w:color w:val="auto"/>
          <w:kern w:val="2"/>
          <w:sz w:val="21"/>
          <w:szCs w:val="24"/>
          <w:highlight w:val="none"/>
          <w:lang w:val="en-US" w:eastAsia="zh-CN" w:bidi="ar-SA"/>
        </w:rPr>
        <w:t>建筑机电安装工程专业承包</w:t>
      </w:r>
      <w:r>
        <w:rPr>
          <w:rFonts w:hint="eastAsia" w:ascii="宋体" w:hAnsi="宋体" w:cs="宋体"/>
          <w:color w:val="auto"/>
          <w:kern w:val="2"/>
          <w:sz w:val="21"/>
          <w:szCs w:val="24"/>
          <w:highlight w:val="none"/>
          <w:lang w:val="en-US" w:eastAsia="zh-CN" w:bidi="ar-SA"/>
        </w:rPr>
        <w:t>二</w:t>
      </w:r>
      <w:r>
        <w:rPr>
          <w:rFonts w:hint="eastAsia" w:ascii="宋体" w:hAnsi="宋体" w:eastAsia="宋体" w:cs="宋体"/>
          <w:color w:val="auto"/>
          <w:kern w:val="2"/>
          <w:sz w:val="21"/>
          <w:szCs w:val="24"/>
          <w:highlight w:val="none"/>
          <w:lang w:val="en-US" w:eastAsia="zh-CN" w:bidi="ar-SA"/>
        </w:rPr>
        <w:t>级</w:t>
      </w:r>
      <w:r>
        <w:rPr>
          <w:rFonts w:hint="eastAsia" w:ascii="宋体" w:hAnsi="宋体" w:cs="宋体"/>
          <w:color w:val="auto"/>
          <w:kern w:val="2"/>
          <w:sz w:val="21"/>
          <w:szCs w:val="24"/>
          <w:highlight w:val="none"/>
          <w:lang w:val="en-US" w:eastAsia="zh-CN" w:bidi="ar-SA"/>
        </w:rPr>
        <w:t>及以上</w:t>
      </w:r>
      <w:r>
        <w:rPr>
          <w:rFonts w:hint="eastAsia" w:ascii="宋体" w:hAnsi="宋体" w:eastAsia="宋体" w:cs="宋体"/>
          <w:color w:val="auto"/>
          <w:kern w:val="2"/>
          <w:sz w:val="21"/>
          <w:szCs w:val="24"/>
          <w:highlight w:val="none"/>
          <w:lang w:val="en-US" w:eastAsia="zh-CN" w:bidi="ar-SA"/>
        </w:rPr>
        <w:t>资质，</w:t>
      </w:r>
      <w:r>
        <w:rPr>
          <w:rFonts w:hint="eastAsia" w:ascii="宋体" w:hAnsi="宋体" w:cs="宋体"/>
          <w:color w:val="auto"/>
          <w:highlight w:val="none"/>
        </w:rPr>
        <w:t>安全生产许可证在有效期内</w:t>
      </w:r>
      <w:r>
        <w:rPr>
          <w:rFonts w:hint="eastAsia" w:ascii="宋体" w:hAnsi="宋体" w:eastAsia="宋体" w:cs="宋体"/>
          <w:color w:val="auto"/>
          <w:kern w:val="2"/>
          <w:sz w:val="21"/>
          <w:szCs w:val="24"/>
          <w:highlight w:val="none"/>
          <w:lang w:val="en-US" w:eastAsia="zh-CN" w:bidi="ar-SA"/>
        </w:rPr>
        <w:t>。</w:t>
      </w:r>
    </w:p>
    <w:p w14:paraId="109D26C4">
      <w:pPr>
        <w:pageBreakBefore w:val="0"/>
        <w:tabs>
          <w:tab w:val="left" w:pos="1980"/>
        </w:tabs>
        <w:kinsoku/>
        <w:wordWrap/>
        <w:overflowPunct/>
        <w:topLinePunct/>
        <w:autoSpaceDE/>
        <w:autoSpaceDN/>
        <w:bidi w:val="0"/>
        <w:adjustRightInd/>
        <w:snapToGrid/>
        <w:spacing w:line="360" w:lineRule="auto"/>
        <w:ind w:firstLine="420" w:firstLineChars="200"/>
        <w:jc w:val="both"/>
        <w:textAlignment w:val="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项目经理：应具备</w:t>
      </w:r>
      <w:r>
        <w:rPr>
          <w:rFonts w:ascii="宋体" w:hAnsi="宋体" w:cs="宋体"/>
          <w:color w:val="000000" w:themeColor="text1"/>
          <w:highlight w:val="none"/>
          <w14:textFill>
            <w14:solidFill>
              <w14:schemeClr w14:val="tx1"/>
            </w14:solidFill>
          </w14:textFill>
        </w:rPr>
        <w:t>建筑工程专业</w:t>
      </w:r>
      <w:r>
        <w:rPr>
          <w:rFonts w:hint="eastAsia" w:ascii="宋体" w:hAnsi="宋体" w:cs="宋体"/>
          <w:color w:val="000000" w:themeColor="text1"/>
          <w:highlight w:val="none"/>
          <w:lang w:val="en-US" w:eastAsia="zh-CN"/>
          <w14:textFill>
            <w14:solidFill>
              <w14:schemeClr w14:val="tx1"/>
            </w14:solidFill>
          </w14:textFill>
        </w:rPr>
        <w:t>一</w:t>
      </w:r>
      <w:r>
        <w:rPr>
          <w:rFonts w:hint="eastAsia" w:ascii="宋体" w:hAnsi="宋体" w:cs="宋体"/>
          <w:color w:val="000000" w:themeColor="text1"/>
          <w:highlight w:val="none"/>
          <w:lang w:eastAsia="zh-CN"/>
          <w14:textFill>
            <w14:solidFill>
              <w14:schemeClr w14:val="tx1"/>
            </w14:solidFill>
          </w14:textFill>
        </w:rPr>
        <w:t>级注册建造师证</w:t>
      </w:r>
      <w:r>
        <w:rPr>
          <w:rFonts w:hint="eastAsia" w:ascii="宋体" w:hAnsi="宋体" w:cs="宋体"/>
          <w:color w:val="000000" w:themeColor="text1"/>
          <w:highlight w:val="none"/>
          <w14:textFill>
            <w14:solidFill>
              <w14:schemeClr w14:val="tx1"/>
            </w14:solidFill>
          </w14:textFill>
        </w:rPr>
        <w:t>及工程类中级及以上工程师职称，且持有安全生产考核合格证书（B证，在有效期内）；</w:t>
      </w:r>
    </w:p>
    <w:p w14:paraId="6B99F12E">
      <w:pPr>
        <w:pageBreakBefore w:val="0"/>
        <w:tabs>
          <w:tab w:val="left" w:pos="1980"/>
        </w:tabs>
        <w:kinsoku/>
        <w:wordWrap/>
        <w:overflowPunct/>
        <w:topLinePunct/>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勘察项目负责人：应具备注册土木工程师（岩土）注册证书，并注册在投标企业</w:t>
      </w:r>
      <w:r>
        <w:rPr>
          <w:rFonts w:hint="eastAsia" w:ascii="宋体" w:hAnsi="宋体" w:cs="宋体"/>
          <w:color w:val="000000" w:themeColor="text1"/>
          <w:highlight w:val="none"/>
          <w:lang w:eastAsia="zh-CN"/>
          <w14:textFill>
            <w14:solidFill>
              <w14:schemeClr w14:val="tx1"/>
            </w14:solidFill>
          </w14:textFill>
        </w:rPr>
        <w:t>；</w:t>
      </w:r>
    </w:p>
    <w:p w14:paraId="1B86229A">
      <w:pPr>
        <w:pageBreakBefore w:val="0"/>
        <w:tabs>
          <w:tab w:val="left" w:pos="1980"/>
        </w:tabs>
        <w:kinsoku/>
        <w:wordWrap/>
        <w:overflowPunct/>
        <w:topLinePunct/>
        <w:autoSpaceDE/>
        <w:autoSpaceDN/>
        <w:bidi w:val="0"/>
        <w:adjustRightInd/>
        <w:snapToGrid/>
        <w:spacing w:line="360" w:lineRule="auto"/>
        <w:ind w:firstLine="420" w:firstLineChars="200"/>
        <w:jc w:val="both"/>
        <w:textAlignment w:val="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设计项目负责人：应具备一级注册建筑师注册证书，并注册在投标企业；</w:t>
      </w:r>
    </w:p>
    <w:p w14:paraId="6F320445">
      <w:pPr>
        <w:pageBreakBefore w:val="0"/>
        <w:tabs>
          <w:tab w:val="left" w:pos="1980"/>
        </w:tabs>
        <w:kinsoku/>
        <w:wordWrap/>
        <w:overflowPunct/>
        <w:topLinePunct/>
        <w:autoSpaceDE/>
        <w:autoSpaceDN/>
        <w:bidi w:val="0"/>
        <w:adjustRightInd/>
        <w:snapToGrid/>
        <w:spacing w:line="360" w:lineRule="auto"/>
        <w:ind w:firstLine="420" w:firstLineChars="200"/>
        <w:jc w:val="both"/>
        <w:textAlignment w:val="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施工项目负责人：应具备建筑工程专业</w:t>
      </w:r>
      <w:r>
        <w:rPr>
          <w:rFonts w:hint="eastAsia" w:ascii="宋体" w:hAnsi="宋体" w:cs="宋体"/>
          <w:color w:val="000000" w:themeColor="text1"/>
          <w:highlight w:val="none"/>
          <w:lang w:val="en-US" w:eastAsia="zh-CN"/>
          <w14:textFill>
            <w14:solidFill>
              <w14:schemeClr w14:val="tx1"/>
            </w14:solidFill>
          </w14:textFill>
        </w:rPr>
        <w:t>一</w:t>
      </w:r>
      <w:r>
        <w:rPr>
          <w:rFonts w:hint="eastAsia" w:ascii="宋体" w:hAnsi="宋体" w:cs="宋体"/>
          <w:color w:val="000000" w:themeColor="text1"/>
          <w:highlight w:val="none"/>
          <w:lang w:eastAsia="zh-CN"/>
          <w14:textFill>
            <w14:solidFill>
              <w14:schemeClr w14:val="tx1"/>
            </w14:solidFill>
          </w14:textFill>
        </w:rPr>
        <w:t>级注册建造师证</w:t>
      </w:r>
      <w:r>
        <w:rPr>
          <w:rFonts w:hint="eastAsia" w:ascii="宋体" w:hAnsi="宋体" w:cs="宋体"/>
          <w:color w:val="000000" w:themeColor="text1"/>
          <w:highlight w:val="none"/>
          <w14:textFill>
            <w14:solidFill>
              <w14:schemeClr w14:val="tx1"/>
            </w14:solidFill>
          </w14:textFill>
        </w:rPr>
        <w:t>及工程类中级及以上工程师职称，且持有安全生产考核合格证书（B证，在有效期内）（可由项目经理兼任）；</w:t>
      </w:r>
    </w:p>
    <w:p w14:paraId="0A7D4FE0">
      <w:pPr>
        <w:pageBreakBefore w:val="0"/>
        <w:tabs>
          <w:tab w:val="left" w:pos="1980"/>
        </w:tabs>
        <w:kinsoku/>
        <w:wordWrap/>
        <w:overflowPunct/>
        <w:topLinePunct/>
        <w:autoSpaceDE/>
        <w:autoSpaceDN/>
        <w:bidi w:val="0"/>
        <w:adjustRightInd/>
        <w:snapToGrid/>
        <w:spacing w:line="360" w:lineRule="auto"/>
        <w:ind w:firstLine="420" w:firstLineChars="200"/>
        <w:jc w:val="both"/>
        <w:textAlignment w:val="auto"/>
        <w:rPr>
          <w:rFonts w:hint="eastAsia" w:ascii="宋体" w:hAnsi="宋体" w:cs="宋体"/>
          <w:color w:val="000000"/>
          <w:highlight w:val="none"/>
          <w:u w:val="none"/>
        </w:rPr>
      </w:pPr>
      <w:r>
        <w:rPr>
          <w:rFonts w:hint="eastAsia" w:ascii="宋体" w:hAnsi="宋体" w:cs="宋体"/>
          <w:color w:val="000000"/>
          <w:highlight w:val="none"/>
          <w:u w:val="none"/>
          <w:lang w:val="en-US" w:eastAsia="zh-CN"/>
        </w:rPr>
        <w:t>设备项目</w:t>
      </w:r>
      <w:r>
        <w:rPr>
          <w:rFonts w:hint="eastAsia" w:ascii="宋体" w:hAnsi="宋体" w:cs="宋体"/>
          <w:color w:val="000000"/>
          <w:highlight w:val="none"/>
          <w:u w:val="none"/>
        </w:rPr>
        <w:t>负责人：应具备</w:t>
      </w:r>
      <w:r>
        <w:rPr>
          <w:rFonts w:hint="eastAsia" w:ascii="宋体" w:hAnsi="宋体" w:cs="宋体"/>
          <w:color w:val="000000"/>
          <w:highlight w:val="none"/>
          <w:u w:val="none"/>
          <w:lang w:val="en-US" w:eastAsia="zh-CN"/>
        </w:rPr>
        <w:t>机电工程</w:t>
      </w:r>
      <w:r>
        <w:rPr>
          <w:rFonts w:hint="eastAsia" w:ascii="宋体" w:hAnsi="宋体" w:cs="宋体"/>
          <w:color w:val="000000"/>
          <w:highlight w:val="none"/>
          <w:u w:val="none"/>
        </w:rPr>
        <w:t>专业</w:t>
      </w:r>
      <w:r>
        <w:rPr>
          <w:rFonts w:hint="eastAsia" w:ascii="宋体" w:hAnsi="宋体" w:cs="宋体"/>
          <w:color w:val="000000"/>
          <w:highlight w:val="none"/>
          <w:u w:val="none"/>
          <w:lang w:val="en-US" w:eastAsia="zh-CN"/>
        </w:rPr>
        <w:t>二</w:t>
      </w:r>
      <w:r>
        <w:rPr>
          <w:rFonts w:hint="eastAsia" w:ascii="宋体" w:hAnsi="宋体" w:cs="宋体"/>
          <w:color w:val="000000"/>
          <w:highlight w:val="none"/>
          <w:u w:val="none"/>
          <w:lang w:eastAsia="zh-CN"/>
        </w:rPr>
        <w:t>级</w:t>
      </w:r>
      <w:r>
        <w:rPr>
          <w:rFonts w:hint="eastAsia" w:ascii="宋体" w:hAnsi="宋体" w:cs="宋体"/>
          <w:color w:val="000000"/>
          <w:highlight w:val="none"/>
          <w:u w:val="none"/>
          <w:lang w:val="en-US" w:eastAsia="zh-CN"/>
        </w:rPr>
        <w:t>及以上</w:t>
      </w:r>
      <w:r>
        <w:rPr>
          <w:rFonts w:hint="eastAsia" w:ascii="宋体" w:hAnsi="宋体" w:cs="宋体"/>
          <w:color w:val="000000"/>
          <w:highlight w:val="none"/>
          <w:u w:val="none"/>
          <w:lang w:eastAsia="zh-CN"/>
        </w:rPr>
        <w:t>注册建造师证</w:t>
      </w:r>
      <w:r>
        <w:rPr>
          <w:rFonts w:hint="eastAsia" w:ascii="宋体" w:hAnsi="宋体" w:cs="宋体"/>
          <w:color w:val="000000"/>
          <w:highlight w:val="none"/>
          <w:u w:val="none"/>
        </w:rPr>
        <w:t>及工程类中级及以上工程师职称，且持有安全生产考核合格证书（B证，在有效期内）；</w:t>
      </w:r>
    </w:p>
    <w:p w14:paraId="0B116A14">
      <w:pPr>
        <w:pageBreakBefore w:val="0"/>
        <w:tabs>
          <w:tab w:val="left" w:pos="1980"/>
        </w:tabs>
        <w:kinsoku/>
        <w:wordWrap/>
        <w:overflowPunct/>
        <w:topLinePunct/>
        <w:autoSpaceDE/>
        <w:autoSpaceDN/>
        <w:bidi w:val="0"/>
        <w:adjustRightInd/>
        <w:snapToGrid/>
        <w:spacing w:line="360" w:lineRule="auto"/>
        <w:ind w:firstLine="420" w:firstLineChars="200"/>
        <w:jc w:val="both"/>
        <w:textAlignment w:val="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highlight w:val="none"/>
          <w:u w:val="none"/>
          <w:lang w:val="en-US" w:eastAsia="zh-CN"/>
        </w:rPr>
        <w:t>新能源</w:t>
      </w:r>
      <w:r>
        <w:rPr>
          <w:rFonts w:hint="eastAsia" w:ascii="宋体" w:hAnsi="宋体" w:cs="宋体"/>
          <w:color w:val="000000"/>
          <w:highlight w:val="none"/>
          <w:u w:val="none"/>
        </w:rPr>
        <w:t>项目负责人：应具备</w:t>
      </w:r>
      <w:r>
        <w:rPr>
          <w:rFonts w:hint="eastAsia" w:ascii="宋体" w:hAnsi="宋体" w:cs="宋体"/>
          <w:color w:val="000000"/>
          <w:highlight w:val="none"/>
          <w:u w:val="none"/>
          <w:lang w:val="en-US" w:eastAsia="zh-CN"/>
        </w:rPr>
        <w:t>机电工程</w:t>
      </w:r>
      <w:r>
        <w:rPr>
          <w:rFonts w:hint="eastAsia" w:ascii="宋体" w:hAnsi="宋体" w:cs="宋体"/>
          <w:color w:val="000000"/>
          <w:highlight w:val="none"/>
          <w:u w:val="none"/>
        </w:rPr>
        <w:t>专业</w:t>
      </w:r>
      <w:r>
        <w:rPr>
          <w:rFonts w:hint="eastAsia" w:ascii="宋体" w:hAnsi="宋体" w:cs="宋体"/>
          <w:color w:val="000000"/>
          <w:highlight w:val="none"/>
          <w:u w:val="none"/>
          <w:lang w:val="en-US" w:eastAsia="zh-CN"/>
        </w:rPr>
        <w:t>二</w:t>
      </w:r>
      <w:r>
        <w:rPr>
          <w:rFonts w:hint="eastAsia" w:ascii="宋体" w:hAnsi="宋体" w:cs="宋体"/>
          <w:color w:val="000000"/>
          <w:highlight w:val="none"/>
          <w:u w:val="none"/>
          <w:lang w:eastAsia="zh-CN"/>
        </w:rPr>
        <w:t>级</w:t>
      </w:r>
      <w:r>
        <w:rPr>
          <w:rFonts w:hint="eastAsia" w:ascii="宋体" w:hAnsi="宋体" w:cs="宋体"/>
          <w:color w:val="000000"/>
          <w:highlight w:val="none"/>
          <w:u w:val="none"/>
          <w:lang w:val="en-US" w:eastAsia="zh-CN"/>
        </w:rPr>
        <w:t>及以上</w:t>
      </w:r>
      <w:r>
        <w:rPr>
          <w:rFonts w:hint="eastAsia" w:ascii="宋体" w:hAnsi="宋体" w:cs="宋体"/>
          <w:color w:val="000000"/>
          <w:highlight w:val="none"/>
          <w:u w:val="none"/>
          <w:lang w:eastAsia="zh-CN"/>
        </w:rPr>
        <w:t>注册建造师证</w:t>
      </w:r>
      <w:r>
        <w:rPr>
          <w:rFonts w:hint="eastAsia" w:ascii="宋体" w:hAnsi="宋体" w:cs="宋体"/>
          <w:color w:val="000000"/>
          <w:highlight w:val="none"/>
          <w:u w:val="none"/>
        </w:rPr>
        <w:t>及工程类中级及以上工程师职称，且持有安全生产考核合格证书（B证，在有效期内）；</w:t>
      </w:r>
    </w:p>
    <w:p w14:paraId="08A0B856">
      <w:pPr>
        <w:pageBreakBefore w:val="0"/>
        <w:tabs>
          <w:tab w:val="left" w:pos="1980"/>
        </w:tabs>
        <w:kinsoku/>
        <w:wordWrap/>
        <w:overflowPunct/>
        <w:topLinePunct/>
        <w:autoSpaceDE/>
        <w:autoSpaceDN/>
        <w:bidi w:val="0"/>
        <w:adjustRightInd/>
        <w:snapToGrid/>
        <w:spacing w:line="360" w:lineRule="auto"/>
        <w:ind w:firstLine="420" w:firstLineChars="200"/>
        <w:jc w:val="both"/>
        <w:textAlignment w:val="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同时在人员、设备、资金等方面具备相应的施工能力（注：政府及国有投资项目严格按照《建筑业企业资质管理规定》承包范围对应的资质等级）。</w:t>
      </w:r>
    </w:p>
    <w:p w14:paraId="645E8DD4">
      <w:pPr>
        <w:pageBreakBefore w:val="0"/>
        <w:kinsoku/>
        <w:wordWrap/>
        <w:overflowPunct/>
        <w:topLinePunct/>
        <w:autoSpaceDE/>
        <w:autoSpaceDN/>
        <w:bidi w:val="0"/>
        <w:adjustRightInd/>
        <w:snapToGrid/>
        <w:spacing w:line="360" w:lineRule="auto"/>
        <w:ind w:firstLine="420" w:firstLineChars="200"/>
        <w:jc w:val="both"/>
        <w:textAlignment w:val="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3.2联合体要求：</w:t>
      </w:r>
      <w:r>
        <w:rPr>
          <w:rFonts w:hint="eastAsia" w:ascii="宋体" w:hAnsi="宋体" w:cs="宋体"/>
          <w:color w:val="000000" w:themeColor="text1"/>
          <w:highlight w:val="none"/>
          <w:lang w:val="en-US" w:eastAsia="zh-CN"/>
          <w14:textFill>
            <w14:solidFill>
              <w14:schemeClr w14:val="tx1"/>
            </w14:solidFill>
          </w14:textFill>
        </w:rPr>
        <w:t>接受联合体；</w:t>
      </w:r>
      <w:r>
        <w:rPr>
          <w:rFonts w:hint="eastAsia" w:ascii="宋体" w:hAnsi="宋体" w:cs="宋体"/>
          <w:color w:val="000000" w:themeColor="text1"/>
          <w:highlight w:val="none"/>
          <w14:textFill>
            <w14:solidFill>
              <w14:schemeClr w14:val="tx1"/>
            </w14:solidFill>
          </w14:textFill>
        </w:rPr>
        <w:t>不能同时具有以上专业资质的申请人，可组成联合体投标，</w:t>
      </w:r>
      <w:r>
        <w:rPr>
          <w:rFonts w:hint="eastAsia" w:ascii="宋体" w:hAnsi="宋体" w:cs="宋体"/>
          <w:color w:val="000000"/>
          <w:highlight w:val="none"/>
        </w:rPr>
        <w:t>但联合体成员必须</w:t>
      </w:r>
      <w:r>
        <w:rPr>
          <w:rFonts w:hint="eastAsia" w:ascii="宋体" w:hAnsi="宋体" w:cs="宋体"/>
          <w:color w:val="000000"/>
          <w:highlight w:val="none"/>
          <w:lang w:val="en-US" w:eastAsia="zh-CN"/>
        </w:rPr>
        <w:t>涵盖</w:t>
      </w:r>
      <w:r>
        <w:rPr>
          <w:rFonts w:hint="eastAsia" w:ascii="宋体" w:hAnsi="宋体" w:cs="宋体"/>
          <w:color w:val="000000"/>
          <w:highlight w:val="none"/>
        </w:rPr>
        <w:t>勘察设计、施工</w:t>
      </w:r>
      <w:r>
        <w:rPr>
          <w:rFonts w:hint="eastAsia" w:ascii="宋体" w:hAnsi="宋体" w:cs="宋体"/>
          <w:color w:val="000000"/>
          <w:highlight w:val="none"/>
          <w:lang w:val="en-US" w:eastAsia="zh-CN"/>
        </w:rPr>
        <w:t>等</w:t>
      </w:r>
      <w:r>
        <w:rPr>
          <w:rFonts w:hint="eastAsia" w:ascii="宋体" w:hAnsi="宋体" w:cs="宋体"/>
          <w:color w:val="000000"/>
          <w:highlight w:val="none"/>
        </w:rPr>
        <w:t>资质。</w:t>
      </w:r>
    </w:p>
    <w:p w14:paraId="11F1CC13">
      <w:pPr>
        <w:pageBreakBefore w:val="0"/>
        <w:tabs>
          <w:tab w:val="left" w:pos="1980"/>
        </w:tabs>
        <w:kinsoku/>
        <w:wordWrap/>
        <w:overflowPunct/>
        <w:topLinePunct/>
        <w:autoSpaceDE/>
        <w:autoSpaceDN/>
        <w:bidi w:val="0"/>
        <w:adjustRightInd/>
        <w:snapToGrid/>
        <w:spacing w:line="360" w:lineRule="auto"/>
        <w:ind w:firstLine="420" w:firstLineChars="200"/>
        <w:jc w:val="both"/>
        <w:textAlignment w:val="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3.3财务要求：提供</w:t>
      </w:r>
      <w:r>
        <w:rPr>
          <w:rFonts w:hint="eastAsia" w:ascii="宋体" w:hAnsi="宋体" w:cs="宋体"/>
          <w:color w:val="000000" w:themeColor="text1"/>
          <w:highlight w:val="none"/>
          <w:lang w:eastAsia="zh-CN"/>
          <w14:textFill>
            <w14:solidFill>
              <w14:schemeClr w14:val="tx1"/>
            </w14:solidFill>
          </w14:textFill>
        </w:rPr>
        <w:t>2024年度或2025年度财务报表</w:t>
      </w:r>
      <w:r>
        <w:rPr>
          <w:rFonts w:hint="eastAsia" w:ascii="宋体" w:hAnsi="宋体" w:cs="宋体"/>
          <w:color w:val="000000" w:themeColor="text1"/>
          <w:highlight w:val="none"/>
          <w14:textFill>
            <w14:solidFill>
              <w14:schemeClr w14:val="tx1"/>
            </w14:solidFill>
          </w14:textFill>
        </w:rPr>
        <w:t>（含资产负债表、利润表、现金流量），并经合法的会计师事务所或审计师事务所审计（须按“财办</w:t>
      </w:r>
      <w:r>
        <w:rPr>
          <w:rFonts w:hint="eastAsia" w:ascii="宋体" w:hAnsi="宋体" w:cs="宋体"/>
          <w:color w:val="000000" w:themeColor="text1"/>
          <w:highlight w:val="none"/>
          <w:lang w:eastAsia="zh-CN"/>
          <w14:textFill>
            <w14:solidFill>
              <w14:schemeClr w14:val="tx1"/>
            </w14:solidFill>
          </w14:textFill>
        </w:rPr>
        <w:t>〔2022〕32号”“</w:t>
      </w:r>
      <w:r>
        <w:rPr>
          <w:rFonts w:hint="eastAsia" w:ascii="宋体" w:hAnsi="宋体" w:cs="宋体"/>
          <w:color w:val="000000" w:themeColor="text1"/>
          <w:highlight w:val="none"/>
          <w14:textFill>
            <w14:solidFill>
              <w14:schemeClr w14:val="tx1"/>
            </w14:solidFill>
          </w14:textFill>
        </w:rPr>
        <w:t>财会</w:t>
      </w:r>
      <w:r>
        <w:rPr>
          <w:rFonts w:hint="eastAsia" w:ascii="宋体" w:hAnsi="宋体" w:cs="宋体"/>
          <w:color w:val="000000" w:themeColor="text1"/>
          <w:highlight w:val="none"/>
          <w:lang w:eastAsia="zh-CN"/>
          <w14:textFill>
            <w14:solidFill>
              <w14:schemeClr w14:val="tx1"/>
            </w14:solidFill>
          </w14:textFill>
        </w:rPr>
        <w:t>〔2023〕15号</w:t>
      </w:r>
      <w:r>
        <w:rPr>
          <w:rFonts w:hint="eastAsia" w:ascii="宋体" w:hAnsi="宋体" w:cs="宋体"/>
          <w:color w:val="000000" w:themeColor="text1"/>
          <w:highlight w:val="none"/>
          <w14:textFill>
            <w14:solidFill>
              <w14:schemeClr w14:val="tx1"/>
            </w14:solidFill>
          </w14:textFill>
        </w:rPr>
        <w:t>”文件要求在注册会计师行业统一监管平台报备并赋予验证码），财务状况良好，财务报表真实准确、清晰（</w:t>
      </w:r>
      <w:r>
        <w:rPr>
          <w:rFonts w:hint="eastAsia" w:ascii="宋体" w:hAnsi="宋体" w:cs="宋体"/>
          <w:color w:val="000000" w:themeColor="text1"/>
          <w:highlight w:val="none"/>
          <w:lang w:eastAsia="zh-CN"/>
          <w14:textFill>
            <w14:solidFill>
              <w14:schemeClr w14:val="tx1"/>
            </w14:solidFill>
          </w14:textFill>
        </w:rPr>
        <w:t>2025年7月至今</w:t>
      </w:r>
      <w:r>
        <w:rPr>
          <w:rFonts w:hint="eastAsia" w:ascii="宋体" w:hAnsi="宋体" w:cs="宋体"/>
          <w:color w:val="000000" w:themeColor="text1"/>
          <w:highlight w:val="none"/>
          <w14:textFill>
            <w14:solidFill>
              <w14:schemeClr w14:val="tx1"/>
            </w14:solidFill>
          </w14:textFill>
        </w:rPr>
        <w:t>新成立的公司提供银行资信证明</w:t>
      </w:r>
      <w:r>
        <w:rPr>
          <w:rFonts w:hint="eastAsia" w:ascii="宋体" w:hAnsi="宋体" w:cs="宋体"/>
          <w:color w:val="000000" w:themeColor="text1"/>
          <w:highlight w:val="none"/>
          <w:lang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此项要求可不列入废标条款）。（联合体参与投标的，</w:t>
      </w:r>
      <w:r>
        <w:rPr>
          <w:rFonts w:hint="eastAsia" w:ascii="宋体" w:hAnsi="宋体" w:cs="宋体"/>
          <w:color w:val="000000" w:themeColor="text1"/>
          <w:highlight w:val="none"/>
          <w:lang w:eastAsia="zh-CN"/>
          <w14:textFill>
            <w14:solidFill>
              <w14:schemeClr w14:val="tx1"/>
            </w14:solidFill>
          </w14:textFill>
        </w:rPr>
        <w:t>本事</w:t>
      </w:r>
      <w:r>
        <w:rPr>
          <w:rFonts w:hint="eastAsia" w:ascii="宋体" w:hAnsi="宋体" w:cs="宋体"/>
          <w:color w:val="000000" w:themeColor="text1"/>
          <w:highlight w:val="none"/>
          <w14:textFill>
            <w14:solidFill>
              <w14:schemeClr w14:val="tx1"/>
            </w14:solidFill>
          </w14:textFill>
        </w:rPr>
        <w:t>项由牵头人提供）</w:t>
      </w:r>
    </w:p>
    <w:p w14:paraId="51CDFADC">
      <w:pPr>
        <w:pageBreakBefore w:val="0"/>
        <w:tabs>
          <w:tab w:val="left" w:pos="1980"/>
        </w:tabs>
        <w:kinsoku/>
        <w:wordWrap/>
        <w:overflowPunct/>
        <w:topLinePunct/>
        <w:autoSpaceDE/>
        <w:autoSpaceDN/>
        <w:bidi w:val="0"/>
        <w:adjustRightInd/>
        <w:snapToGrid/>
        <w:spacing w:line="360" w:lineRule="auto"/>
        <w:ind w:firstLine="420" w:firstLineChars="200"/>
        <w:jc w:val="both"/>
        <w:textAlignment w:val="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3.4信誉要求：（1）投标人信誉良好，当前未被行政主管部门暂停或取消投标资格，没有处于被责令停业，财产被接管、冻结，破产状态，未列入“信用中国”网站（http://www.creditchina.gov.cn/）的失信被执行人。（2）本次投标中无弄虚作假行为。</w:t>
      </w:r>
    </w:p>
    <w:p w14:paraId="24ECDF00">
      <w:pPr>
        <w:pStyle w:val="96"/>
        <w:pageBreakBefore w:val="0"/>
        <w:kinsoku/>
        <w:wordWrap/>
        <w:overflowPunct/>
        <w:topLinePunct/>
        <w:autoSpaceDE/>
        <w:autoSpaceDN/>
        <w:bidi w:val="0"/>
        <w:adjustRightInd/>
        <w:snapToGrid/>
        <w:spacing w:before="0" w:line="360" w:lineRule="auto"/>
        <w:jc w:val="both"/>
        <w:textAlignment w:val="auto"/>
        <w:rPr>
          <w:rFonts w:hint="eastAsia"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4.资格审查方</w:t>
      </w:r>
      <w:bookmarkEnd w:id="55"/>
      <w:bookmarkEnd w:id="56"/>
      <w:r>
        <w:rPr>
          <w:rFonts w:hint="eastAsia" w:ascii="宋体" w:hAnsi="宋体" w:eastAsia="宋体"/>
          <w:b/>
          <w:color w:val="000000" w:themeColor="text1"/>
          <w:sz w:val="21"/>
          <w:szCs w:val="21"/>
          <w14:textFill>
            <w14:solidFill>
              <w14:schemeClr w14:val="tx1"/>
            </w14:solidFill>
          </w14:textFill>
        </w:rPr>
        <w:t>式</w:t>
      </w:r>
      <w:bookmarkEnd w:id="57"/>
      <w:bookmarkEnd w:id="58"/>
      <w:bookmarkEnd w:id="59"/>
      <w:bookmarkEnd w:id="60"/>
      <w:bookmarkEnd w:id="61"/>
      <w:bookmarkEnd w:id="62"/>
      <w:bookmarkEnd w:id="63"/>
      <w:bookmarkEnd w:id="64"/>
    </w:p>
    <w:p w14:paraId="57218A4F">
      <w:pPr>
        <w:pageBreakBefore w:val="0"/>
        <w:widowControl/>
        <w:kinsoku/>
        <w:wordWrap/>
        <w:overflowPunct/>
        <w:topLinePunct/>
        <w:autoSpaceDE/>
        <w:autoSpaceDN/>
        <w:bidi w:val="0"/>
        <w:adjustRightInd/>
        <w:snapToGrid/>
        <w:spacing w:line="360" w:lineRule="auto"/>
        <w:ind w:firstLine="420" w:firstLineChars="200"/>
        <w:jc w:val="both"/>
        <w:textAlignment w:val="auto"/>
        <w:rPr>
          <w:rFonts w:hint="eastAsia" w:ascii="宋体" w:hAnsi="宋体" w:cs="宋体"/>
          <w:color w:val="000000" w:themeColor="text1"/>
          <w:sz w:val="18"/>
          <w:szCs w:val="18"/>
          <w14:textFill>
            <w14:solidFill>
              <w14:schemeClr w14:val="tx1"/>
            </w14:solidFill>
          </w14:textFill>
        </w:rPr>
      </w:pPr>
      <w:bookmarkStart w:id="65" w:name="_Toc179715687"/>
      <w:bookmarkStart w:id="66" w:name="_Toc152047195"/>
      <w:bookmarkStart w:id="67" w:name="_Toc144974398"/>
      <w:r>
        <w:rPr>
          <w:rFonts w:hint="eastAsia" w:ascii="宋体" w:hAnsi="宋体" w:cs="宋体"/>
          <w:color w:val="000000" w:themeColor="text1"/>
          <w14:textFill>
            <w14:solidFill>
              <w14:schemeClr w14:val="tx1"/>
            </w14:solidFill>
          </w14:textFill>
        </w:rPr>
        <w:t>本次招标采用</w:t>
      </w:r>
      <w:r>
        <w:rPr>
          <w:rFonts w:hint="eastAsia" w:ascii="宋体" w:hAnsi="宋体" w:cs="宋体"/>
          <w:b/>
          <w:bCs/>
          <w:color w:val="000000" w:themeColor="text1"/>
          <w:u w:val="single"/>
          <w14:textFill>
            <w14:solidFill>
              <w14:schemeClr w14:val="tx1"/>
            </w14:solidFill>
          </w14:textFill>
        </w:rPr>
        <w:t>资格后审</w:t>
      </w:r>
      <w:r>
        <w:rPr>
          <w:rFonts w:hint="eastAsia" w:ascii="宋体" w:hAnsi="宋体" w:cs="宋体"/>
          <w:color w:val="000000" w:themeColor="text1"/>
          <w14:textFill>
            <w14:solidFill>
              <w14:schemeClr w14:val="tx1"/>
            </w14:solidFill>
          </w14:textFill>
        </w:rPr>
        <w:t>方式</w:t>
      </w:r>
      <w:r>
        <w:rPr>
          <w:rFonts w:hint="eastAsia" w:ascii="宋体" w:hAnsi="宋体" w:cs="宋体"/>
          <w:color w:val="000000" w:themeColor="text1"/>
          <w:sz w:val="18"/>
          <w:szCs w:val="18"/>
          <w14:textFill>
            <w14:solidFill>
              <w14:schemeClr w14:val="tx1"/>
            </w14:solidFill>
          </w14:textFill>
        </w:rPr>
        <w:t>。</w:t>
      </w:r>
    </w:p>
    <w:bookmarkEnd w:id="65"/>
    <w:bookmarkEnd w:id="66"/>
    <w:bookmarkEnd w:id="67"/>
    <w:p w14:paraId="4CB88D54">
      <w:pPr>
        <w:pStyle w:val="96"/>
        <w:pageBreakBefore w:val="0"/>
        <w:kinsoku/>
        <w:wordWrap/>
        <w:overflowPunct/>
        <w:topLinePunct/>
        <w:autoSpaceDE/>
        <w:autoSpaceDN/>
        <w:bidi w:val="0"/>
        <w:adjustRightInd/>
        <w:snapToGrid/>
        <w:spacing w:before="0" w:line="360" w:lineRule="auto"/>
        <w:jc w:val="both"/>
        <w:textAlignment w:val="auto"/>
        <w:rPr>
          <w:rFonts w:hint="eastAsia" w:ascii="宋体" w:hAnsi="宋体" w:eastAsia="宋体"/>
          <w:b/>
          <w:color w:val="000000" w:themeColor="text1"/>
          <w:sz w:val="21"/>
          <w:szCs w:val="21"/>
          <w14:textFill>
            <w14:solidFill>
              <w14:schemeClr w14:val="tx1"/>
            </w14:solidFill>
          </w14:textFill>
        </w:rPr>
      </w:pPr>
      <w:bookmarkStart w:id="68" w:name="_Toc4515"/>
      <w:bookmarkStart w:id="69" w:name="_Toc511772038"/>
      <w:bookmarkStart w:id="70" w:name="_Toc54189766"/>
      <w:bookmarkStart w:id="71" w:name="_Toc11092"/>
      <w:bookmarkStart w:id="72" w:name="_Toc15848"/>
      <w:bookmarkStart w:id="73" w:name="_Toc383683188"/>
      <w:bookmarkStart w:id="74" w:name="_Toc360712419"/>
      <w:bookmarkStart w:id="75" w:name="_Toc369769953"/>
      <w:bookmarkStart w:id="76" w:name="_Toc384974463"/>
      <w:r>
        <w:rPr>
          <w:rFonts w:hint="eastAsia" w:ascii="宋体" w:hAnsi="宋体" w:eastAsia="宋体"/>
          <w:b/>
          <w:color w:val="000000" w:themeColor="text1"/>
          <w:sz w:val="21"/>
          <w:szCs w:val="21"/>
          <w14:textFill>
            <w14:solidFill>
              <w14:schemeClr w14:val="tx1"/>
            </w14:solidFill>
          </w14:textFill>
        </w:rPr>
        <w:t>5.招标文件的获取</w:t>
      </w:r>
      <w:bookmarkEnd w:id="68"/>
      <w:bookmarkEnd w:id="69"/>
      <w:bookmarkEnd w:id="70"/>
      <w:bookmarkEnd w:id="71"/>
      <w:bookmarkEnd w:id="72"/>
    </w:p>
    <w:p w14:paraId="5F5A385E">
      <w:pPr>
        <w:pageBreakBefore w:val="0"/>
        <w:kinsoku/>
        <w:wordWrap/>
        <w:overflowPunct/>
        <w:topLinePunct/>
        <w:autoSpaceDE/>
        <w:autoSpaceDN/>
        <w:bidi w:val="0"/>
        <w:adjustRightInd/>
        <w:snapToGrid/>
        <w:spacing w:line="360" w:lineRule="auto"/>
        <w:ind w:firstLine="420" w:firstLineChars="200"/>
        <w:jc w:val="both"/>
        <w:textAlignment w:val="auto"/>
        <w:rPr>
          <w:rFonts w:hint="eastAsia" w:ascii="宋体" w:hAnsi="宋体" w:cs="宋体"/>
          <w:color w:val="000000" w:themeColor="text1"/>
          <w14:textFill>
            <w14:solidFill>
              <w14:schemeClr w14:val="tx1"/>
            </w14:solidFill>
          </w14:textFill>
        </w:rPr>
      </w:pPr>
      <w:bookmarkStart w:id="77" w:name="_Toc511772039"/>
      <w:bookmarkStart w:id="78" w:name="_Toc54189767"/>
      <w:bookmarkStart w:id="79" w:name="_Toc22789"/>
      <w:r>
        <w:rPr>
          <w:rFonts w:hint="eastAsia" w:ascii="宋体" w:hAnsi="宋体" w:cs="宋体"/>
          <w:color w:val="000000" w:themeColor="text1"/>
          <w14:textFill>
            <w14:solidFill>
              <w14:schemeClr w14:val="tx1"/>
            </w14:solidFill>
          </w14:textFill>
        </w:rPr>
        <w:t>凡有意参加投标者，请于</w:t>
      </w:r>
      <w:r>
        <w:rPr>
          <w:rFonts w:hint="eastAsia" w:ascii="宋体" w:hAnsi="宋体" w:cs="宋体"/>
          <w:color w:val="000000" w:themeColor="text1"/>
          <w:lang w:val="en-US" w:eastAsia="zh-CN"/>
          <w14:textFill>
            <w14:solidFill>
              <w14:schemeClr w14:val="tx1"/>
            </w14:solidFill>
          </w14:textFill>
        </w:rPr>
        <w:t>2026</w:t>
      </w:r>
      <w:r>
        <w:rPr>
          <w:rFonts w:hint="eastAsia" w:ascii="宋体" w:hAnsi="宋体" w:cs="宋体"/>
          <w:color w:val="000000" w:themeColor="text1"/>
          <w14:textFill>
            <w14:solidFill>
              <w14:schemeClr w14:val="tx1"/>
            </w14:solidFill>
          </w14:textFill>
        </w:rPr>
        <w:t>年</w:t>
      </w:r>
      <w:r>
        <w:rPr>
          <w:rFonts w:hint="eastAsia" w:ascii="宋体" w:hAnsi="宋体" w:cs="宋体"/>
          <w:color w:val="000000" w:themeColor="text1"/>
          <w:lang w:val="en-US" w:eastAsia="zh-CN"/>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月</w:t>
      </w:r>
      <w:r>
        <w:rPr>
          <w:rFonts w:hint="eastAsia" w:ascii="宋体" w:hAnsi="宋体" w:cs="宋体"/>
          <w:color w:val="000000" w:themeColor="text1"/>
          <w:lang w:val="en-US" w:eastAsia="zh-CN"/>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日</w:t>
      </w:r>
      <w:r>
        <w:rPr>
          <w:rFonts w:hint="eastAsia" w:ascii="宋体" w:hAnsi="宋体" w:cs="宋体"/>
          <w:color w:val="000000" w:themeColor="text1"/>
          <w:lang w:val="en-US" w:eastAsia="zh-CN"/>
          <w14:textFill>
            <w14:solidFill>
              <w14:schemeClr w14:val="tx1"/>
            </w14:solidFill>
          </w14:textFill>
        </w:rPr>
        <w:t>上</w:t>
      </w:r>
      <w:r>
        <w:rPr>
          <w:rFonts w:hint="eastAsia" w:ascii="宋体" w:hAnsi="宋体" w:cs="宋体"/>
          <w:color w:val="000000" w:themeColor="text1"/>
          <w14:textFill>
            <w14:solidFill>
              <w14:schemeClr w14:val="tx1"/>
            </w14:solidFill>
          </w14:textFill>
        </w:rPr>
        <w:t>午</w:t>
      </w:r>
      <w:r>
        <w:rPr>
          <w:rFonts w:hint="eastAsia" w:ascii="宋体" w:hAnsi="宋体" w:cs="宋体"/>
          <w:color w:val="000000" w:themeColor="text1"/>
          <w:lang w:val="en-US" w:eastAsia="zh-CN"/>
          <w14:textFill>
            <w14:solidFill>
              <w14:schemeClr w14:val="tx1"/>
            </w14:solidFill>
          </w14:textFill>
        </w:rPr>
        <w:t>8</w:t>
      </w:r>
      <w:r>
        <w:rPr>
          <w:rFonts w:hint="eastAsia" w:ascii="宋体" w:hAnsi="宋体" w:cs="宋体"/>
          <w:color w:val="000000" w:themeColor="text1"/>
          <w14:textFill>
            <w14:solidFill>
              <w14:schemeClr w14:val="tx1"/>
            </w14:solidFill>
          </w14:textFill>
        </w:rPr>
        <w:t>点至</w:t>
      </w:r>
      <w:r>
        <w:rPr>
          <w:rFonts w:hint="eastAsia" w:ascii="宋体" w:hAnsi="宋体" w:cs="宋体"/>
          <w:color w:val="000000" w:themeColor="text1"/>
          <w:lang w:val="en-US" w:eastAsia="zh-CN"/>
          <w14:textFill>
            <w14:solidFill>
              <w14:schemeClr w14:val="tx1"/>
            </w14:solidFill>
          </w14:textFill>
        </w:rPr>
        <w:t>2026</w:t>
      </w:r>
      <w:r>
        <w:rPr>
          <w:rFonts w:hint="eastAsia" w:ascii="宋体" w:hAnsi="宋体" w:cs="宋体"/>
          <w:color w:val="000000" w:themeColor="text1"/>
          <w14:textFill>
            <w14:solidFill>
              <w14:schemeClr w14:val="tx1"/>
            </w14:solidFill>
          </w14:textFill>
        </w:rPr>
        <w:t>年</w:t>
      </w:r>
      <w:r>
        <w:rPr>
          <w:rFonts w:hint="eastAsia" w:ascii="宋体" w:hAnsi="宋体" w:cs="宋体"/>
          <w:color w:val="000000" w:themeColor="text1"/>
          <w:lang w:val="en-US" w:eastAsia="zh-CN"/>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月</w:t>
      </w:r>
      <w:r>
        <w:rPr>
          <w:rFonts w:hint="eastAsia" w:ascii="宋体" w:hAnsi="宋体" w:cs="宋体"/>
          <w:color w:val="000000" w:themeColor="text1"/>
          <w:lang w:val="en-US" w:eastAsia="zh-CN"/>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日下午5点30分（北京时间，下同），进入“</w:t>
      </w:r>
      <w:r>
        <w:rPr>
          <w:rFonts w:hint="eastAsia" w:ascii="宋体" w:hAnsi="宋体" w:cs="宋体"/>
          <w:color w:val="000000" w:themeColor="text1"/>
          <w:lang w:eastAsia="zh-CN"/>
          <w14:textFill>
            <w14:solidFill>
              <w14:schemeClr w14:val="tx1"/>
            </w14:solidFill>
          </w14:textFill>
        </w:rPr>
        <w:t>网址为：全国公共资源交易平台（云南省）/云南省公共资源交易信息网（网址：http://gzy.yn.gov.cn/)，选择地区“红河州”，切换至“红河州公共资源交易电子服务系统/全国公共资源交易平台（云南省·红河州）</w:t>
      </w:r>
      <w:r>
        <w:rPr>
          <w:rFonts w:hint="eastAsia" w:ascii="宋体" w:hAnsi="宋体" w:cs="宋体"/>
          <w:color w:val="000000" w:themeColor="text1"/>
          <w14:textFill>
            <w14:solidFill>
              <w14:schemeClr w14:val="tx1"/>
            </w14:solidFill>
          </w14:textFill>
        </w:rPr>
        <w:t>”凭企业CA数字证书登录交易平台，在网上获取</w:t>
      </w:r>
      <w:r>
        <w:rPr>
          <w:rFonts w:hint="eastAsia" w:ascii="宋体" w:hAnsi="宋体" w:cs="宋体"/>
          <w:color w:val="000000" w:themeColor="text1"/>
          <w:szCs w:val="21"/>
          <w14:textFill>
            <w14:solidFill>
              <w14:schemeClr w14:val="tx1"/>
            </w14:solidFill>
          </w14:textFill>
        </w:rPr>
        <w:t>电子招标文件（格式为*.BZBJ）</w:t>
      </w:r>
      <w:r>
        <w:rPr>
          <w:rFonts w:hint="eastAsia" w:ascii="宋体" w:hAnsi="宋体" w:cs="宋体"/>
          <w:color w:val="000000" w:themeColor="text1"/>
          <w14:textFill>
            <w14:solidFill>
              <w14:schemeClr w14:val="tx1"/>
            </w14:solidFill>
          </w14:textFill>
        </w:rPr>
        <w:t>及其他招标资料；</w:t>
      </w:r>
    </w:p>
    <w:p w14:paraId="2D914FA2">
      <w:pPr>
        <w:pageBreakBefore w:val="0"/>
        <w:kinsoku/>
        <w:wordWrap/>
        <w:overflowPunct/>
        <w:topLinePunct/>
        <w:autoSpaceDE/>
        <w:autoSpaceDN/>
        <w:bidi w:val="0"/>
        <w:adjustRightInd/>
        <w:snapToGrid/>
        <w:spacing w:line="360" w:lineRule="auto"/>
        <w:ind w:firstLine="420" w:firstLineChars="200"/>
        <w:jc w:val="both"/>
        <w:textAlignment w:val="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未办理企业CA数字证书的企业请在招标文件获取截止时间前登录</w:t>
      </w:r>
      <w:r>
        <w:rPr>
          <w:rFonts w:hint="eastAsia" w:ascii="宋体" w:hAnsi="宋体" w:cs="宋体"/>
          <w:color w:val="000000" w:themeColor="text1"/>
          <w:lang w:eastAsia="zh-CN"/>
          <w14:textFill>
            <w14:solidFill>
              <w14:schemeClr w14:val="tx1"/>
            </w14:solidFill>
          </w14:textFill>
        </w:rPr>
        <w:t>网址为：全国公共资源交易平台（云南省）/云南省公共资源交易信息网（网址：http://gzy.yn.gov.cn/)，选择地区“红河州”，切换至“红河州公共资源交易电子服务系统/全国公共资源交易平台（云南省·红河州）</w:t>
      </w:r>
      <w:r>
        <w:rPr>
          <w:rFonts w:hint="eastAsia" w:ascii="宋体" w:hAnsi="宋体" w:cs="宋体"/>
          <w:color w:val="000000" w:themeColor="text1"/>
          <w14:textFill>
            <w14:solidFill>
              <w14:schemeClr w14:val="tx1"/>
            </w14:solidFill>
          </w14:textFill>
        </w:rPr>
        <w:t>进行注册并在网上申请办理证书，以便获取电子招标文件。企业CA数字证书办理流程详见云南省公共资源交易中心网站通知。</w:t>
      </w:r>
    </w:p>
    <w:p w14:paraId="426140AD">
      <w:pPr>
        <w:pStyle w:val="96"/>
        <w:pageBreakBefore w:val="0"/>
        <w:kinsoku/>
        <w:wordWrap/>
        <w:overflowPunct/>
        <w:topLinePunct/>
        <w:autoSpaceDE/>
        <w:autoSpaceDN/>
        <w:bidi w:val="0"/>
        <w:adjustRightInd/>
        <w:snapToGrid/>
        <w:spacing w:before="0" w:line="360" w:lineRule="auto"/>
        <w:jc w:val="both"/>
        <w:textAlignment w:val="auto"/>
        <w:rPr>
          <w:rFonts w:hint="eastAsia" w:ascii="宋体" w:hAnsi="宋体" w:eastAsia="宋体"/>
          <w:b/>
          <w:color w:val="000000" w:themeColor="text1"/>
          <w:sz w:val="21"/>
          <w:szCs w:val="21"/>
          <w14:textFill>
            <w14:solidFill>
              <w14:schemeClr w14:val="tx1"/>
            </w14:solidFill>
          </w14:textFill>
        </w:rPr>
      </w:pPr>
      <w:bookmarkStart w:id="80" w:name="_Toc31651"/>
      <w:bookmarkStart w:id="81" w:name="_Toc20562"/>
      <w:r>
        <w:rPr>
          <w:rFonts w:hint="eastAsia" w:ascii="宋体" w:hAnsi="宋体" w:eastAsia="宋体"/>
          <w:b/>
          <w:color w:val="000000" w:themeColor="text1"/>
          <w:sz w:val="21"/>
          <w:szCs w:val="21"/>
          <w14:textFill>
            <w14:solidFill>
              <w14:schemeClr w14:val="tx1"/>
            </w14:solidFill>
          </w14:textFill>
        </w:rPr>
        <w:t>6</w:t>
      </w:r>
      <w:bookmarkEnd w:id="77"/>
      <w:bookmarkStart w:id="82" w:name="_Toc511772040"/>
      <w:r>
        <w:rPr>
          <w:rFonts w:hint="eastAsia" w:ascii="宋体" w:hAnsi="宋体" w:eastAsia="宋体"/>
          <w:b/>
          <w:color w:val="000000" w:themeColor="text1"/>
          <w:sz w:val="21"/>
          <w:szCs w:val="21"/>
          <w14:textFill>
            <w14:solidFill>
              <w14:schemeClr w14:val="tx1"/>
            </w14:solidFill>
          </w14:textFill>
        </w:rPr>
        <w:t>.投标文件的递交时间及地点</w:t>
      </w:r>
      <w:bookmarkEnd w:id="78"/>
      <w:bookmarkEnd w:id="79"/>
      <w:bookmarkEnd w:id="80"/>
      <w:bookmarkEnd w:id="81"/>
      <w:bookmarkEnd w:id="82"/>
    </w:p>
    <w:bookmarkEnd w:id="73"/>
    <w:bookmarkEnd w:id="74"/>
    <w:bookmarkEnd w:id="75"/>
    <w:bookmarkEnd w:id="76"/>
    <w:p w14:paraId="34342E84">
      <w:pPr>
        <w:pageBreakBefore w:val="0"/>
        <w:kinsoku/>
        <w:wordWrap/>
        <w:overflowPunct/>
        <w:topLinePunct/>
        <w:autoSpaceDE/>
        <w:autoSpaceDN/>
        <w:bidi w:val="0"/>
        <w:adjustRightInd/>
        <w:snapToGrid/>
        <w:spacing w:line="360" w:lineRule="auto"/>
        <w:ind w:firstLine="420" w:firstLineChars="200"/>
        <w:jc w:val="both"/>
        <w:textAlignment w:val="auto"/>
        <w:rPr>
          <w:rFonts w:hint="eastAsia" w:ascii="宋体" w:hAnsi="宋体" w:cs="宋体"/>
          <w:color w:val="000000" w:themeColor="text1"/>
          <w14:textFill>
            <w14:solidFill>
              <w14:schemeClr w14:val="tx1"/>
            </w14:solidFill>
          </w14:textFill>
        </w:rPr>
      </w:pPr>
      <w:bookmarkStart w:id="83" w:name="_Toc360712421"/>
      <w:bookmarkStart w:id="84" w:name="_Toc383683190"/>
      <w:bookmarkStart w:id="85" w:name="_Toc369769955"/>
      <w:bookmarkStart w:id="86" w:name="_Toc384974465"/>
      <w:bookmarkStart w:id="87" w:name="_Toc488243064"/>
      <w:bookmarkStart w:id="88" w:name="_Toc5380"/>
      <w:bookmarkStart w:id="89" w:name="_Toc511772041"/>
      <w:bookmarkStart w:id="90" w:name="_Toc54189768"/>
      <w:r>
        <w:rPr>
          <w:rFonts w:hint="eastAsia" w:ascii="宋体" w:hAnsi="宋体" w:cs="宋体"/>
          <w:color w:val="000000" w:themeColor="text1"/>
          <w14:textFill>
            <w14:solidFill>
              <w14:schemeClr w14:val="tx1"/>
            </w14:solidFill>
          </w14:textFill>
        </w:rPr>
        <w:t>本项目采用网上开标，投标人远程解密方式；在投标文件递交的截止时间（投标截止时间，下同）前，需在网上递交投标文件，具体要求如下：</w:t>
      </w:r>
    </w:p>
    <w:p w14:paraId="38CAFA55">
      <w:pPr>
        <w:pageBreakBefore w:val="0"/>
        <w:kinsoku/>
        <w:wordWrap/>
        <w:overflowPunct/>
        <w:topLinePunct/>
        <w:autoSpaceDE/>
        <w:autoSpaceDN/>
        <w:bidi w:val="0"/>
        <w:adjustRightInd/>
        <w:snapToGrid/>
        <w:spacing w:line="360" w:lineRule="auto"/>
        <w:ind w:firstLine="420" w:firstLineChars="200"/>
        <w:jc w:val="both"/>
        <w:textAlignment w:val="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6.1投标文件递交的截止时间（开标时间）为：</w:t>
      </w:r>
      <w:r>
        <w:rPr>
          <w:rFonts w:hint="eastAsia" w:ascii="宋体" w:hAnsi="宋体" w:cs="宋体"/>
          <w:color w:val="000000" w:themeColor="text1"/>
          <w:u w:val="single"/>
          <w:lang w:val="en-US" w:eastAsia="zh-CN"/>
          <w14:textFill>
            <w14:solidFill>
              <w14:schemeClr w14:val="tx1"/>
            </w14:solidFill>
          </w14:textFill>
        </w:rPr>
        <w:t>2026</w:t>
      </w:r>
      <w:r>
        <w:rPr>
          <w:rFonts w:hint="eastAsia" w:ascii="宋体" w:hAnsi="宋体" w:cs="宋体"/>
          <w:color w:val="000000" w:themeColor="text1"/>
          <w:u w:val="single"/>
          <w14:textFill>
            <w14:solidFill>
              <w14:schemeClr w14:val="tx1"/>
            </w14:solidFill>
          </w14:textFill>
        </w:rPr>
        <w:t>年</w:t>
      </w:r>
      <w:r>
        <w:rPr>
          <w:rFonts w:hint="eastAsia" w:ascii="宋体" w:hAnsi="宋体" w:cs="宋体"/>
          <w:color w:val="000000" w:themeColor="text1"/>
          <w:u w:val="single"/>
          <w:lang w:val="en-US" w:eastAsia="zh-CN"/>
          <w14:textFill>
            <w14:solidFill>
              <w14:schemeClr w14:val="tx1"/>
            </w14:solidFill>
          </w14:textFill>
        </w:rPr>
        <w:t xml:space="preserve">   </w:t>
      </w:r>
      <w:r>
        <w:rPr>
          <w:rFonts w:hint="eastAsia" w:ascii="宋体" w:hAnsi="宋体" w:cs="宋体"/>
          <w:color w:val="000000" w:themeColor="text1"/>
          <w:u w:val="single"/>
          <w14:textFill>
            <w14:solidFill>
              <w14:schemeClr w14:val="tx1"/>
            </w14:solidFill>
          </w14:textFill>
        </w:rPr>
        <w:t>月</w:t>
      </w:r>
      <w:r>
        <w:rPr>
          <w:rFonts w:hint="eastAsia" w:ascii="宋体" w:hAnsi="宋体" w:cs="宋体"/>
          <w:color w:val="000000" w:themeColor="text1"/>
          <w:u w:val="single"/>
          <w:lang w:val="en-US" w:eastAsia="zh-CN"/>
          <w14:textFill>
            <w14:solidFill>
              <w14:schemeClr w14:val="tx1"/>
            </w14:solidFill>
          </w14:textFill>
        </w:rPr>
        <w:t xml:space="preserve">   </w:t>
      </w:r>
      <w:r>
        <w:rPr>
          <w:rFonts w:hint="eastAsia" w:ascii="宋体" w:hAnsi="宋体" w:cs="宋体"/>
          <w:color w:val="000000" w:themeColor="text1"/>
          <w:u w:val="single"/>
          <w14:textFill>
            <w14:solidFill>
              <w14:schemeClr w14:val="tx1"/>
            </w14:solidFill>
          </w14:textFill>
        </w:rPr>
        <w:t>日上午</w:t>
      </w:r>
      <w:r>
        <w:rPr>
          <w:rFonts w:hint="eastAsia" w:ascii="宋体" w:hAnsi="宋体" w:cs="宋体"/>
          <w:color w:val="000000" w:themeColor="text1"/>
          <w:u w:val="single"/>
          <w:lang w:eastAsia="zh-CN"/>
          <w14:textFill>
            <w14:solidFill>
              <w14:schemeClr w14:val="tx1"/>
            </w14:solidFill>
          </w14:textFill>
        </w:rPr>
        <w:t>8点30分</w:t>
      </w:r>
      <w:r>
        <w:rPr>
          <w:rFonts w:hint="eastAsia" w:ascii="宋体" w:hAnsi="宋体" w:cs="宋体"/>
          <w:color w:val="000000" w:themeColor="text1"/>
          <w:u w:val="single"/>
          <w14:textFill>
            <w14:solidFill>
              <w14:schemeClr w14:val="tx1"/>
            </w14:solidFill>
          </w14:textFill>
        </w:rPr>
        <w:t>（北京时间）</w:t>
      </w:r>
      <w:r>
        <w:rPr>
          <w:rFonts w:hint="eastAsia" w:ascii="宋体" w:hAnsi="宋体" w:cs="宋体"/>
          <w:color w:val="000000" w:themeColor="text1"/>
          <w14:textFill>
            <w14:solidFill>
              <w14:schemeClr w14:val="tx1"/>
            </w14:solidFill>
          </w14:textFill>
        </w:rPr>
        <w:t>。</w:t>
      </w:r>
    </w:p>
    <w:p w14:paraId="684EBD16">
      <w:pPr>
        <w:pageBreakBefore w:val="0"/>
        <w:kinsoku/>
        <w:wordWrap/>
        <w:overflowPunct/>
        <w:topLinePunct/>
        <w:autoSpaceDE/>
        <w:autoSpaceDN/>
        <w:bidi w:val="0"/>
        <w:adjustRightInd/>
        <w:snapToGrid/>
        <w:spacing w:line="360" w:lineRule="auto"/>
        <w:ind w:firstLine="420" w:firstLineChars="200"/>
        <w:jc w:val="both"/>
        <w:textAlignment w:val="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6.2开标地点：</w:t>
      </w:r>
      <w:r>
        <w:rPr>
          <w:rFonts w:hint="eastAsia" w:ascii="宋体" w:hAnsi="宋体" w:cs="宋体"/>
          <w:b/>
          <w:color w:val="000000" w:themeColor="text1"/>
          <w:szCs w:val="21"/>
          <w:u w:val="single"/>
          <w:lang w:val="en-US" w:eastAsia="zh-CN"/>
          <w14:textFill>
            <w14:solidFill>
              <w14:schemeClr w14:val="tx1"/>
            </w14:solidFill>
          </w14:textFill>
        </w:rPr>
        <w:t>红河州</w:t>
      </w:r>
      <w:r>
        <w:rPr>
          <w:rFonts w:hint="eastAsia" w:ascii="宋体" w:hAnsi="宋体" w:cs="宋体"/>
          <w:b/>
          <w:color w:val="000000" w:themeColor="text1"/>
          <w:szCs w:val="21"/>
          <w:u w:val="single"/>
          <w14:textFill>
            <w14:solidFill>
              <w14:schemeClr w14:val="tx1"/>
            </w14:solidFill>
          </w14:textFill>
        </w:rPr>
        <w:t>公共资源交易中心</w:t>
      </w:r>
      <w:r>
        <w:rPr>
          <w:rFonts w:hint="eastAsia" w:ascii="宋体" w:hAnsi="宋体" w:cs="宋体"/>
          <w:color w:val="000000" w:themeColor="text1"/>
          <w14:textFill>
            <w14:solidFill>
              <w14:schemeClr w14:val="tx1"/>
            </w14:solidFill>
          </w14:textFill>
        </w:rPr>
        <w:t>。</w:t>
      </w:r>
    </w:p>
    <w:p w14:paraId="753EFC47">
      <w:pPr>
        <w:pageBreakBefore w:val="0"/>
        <w:kinsoku/>
        <w:wordWrap/>
        <w:overflowPunct/>
        <w:topLinePunct/>
        <w:autoSpaceDE/>
        <w:autoSpaceDN/>
        <w:bidi w:val="0"/>
        <w:adjustRightInd/>
        <w:snapToGrid/>
        <w:spacing w:line="360" w:lineRule="auto"/>
        <w:ind w:firstLine="420" w:firstLineChars="200"/>
        <w:jc w:val="both"/>
        <w:textAlignment w:val="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6.3网上递交远程解密方式：投标人在投标截止时间前须登录</w:t>
      </w:r>
      <w:r>
        <w:rPr>
          <w:rFonts w:hint="eastAsia" w:ascii="宋体" w:hAnsi="宋体" w:cs="宋体"/>
          <w:color w:val="000000" w:themeColor="text1"/>
          <w:lang w:eastAsia="zh-CN"/>
          <w14:textFill>
            <w14:solidFill>
              <w14:schemeClr w14:val="tx1"/>
            </w14:solidFill>
          </w14:textFill>
        </w:rPr>
        <w:t>网址为：全国公共资源交易平台（云南省）/云南省公共资源交易信息网（网址：http://gzy.yn.gov.cn/)，选择地区“红河州”，切换至“红河州公共资源交易电子服务系统/全国公共资源交易平台（云南省·红河州）</w:t>
      </w:r>
      <w:r>
        <w:rPr>
          <w:rFonts w:hint="eastAsia" w:ascii="宋体" w:hAnsi="宋体" w:cs="宋体"/>
          <w:color w:val="000000" w:themeColor="text1"/>
          <w14:textFill>
            <w14:solidFill>
              <w14:schemeClr w14:val="tx1"/>
            </w14:solidFill>
          </w14:textFill>
        </w:rPr>
        <w:t>，在投标截止时间前完成所有投标文件的上传。投标人根据拟要投标的项目，按照网上投标系统要求上传全部投标文件，投标文件上传后须自行检查投标文件的完整性并进行确认签名后，方完成全部投标文件网上上传操作。投标人可自行打印“上传投标文件回执”。投标截止时间前未完成投标文件传输的，视为撤回投标文件。</w:t>
      </w:r>
    </w:p>
    <w:p w14:paraId="528CCA87">
      <w:pPr>
        <w:pageBreakBefore w:val="0"/>
        <w:kinsoku/>
        <w:wordWrap/>
        <w:overflowPunct/>
        <w:topLinePunct/>
        <w:autoSpaceDE/>
        <w:autoSpaceDN/>
        <w:bidi w:val="0"/>
        <w:adjustRightInd/>
        <w:snapToGrid/>
        <w:spacing w:line="360" w:lineRule="auto"/>
        <w:ind w:firstLine="420" w:firstLineChars="200"/>
        <w:jc w:val="both"/>
        <w:textAlignment w:val="auto"/>
        <w:outlineLvl w:val="1"/>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注意事项：按照《网上开标远程解密操作指南（投标人）》，在截标时间前提前</w:t>
      </w:r>
      <w:r>
        <w:rPr>
          <w:rFonts w:hint="eastAsia" w:ascii="宋体" w:hAnsi="宋体" w:cs="宋体"/>
          <w:color w:val="000000" w:themeColor="text1"/>
          <w:lang w:eastAsia="zh-CN"/>
          <w14:textFill>
            <w14:solidFill>
              <w14:schemeClr w14:val="tx1"/>
            </w14:solidFill>
          </w14:textFill>
        </w:rPr>
        <w:t>进入</w:t>
      </w:r>
      <w:r>
        <w:rPr>
          <w:rFonts w:hint="eastAsia" w:ascii="宋体" w:hAnsi="宋体" w:cs="宋体"/>
          <w:color w:val="000000" w:themeColor="text1"/>
          <w14:textFill>
            <w14:solidFill>
              <w14:schemeClr w14:val="tx1"/>
            </w14:solidFill>
          </w14:textFill>
        </w:rPr>
        <w:t>“网上开标室”，根据网上远程解密、开标要求，在下达投标文件解密指令后10分钟内完成远程解密，因投标人操作失误或自身原因导致解密失败的，视为放弃此次投标；唱标结束后，投标人未提出异议的，视为无异议；本项目开标、唱标结果的电子签名确认时间为5分钟，投标人未在规定时间内签名确认的，视为认可开标、唱标结果。</w:t>
      </w:r>
      <w:bookmarkStart w:id="91" w:name="_Toc99533899"/>
      <w:bookmarkStart w:id="92" w:name="_Toc99534083"/>
      <w:bookmarkStart w:id="93" w:name="_Toc99534267"/>
      <w:bookmarkStart w:id="94" w:name="_Toc105507364"/>
    </w:p>
    <w:p w14:paraId="59A5ADF3">
      <w:pPr>
        <w:pageBreakBefore w:val="0"/>
        <w:kinsoku/>
        <w:wordWrap/>
        <w:overflowPunct/>
        <w:topLinePunct/>
        <w:autoSpaceDE/>
        <w:autoSpaceDN/>
        <w:bidi w:val="0"/>
        <w:adjustRightInd/>
        <w:snapToGrid/>
        <w:spacing w:line="360" w:lineRule="auto"/>
        <w:ind w:firstLine="420" w:firstLineChars="200"/>
        <w:jc w:val="both"/>
        <w:textAlignment w:val="auto"/>
        <w:outlineLvl w:val="1"/>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因开标系统、开标（投标文件开封）现场网络、设备及其他特殊原因，导致不能正常解密文件的，经核实和上报相关部门同意后，可再次下达网上解密指令来延长解密时间。</w:t>
      </w:r>
      <w:bookmarkEnd w:id="91"/>
      <w:bookmarkEnd w:id="92"/>
      <w:bookmarkEnd w:id="93"/>
      <w:bookmarkEnd w:id="94"/>
    </w:p>
    <w:p w14:paraId="3280F7B0">
      <w:pPr>
        <w:pageBreakBefore w:val="0"/>
        <w:kinsoku/>
        <w:wordWrap/>
        <w:overflowPunct/>
        <w:topLinePunct/>
        <w:autoSpaceDE/>
        <w:autoSpaceDN/>
        <w:bidi w:val="0"/>
        <w:adjustRightInd/>
        <w:snapToGrid/>
        <w:spacing w:line="360" w:lineRule="auto"/>
        <w:ind w:firstLine="420" w:firstLineChars="200"/>
        <w:jc w:val="both"/>
        <w:textAlignment w:val="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技术服务咨询：北京筑龙信息技术有限责任公司，服务热线：010-86483801，</w:t>
      </w:r>
      <w:r>
        <w:rPr>
          <w:rFonts w:hint="eastAsia" w:ascii="宋体" w:hAnsi="宋体" w:cs="宋体"/>
          <w:bCs/>
          <w:color w:val="000000" w:themeColor="text1"/>
          <w:szCs w:val="21"/>
          <w14:textFill>
            <w14:solidFill>
              <w14:schemeClr w14:val="tx1"/>
            </w14:solidFill>
          </w14:textFill>
        </w:rPr>
        <w:t>在线QQ：4009618998</w:t>
      </w:r>
      <w:r>
        <w:rPr>
          <w:rFonts w:hint="eastAsia" w:ascii="宋体" w:hAnsi="宋体" w:cs="宋体"/>
          <w:color w:val="000000" w:themeColor="text1"/>
          <w14:textFill>
            <w14:solidFill>
              <w14:schemeClr w14:val="tx1"/>
            </w14:solidFill>
          </w14:textFill>
        </w:rPr>
        <w:t xml:space="preserve">。 </w:t>
      </w:r>
    </w:p>
    <w:p w14:paraId="657B2EFE">
      <w:pPr>
        <w:pageBreakBefore w:val="0"/>
        <w:kinsoku/>
        <w:wordWrap/>
        <w:overflowPunct/>
        <w:topLinePunct/>
        <w:autoSpaceDE/>
        <w:autoSpaceDN/>
        <w:bidi w:val="0"/>
        <w:adjustRightInd/>
        <w:snapToGrid/>
        <w:spacing w:line="360" w:lineRule="auto"/>
        <w:ind w:firstLine="420" w:firstLineChars="200"/>
        <w:jc w:val="both"/>
        <w:textAlignment w:val="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注：上传投标文件时加密使用的CA数字证书是开标时对投标文件进行解密的必要工具。因投标人自身原因导致所递交的投标文件无法解密、导入失败的，均视为其撤销投标文件，后果及责任由投标人自行承担。 </w:t>
      </w:r>
    </w:p>
    <w:p w14:paraId="37F2BFC7">
      <w:pPr>
        <w:pageBreakBefore w:val="0"/>
        <w:kinsoku/>
        <w:wordWrap/>
        <w:overflowPunct/>
        <w:topLinePunct/>
        <w:autoSpaceDE/>
        <w:autoSpaceDN/>
        <w:bidi w:val="0"/>
        <w:adjustRightInd/>
        <w:snapToGrid/>
        <w:spacing w:line="360" w:lineRule="auto"/>
        <w:ind w:firstLine="420" w:firstLineChars="200"/>
        <w:jc w:val="both"/>
        <w:textAlignment w:val="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操作指南详见http://ggzy.yn.gov.cn/ynggfwpt-home-web/#/serviceGuide/index。</w:t>
      </w:r>
    </w:p>
    <w:bookmarkEnd w:id="30"/>
    <w:bookmarkEnd w:id="31"/>
    <w:bookmarkEnd w:id="32"/>
    <w:bookmarkEnd w:id="33"/>
    <w:bookmarkEnd w:id="34"/>
    <w:bookmarkEnd w:id="83"/>
    <w:bookmarkEnd w:id="84"/>
    <w:bookmarkEnd w:id="85"/>
    <w:bookmarkEnd w:id="86"/>
    <w:bookmarkEnd w:id="87"/>
    <w:bookmarkEnd w:id="88"/>
    <w:bookmarkEnd w:id="89"/>
    <w:bookmarkEnd w:id="90"/>
    <w:p w14:paraId="0ACD0DD1">
      <w:pPr>
        <w:pStyle w:val="96"/>
        <w:pageBreakBefore w:val="0"/>
        <w:kinsoku/>
        <w:wordWrap/>
        <w:overflowPunct/>
        <w:topLinePunct/>
        <w:autoSpaceDE/>
        <w:autoSpaceDN/>
        <w:bidi w:val="0"/>
        <w:adjustRightInd/>
        <w:snapToGrid/>
        <w:spacing w:before="0" w:line="360" w:lineRule="auto"/>
        <w:jc w:val="both"/>
        <w:textAlignment w:val="auto"/>
        <w:rPr>
          <w:rFonts w:hint="eastAsia" w:ascii="宋体" w:hAnsi="宋体" w:eastAsia="宋体"/>
          <w:b/>
          <w:color w:val="000000" w:themeColor="text1"/>
          <w:sz w:val="21"/>
          <w:szCs w:val="21"/>
          <w14:textFill>
            <w14:solidFill>
              <w14:schemeClr w14:val="tx1"/>
            </w14:solidFill>
          </w14:textFill>
        </w:rPr>
      </w:pPr>
      <w:bookmarkStart w:id="95" w:name="_Toc11989"/>
      <w:r>
        <w:rPr>
          <w:rFonts w:hint="eastAsia" w:ascii="宋体" w:hAnsi="宋体" w:eastAsia="宋体"/>
          <w:b/>
          <w:color w:val="000000" w:themeColor="text1"/>
          <w:sz w:val="21"/>
          <w:szCs w:val="21"/>
          <w14:textFill>
            <w14:solidFill>
              <w14:schemeClr w14:val="tx1"/>
            </w14:solidFill>
          </w14:textFill>
        </w:rPr>
        <w:t>7、发布公告的媒介</w:t>
      </w:r>
      <w:bookmarkEnd w:id="95"/>
    </w:p>
    <w:p w14:paraId="4076F535">
      <w:pPr>
        <w:keepNext w:val="0"/>
        <w:keepLines w:val="0"/>
        <w:pageBreakBefore w:val="0"/>
        <w:widowControl w:val="0"/>
        <w:kinsoku/>
        <w:wordWrap/>
        <w:overflowPunct/>
        <w:topLinePunct/>
        <w:autoSpaceDE/>
        <w:autoSpaceDN/>
        <w:bidi w:val="0"/>
        <w:adjustRightInd/>
        <w:snapToGrid/>
        <w:spacing w:line="380" w:lineRule="exact"/>
        <w:ind w:firstLine="420" w:firstLineChars="200"/>
        <w:jc w:val="both"/>
        <w:textAlignment w:val="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本次招标公告同时在中国招标投标公共服务平台（</w:t>
      </w:r>
      <w:r>
        <w:rPr>
          <w:rFonts w:hint="eastAsia" w:ascii="宋体" w:hAnsi="宋体" w:cs="宋体"/>
          <w:color w:val="000000" w:themeColor="text1"/>
          <w:lang w:eastAsia="zh-CN"/>
          <w14:textFill>
            <w14:solidFill>
              <w14:schemeClr w14:val="tx1"/>
            </w14:solidFill>
          </w14:textFill>
        </w:rPr>
        <w:t>网址：</w:t>
      </w:r>
      <w:r>
        <w:rPr>
          <w:rFonts w:hint="eastAsia" w:ascii="宋体" w:hAnsi="宋体" w:cs="宋体"/>
          <w:color w:val="000000" w:themeColor="text1"/>
          <w14:textFill>
            <w14:solidFill>
              <w14:schemeClr w14:val="tx1"/>
            </w14:solidFill>
          </w14:textFill>
        </w:rPr>
        <w:t>http://www.cebpubservice.com/)、云南省建设监管公共服务平台（</w:t>
      </w:r>
      <w:r>
        <w:rPr>
          <w:rFonts w:hint="eastAsia" w:ascii="宋体" w:hAnsi="宋体" w:cs="宋体"/>
          <w:color w:val="000000" w:themeColor="text1"/>
          <w:lang w:eastAsia="zh-CN"/>
          <w14:textFill>
            <w14:solidFill>
              <w14:schemeClr w14:val="tx1"/>
            </w14:solidFill>
          </w14:textFill>
        </w:rPr>
        <w:t>网址：</w:t>
      </w:r>
      <w:r>
        <w:rPr>
          <w:rFonts w:hint="eastAsia" w:ascii="宋体" w:hAnsi="宋体" w:cs="宋体"/>
          <w:color w:val="000000" w:themeColor="text1"/>
          <w14:textFill>
            <w14:solidFill>
              <w14:schemeClr w14:val="tx1"/>
            </w14:solidFill>
          </w14:textFill>
        </w:rPr>
        <w:t>https://www.ynjzjgcx.com/）、</w:t>
      </w:r>
      <w:r>
        <w:rPr>
          <w:rFonts w:hint="eastAsia" w:ascii="宋体" w:hAnsi="宋体" w:cs="宋体"/>
          <w:color w:val="000000" w:themeColor="text1"/>
          <w:lang w:eastAsia="zh-CN"/>
          <w14:textFill>
            <w14:solidFill>
              <w14:schemeClr w14:val="tx1"/>
            </w14:solidFill>
          </w14:textFill>
        </w:rPr>
        <w:t>全国公共资源交易平台（云南省）/云南省公共资源交易信息网（网址：http://gzy.yn.gov.cn/)</w:t>
      </w:r>
      <w:r>
        <w:rPr>
          <w:rFonts w:hint="eastAsia" w:ascii="宋体" w:hAnsi="宋体" w:cs="宋体"/>
          <w:color w:val="000000" w:themeColor="text1"/>
          <w14:textFill>
            <w14:solidFill>
              <w14:schemeClr w14:val="tx1"/>
            </w14:solidFill>
          </w14:textFill>
        </w:rPr>
        <w:t>上发布。</w:t>
      </w:r>
    </w:p>
    <w:p w14:paraId="60A24AC5">
      <w:pPr>
        <w:pStyle w:val="96"/>
        <w:pageBreakBefore w:val="0"/>
        <w:kinsoku/>
        <w:wordWrap/>
        <w:overflowPunct/>
        <w:topLinePunct/>
        <w:autoSpaceDE/>
        <w:autoSpaceDN/>
        <w:bidi w:val="0"/>
        <w:adjustRightInd/>
        <w:snapToGrid/>
        <w:spacing w:before="0" w:line="360" w:lineRule="auto"/>
        <w:jc w:val="both"/>
        <w:textAlignment w:val="auto"/>
        <w:rPr>
          <w:rFonts w:hint="eastAsia" w:ascii="宋体" w:hAnsi="宋体" w:eastAsia="宋体"/>
          <w:b/>
          <w:color w:val="000000" w:themeColor="text1"/>
          <w:sz w:val="21"/>
          <w:szCs w:val="21"/>
          <w14:textFill>
            <w14:solidFill>
              <w14:schemeClr w14:val="tx1"/>
            </w14:solidFill>
          </w14:textFill>
        </w:rPr>
      </w:pPr>
      <w:bookmarkStart w:id="96" w:name="_Toc17873"/>
      <w:r>
        <w:rPr>
          <w:rFonts w:hint="eastAsia" w:ascii="宋体" w:hAnsi="宋体" w:eastAsia="宋体"/>
          <w:b/>
          <w:color w:val="000000" w:themeColor="text1"/>
          <w:sz w:val="21"/>
          <w:szCs w:val="21"/>
          <w14:textFill>
            <w14:solidFill>
              <w14:schemeClr w14:val="tx1"/>
            </w14:solidFill>
          </w14:textFill>
        </w:rPr>
        <w:t>8、联系方式</w:t>
      </w:r>
      <w:bookmarkEnd w:id="96"/>
    </w:p>
    <w:p w14:paraId="2B8D0C7F">
      <w:pPr>
        <w:keepNext w:val="0"/>
        <w:keepLines w:val="0"/>
        <w:pageBreakBefore w:val="0"/>
        <w:widowControl w:val="0"/>
        <w:kinsoku/>
        <w:wordWrap/>
        <w:overflowPunct/>
        <w:topLinePunct/>
        <w:autoSpaceDE/>
        <w:autoSpaceDN/>
        <w:bidi w:val="0"/>
        <w:adjustRightInd/>
        <w:snapToGrid/>
        <w:spacing w:line="380" w:lineRule="exact"/>
        <w:ind w:firstLine="420" w:firstLineChars="200"/>
        <w:jc w:val="both"/>
        <w:textAlignment w:val="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招标人：</w:t>
      </w:r>
      <w:r>
        <w:rPr>
          <w:rFonts w:hint="eastAsia" w:ascii="宋体" w:hAnsi="宋体" w:cs="宋体"/>
          <w:color w:val="000000" w:themeColor="text1"/>
          <w:lang w:val="en-US" w:eastAsia="zh-CN"/>
          <w14:textFill>
            <w14:solidFill>
              <w14:schemeClr w14:val="tx1"/>
            </w14:solidFill>
          </w14:textFill>
        </w:rPr>
        <w:t>中能国和（云南）控股有限公司</w:t>
      </w:r>
      <w:r>
        <w:rPr>
          <w:rFonts w:hint="eastAsia" w:ascii="宋体" w:hAnsi="宋体" w:cs="宋体"/>
          <w:color w:val="000000" w:themeColor="text1"/>
          <w14:textFill>
            <w14:solidFill>
              <w14:schemeClr w14:val="tx1"/>
            </w14:solidFill>
          </w14:textFill>
        </w:rPr>
        <w:t xml:space="preserve">        </w:t>
      </w:r>
    </w:p>
    <w:p w14:paraId="19E88F86">
      <w:pPr>
        <w:keepNext w:val="0"/>
        <w:keepLines w:val="0"/>
        <w:pageBreakBefore w:val="0"/>
        <w:widowControl w:val="0"/>
        <w:kinsoku/>
        <w:wordWrap/>
        <w:overflowPunct/>
        <w:topLinePunct/>
        <w:autoSpaceDE/>
        <w:autoSpaceDN/>
        <w:bidi w:val="0"/>
        <w:adjustRightInd/>
        <w:snapToGrid/>
        <w:spacing w:line="380" w:lineRule="exact"/>
        <w:ind w:firstLine="420" w:firstLineChars="200"/>
        <w:jc w:val="both"/>
        <w:textAlignment w:val="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法定代表人：</w:t>
      </w:r>
      <w:r>
        <w:rPr>
          <w:rFonts w:hint="eastAsia" w:ascii="宋体" w:hAnsi="宋体" w:cs="宋体"/>
          <w:color w:val="000000" w:themeColor="text1"/>
          <w:lang w:val="en-US" w:eastAsia="zh-CN"/>
          <w14:textFill>
            <w14:solidFill>
              <w14:schemeClr w14:val="tx1"/>
            </w14:solidFill>
          </w14:textFill>
        </w:rPr>
        <w:t>由国龙</w:t>
      </w:r>
      <w:r>
        <w:rPr>
          <w:rFonts w:hint="eastAsia" w:ascii="宋体" w:hAnsi="宋体" w:cs="宋体"/>
          <w:color w:val="000000" w:themeColor="text1"/>
          <w14:textFill>
            <w14:solidFill>
              <w14:schemeClr w14:val="tx1"/>
            </w14:solidFill>
          </w14:textFill>
        </w:rPr>
        <w:t xml:space="preserve">                                    </w:t>
      </w:r>
    </w:p>
    <w:p w14:paraId="30ACA836">
      <w:pPr>
        <w:keepNext w:val="0"/>
        <w:keepLines w:val="0"/>
        <w:pageBreakBefore w:val="0"/>
        <w:widowControl w:val="0"/>
        <w:kinsoku/>
        <w:wordWrap/>
        <w:overflowPunct/>
        <w:topLinePunct/>
        <w:autoSpaceDE/>
        <w:autoSpaceDN/>
        <w:bidi w:val="0"/>
        <w:adjustRightInd/>
        <w:snapToGrid/>
        <w:spacing w:line="380" w:lineRule="exact"/>
        <w:ind w:firstLine="420" w:firstLineChars="200"/>
        <w:jc w:val="both"/>
        <w:textAlignment w:val="auto"/>
        <w:rPr>
          <w:rFonts w:hint="eastAsia" w:ascii="宋体" w:hAnsi="宋体" w:cs="宋体"/>
          <w:color w:val="000000"/>
          <w:highlight w:val="none"/>
        </w:rPr>
      </w:pPr>
      <w:r>
        <w:rPr>
          <w:rFonts w:hint="eastAsia" w:ascii="宋体" w:hAnsi="宋体" w:cs="宋体"/>
          <w:color w:val="000000"/>
          <w:highlight w:val="none"/>
        </w:rPr>
        <w:t>地址：</w:t>
      </w:r>
      <w:r>
        <w:rPr>
          <w:rFonts w:hint="eastAsia" w:ascii="宋体" w:hAnsi="宋体" w:cs="宋体"/>
          <w:color w:val="000000"/>
          <w:highlight w:val="none"/>
          <w:lang w:val="en-US" w:eastAsia="zh-CN"/>
        </w:rPr>
        <w:t>西双版纳傣族自治州勐海县中央国际一栋</w:t>
      </w:r>
      <w:r>
        <w:rPr>
          <w:rFonts w:hint="eastAsia" w:ascii="宋体" w:hAnsi="宋体" w:cs="宋体"/>
          <w:color w:val="000000"/>
          <w:highlight w:val="none"/>
        </w:rPr>
        <w:t xml:space="preserve">   </w:t>
      </w:r>
    </w:p>
    <w:p w14:paraId="33040F18">
      <w:pPr>
        <w:keepNext w:val="0"/>
        <w:keepLines w:val="0"/>
        <w:pageBreakBefore w:val="0"/>
        <w:widowControl w:val="0"/>
        <w:kinsoku/>
        <w:wordWrap/>
        <w:overflowPunct/>
        <w:topLinePunct/>
        <w:autoSpaceDE/>
        <w:autoSpaceDN/>
        <w:bidi w:val="0"/>
        <w:adjustRightInd/>
        <w:snapToGrid/>
        <w:spacing w:line="380" w:lineRule="exact"/>
        <w:ind w:firstLine="420" w:firstLineChars="200"/>
        <w:jc w:val="both"/>
        <w:textAlignment w:val="auto"/>
        <w:rPr>
          <w:rFonts w:hint="eastAsia" w:ascii="宋体" w:hAnsi="宋体" w:cs="宋体"/>
          <w:color w:val="000000"/>
          <w:highlight w:val="none"/>
        </w:rPr>
      </w:pPr>
      <w:r>
        <w:rPr>
          <w:rFonts w:hint="eastAsia" w:ascii="宋体" w:hAnsi="宋体" w:cs="宋体"/>
          <w:color w:val="000000"/>
          <w:highlight w:val="none"/>
        </w:rPr>
        <w:t>联系人：</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AUTOTEXT  input61 \* MERGEFORMAT </w:instrText>
      </w:r>
      <w:r>
        <w:rPr>
          <w:rFonts w:hint="eastAsia" w:ascii="宋体" w:hAnsi="宋体" w:cs="宋体"/>
          <w:color w:val="000000"/>
          <w:highlight w:val="none"/>
        </w:rPr>
        <w:fldChar w:fldCharType="separate"/>
      </w:r>
      <w:r>
        <w:rPr>
          <w:rFonts w:hint="eastAsia" w:ascii="宋体" w:hAnsi="宋体" w:cs="宋体"/>
          <w:color w:val="000000"/>
          <w:highlight w:val="none"/>
        </w:rPr>
        <w:t>王娑斓</w:t>
      </w:r>
      <w:r>
        <w:rPr>
          <w:rFonts w:hint="eastAsia" w:ascii="宋体" w:hAnsi="宋体" w:cs="宋体"/>
          <w:color w:val="000000"/>
          <w:highlight w:val="none"/>
        </w:rPr>
        <w:fldChar w:fldCharType="end"/>
      </w:r>
      <w:r>
        <w:rPr>
          <w:rFonts w:hint="eastAsia" w:ascii="宋体" w:hAnsi="宋体" w:cs="宋体"/>
          <w:color w:val="000000"/>
          <w:highlight w:val="none"/>
          <w:lang w:val="en-US" w:eastAsia="zh-CN"/>
        </w:rPr>
        <w:t xml:space="preserve"> </w:t>
      </w:r>
      <w:r>
        <w:rPr>
          <w:rFonts w:hint="eastAsia" w:ascii="宋体" w:hAnsi="宋体" w:cs="宋体"/>
          <w:color w:val="000000"/>
          <w:highlight w:val="none"/>
        </w:rPr>
        <w:t xml:space="preserve"> </w:t>
      </w:r>
    </w:p>
    <w:p w14:paraId="111818DD">
      <w:pPr>
        <w:keepNext w:val="0"/>
        <w:keepLines w:val="0"/>
        <w:pageBreakBefore w:val="0"/>
        <w:widowControl w:val="0"/>
        <w:kinsoku/>
        <w:wordWrap/>
        <w:overflowPunct/>
        <w:topLinePunct/>
        <w:autoSpaceDE/>
        <w:autoSpaceDN/>
        <w:bidi w:val="0"/>
        <w:adjustRightInd/>
        <w:snapToGrid/>
        <w:spacing w:line="380" w:lineRule="exact"/>
        <w:ind w:firstLine="420" w:firstLineChars="200"/>
        <w:jc w:val="both"/>
        <w:textAlignment w:val="auto"/>
        <w:rPr>
          <w:rFonts w:hint="eastAsia" w:ascii="宋体" w:hAnsi="宋体" w:cs="宋体"/>
          <w:color w:val="000000" w:themeColor="text1"/>
          <w14:textFill>
            <w14:solidFill>
              <w14:schemeClr w14:val="tx1"/>
            </w14:solidFill>
          </w14:textFill>
        </w:rPr>
      </w:pPr>
      <w:r>
        <w:rPr>
          <w:rFonts w:hint="eastAsia" w:ascii="宋体" w:hAnsi="宋体" w:cs="宋体"/>
          <w:color w:val="000000"/>
          <w:highlight w:val="none"/>
        </w:rPr>
        <w:t>电话：</w:t>
      </w:r>
      <w:r>
        <w:rPr>
          <w:rFonts w:hint="eastAsia" w:ascii="宋体" w:hAnsi="宋体" w:cs="宋体"/>
          <w:color w:val="000000"/>
          <w:highlight w:val="none"/>
          <w:lang w:val="en-US" w:eastAsia="zh-CN"/>
        </w:rPr>
        <w:t xml:space="preserve"> 180 3062 7797</w:t>
      </w:r>
      <w:r>
        <w:rPr>
          <w:rFonts w:hint="eastAsia" w:ascii="宋体" w:hAnsi="宋体" w:cs="宋体"/>
          <w:color w:val="000000"/>
          <w:highlight w:val="none"/>
        </w:rPr>
        <w:t xml:space="preserve">      </w:t>
      </w:r>
      <w:r>
        <w:rPr>
          <w:rFonts w:hint="eastAsia" w:ascii="宋体" w:hAnsi="宋体" w:cs="宋体"/>
          <w:color w:val="000000"/>
        </w:rPr>
        <w:t xml:space="preserve">  </w:t>
      </w:r>
      <w:r>
        <w:rPr>
          <w:rFonts w:hint="eastAsia" w:ascii="宋体" w:hAnsi="宋体" w:cs="宋体"/>
          <w:color w:val="000000" w:themeColor="text1"/>
          <w14:textFill>
            <w14:solidFill>
              <w14:schemeClr w14:val="tx1"/>
            </w14:solidFill>
          </w14:textFill>
        </w:rPr>
        <w:t xml:space="preserve">              </w:t>
      </w:r>
      <w:bookmarkStart w:id="97" w:name="_Toc4397"/>
    </w:p>
    <w:p w14:paraId="494B5BE7">
      <w:pPr>
        <w:keepNext w:val="0"/>
        <w:keepLines w:val="0"/>
        <w:pageBreakBefore w:val="0"/>
        <w:widowControl w:val="0"/>
        <w:kinsoku/>
        <w:wordWrap/>
        <w:overflowPunct/>
        <w:topLinePunct/>
        <w:autoSpaceDE/>
        <w:autoSpaceDN/>
        <w:bidi w:val="0"/>
        <w:adjustRightInd/>
        <w:snapToGrid/>
        <w:spacing w:line="380" w:lineRule="exact"/>
        <w:ind w:firstLine="420" w:firstLineChars="200"/>
        <w:jc w:val="both"/>
        <w:textAlignment w:val="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招标代理机构：红河州建设工程招标有限公司</w:t>
      </w:r>
    </w:p>
    <w:p w14:paraId="5CA27FBD">
      <w:pPr>
        <w:keepNext w:val="0"/>
        <w:keepLines w:val="0"/>
        <w:pageBreakBefore w:val="0"/>
        <w:widowControl w:val="0"/>
        <w:kinsoku/>
        <w:wordWrap/>
        <w:overflowPunct/>
        <w:topLinePunct/>
        <w:autoSpaceDE/>
        <w:autoSpaceDN/>
        <w:bidi w:val="0"/>
        <w:adjustRightInd/>
        <w:snapToGrid/>
        <w:spacing w:line="380" w:lineRule="exact"/>
        <w:ind w:firstLine="420" w:firstLineChars="200"/>
        <w:jc w:val="both"/>
        <w:textAlignment w:val="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法定代表人：秦臻</w:t>
      </w:r>
    </w:p>
    <w:p w14:paraId="539BF924">
      <w:pPr>
        <w:keepNext w:val="0"/>
        <w:keepLines w:val="0"/>
        <w:pageBreakBefore w:val="0"/>
        <w:widowControl w:val="0"/>
        <w:kinsoku/>
        <w:wordWrap/>
        <w:overflowPunct/>
        <w:topLinePunct/>
        <w:autoSpaceDE/>
        <w:autoSpaceDN/>
        <w:bidi w:val="0"/>
        <w:adjustRightInd/>
        <w:snapToGrid/>
        <w:spacing w:line="380" w:lineRule="exact"/>
        <w:ind w:firstLine="420" w:firstLineChars="200"/>
        <w:jc w:val="both"/>
        <w:textAlignment w:val="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地址：蒙自市护国路1号红建佳苑商网8号</w:t>
      </w:r>
    </w:p>
    <w:p w14:paraId="00172E98">
      <w:pPr>
        <w:keepNext w:val="0"/>
        <w:keepLines w:val="0"/>
        <w:pageBreakBefore w:val="0"/>
        <w:widowControl w:val="0"/>
        <w:kinsoku/>
        <w:wordWrap/>
        <w:overflowPunct/>
        <w:topLinePunct/>
        <w:autoSpaceDE/>
        <w:autoSpaceDN/>
        <w:bidi w:val="0"/>
        <w:adjustRightInd/>
        <w:snapToGrid/>
        <w:spacing w:line="380" w:lineRule="exact"/>
        <w:ind w:firstLine="420" w:firstLineChars="200"/>
        <w:jc w:val="both"/>
        <w:textAlignment w:val="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电话：</w:t>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AUTOTEXT  input68 \* MERGEFORMAT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18787303331</w:t>
      </w:r>
      <w:r>
        <w:rPr>
          <w:rFonts w:hint="eastAsia" w:ascii="宋体" w:hAnsi="宋体" w:cs="宋体"/>
          <w:color w:val="000000" w:themeColor="text1"/>
          <w14:textFill>
            <w14:solidFill>
              <w14:schemeClr w14:val="tx1"/>
            </w14:solidFill>
          </w14:textFill>
        </w:rPr>
        <w:fldChar w:fldCharType="end"/>
      </w:r>
    </w:p>
    <w:p w14:paraId="0138DF5B">
      <w:pPr>
        <w:keepNext w:val="0"/>
        <w:keepLines w:val="0"/>
        <w:pageBreakBefore w:val="0"/>
        <w:widowControl w:val="0"/>
        <w:kinsoku/>
        <w:wordWrap/>
        <w:overflowPunct/>
        <w:topLinePunct/>
        <w:autoSpaceDE/>
        <w:autoSpaceDN/>
        <w:bidi w:val="0"/>
        <w:adjustRightInd/>
        <w:snapToGrid/>
        <w:spacing w:line="380" w:lineRule="exact"/>
        <w:ind w:firstLine="420" w:firstLineChars="200"/>
        <w:jc w:val="both"/>
        <w:textAlignment w:val="auto"/>
        <w:rPr>
          <w:rFonts w:hint="eastAsia" w:ascii="宋体" w:hAnsi="宋体" w:eastAsia="宋体" w:cs="宋体"/>
          <w:b w:val="0"/>
          <w:bCs w:val="0"/>
          <w:color w:val="000000" w:themeColor="text1"/>
          <w:kern w:val="2"/>
          <w:sz w:val="21"/>
          <w:szCs w:val="24"/>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联系人：侯建伟、</w:t>
      </w:r>
      <w:r>
        <w:rPr>
          <w:rFonts w:hint="eastAsia" w:ascii="宋体" w:hAnsi="宋体" w:cs="宋体"/>
          <w:color w:val="000000" w:themeColor="text1"/>
          <w:lang w:val="en-US" w:eastAsia="zh-CN"/>
          <w14:textFill>
            <w14:solidFill>
              <w14:schemeClr w14:val="tx1"/>
            </w14:solidFill>
          </w14:textFill>
        </w:rPr>
        <w:t>王佳</w:t>
      </w:r>
    </w:p>
    <w:p w14:paraId="382B2EA5">
      <w:pPr>
        <w:keepNext w:val="0"/>
        <w:keepLines w:val="0"/>
        <w:pageBreakBefore w:val="0"/>
        <w:widowControl w:val="0"/>
        <w:kinsoku/>
        <w:wordWrap/>
        <w:overflowPunct/>
        <w:topLinePunct/>
        <w:autoSpaceDE/>
        <w:autoSpaceDN/>
        <w:bidi w:val="0"/>
        <w:adjustRightInd/>
        <w:snapToGrid/>
        <w:spacing w:line="380" w:lineRule="exact"/>
        <w:ind w:firstLine="420" w:firstLineChars="200"/>
        <w:jc w:val="both"/>
        <w:textAlignment w:val="auto"/>
        <w:rPr>
          <w:rFonts w:hint="eastAsia" w:ascii="宋体" w:hAnsi="宋体" w:eastAsia="宋体" w:cs="宋体"/>
          <w:b w:val="0"/>
          <w:bCs w:val="0"/>
          <w:color w:val="000000" w:themeColor="text1"/>
          <w:kern w:val="2"/>
          <w:sz w:val="21"/>
          <w:szCs w:val="24"/>
          <w:lang w:val="en-US" w:eastAsia="zh-CN"/>
          <w14:textFill>
            <w14:solidFill>
              <w14:schemeClr w14:val="tx1"/>
            </w14:solidFill>
          </w14:textFill>
        </w:rPr>
      </w:pPr>
      <w:r>
        <w:rPr>
          <w:rFonts w:hint="eastAsia" w:ascii="宋体" w:hAnsi="宋体" w:cs="宋体"/>
          <w:b w:val="0"/>
          <w:bCs w:val="0"/>
          <w:color w:val="000000" w:themeColor="text1"/>
          <w:kern w:val="2"/>
          <w:sz w:val="21"/>
          <w:szCs w:val="24"/>
          <w14:textFill>
            <w14:solidFill>
              <w14:schemeClr w14:val="tx1"/>
            </w14:solidFill>
          </w14:textFill>
        </w:rPr>
        <w:t>监督部门：蒙自经开区红河综保区管委会办公室</w:t>
      </w:r>
    </w:p>
    <w:p w14:paraId="7BF946E5">
      <w:pPr>
        <w:keepNext w:val="0"/>
        <w:keepLines w:val="0"/>
        <w:pageBreakBefore w:val="0"/>
        <w:widowControl w:val="0"/>
        <w:kinsoku/>
        <w:wordWrap/>
        <w:overflowPunct/>
        <w:topLinePunct/>
        <w:autoSpaceDE/>
        <w:autoSpaceDN/>
        <w:bidi w:val="0"/>
        <w:adjustRightInd/>
        <w:snapToGrid/>
        <w:spacing w:line="440" w:lineRule="exact"/>
        <w:ind w:firstLine="420" w:firstLineChars="200"/>
        <w:jc w:val="left"/>
        <w:textAlignment w:val="auto"/>
        <w:rPr>
          <w:rFonts w:hint="eastAsia" w:ascii="宋体" w:hAnsi="宋体" w:cs="宋体"/>
          <w:b w:val="0"/>
          <w:bCs w:val="0"/>
          <w:color w:val="000000" w:themeColor="text1"/>
          <w:kern w:val="2"/>
          <w:sz w:val="21"/>
          <w:szCs w:val="24"/>
          <w14:textFill>
            <w14:solidFill>
              <w14:schemeClr w14:val="tx1"/>
            </w14:solidFill>
          </w14:textFill>
        </w:rPr>
      </w:pPr>
      <w:r>
        <w:rPr>
          <w:rFonts w:hint="eastAsia" w:ascii="宋体" w:hAnsi="宋体" w:cs="宋体"/>
          <w:b w:val="0"/>
          <w:bCs w:val="0"/>
          <w:color w:val="000000" w:themeColor="text1"/>
          <w:kern w:val="2"/>
          <w:sz w:val="21"/>
          <w:szCs w:val="24"/>
          <w14:textFill>
            <w14:solidFill>
              <w14:schemeClr w14:val="tx1"/>
            </w14:solidFill>
          </w14:textFill>
        </w:rPr>
        <w:t>监督电话：</w:t>
      </w:r>
      <w:r>
        <w:rPr>
          <w:rFonts w:hint="eastAsia" w:ascii="宋体" w:hAnsi="宋体" w:cs="宋体"/>
          <w:b w:val="0"/>
          <w:bCs w:val="0"/>
          <w:color w:val="000000" w:themeColor="text1"/>
          <w:kern w:val="2"/>
          <w:sz w:val="21"/>
          <w:szCs w:val="24"/>
          <w14:textFill>
            <w14:solidFill>
              <w14:schemeClr w14:val="tx1"/>
            </w14:solidFill>
          </w14:textFill>
        </w:rPr>
        <w:fldChar w:fldCharType="begin"/>
      </w:r>
      <w:r>
        <w:rPr>
          <w:rFonts w:hint="eastAsia" w:ascii="宋体" w:hAnsi="宋体" w:cs="宋体"/>
          <w:b w:val="0"/>
          <w:bCs w:val="0"/>
          <w:color w:val="000000" w:themeColor="text1"/>
          <w:kern w:val="2"/>
          <w:sz w:val="21"/>
          <w:szCs w:val="24"/>
          <w14:textFill>
            <w14:solidFill>
              <w14:schemeClr w14:val="tx1"/>
            </w14:solidFill>
          </w14:textFill>
        </w:rPr>
        <w:instrText xml:space="preserve"> AUTOTEXT  input261 \* MERGEFORMAT </w:instrText>
      </w:r>
      <w:r>
        <w:rPr>
          <w:rFonts w:hint="eastAsia" w:ascii="宋体" w:hAnsi="宋体" w:cs="宋体"/>
          <w:b w:val="0"/>
          <w:bCs w:val="0"/>
          <w:color w:val="000000" w:themeColor="text1"/>
          <w:kern w:val="2"/>
          <w:sz w:val="21"/>
          <w:szCs w:val="24"/>
          <w14:textFill>
            <w14:solidFill>
              <w14:schemeClr w14:val="tx1"/>
            </w14:solidFill>
          </w14:textFill>
        </w:rPr>
        <w:fldChar w:fldCharType="separate"/>
      </w:r>
      <w:r>
        <w:rPr>
          <w:rFonts w:hint="eastAsia" w:ascii="宋体" w:hAnsi="宋体" w:cs="宋体"/>
          <w:b w:val="0"/>
          <w:bCs w:val="0"/>
          <w:color w:val="000000" w:themeColor="text1"/>
          <w:kern w:val="2"/>
          <w:sz w:val="21"/>
          <w:szCs w:val="24"/>
          <w14:textFill>
            <w14:solidFill>
              <w14:schemeClr w14:val="tx1"/>
            </w14:solidFill>
          </w14:textFill>
        </w:rPr>
        <w:t>0873—3732904</w:t>
      </w:r>
      <w:r>
        <w:rPr>
          <w:rFonts w:hint="eastAsia" w:ascii="宋体" w:hAnsi="宋体" w:cs="宋体"/>
          <w:b w:val="0"/>
          <w:bCs w:val="0"/>
          <w:color w:val="000000" w:themeColor="text1"/>
          <w:kern w:val="2"/>
          <w:sz w:val="21"/>
          <w:szCs w:val="24"/>
          <w14:textFill>
            <w14:solidFill>
              <w14:schemeClr w14:val="tx1"/>
            </w14:solidFill>
          </w14:textFill>
        </w:rPr>
        <w:fldChar w:fldCharType="end"/>
      </w:r>
    </w:p>
    <w:p w14:paraId="6E7C5B02">
      <w:pPr>
        <w:keepNext w:val="0"/>
        <w:keepLines w:val="0"/>
        <w:pageBreakBefore w:val="0"/>
        <w:widowControl w:val="0"/>
        <w:kinsoku/>
        <w:wordWrap/>
        <w:overflowPunct/>
        <w:topLinePunct/>
        <w:autoSpaceDE/>
        <w:autoSpaceDN/>
        <w:bidi w:val="0"/>
        <w:adjustRightInd/>
        <w:snapToGrid/>
        <w:spacing w:line="440" w:lineRule="exact"/>
        <w:ind w:firstLine="420" w:firstLineChars="200"/>
        <w:jc w:val="left"/>
        <w:textAlignment w:val="auto"/>
        <w:rPr>
          <w:rFonts w:hint="eastAsia" w:ascii="宋体" w:hAnsi="宋体" w:cs="宋体"/>
          <w:b/>
          <w:bCs/>
          <w:color w:val="000000" w:themeColor="text1"/>
          <w14:textFill>
            <w14:solidFill>
              <w14:schemeClr w14:val="tx1"/>
            </w14:solidFill>
          </w14:textFill>
        </w:rPr>
      </w:pPr>
      <w:r>
        <w:rPr>
          <w:rFonts w:hint="eastAsia" w:ascii="宋体" w:hAnsi="宋体" w:cs="宋体"/>
          <w:b w:val="0"/>
          <w:bCs w:val="0"/>
          <w:color w:val="000000" w:themeColor="text1"/>
          <w:kern w:val="2"/>
          <w:sz w:val="21"/>
          <w:szCs w:val="24"/>
          <w:lang w:val="en-US" w:eastAsia="zh-CN"/>
          <w14:textFill>
            <w14:solidFill>
              <w14:schemeClr w14:val="tx1"/>
            </w14:solidFill>
          </w14:textFill>
        </w:rPr>
        <w:t xml:space="preserve">                          </w:t>
      </w:r>
      <w:r>
        <w:rPr>
          <w:rFonts w:hint="eastAsia" w:ascii="宋体" w:hAnsi="宋体" w:cs="宋体"/>
          <w:b/>
          <w:bCs/>
          <w:color w:val="000000" w:themeColor="text1"/>
          <w:kern w:val="44"/>
          <w:sz w:val="44"/>
          <w:szCs w:val="44"/>
          <w14:textFill>
            <w14:solidFill>
              <w14:schemeClr w14:val="tx1"/>
            </w14:solidFill>
          </w14:textFill>
        </w:rPr>
        <w:t>第二章 投标人须知</w:t>
      </w:r>
      <w:bookmarkEnd w:id="15"/>
      <w:bookmarkEnd w:id="16"/>
      <w:bookmarkEnd w:id="17"/>
      <w:bookmarkEnd w:id="18"/>
      <w:bookmarkEnd w:id="19"/>
      <w:bookmarkEnd w:id="97"/>
    </w:p>
    <w:p w14:paraId="0CAE87DD">
      <w:pPr>
        <w:pStyle w:val="3"/>
        <w:spacing w:before="200" w:after="200" w:line="416" w:lineRule="auto"/>
        <w:jc w:val="center"/>
        <w:rPr>
          <w:rFonts w:hint="eastAsia" w:ascii="宋体" w:hAnsi="宋体" w:eastAsia="宋体" w:cs="宋体"/>
          <w:color w:val="000000" w:themeColor="text1"/>
          <w14:textFill>
            <w14:solidFill>
              <w14:schemeClr w14:val="tx1"/>
            </w14:solidFill>
          </w14:textFill>
        </w:rPr>
      </w:pPr>
      <w:bookmarkStart w:id="98" w:name="_Toc144974496"/>
      <w:bookmarkStart w:id="99" w:name="_Toc28909"/>
      <w:bookmarkStart w:id="100" w:name="_Toc152042304"/>
      <w:bookmarkStart w:id="101" w:name="_Toc247527552"/>
      <w:bookmarkStart w:id="102" w:name="_Toc8722"/>
      <w:bookmarkStart w:id="103" w:name="_Toc152045528"/>
      <w:bookmarkStart w:id="104" w:name="_Toc247513951"/>
      <w:r>
        <w:rPr>
          <w:rFonts w:hint="eastAsia" w:ascii="宋体" w:hAnsi="宋体" w:eastAsia="宋体" w:cs="宋体"/>
          <w:color w:val="000000" w:themeColor="text1"/>
          <w14:textFill>
            <w14:solidFill>
              <w14:schemeClr w14:val="tx1"/>
            </w14:solidFill>
          </w14:textFill>
        </w:rPr>
        <w:t>投标人须知前附表</w:t>
      </w:r>
      <w:bookmarkEnd w:id="98"/>
      <w:bookmarkEnd w:id="99"/>
      <w:bookmarkEnd w:id="100"/>
      <w:bookmarkEnd w:id="101"/>
      <w:bookmarkEnd w:id="102"/>
      <w:bookmarkEnd w:id="103"/>
      <w:bookmarkEnd w:id="104"/>
    </w:p>
    <w:tbl>
      <w:tblPr>
        <w:tblStyle w:val="41"/>
        <w:tblpPr w:leftFromText="180" w:rightFromText="180" w:vertAnchor="text" w:horzAnchor="page" w:tblpX="1517" w:tblpY="300"/>
        <w:tblOverlap w:val="never"/>
        <w:tblW w:w="9894" w:type="dxa"/>
        <w:tblInd w:w="0" w:type="dxa"/>
        <w:tblLayout w:type="fixed"/>
        <w:tblCellMar>
          <w:top w:w="0" w:type="dxa"/>
          <w:left w:w="108" w:type="dxa"/>
          <w:bottom w:w="0" w:type="dxa"/>
          <w:right w:w="108" w:type="dxa"/>
        </w:tblCellMar>
      </w:tblPr>
      <w:tblGrid>
        <w:gridCol w:w="1254"/>
        <w:gridCol w:w="2030"/>
        <w:gridCol w:w="6610"/>
      </w:tblGrid>
      <w:tr w14:paraId="0F302EAC">
        <w:tblPrEx>
          <w:tblCellMar>
            <w:top w:w="0" w:type="dxa"/>
            <w:left w:w="108" w:type="dxa"/>
            <w:bottom w:w="0" w:type="dxa"/>
            <w:right w:w="108" w:type="dxa"/>
          </w:tblCellMar>
        </w:tblPrEx>
        <w:trPr>
          <w:trHeight w:val="421" w:hRule="atLeast"/>
        </w:trPr>
        <w:tc>
          <w:tcPr>
            <w:tcW w:w="1254" w:type="dxa"/>
            <w:tcBorders>
              <w:top w:val="single" w:color="auto" w:sz="4" w:space="0"/>
              <w:left w:val="single" w:color="auto" w:sz="4" w:space="0"/>
              <w:bottom w:val="single" w:color="auto" w:sz="4" w:space="0"/>
              <w:right w:val="single" w:color="auto" w:sz="4" w:space="0"/>
            </w:tcBorders>
            <w:vAlign w:val="center"/>
          </w:tcPr>
          <w:p w14:paraId="1E259153">
            <w:pPr>
              <w:spacing w:line="320" w:lineRule="exact"/>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条款号</w:t>
            </w:r>
          </w:p>
        </w:tc>
        <w:tc>
          <w:tcPr>
            <w:tcW w:w="2030" w:type="dxa"/>
            <w:tcBorders>
              <w:top w:val="single" w:color="auto" w:sz="4" w:space="0"/>
              <w:left w:val="single" w:color="auto" w:sz="4" w:space="0"/>
              <w:bottom w:val="single" w:color="auto" w:sz="4" w:space="0"/>
              <w:right w:val="single" w:color="auto" w:sz="4" w:space="0"/>
            </w:tcBorders>
            <w:vAlign w:val="center"/>
          </w:tcPr>
          <w:p w14:paraId="54F77F8D">
            <w:pPr>
              <w:spacing w:line="320" w:lineRule="exact"/>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条  款  名  称</w:t>
            </w:r>
          </w:p>
        </w:tc>
        <w:tc>
          <w:tcPr>
            <w:tcW w:w="6610" w:type="dxa"/>
            <w:tcBorders>
              <w:top w:val="single" w:color="auto" w:sz="4" w:space="0"/>
              <w:left w:val="single" w:color="auto" w:sz="4" w:space="0"/>
              <w:bottom w:val="single" w:color="auto" w:sz="4" w:space="0"/>
              <w:right w:val="single" w:color="auto" w:sz="4" w:space="0"/>
            </w:tcBorders>
            <w:vAlign w:val="center"/>
          </w:tcPr>
          <w:p w14:paraId="5F9C31E7">
            <w:pPr>
              <w:spacing w:line="320" w:lineRule="exact"/>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编  列  内  容</w:t>
            </w:r>
          </w:p>
        </w:tc>
      </w:tr>
      <w:tr w14:paraId="46CE1FC9">
        <w:tblPrEx>
          <w:tblCellMar>
            <w:top w:w="0" w:type="dxa"/>
            <w:left w:w="108" w:type="dxa"/>
            <w:bottom w:w="0" w:type="dxa"/>
            <w:right w:w="108" w:type="dxa"/>
          </w:tblCellMar>
        </w:tblPrEx>
        <w:trPr>
          <w:trHeight w:val="1369" w:hRule="atLeast"/>
        </w:trPr>
        <w:tc>
          <w:tcPr>
            <w:tcW w:w="1254" w:type="dxa"/>
            <w:tcBorders>
              <w:top w:val="single" w:color="auto" w:sz="4" w:space="0"/>
              <w:left w:val="single" w:color="auto" w:sz="4" w:space="0"/>
              <w:bottom w:val="single" w:color="auto" w:sz="4" w:space="0"/>
              <w:right w:val="single" w:color="auto" w:sz="4" w:space="0"/>
            </w:tcBorders>
            <w:vAlign w:val="center"/>
          </w:tcPr>
          <w:p w14:paraId="4DDEBE64">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1.1.2</w:t>
            </w:r>
          </w:p>
        </w:tc>
        <w:tc>
          <w:tcPr>
            <w:tcW w:w="2030" w:type="dxa"/>
            <w:tcBorders>
              <w:top w:val="single" w:color="auto" w:sz="4" w:space="0"/>
              <w:left w:val="single" w:color="auto" w:sz="4" w:space="0"/>
              <w:bottom w:val="single" w:color="auto" w:sz="4" w:space="0"/>
              <w:right w:val="single" w:color="auto" w:sz="4" w:space="0"/>
            </w:tcBorders>
            <w:vAlign w:val="center"/>
          </w:tcPr>
          <w:p w14:paraId="6C5B71B7">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招标人</w:t>
            </w:r>
          </w:p>
        </w:tc>
        <w:tc>
          <w:tcPr>
            <w:tcW w:w="6610" w:type="dxa"/>
            <w:tcBorders>
              <w:top w:val="single" w:color="auto" w:sz="4" w:space="0"/>
              <w:left w:val="single" w:color="auto" w:sz="4" w:space="0"/>
              <w:bottom w:val="single" w:color="auto" w:sz="4" w:space="0"/>
              <w:right w:val="single" w:color="auto" w:sz="4" w:space="0"/>
            </w:tcBorders>
            <w:vAlign w:val="center"/>
          </w:tcPr>
          <w:p w14:paraId="4354A881">
            <w:pPr>
              <w:spacing w:line="320" w:lineRule="exact"/>
              <w:jc w:val="left"/>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名　称：</w:t>
            </w:r>
            <w:r>
              <w:rPr>
                <w:rFonts w:hint="eastAsia" w:ascii="宋体" w:hAnsi="宋体" w:cs="宋体"/>
                <w:color w:val="000000" w:themeColor="text1"/>
                <w:szCs w:val="21"/>
                <w:lang w:eastAsia="zh-CN"/>
                <w14:textFill>
                  <w14:solidFill>
                    <w14:schemeClr w14:val="tx1"/>
                  </w14:solidFill>
                </w14:textFill>
              </w:rPr>
              <w:t>中能国和（云南）控股有限公司</w:t>
            </w:r>
          </w:p>
          <w:p w14:paraId="62898A86">
            <w:pPr>
              <w:spacing w:line="320" w:lineRule="exact"/>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地址：</w:t>
            </w:r>
            <w:r>
              <w:rPr>
                <w:rFonts w:hint="eastAsia" w:ascii="宋体" w:hAnsi="宋体" w:cs="宋体"/>
                <w:color w:val="000000" w:themeColor="text1"/>
                <w:szCs w:val="21"/>
                <w:lang w:val="en-US" w:eastAsia="zh-CN"/>
                <w14:textFill>
                  <w14:solidFill>
                    <w14:schemeClr w14:val="tx1"/>
                  </w14:solidFill>
                </w14:textFill>
              </w:rPr>
              <w:t>西双版纳傣族自治州勐海县中央国际一栋</w:t>
            </w:r>
            <w:r>
              <w:rPr>
                <w:rFonts w:hint="eastAsia" w:ascii="宋体" w:hAnsi="宋体" w:cs="宋体"/>
                <w:color w:val="000000" w:themeColor="text1"/>
                <w:szCs w:val="21"/>
                <w14:textFill>
                  <w14:solidFill>
                    <w14:schemeClr w14:val="tx1"/>
                  </w14:solidFill>
                </w14:textFill>
              </w:rPr>
              <w:t xml:space="preserve">   </w:t>
            </w:r>
          </w:p>
          <w:p w14:paraId="1593CA83">
            <w:pPr>
              <w:spacing w:line="320" w:lineRule="exact"/>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联系人：</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AUTOTEXT  input61 \* MERGEFORMAT </w:instrText>
            </w:r>
            <w:r>
              <w:rPr>
                <w:rFonts w:hint="eastAsia" w:ascii="宋体" w:hAnsi="宋体" w:cs="宋体"/>
                <w:color w:val="000000"/>
                <w:highlight w:val="none"/>
              </w:rPr>
              <w:fldChar w:fldCharType="separate"/>
            </w:r>
            <w:r>
              <w:rPr>
                <w:rFonts w:hint="eastAsia" w:ascii="宋体" w:hAnsi="宋体" w:cs="宋体"/>
                <w:color w:val="000000"/>
                <w:highlight w:val="none"/>
              </w:rPr>
              <w:t>王娑斓</w:t>
            </w:r>
            <w:r>
              <w:rPr>
                <w:rFonts w:hint="eastAsia" w:ascii="宋体" w:hAnsi="宋体" w:cs="宋体"/>
                <w:color w:val="000000"/>
                <w:highlight w:val="none"/>
              </w:rPr>
              <w:fldChar w:fldCharType="end"/>
            </w:r>
            <w:r>
              <w:rPr>
                <w:rFonts w:hint="eastAsia" w:ascii="宋体" w:hAnsi="宋体" w:cs="宋体"/>
                <w:color w:val="000000"/>
                <w:highlight w:val="none"/>
                <w:lang w:val="en-US" w:eastAsia="zh-CN"/>
              </w:rPr>
              <w:t xml:space="preserve"> </w:t>
            </w:r>
            <w:r>
              <w:rPr>
                <w:rFonts w:hint="eastAsia" w:ascii="宋体" w:hAnsi="宋体" w:cs="宋体"/>
                <w:color w:val="000000" w:themeColor="text1"/>
                <w:szCs w:val="21"/>
                <w:lang w:val="en-US" w:eastAsia="zh-CN"/>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p>
          <w:p w14:paraId="2EF97081">
            <w:pPr>
              <w:spacing w:line="320" w:lineRule="exact"/>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电话：</w:t>
            </w:r>
            <w:r>
              <w:rPr>
                <w:rFonts w:hint="eastAsia" w:ascii="宋体" w:hAnsi="宋体" w:cs="宋体"/>
                <w:color w:val="000000" w:themeColor="text1"/>
                <w:szCs w:val="21"/>
                <w:lang w:val="en-US" w:eastAsia="zh-CN"/>
                <w14:textFill>
                  <w14:solidFill>
                    <w14:schemeClr w14:val="tx1"/>
                  </w14:solidFill>
                </w14:textFill>
              </w:rPr>
              <w:t xml:space="preserve"> 180 3062 7797</w:t>
            </w:r>
            <w:r>
              <w:rPr>
                <w:rFonts w:hint="eastAsia" w:ascii="宋体" w:hAnsi="宋体" w:cs="宋体"/>
                <w:color w:val="000000" w:themeColor="text1"/>
                <w:szCs w:val="21"/>
                <w14:textFill>
                  <w14:solidFill>
                    <w14:schemeClr w14:val="tx1"/>
                  </w14:solidFill>
                </w14:textFill>
              </w:rPr>
              <w:t xml:space="preserve">        </w:t>
            </w:r>
          </w:p>
        </w:tc>
      </w:tr>
      <w:tr w14:paraId="69B80739">
        <w:tblPrEx>
          <w:tblCellMar>
            <w:top w:w="0" w:type="dxa"/>
            <w:left w:w="108" w:type="dxa"/>
            <w:bottom w:w="0" w:type="dxa"/>
            <w:right w:w="108" w:type="dxa"/>
          </w:tblCellMar>
        </w:tblPrEx>
        <w:trPr>
          <w:trHeight w:val="1299" w:hRule="atLeast"/>
        </w:trPr>
        <w:tc>
          <w:tcPr>
            <w:tcW w:w="1254" w:type="dxa"/>
            <w:tcBorders>
              <w:top w:val="single" w:color="auto" w:sz="4" w:space="0"/>
              <w:left w:val="single" w:color="auto" w:sz="4" w:space="0"/>
              <w:bottom w:val="single" w:color="auto" w:sz="4" w:space="0"/>
              <w:right w:val="single" w:color="auto" w:sz="4" w:space="0"/>
            </w:tcBorders>
            <w:vAlign w:val="center"/>
          </w:tcPr>
          <w:p w14:paraId="2353F7D4">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1.1.3</w:t>
            </w:r>
          </w:p>
        </w:tc>
        <w:tc>
          <w:tcPr>
            <w:tcW w:w="2030" w:type="dxa"/>
            <w:tcBorders>
              <w:top w:val="single" w:color="auto" w:sz="4" w:space="0"/>
              <w:left w:val="single" w:color="auto" w:sz="4" w:space="0"/>
              <w:bottom w:val="single" w:color="auto" w:sz="4" w:space="0"/>
              <w:right w:val="single" w:color="auto" w:sz="4" w:space="0"/>
            </w:tcBorders>
            <w:vAlign w:val="center"/>
          </w:tcPr>
          <w:p w14:paraId="69B1AE8B">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招标代理机构</w:t>
            </w:r>
          </w:p>
        </w:tc>
        <w:tc>
          <w:tcPr>
            <w:tcW w:w="6610" w:type="dxa"/>
            <w:tcBorders>
              <w:top w:val="single" w:color="auto" w:sz="4" w:space="0"/>
              <w:left w:val="single" w:color="auto" w:sz="4" w:space="0"/>
              <w:bottom w:val="single" w:color="auto" w:sz="4" w:space="0"/>
              <w:right w:val="single" w:color="auto" w:sz="4" w:space="0"/>
            </w:tcBorders>
            <w:vAlign w:val="center"/>
          </w:tcPr>
          <w:p w14:paraId="09771F03">
            <w:pPr>
              <w:spacing w:line="320" w:lineRule="exact"/>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名　称：红河州建设工程招标有限公司</w:t>
            </w:r>
          </w:p>
          <w:p w14:paraId="099F7C37">
            <w:pPr>
              <w:spacing w:line="320" w:lineRule="exact"/>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地  址：红河州蒙自市护国路1号红建佳苑商网8号</w:t>
            </w:r>
          </w:p>
          <w:p w14:paraId="22FCC330">
            <w:pPr>
              <w:spacing w:line="320" w:lineRule="exact"/>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联系人：侯建伟、</w:t>
            </w:r>
            <w:r>
              <w:rPr>
                <w:rFonts w:hint="eastAsia" w:ascii="宋体" w:hAnsi="宋体" w:cs="宋体"/>
                <w:color w:val="000000" w:themeColor="text1"/>
                <w:szCs w:val="21"/>
                <w:lang w:val="en-US" w:eastAsia="zh-CN"/>
                <w14:textFill>
                  <w14:solidFill>
                    <w14:schemeClr w14:val="tx1"/>
                  </w14:solidFill>
                </w14:textFill>
              </w:rPr>
              <w:t>王佳</w:t>
            </w:r>
            <w:r>
              <w:rPr>
                <w:rFonts w:hint="eastAsia" w:ascii="宋体" w:hAnsi="宋体" w:cs="宋体"/>
                <w:color w:val="000000" w:themeColor="text1"/>
                <w:szCs w:val="21"/>
                <w14:textFill>
                  <w14:solidFill>
                    <w14:schemeClr w14:val="tx1"/>
                  </w14:solidFill>
                </w14:textFill>
              </w:rPr>
              <w:t xml:space="preserve">      </w:t>
            </w:r>
          </w:p>
          <w:p w14:paraId="5CF20710">
            <w:pPr>
              <w:spacing w:line="320" w:lineRule="exact"/>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电　话：18787303331</w:t>
            </w:r>
          </w:p>
        </w:tc>
      </w:tr>
      <w:tr w14:paraId="6D45BBD4">
        <w:tblPrEx>
          <w:tblCellMar>
            <w:top w:w="0" w:type="dxa"/>
            <w:left w:w="108" w:type="dxa"/>
            <w:bottom w:w="0" w:type="dxa"/>
            <w:right w:w="108" w:type="dxa"/>
          </w:tblCellMar>
        </w:tblPrEx>
        <w:trPr>
          <w:trHeight w:val="727" w:hRule="atLeast"/>
        </w:trPr>
        <w:tc>
          <w:tcPr>
            <w:tcW w:w="1254" w:type="dxa"/>
            <w:tcBorders>
              <w:top w:val="single" w:color="auto" w:sz="4" w:space="0"/>
              <w:left w:val="single" w:color="auto" w:sz="4" w:space="0"/>
              <w:bottom w:val="single" w:color="auto" w:sz="4" w:space="0"/>
              <w:right w:val="single" w:color="auto" w:sz="4" w:space="0"/>
            </w:tcBorders>
            <w:vAlign w:val="center"/>
          </w:tcPr>
          <w:p w14:paraId="02B580AC">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1.1.4</w:t>
            </w:r>
          </w:p>
        </w:tc>
        <w:tc>
          <w:tcPr>
            <w:tcW w:w="2030" w:type="dxa"/>
            <w:tcBorders>
              <w:top w:val="single" w:color="auto" w:sz="4" w:space="0"/>
              <w:left w:val="single" w:color="auto" w:sz="4" w:space="0"/>
              <w:bottom w:val="single" w:color="auto" w:sz="4" w:space="0"/>
              <w:right w:val="single" w:color="auto" w:sz="4" w:space="0"/>
            </w:tcBorders>
            <w:vAlign w:val="center"/>
          </w:tcPr>
          <w:p w14:paraId="691B3681">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项目名称</w:t>
            </w:r>
          </w:p>
        </w:tc>
        <w:tc>
          <w:tcPr>
            <w:tcW w:w="6610" w:type="dxa"/>
            <w:tcBorders>
              <w:top w:val="single" w:color="auto" w:sz="4" w:space="0"/>
              <w:left w:val="single" w:color="auto" w:sz="4" w:space="0"/>
              <w:bottom w:val="single" w:color="auto" w:sz="4" w:space="0"/>
              <w:right w:val="single" w:color="auto" w:sz="4" w:space="0"/>
            </w:tcBorders>
            <w:vAlign w:val="center"/>
          </w:tcPr>
          <w:p w14:paraId="2D6071C3">
            <w:pPr>
              <w:spacing w:line="320" w:lineRule="exact"/>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蒙自（新亚太）零碳智慧冷链物流产业园区项目勘察、设计、</w:t>
            </w:r>
            <w:r>
              <w:rPr>
                <w:rFonts w:hint="eastAsia" w:ascii="宋体" w:hAnsi="宋体" w:cs="宋体"/>
                <w:color w:val="000000" w:themeColor="text1"/>
                <w:szCs w:val="21"/>
                <w:lang w:val="en-US" w:eastAsia="zh-CN"/>
                <w14:textFill>
                  <w14:solidFill>
                    <w14:schemeClr w14:val="tx1"/>
                  </w14:solidFill>
                </w14:textFill>
              </w:rPr>
              <w:t>采购、</w:t>
            </w:r>
            <w:r>
              <w:rPr>
                <w:rFonts w:hint="eastAsia" w:ascii="宋体" w:hAnsi="宋体" w:cs="宋体"/>
                <w:color w:val="000000" w:themeColor="text1"/>
                <w:szCs w:val="21"/>
                <w:lang w:eastAsia="zh-CN"/>
                <w14:textFill>
                  <w14:solidFill>
                    <w14:schemeClr w14:val="tx1"/>
                  </w14:solidFill>
                </w14:textFill>
              </w:rPr>
              <w:t>施工总承包（EPC）</w:t>
            </w:r>
          </w:p>
        </w:tc>
      </w:tr>
      <w:tr w14:paraId="46C08559">
        <w:tblPrEx>
          <w:tblCellMar>
            <w:top w:w="0" w:type="dxa"/>
            <w:left w:w="108" w:type="dxa"/>
            <w:bottom w:w="0" w:type="dxa"/>
            <w:right w:w="108" w:type="dxa"/>
          </w:tblCellMar>
        </w:tblPrEx>
        <w:trPr>
          <w:trHeight w:val="722" w:hRule="atLeast"/>
        </w:trPr>
        <w:tc>
          <w:tcPr>
            <w:tcW w:w="1254" w:type="dxa"/>
            <w:tcBorders>
              <w:top w:val="single" w:color="auto" w:sz="4" w:space="0"/>
              <w:left w:val="single" w:color="auto" w:sz="4" w:space="0"/>
              <w:bottom w:val="single" w:color="auto" w:sz="4" w:space="0"/>
              <w:right w:val="single" w:color="auto" w:sz="4" w:space="0"/>
            </w:tcBorders>
            <w:vAlign w:val="center"/>
          </w:tcPr>
          <w:p w14:paraId="76FBEC07">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1.1.5</w:t>
            </w:r>
          </w:p>
        </w:tc>
        <w:tc>
          <w:tcPr>
            <w:tcW w:w="2030" w:type="dxa"/>
            <w:tcBorders>
              <w:top w:val="single" w:color="auto" w:sz="4" w:space="0"/>
              <w:left w:val="single" w:color="auto" w:sz="4" w:space="0"/>
              <w:bottom w:val="single" w:color="auto" w:sz="4" w:space="0"/>
              <w:right w:val="single" w:color="auto" w:sz="4" w:space="0"/>
            </w:tcBorders>
            <w:vAlign w:val="center"/>
          </w:tcPr>
          <w:p w14:paraId="50E986A7">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建设地址</w:t>
            </w:r>
          </w:p>
        </w:tc>
        <w:tc>
          <w:tcPr>
            <w:tcW w:w="6610" w:type="dxa"/>
            <w:tcBorders>
              <w:top w:val="single" w:color="auto" w:sz="4" w:space="0"/>
              <w:left w:val="single" w:color="auto" w:sz="4" w:space="0"/>
              <w:bottom w:val="single" w:color="auto" w:sz="4" w:space="0"/>
              <w:right w:val="single" w:color="auto" w:sz="4" w:space="0"/>
            </w:tcBorders>
            <w:vAlign w:val="center"/>
          </w:tcPr>
          <w:p w14:paraId="393B014E">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红河州蒙自市雨过铺街道田心村云南新亚太物流港。</w:t>
            </w:r>
          </w:p>
        </w:tc>
      </w:tr>
      <w:tr w14:paraId="3727A81E">
        <w:tblPrEx>
          <w:tblCellMar>
            <w:top w:w="0" w:type="dxa"/>
            <w:left w:w="108" w:type="dxa"/>
            <w:bottom w:w="0" w:type="dxa"/>
            <w:right w:w="108" w:type="dxa"/>
          </w:tblCellMar>
        </w:tblPrEx>
        <w:trPr>
          <w:trHeight w:val="722" w:hRule="atLeast"/>
        </w:trPr>
        <w:tc>
          <w:tcPr>
            <w:tcW w:w="1254" w:type="dxa"/>
            <w:tcBorders>
              <w:top w:val="single" w:color="auto" w:sz="4" w:space="0"/>
              <w:left w:val="single" w:color="auto" w:sz="4" w:space="0"/>
              <w:bottom w:val="single" w:color="auto" w:sz="4" w:space="0"/>
              <w:right w:val="single" w:color="auto" w:sz="4" w:space="0"/>
            </w:tcBorders>
            <w:vAlign w:val="center"/>
          </w:tcPr>
          <w:p w14:paraId="5078D2D8">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1.2.1</w:t>
            </w:r>
          </w:p>
        </w:tc>
        <w:tc>
          <w:tcPr>
            <w:tcW w:w="2030" w:type="dxa"/>
            <w:tcBorders>
              <w:top w:val="single" w:color="auto" w:sz="4" w:space="0"/>
              <w:left w:val="single" w:color="auto" w:sz="4" w:space="0"/>
              <w:bottom w:val="single" w:color="auto" w:sz="4" w:space="0"/>
              <w:right w:val="single" w:color="auto" w:sz="4" w:space="0"/>
            </w:tcBorders>
            <w:vAlign w:val="center"/>
          </w:tcPr>
          <w:p w14:paraId="40A03187">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资金来源</w:t>
            </w:r>
          </w:p>
        </w:tc>
        <w:tc>
          <w:tcPr>
            <w:tcW w:w="6610" w:type="dxa"/>
            <w:tcBorders>
              <w:top w:val="single" w:color="auto" w:sz="4" w:space="0"/>
              <w:left w:val="single" w:color="auto" w:sz="4" w:space="0"/>
              <w:bottom w:val="single" w:color="auto" w:sz="4" w:space="0"/>
              <w:right w:val="single" w:color="auto" w:sz="4" w:space="0"/>
            </w:tcBorders>
            <w:vAlign w:val="center"/>
          </w:tcPr>
          <w:p w14:paraId="49F546BB">
            <w:pPr>
              <w:spacing w:line="320" w:lineRule="exact"/>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自有资金及其他</w:t>
            </w:r>
            <w:r>
              <w:rPr>
                <w:rFonts w:hint="eastAsia" w:ascii="宋体" w:hAnsi="宋体" w:cs="宋体"/>
                <w:color w:val="000000" w:themeColor="text1"/>
                <w:szCs w:val="21"/>
                <w14:textFill>
                  <w14:solidFill>
                    <w14:schemeClr w14:val="tx1"/>
                  </w14:solidFill>
                </w14:textFill>
              </w:rPr>
              <w:t>。</w:t>
            </w:r>
          </w:p>
        </w:tc>
      </w:tr>
      <w:tr w14:paraId="6BC3156C">
        <w:tblPrEx>
          <w:tblCellMar>
            <w:top w:w="0" w:type="dxa"/>
            <w:left w:w="108" w:type="dxa"/>
            <w:bottom w:w="0" w:type="dxa"/>
            <w:right w:w="108" w:type="dxa"/>
          </w:tblCellMar>
        </w:tblPrEx>
        <w:trPr>
          <w:trHeight w:val="692" w:hRule="atLeast"/>
        </w:trPr>
        <w:tc>
          <w:tcPr>
            <w:tcW w:w="1254" w:type="dxa"/>
            <w:tcBorders>
              <w:top w:val="single" w:color="auto" w:sz="4" w:space="0"/>
              <w:left w:val="single" w:color="auto" w:sz="4" w:space="0"/>
              <w:bottom w:val="single" w:color="auto" w:sz="4" w:space="0"/>
              <w:right w:val="single" w:color="auto" w:sz="4" w:space="0"/>
            </w:tcBorders>
            <w:vAlign w:val="center"/>
          </w:tcPr>
          <w:p w14:paraId="794B1735">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1.2.2</w:t>
            </w:r>
          </w:p>
        </w:tc>
        <w:tc>
          <w:tcPr>
            <w:tcW w:w="2030" w:type="dxa"/>
            <w:tcBorders>
              <w:top w:val="single" w:color="auto" w:sz="4" w:space="0"/>
              <w:left w:val="single" w:color="auto" w:sz="4" w:space="0"/>
              <w:bottom w:val="single" w:color="auto" w:sz="4" w:space="0"/>
              <w:right w:val="single" w:color="auto" w:sz="4" w:space="0"/>
            </w:tcBorders>
            <w:vAlign w:val="center"/>
          </w:tcPr>
          <w:p w14:paraId="5F0A48F8">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资金落实情况</w:t>
            </w:r>
          </w:p>
        </w:tc>
        <w:tc>
          <w:tcPr>
            <w:tcW w:w="6610" w:type="dxa"/>
            <w:tcBorders>
              <w:top w:val="single" w:color="auto" w:sz="4" w:space="0"/>
              <w:left w:val="single" w:color="auto" w:sz="4" w:space="0"/>
              <w:bottom w:val="single" w:color="auto" w:sz="4" w:space="0"/>
              <w:right w:val="single" w:color="auto" w:sz="4" w:space="0"/>
            </w:tcBorders>
            <w:vAlign w:val="center"/>
          </w:tcPr>
          <w:p w14:paraId="26488CBD">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已落实</w:t>
            </w:r>
          </w:p>
        </w:tc>
      </w:tr>
      <w:tr w14:paraId="100632CE">
        <w:tblPrEx>
          <w:tblCellMar>
            <w:top w:w="0" w:type="dxa"/>
            <w:left w:w="108" w:type="dxa"/>
            <w:bottom w:w="0" w:type="dxa"/>
            <w:right w:w="108" w:type="dxa"/>
          </w:tblCellMar>
        </w:tblPrEx>
        <w:trPr>
          <w:trHeight w:val="1241" w:hRule="atLeast"/>
        </w:trPr>
        <w:tc>
          <w:tcPr>
            <w:tcW w:w="1254" w:type="dxa"/>
            <w:tcBorders>
              <w:top w:val="single" w:color="auto" w:sz="4" w:space="0"/>
              <w:left w:val="single" w:color="auto" w:sz="4" w:space="0"/>
              <w:bottom w:val="single" w:color="auto" w:sz="4" w:space="0"/>
              <w:right w:val="single" w:color="auto" w:sz="4" w:space="0"/>
            </w:tcBorders>
            <w:vAlign w:val="center"/>
          </w:tcPr>
          <w:p w14:paraId="4FCBB4E4">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1.3.1</w:t>
            </w:r>
          </w:p>
        </w:tc>
        <w:tc>
          <w:tcPr>
            <w:tcW w:w="2030" w:type="dxa"/>
            <w:tcBorders>
              <w:top w:val="single" w:color="auto" w:sz="4" w:space="0"/>
              <w:left w:val="single" w:color="auto" w:sz="4" w:space="0"/>
              <w:bottom w:val="single" w:color="auto" w:sz="4" w:space="0"/>
              <w:right w:val="single" w:color="auto" w:sz="4" w:space="0"/>
            </w:tcBorders>
            <w:vAlign w:val="center"/>
          </w:tcPr>
          <w:p w14:paraId="03819314">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招标范围</w:t>
            </w:r>
          </w:p>
        </w:tc>
        <w:tc>
          <w:tcPr>
            <w:tcW w:w="6610" w:type="dxa"/>
            <w:tcBorders>
              <w:top w:val="single" w:color="auto" w:sz="4" w:space="0"/>
              <w:left w:val="single" w:color="auto" w:sz="4" w:space="0"/>
              <w:bottom w:val="single" w:color="auto" w:sz="4" w:space="0"/>
              <w:right w:val="single" w:color="auto" w:sz="4" w:space="0"/>
            </w:tcBorders>
            <w:vAlign w:val="center"/>
          </w:tcPr>
          <w:p w14:paraId="47D9ACDB">
            <w:pPr>
              <w:spacing w:line="320" w:lineRule="exact"/>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完成</w:t>
            </w:r>
            <w:r>
              <w:rPr>
                <w:rFonts w:hint="eastAsia" w:ascii="宋体" w:hAnsi="宋体" w:cs="宋体"/>
                <w:color w:val="000000" w:themeColor="text1"/>
                <w:szCs w:val="21"/>
                <w:lang w:eastAsia="zh-CN"/>
                <w14:textFill>
                  <w14:solidFill>
                    <w14:schemeClr w14:val="tx1"/>
                  </w14:solidFill>
                </w14:textFill>
              </w:rPr>
              <w:t>蒙自（新亚太）零碳智慧冷链物流产业园区项目</w:t>
            </w:r>
            <w:r>
              <w:rPr>
                <w:rFonts w:hint="eastAsia" w:ascii="宋体" w:hAnsi="宋体" w:cs="宋体"/>
                <w:color w:val="000000" w:themeColor="text1"/>
                <w:szCs w:val="21"/>
                <w14:textFill>
                  <w14:solidFill>
                    <w14:schemeClr w14:val="tx1"/>
                  </w14:solidFill>
                </w14:textFill>
              </w:rPr>
              <w:t>的勘察（含初步勘察、详细勘察）、初步设计、施工图设计及后续服务、材料设备采购安装及施工总承包，并对工程的质量、安全、工期和造价等全面负责。</w:t>
            </w:r>
          </w:p>
        </w:tc>
      </w:tr>
      <w:tr w14:paraId="0A82C248">
        <w:tblPrEx>
          <w:tblCellMar>
            <w:top w:w="0" w:type="dxa"/>
            <w:left w:w="108" w:type="dxa"/>
            <w:bottom w:w="0" w:type="dxa"/>
            <w:right w:w="108" w:type="dxa"/>
          </w:tblCellMar>
        </w:tblPrEx>
        <w:trPr>
          <w:trHeight w:val="677" w:hRule="atLeast"/>
        </w:trPr>
        <w:tc>
          <w:tcPr>
            <w:tcW w:w="1254" w:type="dxa"/>
            <w:tcBorders>
              <w:top w:val="single" w:color="auto" w:sz="4" w:space="0"/>
              <w:left w:val="single" w:color="auto" w:sz="4" w:space="0"/>
              <w:bottom w:val="single" w:color="auto" w:sz="4" w:space="0"/>
              <w:right w:val="single" w:color="auto" w:sz="4" w:space="0"/>
            </w:tcBorders>
            <w:vAlign w:val="center"/>
          </w:tcPr>
          <w:p w14:paraId="2F0AA42C">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1.3.2</w:t>
            </w:r>
          </w:p>
        </w:tc>
        <w:tc>
          <w:tcPr>
            <w:tcW w:w="2030" w:type="dxa"/>
            <w:tcBorders>
              <w:top w:val="single" w:color="auto" w:sz="4" w:space="0"/>
              <w:left w:val="single" w:color="auto" w:sz="4" w:space="0"/>
              <w:bottom w:val="single" w:color="auto" w:sz="4" w:space="0"/>
              <w:right w:val="single" w:color="auto" w:sz="4" w:space="0"/>
            </w:tcBorders>
            <w:vAlign w:val="center"/>
          </w:tcPr>
          <w:p w14:paraId="0D123A8B">
            <w:pPr>
              <w:spacing w:line="320" w:lineRule="exact"/>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计划工期</w:t>
            </w:r>
          </w:p>
        </w:tc>
        <w:tc>
          <w:tcPr>
            <w:tcW w:w="6610" w:type="dxa"/>
            <w:tcBorders>
              <w:top w:val="single" w:color="auto" w:sz="4" w:space="0"/>
              <w:left w:val="single" w:color="auto" w:sz="4" w:space="0"/>
              <w:bottom w:val="single" w:color="auto" w:sz="4" w:space="0"/>
              <w:right w:val="single" w:color="auto" w:sz="4" w:space="0"/>
            </w:tcBorders>
            <w:vAlign w:val="center"/>
          </w:tcPr>
          <w:p w14:paraId="3616BE0F">
            <w:pPr>
              <w:spacing w:line="320" w:lineRule="exact"/>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总工期</w:t>
            </w:r>
            <w:r>
              <w:rPr>
                <w:rFonts w:hint="eastAsia" w:ascii="宋体" w:hAnsi="宋体" w:cs="宋体"/>
                <w:color w:val="000000" w:themeColor="text1"/>
                <w:szCs w:val="21"/>
                <w:highlight w:val="none"/>
                <w:lang w:val="en-US" w:eastAsia="zh-CN"/>
                <w14:textFill>
                  <w14:solidFill>
                    <w14:schemeClr w14:val="tx1"/>
                  </w14:solidFill>
                </w14:textFill>
              </w:rPr>
              <w:t>24</w:t>
            </w:r>
            <w:r>
              <w:rPr>
                <w:rFonts w:hint="eastAsia" w:ascii="宋体" w:hAnsi="宋体" w:cs="宋体"/>
                <w:color w:val="000000" w:themeColor="text1"/>
                <w:szCs w:val="21"/>
                <w:highlight w:val="none"/>
                <w14:textFill>
                  <w14:solidFill>
                    <w14:schemeClr w14:val="tx1"/>
                  </w14:solidFill>
                </w14:textFill>
              </w:rPr>
              <w:t>个月，其中勘察周期</w:t>
            </w:r>
            <w:r>
              <w:rPr>
                <w:rFonts w:hint="eastAsia" w:ascii="宋体" w:hAnsi="宋体" w:cs="宋体"/>
                <w:color w:val="000000" w:themeColor="text1"/>
                <w:szCs w:val="21"/>
                <w:highlight w:val="none"/>
                <w:lang w:val="en-US" w:eastAsia="zh-CN"/>
                <w14:textFill>
                  <w14:solidFill>
                    <w14:schemeClr w14:val="tx1"/>
                  </w14:solidFill>
                </w14:textFill>
              </w:rPr>
              <w:t>20</w:t>
            </w:r>
            <w:r>
              <w:rPr>
                <w:rFonts w:hint="eastAsia" w:ascii="宋体" w:hAnsi="宋体" w:cs="宋体"/>
                <w:color w:val="000000" w:themeColor="text1"/>
                <w:szCs w:val="21"/>
                <w:highlight w:val="none"/>
                <w14:textFill>
                  <w14:solidFill>
                    <w14:schemeClr w14:val="tx1"/>
                  </w14:solidFill>
                </w14:textFill>
              </w:rPr>
              <w:t>日历天，设计周期</w:t>
            </w:r>
            <w:r>
              <w:rPr>
                <w:rFonts w:hint="eastAsia" w:ascii="宋体" w:hAnsi="宋体" w:cs="宋体"/>
                <w:color w:val="000000" w:themeColor="text1"/>
                <w:szCs w:val="21"/>
                <w:highlight w:val="none"/>
                <w:lang w:val="en-US" w:eastAsia="zh-CN"/>
                <w14:textFill>
                  <w14:solidFill>
                    <w14:schemeClr w14:val="tx1"/>
                  </w14:solidFill>
                </w14:textFill>
              </w:rPr>
              <w:t>9</w:t>
            </w:r>
            <w:r>
              <w:rPr>
                <w:rFonts w:hint="eastAsia" w:ascii="宋体" w:hAnsi="宋体" w:cs="宋体"/>
                <w:color w:val="000000" w:themeColor="text1"/>
                <w:szCs w:val="21"/>
                <w:highlight w:val="none"/>
                <w14:textFill>
                  <w14:solidFill>
                    <w14:schemeClr w14:val="tx1"/>
                  </w14:solidFill>
                </w14:textFill>
              </w:rPr>
              <w:t>0日历天（含初步设计</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0日历天，施工图设计</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0日历天）。</w:t>
            </w:r>
          </w:p>
        </w:tc>
      </w:tr>
      <w:tr w14:paraId="6CF3C762">
        <w:tblPrEx>
          <w:tblCellMar>
            <w:top w:w="0" w:type="dxa"/>
            <w:left w:w="108" w:type="dxa"/>
            <w:bottom w:w="0" w:type="dxa"/>
            <w:right w:w="108" w:type="dxa"/>
          </w:tblCellMar>
        </w:tblPrEx>
        <w:trPr>
          <w:trHeight w:val="2913" w:hRule="atLeast"/>
        </w:trPr>
        <w:tc>
          <w:tcPr>
            <w:tcW w:w="1254" w:type="dxa"/>
            <w:tcBorders>
              <w:top w:val="single" w:color="auto" w:sz="4" w:space="0"/>
              <w:left w:val="single" w:color="auto" w:sz="4" w:space="0"/>
              <w:bottom w:val="single" w:color="auto" w:sz="4" w:space="0"/>
              <w:right w:val="single" w:color="auto" w:sz="4" w:space="0"/>
            </w:tcBorders>
            <w:vAlign w:val="center"/>
          </w:tcPr>
          <w:p w14:paraId="449E0C81">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1.3.3</w:t>
            </w:r>
          </w:p>
        </w:tc>
        <w:tc>
          <w:tcPr>
            <w:tcW w:w="2030" w:type="dxa"/>
            <w:tcBorders>
              <w:top w:val="single" w:color="auto" w:sz="4" w:space="0"/>
              <w:left w:val="single" w:color="auto" w:sz="4" w:space="0"/>
              <w:bottom w:val="single" w:color="auto" w:sz="4" w:space="0"/>
              <w:right w:val="single" w:color="auto" w:sz="4" w:space="0"/>
            </w:tcBorders>
            <w:vAlign w:val="center"/>
          </w:tcPr>
          <w:p w14:paraId="77AF7C36">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质量标准</w:t>
            </w:r>
          </w:p>
        </w:tc>
        <w:tc>
          <w:tcPr>
            <w:tcW w:w="6610" w:type="dxa"/>
            <w:tcBorders>
              <w:top w:val="single" w:color="auto" w:sz="4" w:space="0"/>
              <w:left w:val="single" w:color="auto" w:sz="4" w:space="0"/>
              <w:bottom w:val="single" w:color="auto" w:sz="4" w:space="0"/>
              <w:right w:val="single" w:color="auto" w:sz="4" w:space="0"/>
            </w:tcBorders>
            <w:vAlign w:val="center"/>
          </w:tcPr>
          <w:p w14:paraId="5CC9AEC8">
            <w:pPr>
              <w:spacing w:line="320" w:lineRule="exact"/>
              <w:ind w:right="-109" w:rightChars="-5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勘察质量标准：符合《岩土工程勘察规范》规定的质量验收标准，并满足设计及审查要求，通过有关部门的审查。</w:t>
            </w:r>
          </w:p>
          <w:p w14:paraId="62FDE049">
            <w:pPr>
              <w:spacing w:line="320" w:lineRule="exact"/>
              <w:ind w:right="-109" w:rightChars="-5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设计质量标准：符合国家、行业及地方现行的相关标准及规范，设计成果通过有关部门的审查； </w:t>
            </w:r>
          </w:p>
          <w:p w14:paraId="3872B080">
            <w:pPr>
              <w:spacing w:line="320" w:lineRule="exact"/>
              <w:ind w:right="-109" w:rightChars="-5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施工质量标准：应符合现行的国家、地方相关质量标准和技术规范，并执行《建设项目工程总承包管理规范》（GB/T50358-2017）、《建筑工程施工质量统一验收标准》（GB50300-2013）要求，并确保一次性验收合格。</w:t>
            </w:r>
          </w:p>
          <w:p w14:paraId="6DC7003A">
            <w:pPr>
              <w:spacing w:line="320" w:lineRule="exact"/>
              <w:ind w:right="-109" w:rightChars="-5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设备质量标准：</w:t>
            </w:r>
            <w:r>
              <w:rPr>
                <w:rFonts w:hint="eastAsia" w:ascii="宋体" w:hAnsi="宋体" w:cs="宋体"/>
                <w:color w:val="000000" w:themeColor="text1"/>
                <w14:textFill>
                  <w14:solidFill>
                    <w14:schemeClr w14:val="tx1"/>
                  </w14:solidFill>
                </w14:textFill>
              </w:rPr>
              <w:t>应格符合国家、行业及云南省现行相关产品质量标准、技术规范及安全认证要求（如 CE、CCC 等强制性认证）；设备性能参数需全面满足项目设计文件、招标文件及合同约定的技术指标，且设备出厂前须经制造商全性能检测合格并提供完整检测报告；设备到场后需通过建设单位、监理单位、施工单位联合开箱检验，安装调试后应达到设计运行效率，确保通过竣工验收及相关主管部门的专项检测备案，质保期内满足正常运行及维护要求。</w:t>
            </w:r>
          </w:p>
        </w:tc>
      </w:tr>
      <w:tr w14:paraId="76CECA7F">
        <w:tblPrEx>
          <w:tblCellMar>
            <w:top w:w="0" w:type="dxa"/>
            <w:left w:w="108" w:type="dxa"/>
            <w:bottom w:w="0" w:type="dxa"/>
            <w:right w:w="108" w:type="dxa"/>
          </w:tblCellMar>
        </w:tblPrEx>
        <w:trPr>
          <w:trHeight w:val="1202" w:hRule="atLeast"/>
        </w:trPr>
        <w:tc>
          <w:tcPr>
            <w:tcW w:w="1254" w:type="dxa"/>
            <w:tcBorders>
              <w:top w:val="single" w:color="auto" w:sz="4" w:space="0"/>
              <w:left w:val="single" w:color="auto" w:sz="4" w:space="0"/>
              <w:bottom w:val="single" w:color="auto" w:sz="4" w:space="0"/>
              <w:right w:val="single" w:color="auto" w:sz="4" w:space="0"/>
            </w:tcBorders>
            <w:vAlign w:val="center"/>
          </w:tcPr>
          <w:p w14:paraId="14D2625A">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1.4.1</w:t>
            </w:r>
          </w:p>
        </w:tc>
        <w:tc>
          <w:tcPr>
            <w:tcW w:w="2030" w:type="dxa"/>
            <w:tcBorders>
              <w:top w:val="single" w:color="auto" w:sz="4" w:space="0"/>
              <w:left w:val="single" w:color="auto" w:sz="4" w:space="0"/>
              <w:bottom w:val="single" w:color="auto" w:sz="4" w:space="0"/>
              <w:right w:val="single" w:color="auto" w:sz="4" w:space="0"/>
            </w:tcBorders>
            <w:vAlign w:val="center"/>
          </w:tcPr>
          <w:p w14:paraId="2DA92165">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投标人资质条件、</w:t>
            </w:r>
          </w:p>
          <w:p w14:paraId="6C5C1AEB">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能力和信誉</w:t>
            </w:r>
          </w:p>
        </w:tc>
        <w:tc>
          <w:tcPr>
            <w:tcW w:w="6610" w:type="dxa"/>
            <w:tcBorders>
              <w:top w:val="single" w:color="auto" w:sz="4" w:space="0"/>
              <w:left w:val="single" w:color="auto" w:sz="4" w:space="0"/>
              <w:bottom w:val="single" w:color="auto" w:sz="4" w:space="0"/>
              <w:right w:val="single" w:color="auto" w:sz="4" w:space="0"/>
            </w:tcBorders>
            <w:vAlign w:val="center"/>
          </w:tcPr>
          <w:p w14:paraId="0D99100F">
            <w:pPr>
              <w:spacing w:line="320" w:lineRule="exact"/>
              <w:ind w:right="-109" w:rightChars="-52"/>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t>投标人须为在中华人民共和国注册的独立法人或联合体，并具有：</w:t>
            </w:r>
          </w:p>
          <w:p w14:paraId="22583FD8">
            <w:pPr>
              <w:spacing w:line="320" w:lineRule="exact"/>
              <w:ind w:right="-109" w:rightChars="-52"/>
              <w:rPr>
                <w:rFonts w:hint="eastAsia" w:ascii="宋体" w:hAnsi="宋体" w:cs="宋体"/>
                <w:b w:val="0"/>
                <w:bCs/>
                <w:color w:val="000000" w:themeColor="text1"/>
                <w:szCs w:val="21"/>
                <w:lang w:eastAsia="zh-CN"/>
                <w14:textFill>
                  <w14:solidFill>
                    <w14:schemeClr w14:val="tx1"/>
                  </w14:solidFill>
                </w14:textFill>
              </w:rPr>
            </w:pPr>
            <w:r>
              <w:rPr>
                <w:rFonts w:hint="eastAsia" w:ascii="宋体" w:hAnsi="宋体" w:cs="宋体"/>
                <w:b/>
                <w:bCs w:val="0"/>
                <w:color w:val="000000" w:themeColor="text1"/>
                <w:szCs w:val="21"/>
                <w14:textFill>
                  <w14:solidFill>
                    <w14:schemeClr w14:val="tx1"/>
                  </w14:solidFill>
                </w14:textFill>
              </w:rPr>
              <w:t>勘察资质</w:t>
            </w:r>
            <w:r>
              <w:rPr>
                <w:rFonts w:hint="eastAsia" w:ascii="宋体" w:hAnsi="宋体" w:cs="宋体"/>
                <w:b w:val="0"/>
                <w:bCs/>
                <w:color w:val="000000" w:themeColor="text1"/>
                <w:szCs w:val="21"/>
                <w14:textFill>
                  <w14:solidFill>
                    <w14:schemeClr w14:val="tx1"/>
                  </w14:solidFill>
                </w14:textFill>
              </w:rPr>
              <w:t>：具备建设行政主管部门颁发的工程勘察综合资质或</w:t>
            </w:r>
            <w:r>
              <w:rPr>
                <w:rFonts w:hint="eastAsia" w:ascii="宋体" w:hAnsi="宋体" w:cs="宋体"/>
                <w:b w:val="0"/>
                <w:bCs/>
                <w:color w:val="000000" w:themeColor="text1"/>
                <w:szCs w:val="21"/>
                <w:lang w:val="en-US" w:eastAsia="zh-CN"/>
                <w14:textFill>
                  <w14:solidFill>
                    <w14:schemeClr w14:val="tx1"/>
                  </w14:solidFill>
                </w14:textFill>
              </w:rPr>
              <w:t>同时具备</w:t>
            </w:r>
            <w:r>
              <w:rPr>
                <w:rFonts w:hint="eastAsia" w:ascii="宋体" w:hAnsi="宋体" w:cs="宋体"/>
                <w:b w:val="0"/>
                <w:bCs/>
                <w:color w:val="000000" w:themeColor="text1"/>
                <w:szCs w:val="21"/>
                <w14:textFill>
                  <w14:solidFill>
                    <w14:schemeClr w14:val="tx1"/>
                  </w14:solidFill>
                </w14:textFill>
              </w:rPr>
              <w:t>工程勘察专业类（岩土工程勘察</w:t>
            </w:r>
            <w:r>
              <w:rPr>
                <w:rFonts w:hint="eastAsia" w:ascii="宋体" w:hAnsi="宋体" w:cs="宋体"/>
                <w:b w:val="0"/>
                <w:bCs/>
                <w:color w:val="000000" w:themeColor="text1"/>
                <w:szCs w:val="21"/>
                <w:lang w:eastAsia="zh-CN"/>
                <w14:textFill>
                  <w14:solidFill>
                    <w14:schemeClr w14:val="tx1"/>
                  </w14:solidFill>
                </w14:textFill>
              </w:rPr>
              <w:t>、</w:t>
            </w:r>
            <w:r>
              <w:rPr>
                <w:rFonts w:hint="eastAsia" w:ascii="宋体" w:hAnsi="宋体" w:cs="宋体"/>
                <w:color w:val="000000" w:themeColor="text1"/>
                <w14:textFill>
                  <w14:solidFill>
                    <w14:schemeClr w14:val="tx1"/>
                  </w14:solidFill>
                </w14:textFill>
              </w:rPr>
              <w:t>工程测量）</w:t>
            </w:r>
            <w:r>
              <w:rPr>
                <w:rFonts w:hint="eastAsia" w:ascii="宋体" w:hAnsi="宋体" w:cs="宋体"/>
                <w:b w:val="0"/>
                <w:bCs/>
                <w:color w:val="000000" w:themeColor="text1"/>
                <w:szCs w:val="21"/>
                <w14:textFill>
                  <w14:solidFill>
                    <w14:schemeClr w14:val="tx1"/>
                  </w14:solidFill>
                </w14:textFill>
              </w:rPr>
              <w:t>乙级及以上资质</w:t>
            </w:r>
            <w:r>
              <w:rPr>
                <w:rFonts w:hint="eastAsia" w:ascii="宋体" w:hAnsi="宋体" w:cs="宋体"/>
                <w:b w:val="0"/>
                <w:bCs/>
                <w:color w:val="000000" w:themeColor="text1"/>
                <w:szCs w:val="21"/>
                <w:lang w:eastAsia="zh-CN"/>
                <w14:textFill>
                  <w14:solidFill>
                    <w14:schemeClr w14:val="tx1"/>
                  </w14:solidFill>
                </w14:textFill>
              </w:rPr>
              <w:t>；</w:t>
            </w:r>
          </w:p>
          <w:p w14:paraId="4F0841C3">
            <w:pPr>
              <w:spacing w:line="320" w:lineRule="exact"/>
              <w:ind w:right="-109" w:rightChars="-52"/>
              <w:rPr>
                <w:rFonts w:hint="eastAsia" w:ascii="宋体" w:hAnsi="宋体" w:cs="宋体"/>
                <w:b w:val="0"/>
                <w:bCs/>
                <w:color w:val="000000" w:themeColor="text1"/>
                <w:szCs w:val="21"/>
                <w14:textFill>
                  <w14:solidFill>
                    <w14:schemeClr w14:val="tx1"/>
                  </w14:solidFill>
                </w14:textFill>
              </w:rPr>
            </w:pPr>
            <w:r>
              <w:rPr>
                <w:rFonts w:hint="eastAsia" w:ascii="宋体" w:hAnsi="宋体" w:cs="宋体"/>
                <w:b/>
                <w:bCs w:val="0"/>
                <w:color w:val="000000" w:themeColor="text1"/>
                <w:szCs w:val="21"/>
                <w14:textFill>
                  <w14:solidFill>
                    <w14:schemeClr w14:val="tx1"/>
                  </w14:solidFill>
                </w14:textFill>
              </w:rPr>
              <w:t>设计资质：</w:t>
            </w:r>
            <w:r>
              <w:rPr>
                <w:rFonts w:hint="eastAsia" w:ascii="宋体" w:hAnsi="宋体" w:cs="宋体"/>
                <w:b w:val="0"/>
                <w:bCs/>
                <w:color w:val="000000" w:themeColor="text1"/>
                <w:szCs w:val="21"/>
                <w14:textFill>
                  <w14:solidFill>
                    <w14:schemeClr w14:val="tx1"/>
                  </w14:solidFill>
                </w14:textFill>
              </w:rPr>
              <w:t>具</w:t>
            </w:r>
            <w:r>
              <w:rPr>
                <w:rFonts w:hint="eastAsia" w:ascii="宋体" w:hAnsi="宋体" w:cs="宋体"/>
                <w:b w:val="0"/>
                <w:bCs/>
                <w:color w:val="000000" w:themeColor="text1"/>
                <w:szCs w:val="21"/>
                <w:lang w:val="en-US" w:eastAsia="zh-CN"/>
                <w14:textFill>
                  <w14:solidFill>
                    <w14:schemeClr w14:val="tx1"/>
                  </w14:solidFill>
                </w14:textFill>
              </w:rPr>
              <w:t>备</w:t>
            </w:r>
            <w:r>
              <w:rPr>
                <w:rFonts w:hint="eastAsia" w:ascii="宋体" w:hAnsi="宋体" w:cs="宋体"/>
                <w:b w:val="0"/>
                <w:bCs/>
                <w:color w:val="000000" w:themeColor="text1"/>
                <w:szCs w:val="21"/>
                <w14:textFill>
                  <w14:solidFill>
                    <w14:schemeClr w14:val="tx1"/>
                  </w14:solidFill>
                </w14:textFill>
              </w:rPr>
              <w:t>建设行政主管部门颁发的工程设计综合资质</w:t>
            </w:r>
            <w:r>
              <w:rPr>
                <w:rFonts w:hint="eastAsia" w:ascii="宋体" w:hAnsi="宋体" w:cs="宋体"/>
                <w:b w:val="0"/>
                <w:bCs/>
                <w:color w:val="000000" w:themeColor="text1"/>
                <w:szCs w:val="21"/>
                <w:lang w:val="en-US" w:eastAsia="zh-CN"/>
                <w14:textFill>
                  <w14:solidFill>
                    <w14:schemeClr w14:val="tx1"/>
                  </w14:solidFill>
                </w14:textFill>
              </w:rPr>
              <w:t>或具备</w:t>
            </w:r>
            <w:r>
              <w:rPr>
                <w:rFonts w:hint="eastAsia" w:ascii="宋体" w:hAnsi="宋体" w:cs="宋体"/>
                <w:b w:val="0"/>
                <w:bCs/>
                <w:color w:val="000000" w:themeColor="text1"/>
                <w:szCs w:val="21"/>
                <w14:textFill>
                  <w14:solidFill>
                    <w14:schemeClr w14:val="tx1"/>
                  </w14:solidFill>
                </w14:textFill>
              </w:rPr>
              <w:t>工程设计建筑行业（建筑工程）专业</w:t>
            </w:r>
            <w:r>
              <w:rPr>
                <w:rFonts w:hint="eastAsia" w:ascii="宋体" w:hAnsi="宋体" w:cs="宋体"/>
                <w:b w:val="0"/>
                <w:bCs/>
                <w:color w:val="000000" w:themeColor="text1"/>
                <w:szCs w:val="21"/>
                <w:lang w:val="en-US" w:eastAsia="zh-CN"/>
                <w14:textFill>
                  <w14:solidFill>
                    <w14:schemeClr w14:val="tx1"/>
                  </w14:solidFill>
                </w14:textFill>
              </w:rPr>
              <w:t>甲</w:t>
            </w:r>
            <w:r>
              <w:rPr>
                <w:rFonts w:hint="eastAsia" w:ascii="宋体" w:hAnsi="宋体" w:cs="宋体"/>
                <w:b w:val="0"/>
                <w:bCs/>
                <w:color w:val="000000" w:themeColor="text1"/>
                <w:szCs w:val="21"/>
                <w14:textFill>
                  <w14:solidFill>
                    <w14:schemeClr w14:val="tx1"/>
                  </w14:solidFill>
                </w14:textFill>
              </w:rPr>
              <w:t>级资质</w:t>
            </w:r>
            <w:r>
              <w:rPr>
                <w:rFonts w:hint="eastAsia" w:ascii="宋体" w:hAnsi="宋体" w:cs="宋体"/>
                <w:b w:val="0"/>
                <w:bCs/>
                <w:color w:val="000000" w:themeColor="text1"/>
                <w:szCs w:val="21"/>
                <w:lang w:eastAsia="zh-CN"/>
                <w14:textFill>
                  <w14:solidFill>
                    <w14:schemeClr w14:val="tx1"/>
                  </w14:solidFill>
                </w14:textFill>
              </w:rPr>
              <w:t>；</w:t>
            </w:r>
          </w:p>
          <w:p w14:paraId="7C233EFC">
            <w:pPr>
              <w:spacing w:line="320" w:lineRule="exact"/>
              <w:ind w:right="-109" w:rightChars="-52"/>
              <w:rPr>
                <w:rFonts w:hint="eastAsia" w:ascii="宋体" w:hAnsi="宋体" w:cs="宋体"/>
                <w:b w:val="0"/>
                <w:bCs/>
                <w:color w:val="000000" w:themeColor="text1"/>
                <w:szCs w:val="21"/>
                <w14:textFill>
                  <w14:solidFill>
                    <w14:schemeClr w14:val="tx1"/>
                  </w14:solidFill>
                </w14:textFill>
              </w:rPr>
            </w:pPr>
            <w:r>
              <w:rPr>
                <w:rFonts w:hint="eastAsia" w:ascii="宋体" w:hAnsi="宋体" w:cs="宋体"/>
                <w:b/>
                <w:bCs w:val="0"/>
                <w:color w:val="000000" w:themeColor="text1"/>
                <w:szCs w:val="21"/>
                <w14:textFill>
                  <w14:solidFill>
                    <w14:schemeClr w14:val="tx1"/>
                  </w14:solidFill>
                </w14:textFill>
              </w:rPr>
              <w:t>施工资质：</w:t>
            </w:r>
            <w:r>
              <w:rPr>
                <w:rFonts w:hint="eastAsia" w:ascii="宋体" w:hAnsi="宋体" w:cs="宋体"/>
                <w:b w:val="0"/>
                <w:bCs/>
                <w:color w:val="000000" w:themeColor="text1"/>
                <w:szCs w:val="21"/>
                <w14:textFill>
                  <w14:solidFill>
                    <w14:schemeClr w14:val="tx1"/>
                  </w14:solidFill>
                </w14:textFill>
              </w:rPr>
              <w:t>具备建设行政主管部门颁发的建筑工程施工总承包</w:t>
            </w:r>
            <w:r>
              <w:rPr>
                <w:rFonts w:hint="eastAsia" w:ascii="宋体" w:hAnsi="宋体" w:cs="宋体"/>
                <w:b w:val="0"/>
                <w:bCs/>
                <w:color w:val="000000" w:themeColor="text1"/>
                <w:szCs w:val="21"/>
                <w:lang w:val="en-US" w:eastAsia="zh-CN"/>
                <w14:textFill>
                  <w14:solidFill>
                    <w14:schemeClr w14:val="tx1"/>
                  </w14:solidFill>
                </w14:textFill>
              </w:rPr>
              <w:t>二级及以上资质</w:t>
            </w:r>
            <w:r>
              <w:rPr>
                <w:rFonts w:hint="eastAsia" w:ascii="宋体" w:hAnsi="宋体" w:cs="宋体"/>
                <w:b w:val="0"/>
                <w:bCs/>
                <w:color w:val="000000" w:themeColor="text1"/>
                <w:szCs w:val="21"/>
                <w:lang w:eastAsia="zh-CN"/>
                <w14:textFill>
                  <w14:solidFill>
                    <w14:schemeClr w14:val="tx1"/>
                  </w14:solidFill>
                </w14:textFill>
              </w:rPr>
              <w:t>、</w:t>
            </w:r>
            <w:r>
              <w:rPr>
                <w:rFonts w:hint="eastAsia" w:ascii="宋体" w:hAnsi="宋体" w:cs="宋体"/>
                <w:b w:val="0"/>
                <w:bCs/>
                <w:color w:val="000000" w:themeColor="text1"/>
                <w:szCs w:val="21"/>
                <w:lang w:val="en-US" w:eastAsia="zh-CN"/>
                <w14:textFill>
                  <w14:solidFill>
                    <w14:schemeClr w14:val="tx1"/>
                  </w14:solidFill>
                </w14:textFill>
              </w:rPr>
              <w:t>市政公用工程施工总承包二级及以上资质、电力工程施工总承包二级资质及以上资质和承装（修、试）电力设施三级及以上许可证，</w:t>
            </w:r>
            <w:r>
              <w:rPr>
                <w:rFonts w:hint="eastAsia" w:ascii="宋体" w:hAnsi="宋体" w:cs="宋体"/>
                <w:b w:val="0"/>
                <w:bCs/>
                <w:color w:val="000000" w:themeColor="text1"/>
                <w:szCs w:val="21"/>
                <w14:textFill>
                  <w14:solidFill>
                    <w14:schemeClr w14:val="tx1"/>
                  </w14:solidFill>
                </w14:textFill>
              </w:rPr>
              <w:t>安全生产许可证在有效期内；</w:t>
            </w:r>
          </w:p>
          <w:p w14:paraId="0E4F795F">
            <w:pPr>
              <w:spacing w:line="320" w:lineRule="exact"/>
              <w:ind w:right="-109" w:rightChars="-52"/>
              <w:rPr>
                <w:rFonts w:hint="eastAsia" w:ascii="宋体" w:hAnsi="宋体" w:cs="宋体"/>
                <w:b w:val="0"/>
                <w:bCs/>
                <w:color w:val="000000" w:themeColor="text1"/>
                <w:szCs w:val="21"/>
                <w14:textFill>
                  <w14:solidFill>
                    <w14:schemeClr w14:val="tx1"/>
                  </w14:solidFill>
                </w14:textFill>
              </w:rPr>
            </w:pPr>
            <w:r>
              <w:rPr>
                <w:rFonts w:hint="eastAsia" w:ascii="宋体" w:hAnsi="宋体" w:cs="宋体"/>
                <w:b/>
                <w:bCs w:val="0"/>
                <w:color w:val="000000" w:themeColor="text1"/>
                <w:szCs w:val="21"/>
                <w:lang w:val="en-US" w:eastAsia="zh-CN"/>
                <w14:textFill>
                  <w14:solidFill>
                    <w14:schemeClr w14:val="tx1"/>
                  </w14:solidFill>
                </w14:textFill>
              </w:rPr>
              <w:t>设备资质</w:t>
            </w:r>
            <w:r>
              <w:rPr>
                <w:rFonts w:hint="eastAsia" w:ascii="宋体" w:hAnsi="宋体" w:cs="宋体"/>
                <w:b w:val="0"/>
                <w:bCs/>
                <w:color w:val="000000" w:themeColor="text1"/>
                <w:szCs w:val="21"/>
                <w:lang w:val="en-US" w:eastAsia="zh-CN"/>
                <w14:textFill>
                  <w14:solidFill>
                    <w14:schemeClr w14:val="tx1"/>
                  </w14:solidFill>
                </w14:textFill>
              </w:rPr>
              <w:t>：</w:t>
            </w:r>
            <w:r>
              <w:rPr>
                <w:rFonts w:hint="eastAsia" w:ascii="宋体" w:hAnsi="宋体" w:cs="宋体"/>
                <w:b w:val="0"/>
                <w:bCs/>
                <w:color w:val="000000" w:themeColor="text1"/>
                <w:szCs w:val="21"/>
                <w14:textFill>
                  <w14:solidFill>
                    <w14:schemeClr w14:val="tx1"/>
                  </w14:solidFill>
                </w14:textFill>
              </w:rPr>
              <w:t>具备</w:t>
            </w:r>
            <w:r>
              <w:rPr>
                <w:rFonts w:hint="eastAsia" w:ascii="宋体" w:hAnsi="宋体" w:cs="宋体"/>
                <w:b w:val="0"/>
                <w:bCs/>
                <w:color w:val="000000" w:themeColor="text1"/>
                <w:szCs w:val="21"/>
                <w:lang w:val="en-US" w:eastAsia="zh-CN"/>
                <w14:textFill>
                  <w14:solidFill>
                    <w14:schemeClr w14:val="tx1"/>
                  </w14:solidFill>
                </w14:textFill>
              </w:rPr>
              <w:t>《特种设备生产许可证》，包含压力管道设计（GC2 及以上）和压力管道安装（GC2 及以上，含工业管道）两项许可范围和建筑机电安装工程专业承包二级及以上资质，</w:t>
            </w:r>
            <w:r>
              <w:rPr>
                <w:rFonts w:hint="eastAsia" w:ascii="宋体" w:hAnsi="宋体" w:cs="宋体"/>
                <w:b w:val="0"/>
                <w:bCs/>
                <w:color w:val="000000" w:themeColor="text1"/>
                <w:szCs w:val="21"/>
                <w14:textFill>
                  <w14:solidFill>
                    <w14:schemeClr w14:val="tx1"/>
                  </w14:solidFill>
                </w14:textFill>
              </w:rPr>
              <w:t>安全生产许可证在有效期内</w:t>
            </w:r>
            <w:r>
              <w:rPr>
                <w:rFonts w:hint="eastAsia" w:ascii="宋体" w:hAnsi="宋体" w:cs="宋体"/>
                <w:b w:val="0"/>
                <w:bCs/>
                <w:color w:val="000000" w:themeColor="text1"/>
                <w:szCs w:val="21"/>
                <w:lang w:val="en-US" w:eastAsia="zh-CN"/>
                <w14:textFill>
                  <w14:solidFill>
                    <w14:schemeClr w14:val="tx1"/>
                  </w14:solidFill>
                </w14:textFill>
              </w:rPr>
              <w:t>。</w:t>
            </w:r>
          </w:p>
          <w:p w14:paraId="343AC9E8">
            <w:pPr>
              <w:spacing w:line="320" w:lineRule="exact"/>
              <w:ind w:right="-109" w:rightChars="-52"/>
              <w:rPr>
                <w:rFonts w:hint="eastAsia" w:ascii="宋体" w:hAnsi="宋体" w:cs="宋体"/>
                <w:b w:val="0"/>
                <w:bCs/>
                <w:color w:val="000000" w:themeColor="text1"/>
                <w:szCs w:val="21"/>
                <w14:textFill>
                  <w14:solidFill>
                    <w14:schemeClr w14:val="tx1"/>
                  </w14:solidFill>
                </w14:textFill>
              </w:rPr>
            </w:pPr>
            <w:r>
              <w:rPr>
                <w:rFonts w:hint="eastAsia" w:ascii="宋体" w:hAnsi="宋体" w:cs="宋体"/>
                <w:b/>
                <w:bCs w:val="0"/>
                <w:color w:val="000000" w:themeColor="text1"/>
                <w:szCs w:val="21"/>
                <w14:textFill>
                  <w14:solidFill>
                    <w14:schemeClr w14:val="tx1"/>
                  </w14:solidFill>
                </w14:textFill>
              </w:rPr>
              <w:t>项目经理：</w:t>
            </w:r>
            <w:r>
              <w:rPr>
                <w:rFonts w:hint="eastAsia" w:ascii="宋体" w:hAnsi="宋体" w:cs="宋体"/>
                <w:b w:val="0"/>
                <w:bCs/>
                <w:color w:val="000000" w:themeColor="text1"/>
                <w:szCs w:val="21"/>
                <w14:textFill>
                  <w14:solidFill>
                    <w14:schemeClr w14:val="tx1"/>
                  </w14:solidFill>
                </w14:textFill>
              </w:rPr>
              <w:t>应具备建筑工程专业</w:t>
            </w:r>
            <w:r>
              <w:rPr>
                <w:rFonts w:hint="eastAsia" w:ascii="宋体" w:hAnsi="宋体" w:cs="宋体"/>
                <w:b w:val="0"/>
                <w:bCs/>
                <w:color w:val="000000" w:themeColor="text1"/>
                <w:szCs w:val="21"/>
                <w:lang w:val="en-US" w:eastAsia="zh-CN"/>
                <w14:textFill>
                  <w14:solidFill>
                    <w14:schemeClr w14:val="tx1"/>
                  </w14:solidFill>
                </w14:textFill>
              </w:rPr>
              <w:t>一</w:t>
            </w:r>
            <w:r>
              <w:rPr>
                <w:rFonts w:hint="eastAsia" w:ascii="宋体" w:hAnsi="宋体" w:cs="宋体"/>
                <w:b w:val="0"/>
                <w:bCs/>
                <w:color w:val="000000" w:themeColor="text1"/>
                <w:szCs w:val="21"/>
                <w:lang w:eastAsia="zh-CN"/>
                <w14:textFill>
                  <w14:solidFill>
                    <w14:schemeClr w14:val="tx1"/>
                  </w14:solidFill>
                </w14:textFill>
              </w:rPr>
              <w:t>级注册建造师证</w:t>
            </w:r>
            <w:r>
              <w:rPr>
                <w:rFonts w:hint="eastAsia" w:ascii="宋体" w:hAnsi="宋体" w:cs="宋体"/>
                <w:b w:val="0"/>
                <w:bCs/>
                <w:color w:val="000000" w:themeColor="text1"/>
                <w:szCs w:val="21"/>
                <w14:textFill>
                  <w14:solidFill>
                    <w14:schemeClr w14:val="tx1"/>
                  </w14:solidFill>
                </w14:textFill>
              </w:rPr>
              <w:t>及工程类中级及以上工程师职称，且持有安全生产考核合格证书（B证，在有效期内）；</w:t>
            </w:r>
          </w:p>
          <w:p w14:paraId="0C575A1F">
            <w:pPr>
              <w:spacing w:line="320" w:lineRule="exact"/>
              <w:ind w:right="-109" w:rightChars="-52"/>
              <w:rPr>
                <w:rFonts w:hint="eastAsia" w:ascii="宋体" w:hAnsi="宋体" w:cs="宋体"/>
                <w:b w:val="0"/>
                <w:bCs/>
                <w:color w:val="000000" w:themeColor="text1"/>
                <w:szCs w:val="21"/>
                <w:lang w:eastAsia="zh-CN"/>
                <w14:textFill>
                  <w14:solidFill>
                    <w14:schemeClr w14:val="tx1"/>
                  </w14:solidFill>
                </w14:textFill>
              </w:rPr>
            </w:pPr>
            <w:r>
              <w:rPr>
                <w:rFonts w:hint="eastAsia" w:ascii="宋体" w:hAnsi="宋体" w:cs="宋体"/>
                <w:b/>
                <w:bCs w:val="0"/>
                <w:color w:val="000000" w:themeColor="text1"/>
                <w:szCs w:val="21"/>
                <w14:textFill>
                  <w14:solidFill>
                    <w14:schemeClr w14:val="tx1"/>
                  </w14:solidFill>
                </w14:textFill>
              </w:rPr>
              <w:t>勘察项目负责人</w:t>
            </w:r>
            <w:r>
              <w:rPr>
                <w:rFonts w:hint="eastAsia" w:ascii="宋体" w:hAnsi="宋体" w:cs="宋体"/>
                <w:b w:val="0"/>
                <w:bCs/>
                <w:color w:val="000000" w:themeColor="text1"/>
                <w:szCs w:val="21"/>
                <w14:textFill>
                  <w14:solidFill>
                    <w14:schemeClr w14:val="tx1"/>
                  </w14:solidFill>
                </w14:textFill>
              </w:rPr>
              <w:t>：应具备注册土木工程师（岩土）注册证书，并注册在投标企业</w:t>
            </w:r>
            <w:r>
              <w:rPr>
                <w:rFonts w:hint="eastAsia" w:ascii="宋体" w:hAnsi="宋体" w:cs="宋体"/>
                <w:b w:val="0"/>
                <w:bCs/>
                <w:color w:val="000000" w:themeColor="text1"/>
                <w:szCs w:val="21"/>
                <w:lang w:eastAsia="zh-CN"/>
                <w14:textFill>
                  <w14:solidFill>
                    <w14:schemeClr w14:val="tx1"/>
                  </w14:solidFill>
                </w14:textFill>
              </w:rPr>
              <w:t>；</w:t>
            </w:r>
          </w:p>
          <w:p w14:paraId="4A6628A8">
            <w:pPr>
              <w:spacing w:line="320" w:lineRule="exact"/>
              <w:ind w:right="-109" w:rightChars="-52"/>
              <w:rPr>
                <w:rFonts w:hint="eastAsia" w:ascii="宋体" w:hAnsi="宋体" w:cs="宋体"/>
                <w:b w:val="0"/>
                <w:bCs/>
                <w:color w:val="000000" w:themeColor="text1"/>
                <w:szCs w:val="21"/>
                <w14:textFill>
                  <w14:solidFill>
                    <w14:schemeClr w14:val="tx1"/>
                  </w14:solidFill>
                </w14:textFill>
              </w:rPr>
            </w:pPr>
            <w:r>
              <w:rPr>
                <w:rFonts w:hint="eastAsia" w:ascii="宋体" w:hAnsi="宋体" w:cs="宋体"/>
                <w:b/>
                <w:bCs w:val="0"/>
                <w:color w:val="000000" w:themeColor="text1"/>
                <w:szCs w:val="21"/>
                <w14:textFill>
                  <w14:solidFill>
                    <w14:schemeClr w14:val="tx1"/>
                  </w14:solidFill>
                </w14:textFill>
              </w:rPr>
              <w:t>设计项目负责人</w:t>
            </w:r>
            <w:r>
              <w:rPr>
                <w:rFonts w:hint="eastAsia" w:ascii="宋体" w:hAnsi="宋体" w:cs="宋体"/>
                <w:b w:val="0"/>
                <w:bCs/>
                <w:color w:val="000000" w:themeColor="text1"/>
                <w:szCs w:val="21"/>
                <w14:textFill>
                  <w14:solidFill>
                    <w14:schemeClr w14:val="tx1"/>
                  </w14:solidFill>
                </w14:textFill>
              </w:rPr>
              <w:t>：应具备一级注册建筑师注册证书，并注册在投标企业；</w:t>
            </w:r>
          </w:p>
          <w:p w14:paraId="111A2DC5">
            <w:pPr>
              <w:spacing w:line="320" w:lineRule="exact"/>
              <w:ind w:right="-109" w:rightChars="-52"/>
              <w:rPr>
                <w:rFonts w:hint="eastAsia" w:ascii="宋体" w:hAnsi="宋体" w:cs="宋体"/>
                <w:b w:val="0"/>
                <w:bCs/>
                <w:color w:val="000000" w:themeColor="text1"/>
                <w:szCs w:val="21"/>
                <w14:textFill>
                  <w14:solidFill>
                    <w14:schemeClr w14:val="tx1"/>
                  </w14:solidFill>
                </w14:textFill>
              </w:rPr>
            </w:pPr>
            <w:r>
              <w:rPr>
                <w:rFonts w:hint="eastAsia" w:ascii="宋体" w:hAnsi="宋体" w:cs="宋体"/>
                <w:b/>
                <w:bCs w:val="0"/>
                <w:color w:val="000000" w:themeColor="text1"/>
                <w:szCs w:val="21"/>
                <w14:textFill>
                  <w14:solidFill>
                    <w14:schemeClr w14:val="tx1"/>
                  </w14:solidFill>
                </w14:textFill>
              </w:rPr>
              <w:t>施工项目负责人</w:t>
            </w:r>
            <w:r>
              <w:rPr>
                <w:rFonts w:hint="eastAsia" w:ascii="宋体" w:hAnsi="宋体" w:cs="宋体"/>
                <w:b w:val="0"/>
                <w:bCs/>
                <w:color w:val="000000" w:themeColor="text1"/>
                <w:szCs w:val="21"/>
                <w14:textFill>
                  <w14:solidFill>
                    <w14:schemeClr w14:val="tx1"/>
                  </w14:solidFill>
                </w14:textFill>
              </w:rPr>
              <w:t>：应具备建筑工程专业</w:t>
            </w:r>
            <w:r>
              <w:rPr>
                <w:rFonts w:hint="eastAsia" w:ascii="宋体" w:hAnsi="宋体" w:cs="宋体"/>
                <w:b w:val="0"/>
                <w:bCs/>
                <w:color w:val="000000" w:themeColor="text1"/>
                <w:szCs w:val="21"/>
                <w:lang w:val="en-US" w:eastAsia="zh-CN"/>
                <w14:textFill>
                  <w14:solidFill>
                    <w14:schemeClr w14:val="tx1"/>
                  </w14:solidFill>
                </w14:textFill>
              </w:rPr>
              <w:t>一</w:t>
            </w:r>
            <w:r>
              <w:rPr>
                <w:rFonts w:hint="eastAsia" w:ascii="宋体" w:hAnsi="宋体" w:cs="宋体"/>
                <w:b w:val="0"/>
                <w:bCs/>
                <w:color w:val="000000" w:themeColor="text1"/>
                <w:szCs w:val="21"/>
                <w:lang w:eastAsia="zh-CN"/>
                <w14:textFill>
                  <w14:solidFill>
                    <w14:schemeClr w14:val="tx1"/>
                  </w14:solidFill>
                </w14:textFill>
              </w:rPr>
              <w:t>级注册建造师证</w:t>
            </w:r>
            <w:r>
              <w:rPr>
                <w:rFonts w:hint="eastAsia" w:ascii="宋体" w:hAnsi="宋体" w:cs="宋体"/>
                <w:b w:val="0"/>
                <w:bCs/>
                <w:color w:val="000000" w:themeColor="text1"/>
                <w:szCs w:val="21"/>
                <w14:textFill>
                  <w14:solidFill>
                    <w14:schemeClr w14:val="tx1"/>
                  </w14:solidFill>
                </w14:textFill>
              </w:rPr>
              <w:t>及工程类中级及以上工程师职称，且持有安全生产考核合格证书（B证，在有效期内）（可由项目经理兼任）；</w:t>
            </w:r>
          </w:p>
          <w:p w14:paraId="64235064">
            <w:pPr>
              <w:spacing w:line="320" w:lineRule="exact"/>
              <w:ind w:right="-109" w:rightChars="-52"/>
              <w:rPr>
                <w:rFonts w:hint="eastAsia" w:ascii="宋体" w:hAnsi="宋体" w:cs="宋体"/>
                <w:b w:val="0"/>
                <w:bCs/>
                <w:color w:val="000000" w:themeColor="text1"/>
                <w:szCs w:val="21"/>
                <w14:textFill>
                  <w14:solidFill>
                    <w14:schemeClr w14:val="tx1"/>
                  </w14:solidFill>
                </w14:textFill>
              </w:rPr>
            </w:pPr>
            <w:r>
              <w:rPr>
                <w:rFonts w:hint="eastAsia" w:ascii="宋体" w:hAnsi="宋体" w:cs="宋体"/>
                <w:b/>
                <w:bCs w:val="0"/>
                <w:color w:val="000000" w:themeColor="text1"/>
                <w:szCs w:val="21"/>
                <w:lang w:val="en-US" w:eastAsia="zh-CN"/>
                <w14:textFill>
                  <w14:solidFill>
                    <w14:schemeClr w14:val="tx1"/>
                  </w14:solidFill>
                </w14:textFill>
              </w:rPr>
              <w:t>设备项目</w:t>
            </w:r>
            <w:r>
              <w:rPr>
                <w:rFonts w:hint="eastAsia" w:ascii="宋体" w:hAnsi="宋体" w:cs="宋体"/>
                <w:b/>
                <w:bCs w:val="0"/>
                <w:color w:val="000000" w:themeColor="text1"/>
                <w:szCs w:val="21"/>
                <w14:textFill>
                  <w14:solidFill>
                    <w14:schemeClr w14:val="tx1"/>
                  </w14:solidFill>
                </w14:textFill>
              </w:rPr>
              <w:t>负责人：</w:t>
            </w:r>
            <w:r>
              <w:rPr>
                <w:rFonts w:hint="eastAsia" w:ascii="宋体" w:hAnsi="宋体" w:cs="宋体"/>
                <w:b w:val="0"/>
                <w:bCs/>
                <w:color w:val="000000" w:themeColor="text1"/>
                <w:szCs w:val="21"/>
                <w14:textFill>
                  <w14:solidFill>
                    <w14:schemeClr w14:val="tx1"/>
                  </w14:solidFill>
                </w14:textFill>
              </w:rPr>
              <w:t>应具备</w:t>
            </w:r>
            <w:r>
              <w:rPr>
                <w:rFonts w:hint="eastAsia" w:ascii="宋体" w:hAnsi="宋体" w:cs="宋体"/>
                <w:b w:val="0"/>
                <w:bCs/>
                <w:color w:val="000000" w:themeColor="text1"/>
                <w:szCs w:val="21"/>
                <w:lang w:val="en-US" w:eastAsia="zh-CN"/>
                <w14:textFill>
                  <w14:solidFill>
                    <w14:schemeClr w14:val="tx1"/>
                  </w14:solidFill>
                </w14:textFill>
              </w:rPr>
              <w:t>机电工程</w:t>
            </w:r>
            <w:r>
              <w:rPr>
                <w:rFonts w:hint="eastAsia" w:ascii="宋体" w:hAnsi="宋体" w:cs="宋体"/>
                <w:b w:val="0"/>
                <w:bCs/>
                <w:color w:val="000000" w:themeColor="text1"/>
                <w:szCs w:val="21"/>
                <w14:textFill>
                  <w14:solidFill>
                    <w14:schemeClr w14:val="tx1"/>
                  </w14:solidFill>
                </w14:textFill>
              </w:rPr>
              <w:t>专业</w:t>
            </w:r>
            <w:r>
              <w:rPr>
                <w:rFonts w:hint="eastAsia" w:ascii="宋体" w:hAnsi="宋体" w:cs="宋体"/>
                <w:b w:val="0"/>
                <w:bCs/>
                <w:color w:val="000000" w:themeColor="text1"/>
                <w:szCs w:val="21"/>
                <w:lang w:val="en-US" w:eastAsia="zh-CN"/>
                <w14:textFill>
                  <w14:solidFill>
                    <w14:schemeClr w14:val="tx1"/>
                  </w14:solidFill>
                </w14:textFill>
              </w:rPr>
              <w:t>二</w:t>
            </w:r>
            <w:r>
              <w:rPr>
                <w:rFonts w:hint="eastAsia" w:ascii="宋体" w:hAnsi="宋体" w:cs="宋体"/>
                <w:b w:val="0"/>
                <w:bCs/>
                <w:color w:val="000000" w:themeColor="text1"/>
                <w:szCs w:val="21"/>
                <w:lang w:eastAsia="zh-CN"/>
                <w14:textFill>
                  <w14:solidFill>
                    <w14:schemeClr w14:val="tx1"/>
                  </w14:solidFill>
                </w14:textFill>
              </w:rPr>
              <w:t>级</w:t>
            </w:r>
            <w:r>
              <w:rPr>
                <w:rFonts w:hint="eastAsia" w:ascii="宋体" w:hAnsi="宋体" w:cs="宋体"/>
                <w:b w:val="0"/>
                <w:bCs/>
                <w:color w:val="000000" w:themeColor="text1"/>
                <w:szCs w:val="21"/>
                <w:lang w:val="en-US" w:eastAsia="zh-CN"/>
                <w14:textFill>
                  <w14:solidFill>
                    <w14:schemeClr w14:val="tx1"/>
                  </w14:solidFill>
                </w14:textFill>
              </w:rPr>
              <w:t>及以上</w:t>
            </w:r>
            <w:r>
              <w:rPr>
                <w:rFonts w:hint="eastAsia" w:ascii="宋体" w:hAnsi="宋体" w:cs="宋体"/>
                <w:b w:val="0"/>
                <w:bCs/>
                <w:color w:val="000000" w:themeColor="text1"/>
                <w:szCs w:val="21"/>
                <w:lang w:eastAsia="zh-CN"/>
                <w14:textFill>
                  <w14:solidFill>
                    <w14:schemeClr w14:val="tx1"/>
                  </w14:solidFill>
                </w14:textFill>
              </w:rPr>
              <w:t>注册建造师证</w:t>
            </w:r>
            <w:r>
              <w:rPr>
                <w:rFonts w:hint="eastAsia" w:ascii="宋体" w:hAnsi="宋体" w:cs="宋体"/>
                <w:b w:val="0"/>
                <w:bCs/>
                <w:color w:val="000000" w:themeColor="text1"/>
                <w:szCs w:val="21"/>
                <w14:textFill>
                  <w14:solidFill>
                    <w14:schemeClr w14:val="tx1"/>
                  </w14:solidFill>
                </w14:textFill>
              </w:rPr>
              <w:t>及工程类中级及以上工程师职称，且持有安全生产考核合格证书（B证，在有效期内）；</w:t>
            </w:r>
          </w:p>
          <w:p w14:paraId="3FF745D7">
            <w:pPr>
              <w:spacing w:line="320" w:lineRule="exact"/>
              <w:ind w:right="-109" w:rightChars="-52"/>
              <w:rPr>
                <w:rFonts w:hint="eastAsia" w:ascii="宋体" w:hAnsi="宋体" w:cs="宋体"/>
                <w:b w:val="0"/>
                <w:bCs/>
                <w:color w:val="000000" w:themeColor="text1"/>
                <w:szCs w:val="21"/>
                <w14:textFill>
                  <w14:solidFill>
                    <w14:schemeClr w14:val="tx1"/>
                  </w14:solidFill>
                </w14:textFill>
              </w:rPr>
            </w:pPr>
            <w:r>
              <w:rPr>
                <w:rFonts w:hint="eastAsia" w:ascii="宋体" w:hAnsi="宋体" w:cs="宋体"/>
                <w:b/>
                <w:bCs w:val="0"/>
                <w:color w:val="000000" w:themeColor="text1"/>
                <w:szCs w:val="21"/>
                <w:lang w:val="en-US" w:eastAsia="zh-CN"/>
                <w14:textFill>
                  <w14:solidFill>
                    <w14:schemeClr w14:val="tx1"/>
                  </w14:solidFill>
                </w14:textFill>
              </w:rPr>
              <w:t>新能源</w:t>
            </w:r>
            <w:r>
              <w:rPr>
                <w:rFonts w:hint="eastAsia" w:ascii="宋体" w:hAnsi="宋体" w:cs="宋体"/>
                <w:b/>
                <w:bCs w:val="0"/>
                <w:color w:val="000000" w:themeColor="text1"/>
                <w:szCs w:val="21"/>
                <w14:textFill>
                  <w14:solidFill>
                    <w14:schemeClr w14:val="tx1"/>
                  </w14:solidFill>
                </w14:textFill>
              </w:rPr>
              <w:t>项目负责人</w:t>
            </w:r>
            <w:r>
              <w:rPr>
                <w:rFonts w:hint="eastAsia" w:ascii="宋体" w:hAnsi="宋体" w:cs="宋体"/>
                <w:b w:val="0"/>
                <w:bCs/>
                <w:color w:val="000000" w:themeColor="text1"/>
                <w:szCs w:val="21"/>
                <w14:textFill>
                  <w14:solidFill>
                    <w14:schemeClr w14:val="tx1"/>
                  </w14:solidFill>
                </w14:textFill>
              </w:rPr>
              <w:t>：应具备</w:t>
            </w:r>
            <w:r>
              <w:rPr>
                <w:rFonts w:hint="eastAsia" w:ascii="宋体" w:hAnsi="宋体" w:cs="宋体"/>
                <w:b w:val="0"/>
                <w:bCs/>
                <w:color w:val="000000" w:themeColor="text1"/>
                <w:szCs w:val="21"/>
                <w:lang w:val="en-US" w:eastAsia="zh-CN"/>
                <w14:textFill>
                  <w14:solidFill>
                    <w14:schemeClr w14:val="tx1"/>
                  </w14:solidFill>
                </w14:textFill>
              </w:rPr>
              <w:t>机电工程</w:t>
            </w:r>
            <w:r>
              <w:rPr>
                <w:rFonts w:hint="eastAsia" w:ascii="宋体" w:hAnsi="宋体" w:cs="宋体"/>
                <w:b w:val="0"/>
                <w:bCs/>
                <w:color w:val="000000" w:themeColor="text1"/>
                <w:szCs w:val="21"/>
                <w14:textFill>
                  <w14:solidFill>
                    <w14:schemeClr w14:val="tx1"/>
                  </w14:solidFill>
                </w14:textFill>
              </w:rPr>
              <w:t>专业</w:t>
            </w:r>
            <w:r>
              <w:rPr>
                <w:rFonts w:hint="eastAsia" w:ascii="宋体" w:hAnsi="宋体" w:cs="宋体"/>
                <w:b w:val="0"/>
                <w:bCs/>
                <w:color w:val="000000" w:themeColor="text1"/>
                <w:szCs w:val="21"/>
                <w:lang w:val="en-US" w:eastAsia="zh-CN"/>
                <w14:textFill>
                  <w14:solidFill>
                    <w14:schemeClr w14:val="tx1"/>
                  </w14:solidFill>
                </w14:textFill>
              </w:rPr>
              <w:t>二</w:t>
            </w:r>
            <w:r>
              <w:rPr>
                <w:rFonts w:hint="eastAsia" w:ascii="宋体" w:hAnsi="宋体" w:cs="宋体"/>
                <w:b w:val="0"/>
                <w:bCs/>
                <w:color w:val="000000" w:themeColor="text1"/>
                <w:szCs w:val="21"/>
                <w:lang w:eastAsia="zh-CN"/>
                <w14:textFill>
                  <w14:solidFill>
                    <w14:schemeClr w14:val="tx1"/>
                  </w14:solidFill>
                </w14:textFill>
              </w:rPr>
              <w:t>级</w:t>
            </w:r>
            <w:r>
              <w:rPr>
                <w:rFonts w:hint="eastAsia" w:ascii="宋体" w:hAnsi="宋体" w:cs="宋体"/>
                <w:b w:val="0"/>
                <w:bCs/>
                <w:color w:val="000000" w:themeColor="text1"/>
                <w:szCs w:val="21"/>
                <w:lang w:val="en-US" w:eastAsia="zh-CN"/>
                <w14:textFill>
                  <w14:solidFill>
                    <w14:schemeClr w14:val="tx1"/>
                  </w14:solidFill>
                </w14:textFill>
              </w:rPr>
              <w:t>及以上</w:t>
            </w:r>
            <w:r>
              <w:rPr>
                <w:rFonts w:hint="eastAsia" w:ascii="宋体" w:hAnsi="宋体" w:cs="宋体"/>
                <w:b w:val="0"/>
                <w:bCs/>
                <w:color w:val="000000" w:themeColor="text1"/>
                <w:szCs w:val="21"/>
                <w:lang w:eastAsia="zh-CN"/>
                <w14:textFill>
                  <w14:solidFill>
                    <w14:schemeClr w14:val="tx1"/>
                  </w14:solidFill>
                </w14:textFill>
              </w:rPr>
              <w:t>注册建造师证</w:t>
            </w:r>
            <w:r>
              <w:rPr>
                <w:rFonts w:hint="eastAsia" w:ascii="宋体" w:hAnsi="宋体" w:cs="宋体"/>
                <w:b w:val="0"/>
                <w:bCs/>
                <w:color w:val="000000" w:themeColor="text1"/>
                <w:szCs w:val="21"/>
                <w14:textFill>
                  <w14:solidFill>
                    <w14:schemeClr w14:val="tx1"/>
                  </w14:solidFill>
                </w14:textFill>
              </w:rPr>
              <w:t>及工程类中级及以上工程师职称，且持有安全生产考核合格证书（B证，在有效期内）；</w:t>
            </w:r>
          </w:p>
          <w:p w14:paraId="33438148">
            <w:pPr>
              <w:spacing w:line="320" w:lineRule="exact"/>
              <w:ind w:right="-109" w:rightChars="-52"/>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t>同时在人员、设备、资金等方面具备相应的施工能力（注：政府及国有投资项目严格按照《建筑业企业资质管理规定》承包范围对应的资质等级）。</w:t>
            </w:r>
          </w:p>
          <w:p w14:paraId="4205D51D">
            <w:pPr>
              <w:spacing w:line="320" w:lineRule="exact"/>
              <w:ind w:right="-109" w:rightChars="-52"/>
              <w:rPr>
                <w:rFonts w:hint="eastAsia" w:ascii="宋体" w:hAnsi="宋体" w:cs="宋体"/>
                <w:b w:val="0"/>
                <w:bCs/>
                <w:color w:val="000000" w:themeColor="text1"/>
                <w:szCs w:val="21"/>
                <w14:textFill>
                  <w14:solidFill>
                    <w14:schemeClr w14:val="tx1"/>
                  </w14:solidFill>
                </w14:textFill>
              </w:rPr>
            </w:pPr>
            <w:r>
              <w:rPr>
                <w:rFonts w:hint="eastAsia" w:ascii="宋体" w:hAnsi="宋体" w:cs="宋体"/>
                <w:b/>
                <w:bCs w:val="0"/>
                <w:color w:val="000000" w:themeColor="text1"/>
                <w:szCs w:val="21"/>
                <w14:textFill>
                  <w14:solidFill>
                    <w14:schemeClr w14:val="tx1"/>
                  </w14:solidFill>
                </w14:textFill>
              </w:rPr>
              <w:t>财务要求：</w:t>
            </w:r>
            <w:r>
              <w:rPr>
                <w:rFonts w:hint="eastAsia" w:ascii="宋体" w:hAnsi="宋体" w:cs="宋体"/>
                <w:b w:val="0"/>
                <w:bCs/>
                <w:color w:val="000000" w:themeColor="text1"/>
                <w:szCs w:val="21"/>
                <w14:textFill>
                  <w14:solidFill>
                    <w14:schemeClr w14:val="tx1"/>
                  </w14:solidFill>
                </w14:textFill>
              </w:rPr>
              <w:t>提供202</w:t>
            </w:r>
            <w:r>
              <w:rPr>
                <w:rFonts w:hint="eastAsia" w:ascii="宋体" w:hAnsi="宋体" w:cs="宋体"/>
                <w:b w:val="0"/>
                <w:bCs/>
                <w:color w:val="000000" w:themeColor="text1"/>
                <w:szCs w:val="21"/>
                <w:lang w:val="en-US" w:eastAsia="zh-CN"/>
                <w14:textFill>
                  <w14:solidFill>
                    <w14:schemeClr w14:val="tx1"/>
                  </w14:solidFill>
                </w14:textFill>
              </w:rPr>
              <w:t>4</w:t>
            </w:r>
            <w:r>
              <w:rPr>
                <w:rFonts w:hint="eastAsia" w:ascii="宋体" w:hAnsi="宋体" w:cs="宋体"/>
                <w:b w:val="0"/>
                <w:bCs/>
                <w:color w:val="000000" w:themeColor="text1"/>
                <w:szCs w:val="21"/>
                <w14:textFill>
                  <w14:solidFill>
                    <w14:schemeClr w14:val="tx1"/>
                  </w14:solidFill>
                </w14:textFill>
              </w:rPr>
              <w:t>年度或202</w:t>
            </w:r>
            <w:r>
              <w:rPr>
                <w:rFonts w:hint="eastAsia" w:ascii="宋体" w:hAnsi="宋体" w:cs="宋体"/>
                <w:b w:val="0"/>
                <w:bCs/>
                <w:color w:val="000000" w:themeColor="text1"/>
                <w:szCs w:val="21"/>
                <w:lang w:val="en-US" w:eastAsia="zh-CN"/>
                <w14:textFill>
                  <w14:solidFill>
                    <w14:schemeClr w14:val="tx1"/>
                  </w14:solidFill>
                </w14:textFill>
              </w:rPr>
              <w:t>5</w:t>
            </w:r>
            <w:r>
              <w:rPr>
                <w:rFonts w:hint="eastAsia" w:ascii="宋体" w:hAnsi="宋体" w:cs="宋体"/>
                <w:b w:val="0"/>
                <w:bCs/>
                <w:color w:val="000000" w:themeColor="text1"/>
                <w:szCs w:val="21"/>
                <w14:textFill>
                  <w14:solidFill>
                    <w14:schemeClr w14:val="tx1"/>
                  </w14:solidFill>
                </w14:textFill>
              </w:rPr>
              <w:t>年度财务报表（含资产负债表、利润表、现金流量），并经合法的会计师事务所或审计师事务所审计（须按“财办</w:t>
            </w:r>
            <w:r>
              <w:rPr>
                <w:rFonts w:hint="eastAsia" w:ascii="宋体" w:hAnsi="宋体" w:cs="宋体"/>
                <w:b w:val="0"/>
                <w:bCs/>
                <w:color w:val="000000" w:themeColor="text1"/>
                <w:szCs w:val="21"/>
                <w:lang w:eastAsia="zh-CN"/>
                <w14:textFill>
                  <w14:solidFill>
                    <w14:schemeClr w14:val="tx1"/>
                  </w14:solidFill>
                </w14:textFill>
              </w:rPr>
              <w:t>〔2022〕32号”“</w:t>
            </w:r>
            <w:r>
              <w:rPr>
                <w:rFonts w:hint="eastAsia" w:ascii="宋体" w:hAnsi="宋体" w:cs="宋体"/>
                <w:b w:val="0"/>
                <w:bCs/>
                <w:color w:val="000000" w:themeColor="text1"/>
                <w:szCs w:val="21"/>
                <w14:textFill>
                  <w14:solidFill>
                    <w14:schemeClr w14:val="tx1"/>
                  </w14:solidFill>
                </w14:textFill>
              </w:rPr>
              <w:t>财会</w:t>
            </w:r>
            <w:r>
              <w:rPr>
                <w:rFonts w:hint="eastAsia" w:ascii="宋体" w:hAnsi="宋体" w:cs="宋体"/>
                <w:b w:val="0"/>
                <w:bCs/>
                <w:color w:val="000000" w:themeColor="text1"/>
                <w:szCs w:val="21"/>
                <w:lang w:eastAsia="zh-CN"/>
                <w14:textFill>
                  <w14:solidFill>
                    <w14:schemeClr w14:val="tx1"/>
                  </w14:solidFill>
                </w14:textFill>
              </w:rPr>
              <w:t>〔2023〕15号</w:t>
            </w:r>
            <w:r>
              <w:rPr>
                <w:rFonts w:hint="eastAsia" w:ascii="宋体" w:hAnsi="宋体" w:cs="宋体"/>
                <w:b w:val="0"/>
                <w:bCs/>
                <w:color w:val="000000" w:themeColor="text1"/>
                <w:szCs w:val="21"/>
                <w14:textFill>
                  <w14:solidFill>
                    <w14:schemeClr w14:val="tx1"/>
                  </w14:solidFill>
                </w14:textFill>
              </w:rPr>
              <w:t>”文件要求在注册会计师行业统一监管平台报备并赋予验证码），财务状况良好，财务报表真实准确、清晰（202</w:t>
            </w:r>
            <w:r>
              <w:rPr>
                <w:rFonts w:hint="eastAsia" w:ascii="宋体" w:hAnsi="宋体" w:cs="宋体"/>
                <w:b w:val="0"/>
                <w:bCs/>
                <w:color w:val="000000" w:themeColor="text1"/>
                <w:szCs w:val="21"/>
                <w:lang w:val="en-US" w:eastAsia="zh-CN"/>
                <w14:textFill>
                  <w14:solidFill>
                    <w14:schemeClr w14:val="tx1"/>
                  </w14:solidFill>
                </w14:textFill>
              </w:rPr>
              <w:t>5</w:t>
            </w:r>
            <w:r>
              <w:rPr>
                <w:rFonts w:hint="eastAsia" w:ascii="宋体" w:hAnsi="宋体" w:cs="宋体"/>
                <w:b w:val="0"/>
                <w:bCs/>
                <w:color w:val="000000" w:themeColor="text1"/>
                <w:szCs w:val="21"/>
                <w14:textFill>
                  <w14:solidFill>
                    <w14:schemeClr w14:val="tx1"/>
                  </w14:solidFill>
                </w14:textFill>
              </w:rPr>
              <w:t>年7月至今新成立的公司提供银行资信证明</w:t>
            </w:r>
            <w:r>
              <w:rPr>
                <w:rFonts w:hint="eastAsia" w:ascii="宋体" w:hAnsi="宋体" w:cs="宋体"/>
                <w:b w:val="0"/>
                <w:bCs/>
                <w:color w:val="000000" w:themeColor="text1"/>
                <w:szCs w:val="21"/>
                <w:lang w:eastAsia="zh-CN"/>
                <w14:textFill>
                  <w14:solidFill>
                    <w14:schemeClr w14:val="tx1"/>
                  </w14:solidFill>
                </w14:textFill>
              </w:rPr>
              <w:t>，</w:t>
            </w:r>
            <w:r>
              <w:rPr>
                <w:rFonts w:hint="eastAsia" w:ascii="宋体" w:hAnsi="宋体" w:cs="宋体"/>
                <w:b w:val="0"/>
                <w:bCs/>
                <w:color w:val="000000" w:themeColor="text1"/>
                <w:szCs w:val="21"/>
                <w14:textFill>
                  <w14:solidFill>
                    <w14:schemeClr w14:val="tx1"/>
                  </w14:solidFill>
                </w14:textFill>
              </w:rPr>
              <w:t>此项要求可不列入废标条款）。（联合体参与投标的，本项由牵头人提供）</w:t>
            </w:r>
          </w:p>
          <w:p w14:paraId="0B3C2C01">
            <w:pPr>
              <w:spacing w:line="320" w:lineRule="exact"/>
              <w:ind w:right="-109" w:rightChars="-52"/>
              <w:rPr>
                <w:rFonts w:hint="eastAsia" w:ascii="宋体" w:hAnsi="宋体" w:cs="宋体"/>
                <w:b w:val="0"/>
                <w:bCs/>
                <w:color w:val="000000" w:themeColor="text1"/>
                <w:szCs w:val="21"/>
                <w14:textFill>
                  <w14:solidFill>
                    <w14:schemeClr w14:val="tx1"/>
                  </w14:solidFill>
                </w14:textFill>
              </w:rPr>
            </w:pPr>
            <w:r>
              <w:rPr>
                <w:rFonts w:hint="eastAsia" w:ascii="宋体" w:hAnsi="宋体" w:cs="宋体"/>
                <w:b/>
                <w:bCs w:val="0"/>
                <w:color w:val="000000" w:themeColor="text1"/>
                <w:szCs w:val="21"/>
                <w14:textFill>
                  <w14:solidFill>
                    <w14:schemeClr w14:val="tx1"/>
                  </w14:solidFill>
                </w14:textFill>
              </w:rPr>
              <w:t>信誉要求：</w:t>
            </w:r>
            <w:r>
              <w:rPr>
                <w:rFonts w:hint="eastAsia" w:ascii="宋体" w:hAnsi="宋体" w:cs="宋体"/>
                <w:b w:val="0"/>
                <w:bCs/>
                <w:color w:val="000000" w:themeColor="text1"/>
                <w:szCs w:val="21"/>
                <w14:textFill>
                  <w14:solidFill>
                    <w14:schemeClr w14:val="tx1"/>
                  </w14:solidFill>
                </w14:textFill>
              </w:rPr>
              <w:t>（1）投标人信誉良好，当前未被行政主管部门暂停或取消投标资格，没有处于被责令停业，财产被接管、冻结，破产状态，未列入“信用中国”网站（http://www.creditchina.gov.cn/）的失信被执行人。（2）本次投标中无弄虚作假行为。</w:t>
            </w:r>
          </w:p>
          <w:p w14:paraId="487D913B">
            <w:pPr>
              <w:spacing w:line="320" w:lineRule="exact"/>
              <w:ind w:right="-109" w:rightChars="-52"/>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施工企业其他人员要求：</w:t>
            </w:r>
          </w:p>
          <w:p w14:paraId="4CC089AC">
            <w:pPr>
              <w:spacing w:line="320" w:lineRule="exact"/>
              <w:jc w:val="left"/>
              <w:rPr>
                <w:rFonts w:hint="eastAsia" w:ascii="宋体" w:hAnsi="宋体" w:cs="宋体"/>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企业主要负责人：</w:t>
            </w:r>
            <w:r>
              <w:rPr>
                <w:rFonts w:hint="eastAsia" w:ascii="宋体" w:hAnsi="宋体" w:cs="宋体"/>
                <w:bCs/>
                <w:color w:val="000000" w:themeColor="text1"/>
                <w:szCs w:val="21"/>
                <w14:textFill>
                  <w14:solidFill>
                    <w14:schemeClr w14:val="tx1"/>
                  </w14:solidFill>
                </w14:textFill>
              </w:rPr>
              <w:t>持有安全生产考核合格证（A证），证书在有效期内。</w:t>
            </w:r>
          </w:p>
          <w:p w14:paraId="5EF4FD3C">
            <w:pPr>
              <w:spacing w:line="320" w:lineRule="exact"/>
              <w:jc w:val="lef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项目技术负责人（施工工地）：</w:t>
            </w:r>
            <w:r>
              <w:rPr>
                <w:rFonts w:hint="eastAsia" w:ascii="宋体" w:hAnsi="宋体" w:cs="宋体"/>
                <w:bCs/>
                <w:color w:val="000000" w:themeColor="text1"/>
                <w:szCs w:val="21"/>
                <w14:textFill>
                  <w14:solidFill>
                    <w14:schemeClr w14:val="tx1"/>
                  </w14:solidFill>
                </w14:textFill>
              </w:rPr>
              <w:t>具有工程类</w:t>
            </w:r>
            <w:r>
              <w:rPr>
                <w:rFonts w:hint="eastAsia" w:ascii="宋体" w:hAnsi="宋体" w:cs="宋体"/>
                <w:bCs/>
                <w:color w:val="000000" w:themeColor="text1"/>
                <w:szCs w:val="21"/>
                <w:lang w:val="en-US" w:eastAsia="zh-CN"/>
                <w14:textFill>
                  <w14:solidFill>
                    <w14:schemeClr w14:val="tx1"/>
                  </w14:solidFill>
                </w14:textFill>
              </w:rPr>
              <w:t>高级</w:t>
            </w:r>
            <w:r>
              <w:rPr>
                <w:rFonts w:hint="eastAsia" w:ascii="宋体" w:hAnsi="宋体" w:cs="宋体"/>
                <w:bCs/>
                <w:color w:val="000000" w:themeColor="text1"/>
                <w:szCs w:val="21"/>
                <w14:textFill>
                  <w14:solidFill>
                    <w14:schemeClr w14:val="tx1"/>
                  </w14:solidFill>
                </w14:textFill>
              </w:rPr>
              <w:t>及以上技术职称。</w:t>
            </w:r>
          </w:p>
          <w:p w14:paraId="77A46427">
            <w:pPr>
              <w:spacing w:line="320" w:lineRule="exact"/>
              <w:jc w:val="left"/>
              <w:rPr>
                <w:rFonts w:hint="eastAsia" w:ascii="宋体" w:hAnsi="宋体" w:cs="宋体"/>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专职施工员：</w:t>
            </w:r>
            <w:r>
              <w:rPr>
                <w:rFonts w:hint="eastAsia" w:ascii="宋体" w:hAnsi="宋体" w:cs="宋体"/>
                <w:bCs/>
                <w:color w:val="000000" w:themeColor="text1"/>
                <w:szCs w:val="21"/>
                <w14:textFill>
                  <w14:solidFill>
                    <w14:schemeClr w14:val="tx1"/>
                  </w14:solidFill>
                </w14:textFill>
              </w:rPr>
              <w:t>持施工员证，证书在有效期内。</w:t>
            </w:r>
          </w:p>
          <w:p w14:paraId="580E7D19">
            <w:pPr>
              <w:spacing w:line="320" w:lineRule="exact"/>
              <w:jc w:val="left"/>
              <w:rPr>
                <w:rFonts w:hint="eastAsia" w:ascii="宋体" w:hAnsi="宋体" w:cs="宋体"/>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专职安全员：</w:t>
            </w:r>
            <w:r>
              <w:rPr>
                <w:rFonts w:hint="eastAsia" w:ascii="宋体" w:hAnsi="宋体" w:cs="宋体"/>
                <w:bCs/>
                <w:color w:val="000000" w:themeColor="text1"/>
                <w:szCs w:val="21"/>
                <w14:textFill>
                  <w14:solidFill>
                    <w14:schemeClr w14:val="tx1"/>
                  </w14:solidFill>
                </w14:textFill>
              </w:rPr>
              <w:t>持有安全生产考核合格证（C证），证书在有效期内。</w:t>
            </w:r>
          </w:p>
          <w:p w14:paraId="7D1AA711">
            <w:pPr>
              <w:spacing w:line="320" w:lineRule="exact"/>
              <w:jc w:val="lef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专职质量员：</w:t>
            </w:r>
            <w:r>
              <w:rPr>
                <w:rFonts w:hint="eastAsia" w:ascii="宋体" w:hAnsi="宋体" w:cs="宋体"/>
                <w:bCs/>
                <w:color w:val="000000" w:themeColor="text1"/>
                <w:szCs w:val="21"/>
                <w14:textFill>
                  <w14:solidFill>
                    <w14:schemeClr w14:val="tx1"/>
                  </w14:solidFill>
                </w14:textFill>
              </w:rPr>
              <w:t>持有专职质量员证，证书在有效期内。</w:t>
            </w:r>
          </w:p>
          <w:p w14:paraId="304A2412">
            <w:pPr>
              <w:spacing w:line="320" w:lineRule="exact"/>
              <w:jc w:val="left"/>
              <w:rPr>
                <w:rFonts w:hint="eastAsia" w:ascii="宋体" w:hAnsi="宋体" w:cs="宋体"/>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标准员：</w:t>
            </w:r>
            <w:r>
              <w:rPr>
                <w:rFonts w:hint="eastAsia" w:ascii="宋体" w:hAnsi="宋体" w:cs="宋体"/>
                <w:bCs/>
                <w:color w:val="000000" w:themeColor="text1"/>
                <w:szCs w:val="21"/>
                <w14:textFill>
                  <w14:solidFill>
                    <w14:schemeClr w14:val="tx1"/>
                  </w14:solidFill>
                </w14:textFill>
              </w:rPr>
              <w:t>持标准员证，证书在有效期内。</w:t>
            </w:r>
          </w:p>
          <w:p w14:paraId="59E0F637">
            <w:pPr>
              <w:spacing w:line="320" w:lineRule="exact"/>
              <w:jc w:val="lef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其他要求：</w:t>
            </w:r>
          </w:p>
          <w:p w14:paraId="01430F62">
            <w:pPr>
              <w:spacing w:line="320" w:lineRule="exact"/>
              <w:jc w:val="lef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1、拟派往本项目的项目经理、施工负责人不得担任其他在建项目的项目负责人，且项目的项目经理、施工负责人、设计负责人</w:t>
            </w:r>
            <w:r>
              <w:rPr>
                <w:rFonts w:hint="eastAsia" w:ascii="宋体" w:hAnsi="宋体" w:cs="宋体"/>
                <w:b/>
                <w:color w:val="000000" w:themeColor="text1"/>
                <w:szCs w:val="21"/>
                <w:lang w:eastAsia="zh-CN"/>
                <w14:textFill>
                  <w14:solidFill>
                    <w14:schemeClr w14:val="tx1"/>
                  </w14:solidFill>
                </w14:textFill>
              </w:rPr>
              <w:t>、</w:t>
            </w:r>
            <w:r>
              <w:rPr>
                <w:rFonts w:hint="eastAsia" w:ascii="宋体" w:hAnsi="宋体" w:cs="宋体"/>
                <w:b/>
                <w:color w:val="000000" w:themeColor="text1"/>
                <w:szCs w:val="21"/>
                <w:lang w:val="en-US" w:eastAsia="zh-CN"/>
                <w14:textFill>
                  <w14:solidFill>
                    <w14:schemeClr w14:val="tx1"/>
                  </w14:solidFill>
                </w14:textFill>
              </w:rPr>
              <w:t>设备项目负责人、新能源项目负责人</w:t>
            </w:r>
            <w:r>
              <w:rPr>
                <w:rFonts w:hint="eastAsia" w:ascii="宋体" w:hAnsi="宋体" w:cs="宋体"/>
                <w:b/>
                <w:color w:val="000000" w:themeColor="text1"/>
                <w:szCs w:val="21"/>
                <w14:textFill>
                  <w14:solidFill>
                    <w14:schemeClr w14:val="tx1"/>
                  </w14:solidFill>
                </w14:textFill>
              </w:rPr>
              <w:t>须常驻施工现场。（自行承诺，格式自拟）</w:t>
            </w:r>
          </w:p>
          <w:p w14:paraId="3B8CDD5D">
            <w:pPr>
              <w:spacing w:line="320" w:lineRule="exact"/>
              <w:jc w:val="lef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2、上述拟投入项目组成员要求均须为本单位人员，并提供社保（养老保险）缴费证明材料。</w:t>
            </w:r>
          </w:p>
        </w:tc>
      </w:tr>
      <w:tr w14:paraId="6119CAC2">
        <w:tblPrEx>
          <w:tblCellMar>
            <w:top w:w="0" w:type="dxa"/>
            <w:left w:w="108" w:type="dxa"/>
            <w:bottom w:w="0" w:type="dxa"/>
            <w:right w:w="108" w:type="dxa"/>
          </w:tblCellMar>
        </w:tblPrEx>
        <w:trPr>
          <w:trHeight w:val="1819" w:hRule="atLeast"/>
        </w:trPr>
        <w:tc>
          <w:tcPr>
            <w:tcW w:w="1254" w:type="dxa"/>
            <w:tcBorders>
              <w:top w:val="single" w:color="auto" w:sz="4" w:space="0"/>
              <w:left w:val="single" w:color="auto" w:sz="4" w:space="0"/>
              <w:bottom w:val="single" w:color="auto" w:sz="4" w:space="0"/>
              <w:right w:val="single" w:color="auto" w:sz="4" w:space="0"/>
            </w:tcBorders>
            <w:vAlign w:val="center"/>
          </w:tcPr>
          <w:p w14:paraId="0B3D66CF">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1.4.2</w:t>
            </w:r>
          </w:p>
        </w:tc>
        <w:tc>
          <w:tcPr>
            <w:tcW w:w="2030" w:type="dxa"/>
            <w:tcBorders>
              <w:top w:val="single" w:color="auto" w:sz="4" w:space="0"/>
              <w:left w:val="single" w:color="auto" w:sz="4" w:space="0"/>
              <w:bottom w:val="single" w:color="auto" w:sz="4" w:space="0"/>
              <w:right w:val="single" w:color="auto" w:sz="4" w:space="0"/>
            </w:tcBorders>
            <w:vAlign w:val="center"/>
          </w:tcPr>
          <w:p w14:paraId="741308D7">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是否接受联合体投标</w:t>
            </w:r>
          </w:p>
        </w:tc>
        <w:tc>
          <w:tcPr>
            <w:tcW w:w="6610" w:type="dxa"/>
            <w:tcBorders>
              <w:top w:val="single" w:color="auto" w:sz="4" w:space="0"/>
              <w:left w:val="single" w:color="auto" w:sz="4" w:space="0"/>
              <w:bottom w:val="single" w:color="auto" w:sz="4" w:space="0"/>
              <w:right w:val="single" w:color="auto" w:sz="4" w:space="0"/>
            </w:tcBorders>
            <w:vAlign w:val="center"/>
          </w:tcPr>
          <w:p w14:paraId="457E4E0C">
            <w:pPr>
              <w:spacing w:line="32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r>
              <w:rPr>
                <w:rFonts w:hint="eastAsia" w:ascii="宋体" w:hAnsi="宋体" w:cs="宋体"/>
                <w:color w:val="000000" w:themeColor="text1"/>
                <w14:textFill>
                  <w14:solidFill>
                    <w14:schemeClr w14:val="tx1"/>
                  </w14:solidFill>
                </w14:textFill>
              </w:rPr>
              <w:t>接受，应满足下列要求：</w:t>
            </w:r>
          </w:p>
          <w:p w14:paraId="25901AC9">
            <w:pPr>
              <w:spacing w:line="320" w:lineRule="exact"/>
              <w:ind w:right="-109" w:rightChars="-52"/>
              <w:rPr>
                <w:rFonts w:hint="eastAsia" w:ascii="宋体" w:hAnsi="宋体" w:cs="宋体"/>
                <w:color w:val="000000" w:themeColor="text1"/>
                <w:szCs w:val="21"/>
                <w14:textFill>
                  <w14:solidFill>
                    <w14:schemeClr w14:val="tx1"/>
                  </w14:solidFill>
                </w14:textFill>
              </w:rPr>
            </w:pPr>
            <w:r>
              <w:rPr>
                <w:rFonts w:hint="eastAsia" w:ascii="宋体" w:hAnsi="宋体" w:cs="宋体"/>
                <w:bCs/>
                <w:color w:val="auto"/>
                <w:szCs w:val="21"/>
              </w:rPr>
              <w:t>联合体成员必须具有</w:t>
            </w:r>
            <w:r>
              <w:rPr>
                <w:rFonts w:hint="eastAsia" w:ascii="宋体" w:hAnsi="宋体" w:cs="宋体"/>
                <w:color w:val="auto"/>
              </w:rPr>
              <w:t>勘察、</w:t>
            </w:r>
            <w:r>
              <w:rPr>
                <w:rFonts w:hint="eastAsia" w:ascii="宋体" w:hAnsi="宋体" w:cs="宋体"/>
                <w:bCs/>
                <w:color w:val="auto"/>
                <w:szCs w:val="21"/>
              </w:rPr>
              <w:t>设计、施工</w:t>
            </w:r>
            <w:r>
              <w:rPr>
                <w:rFonts w:hint="eastAsia" w:ascii="宋体" w:hAnsi="宋体" w:cs="宋体"/>
                <w:bCs/>
                <w:color w:val="auto"/>
                <w:szCs w:val="21"/>
                <w:lang w:val="en-US" w:eastAsia="zh-CN"/>
              </w:rPr>
              <w:t>等</w:t>
            </w:r>
            <w:r>
              <w:rPr>
                <w:rFonts w:hint="eastAsia" w:ascii="宋体" w:hAnsi="宋体" w:cs="宋体"/>
                <w:bCs/>
                <w:color w:val="auto"/>
                <w:szCs w:val="21"/>
              </w:rPr>
              <w:t>资质。联合体双方签订联合体协议书后，不得再以自己名义单独参与本项目投标，也不得组成或参加其他联合体参与本项目投标。</w:t>
            </w:r>
          </w:p>
        </w:tc>
      </w:tr>
      <w:tr w14:paraId="05932118">
        <w:tblPrEx>
          <w:tblCellMar>
            <w:top w:w="0" w:type="dxa"/>
            <w:left w:w="108" w:type="dxa"/>
            <w:bottom w:w="0" w:type="dxa"/>
            <w:right w:w="108" w:type="dxa"/>
          </w:tblCellMar>
        </w:tblPrEx>
        <w:trPr>
          <w:trHeight w:val="793" w:hRule="atLeast"/>
        </w:trPr>
        <w:tc>
          <w:tcPr>
            <w:tcW w:w="1254" w:type="dxa"/>
            <w:tcBorders>
              <w:top w:val="single" w:color="auto" w:sz="4" w:space="0"/>
              <w:left w:val="single" w:color="auto" w:sz="4" w:space="0"/>
              <w:bottom w:val="single" w:color="auto" w:sz="4" w:space="0"/>
              <w:right w:val="single" w:color="auto" w:sz="4" w:space="0"/>
            </w:tcBorders>
            <w:vAlign w:val="center"/>
          </w:tcPr>
          <w:p w14:paraId="41DC015E">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1.5</w:t>
            </w:r>
          </w:p>
        </w:tc>
        <w:tc>
          <w:tcPr>
            <w:tcW w:w="2030" w:type="dxa"/>
            <w:tcBorders>
              <w:top w:val="single" w:color="auto" w:sz="4" w:space="0"/>
              <w:left w:val="single" w:color="auto" w:sz="4" w:space="0"/>
              <w:bottom w:val="single" w:color="auto" w:sz="4" w:space="0"/>
              <w:right w:val="single" w:color="auto" w:sz="4" w:space="0"/>
            </w:tcBorders>
            <w:vAlign w:val="center"/>
          </w:tcPr>
          <w:p w14:paraId="5C2380D0">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w w:val="90"/>
                <w:szCs w:val="21"/>
                <w14:textFill>
                  <w14:solidFill>
                    <w14:schemeClr w14:val="tx1"/>
                  </w14:solidFill>
                </w14:textFill>
              </w:rPr>
              <w:t>费用承担和设计成果补偿</w:t>
            </w:r>
          </w:p>
        </w:tc>
        <w:tc>
          <w:tcPr>
            <w:tcW w:w="6610" w:type="dxa"/>
            <w:tcBorders>
              <w:top w:val="single" w:color="auto" w:sz="4" w:space="0"/>
              <w:left w:val="single" w:color="auto" w:sz="4" w:space="0"/>
              <w:bottom w:val="single" w:color="auto" w:sz="4" w:space="0"/>
              <w:right w:val="single" w:color="auto" w:sz="4" w:space="0"/>
            </w:tcBorders>
            <w:vAlign w:val="center"/>
          </w:tcPr>
          <w:p w14:paraId="31A381A1">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☑不补偿</w:t>
            </w:r>
          </w:p>
          <w:p w14:paraId="632695E9">
            <w:pPr>
              <w:spacing w:line="320" w:lineRule="exact"/>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Cs w:val="21"/>
                <w14:textFill>
                  <w14:solidFill>
                    <w14:schemeClr w14:val="tx1"/>
                  </w14:solidFill>
                </w14:textFill>
              </w:rPr>
              <w:t>□补偿，补偿标准：</w:t>
            </w:r>
          </w:p>
        </w:tc>
      </w:tr>
      <w:tr w14:paraId="53BBCB40">
        <w:tblPrEx>
          <w:tblCellMar>
            <w:top w:w="0" w:type="dxa"/>
            <w:left w:w="108" w:type="dxa"/>
            <w:bottom w:w="0" w:type="dxa"/>
            <w:right w:w="108" w:type="dxa"/>
          </w:tblCellMar>
        </w:tblPrEx>
        <w:trPr>
          <w:trHeight w:val="793" w:hRule="atLeast"/>
        </w:trPr>
        <w:tc>
          <w:tcPr>
            <w:tcW w:w="1254" w:type="dxa"/>
            <w:tcBorders>
              <w:top w:val="single" w:color="auto" w:sz="4" w:space="0"/>
              <w:left w:val="single" w:color="auto" w:sz="4" w:space="0"/>
              <w:bottom w:val="single" w:color="auto" w:sz="4" w:space="0"/>
              <w:right w:val="single" w:color="auto" w:sz="4" w:space="0"/>
            </w:tcBorders>
            <w:vAlign w:val="center"/>
          </w:tcPr>
          <w:p w14:paraId="457F9360">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1.9.1</w:t>
            </w:r>
          </w:p>
        </w:tc>
        <w:tc>
          <w:tcPr>
            <w:tcW w:w="2030" w:type="dxa"/>
            <w:tcBorders>
              <w:top w:val="single" w:color="auto" w:sz="4" w:space="0"/>
              <w:left w:val="single" w:color="auto" w:sz="4" w:space="0"/>
              <w:bottom w:val="single" w:color="auto" w:sz="4" w:space="0"/>
              <w:right w:val="single" w:color="auto" w:sz="4" w:space="0"/>
            </w:tcBorders>
            <w:vAlign w:val="center"/>
          </w:tcPr>
          <w:p w14:paraId="5DC768CE">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踏勘</w:t>
            </w:r>
          </w:p>
        </w:tc>
        <w:tc>
          <w:tcPr>
            <w:tcW w:w="6610" w:type="dxa"/>
            <w:tcBorders>
              <w:top w:val="single" w:color="auto" w:sz="4" w:space="0"/>
              <w:left w:val="single" w:color="auto" w:sz="4" w:space="0"/>
              <w:bottom w:val="single" w:color="auto" w:sz="4" w:space="0"/>
              <w:right w:val="single" w:color="auto" w:sz="4" w:space="0"/>
            </w:tcBorders>
            <w:vAlign w:val="center"/>
          </w:tcPr>
          <w:p w14:paraId="0D5A5950">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☑不组织：自行踏勘。</w:t>
            </w:r>
          </w:p>
          <w:p w14:paraId="5C4960F3">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□组织，组织集体踏勘。</w:t>
            </w:r>
          </w:p>
        </w:tc>
      </w:tr>
      <w:tr w14:paraId="027AD4CC">
        <w:tblPrEx>
          <w:tblCellMar>
            <w:top w:w="0" w:type="dxa"/>
            <w:left w:w="108" w:type="dxa"/>
            <w:bottom w:w="0" w:type="dxa"/>
            <w:right w:w="108" w:type="dxa"/>
          </w:tblCellMar>
        </w:tblPrEx>
        <w:trPr>
          <w:trHeight w:val="797" w:hRule="atLeast"/>
        </w:trPr>
        <w:tc>
          <w:tcPr>
            <w:tcW w:w="1254" w:type="dxa"/>
            <w:tcBorders>
              <w:top w:val="single" w:color="auto" w:sz="4" w:space="0"/>
              <w:left w:val="single" w:color="auto" w:sz="4" w:space="0"/>
              <w:bottom w:val="single" w:color="auto" w:sz="4" w:space="0"/>
              <w:right w:val="single" w:color="auto" w:sz="4" w:space="0"/>
            </w:tcBorders>
            <w:vAlign w:val="center"/>
          </w:tcPr>
          <w:p w14:paraId="682447F8">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1.10.1</w:t>
            </w:r>
          </w:p>
        </w:tc>
        <w:tc>
          <w:tcPr>
            <w:tcW w:w="2030" w:type="dxa"/>
            <w:tcBorders>
              <w:top w:val="single" w:color="auto" w:sz="4" w:space="0"/>
              <w:left w:val="single" w:color="auto" w:sz="4" w:space="0"/>
              <w:bottom w:val="single" w:color="auto" w:sz="4" w:space="0"/>
              <w:right w:val="single" w:color="auto" w:sz="4" w:space="0"/>
            </w:tcBorders>
            <w:vAlign w:val="center"/>
          </w:tcPr>
          <w:p w14:paraId="67470ED1">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投标预备会</w:t>
            </w:r>
          </w:p>
        </w:tc>
        <w:tc>
          <w:tcPr>
            <w:tcW w:w="6610" w:type="dxa"/>
            <w:tcBorders>
              <w:top w:val="single" w:color="auto" w:sz="4" w:space="0"/>
              <w:left w:val="single" w:color="auto" w:sz="4" w:space="0"/>
              <w:bottom w:val="single" w:color="auto" w:sz="4" w:space="0"/>
              <w:right w:val="single" w:color="auto" w:sz="4" w:space="0"/>
            </w:tcBorders>
            <w:vAlign w:val="center"/>
          </w:tcPr>
          <w:p w14:paraId="62394483">
            <w:pPr>
              <w:pStyle w:val="15"/>
              <w:spacing w:line="320" w:lineRule="exact"/>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☑不召开</w:t>
            </w:r>
          </w:p>
          <w:p w14:paraId="11B1F33B">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□召开，召开时间：</w:t>
            </w:r>
          </w:p>
          <w:p w14:paraId="2F006331">
            <w:pPr>
              <w:spacing w:line="320" w:lineRule="exact"/>
              <w:ind w:firstLine="840" w:firstLineChars="4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召开地点：</w:t>
            </w:r>
          </w:p>
        </w:tc>
      </w:tr>
      <w:tr w14:paraId="7AE3D94C">
        <w:tblPrEx>
          <w:tblCellMar>
            <w:top w:w="0" w:type="dxa"/>
            <w:left w:w="108" w:type="dxa"/>
            <w:bottom w:w="0" w:type="dxa"/>
            <w:right w:w="108" w:type="dxa"/>
          </w:tblCellMar>
        </w:tblPrEx>
        <w:trPr>
          <w:trHeight w:val="2020" w:hRule="atLeast"/>
        </w:trPr>
        <w:tc>
          <w:tcPr>
            <w:tcW w:w="1254" w:type="dxa"/>
            <w:tcBorders>
              <w:top w:val="single" w:color="auto" w:sz="4" w:space="0"/>
              <w:left w:val="single" w:color="auto" w:sz="4" w:space="0"/>
              <w:bottom w:val="single" w:color="auto" w:sz="4" w:space="0"/>
              <w:right w:val="single" w:color="auto" w:sz="4" w:space="0"/>
            </w:tcBorders>
            <w:vAlign w:val="center"/>
          </w:tcPr>
          <w:p w14:paraId="34AA711C">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1.10.2</w:t>
            </w:r>
          </w:p>
        </w:tc>
        <w:tc>
          <w:tcPr>
            <w:tcW w:w="2030" w:type="dxa"/>
            <w:tcBorders>
              <w:top w:val="single" w:color="auto" w:sz="4" w:space="0"/>
              <w:left w:val="single" w:color="auto" w:sz="4" w:space="0"/>
              <w:bottom w:val="single" w:color="auto" w:sz="4" w:space="0"/>
              <w:right w:val="single" w:color="auto" w:sz="4" w:space="0"/>
            </w:tcBorders>
            <w:vAlign w:val="center"/>
          </w:tcPr>
          <w:p w14:paraId="230D4CE9">
            <w:pPr>
              <w:adjustRightInd w:val="0"/>
              <w:snapToGrid w:val="0"/>
              <w:spacing w:line="320" w:lineRule="exact"/>
              <w:jc w:val="center"/>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投标人提出问题的截止时间和方法</w:t>
            </w:r>
          </w:p>
        </w:tc>
        <w:tc>
          <w:tcPr>
            <w:tcW w:w="6610" w:type="dxa"/>
            <w:tcBorders>
              <w:top w:val="single" w:color="auto" w:sz="4" w:space="0"/>
              <w:left w:val="single" w:color="auto" w:sz="4" w:space="0"/>
              <w:bottom w:val="single" w:color="auto" w:sz="4" w:space="0"/>
              <w:right w:val="single" w:color="auto" w:sz="4" w:space="0"/>
            </w:tcBorders>
            <w:vAlign w:val="center"/>
          </w:tcPr>
          <w:p w14:paraId="7906D5B6">
            <w:pPr>
              <w:spacing w:line="320" w:lineRule="exac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szCs w:val="21"/>
                <w14:textFill>
                  <w14:solidFill>
                    <w14:schemeClr w14:val="tx1"/>
                  </w14:solidFill>
                </w14:textFill>
              </w:rPr>
              <w:t>在投标截止时间10日前，</w:t>
            </w:r>
            <w:r>
              <w:rPr>
                <w:rFonts w:hint="eastAsia" w:ascii="宋体" w:hAnsi="宋体" w:cs="宋体"/>
                <w:color w:val="000000" w:themeColor="text1"/>
                <w:kern w:val="0"/>
                <w14:textFill>
                  <w14:solidFill>
                    <w14:schemeClr w14:val="tx1"/>
                  </w14:solidFill>
                </w14:textFill>
              </w:rPr>
              <w:t>所有获取了招标文件的潜在投标人凭企业数字证书（CA）登录</w:t>
            </w:r>
            <w:r>
              <w:rPr>
                <w:rFonts w:hint="eastAsia" w:ascii="宋体" w:hAnsi="宋体" w:cs="宋体"/>
                <w:color w:val="000000" w:themeColor="text1"/>
                <w14:textFill>
                  <w14:solidFill>
                    <w14:schemeClr w14:val="tx1"/>
                  </w14:solidFill>
                </w14:textFill>
              </w:rPr>
              <w:t>“全国公共资源交易平台（云南省）云南省公共资源交易信息网”（网址：http://ggzy.yn.gov.cn/#/homePage）</w:t>
            </w:r>
            <w:r>
              <w:rPr>
                <w:rFonts w:hint="eastAsia" w:ascii="宋体" w:hAnsi="宋体" w:cs="宋体"/>
                <w:color w:val="000000" w:themeColor="text1"/>
                <w:kern w:val="0"/>
                <w14:textFill>
                  <w14:solidFill>
                    <w14:schemeClr w14:val="tx1"/>
                  </w14:solidFill>
                </w14:textFill>
              </w:rPr>
              <w:t>，通过网络在线方式向招标人或招标代理进行署名提问，招标人或招标代理需对所有潜在</w:t>
            </w:r>
            <w:r>
              <w:rPr>
                <w:rFonts w:hint="eastAsia" w:ascii="宋体" w:hAnsi="宋体" w:cs="宋体"/>
                <w:color w:val="000000" w:themeColor="text1"/>
                <w14:textFill>
                  <w14:solidFill>
                    <w14:schemeClr w14:val="tx1"/>
                  </w14:solidFill>
                </w14:textFill>
              </w:rPr>
              <mc:AlternateContent>
                <mc:Choice Requires="wps">
                  <w:drawing>
                    <wp:anchor distT="0" distB="0" distL="114300" distR="114300" simplePos="0" relativeHeight="251661312" behindDoc="0" locked="0" layoutInCell="1" hidden="1" allowOverlap="1">
                      <wp:simplePos x="0" y="0"/>
                      <wp:positionH relativeFrom="column">
                        <wp:posOffset>-2986405</wp:posOffset>
                      </wp:positionH>
                      <wp:positionV relativeFrom="paragraph">
                        <wp:posOffset>-509905</wp:posOffset>
                      </wp:positionV>
                      <wp:extent cx="63500" cy="63500"/>
                      <wp:effectExtent l="0" t="0" r="0" b="0"/>
                      <wp:wrapNone/>
                      <wp:docPr id="1" name="KGD_Gobal1" descr="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" hidden="1"/>
                      <wp:cNvGraphicFramePr/>
                      <a:graphic xmlns:a="http://schemas.openxmlformats.org/drawingml/2006/main">
                        <a:graphicData uri="http://schemas.microsoft.com/office/word/2010/wordprocessingShape">
                          <wps:wsp>
                            <wps:cNvSpPr/>
                            <wps:spPr>
                              <a:xfrm>
                                <a:off x="0" y="0"/>
                                <a:ext cx="63500" cy="63500"/>
                              </a:xfrm>
                              <a:prstGeom prst="rect">
                                <a:avLst/>
                              </a:prstGeom>
                              <a:solidFill>
                                <a:srgbClr val="FFFFFF"/>
                              </a:solidFill>
                              <a:ln w="9525" cap="flat" cmpd="sng">
                                <a:solidFill>
                                  <a:srgbClr val="000000"/>
                                </a:solidFill>
                                <a:prstDash val="solid"/>
                                <a:miter/>
                                <a:headEnd type="none" w="med" len="med"/>
                                <a:tailEnd type="none" w="med" len="med"/>
                              </a:ln>
                            </wps:spPr>
                            <wps:bodyPr wrap="square" upright="1"/>
                          </wps:wsp>
                        </a:graphicData>
                      </a:graphic>
                    </wp:anchor>
                  </w:drawing>
                </mc:Choice>
                <mc:Fallback>
                  <w:pict>
                    <v:rect id="KGD_Gobal1" o:spid="_x0000_s1026" o:spt="1" alt="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" style="position:absolute;left:0pt;margin-left:-235.15pt;margin-top:-40.15pt;height:5pt;width:5pt;visibility:hidden;z-index:251661312;mso-width-relative:page;mso-height-relative:page;" fillcolor="#FFFFFF" filled="t" stroked="t" coordsize="21600,21600" o:gfxdata="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">
                      <v:fill on="t" focussize="0,0"/>
                      <v:stroke color="#000000" joinstyle="miter"/>
                      <v:imagedata o:title=""/>
                      <o:lock v:ext="edit" aspectratio="f"/>
                    </v:rect>
                  </w:pict>
                </mc:Fallback>
              </mc:AlternateContent>
            </w:r>
            <w:r>
              <w:rPr>
                <w:rFonts w:hint="eastAsia" w:ascii="宋体" w:hAnsi="宋体" w:cs="宋体"/>
                <w:color w:val="000000" w:themeColor="text1"/>
                <w:kern w:val="0"/>
                <w14:textFill>
                  <w14:solidFill>
                    <w14:schemeClr w14:val="tx1"/>
                  </w14:solidFill>
                </w14:textFill>
              </w:rPr>
              <w:t>投标人进行统一回复。</w:t>
            </w:r>
          </w:p>
        </w:tc>
      </w:tr>
      <w:tr w14:paraId="4126AAB1">
        <w:tblPrEx>
          <w:tblCellMar>
            <w:top w:w="0" w:type="dxa"/>
            <w:left w:w="108" w:type="dxa"/>
            <w:bottom w:w="0" w:type="dxa"/>
            <w:right w:w="108" w:type="dxa"/>
          </w:tblCellMar>
        </w:tblPrEx>
        <w:trPr>
          <w:trHeight w:val="1953" w:hRule="atLeast"/>
        </w:trPr>
        <w:tc>
          <w:tcPr>
            <w:tcW w:w="1254" w:type="dxa"/>
            <w:tcBorders>
              <w:top w:val="single" w:color="auto" w:sz="4" w:space="0"/>
              <w:left w:val="single" w:color="auto" w:sz="4" w:space="0"/>
              <w:bottom w:val="single" w:color="auto" w:sz="4" w:space="0"/>
              <w:right w:val="single" w:color="auto" w:sz="4" w:space="0"/>
            </w:tcBorders>
            <w:vAlign w:val="center"/>
          </w:tcPr>
          <w:p w14:paraId="6AF0FC3D">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1.10.3</w:t>
            </w:r>
          </w:p>
        </w:tc>
        <w:tc>
          <w:tcPr>
            <w:tcW w:w="2030" w:type="dxa"/>
            <w:tcBorders>
              <w:top w:val="single" w:color="auto" w:sz="4" w:space="0"/>
              <w:left w:val="single" w:color="auto" w:sz="4" w:space="0"/>
              <w:bottom w:val="single" w:color="auto" w:sz="4" w:space="0"/>
              <w:right w:val="single" w:color="auto" w:sz="4" w:space="0"/>
            </w:tcBorders>
            <w:vAlign w:val="center"/>
          </w:tcPr>
          <w:p w14:paraId="0DA7E92A">
            <w:pPr>
              <w:adjustRightInd w:val="0"/>
              <w:snapToGrid w:val="0"/>
              <w:spacing w:line="320" w:lineRule="exact"/>
              <w:jc w:val="center"/>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招标人澄清的时间和方法</w:t>
            </w:r>
          </w:p>
        </w:tc>
        <w:tc>
          <w:tcPr>
            <w:tcW w:w="6610" w:type="dxa"/>
            <w:tcBorders>
              <w:top w:val="single" w:color="auto" w:sz="4" w:space="0"/>
              <w:left w:val="single" w:color="auto" w:sz="4" w:space="0"/>
              <w:bottom w:val="single" w:color="auto" w:sz="4" w:space="0"/>
              <w:right w:val="single" w:color="auto" w:sz="4" w:space="0"/>
            </w:tcBorders>
            <w:vAlign w:val="center"/>
          </w:tcPr>
          <w:p w14:paraId="30FEE61E">
            <w:pPr>
              <w:spacing w:line="320" w:lineRule="exac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投标截止时间至少15日前，由招标人以补遗书方式按程序报有关主管部门备案后，提交</w:t>
            </w:r>
            <w:r>
              <w:rPr>
                <w:rFonts w:hint="eastAsia" w:ascii="宋体" w:hAnsi="宋体" w:cs="宋体"/>
                <w:color w:val="000000" w:themeColor="text1"/>
                <w:kern w:val="0"/>
                <w:u w:val="single" w:color="4F81BD"/>
                <w14:textFill>
                  <w14:solidFill>
                    <w14:schemeClr w14:val="tx1"/>
                  </w14:solidFill>
                </w14:textFill>
              </w:rPr>
              <w:t>公共资源</w:t>
            </w:r>
            <w:r>
              <w:rPr>
                <w:rFonts w:hint="eastAsia" w:ascii="宋体" w:hAnsi="宋体" w:cs="宋体"/>
                <w:color w:val="000000" w:themeColor="text1"/>
                <w:kern w:val="0"/>
                <w14:textFill>
                  <w14:solidFill>
                    <w14:schemeClr w14:val="tx1"/>
                  </w14:solidFill>
                </w14:textFill>
              </w:rPr>
              <w:t>交易中心统一通过网络向潜在投标人发布，所有获取了招标文件的潜在投标人登录</w:t>
            </w:r>
            <w:r>
              <w:rPr>
                <w:rFonts w:hint="eastAsia" w:ascii="宋体" w:hAnsi="宋体" w:cs="宋体"/>
                <w:color w:val="000000" w:themeColor="text1"/>
                <w14:textFill>
                  <w14:solidFill>
                    <w14:schemeClr w14:val="tx1"/>
                  </w14:solidFill>
                </w14:textFill>
              </w:rPr>
              <w:t>“全国公共资源交易平台（云南省）云南省公共资源交易信息网”（http://ggzy.yn.gov.cn/#/homePage）</w:t>
            </w:r>
            <w:r>
              <w:rPr>
                <w:rFonts w:hint="eastAsia" w:ascii="宋体" w:hAnsi="宋体" w:cs="宋体"/>
                <w:color w:val="000000" w:themeColor="text1"/>
                <w:kern w:val="0"/>
                <w14:textFill>
                  <w14:solidFill>
                    <w14:schemeClr w14:val="tx1"/>
                  </w14:solidFill>
                </w14:textFill>
              </w:rPr>
              <w:t>凭企业身份认证数字证书（CA）查看澄清内容。</w:t>
            </w:r>
          </w:p>
        </w:tc>
      </w:tr>
      <w:tr w14:paraId="1467D034">
        <w:tblPrEx>
          <w:tblCellMar>
            <w:top w:w="0" w:type="dxa"/>
            <w:left w:w="108" w:type="dxa"/>
            <w:bottom w:w="0" w:type="dxa"/>
            <w:right w:w="108" w:type="dxa"/>
          </w:tblCellMar>
        </w:tblPrEx>
        <w:trPr>
          <w:trHeight w:val="1917" w:hRule="atLeast"/>
        </w:trPr>
        <w:tc>
          <w:tcPr>
            <w:tcW w:w="1254" w:type="dxa"/>
            <w:tcBorders>
              <w:top w:val="single" w:color="auto" w:sz="4" w:space="0"/>
              <w:left w:val="single" w:color="auto" w:sz="4" w:space="0"/>
              <w:bottom w:val="single" w:color="auto" w:sz="4" w:space="0"/>
              <w:right w:val="single" w:color="auto" w:sz="4" w:space="0"/>
            </w:tcBorders>
            <w:vAlign w:val="center"/>
          </w:tcPr>
          <w:p w14:paraId="1250F636">
            <w:pPr>
              <w:autoSpaceDE w:val="0"/>
              <w:autoSpaceDN w:val="0"/>
              <w:adjustRightInd w:val="0"/>
              <w:snapToGrid w:val="0"/>
              <w:spacing w:line="320" w:lineRule="exact"/>
              <w:ind w:firstLine="210" w:firstLineChars="100"/>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1.11.2</w:t>
            </w:r>
          </w:p>
        </w:tc>
        <w:tc>
          <w:tcPr>
            <w:tcW w:w="2030" w:type="dxa"/>
            <w:tcBorders>
              <w:top w:val="single" w:color="auto" w:sz="4" w:space="0"/>
              <w:left w:val="single" w:color="auto" w:sz="4" w:space="0"/>
              <w:bottom w:val="single" w:color="auto" w:sz="4" w:space="0"/>
              <w:right w:val="single" w:color="auto" w:sz="4" w:space="0"/>
            </w:tcBorders>
            <w:vAlign w:val="center"/>
          </w:tcPr>
          <w:p w14:paraId="4063B80F">
            <w:pPr>
              <w:autoSpaceDE w:val="0"/>
              <w:autoSpaceDN w:val="0"/>
              <w:adjustRightInd w:val="0"/>
              <w:snapToGrid w:val="0"/>
              <w:spacing w:line="320" w:lineRule="exac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投标人拟分包的工作</w:t>
            </w:r>
          </w:p>
        </w:tc>
        <w:tc>
          <w:tcPr>
            <w:tcW w:w="6610" w:type="dxa"/>
            <w:tcBorders>
              <w:top w:val="single" w:color="auto" w:sz="4" w:space="0"/>
              <w:left w:val="single" w:color="auto" w:sz="4" w:space="0"/>
              <w:bottom w:val="single" w:color="auto" w:sz="4" w:space="0"/>
              <w:right w:val="single" w:color="auto" w:sz="4" w:space="0"/>
            </w:tcBorders>
            <w:vAlign w:val="center"/>
          </w:tcPr>
          <w:p w14:paraId="47F19B09">
            <w:pPr>
              <w:pStyle w:val="15"/>
              <w:topLinePunct/>
              <w:spacing w:line="320" w:lineRule="exact"/>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□不允许</w:t>
            </w:r>
          </w:p>
          <w:p w14:paraId="034D3BCF">
            <w:pPr>
              <w:pStyle w:val="15"/>
              <w:topLinePunct/>
              <w:spacing w:line="320" w:lineRule="exact"/>
              <w:rPr>
                <w:rFonts w:hint="eastAsia" w:hAnsi="宋体" w:cs="宋体"/>
                <w:color w:val="000000" w:themeColor="text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☑允许</w:t>
            </w:r>
            <w:r>
              <w:rPr>
                <w:rFonts w:hint="eastAsia" w:hAnsi="宋体" w:cs="宋体"/>
                <w:color w:val="000000" w:themeColor="text1"/>
                <w:sz w:val="21"/>
                <w:szCs w:val="24"/>
                <w14:textFill>
                  <w14:solidFill>
                    <w14:schemeClr w14:val="tx1"/>
                  </w14:solidFill>
                </w14:textFill>
              </w:rPr>
              <w:t>，根据《房屋建筑和市政基础设施项目工程总承包管理办法》第二十一条工程总承包单位可以采用直接发包的方式进行分包。但以暂估价形式包括在总承包范围内的工程、货物、服务分包时，属于依法必须进行招标的项目范围且达到国家规定规模标准的，应当依法招标。</w:t>
            </w:r>
          </w:p>
        </w:tc>
      </w:tr>
      <w:tr w14:paraId="1D39F76F">
        <w:tblPrEx>
          <w:tblCellMar>
            <w:top w:w="0" w:type="dxa"/>
            <w:left w:w="108" w:type="dxa"/>
            <w:bottom w:w="0" w:type="dxa"/>
            <w:right w:w="108" w:type="dxa"/>
          </w:tblCellMar>
        </w:tblPrEx>
        <w:trPr>
          <w:trHeight w:val="793" w:hRule="atLeast"/>
        </w:trPr>
        <w:tc>
          <w:tcPr>
            <w:tcW w:w="1254" w:type="dxa"/>
            <w:tcBorders>
              <w:top w:val="single" w:color="auto" w:sz="4" w:space="0"/>
              <w:left w:val="single" w:color="auto" w:sz="4" w:space="0"/>
              <w:bottom w:val="single" w:color="auto" w:sz="4" w:space="0"/>
              <w:right w:val="single" w:color="auto" w:sz="4" w:space="0"/>
            </w:tcBorders>
            <w:vAlign w:val="center"/>
          </w:tcPr>
          <w:p w14:paraId="59CBD37E">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1.12</w:t>
            </w:r>
          </w:p>
        </w:tc>
        <w:tc>
          <w:tcPr>
            <w:tcW w:w="2030" w:type="dxa"/>
            <w:tcBorders>
              <w:top w:val="single" w:color="auto" w:sz="4" w:space="0"/>
              <w:left w:val="single" w:color="auto" w:sz="4" w:space="0"/>
              <w:bottom w:val="single" w:color="auto" w:sz="4" w:space="0"/>
              <w:right w:val="single" w:color="auto" w:sz="4" w:space="0"/>
            </w:tcBorders>
            <w:vAlign w:val="center"/>
          </w:tcPr>
          <w:p w14:paraId="10725FAE">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偏离</w:t>
            </w:r>
          </w:p>
        </w:tc>
        <w:tc>
          <w:tcPr>
            <w:tcW w:w="6610" w:type="dxa"/>
            <w:tcBorders>
              <w:top w:val="single" w:color="auto" w:sz="4" w:space="0"/>
              <w:left w:val="single" w:color="auto" w:sz="4" w:space="0"/>
              <w:bottom w:val="single" w:color="auto" w:sz="4" w:space="0"/>
              <w:right w:val="single" w:color="auto" w:sz="4" w:space="0"/>
            </w:tcBorders>
            <w:vAlign w:val="center"/>
          </w:tcPr>
          <w:p w14:paraId="3DDE2BD9">
            <w:pPr>
              <w:pStyle w:val="15"/>
              <w:topLinePunct/>
              <w:spacing w:line="320" w:lineRule="exact"/>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☑不允许      </w:t>
            </w:r>
          </w:p>
          <w:p w14:paraId="0159EE7A">
            <w:pPr>
              <w:pStyle w:val="15"/>
              <w:topLinePunct/>
              <w:spacing w:line="320" w:lineRule="exact"/>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32"/>
                <w:szCs w:val="32"/>
                <w14:textFill>
                  <w14:solidFill>
                    <w14:schemeClr w14:val="tx1"/>
                  </w14:solidFill>
                </w14:textFill>
              </w:rPr>
              <w:t>□</w:t>
            </w:r>
            <w:r>
              <w:rPr>
                <w:rFonts w:hint="eastAsia" w:hAnsi="宋体" w:cs="宋体"/>
                <w:color w:val="000000" w:themeColor="text1"/>
                <w:sz w:val="21"/>
                <w:szCs w:val="21"/>
                <w14:textFill>
                  <w14:solidFill>
                    <w14:schemeClr w14:val="tx1"/>
                  </w14:solidFill>
                </w14:textFill>
              </w:rPr>
              <w:t>允许，允许偏离的内容、偏离范围和幅度</w:t>
            </w:r>
          </w:p>
        </w:tc>
      </w:tr>
      <w:tr w14:paraId="56175DBA">
        <w:tblPrEx>
          <w:tblCellMar>
            <w:top w:w="0" w:type="dxa"/>
            <w:left w:w="108" w:type="dxa"/>
            <w:bottom w:w="0" w:type="dxa"/>
            <w:right w:w="108" w:type="dxa"/>
          </w:tblCellMar>
        </w:tblPrEx>
        <w:trPr>
          <w:trHeight w:val="663" w:hRule="atLeast"/>
        </w:trPr>
        <w:tc>
          <w:tcPr>
            <w:tcW w:w="1254" w:type="dxa"/>
            <w:tcBorders>
              <w:top w:val="single" w:color="auto" w:sz="4" w:space="0"/>
              <w:left w:val="single" w:color="auto" w:sz="4" w:space="0"/>
              <w:bottom w:val="single" w:color="auto" w:sz="4" w:space="0"/>
              <w:right w:val="single" w:color="auto" w:sz="4" w:space="0"/>
            </w:tcBorders>
            <w:vAlign w:val="center"/>
          </w:tcPr>
          <w:p w14:paraId="04B63DF8">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2.1</w:t>
            </w:r>
          </w:p>
        </w:tc>
        <w:tc>
          <w:tcPr>
            <w:tcW w:w="2030" w:type="dxa"/>
            <w:tcBorders>
              <w:top w:val="single" w:color="auto" w:sz="4" w:space="0"/>
              <w:left w:val="single" w:color="auto" w:sz="4" w:space="0"/>
              <w:bottom w:val="single" w:color="auto" w:sz="4" w:space="0"/>
              <w:right w:val="single" w:color="auto" w:sz="4" w:space="0"/>
            </w:tcBorders>
            <w:vAlign w:val="center"/>
          </w:tcPr>
          <w:p w14:paraId="22D3C7F0">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构成招标文件的其他资料</w:t>
            </w:r>
          </w:p>
        </w:tc>
        <w:tc>
          <w:tcPr>
            <w:tcW w:w="6610" w:type="dxa"/>
            <w:tcBorders>
              <w:top w:val="single" w:color="auto" w:sz="4" w:space="0"/>
              <w:left w:val="single" w:color="auto" w:sz="4" w:space="0"/>
              <w:bottom w:val="single" w:color="auto" w:sz="4" w:space="0"/>
              <w:right w:val="single" w:color="auto" w:sz="4" w:space="0"/>
            </w:tcBorders>
            <w:vAlign w:val="center"/>
          </w:tcPr>
          <w:p w14:paraId="67960C54">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无</w:t>
            </w:r>
          </w:p>
        </w:tc>
      </w:tr>
      <w:tr w14:paraId="7D90E9A8">
        <w:tblPrEx>
          <w:tblCellMar>
            <w:top w:w="0" w:type="dxa"/>
            <w:left w:w="108" w:type="dxa"/>
            <w:bottom w:w="0" w:type="dxa"/>
            <w:right w:w="108" w:type="dxa"/>
          </w:tblCellMar>
        </w:tblPrEx>
        <w:trPr>
          <w:trHeight w:val="2180" w:hRule="atLeast"/>
        </w:trPr>
        <w:tc>
          <w:tcPr>
            <w:tcW w:w="1254" w:type="dxa"/>
            <w:tcBorders>
              <w:top w:val="single" w:color="auto" w:sz="4" w:space="0"/>
              <w:left w:val="single" w:color="auto" w:sz="4" w:space="0"/>
              <w:bottom w:val="single" w:color="auto" w:sz="4" w:space="0"/>
              <w:right w:val="single" w:color="auto" w:sz="4" w:space="0"/>
            </w:tcBorders>
            <w:vAlign w:val="center"/>
          </w:tcPr>
          <w:p w14:paraId="742CF042">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2.2.1</w:t>
            </w:r>
          </w:p>
        </w:tc>
        <w:tc>
          <w:tcPr>
            <w:tcW w:w="2030" w:type="dxa"/>
            <w:tcBorders>
              <w:top w:val="single" w:color="auto" w:sz="4" w:space="0"/>
              <w:left w:val="single" w:color="auto" w:sz="4" w:space="0"/>
              <w:bottom w:val="single" w:color="auto" w:sz="4" w:space="0"/>
              <w:right w:val="single" w:color="auto" w:sz="4" w:space="0"/>
            </w:tcBorders>
            <w:vAlign w:val="center"/>
          </w:tcPr>
          <w:p w14:paraId="5E7C2712">
            <w:pPr>
              <w:adjustRightInd w:val="0"/>
              <w:snapToGrid w:val="0"/>
              <w:spacing w:line="320" w:lineRule="exact"/>
              <w:jc w:val="center"/>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投标人要求澄清招标文件的截止时间</w:t>
            </w:r>
          </w:p>
        </w:tc>
        <w:tc>
          <w:tcPr>
            <w:tcW w:w="6610" w:type="dxa"/>
            <w:tcBorders>
              <w:top w:val="single" w:color="auto" w:sz="4" w:space="0"/>
              <w:left w:val="single" w:color="auto" w:sz="4" w:space="0"/>
              <w:bottom w:val="single" w:color="auto" w:sz="4" w:space="0"/>
              <w:right w:val="single" w:color="auto" w:sz="4" w:space="0"/>
            </w:tcBorders>
            <w:vAlign w:val="center"/>
          </w:tcPr>
          <w:p w14:paraId="37EC8684">
            <w:pPr>
              <w:adjustRightInd w:val="0"/>
              <w:snapToGrid w:val="0"/>
              <w:spacing w:line="320" w:lineRule="exac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同1．10．2的时间要求</w:t>
            </w:r>
          </w:p>
          <w:p w14:paraId="0C9E7CD0">
            <w:pPr>
              <w:adjustRightInd w:val="0"/>
              <w:snapToGrid w:val="0"/>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14:textFill>
                  <w14:solidFill>
                    <w14:schemeClr w14:val="tx1"/>
                  </w14:solidFill>
                </w14:textFill>
              </w:rPr>
              <w:t>投标人应仔细阅读和检查招标文件的全部内容。如发现缺页或附件不全，应及时向招标人提出，以便补齐。如有疑问，应在投标人须知前附表规定的时间前以在线不署名提交方式登录</w:t>
            </w:r>
            <w:r>
              <w:rPr>
                <w:rFonts w:hint="eastAsia" w:ascii="宋体" w:hAnsi="宋体" w:cs="宋体"/>
                <w:color w:val="000000" w:themeColor="text1"/>
                <w14:textFill>
                  <w14:solidFill>
                    <w14:schemeClr w14:val="tx1"/>
                  </w14:solidFill>
                </w14:textFill>
              </w:rPr>
              <w:t>“全国公共资源交易平台（云南省）云南省公共资源交易信息网”（网址：http://ggzy.yn.gov.cn/#/homePage）</w:t>
            </w:r>
            <w:r>
              <w:rPr>
                <w:rFonts w:hint="eastAsia" w:ascii="宋体" w:hAnsi="宋体" w:cs="宋体"/>
                <w:color w:val="000000" w:themeColor="text1"/>
                <w:kern w:val="0"/>
                <w14:textFill>
                  <w14:solidFill>
                    <w14:schemeClr w14:val="tx1"/>
                  </w14:solidFill>
                </w14:textFill>
              </w:rPr>
              <w:t>，要求招标人对招标文件予以澄清。</w:t>
            </w:r>
          </w:p>
        </w:tc>
      </w:tr>
      <w:tr w14:paraId="596BE693">
        <w:tblPrEx>
          <w:tblCellMar>
            <w:top w:w="0" w:type="dxa"/>
            <w:left w:w="108" w:type="dxa"/>
            <w:bottom w:w="0" w:type="dxa"/>
            <w:right w:w="108" w:type="dxa"/>
          </w:tblCellMar>
        </w:tblPrEx>
        <w:trPr>
          <w:trHeight w:val="582" w:hRule="atLeast"/>
        </w:trPr>
        <w:tc>
          <w:tcPr>
            <w:tcW w:w="1254" w:type="dxa"/>
            <w:tcBorders>
              <w:top w:val="single" w:color="auto" w:sz="4" w:space="0"/>
              <w:left w:val="single" w:color="auto" w:sz="4" w:space="0"/>
              <w:bottom w:val="single" w:color="auto" w:sz="4" w:space="0"/>
              <w:right w:val="single" w:color="auto" w:sz="4" w:space="0"/>
            </w:tcBorders>
            <w:vAlign w:val="center"/>
          </w:tcPr>
          <w:p w14:paraId="5FB4FEA7">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2.2.2</w:t>
            </w:r>
          </w:p>
        </w:tc>
        <w:tc>
          <w:tcPr>
            <w:tcW w:w="2030" w:type="dxa"/>
            <w:tcBorders>
              <w:top w:val="single" w:color="auto" w:sz="4" w:space="0"/>
              <w:left w:val="single" w:color="auto" w:sz="4" w:space="0"/>
              <w:bottom w:val="single" w:color="auto" w:sz="4" w:space="0"/>
              <w:right w:val="single" w:color="auto" w:sz="4" w:space="0"/>
            </w:tcBorders>
            <w:vAlign w:val="center"/>
          </w:tcPr>
          <w:p w14:paraId="03593CDF">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投标截止时间</w:t>
            </w:r>
          </w:p>
        </w:tc>
        <w:tc>
          <w:tcPr>
            <w:tcW w:w="6610" w:type="dxa"/>
            <w:tcBorders>
              <w:top w:val="single" w:color="auto" w:sz="4" w:space="0"/>
              <w:left w:val="single" w:color="auto" w:sz="4" w:space="0"/>
              <w:bottom w:val="single" w:color="auto" w:sz="4" w:space="0"/>
              <w:right w:val="single" w:color="auto" w:sz="4" w:space="0"/>
            </w:tcBorders>
            <w:vAlign w:val="center"/>
          </w:tcPr>
          <w:p w14:paraId="06930D75">
            <w:pPr>
              <w:spacing w:line="320" w:lineRule="exact"/>
              <w:rPr>
                <w:rFonts w:hint="eastAsia" w:ascii="宋体" w:hAnsi="宋体" w:eastAsia="宋体" w:cs="宋体"/>
                <w:b/>
                <w:color w:val="000000" w:themeColor="text1"/>
                <w:szCs w:val="21"/>
                <w:lang w:eastAsia="zh-CN"/>
                <w14:textFill>
                  <w14:solidFill>
                    <w14:schemeClr w14:val="tx1"/>
                  </w14:solidFill>
                </w14:textFill>
              </w:rPr>
            </w:pPr>
            <w:r>
              <w:rPr>
                <w:rFonts w:hint="eastAsia" w:ascii="宋体" w:hAnsi="宋体" w:cs="宋体"/>
                <w:b/>
                <w:color w:val="000000" w:themeColor="text1"/>
                <w:szCs w:val="21"/>
                <w:lang w:val="en-US" w:eastAsia="zh-CN"/>
                <w14:textFill>
                  <w14:solidFill>
                    <w14:schemeClr w14:val="tx1"/>
                  </w14:solidFill>
                </w14:textFill>
              </w:rPr>
              <w:t>2026</w:t>
            </w:r>
            <w:r>
              <w:rPr>
                <w:rFonts w:hint="eastAsia" w:ascii="宋体" w:hAnsi="宋体" w:cs="宋体"/>
                <w:b/>
                <w:color w:val="000000" w:themeColor="text1"/>
                <w:szCs w:val="21"/>
                <w14:textFill>
                  <w14:solidFill>
                    <w14:schemeClr w14:val="tx1"/>
                  </w14:solidFill>
                </w14:textFill>
              </w:rPr>
              <w:t>年</w:t>
            </w:r>
            <w:r>
              <w:rPr>
                <w:rFonts w:hint="eastAsia" w:ascii="宋体" w:hAnsi="宋体" w:cs="宋体"/>
                <w:b/>
                <w:color w:val="000000" w:themeColor="text1"/>
                <w:szCs w:val="21"/>
                <w:lang w:val="en-US" w:eastAsia="zh-CN"/>
                <w14:textFill>
                  <w14:solidFill>
                    <w14:schemeClr w14:val="tx1"/>
                  </w14:solidFill>
                </w14:textFill>
              </w:rPr>
              <w:t xml:space="preserve">  </w:t>
            </w:r>
            <w:r>
              <w:rPr>
                <w:rFonts w:hint="eastAsia" w:ascii="宋体" w:hAnsi="宋体" w:cs="宋体"/>
                <w:b/>
                <w:color w:val="000000" w:themeColor="text1"/>
                <w:szCs w:val="21"/>
                <w14:textFill>
                  <w14:solidFill>
                    <w14:schemeClr w14:val="tx1"/>
                  </w14:solidFill>
                </w14:textFill>
              </w:rPr>
              <w:t>月</w:t>
            </w:r>
            <w:r>
              <w:rPr>
                <w:rFonts w:hint="eastAsia" w:ascii="宋体" w:hAnsi="宋体" w:cs="宋体"/>
                <w:b/>
                <w:color w:val="000000" w:themeColor="text1"/>
                <w:szCs w:val="21"/>
                <w:lang w:val="en-US" w:eastAsia="zh-CN"/>
                <w14:textFill>
                  <w14:solidFill>
                    <w14:schemeClr w14:val="tx1"/>
                  </w14:solidFill>
                </w14:textFill>
              </w:rPr>
              <w:t xml:space="preserve">  </w:t>
            </w:r>
            <w:r>
              <w:rPr>
                <w:rFonts w:hint="eastAsia" w:ascii="宋体" w:hAnsi="宋体" w:cs="宋体"/>
                <w:b/>
                <w:color w:val="000000" w:themeColor="text1"/>
                <w:szCs w:val="21"/>
                <w14:textFill>
                  <w14:solidFill>
                    <w14:schemeClr w14:val="tx1"/>
                  </w14:solidFill>
                </w14:textFill>
              </w:rPr>
              <w:t>日上午</w:t>
            </w:r>
            <w:r>
              <w:rPr>
                <w:rFonts w:hint="eastAsia" w:ascii="宋体" w:hAnsi="宋体" w:cs="宋体"/>
                <w:b/>
                <w:color w:val="000000" w:themeColor="text1"/>
                <w:szCs w:val="21"/>
                <w:lang w:eastAsia="zh-CN"/>
                <w14:textFill>
                  <w14:solidFill>
                    <w14:schemeClr w14:val="tx1"/>
                  </w14:solidFill>
                </w14:textFill>
              </w:rPr>
              <w:t>8点30分</w:t>
            </w:r>
          </w:p>
        </w:tc>
      </w:tr>
      <w:tr w14:paraId="508D83ED">
        <w:tblPrEx>
          <w:tblCellMar>
            <w:top w:w="0" w:type="dxa"/>
            <w:left w:w="108" w:type="dxa"/>
            <w:bottom w:w="0" w:type="dxa"/>
            <w:right w:w="108" w:type="dxa"/>
          </w:tblCellMar>
        </w:tblPrEx>
        <w:trPr>
          <w:trHeight w:val="1340" w:hRule="atLeast"/>
        </w:trPr>
        <w:tc>
          <w:tcPr>
            <w:tcW w:w="1254" w:type="dxa"/>
            <w:tcBorders>
              <w:top w:val="single" w:color="auto" w:sz="4" w:space="0"/>
              <w:left w:val="single" w:color="auto" w:sz="4" w:space="0"/>
              <w:bottom w:val="single" w:color="auto" w:sz="4" w:space="0"/>
              <w:right w:val="single" w:color="auto" w:sz="4" w:space="0"/>
            </w:tcBorders>
            <w:vAlign w:val="center"/>
          </w:tcPr>
          <w:p w14:paraId="025D403B">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2.2.3</w:t>
            </w:r>
          </w:p>
        </w:tc>
        <w:tc>
          <w:tcPr>
            <w:tcW w:w="2030" w:type="dxa"/>
            <w:tcBorders>
              <w:top w:val="single" w:color="auto" w:sz="4" w:space="0"/>
              <w:left w:val="single" w:color="auto" w:sz="4" w:space="0"/>
              <w:bottom w:val="single" w:color="auto" w:sz="4" w:space="0"/>
              <w:right w:val="single" w:color="auto" w:sz="4" w:space="0"/>
            </w:tcBorders>
            <w:vAlign w:val="center"/>
          </w:tcPr>
          <w:p w14:paraId="4379B9FB">
            <w:pPr>
              <w:adjustRightInd w:val="0"/>
              <w:snapToGrid w:val="0"/>
              <w:spacing w:line="320" w:lineRule="exact"/>
              <w:jc w:val="center"/>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投标人确认收到招标文件澄清的时间</w:t>
            </w:r>
          </w:p>
        </w:tc>
        <w:tc>
          <w:tcPr>
            <w:tcW w:w="6610" w:type="dxa"/>
            <w:tcBorders>
              <w:top w:val="single" w:color="auto" w:sz="4" w:space="0"/>
              <w:left w:val="single" w:color="auto" w:sz="4" w:space="0"/>
              <w:bottom w:val="single" w:color="auto" w:sz="4" w:space="0"/>
              <w:right w:val="single" w:color="auto" w:sz="4" w:space="0"/>
            </w:tcBorders>
            <w:vAlign w:val="center"/>
          </w:tcPr>
          <w:p w14:paraId="65F84CD6">
            <w:pPr>
              <w:adjustRightInd w:val="0"/>
              <w:snapToGrid w:val="0"/>
              <w:spacing w:line="320" w:lineRule="exac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投标人自行登录“</w:t>
            </w:r>
            <w:r>
              <w:rPr>
                <w:rFonts w:hint="eastAsia" w:ascii="宋体" w:hAnsi="宋体" w:cs="宋体"/>
                <w:color w:val="000000" w:themeColor="text1"/>
                <w14:textFill>
                  <w14:solidFill>
                    <w14:schemeClr w14:val="tx1"/>
                  </w14:solidFill>
                </w14:textFill>
              </w:rPr>
              <w:t>全国公共资源交易平台（云南省）云南省公共资源交易信息网</w:t>
            </w:r>
            <w:r>
              <w:rPr>
                <w:rFonts w:hint="eastAsia" w:ascii="宋体" w:hAnsi="宋体" w:cs="宋体"/>
                <w:color w:val="000000" w:themeColor="text1"/>
                <w:szCs w:val="21"/>
                <w14:textFill>
                  <w14:solidFill>
                    <w14:schemeClr w14:val="tx1"/>
                  </w14:solidFill>
                </w14:textFill>
              </w:rPr>
              <w:t>”（网址：</w:t>
            </w:r>
            <w:r>
              <w:rPr>
                <w:rFonts w:hint="eastAsia" w:ascii="宋体" w:hAnsi="宋体" w:cs="宋体"/>
                <w:color w:val="000000" w:themeColor="text1"/>
                <w14:textFill>
                  <w14:solidFill>
                    <w14:schemeClr w14:val="tx1"/>
                  </w14:solidFill>
                </w14:textFill>
              </w:rPr>
              <w:t>http://ggzy.yn.gov.cn/#/homePage</w:t>
            </w:r>
            <w:r>
              <w:rPr>
                <w:rFonts w:hint="eastAsia" w:ascii="宋体" w:hAnsi="宋体" w:cs="宋体"/>
                <w:color w:val="000000" w:themeColor="text1"/>
                <w:szCs w:val="21"/>
                <w14:textFill>
                  <w14:solidFill>
                    <w14:schemeClr w14:val="tx1"/>
                  </w14:solidFill>
                </w14:textFill>
              </w:rPr>
              <w:t>）获取澄清，无须回复确认已收到该澄清。</w:t>
            </w:r>
          </w:p>
        </w:tc>
      </w:tr>
      <w:tr w14:paraId="3211B4C9">
        <w:tblPrEx>
          <w:tblCellMar>
            <w:top w:w="0" w:type="dxa"/>
            <w:left w:w="108" w:type="dxa"/>
            <w:bottom w:w="0" w:type="dxa"/>
            <w:right w:w="108" w:type="dxa"/>
          </w:tblCellMar>
        </w:tblPrEx>
        <w:trPr>
          <w:trHeight w:val="1262" w:hRule="atLeast"/>
        </w:trPr>
        <w:tc>
          <w:tcPr>
            <w:tcW w:w="1254" w:type="dxa"/>
            <w:tcBorders>
              <w:top w:val="single" w:color="auto" w:sz="4" w:space="0"/>
              <w:left w:val="single" w:color="auto" w:sz="4" w:space="0"/>
              <w:bottom w:val="single" w:color="auto" w:sz="4" w:space="0"/>
              <w:right w:val="single" w:color="auto" w:sz="4" w:space="0"/>
            </w:tcBorders>
            <w:vAlign w:val="center"/>
          </w:tcPr>
          <w:p w14:paraId="23278B50">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2.3.1</w:t>
            </w:r>
          </w:p>
        </w:tc>
        <w:tc>
          <w:tcPr>
            <w:tcW w:w="2030" w:type="dxa"/>
            <w:tcBorders>
              <w:top w:val="single" w:color="auto" w:sz="4" w:space="0"/>
              <w:left w:val="single" w:color="auto" w:sz="4" w:space="0"/>
              <w:bottom w:val="single" w:color="auto" w:sz="4" w:space="0"/>
              <w:right w:val="single" w:color="auto" w:sz="4" w:space="0"/>
            </w:tcBorders>
            <w:vAlign w:val="center"/>
          </w:tcPr>
          <w:p w14:paraId="17C6CF4E">
            <w:pPr>
              <w:adjustRightInd w:val="0"/>
              <w:snapToGrid w:val="0"/>
              <w:spacing w:line="320" w:lineRule="exact"/>
              <w:jc w:val="center"/>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投标人确认收到招标文件修改的时间</w:t>
            </w:r>
          </w:p>
        </w:tc>
        <w:tc>
          <w:tcPr>
            <w:tcW w:w="6610" w:type="dxa"/>
            <w:tcBorders>
              <w:top w:val="single" w:color="auto" w:sz="4" w:space="0"/>
              <w:left w:val="single" w:color="auto" w:sz="4" w:space="0"/>
              <w:bottom w:val="single" w:color="auto" w:sz="4" w:space="0"/>
              <w:right w:val="single" w:color="auto" w:sz="4" w:space="0"/>
            </w:tcBorders>
            <w:vAlign w:val="center"/>
          </w:tcPr>
          <w:p w14:paraId="4E2618B1">
            <w:pPr>
              <w:adjustRightInd w:val="0"/>
              <w:snapToGrid w:val="0"/>
              <w:spacing w:line="320" w:lineRule="exac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投标人自行登录</w:t>
            </w:r>
            <w:r>
              <w:rPr>
                <w:rFonts w:hint="eastAsia" w:ascii="宋体" w:hAnsi="宋体" w:cs="宋体"/>
                <w:color w:val="000000" w:themeColor="text1"/>
                <w14:textFill>
                  <w14:solidFill>
                    <w14:schemeClr w14:val="tx1"/>
                  </w14:solidFill>
                </w14:textFill>
              </w:rPr>
              <w:t>“全国公共资源交易平台（云南省）云南省公共资源交易信息网”（网址： http://ggzy.yn.gov.cn/#/homePage）</w:t>
            </w:r>
            <w:r>
              <w:rPr>
                <w:rFonts w:hint="eastAsia" w:ascii="宋体" w:hAnsi="宋体" w:cs="宋体"/>
                <w:color w:val="000000" w:themeColor="text1"/>
                <w:kern w:val="0"/>
                <w14:textFill>
                  <w14:solidFill>
                    <w14:schemeClr w14:val="tx1"/>
                  </w14:solidFill>
                </w14:textFill>
              </w:rPr>
              <w:t>收取修改内容，无须回复确认已收到该修改。</w:t>
            </w:r>
          </w:p>
        </w:tc>
      </w:tr>
      <w:tr w14:paraId="20607EBD">
        <w:tblPrEx>
          <w:tblCellMar>
            <w:top w:w="0" w:type="dxa"/>
            <w:left w:w="108" w:type="dxa"/>
            <w:bottom w:w="0" w:type="dxa"/>
            <w:right w:w="108" w:type="dxa"/>
          </w:tblCellMar>
        </w:tblPrEx>
        <w:trPr>
          <w:trHeight w:val="793" w:hRule="atLeast"/>
        </w:trPr>
        <w:tc>
          <w:tcPr>
            <w:tcW w:w="1254" w:type="dxa"/>
            <w:tcBorders>
              <w:top w:val="single" w:color="auto" w:sz="4" w:space="0"/>
              <w:left w:val="single" w:color="auto" w:sz="4" w:space="0"/>
              <w:bottom w:val="single" w:color="auto" w:sz="4" w:space="0"/>
              <w:right w:val="single" w:color="auto" w:sz="4" w:space="0"/>
            </w:tcBorders>
            <w:vAlign w:val="center"/>
          </w:tcPr>
          <w:p w14:paraId="7E2BCEF7">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3.1.1</w:t>
            </w:r>
          </w:p>
        </w:tc>
        <w:tc>
          <w:tcPr>
            <w:tcW w:w="2030" w:type="dxa"/>
            <w:tcBorders>
              <w:top w:val="single" w:color="auto" w:sz="4" w:space="0"/>
              <w:left w:val="single" w:color="auto" w:sz="4" w:space="0"/>
              <w:bottom w:val="single" w:color="auto" w:sz="4" w:space="0"/>
              <w:right w:val="single" w:color="auto" w:sz="4" w:space="0"/>
            </w:tcBorders>
            <w:vAlign w:val="center"/>
          </w:tcPr>
          <w:p w14:paraId="69963398">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w w:val="90"/>
                <w:szCs w:val="21"/>
                <w14:textFill>
                  <w14:solidFill>
                    <w14:schemeClr w14:val="tx1"/>
                  </w14:solidFill>
                </w14:textFill>
              </w:rPr>
              <w:t>构成投标文件的其他资料</w:t>
            </w:r>
          </w:p>
        </w:tc>
        <w:tc>
          <w:tcPr>
            <w:tcW w:w="6610" w:type="dxa"/>
            <w:tcBorders>
              <w:top w:val="single" w:color="auto" w:sz="4" w:space="0"/>
              <w:left w:val="single" w:color="auto" w:sz="4" w:space="0"/>
              <w:bottom w:val="single" w:color="auto" w:sz="4" w:space="0"/>
              <w:right w:val="single" w:color="auto" w:sz="4" w:space="0"/>
            </w:tcBorders>
            <w:vAlign w:val="center"/>
          </w:tcPr>
          <w:p w14:paraId="2A9E3DB4">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按投标文件格式中的要求提供</w:t>
            </w:r>
          </w:p>
        </w:tc>
      </w:tr>
      <w:tr w14:paraId="3F4D0DDB">
        <w:tblPrEx>
          <w:tblCellMar>
            <w:top w:w="0" w:type="dxa"/>
            <w:left w:w="108" w:type="dxa"/>
            <w:bottom w:w="0" w:type="dxa"/>
            <w:right w:w="108" w:type="dxa"/>
          </w:tblCellMar>
        </w:tblPrEx>
        <w:trPr>
          <w:trHeight w:val="1066" w:hRule="atLeast"/>
        </w:trPr>
        <w:tc>
          <w:tcPr>
            <w:tcW w:w="1254" w:type="dxa"/>
            <w:tcBorders>
              <w:top w:val="single" w:color="auto" w:sz="4" w:space="0"/>
              <w:left w:val="single" w:color="auto" w:sz="4" w:space="0"/>
              <w:bottom w:val="single" w:color="auto" w:sz="4" w:space="0"/>
              <w:right w:val="single" w:color="auto" w:sz="4" w:space="0"/>
            </w:tcBorders>
            <w:vAlign w:val="center"/>
          </w:tcPr>
          <w:p w14:paraId="4EC601E6">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3.2.1</w:t>
            </w:r>
          </w:p>
        </w:tc>
        <w:tc>
          <w:tcPr>
            <w:tcW w:w="2030" w:type="dxa"/>
            <w:tcBorders>
              <w:top w:val="single" w:color="auto" w:sz="4" w:space="0"/>
              <w:left w:val="single" w:color="auto" w:sz="4" w:space="0"/>
              <w:bottom w:val="single" w:color="auto" w:sz="4" w:space="0"/>
              <w:right w:val="single" w:color="auto" w:sz="4" w:space="0"/>
            </w:tcBorders>
            <w:vAlign w:val="center"/>
          </w:tcPr>
          <w:p w14:paraId="6876BAD2">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最高投标限价或其计算方法</w:t>
            </w:r>
          </w:p>
        </w:tc>
        <w:tc>
          <w:tcPr>
            <w:tcW w:w="6610" w:type="dxa"/>
            <w:tcBorders>
              <w:top w:val="single" w:color="auto" w:sz="4" w:space="0"/>
              <w:left w:val="single" w:color="auto" w:sz="4" w:space="0"/>
              <w:bottom w:val="single" w:color="auto" w:sz="4" w:space="0"/>
              <w:right w:val="single" w:color="auto" w:sz="4" w:space="0"/>
            </w:tcBorders>
            <w:vAlign w:val="center"/>
          </w:tcPr>
          <w:p w14:paraId="3C182F45">
            <w:pPr>
              <w:spacing w:line="320" w:lineRule="exact"/>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1、勘察费</w:t>
            </w:r>
            <w:r>
              <w:rPr>
                <w:rFonts w:hint="eastAsia" w:ascii="宋体" w:hAnsi="宋体" w:cs="宋体"/>
                <w:color w:val="000000" w:themeColor="text1"/>
                <w:szCs w:val="21"/>
                <w:lang w:val="en-US" w:eastAsia="zh-CN"/>
                <w14:textFill>
                  <w14:solidFill>
                    <w14:schemeClr w14:val="tx1"/>
                  </w14:solidFill>
                </w14:textFill>
              </w:rPr>
              <w:t>投标</w:t>
            </w:r>
            <w:r>
              <w:rPr>
                <w:rFonts w:hint="eastAsia" w:ascii="宋体" w:hAnsi="宋体" w:cs="宋体"/>
                <w:color w:val="000000" w:themeColor="text1"/>
                <w:szCs w:val="21"/>
                <w14:textFill>
                  <w14:solidFill>
                    <w14:schemeClr w14:val="tx1"/>
                  </w14:solidFill>
                </w14:textFill>
              </w:rPr>
              <w:t>报价</w:t>
            </w:r>
            <w:r>
              <w:rPr>
                <w:rFonts w:hint="eastAsia" w:ascii="宋体" w:hAnsi="宋体" w:cs="宋体"/>
                <w:color w:val="000000" w:themeColor="text1"/>
                <w:szCs w:val="21"/>
                <w:lang w:eastAsia="zh-CN"/>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以</w:t>
            </w:r>
            <w:r>
              <w:rPr>
                <w:rFonts w:hint="eastAsia" w:ascii="宋体" w:hAnsi="宋体" w:cs="宋体"/>
                <w:color w:val="000000" w:themeColor="text1"/>
                <w:szCs w:val="21"/>
                <w:lang w:val="en-US" w:eastAsia="zh-CN"/>
                <w14:textFill>
                  <w14:solidFill>
                    <w14:schemeClr w14:val="tx1"/>
                  </w14:solidFill>
                </w14:textFill>
              </w:rPr>
              <w:t>优惠</w:t>
            </w:r>
            <w:r>
              <w:rPr>
                <w:rFonts w:hint="eastAsia" w:ascii="宋体" w:hAnsi="宋体" w:cs="宋体"/>
                <w:color w:val="000000" w:themeColor="text1"/>
                <w:szCs w:val="21"/>
                <w14:textFill>
                  <w14:solidFill>
                    <w14:schemeClr w14:val="tx1"/>
                  </w14:solidFill>
                </w14:textFill>
              </w:rPr>
              <w:t>率的方式进行报价。</w:t>
            </w:r>
          </w:p>
          <w:p w14:paraId="6D18D835">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2、</w:t>
            </w:r>
            <w:r>
              <w:rPr>
                <w:rFonts w:hint="eastAsia" w:ascii="宋体" w:hAnsi="宋体" w:cs="宋体"/>
                <w:color w:val="000000" w:themeColor="text1"/>
                <w:szCs w:val="21"/>
                <w14:textFill>
                  <w14:solidFill>
                    <w14:schemeClr w14:val="tx1"/>
                  </w14:solidFill>
                </w14:textFill>
              </w:rPr>
              <w:t>设计费投标报价：以</w:t>
            </w:r>
            <w:r>
              <w:rPr>
                <w:rFonts w:hint="eastAsia" w:ascii="宋体" w:hAnsi="宋体" w:cs="宋体"/>
                <w:color w:val="000000" w:themeColor="text1"/>
                <w:szCs w:val="21"/>
                <w:lang w:val="en-US" w:eastAsia="zh-CN"/>
                <w14:textFill>
                  <w14:solidFill>
                    <w14:schemeClr w14:val="tx1"/>
                  </w14:solidFill>
                </w14:textFill>
              </w:rPr>
              <w:t>优惠</w:t>
            </w:r>
            <w:r>
              <w:rPr>
                <w:rFonts w:hint="eastAsia" w:ascii="宋体" w:hAnsi="宋体" w:cs="宋体"/>
                <w:color w:val="000000" w:themeColor="text1"/>
                <w:szCs w:val="21"/>
                <w14:textFill>
                  <w14:solidFill>
                    <w14:schemeClr w14:val="tx1"/>
                  </w14:solidFill>
                </w14:textFill>
              </w:rPr>
              <w:t>率的方式进行报价。</w:t>
            </w:r>
          </w:p>
          <w:p w14:paraId="5400CEDE">
            <w:pPr>
              <w:spacing w:line="3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3</w:t>
            </w:r>
            <w:r>
              <w:rPr>
                <w:rFonts w:hint="eastAsia" w:ascii="宋体" w:hAnsi="宋体" w:cs="宋体"/>
                <w:color w:val="000000" w:themeColor="text1"/>
                <w:szCs w:val="21"/>
                <w14:textFill>
                  <w14:solidFill>
                    <w14:schemeClr w14:val="tx1"/>
                  </w14:solidFill>
                </w14:textFill>
              </w:rPr>
              <w:t>、</w:t>
            </w:r>
            <w:r>
              <w:rPr>
                <w:rFonts w:hint="eastAsia" w:ascii="宋体" w:hAnsi="宋体" w:cs="宋体"/>
                <w:color w:val="000000" w:themeColor="text1"/>
                <w:szCs w:val="21"/>
                <w:lang w:val="en-US" w:eastAsia="zh-CN"/>
                <w14:textFill>
                  <w14:solidFill>
                    <w14:schemeClr w14:val="tx1"/>
                  </w14:solidFill>
                </w14:textFill>
              </w:rPr>
              <w:t>建筑安装工程费</w:t>
            </w:r>
            <w:r>
              <w:rPr>
                <w:rFonts w:hint="eastAsia" w:ascii="宋体" w:hAnsi="宋体" w:cs="宋体"/>
                <w:color w:val="000000" w:themeColor="text1"/>
                <w:szCs w:val="21"/>
                <w:lang w:eastAsia="zh-CN"/>
                <w14:textFill>
                  <w14:solidFill>
                    <w14:schemeClr w14:val="tx1"/>
                  </w14:solidFill>
                </w14:textFill>
              </w:rPr>
              <w:t>（</w:t>
            </w:r>
            <w:r>
              <w:rPr>
                <w:rFonts w:hint="eastAsia" w:ascii="宋体" w:hAnsi="宋体" w:cs="宋体"/>
                <w:color w:val="000000" w:themeColor="text1"/>
                <w:szCs w:val="21"/>
                <w:lang w:val="en-US" w:eastAsia="zh-CN"/>
                <w14:textFill>
                  <w14:solidFill>
                    <w14:schemeClr w14:val="tx1"/>
                  </w14:solidFill>
                </w14:textFill>
              </w:rPr>
              <w:t>含设备采购安装项目、新能源项目</w:t>
            </w:r>
            <w:r>
              <w:rPr>
                <w:rFonts w:hint="eastAsia" w:ascii="宋体" w:hAnsi="宋体" w:cs="宋体"/>
                <w:color w:val="000000" w:themeColor="text1"/>
                <w:szCs w:val="21"/>
                <w:lang w:eastAsia="zh-CN"/>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投标报价：按建筑安装工程费结算</w:t>
            </w:r>
            <w:r>
              <w:rPr>
                <w:rFonts w:hint="eastAsia" w:ascii="宋体" w:hAnsi="宋体" w:cs="宋体"/>
                <w:color w:val="000000" w:themeColor="text1"/>
                <w:szCs w:val="21"/>
                <w:lang w:val="en-US" w:eastAsia="zh-CN"/>
                <w14:textFill>
                  <w14:solidFill>
                    <w14:schemeClr w14:val="tx1"/>
                  </w14:solidFill>
                </w14:textFill>
              </w:rPr>
              <w:t>优惠率</w:t>
            </w:r>
            <w:r>
              <w:rPr>
                <w:rFonts w:hint="eastAsia" w:ascii="宋体" w:hAnsi="宋体" w:cs="宋体"/>
                <w:color w:val="000000" w:themeColor="text1"/>
                <w:szCs w:val="21"/>
                <w14:textFill>
                  <w14:solidFill>
                    <w14:schemeClr w14:val="tx1"/>
                  </w14:solidFill>
                </w14:textFill>
              </w:rPr>
              <w:t>（%）进行报价。</w:t>
            </w:r>
          </w:p>
        </w:tc>
      </w:tr>
      <w:tr w14:paraId="426B85E7">
        <w:tblPrEx>
          <w:tblCellMar>
            <w:top w:w="0" w:type="dxa"/>
            <w:left w:w="108" w:type="dxa"/>
            <w:bottom w:w="0" w:type="dxa"/>
            <w:right w:w="108" w:type="dxa"/>
          </w:tblCellMar>
        </w:tblPrEx>
        <w:trPr>
          <w:trHeight w:val="1705" w:hRule="atLeast"/>
        </w:trPr>
        <w:tc>
          <w:tcPr>
            <w:tcW w:w="1254" w:type="dxa"/>
            <w:tcBorders>
              <w:top w:val="single" w:color="auto" w:sz="4" w:space="0"/>
              <w:left w:val="single" w:color="auto" w:sz="4" w:space="0"/>
              <w:bottom w:val="single" w:color="auto" w:sz="4" w:space="0"/>
              <w:right w:val="single" w:color="auto" w:sz="4" w:space="0"/>
            </w:tcBorders>
            <w:vAlign w:val="center"/>
          </w:tcPr>
          <w:p w14:paraId="16D0367B">
            <w:pPr>
              <w:spacing w:line="320" w:lineRule="exact"/>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3.2.2</w:t>
            </w:r>
          </w:p>
        </w:tc>
        <w:tc>
          <w:tcPr>
            <w:tcW w:w="2030" w:type="dxa"/>
            <w:tcBorders>
              <w:top w:val="single" w:color="auto" w:sz="4" w:space="0"/>
              <w:left w:val="single" w:color="auto" w:sz="4" w:space="0"/>
              <w:bottom w:val="single" w:color="auto" w:sz="4" w:space="0"/>
              <w:right w:val="single" w:color="auto" w:sz="4" w:space="0"/>
            </w:tcBorders>
            <w:vAlign w:val="center"/>
          </w:tcPr>
          <w:p w14:paraId="59E68306">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投标报价的其他</w:t>
            </w:r>
          </w:p>
          <w:p w14:paraId="3BB3EFB5">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要求</w:t>
            </w:r>
          </w:p>
        </w:tc>
        <w:tc>
          <w:tcPr>
            <w:tcW w:w="6610" w:type="dxa"/>
            <w:tcBorders>
              <w:top w:val="single" w:color="auto" w:sz="4" w:space="0"/>
              <w:left w:val="single" w:color="auto" w:sz="4" w:space="0"/>
              <w:bottom w:val="single" w:color="auto" w:sz="4" w:space="0"/>
              <w:right w:val="single" w:color="auto" w:sz="4" w:space="0"/>
            </w:tcBorders>
            <w:vAlign w:val="center"/>
          </w:tcPr>
          <w:p w14:paraId="0D702874">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1、勘察费报价说明</w:t>
            </w:r>
          </w:p>
          <w:p w14:paraId="5478068A">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（1）勘察投标报价</w:t>
            </w:r>
            <w:r>
              <w:rPr>
                <w:rFonts w:hint="eastAsia" w:ascii="宋体" w:hAnsi="宋体" w:cs="宋体"/>
                <w:color w:val="000000" w:themeColor="text1"/>
                <w:szCs w:val="21"/>
                <w:lang w:eastAsia="zh-CN"/>
                <w14:textFill>
                  <w14:solidFill>
                    <w14:schemeClr w14:val="tx1"/>
                  </w14:solidFill>
                </w14:textFill>
              </w:rPr>
              <w:t>根据</w:t>
            </w:r>
            <w:r>
              <w:rPr>
                <w:rFonts w:hint="eastAsia" w:ascii="宋体" w:hAnsi="宋体" w:cs="宋体"/>
                <w:color w:val="000000" w:themeColor="text1"/>
                <w:szCs w:val="21"/>
                <w14:textFill>
                  <w14:solidFill>
                    <w14:schemeClr w14:val="tx1"/>
                  </w14:solidFill>
                </w14:textFill>
              </w:rPr>
              <w:t>国家发改委《关于进一步放开建设项目专业服务价格的通知》（发改价格</w:t>
            </w:r>
            <w:r>
              <w:rPr>
                <w:rFonts w:hint="eastAsia" w:ascii="宋体" w:hAnsi="宋体" w:cs="宋体"/>
                <w:color w:val="000000" w:themeColor="text1"/>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2015</w:t>
            </w:r>
            <w:r>
              <w:rPr>
                <w:rFonts w:hint="eastAsia" w:ascii="宋体" w:hAnsi="宋体" w:cs="宋体"/>
                <w:color w:val="000000" w:themeColor="text1"/>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299号）的规定，结合市场情况合理报价，应综合考虑项目实施过程中产生的一切费用及各种可能产生风险进行报价，以勘察费招标控制价为</w:t>
            </w:r>
            <w:r>
              <w:rPr>
                <w:rFonts w:hint="eastAsia" w:ascii="宋体" w:hAnsi="宋体" w:cs="宋体"/>
                <w:color w:val="000000" w:themeColor="text1"/>
                <w:szCs w:val="21"/>
                <w:lang w:eastAsia="zh-CN"/>
                <w14:textFill>
                  <w14:solidFill>
                    <w14:schemeClr w14:val="tx1"/>
                  </w14:solidFill>
                </w14:textFill>
              </w:rPr>
              <w:t>计费基数</w:t>
            </w:r>
            <w:r>
              <w:rPr>
                <w:rFonts w:hint="eastAsia" w:ascii="宋体" w:hAnsi="宋体" w:cs="宋体"/>
                <w:color w:val="000000" w:themeColor="text1"/>
                <w:szCs w:val="21"/>
                <w14:textFill>
                  <w14:solidFill>
                    <w14:schemeClr w14:val="tx1"/>
                  </w14:solidFill>
                </w14:textFill>
              </w:rPr>
              <w:t>，按</w:t>
            </w:r>
            <w:r>
              <w:rPr>
                <w:rFonts w:hint="eastAsia" w:ascii="宋体" w:hAnsi="宋体" w:cs="宋体"/>
                <w:color w:val="000000" w:themeColor="text1"/>
                <w:szCs w:val="21"/>
                <w:lang w:val="en-US" w:eastAsia="zh-CN"/>
                <w14:textFill>
                  <w14:solidFill>
                    <w14:schemeClr w14:val="tx1"/>
                  </w14:solidFill>
                </w14:textFill>
              </w:rPr>
              <w:t>下浮</w:t>
            </w:r>
            <w:r>
              <w:rPr>
                <w:rFonts w:hint="eastAsia" w:ascii="宋体" w:hAnsi="宋体" w:cs="宋体"/>
                <w:color w:val="000000" w:themeColor="text1"/>
                <w:szCs w:val="21"/>
                <w14:textFill>
                  <w14:solidFill>
                    <w14:schemeClr w14:val="tx1"/>
                  </w14:solidFill>
                </w14:textFill>
              </w:rPr>
              <w:t>率的方式进行报价。在勘察过程中无论出现何种情况，进尺米价格均不予调整。</w:t>
            </w:r>
          </w:p>
          <w:p w14:paraId="4730E97A">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（2）勘察费结算价=勘察实际完成工程量×[勘察费招标控制价×（1－勘察费</w:t>
            </w:r>
            <w:r>
              <w:rPr>
                <w:rFonts w:hint="eastAsia" w:ascii="宋体" w:hAnsi="宋体" w:cs="宋体"/>
                <w:color w:val="000000" w:themeColor="text1"/>
                <w:szCs w:val="21"/>
                <w:lang w:val="en-US" w:eastAsia="zh-CN"/>
                <w14:textFill>
                  <w14:solidFill>
                    <w14:schemeClr w14:val="tx1"/>
                  </w14:solidFill>
                </w14:textFill>
              </w:rPr>
              <w:t>优惠率</w:t>
            </w:r>
            <w:r>
              <w:rPr>
                <w:rFonts w:hint="eastAsia" w:ascii="宋体" w:hAnsi="宋体" w:cs="宋体"/>
                <w:color w:val="000000" w:themeColor="text1"/>
                <w:szCs w:val="21"/>
                <w14:textFill>
                  <w14:solidFill>
                    <w14:schemeClr w14:val="tx1"/>
                  </w14:solidFill>
                </w14:textFill>
              </w:rPr>
              <w:t>）]。</w:t>
            </w:r>
          </w:p>
          <w:p w14:paraId="0DE81971">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（3）勘察费招标控</w:t>
            </w:r>
            <w:r>
              <w:rPr>
                <w:rFonts w:hint="eastAsia" w:ascii="宋体" w:hAnsi="宋体" w:cs="宋体"/>
                <w:color w:val="000000" w:themeColor="text1"/>
                <w:szCs w:val="21"/>
                <w:highlight w:val="none"/>
                <w14:textFill>
                  <w14:solidFill>
                    <w14:schemeClr w14:val="tx1"/>
                  </w14:solidFill>
                </w14:textFill>
              </w:rPr>
              <w:t>制价：</w:t>
            </w:r>
            <w:r>
              <w:rPr>
                <w:rFonts w:hint="eastAsia" w:ascii="宋体" w:hAnsi="宋体" w:cs="宋体"/>
                <w:color w:val="000000" w:themeColor="text1"/>
                <w:szCs w:val="21"/>
                <w:highlight w:val="none"/>
                <w:lang w:val="en-US" w:eastAsia="zh-CN"/>
                <w14:textFill>
                  <w14:solidFill>
                    <w14:schemeClr w14:val="tx1"/>
                  </w14:solidFill>
                </w14:textFill>
              </w:rPr>
              <w:t>280</w:t>
            </w:r>
            <w:r>
              <w:rPr>
                <w:rFonts w:hint="eastAsia" w:ascii="宋体" w:hAnsi="宋体" w:cs="宋体"/>
                <w:color w:val="000000" w:themeColor="text1"/>
                <w:szCs w:val="21"/>
                <w:highlight w:val="none"/>
                <w:lang w:eastAsia="zh-CN"/>
                <w14:textFill>
                  <w14:solidFill>
                    <w14:schemeClr w14:val="tx1"/>
                  </w14:solidFill>
                </w14:textFill>
              </w:rPr>
              <w:t>元/进尺米</w:t>
            </w:r>
            <w:r>
              <w:rPr>
                <w:rFonts w:hint="eastAsia" w:ascii="宋体" w:hAnsi="宋体" w:cs="宋体"/>
                <w:color w:val="000000" w:themeColor="text1"/>
                <w:szCs w:val="21"/>
                <w:highlight w:val="none"/>
                <w14:textFill>
                  <w14:solidFill>
                    <w14:schemeClr w14:val="tx1"/>
                  </w14:solidFill>
                </w14:textFill>
              </w:rPr>
              <w:t>。投标报价不得超过招标控制价，否则视为</w:t>
            </w:r>
            <w:r>
              <w:rPr>
                <w:rFonts w:hint="eastAsia" w:ascii="宋体" w:hAnsi="宋体" w:cs="宋体"/>
                <w:color w:val="000000" w:themeColor="text1"/>
                <w:szCs w:val="21"/>
                <w14:textFill>
                  <w14:solidFill>
                    <w14:schemeClr w14:val="tx1"/>
                  </w14:solidFill>
                </w14:textFill>
              </w:rPr>
              <w:t>无效标处理。</w:t>
            </w:r>
          </w:p>
          <w:p w14:paraId="4F79C97B">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2、设计费报价说明</w:t>
            </w:r>
          </w:p>
          <w:p w14:paraId="2ABE81B9">
            <w:pPr>
              <w:spacing w:line="3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14:textFill>
                  <w14:solidFill>
                    <w14:schemeClr w14:val="tx1"/>
                  </w14:solidFill>
                </w14:textFill>
              </w:rPr>
              <w:t>（1）设计投标报价根据国家发展改革委《关于进一步放开建设项目专业服务价格的通知》（发改价格〔2015〕299号）的规定，结合市场情况合理报价，应综合考虑项目实施过程中产生的一切费用及各种可能产</w:t>
            </w:r>
            <w:r>
              <w:rPr>
                <w:rFonts w:hint="eastAsia" w:ascii="宋体" w:hAnsi="宋体" w:cs="宋体"/>
                <w:color w:val="000000" w:themeColor="text1"/>
                <w:szCs w:val="21"/>
                <w:highlight w:val="none"/>
                <w14:textFill>
                  <w14:solidFill>
                    <w14:schemeClr w14:val="tx1"/>
                  </w14:solidFill>
                </w14:textFill>
              </w:rPr>
              <w:t>生的风险进行报价。</w:t>
            </w:r>
          </w:p>
          <w:p w14:paraId="1AAC71A6">
            <w:pPr>
              <w:spacing w:line="320" w:lineRule="exact"/>
              <w:rPr>
                <w:rFonts w:hint="eastAsia" w:ascii="宋体" w:hAnsi="宋体" w:cs="宋体"/>
                <w:color w:val="000000"/>
                <w:szCs w:val="21"/>
                <w:highlight w:val="none"/>
              </w:rPr>
            </w:pPr>
            <w:r>
              <w:rPr>
                <w:rFonts w:hint="eastAsia" w:ascii="宋体" w:hAnsi="宋体" w:cs="宋体"/>
                <w:color w:val="000000" w:themeColor="text1"/>
                <w:szCs w:val="21"/>
                <w:highlight w:val="none"/>
                <w14:textFill>
                  <w14:solidFill>
                    <w14:schemeClr w14:val="tx1"/>
                  </w14:solidFill>
                </w14:textFill>
              </w:rPr>
              <w:t>（2）</w:t>
            </w:r>
            <w:r>
              <w:rPr>
                <w:rFonts w:hint="eastAsia" w:ascii="宋体" w:hAnsi="宋体" w:cs="宋体"/>
                <w:color w:val="000000"/>
                <w:szCs w:val="21"/>
                <w:highlight w:val="none"/>
              </w:rPr>
              <w:t>设计费：</w:t>
            </w:r>
            <w:r>
              <w:rPr>
                <w:rFonts w:hint="eastAsia" w:ascii="宋体" w:hAnsi="宋体" w:cs="宋体"/>
                <w:color w:val="000000"/>
                <w:szCs w:val="21"/>
                <w:highlight w:val="none"/>
                <w:lang w:val="en-US" w:eastAsia="zh-CN"/>
              </w:rPr>
              <w:t xml:space="preserve">优惠 </w:t>
            </w:r>
            <w:r>
              <w:rPr>
                <w:rFonts w:hint="eastAsia" w:ascii="宋体" w:hAnsi="宋体" w:cs="宋体"/>
                <w:color w:val="000000"/>
                <w:szCs w:val="21"/>
                <w:highlight w:val="none"/>
              </w:rPr>
              <w:t xml:space="preserve"> %，专业调整系数为1；附加调整系数为1；复杂程度调整系数为1；参照“计价格【2002】10号”中“建筑市政工程各阶段工作量比例表”的规定，本次设计的工作量比例为75%。工程设计收费以投标时填报的下浮比例计算，中标后不再调整。其中包括但不限于本项目主体工程及各附属专业工程的施工图设计（含施工图预算）及施工过程中的深化设计、现场指导与监督、工程质量缺陷责任期内的设计跟踪服务、后续服务及所有为本工程设计所必需的专题研究费用、评审费用、施工期间驻现场设计代表及提供变更设计（包括多次变更）等后续服务的费用、因施工工期的不确定性至施工现场设计服务相应顺延的费用、为完成业主委托的任务产生的必要辅助费用、因设计原因造成的竣工图编制费用，承包人认为有必要计入的其他费用视为已包含在设计报价中，不再单独计费。结算时，</w:t>
            </w:r>
            <w:r>
              <w:rPr>
                <w:rFonts w:hint="eastAsia" w:ascii="宋体" w:hAnsi="宋体" w:cs="宋体"/>
                <w:color w:val="000000"/>
                <w:szCs w:val="21"/>
                <w:highlight w:val="none"/>
                <w:lang w:val="en-US" w:eastAsia="zh-CN"/>
              </w:rPr>
              <w:t>按</w:t>
            </w:r>
            <w:r>
              <w:rPr>
                <w:rFonts w:hint="eastAsia" w:ascii="宋体" w:hAnsi="宋体" w:cs="宋体"/>
                <w:color w:val="000000" w:themeColor="text1"/>
                <w:szCs w:val="21"/>
                <w14:textFill>
                  <w14:solidFill>
                    <w14:schemeClr w14:val="tx1"/>
                  </w14:solidFill>
                </w14:textFill>
              </w:rPr>
              <w:t>第三方造价咨询单位审定</w:t>
            </w:r>
            <w:r>
              <w:rPr>
                <w:rFonts w:hint="eastAsia" w:ascii="宋体" w:hAnsi="宋体" w:cs="宋体"/>
                <w:color w:val="000000"/>
                <w:szCs w:val="21"/>
                <w:highlight w:val="none"/>
              </w:rPr>
              <w:t>的建筑安装工程费为计费额，</w:t>
            </w:r>
            <w:r>
              <w:rPr>
                <w:rFonts w:hint="eastAsia" w:ascii="宋体" w:hAnsi="宋体" w:cs="宋体"/>
                <w:color w:val="000000" w:themeColor="text1"/>
                <w:szCs w:val="21"/>
                <w:highlight w:val="none"/>
                <w:lang w:val="en-US" w:eastAsia="zh-CN"/>
                <w14:textFill>
                  <w14:solidFill>
                    <w14:schemeClr w14:val="tx1"/>
                  </w14:solidFill>
                </w14:textFill>
              </w:rPr>
              <w:t>设计费</w:t>
            </w:r>
            <w:r>
              <w:rPr>
                <w:rFonts w:hint="eastAsia" w:ascii="宋体" w:hAnsi="宋体" w:cs="宋体"/>
                <w:color w:val="000000" w:themeColor="text1"/>
                <w:szCs w:val="21"/>
                <w:highlight w:val="none"/>
                <w14:textFill>
                  <w14:solidFill>
                    <w14:schemeClr w14:val="tx1"/>
                  </w14:solidFill>
                </w14:textFill>
              </w:rPr>
              <w:t>结算价=</w:t>
            </w:r>
            <w:r>
              <w:rPr>
                <w:rFonts w:hint="eastAsia" w:ascii="宋体" w:hAnsi="宋体" w:cs="宋体"/>
                <w:color w:val="000000" w:themeColor="text1"/>
                <w:szCs w:val="21"/>
                <w:highlight w:val="none"/>
                <w:lang w:val="en-US" w:eastAsia="zh-CN"/>
                <w14:textFill>
                  <w14:solidFill>
                    <w14:schemeClr w14:val="tx1"/>
                  </w14:solidFill>
                </w14:textFill>
              </w:rPr>
              <w:t>按</w:t>
            </w:r>
            <w:r>
              <w:rPr>
                <w:rFonts w:hint="eastAsia" w:ascii="宋体" w:hAnsi="宋体" w:cs="宋体"/>
                <w:color w:val="000000" w:themeColor="text1"/>
                <w:szCs w:val="21"/>
                <w14:textFill>
                  <w14:solidFill>
                    <w14:schemeClr w14:val="tx1"/>
                  </w14:solidFill>
                </w14:textFill>
              </w:rPr>
              <w:t>第三方造价咨询单位审定</w:t>
            </w:r>
            <w:r>
              <w:rPr>
                <w:rFonts w:hint="eastAsia" w:ascii="宋体" w:hAnsi="宋体" w:cs="宋体"/>
                <w:color w:val="000000"/>
                <w:szCs w:val="21"/>
                <w:highlight w:val="none"/>
              </w:rPr>
              <w:t>的建筑安装工程费</w:t>
            </w:r>
            <w:r>
              <w:rPr>
                <w:rFonts w:hint="eastAsia" w:ascii="宋体" w:hAnsi="宋体" w:cs="宋体"/>
                <w:color w:val="000000" w:themeColor="text1"/>
                <w:szCs w:val="21"/>
                <w:highlight w:val="none"/>
                <w:lang w:val="en-US" w:eastAsia="zh-CN"/>
                <w14:textFill>
                  <w14:solidFill>
                    <w14:schemeClr w14:val="tx1"/>
                  </w14:solidFill>
                </w14:textFill>
              </w:rPr>
              <w:t>设计费</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招标控制价×（1－</w:t>
            </w:r>
            <w:r>
              <w:rPr>
                <w:rFonts w:hint="eastAsia" w:ascii="宋体" w:hAnsi="宋体" w:cs="宋体"/>
                <w:color w:val="000000" w:themeColor="text1"/>
                <w:szCs w:val="21"/>
                <w:highlight w:val="none"/>
                <w:lang w:val="en-US" w:eastAsia="zh-CN"/>
                <w14:textFill>
                  <w14:solidFill>
                    <w14:schemeClr w14:val="tx1"/>
                  </w14:solidFill>
                </w14:textFill>
              </w:rPr>
              <w:t>设计</w:t>
            </w:r>
            <w:r>
              <w:rPr>
                <w:rFonts w:hint="eastAsia" w:ascii="宋体" w:hAnsi="宋体" w:cs="宋体"/>
                <w:color w:val="000000" w:themeColor="text1"/>
                <w:szCs w:val="21"/>
                <w:highlight w:val="none"/>
                <w14:textFill>
                  <w14:solidFill>
                    <w14:schemeClr w14:val="tx1"/>
                  </w14:solidFill>
                </w14:textFill>
              </w:rPr>
              <w:t>费</w:t>
            </w:r>
            <w:r>
              <w:rPr>
                <w:rFonts w:hint="eastAsia" w:ascii="宋体" w:hAnsi="宋体" w:cs="宋体"/>
                <w:color w:val="000000" w:themeColor="text1"/>
                <w:szCs w:val="21"/>
                <w:highlight w:val="none"/>
                <w:lang w:val="en-US" w:eastAsia="zh-CN"/>
                <w14:textFill>
                  <w14:solidFill>
                    <w14:schemeClr w14:val="tx1"/>
                  </w14:solidFill>
                </w14:textFill>
              </w:rPr>
              <w:t>优惠率</w:t>
            </w:r>
            <w:r>
              <w:rPr>
                <w:rFonts w:hint="eastAsia" w:ascii="宋体" w:hAnsi="宋体" w:cs="宋体"/>
                <w:color w:val="000000" w:themeColor="text1"/>
                <w:szCs w:val="21"/>
                <w:highlight w:val="none"/>
                <w14:textFill>
                  <w14:solidFill>
                    <w14:schemeClr w14:val="tx1"/>
                  </w14:solidFill>
                </w14:textFill>
              </w:rPr>
              <w:t>）]。</w:t>
            </w:r>
          </w:p>
          <w:p w14:paraId="2713D89F">
            <w:pPr>
              <w:spacing w:line="320" w:lineRule="exact"/>
              <w:rPr>
                <w:rFonts w:hint="eastAsia" w:ascii="宋体" w:hAnsi="宋体" w:cs="宋体"/>
                <w:color w:val="8064A2" w:themeColor="accent4"/>
                <w:szCs w:val="21"/>
                <w:highlight w:val="none"/>
                <w14:textFill>
                  <w14:solidFill>
                    <w14:schemeClr w14:val="accent4"/>
                  </w14:solidFill>
                </w14:textFill>
              </w:rPr>
            </w:pPr>
            <w:r>
              <w:rPr>
                <w:rFonts w:hint="eastAsia" w:ascii="宋体" w:hAnsi="宋体" w:cs="宋体"/>
                <w:color w:val="000000"/>
                <w:szCs w:val="21"/>
                <w:highlight w:val="none"/>
                <w:lang w:val="en-US" w:eastAsia="zh-CN"/>
              </w:rPr>
              <w:t>（3）设计</w:t>
            </w:r>
            <w:r>
              <w:rPr>
                <w:rFonts w:hint="eastAsia" w:ascii="宋体" w:hAnsi="宋体" w:cs="宋体"/>
                <w:color w:val="000000"/>
                <w:szCs w:val="21"/>
                <w:highlight w:val="none"/>
              </w:rPr>
              <w:t>费招标控制价：</w:t>
            </w:r>
            <w:r>
              <w:rPr>
                <w:rFonts w:hint="eastAsia" w:ascii="宋体" w:hAnsi="宋体" w:cs="宋体"/>
                <w:color w:val="000000"/>
                <w:szCs w:val="21"/>
                <w:highlight w:val="none"/>
                <w:lang w:val="en-US" w:eastAsia="zh-CN"/>
              </w:rPr>
              <w:t>优惠率</w:t>
            </w:r>
            <w:r>
              <w:rPr>
                <w:rFonts w:hint="eastAsia" w:ascii="宋体" w:hAnsi="宋体" w:cs="宋体"/>
                <w:b w:val="0"/>
                <w:bCs w:val="0"/>
                <w:color w:val="000000"/>
                <w:szCs w:val="21"/>
                <w:highlight w:val="none"/>
              </w:rPr>
              <w:t>不得低于</w:t>
            </w:r>
            <w:r>
              <w:rPr>
                <w:rFonts w:hint="eastAsia" w:ascii="宋体" w:hAnsi="宋体" w:cs="宋体"/>
                <w:b w:val="0"/>
                <w:bCs w:val="0"/>
                <w:color w:val="000000"/>
                <w:szCs w:val="21"/>
                <w:highlight w:val="none"/>
                <w:lang w:val="en-US" w:eastAsia="zh-CN"/>
              </w:rPr>
              <w:t>45</w:t>
            </w:r>
            <w:r>
              <w:rPr>
                <w:rFonts w:hint="eastAsia" w:ascii="宋体" w:hAnsi="宋体" w:cs="宋体"/>
                <w:b w:val="0"/>
                <w:bCs w:val="0"/>
                <w:color w:val="000000"/>
                <w:szCs w:val="21"/>
                <w:highlight w:val="none"/>
              </w:rPr>
              <w:t>%</w:t>
            </w:r>
            <w:r>
              <w:rPr>
                <w:rFonts w:hint="eastAsia" w:ascii="宋体" w:hAnsi="宋体" w:cs="宋体"/>
                <w:color w:val="000000"/>
                <w:szCs w:val="21"/>
                <w:highlight w:val="none"/>
              </w:rPr>
              <w:t>。投标报价不得超过招标控制价，否则视为无效标处理。</w:t>
            </w:r>
            <w:r>
              <w:rPr>
                <w:rFonts w:hint="eastAsia" w:ascii="宋体" w:hAnsi="宋体" w:cs="宋体"/>
                <w:b w:val="0"/>
                <w:bCs w:val="0"/>
                <w:color w:val="000000"/>
                <w:szCs w:val="21"/>
                <w:highlight w:val="none"/>
              </w:rPr>
              <w:t>即报价应为</w:t>
            </w:r>
            <w:r>
              <w:rPr>
                <w:rFonts w:hint="eastAsia" w:ascii="宋体" w:hAnsi="宋体" w:cs="宋体"/>
                <w:b w:val="0"/>
                <w:bCs w:val="0"/>
                <w:color w:val="000000"/>
                <w:szCs w:val="21"/>
                <w:highlight w:val="none"/>
                <w:lang w:val="en-US" w:eastAsia="zh-CN"/>
              </w:rPr>
              <w:t>40.01</w:t>
            </w:r>
            <w:r>
              <w:rPr>
                <w:rFonts w:hint="eastAsia" w:ascii="宋体" w:hAnsi="宋体" w:cs="宋体"/>
                <w:b w:val="0"/>
                <w:bCs w:val="0"/>
                <w:color w:val="000000"/>
                <w:szCs w:val="21"/>
                <w:highlight w:val="none"/>
              </w:rPr>
              <w:t>%、</w:t>
            </w:r>
            <w:r>
              <w:rPr>
                <w:rFonts w:hint="eastAsia" w:ascii="宋体" w:hAnsi="宋体" w:cs="宋体"/>
                <w:b w:val="0"/>
                <w:bCs w:val="0"/>
                <w:color w:val="000000"/>
                <w:szCs w:val="21"/>
                <w:highlight w:val="none"/>
                <w:lang w:val="en-US" w:eastAsia="zh-CN"/>
              </w:rPr>
              <w:t>40.02</w:t>
            </w:r>
            <w:r>
              <w:rPr>
                <w:rFonts w:hint="eastAsia" w:ascii="宋体" w:hAnsi="宋体" w:cs="宋体"/>
                <w:b w:val="0"/>
                <w:bCs w:val="0"/>
                <w:color w:val="000000"/>
                <w:szCs w:val="21"/>
                <w:highlight w:val="none"/>
              </w:rPr>
              <w:t>%、</w:t>
            </w:r>
            <w:r>
              <w:rPr>
                <w:rFonts w:hint="eastAsia" w:ascii="宋体" w:hAnsi="宋体" w:cs="宋体"/>
                <w:b w:val="0"/>
                <w:bCs w:val="0"/>
                <w:color w:val="000000"/>
                <w:szCs w:val="21"/>
                <w:highlight w:val="none"/>
                <w:lang w:val="en-US" w:eastAsia="zh-CN"/>
              </w:rPr>
              <w:t>40.03</w:t>
            </w:r>
            <w:r>
              <w:rPr>
                <w:rFonts w:hint="eastAsia" w:ascii="宋体" w:hAnsi="宋体" w:cs="宋体"/>
                <w:b w:val="0"/>
                <w:bCs w:val="0"/>
                <w:color w:val="000000"/>
                <w:szCs w:val="21"/>
                <w:highlight w:val="none"/>
              </w:rPr>
              <w:t>%……</w:t>
            </w:r>
            <w:r>
              <w:rPr>
                <w:rFonts w:hint="eastAsia" w:ascii="宋体" w:hAnsi="宋体" w:cs="宋体"/>
                <w:b w:val="0"/>
                <w:bCs w:val="0"/>
                <w:color w:val="000000"/>
                <w:szCs w:val="21"/>
                <w:highlight w:val="none"/>
                <w:lang w:val="en-US" w:eastAsia="zh-CN"/>
              </w:rPr>
              <w:t>或</w:t>
            </w:r>
            <w:r>
              <w:rPr>
                <w:rFonts w:hint="eastAsia" w:ascii="宋体" w:hAnsi="宋体" w:cs="宋体"/>
                <w:b w:val="0"/>
                <w:bCs w:val="0"/>
                <w:color w:val="000000"/>
                <w:szCs w:val="21"/>
                <w:highlight w:val="none"/>
              </w:rPr>
              <w:t>以上</w:t>
            </w:r>
            <w:r>
              <w:rPr>
                <w:rFonts w:hint="eastAsia" w:ascii="宋体" w:hAnsi="宋体" w:cs="宋体"/>
                <w:b w:val="0"/>
                <w:bCs w:val="0"/>
                <w:color w:val="000000"/>
                <w:szCs w:val="21"/>
                <w:highlight w:val="none"/>
                <w:lang w:eastAsia="zh-CN"/>
              </w:rPr>
              <w:t>。</w:t>
            </w:r>
          </w:p>
          <w:p w14:paraId="41C9CB0A">
            <w:pPr>
              <w:spacing w:line="3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w:t>
            </w:r>
            <w:r>
              <w:rPr>
                <w:rFonts w:hint="eastAsia" w:ascii="宋体" w:hAnsi="宋体" w:cs="宋体"/>
                <w:color w:val="000000" w:themeColor="text1"/>
                <w:szCs w:val="21"/>
                <w:highlight w:val="none"/>
                <w:lang w:val="en-US" w:eastAsia="zh-CN"/>
                <w14:textFill>
                  <w14:solidFill>
                    <w14:schemeClr w14:val="tx1"/>
                  </w14:solidFill>
                </w14:textFill>
              </w:rPr>
              <w:t>建筑安装工程</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含设备采购安装项目、新能源项目</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报价说明</w:t>
            </w:r>
          </w:p>
          <w:p w14:paraId="4E042B28">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（1）投标报价依据：根据《建设工程</w:t>
            </w:r>
            <w:r>
              <w:rPr>
                <w:rFonts w:hint="eastAsia" w:ascii="宋体" w:hAnsi="宋体" w:cs="宋体"/>
                <w:color w:val="000000" w:themeColor="text1"/>
                <w:szCs w:val="21"/>
                <w14:textFill>
                  <w14:solidFill>
                    <w14:schemeClr w14:val="tx1"/>
                  </w14:solidFill>
                </w14:textFill>
              </w:rPr>
              <w:t>工程量清单计价标准》（GB/T50500-2024）、《云南省建设工程造价计价标准（2020版）》发布实施的通知（云建科〔2021〕15号）等相关配套的国家省、州文件，材料价格按通过各主管职能部门评审后的当月计价，顺序按《红河州工程建筑材料设备价格信息》《云南省建设工程材料及设备价格信息》编制（材料价格信息没有明确的材料设备价格，由甲方、乙方和监理方根据当地材料设备价格信息或市场情况以书面形式确定）。（2）人工费调整按行业主管部门相关政策性文件执行。</w:t>
            </w:r>
          </w:p>
          <w:p w14:paraId="3DC7F154">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投标时以建筑安装工程费投资额为基础，充分考虑设计方案、施工图纸对工程造价的影响，以及施工场地、材料价格风险、设计变更等因素，填报建筑安装工程费结算优惠率。投标人完成招标范围内的其他工作，不得另外计取任何费用。</w:t>
            </w:r>
          </w:p>
          <w:p w14:paraId="22B70EDA">
            <w:pPr>
              <w:spacing w:line="3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14:textFill>
                  <w14:solidFill>
                    <w14:schemeClr w14:val="tx1"/>
                  </w14:solidFill>
                </w14:textFill>
              </w:rPr>
              <w:t>（4）本招标文件中的施工费投标报价均指建筑安装工程费结算优惠率。工程最终结算价按第三方造价咨询单位审定的结算价×（1－建筑安装工程费结算</w:t>
            </w:r>
            <w:r>
              <w:rPr>
                <w:rFonts w:hint="eastAsia" w:ascii="宋体" w:hAnsi="宋体" w:cs="宋体"/>
                <w:color w:val="000000" w:themeColor="text1"/>
                <w:szCs w:val="21"/>
                <w:lang w:val="en-US" w:eastAsia="zh-CN"/>
                <w14:textFill>
                  <w14:solidFill>
                    <w14:schemeClr w14:val="tx1"/>
                  </w14:solidFill>
                </w14:textFill>
              </w:rPr>
              <w:t>优惠</w:t>
            </w:r>
            <w:r>
              <w:rPr>
                <w:rFonts w:hint="eastAsia" w:ascii="宋体" w:hAnsi="宋体" w:cs="宋体"/>
                <w:color w:val="000000" w:themeColor="text1"/>
                <w:szCs w:val="21"/>
                <w14:textFill>
                  <w14:solidFill>
                    <w14:schemeClr w14:val="tx1"/>
                  </w14:solidFill>
                </w14:textFill>
              </w:rPr>
              <w:t>率）进行计算，且不得突破本项目的建筑安装工程费投资限额（除甲方要求增加的工程量据实结算外，突破部分不予</w:t>
            </w:r>
            <w:r>
              <w:rPr>
                <w:rFonts w:hint="eastAsia" w:ascii="宋体" w:hAnsi="宋体" w:cs="宋体"/>
                <w:color w:val="000000" w:themeColor="text1"/>
                <w:szCs w:val="21"/>
                <w:highlight w:val="none"/>
                <w14:textFill>
                  <w14:solidFill>
                    <w14:schemeClr w14:val="tx1"/>
                  </w14:solidFill>
                </w14:textFill>
              </w:rPr>
              <w:t>结算）。</w:t>
            </w:r>
          </w:p>
          <w:p w14:paraId="39EFFB63">
            <w:pPr>
              <w:spacing w:line="320" w:lineRule="exact"/>
              <w:rPr>
                <w:rFonts w:hint="eastAsia" w:ascii="宋体" w:hAnsi="宋体" w:cs="宋体"/>
                <w:color w:val="000000" w:themeColor="text1"/>
                <w:szCs w:val="21"/>
                <w14:textFill>
                  <w14:solidFill>
                    <w14:schemeClr w14:val="tx1"/>
                  </w14:solidFill>
                </w14:textFill>
              </w:rPr>
            </w:pPr>
            <w:r>
              <w:rPr>
                <w:rFonts w:hint="eastAsia" w:ascii="Times New Roman" w:hAnsi="Times New Roman" w:eastAsia="宋体" w:cs="Times New Roman"/>
                <w:b/>
                <w:bCs/>
                <w:color w:val="000000" w:themeColor="text1"/>
                <w:szCs w:val="21"/>
                <w:highlight w:val="none"/>
                <w:lang w:eastAsia="zh-CN"/>
                <w14:textFill>
                  <w14:solidFill>
                    <w14:schemeClr w14:val="tx1"/>
                  </w14:solidFill>
                </w14:textFill>
              </w:rPr>
              <w:t>（</w:t>
            </w: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5</w:t>
            </w:r>
            <w:r>
              <w:rPr>
                <w:rFonts w:hint="eastAsia" w:ascii="Times New Roman" w:hAnsi="Times New Roman" w:eastAsia="宋体" w:cs="Times New Roman"/>
                <w:b/>
                <w:bCs/>
                <w:color w:val="000000" w:themeColor="text1"/>
                <w:szCs w:val="21"/>
                <w:highlight w:val="none"/>
                <w:lang w:eastAsia="zh-CN"/>
                <w14:textFill>
                  <w14:solidFill>
                    <w14:schemeClr w14:val="tx1"/>
                  </w14:solidFill>
                </w14:textFill>
              </w:rPr>
              <w:t>）</w:t>
            </w:r>
            <w:r>
              <w:rPr>
                <w:rFonts w:hint="eastAsia" w:cs="宋体"/>
                <w:b/>
                <w:bCs/>
                <w:color w:val="000000" w:themeColor="text1"/>
                <w:highlight w:val="none"/>
                <w:lang w:val="en-US" w:eastAsia="zh-CN"/>
                <w14:textFill>
                  <w14:solidFill>
                    <w14:schemeClr w14:val="tx1"/>
                  </w14:solidFill>
                </w14:textFill>
              </w:rPr>
              <w:t>建筑安装工程费</w:t>
            </w:r>
            <w:r>
              <w:rPr>
                <w:rFonts w:hint="eastAsia" w:cs="宋体"/>
                <w:b/>
                <w:bCs/>
                <w:color w:val="000000" w:themeColor="text1"/>
                <w:highlight w:val="none"/>
                <w14:textFill>
                  <w14:solidFill>
                    <w14:schemeClr w14:val="tx1"/>
                  </w14:solidFill>
                </w14:textFill>
              </w:rPr>
              <w:t>招标控制价：</w:t>
            </w:r>
            <w:r>
              <w:rPr>
                <w:rFonts w:hint="eastAsia" w:cs="宋体"/>
                <w:b/>
                <w:bCs/>
                <w:color w:val="000000" w:themeColor="text1"/>
                <w:highlight w:val="none"/>
                <w:lang w:eastAsia="zh-CN"/>
                <w14:textFill>
                  <w14:solidFill>
                    <w14:schemeClr w14:val="tx1"/>
                  </w14:solidFill>
                </w14:textFill>
              </w:rPr>
              <w:t>建筑安装工程费</w:t>
            </w:r>
            <w:r>
              <w:rPr>
                <w:rFonts w:hint="eastAsia" w:cs="宋体"/>
                <w:b/>
                <w:bCs/>
                <w:color w:val="000000" w:themeColor="text1"/>
                <w:highlight w:val="none"/>
                <w14:textFill>
                  <w14:solidFill>
                    <w14:schemeClr w14:val="tx1"/>
                  </w14:solidFill>
                </w14:textFill>
              </w:rPr>
              <w:t>结算</w:t>
            </w:r>
            <w:r>
              <w:rPr>
                <w:rFonts w:hint="eastAsia" w:cs="宋体"/>
                <w:b/>
                <w:bCs/>
                <w:color w:val="000000" w:themeColor="text1"/>
                <w:highlight w:val="none"/>
                <w:lang w:val="en-US" w:eastAsia="zh-CN"/>
                <w14:textFill>
                  <w14:solidFill>
                    <w14:schemeClr w14:val="tx1"/>
                  </w14:solidFill>
                </w14:textFill>
              </w:rPr>
              <w:t>优惠</w:t>
            </w:r>
            <w:r>
              <w:rPr>
                <w:rFonts w:hint="eastAsia" w:cs="宋体"/>
                <w:b/>
                <w:bCs/>
                <w:color w:val="000000" w:themeColor="text1"/>
                <w:highlight w:val="none"/>
                <w14:textFill>
                  <w14:solidFill>
                    <w14:schemeClr w14:val="tx1"/>
                  </w14:solidFill>
                </w14:textFill>
              </w:rPr>
              <w:t>率报价不得低于</w:t>
            </w:r>
            <w:r>
              <w:rPr>
                <w:rFonts w:hint="eastAsia" w:cs="宋体"/>
                <w:b/>
                <w:bCs/>
                <w:color w:val="000000" w:themeColor="text1"/>
                <w:highlight w:val="none"/>
                <w:lang w:val="en-US" w:eastAsia="zh-CN"/>
                <w14:textFill>
                  <w14:solidFill>
                    <w14:schemeClr w14:val="tx1"/>
                  </w14:solidFill>
                </w14:textFill>
              </w:rPr>
              <w:t>1</w:t>
            </w:r>
            <w:r>
              <w:rPr>
                <w:rFonts w:hint="eastAsia" w:cs="宋体"/>
                <w:b/>
                <w:bCs/>
                <w:color w:val="000000" w:themeColor="text1"/>
                <w:highlight w:val="none"/>
                <w14:textFill>
                  <w14:solidFill>
                    <w14:schemeClr w14:val="tx1"/>
                  </w14:solidFill>
                </w14:textFill>
              </w:rPr>
              <w:t>%，即报价应为</w:t>
            </w:r>
            <w:r>
              <w:rPr>
                <w:rFonts w:hint="eastAsia" w:cs="宋体"/>
                <w:b/>
                <w:bCs/>
                <w:color w:val="000000" w:themeColor="text1"/>
                <w:highlight w:val="none"/>
                <w:lang w:val="en-US" w:eastAsia="zh-CN"/>
                <w14:textFill>
                  <w14:solidFill>
                    <w14:schemeClr w14:val="tx1"/>
                  </w14:solidFill>
                </w14:textFill>
              </w:rPr>
              <w:t>1.01</w:t>
            </w:r>
            <w:r>
              <w:rPr>
                <w:rFonts w:hint="eastAsia" w:cs="宋体"/>
                <w:b/>
                <w:bCs/>
                <w:color w:val="000000" w:themeColor="text1"/>
                <w:highlight w:val="none"/>
                <w14:textFill>
                  <w14:solidFill>
                    <w14:schemeClr w14:val="tx1"/>
                  </w14:solidFill>
                </w14:textFill>
              </w:rPr>
              <w:t>%、</w:t>
            </w:r>
            <w:r>
              <w:rPr>
                <w:rFonts w:hint="eastAsia" w:cs="宋体"/>
                <w:b/>
                <w:bCs/>
                <w:color w:val="000000" w:themeColor="text1"/>
                <w:highlight w:val="none"/>
                <w:lang w:val="en-US" w:eastAsia="zh-CN"/>
                <w14:textFill>
                  <w14:solidFill>
                    <w14:schemeClr w14:val="tx1"/>
                  </w14:solidFill>
                </w14:textFill>
              </w:rPr>
              <w:t>1.02</w:t>
            </w:r>
            <w:r>
              <w:rPr>
                <w:rFonts w:hint="eastAsia" w:cs="宋体"/>
                <w:b/>
                <w:bCs/>
                <w:color w:val="000000" w:themeColor="text1"/>
                <w:highlight w:val="none"/>
                <w14:textFill>
                  <w14:solidFill>
                    <w14:schemeClr w14:val="tx1"/>
                  </w14:solidFill>
                </w14:textFill>
              </w:rPr>
              <w:t>%、</w:t>
            </w:r>
            <w:r>
              <w:rPr>
                <w:rFonts w:hint="eastAsia" w:cs="宋体"/>
                <w:b/>
                <w:bCs/>
                <w:color w:val="000000" w:themeColor="text1"/>
                <w:highlight w:val="none"/>
                <w:lang w:val="en-US" w:eastAsia="zh-CN"/>
                <w14:textFill>
                  <w14:solidFill>
                    <w14:schemeClr w14:val="tx1"/>
                  </w14:solidFill>
                </w14:textFill>
              </w:rPr>
              <w:t>1.03</w:t>
            </w:r>
            <w:r>
              <w:rPr>
                <w:rFonts w:hint="eastAsia" w:cs="宋体"/>
                <w:b/>
                <w:bCs/>
                <w:color w:val="000000" w:themeColor="text1"/>
                <w:highlight w:val="none"/>
                <w14:textFill>
                  <w14:solidFill>
                    <w14:schemeClr w14:val="tx1"/>
                  </w14:solidFill>
                </w14:textFill>
              </w:rPr>
              <w:t>%……</w:t>
            </w:r>
            <w:r>
              <w:rPr>
                <w:rFonts w:hint="eastAsia" w:cs="宋体"/>
                <w:b/>
                <w:bCs/>
                <w:color w:val="000000" w:themeColor="text1"/>
                <w:highlight w:val="none"/>
                <w:lang w:val="en-US" w:eastAsia="zh-CN"/>
                <w14:textFill>
                  <w14:solidFill>
                    <w14:schemeClr w14:val="tx1"/>
                  </w14:solidFill>
                </w14:textFill>
              </w:rPr>
              <w:t>或</w:t>
            </w:r>
            <w:r>
              <w:rPr>
                <w:rFonts w:hint="eastAsia" w:cs="宋体"/>
                <w:b/>
                <w:bCs/>
                <w:color w:val="000000" w:themeColor="text1"/>
                <w:highlight w:val="none"/>
                <w14:textFill>
                  <w14:solidFill>
                    <w14:schemeClr w14:val="tx1"/>
                  </w14:solidFill>
                </w14:textFill>
              </w:rPr>
              <w:t>以上</w:t>
            </w:r>
            <w:r>
              <w:rPr>
                <w:rFonts w:hint="eastAsia" w:cs="宋体"/>
                <w:b/>
                <w:bCs/>
                <w:color w:val="000000" w:themeColor="text1"/>
                <w:highlight w:val="none"/>
                <w:lang w:eastAsia="zh-CN"/>
                <w14:textFill>
                  <w14:solidFill>
                    <w14:schemeClr w14:val="tx1"/>
                  </w14:solidFill>
                </w14:textFill>
              </w:rPr>
              <w:t>。</w:t>
            </w:r>
          </w:p>
        </w:tc>
      </w:tr>
      <w:tr w14:paraId="0078413C">
        <w:tblPrEx>
          <w:tblCellMar>
            <w:top w:w="0" w:type="dxa"/>
            <w:left w:w="108" w:type="dxa"/>
            <w:bottom w:w="0" w:type="dxa"/>
            <w:right w:w="108" w:type="dxa"/>
          </w:tblCellMar>
        </w:tblPrEx>
        <w:trPr>
          <w:trHeight w:val="486" w:hRule="atLeast"/>
        </w:trPr>
        <w:tc>
          <w:tcPr>
            <w:tcW w:w="1254" w:type="dxa"/>
            <w:tcBorders>
              <w:top w:val="single" w:color="auto" w:sz="4" w:space="0"/>
              <w:left w:val="single" w:color="auto" w:sz="4" w:space="0"/>
              <w:bottom w:val="single" w:color="auto" w:sz="4" w:space="0"/>
              <w:right w:val="single" w:color="auto" w:sz="4" w:space="0"/>
            </w:tcBorders>
            <w:vAlign w:val="center"/>
          </w:tcPr>
          <w:p w14:paraId="6EC983DC">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3.3.1</w:t>
            </w:r>
          </w:p>
        </w:tc>
        <w:tc>
          <w:tcPr>
            <w:tcW w:w="2030" w:type="dxa"/>
            <w:tcBorders>
              <w:top w:val="single" w:color="auto" w:sz="4" w:space="0"/>
              <w:left w:val="single" w:color="auto" w:sz="4" w:space="0"/>
              <w:bottom w:val="single" w:color="auto" w:sz="4" w:space="0"/>
              <w:right w:val="single" w:color="auto" w:sz="4" w:space="0"/>
            </w:tcBorders>
            <w:vAlign w:val="center"/>
          </w:tcPr>
          <w:p w14:paraId="69764DEA">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投标有效期</w:t>
            </w:r>
          </w:p>
        </w:tc>
        <w:tc>
          <w:tcPr>
            <w:tcW w:w="6610" w:type="dxa"/>
            <w:tcBorders>
              <w:top w:val="single" w:color="auto" w:sz="4" w:space="0"/>
              <w:left w:val="single" w:color="auto" w:sz="4" w:space="0"/>
              <w:bottom w:val="single" w:color="auto" w:sz="4" w:space="0"/>
              <w:right w:val="single" w:color="auto" w:sz="4" w:space="0"/>
            </w:tcBorders>
            <w:vAlign w:val="center"/>
          </w:tcPr>
          <w:p w14:paraId="085E0CEA">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从投标截止之日起：90日历天</w:t>
            </w:r>
          </w:p>
        </w:tc>
      </w:tr>
      <w:tr w14:paraId="0BDA02A9">
        <w:tblPrEx>
          <w:tblCellMar>
            <w:top w:w="0" w:type="dxa"/>
            <w:left w:w="108" w:type="dxa"/>
            <w:bottom w:w="0" w:type="dxa"/>
            <w:right w:w="108" w:type="dxa"/>
          </w:tblCellMar>
        </w:tblPrEx>
        <w:trPr>
          <w:trHeight w:val="463" w:hRule="atLeast"/>
        </w:trPr>
        <w:tc>
          <w:tcPr>
            <w:tcW w:w="1254" w:type="dxa"/>
            <w:tcBorders>
              <w:top w:val="single" w:color="auto" w:sz="4" w:space="0"/>
              <w:left w:val="single" w:color="auto" w:sz="4" w:space="0"/>
              <w:bottom w:val="single" w:color="auto" w:sz="4" w:space="0"/>
              <w:right w:val="single" w:color="auto" w:sz="4" w:space="0"/>
            </w:tcBorders>
            <w:vAlign w:val="center"/>
          </w:tcPr>
          <w:p w14:paraId="5F87F03A">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3.4</w:t>
            </w:r>
          </w:p>
        </w:tc>
        <w:tc>
          <w:tcPr>
            <w:tcW w:w="2030" w:type="dxa"/>
            <w:tcBorders>
              <w:top w:val="single" w:color="auto" w:sz="4" w:space="0"/>
              <w:left w:val="single" w:color="auto" w:sz="4" w:space="0"/>
              <w:bottom w:val="single" w:color="auto" w:sz="4" w:space="0"/>
              <w:right w:val="single" w:color="auto" w:sz="4" w:space="0"/>
            </w:tcBorders>
            <w:vAlign w:val="center"/>
          </w:tcPr>
          <w:p w14:paraId="1CA22FA1">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投标保证金</w:t>
            </w:r>
          </w:p>
        </w:tc>
        <w:tc>
          <w:tcPr>
            <w:tcW w:w="6610" w:type="dxa"/>
            <w:tcBorders>
              <w:top w:val="single" w:color="auto" w:sz="4" w:space="0"/>
              <w:left w:val="single" w:color="auto" w:sz="4" w:space="0"/>
              <w:bottom w:val="single" w:color="auto" w:sz="4" w:space="0"/>
              <w:right w:val="single" w:color="auto" w:sz="4" w:space="0"/>
            </w:tcBorders>
            <w:vAlign w:val="center"/>
          </w:tcPr>
          <w:p w14:paraId="0BEADFCF">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一、投标保证金提交方式及投标保证金金额</w:t>
            </w:r>
          </w:p>
          <w:p w14:paraId="144656E1">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投标保证金的提交方式有三种：银行转账、银行保函、保证保险。</w:t>
            </w:r>
          </w:p>
          <w:p w14:paraId="1AD00927">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（一）银行转账：投标（交易）保证金应以投标人自身的名义提交，并且必须从其基本账户转出，不得以分支机构其他名义提交（按照规定，投标人可以为自然人的项目除外）。</w:t>
            </w:r>
          </w:p>
          <w:p w14:paraId="614AB02C">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二）银行保函：保函申请人必须是投标人，受益人必须是投标人，保证人必须是投标人基本账号的开户银行；银行保函必须正确填写受益人和申请人的全称，并与招标文件规定的名称相一致，以免造成投标无效。</w:t>
            </w:r>
          </w:p>
          <w:p w14:paraId="0D900F15">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（三）保证保险：</w:t>
            </w:r>
          </w:p>
          <w:p w14:paraId="5AB80E67">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1、当投标人未能按照招投标文件要求履行投标义务而导致招标人受到损失时，由保险公司按照保险合同对招标人的损失承担代偿责任。</w:t>
            </w:r>
          </w:p>
          <w:p w14:paraId="15A81C31">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2、投标人在支付投标保证金保险费时，必须使用基本账号资金支付购买，未从基本账户转出支付保险费造成经济纠纷的应由企业自行承担。</w:t>
            </w:r>
          </w:p>
          <w:p w14:paraId="165D7619">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3、在投标保证保险中，投标人为投保人，招标人为被保险人。</w:t>
            </w:r>
          </w:p>
          <w:p w14:paraId="4F4EDF5E">
            <w:pPr>
              <w:spacing w:line="32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投标保证金金额：根据《云南省招标投标条例》本项目可以收取保证金</w:t>
            </w:r>
            <w:r>
              <w:rPr>
                <w:rFonts w:hint="eastAsia" w:ascii="宋体" w:hAnsi="宋体" w:cs="宋体"/>
                <w:b/>
                <w:bCs/>
                <w:color w:val="000000" w:themeColor="text1"/>
                <w:szCs w:val="21"/>
                <w:u w:val="single"/>
                <w:lang w:val="en-US" w:eastAsia="zh-CN"/>
                <w14:textFill>
                  <w14:solidFill>
                    <w14:schemeClr w14:val="tx1"/>
                  </w14:solidFill>
                </w14:textFill>
              </w:rPr>
              <w:t>捌</w:t>
            </w:r>
            <w:r>
              <w:rPr>
                <w:rFonts w:hint="eastAsia" w:ascii="宋体" w:hAnsi="宋体" w:cs="宋体"/>
                <w:b/>
                <w:bCs/>
                <w:color w:val="000000" w:themeColor="text1"/>
                <w:szCs w:val="21"/>
                <w:u w:val="single"/>
                <w14:textFill>
                  <w14:solidFill>
                    <w14:schemeClr w14:val="tx1"/>
                  </w14:solidFill>
                </w14:textFill>
              </w:rPr>
              <w:t>拾万元整（¥</w:t>
            </w:r>
            <w:r>
              <w:rPr>
                <w:rFonts w:hint="eastAsia" w:ascii="宋体" w:hAnsi="宋体" w:cs="宋体"/>
                <w:b/>
                <w:bCs/>
                <w:color w:val="000000" w:themeColor="text1"/>
                <w:szCs w:val="21"/>
                <w:u w:val="single"/>
                <w:lang w:val="en-US" w:eastAsia="zh-CN"/>
                <w14:textFill>
                  <w14:solidFill>
                    <w14:schemeClr w14:val="tx1"/>
                  </w14:solidFill>
                </w14:textFill>
              </w:rPr>
              <w:t>8</w:t>
            </w:r>
            <w:r>
              <w:rPr>
                <w:rFonts w:hint="eastAsia" w:ascii="宋体" w:hAnsi="宋体" w:cs="宋体"/>
                <w:b/>
                <w:bCs/>
                <w:color w:val="000000" w:themeColor="text1"/>
                <w:szCs w:val="21"/>
                <w:u w:val="single"/>
                <w14:textFill>
                  <w14:solidFill>
                    <w14:schemeClr w14:val="tx1"/>
                  </w14:solidFill>
                </w14:textFill>
              </w:rPr>
              <w:t>00000.00）</w:t>
            </w:r>
            <w:r>
              <w:rPr>
                <w:rFonts w:hint="eastAsia" w:ascii="宋体" w:hAnsi="宋体" w:cs="宋体"/>
                <w:b/>
                <w:bCs/>
                <w:color w:val="000000" w:themeColor="text1"/>
                <w:szCs w:val="21"/>
                <w14:textFill>
                  <w14:solidFill>
                    <w14:schemeClr w14:val="tx1"/>
                  </w14:solidFill>
                </w14:textFill>
              </w:rPr>
              <w:t>，为降低企业交易成本，根据《云南省发展和改革委员会等部门关于鼓励减免政府投资项目投标保证金的通知》（云发改交易管理〔2023〕397号），本项目收取投标保证金</w:t>
            </w:r>
            <w:r>
              <w:rPr>
                <w:rFonts w:hint="eastAsia" w:ascii="宋体" w:hAnsi="宋体" w:cs="宋体"/>
                <w:b/>
                <w:bCs/>
                <w:color w:val="000000" w:themeColor="text1"/>
                <w:szCs w:val="21"/>
                <w:u w:val="single"/>
                <w14:textFill>
                  <w14:solidFill>
                    <w14:schemeClr w14:val="tx1"/>
                  </w14:solidFill>
                </w14:textFill>
              </w:rPr>
              <w:t>伍万元整（¥</w:t>
            </w:r>
            <w:r>
              <w:rPr>
                <w:rFonts w:hint="eastAsia" w:ascii="宋体" w:hAnsi="宋体" w:cs="宋体"/>
                <w:b/>
                <w:bCs/>
                <w:color w:val="000000" w:themeColor="text1"/>
                <w:szCs w:val="21"/>
                <w:u w:val="single"/>
                <w:lang w:val="en-US" w:eastAsia="zh-CN"/>
                <w14:textFill>
                  <w14:solidFill>
                    <w14:schemeClr w14:val="tx1"/>
                  </w14:solidFill>
                </w14:textFill>
              </w:rPr>
              <w:t>5</w:t>
            </w:r>
            <w:r>
              <w:rPr>
                <w:rFonts w:hint="eastAsia" w:ascii="宋体" w:hAnsi="宋体" w:cs="宋体"/>
                <w:b/>
                <w:bCs/>
                <w:color w:val="000000" w:themeColor="text1"/>
                <w:szCs w:val="21"/>
                <w:u w:val="single"/>
                <w14:textFill>
                  <w14:solidFill>
                    <w14:schemeClr w14:val="tx1"/>
                  </w14:solidFill>
                </w14:textFill>
              </w:rPr>
              <w:t>0000.00）</w:t>
            </w:r>
            <w:r>
              <w:rPr>
                <w:rFonts w:hint="eastAsia" w:ascii="宋体" w:hAnsi="宋体" w:cs="宋体"/>
                <w:b/>
                <w:bCs/>
                <w:color w:val="000000" w:themeColor="text1"/>
                <w:szCs w:val="21"/>
                <w14:textFill>
                  <w14:solidFill>
                    <w14:schemeClr w14:val="tx1"/>
                  </w14:solidFill>
                </w14:textFill>
              </w:rPr>
              <w:t>。</w:t>
            </w:r>
          </w:p>
          <w:p w14:paraId="72C976A6">
            <w:pPr>
              <w:spacing w:line="320" w:lineRule="exact"/>
              <w:ind w:firstLine="422" w:firstLineChars="200"/>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根据《红河州发展和改革委员会 红河州公共资源交易管理局 关于鼓励减免政府投资项目投标保证金的通知》红公管联发〔2024〕1号，“对依法必须招标且招标标的金额在1000万元以下（含1000万元）的政府投资项目，免于收取无失信记录企业的投标保证金。”无失信记录投标人可以在缴纳保证金页面“无失信记录”处上传通过“信用中国”查询到的企业信用报告，提交成功后，保证金缴纳节点显示免缴纳即可。截标后由交易中心工作人员通过“信用中国”核验，如有失信记录的，评审专家可视为未缴纳保证金。（注：“信用中国”网站查询记录必须是从“信用中国”网站点击“下载信用信息报告”下载的“法人和非法人组织公共信用信息报告”的全部内容）（本项目不适用）</w:t>
            </w:r>
          </w:p>
          <w:p w14:paraId="7D62DC30">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二、投标保证金的提交时间</w:t>
            </w:r>
          </w:p>
          <w:p w14:paraId="547841C1">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需在投标截止时间前递交保证金，到账时间以实际到达专用账号时间为准，未在投标截止时间前到账的保证金视为未提交；银行保函必须在规定的投标截止时间之前递交至托管银行在交易中心的服务柜台，在投标截止时间前，由银行工作人员进行网上确认，未确认的保证金视为未提交；工程投标保证保险的投保人应当在项目投标前与保险公司签订投标保证保险合同，在投标截止时间前，由保险公司完成网上确认，未确认的保证金视为未提交。</w:t>
            </w:r>
          </w:p>
          <w:p w14:paraId="3DDCE8C8">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三、投标保证金的办理程序</w:t>
            </w:r>
          </w:p>
          <w:p w14:paraId="5AB6F379">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（一）采用银行转账方式：</w:t>
            </w:r>
          </w:p>
          <w:p w14:paraId="424E784B">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项目投标保证金提交账户户名、开户行、保证金账号：投标人使用数字证书（CA）登录全国公共资源交易平台（云南省）云南省公共资源交易信息网（网址https://ggzy.yn.gov.cn/#/homePage)，自行在“确认投标保证金”处查询随机生成的保证金缴纳账户户名、开户行及保证金提交账号。</w:t>
            </w:r>
          </w:p>
          <w:p w14:paraId="56AFE153">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办理程序：</w:t>
            </w:r>
          </w:p>
          <w:p w14:paraId="4B7EAC9B">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潜在投标人转账到保证金专项银行账户后，潜在投标人需要使用数字证书（CA）登录“</w:t>
            </w:r>
            <w:r>
              <w:rPr>
                <w:rFonts w:hint="eastAsia" w:ascii="宋体" w:hAnsi="宋体" w:cs="宋体"/>
                <w:color w:val="000000" w:themeColor="text1"/>
                <w14:textFill>
                  <w14:solidFill>
                    <w14:schemeClr w14:val="tx1"/>
                  </w14:solidFill>
                </w14:textFill>
              </w:rPr>
              <w:t>全国公共资源交易平台（云南省）云南省公共资源交易信息网</w:t>
            </w:r>
            <w:r>
              <w:rPr>
                <w:rFonts w:hint="eastAsia" w:ascii="宋体" w:hAnsi="宋体" w:cs="宋体"/>
                <w:color w:val="000000" w:themeColor="text1"/>
                <w:szCs w:val="21"/>
                <w14:textFill>
                  <w14:solidFill>
                    <w14:schemeClr w14:val="tx1"/>
                  </w14:solidFill>
                </w14:textFill>
              </w:rPr>
              <w:t>”在投标保证金模块找到对应项目进行确认并打印确认回执；若保证金出现未绑定导致无法确认的请及时联系</w:t>
            </w:r>
            <w:r>
              <w:rPr>
                <w:rFonts w:hint="eastAsia" w:ascii="宋体" w:hAnsi="宋体" w:cs="宋体"/>
                <w:color w:val="000000" w:themeColor="text1"/>
                <w:szCs w:val="21"/>
                <w:u w:val="single"/>
                <w14:textFill>
                  <w14:solidFill>
                    <w14:schemeClr w14:val="tx1"/>
                  </w14:solidFill>
                </w14:textFill>
              </w:rPr>
              <w:t>0873-</w:t>
            </w:r>
            <w:r>
              <w:rPr>
                <w:rFonts w:hint="eastAsia" w:ascii="宋体" w:hAnsi="宋体" w:cs="宋体"/>
                <w:color w:val="000000" w:themeColor="text1"/>
                <w:szCs w:val="21"/>
                <w:u w:val="single"/>
                <w:lang w:val="en-US" w:eastAsia="zh-CN"/>
                <w14:textFill>
                  <w14:solidFill>
                    <w14:schemeClr w14:val="tx1"/>
                  </w14:solidFill>
                </w14:textFill>
              </w:rPr>
              <w:t>3197053</w:t>
            </w:r>
            <w:r>
              <w:rPr>
                <w:rFonts w:hint="eastAsia" w:ascii="宋体" w:hAnsi="宋体" w:cs="宋体"/>
                <w:color w:val="000000" w:themeColor="text1"/>
                <w:szCs w:val="21"/>
                <w14:textFill>
                  <w14:solidFill>
                    <w14:schemeClr w14:val="tx1"/>
                  </w14:solidFill>
                </w14:textFill>
              </w:rPr>
              <w:t>。</w:t>
            </w:r>
          </w:p>
          <w:p w14:paraId="23DD0531">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（二）采用银行保函方式：</w:t>
            </w:r>
          </w:p>
          <w:p w14:paraId="349C32C1">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办理程序：</w:t>
            </w:r>
          </w:p>
          <w:p w14:paraId="10D877CA">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投标人通过CA数字证书登录全国公共资源交易平台（云南省）云南省公共资源交易信息网（</w:t>
            </w:r>
            <w:r>
              <w:rPr>
                <w:rFonts w:hint="eastAsia" w:ascii="宋体" w:hAnsi="宋体" w:cs="宋体"/>
                <w:color w:val="000000" w:themeColor="text1"/>
                <w:szCs w:val="21"/>
                <w14:textFill>
                  <w14:solidFill>
                    <w14:schemeClr w14:val="tx1"/>
                  </w14:solidFill>
                </w14:textFill>
              </w:rPr>
              <w:drawing>
                <wp:inline distT="0" distB="0" distL="114300" distR="114300">
                  <wp:extent cx="190500" cy="142875"/>
                  <wp:effectExtent l="0" t="0" r="0" b="9525"/>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MG_256"/>
                          <pic:cNvPicPr>
                            <a:picLocks noChangeAspect="1"/>
                          </pic:cNvPicPr>
                        </pic:nvPicPr>
                        <pic:blipFill>
                          <a:blip r:embed="rId18"/>
                          <a:stretch>
                            <a:fillRect/>
                          </a:stretch>
                        </pic:blipFill>
                        <pic:spPr>
                          <a:xfrm>
                            <a:off x="0" y="0"/>
                            <a:ext cx="190500" cy="142875"/>
                          </a:xfrm>
                          <a:prstGeom prst="rect">
                            <a:avLst/>
                          </a:prstGeom>
                          <a:noFill/>
                          <a:ln>
                            <a:noFill/>
                          </a:ln>
                        </pic:spPr>
                      </pic:pic>
                    </a:graphicData>
                  </a:graphic>
                </wp:inline>
              </w:drawing>
            </w:r>
            <w:r>
              <w:rPr>
                <w:rFonts w:hint="eastAsia" w:ascii="宋体" w:hAnsi="宋体" w:cs="宋体"/>
                <w:color w:val="000000" w:themeColor="text1"/>
                <w:szCs w:val="21"/>
                <w14:textFill>
                  <w14:solidFill>
                    <w14:schemeClr w14:val="tx1"/>
                  </w14:solidFill>
                </w14:textFill>
              </w:rPr>
              <w:t>http://ggzy.yn.gov.cn/#/homePage）自行进行操作购买。</w:t>
            </w:r>
          </w:p>
          <w:p w14:paraId="0B6D6B38">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（三）采用投标保证保险方式：</w:t>
            </w:r>
          </w:p>
          <w:p w14:paraId="1E07DCBC">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办理程序：</w:t>
            </w:r>
          </w:p>
          <w:p w14:paraId="6DA9E26E">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投标人通过CA数字证书登录全国公共资源交易平台（云南省）云南省公共资源交易信息网（</w:t>
            </w:r>
            <w:r>
              <w:rPr>
                <w:rFonts w:hint="eastAsia" w:ascii="宋体" w:hAnsi="宋体" w:cs="宋体"/>
                <w:color w:val="000000" w:themeColor="text1"/>
                <w:szCs w:val="21"/>
                <w14:textFill>
                  <w14:solidFill>
                    <w14:schemeClr w14:val="tx1"/>
                  </w14:solidFill>
                </w14:textFill>
              </w:rPr>
              <w:drawing>
                <wp:inline distT="0" distB="0" distL="114300" distR="114300">
                  <wp:extent cx="190500" cy="142875"/>
                  <wp:effectExtent l="0" t="0" r="0" b="9525"/>
                  <wp:docPr id="4"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IMG_256"/>
                          <pic:cNvPicPr>
                            <a:picLocks noChangeAspect="1"/>
                          </pic:cNvPicPr>
                        </pic:nvPicPr>
                        <pic:blipFill>
                          <a:blip r:embed="rId18"/>
                          <a:stretch>
                            <a:fillRect/>
                          </a:stretch>
                        </pic:blipFill>
                        <pic:spPr>
                          <a:xfrm>
                            <a:off x="0" y="0"/>
                            <a:ext cx="190500" cy="142875"/>
                          </a:xfrm>
                          <a:prstGeom prst="rect">
                            <a:avLst/>
                          </a:prstGeom>
                          <a:noFill/>
                          <a:ln>
                            <a:noFill/>
                          </a:ln>
                        </pic:spPr>
                      </pic:pic>
                    </a:graphicData>
                  </a:graphic>
                </wp:inline>
              </w:drawing>
            </w:r>
            <w:r>
              <w:rPr>
                <w:rFonts w:hint="eastAsia" w:ascii="宋体" w:hAnsi="宋体" w:cs="宋体"/>
                <w:color w:val="000000" w:themeColor="text1"/>
                <w:szCs w:val="21"/>
                <w14:textFill>
                  <w14:solidFill>
                    <w14:schemeClr w14:val="tx1"/>
                  </w14:solidFill>
                </w14:textFill>
              </w:rPr>
              <w:t>https://ggzy.yn.gov.cn/#/homePage）自行进行操作购买。</w:t>
            </w:r>
          </w:p>
          <w:p w14:paraId="5D69D883">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注：1、保证金必须从投标人的法人基本账户划出；</w:t>
            </w:r>
          </w:p>
          <w:p w14:paraId="5354F177">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2、保证金到账时间以保证金专用账户实际到账时间为准，未在投标截止时间前到账的保证金无效；</w:t>
            </w:r>
          </w:p>
          <w:p w14:paraId="1CDCC536">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3、拒绝私人账户汇款及银行存现；</w:t>
            </w:r>
          </w:p>
          <w:p w14:paraId="021FF874">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4、请潜在投标人在跨行转账时考虑以下因素：①按照人民银行相关规定，跨行转账在工作日下午四点半前办理手续，可以保证实时跨行到账；②跨行转账尽量采用电汇方式。</w:t>
            </w:r>
          </w:p>
          <w:p w14:paraId="33D74C18">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四、投标保证金受理地点和时间</w:t>
            </w:r>
          </w:p>
          <w:p w14:paraId="6F25F0C7">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（1）收款单位地址：</w:t>
            </w:r>
            <w:r>
              <w:rPr>
                <w:rFonts w:hint="eastAsia" w:ascii="宋体" w:hAnsi="宋体" w:cs="宋体"/>
                <w:color w:val="000000" w:themeColor="text1"/>
                <w:szCs w:val="21"/>
                <w:lang w:val="en-US" w:eastAsia="zh-CN"/>
                <w14:textFill>
                  <w14:solidFill>
                    <w14:schemeClr w14:val="tx1"/>
                  </w14:solidFill>
                </w14:textFill>
              </w:rPr>
              <w:t>红河州</w:t>
            </w:r>
            <w:r>
              <w:rPr>
                <w:rFonts w:hint="eastAsia" w:ascii="宋体" w:hAnsi="宋体" w:cs="宋体"/>
                <w:color w:val="000000" w:themeColor="text1"/>
                <w:szCs w:val="21"/>
                <w14:textFill>
                  <w14:solidFill>
                    <w14:schemeClr w14:val="tx1"/>
                  </w14:solidFill>
                </w14:textFill>
              </w:rPr>
              <w:t>政务服务管理局</w:t>
            </w:r>
          </w:p>
          <w:p w14:paraId="59A9F161">
            <w:pPr>
              <w:spacing w:line="320" w:lineRule="exact"/>
              <w:rPr>
                <w:rFonts w:hint="default" w:ascii="宋体" w:hAnsi="宋体" w:eastAsia="宋体" w:cs="宋体"/>
                <w:color w:val="8064A2" w:themeColor="accent4"/>
                <w:szCs w:val="21"/>
                <w:lang w:val="en-US" w:eastAsia="zh-CN"/>
                <w14:textFill>
                  <w14:solidFill>
                    <w14:schemeClr w14:val="accent4"/>
                  </w14:solidFill>
                </w14:textFill>
              </w:rPr>
            </w:pPr>
            <w:r>
              <w:rPr>
                <w:rFonts w:hint="eastAsia" w:ascii="宋体" w:hAnsi="宋体" w:cs="宋体"/>
                <w:color w:val="000000" w:themeColor="text1"/>
                <w:szCs w:val="21"/>
                <w14:textFill>
                  <w14:solidFill>
                    <w14:schemeClr w14:val="tx1"/>
                  </w14:solidFill>
                </w14:textFill>
              </w:rPr>
              <w:t>（2）联系电话：</w:t>
            </w:r>
            <w:r>
              <w:rPr>
                <w:rFonts w:hint="eastAsia" w:ascii="宋体" w:hAnsi="宋体" w:cs="宋体"/>
                <w:color w:val="auto"/>
                <w:szCs w:val="21"/>
              </w:rPr>
              <w:t>0873-</w:t>
            </w:r>
            <w:r>
              <w:rPr>
                <w:rFonts w:hint="eastAsia" w:ascii="宋体" w:hAnsi="宋体" w:cs="宋体"/>
                <w:color w:val="auto"/>
                <w:szCs w:val="21"/>
                <w:lang w:val="en-US" w:eastAsia="zh-CN"/>
              </w:rPr>
              <w:t>3197053</w:t>
            </w:r>
          </w:p>
          <w:p w14:paraId="5BD80C2E">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投标保证金的退还时间：</w:t>
            </w:r>
          </w:p>
          <w:p w14:paraId="5C49A9B0">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（1）在中标通知书发出后5日内，向未中标人一次性退还投标保证金及同期银行存款利息。招标人在与中标人签订合同后5日内向中标人一次性退还投标保证金及同期银行存款利息。</w:t>
            </w:r>
          </w:p>
          <w:p w14:paraId="0F3AE809">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（2）中标通知书发出后，中标人无正当理由拒绝签订合同的，投标保证金不予退还。</w:t>
            </w:r>
          </w:p>
          <w:p w14:paraId="335F1764">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（3）其余相关要求按相关法律法规规定执行。</w:t>
            </w:r>
          </w:p>
          <w:p w14:paraId="655B91A8">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其他：保证金“不见面收、退”相关事宜详见《红河州公共资源交易管理局关于实施公共资源交易保证金“不见面收、退”的通知》。</w:t>
            </w:r>
          </w:p>
        </w:tc>
      </w:tr>
      <w:tr w14:paraId="2D7EBC29">
        <w:tblPrEx>
          <w:tblCellMar>
            <w:top w:w="0" w:type="dxa"/>
            <w:left w:w="108" w:type="dxa"/>
            <w:bottom w:w="0" w:type="dxa"/>
            <w:right w:w="108" w:type="dxa"/>
          </w:tblCellMar>
        </w:tblPrEx>
        <w:trPr>
          <w:trHeight w:val="431" w:hRule="atLeast"/>
        </w:trPr>
        <w:tc>
          <w:tcPr>
            <w:tcW w:w="1254" w:type="dxa"/>
            <w:tcBorders>
              <w:top w:val="single" w:color="auto" w:sz="4" w:space="0"/>
              <w:left w:val="single" w:color="auto" w:sz="4" w:space="0"/>
              <w:bottom w:val="single" w:color="auto" w:sz="4" w:space="0"/>
              <w:right w:val="single" w:color="auto" w:sz="4" w:space="0"/>
            </w:tcBorders>
            <w:vAlign w:val="center"/>
          </w:tcPr>
          <w:p w14:paraId="3081196E">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3.5.1</w:t>
            </w:r>
          </w:p>
        </w:tc>
        <w:tc>
          <w:tcPr>
            <w:tcW w:w="2030" w:type="dxa"/>
            <w:tcBorders>
              <w:top w:val="single" w:color="auto" w:sz="4" w:space="0"/>
              <w:left w:val="single" w:color="auto" w:sz="4" w:space="0"/>
              <w:bottom w:val="single" w:color="auto" w:sz="4" w:space="0"/>
              <w:right w:val="single" w:color="auto" w:sz="4" w:space="0"/>
            </w:tcBorders>
            <w:vAlign w:val="center"/>
          </w:tcPr>
          <w:p w14:paraId="2AC49716">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近年财务状况</w:t>
            </w:r>
          </w:p>
        </w:tc>
        <w:tc>
          <w:tcPr>
            <w:tcW w:w="6610" w:type="dxa"/>
            <w:tcBorders>
              <w:top w:val="single" w:color="auto" w:sz="4" w:space="0"/>
              <w:left w:val="single" w:color="auto" w:sz="4" w:space="0"/>
              <w:bottom w:val="single" w:color="auto" w:sz="4" w:space="0"/>
              <w:right w:val="single" w:color="auto" w:sz="4" w:space="0"/>
            </w:tcBorders>
            <w:vAlign w:val="center"/>
          </w:tcPr>
          <w:p w14:paraId="641C0C54">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2024</w:t>
            </w:r>
            <w:r>
              <w:rPr>
                <w:rFonts w:hint="eastAsia" w:ascii="宋体" w:hAnsi="宋体" w:cs="宋体"/>
                <w:color w:val="000000" w:themeColor="text1"/>
                <w14:textFill>
                  <w14:solidFill>
                    <w14:schemeClr w14:val="tx1"/>
                  </w14:solidFill>
                </w14:textFill>
              </w:rPr>
              <w:t>年度或</w:t>
            </w:r>
            <w:r>
              <w:rPr>
                <w:rFonts w:hint="eastAsia" w:ascii="宋体" w:hAnsi="宋体" w:cs="宋体"/>
                <w:color w:val="000000" w:themeColor="text1"/>
                <w:lang w:val="en-US" w:eastAsia="zh-CN"/>
                <w14:textFill>
                  <w14:solidFill>
                    <w14:schemeClr w14:val="tx1"/>
                  </w14:solidFill>
                </w14:textFill>
              </w:rPr>
              <w:t>2025</w:t>
            </w:r>
            <w:r>
              <w:rPr>
                <w:rFonts w:hint="eastAsia" w:ascii="宋体" w:hAnsi="宋体" w:cs="宋体"/>
                <w:color w:val="000000" w:themeColor="text1"/>
                <w14:textFill>
                  <w14:solidFill>
                    <w14:schemeClr w14:val="tx1"/>
                  </w14:solidFill>
                </w14:textFill>
              </w:rPr>
              <w:t>年度</w:t>
            </w:r>
          </w:p>
        </w:tc>
      </w:tr>
      <w:tr w14:paraId="7773F089">
        <w:tblPrEx>
          <w:tblCellMar>
            <w:top w:w="0" w:type="dxa"/>
            <w:left w:w="108" w:type="dxa"/>
            <w:bottom w:w="0" w:type="dxa"/>
            <w:right w:w="108" w:type="dxa"/>
          </w:tblCellMar>
        </w:tblPrEx>
        <w:trPr>
          <w:trHeight w:val="793" w:hRule="atLeast"/>
        </w:trPr>
        <w:tc>
          <w:tcPr>
            <w:tcW w:w="1254" w:type="dxa"/>
            <w:tcBorders>
              <w:top w:val="single" w:color="auto" w:sz="4" w:space="0"/>
              <w:left w:val="single" w:color="auto" w:sz="4" w:space="0"/>
              <w:bottom w:val="single" w:color="auto" w:sz="4" w:space="0"/>
              <w:right w:val="single" w:color="auto" w:sz="4" w:space="0"/>
            </w:tcBorders>
            <w:vAlign w:val="center"/>
          </w:tcPr>
          <w:p w14:paraId="7883D0E8">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3.5.2</w:t>
            </w:r>
          </w:p>
        </w:tc>
        <w:tc>
          <w:tcPr>
            <w:tcW w:w="2030" w:type="dxa"/>
            <w:tcBorders>
              <w:top w:val="single" w:color="auto" w:sz="4" w:space="0"/>
              <w:left w:val="single" w:color="auto" w:sz="4" w:space="0"/>
              <w:bottom w:val="single" w:color="auto" w:sz="4" w:space="0"/>
              <w:right w:val="single" w:color="auto" w:sz="4" w:space="0"/>
            </w:tcBorders>
            <w:vAlign w:val="center"/>
          </w:tcPr>
          <w:p w14:paraId="17B648F3">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近年完成的类似</w:t>
            </w:r>
          </w:p>
          <w:p w14:paraId="46B2E028">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项目</w:t>
            </w:r>
          </w:p>
        </w:tc>
        <w:tc>
          <w:tcPr>
            <w:tcW w:w="6610" w:type="dxa"/>
            <w:tcBorders>
              <w:top w:val="single" w:color="auto" w:sz="4" w:space="0"/>
              <w:left w:val="single" w:color="auto" w:sz="4" w:space="0"/>
              <w:bottom w:val="single" w:color="auto" w:sz="4" w:space="0"/>
              <w:right w:val="single" w:color="auto" w:sz="4" w:space="0"/>
            </w:tcBorders>
            <w:vAlign w:val="center"/>
          </w:tcPr>
          <w:p w14:paraId="598857B1">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2022</w:t>
            </w:r>
            <w:r>
              <w:rPr>
                <w:rFonts w:hint="eastAsia" w:ascii="宋体" w:hAnsi="宋体" w:cs="宋体"/>
                <w:color w:val="000000" w:themeColor="text1"/>
                <w:szCs w:val="21"/>
                <w14:textFill>
                  <w14:solidFill>
                    <w14:schemeClr w14:val="tx1"/>
                  </w14:solidFill>
                </w14:textFill>
              </w:rPr>
              <w:t>年1月至今</w:t>
            </w:r>
          </w:p>
        </w:tc>
      </w:tr>
      <w:tr w14:paraId="77B9400D">
        <w:tblPrEx>
          <w:tblCellMar>
            <w:top w:w="0" w:type="dxa"/>
            <w:left w:w="108" w:type="dxa"/>
            <w:bottom w:w="0" w:type="dxa"/>
            <w:right w:w="108" w:type="dxa"/>
          </w:tblCellMar>
        </w:tblPrEx>
        <w:trPr>
          <w:trHeight w:val="793" w:hRule="atLeast"/>
        </w:trPr>
        <w:tc>
          <w:tcPr>
            <w:tcW w:w="1254" w:type="dxa"/>
            <w:tcBorders>
              <w:top w:val="single" w:color="auto" w:sz="4" w:space="0"/>
              <w:left w:val="single" w:color="auto" w:sz="4" w:space="0"/>
              <w:bottom w:val="single" w:color="auto" w:sz="4" w:space="0"/>
              <w:right w:val="single" w:color="auto" w:sz="4" w:space="0"/>
            </w:tcBorders>
            <w:vAlign w:val="center"/>
          </w:tcPr>
          <w:p w14:paraId="1528BCEC">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3.5.3</w:t>
            </w:r>
          </w:p>
        </w:tc>
        <w:tc>
          <w:tcPr>
            <w:tcW w:w="2030" w:type="dxa"/>
            <w:tcBorders>
              <w:top w:val="single" w:color="auto" w:sz="4" w:space="0"/>
              <w:left w:val="single" w:color="auto" w:sz="4" w:space="0"/>
              <w:bottom w:val="single" w:color="auto" w:sz="4" w:space="0"/>
              <w:right w:val="single" w:color="auto" w:sz="4" w:space="0"/>
            </w:tcBorders>
            <w:vAlign w:val="center"/>
          </w:tcPr>
          <w:p w14:paraId="2FDA0191">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近年发生的重大诉讼及仲裁情况</w:t>
            </w:r>
          </w:p>
        </w:tc>
        <w:tc>
          <w:tcPr>
            <w:tcW w:w="6610" w:type="dxa"/>
            <w:tcBorders>
              <w:top w:val="single" w:color="auto" w:sz="4" w:space="0"/>
              <w:left w:val="single" w:color="auto" w:sz="4" w:space="0"/>
              <w:bottom w:val="single" w:color="auto" w:sz="4" w:space="0"/>
              <w:right w:val="single" w:color="auto" w:sz="4" w:space="0"/>
            </w:tcBorders>
            <w:vAlign w:val="center"/>
          </w:tcPr>
          <w:p w14:paraId="246E4AD5">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2022年至今</w:t>
            </w:r>
          </w:p>
        </w:tc>
      </w:tr>
      <w:tr w14:paraId="60958DEF">
        <w:tblPrEx>
          <w:tblCellMar>
            <w:top w:w="0" w:type="dxa"/>
            <w:left w:w="108" w:type="dxa"/>
            <w:bottom w:w="0" w:type="dxa"/>
            <w:right w:w="108" w:type="dxa"/>
          </w:tblCellMar>
        </w:tblPrEx>
        <w:trPr>
          <w:trHeight w:val="793" w:hRule="atLeast"/>
        </w:trPr>
        <w:tc>
          <w:tcPr>
            <w:tcW w:w="1254" w:type="dxa"/>
            <w:tcBorders>
              <w:top w:val="single" w:color="auto" w:sz="4" w:space="0"/>
              <w:left w:val="single" w:color="auto" w:sz="4" w:space="0"/>
              <w:bottom w:val="single" w:color="auto" w:sz="4" w:space="0"/>
              <w:right w:val="single" w:color="auto" w:sz="4" w:space="0"/>
            </w:tcBorders>
            <w:vAlign w:val="center"/>
          </w:tcPr>
          <w:p w14:paraId="6FBAF869">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3.6</w:t>
            </w:r>
          </w:p>
        </w:tc>
        <w:tc>
          <w:tcPr>
            <w:tcW w:w="2030" w:type="dxa"/>
            <w:tcBorders>
              <w:top w:val="single" w:color="auto" w:sz="4" w:space="0"/>
              <w:left w:val="single" w:color="auto" w:sz="4" w:space="0"/>
              <w:bottom w:val="single" w:color="auto" w:sz="4" w:space="0"/>
              <w:right w:val="single" w:color="auto" w:sz="4" w:space="0"/>
            </w:tcBorders>
            <w:vAlign w:val="center"/>
          </w:tcPr>
          <w:p w14:paraId="0AA82EF7">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是否允许递交备选投标方案</w:t>
            </w:r>
          </w:p>
        </w:tc>
        <w:tc>
          <w:tcPr>
            <w:tcW w:w="6610" w:type="dxa"/>
            <w:tcBorders>
              <w:top w:val="single" w:color="auto" w:sz="4" w:space="0"/>
              <w:left w:val="single" w:color="auto" w:sz="4" w:space="0"/>
              <w:bottom w:val="single" w:color="auto" w:sz="4" w:space="0"/>
              <w:right w:val="single" w:color="auto" w:sz="4" w:space="0"/>
            </w:tcBorders>
            <w:vAlign w:val="center"/>
          </w:tcPr>
          <w:p w14:paraId="6652CA8A">
            <w:pPr>
              <w:pStyle w:val="15"/>
              <w:topLinePunct/>
              <w:spacing w:line="320" w:lineRule="exact"/>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☑不允许</w:t>
            </w:r>
          </w:p>
          <w:p w14:paraId="6D2CE2C1">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□允许</w:t>
            </w:r>
          </w:p>
        </w:tc>
      </w:tr>
      <w:tr w14:paraId="4FB66169">
        <w:tblPrEx>
          <w:tblCellMar>
            <w:top w:w="0" w:type="dxa"/>
            <w:left w:w="108" w:type="dxa"/>
            <w:bottom w:w="0" w:type="dxa"/>
            <w:right w:w="108" w:type="dxa"/>
          </w:tblCellMar>
        </w:tblPrEx>
        <w:trPr>
          <w:trHeight w:val="1611" w:hRule="atLeast"/>
        </w:trPr>
        <w:tc>
          <w:tcPr>
            <w:tcW w:w="1254" w:type="dxa"/>
            <w:tcBorders>
              <w:top w:val="single" w:color="auto" w:sz="4" w:space="0"/>
              <w:left w:val="single" w:color="auto" w:sz="4" w:space="0"/>
              <w:bottom w:val="single" w:color="auto" w:sz="4" w:space="0"/>
              <w:right w:val="single" w:color="auto" w:sz="4" w:space="0"/>
            </w:tcBorders>
            <w:vAlign w:val="center"/>
          </w:tcPr>
          <w:p w14:paraId="43DC593F">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3.7.1</w:t>
            </w:r>
          </w:p>
        </w:tc>
        <w:tc>
          <w:tcPr>
            <w:tcW w:w="2030" w:type="dxa"/>
            <w:tcBorders>
              <w:top w:val="single" w:color="auto" w:sz="4" w:space="0"/>
              <w:left w:val="single" w:color="auto" w:sz="4" w:space="0"/>
              <w:bottom w:val="single" w:color="auto" w:sz="4" w:space="0"/>
              <w:right w:val="single" w:color="auto" w:sz="4" w:space="0"/>
            </w:tcBorders>
            <w:vAlign w:val="center"/>
          </w:tcPr>
          <w:p w14:paraId="0C2C858A">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签字或盖章要求</w:t>
            </w:r>
          </w:p>
        </w:tc>
        <w:tc>
          <w:tcPr>
            <w:tcW w:w="6610" w:type="dxa"/>
            <w:tcBorders>
              <w:top w:val="single" w:color="auto" w:sz="4" w:space="0"/>
              <w:left w:val="single" w:color="auto" w:sz="4" w:space="0"/>
              <w:bottom w:val="single" w:color="auto" w:sz="4" w:space="0"/>
              <w:right w:val="single" w:color="auto" w:sz="4" w:space="0"/>
            </w:tcBorders>
            <w:vAlign w:val="center"/>
          </w:tcPr>
          <w:p w14:paraId="765877F8">
            <w:pPr>
              <w:spacing w:line="320" w:lineRule="exact"/>
              <w:rPr>
                <w:rFonts w:hint="eastAsia" w:ascii="宋体" w:hAnsi="宋体" w:cs="宋体"/>
                <w:b w:val="0"/>
                <w:bCs w:val="0"/>
                <w:color w:val="000000" w:themeColor="text1"/>
                <w:szCs w:val="21"/>
                <w14:textFill>
                  <w14:solidFill>
                    <w14:schemeClr w14:val="tx1"/>
                  </w14:solidFill>
                </w14:textFill>
              </w:rPr>
            </w:pPr>
            <w:r>
              <w:rPr>
                <w:rFonts w:hint="eastAsia" w:ascii="宋体" w:hAnsi="宋体" w:cs="宋体"/>
                <w:b w:val="0"/>
                <w:bCs w:val="0"/>
                <w:color w:val="000000" w:themeColor="text1"/>
                <w:szCs w:val="21"/>
                <w14:textFill>
                  <w14:solidFill>
                    <w14:schemeClr w14:val="tx1"/>
                  </w14:solidFill>
                </w14:textFill>
              </w:rPr>
              <w:t>投标文件签章要求按以下规定执行：按照投标文件格式，采用单位公章、单位数字证书签章及个人数字证书电子签名均为有效。</w:t>
            </w:r>
          </w:p>
          <w:p w14:paraId="4AF3D7BA">
            <w:pPr>
              <w:spacing w:line="320" w:lineRule="exact"/>
              <w:rPr>
                <w:rFonts w:hint="eastAsia" w:ascii="宋体" w:hAnsi="宋体" w:cs="宋体"/>
                <w:b w:val="0"/>
                <w:bCs w:val="0"/>
                <w:color w:val="000000" w:themeColor="text1"/>
                <w:szCs w:val="21"/>
                <w14:textFill>
                  <w14:solidFill>
                    <w14:schemeClr w14:val="tx1"/>
                  </w14:solidFill>
                </w14:textFill>
              </w:rPr>
            </w:pPr>
            <w:r>
              <w:rPr>
                <w:rFonts w:hint="eastAsia" w:ascii="宋体" w:hAnsi="宋体" w:cs="宋体"/>
                <w:b w:val="0"/>
                <w:bCs w:val="0"/>
                <w:color w:val="000000" w:themeColor="text1"/>
                <w:szCs w:val="21"/>
                <w14:textFill>
                  <w14:solidFill>
                    <w14:schemeClr w14:val="tx1"/>
                  </w14:solidFill>
                </w14:textFill>
              </w:rPr>
              <w:t>注：1.在需要电子签章（或盖章）的地方进行电子签章（或盖章），无需逐页电子签章（或盖章）。</w:t>
            </w:r>
          </w:p>
          <w:p w14:paraId="64886342">
            <w:pPr>
              <w:spacing w:line="320" w:lineRule="exact"/>
              <w:rPr>
                <w:rFonts w:hint="eastAsia" w:ascii="宋体" w:hAnsi="宋体" w:cs="宋体"/>
                <w:b w:val="0"/>
                <w:bCs w:val="0"/>
                <w:color w:val="000000" w:themeColor="text1"/>
                <w:szCs w:val="21"/>
                <w14:textFill>
                  <w14:solidFill>
                    <w14:schemeClr w14:val="tx1"/>
                  </w14:solidFill>
                </w14:textFill>
              </w:rPr>
            </w:pPr>
            <w:r>
              <w:rPr>
                <w:rFonts w:hint="eastAsia" w:ascii="宋体" w:hAnsi="宋体" w:cs="宋体"/>
                <w:b w:val="0"/>
                <w:bCs w:val="0"/>
                <w:color w:val="000000" w:themeColor="text1"/>
                <w:szCs w:val="21"/>
                <w14:textFill>
                  <w14:solidFill>
                    <w14:schemeClr w14:val="tx1"/>
                  </w14:solidFill>
                </w14:textFill>
              </w:rPr>
              <w:t>2.如为联合体投标的，投标人电子签章均指联合体牵头人。</w:t>
            </w:r>
          </w:p>
        </w:tc>
      </w:tr>
      <w:tr w14:paraId="2039D53A">
        <w:tblPrEx>
          <w:tblCellMar>
            <w:top w:w="0" w:type="dxa"/>
            <w:left w:w="108" w:type="dxa"/>
            <w:bottom w:w="0" w:type="dxa"/>
            <w:right w:w="108" w:type="dxa"/>
          </w:tblCellMar>
        </w:tblPrEx>
        <w:trPr>
          <w:trHeight w:val="220" w:hRule="atLeast"/>
        </w:trPr>
        <w:tc>
          <w:tcPr>
            <w:tcW w:w="1254" w:type="dxa"/>
            <w:tcBorders>
              <w:top w:val="single" w:color="auto" w:sz="4" w:space="0"/>
              <w:left w:val="single" w:color="auto" w:sz="4" w:space="0"/>
              <w:bottom w:val="single" w:color="auto" w:sz="4" w:space="0"/>
              <w:right w:val="single" w:color="auto" w:sz="4" w:space="0"/>
            </w:tcBorders>
            <w:vAlign w:val="center"/>
          </w:tcPr>
          <w:p w14:paraId="768C89F9">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3.7.2</w:t>
            </w:r>
          </w:p>
        </w:tc>
        <w:tc>
          <w:tcPr>
            <w:tcW w:w="2030" w:type="dxa"/>
            <w:tcBorders>
              <w:top w:val="single" w:color="auto" w:sz="4" w:space="0"/>
              <w:left w:val="single" w:color="auto" w:sz="4" w:space="0"/>
              <w:bottom w:val="single" w:color="auto" w:sz="4" w:space="0"/>
              <w:right w:val="single" w:color="auto" w:sz="4" w:space="0"/>
            </w:tcBorders>
            <w:vAlign w:val="center"/>
          </w:tcPr>
          <w:p w14:paraId="08E41DB2">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投标文件份数</w:t>
            </w:r>
          </w:p>
        </w:tc>
        <w:tc>
          <w:tcPr>
            <w:tcW w:w="6610" w:type="dxa"/>
            <w:tcBorders>
              <w:top w:val="single" w:color="auto" w:sz="4" w:space="0"/>
              <w:left w:val="single" w:color="auto" w:sz="4" w:space="0"/>
              <w:bottom w:val="single" w:color="auto" w:sz="4" w:space="0"/>
              <w:right w:val="single" w:color="auto" w:sz="4" w:space="0"/>
            </w:tcBorders>
            <w:vAlign w:val="center"/>
          </w:tcPr>
          <w:p w14:paraId="6F411CAD">
            <w:pPr>
              <w:pStyle w:val="35"/>
              <w:spacing w:before="0" w:beforeAutospacing="0" w:after="0" w:afterAutospacing="0" w:line="320" w:lineRule="exact"/>
              <w:rPr>
                <w:rFonts w:cs="宋体"/>
                <w:b w:val="0"/>
                <w:bCs w:val="0"/>
                <w:color w:val="000000" w:themeColor="text1"/>
                <w:kern w:val="2"/>
                <w:sz w:val="21"/>
                <w:szCs w:val="21"/>
                <w14:textFill>
                  <w14:solidFill>
                    <w14:schemeClr w14:val="tx1"/>
                  </w14:solidFill>
                </w14:textFill>
              </w:rPr>
            </w:pPr>
            <w:r>
              <w:rPr>
                <w:rFonts w:cs="宋体"/>
                <w:b w:val="0"/>
                <w:bCs w:val="0"/>
                <w:color w:val="000000" w:themeColor="text1"/>
                <w:kern w:val="2"/>
                <w:sz w:val="21"/>
                <w:szCs w:val="21"/>
                <w14:textFill>
                  <w14:solidFill>
                    <w14:schemeClr w14:val="tx1"/>
                  </w14:solidFill>
                </w14:textFill>
              </w:rPr>
              <w:t>1、网上递交电子投标文件：递交网址为</w:t>
            </w:r>
            <w:r>
              <w:rPr>
                <w:rFonts w:hint="eastAsia" w:cs="宋体"/>
                <w:b w:val="0"/>
                <w:bCs w:val="0"/>
                <w:color w:val="000000" w:themeColor="text1"/>
                <w:kern w:val="2"/>
                <w:sz w:val="21"/>
                <w:szCs w:val="21"/>
                <w:lang w:eastAsia="zh-CN"/>
                <w14:textFill>
                  <w14:solidFill>
                    <w14:schemeClr w14:val="tx1"/>
                  </w14:solidFill>
                </w14:textFill>
              </w:rPr>
              <w:t>全国公共资源交易平台（云南省）/云南省公共资源交易信息网（网址：http://gzy.yn.gov.cn/)，选择地区“红河州”，切换至“红河州公共资源交易电子服务系统/全国公共资源交易平台（云南省·红河州）</w:t>
            </w:r>
            <w:r>
              <w:rPr>
                <w:rFonts w:cs="宋体"/>
                <w:b w:val="0"/>
                <w:bCs w:val="0"/>
                <w:color w:val="000000" w:themeColor="text1"/>
                <w:kern w:val="2"/>
                <w:sz w:val="21"/>
                <w:szCs w:val="21"/>
                <w14:textFill>
                  <w14:solidFill>
                    <w14:schemeClr w14:val="tx1"/>
                  </w14:solidFill>
                </w14:textFill>
              </w:rPr>
              <w:t>，投标人须在投标截止时间前完成所有电子投标文件的上传，网上确认电子签名，并打印“上传投标文件回执”，投标截止时间前未完成投标文件传输的，视为撤回投标文件；</w:t>
            </w:r>
          </w:p>
          <w:p w14:paraId="4E5E364D">
            <w:pPr>
              <w:spacing w:line="400" w:lineRule="exact"/>
              <w:rPr>
                <w:rFonts w:hint="eastAsia" w:ascii="宋体" w:hAnsi="宋体" w:cs="宋体"/>
                <w:b w:val="0"/>
                <w:bCs w:val="0"/>
                <w:color w:val="000000" w:themeColor="text1"/>
                <w14:textFill>
                  <w14:solidFill>
                    <w14:schemeClr w14:val="tx1"/>
                  </w14:solidFill>
                </w14:textFill>
              </w:rPr>
            </w:pPr>
            <w:r>
              <w:rPr>
                <w:rFonts w:hint="eastAsia" w:ascii="宋体" w:hAnsi="宋体" w:cs="宋体"/>
                <w:b w:val="0"/>
                <w:bCs w:val="0"/>
                <w:color w:val="000000" w:themeColor="text1"/>
                <w14:textFill>
                  <w14:solidFill>
                    <w14:schemeClr w14:val="tx1"/>
                  </w14:solidFill>
                </w14:textFill>
              </w:rPr>
              <w:t>2、中标人中标后还须递交投标文件U盘一份（内含格式为.doc或.pdf格式全套盖公章的投标文件资料及格式为*.BTBJ电子投标文件一份）、</w:t>
            </w:r>
          </w:p>
          <w:p w14:paraId="017E182B">
            <w:pPr>
              <w:spacing w:line="320" w:lineRule="exact"/>
              <w:rPr>
                <w:rFonts w:hint="eastAsia" w:ascii="宋体" w:hAnsi="宋体" w:cs="宋体"/>
                <w:b w:val="0"/>
                <w:bCs w:val="0"/>
                <w:color w:val="000000" w:themeColor="text1"/>
                <w14:textFill>
                  <w14:solidFill>
                    <w14:schemeClr w14:val="tx1"/>
                  </w14:solidFill>
                </w14:textFill>
              </w:rPr>
            </w:pPr>
            <w:r>
              <w:rPr>
                <w:rFonts w:hint="eastAsia" w:ascii="宋体" w:hAnsi="宋体" w:cs="宋体"/>
                <w:b w:val="0"/>
                <w:bCs w:val="0"/>
                <w:color w:val="000000" w:themeColor="text1"/>
                <w14:textFill>
                  <w14:solidFill>
                    <w14:schemeClr w14:val="tx1"/>
                  </w14:solidFill>
                </w14:textFill>
              </w:rPr>
              <w:t>彩色纸质投标文件三份（由中标人承担复印费用）。</w:t>
            </w:r>
          </w:p>
        </w:tc>
      </w:tr>
      <w:tr w14:paraId="032F9F3E">
        <w:tblPrEx>
          <w:tblCellMar>
            <w:top w:w="0" w:type="dxa"/>
            <w:left w:w="108" w:type="dxa"/>
            <w:bottom w:w="0" w:type="dxa"/>
            <w:right w:w="108" w:type="dxa"/>
          </w:tblCellMar>
        </w:tblPrEx>
        <w:trPr>
          <w:trHeight w:val="793" w:hRule="atLeast"/>
        </w:trPr>
        <w:tc>
          <w:tcPr>
            <w:tcW w:w="1254" w:type="dxa"/>
            <w:tcBorders>
              <w:top w:val="single" w:color="auto" w:sz="4" w:space="0"/>
              <w:left w:val="single" w:color="auto" w:sz="4" w:space="0"/>
              <w:bottom w:val="single" w:color="auto" w:sz="4" w:space="0"/>
              <w:right w:val="single" w:color="auto" w:sz="4" w:space="0"/>
            </w:tcBorders>
            <w:vAlign w:val="center"/>
          </w:tcPr>
          <w:p w14:paraId="171564A5">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3.7.3</w:t>
            </w:r>
          </w:p>
        </w:tc>
        <w:tc>
          <w:tcPr>
            <w:tcW w:w="2030" w:type="dxa"/>
            <w:tcBorders>
              <w:top w:val="single" w:color="auto" w:sz="4" w:space="0"/>
              <w:left w:val="single" w:color="auto" w:sz="4" w:space="0"/>
              <w:bottom w:val="single" w:color="auto" w:sz="4" w:space="0"/>
              <w:right w:val="single" w:color="auto" w:sz="4" w:space="0"/>
            </w:tcBorders>
            <w:vAlign w:val="center"/>
          </w:tcPr>
          <w:p w14:paraId="16A959FD">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装订要求</w:t>
            </w:r>
          </w:p>
        </w:tc>
        <w:tc>
          <w:tcPr>
            <w:tcW w:w="6610" w:type="dxa"/>
            <w:tcBorders>
              <w:top w:val="single" w:color="auto" w:sz="4" w:space="0"/>
              <w:left w:val="single" w:color="auto" w:sz="4" w:space="0"/>
              <w:bottom w:val="single" w:color="auto" w:sz="4" w:space="0"/>
              <w:right w:val="single" w:color="auto" w:sz="4" w:space="0"/>
            </w:tcBorders>
            <w:vAlign w:val="center"/>
          </w:tcPr>
          <w:p w14:paraId="799009C1">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中标人提交的投标文件应装订成册，采用订本式或胶装式进行装订，不得采用活页方式进行装订。</w:t>
            </w:r>
          </w:p>
        </w:tc>
      </w:tr>
      <w:tr w14:paraId="2A531DBE">
        <w:tblPrEx>
          <w:tblCellMar>
            <w:top w:w="0" w:type="dxa"/>
            <w:left w:w="108" w:type="dxa"/>
            <w:bottom w:w="0" w:type="dxa"/>
            <w:right w:w="108" w:type="dxa"/>
          </w:tblCellMar>
        </w:tblPrEx>
        <w:trPr>
          <w:trHeight w:val="793" w:hRule="atLeast"/>
        </w:trPr>
        <w:tc>
          <w:tcPr>
            <w:tcW w:w="1254" w:type="dxa"/>
            <w:tcBorders>
              <w:top w:val="single" w:color="auto" w:sz="4" w:space="0"/>
              <w:left w:val="single" w:color="auto" w:sz="4" w:space="0"/>
              <w:bottom w:val="single" w:color="auto" w:sz="4" w:space="0"/>
              <w:right w:val="single" w:color="auto" w:sz="4" w:space="0"/>
            </w:tcBorders>
            <w:vAlign w:val="center"/>
          </w:tcPr>
          <w:p w14:paraId="2829BADD">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4.1</w:t>
            </w:r>
          </w:p>
        </w:tc>
        <w:tc>
          <w:tcPr>
            <w:tcW w:w="2030" w:type="dxa"/>
            <w:tcBorders>
              <w:top w:val="single" w:color="auto" w:sz="4" w:space="0"/>
              <w:left w:val="single" w:color="auto" w:sz="4" w:space="0"/>
              <w:bottom w:val="single" w:color="auto" w:sz="4" w:space="0"/>
              <w:right w:val="single" w:color="auto" w:sz="4" w:space="0"/>
            </w:tcBorders>
            <w:vAlign w:val="center"/>
          </w:tcPr>
          <w:p w14:paraId="7DFA4B71">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投标文件的密封和标记</w:t>
            </w:r>
          </w:p>
        </w:tc>
        <w:tc>
          <w:tcPr>
            <w:tcW w:w="6610" w:type="dxa"/>
            <w:tcBorders>
              <w:top w:val="single" w:color="auto" w:sz="4" w:space="0"/>
              <w:left w:val="single" w:color="auto" w:sz="4" w:space="0"/>
              <w:bottom w:val="single" w:color="auto" w:sz="4" w:space="0"/>
              <w:right w:val="single" w:color="auto" w:sz="4" w:space="0"/>
            </w:tcBorders>
            <w:vAlign w:val="center"/>
          </w:tcPr>
          <w:p w14:paraId="402AD55E">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网上提交的投标文件应使用数字证书进行加密</w:t>
            </w:r>
          </w:p>
        </w:tc>
      </w:tr>
      <w:tr w14:paraId="1EC5A828">
        <w:tblPrEx>
          <w:tblCellMar>
            <w:top w:w="0" w:type="dxa"/>
            <w:left w:w="108" w:type="dxa"/>
            <w:bottom w:w="0" w:type="dxa"/>
            <w:right w:w="108" w:type="dxa"/>
          </w:tblCellMar>
        </w:tblPrEx>
        <w:trPr>
          <w:trHeight w:val="793" w:hRule="atLeast"/>
        </w:trPr>
        <w:tc>
          <w:tcPr>
            <w:tcW w:w="1254" w:type="dxa"/>
            <w:tcBorders>
              <w:top w:val="single" w:color="auto" w:sz="4" w:space="0"/>
              <w:left w:val="single" w:color="auto" w:sz="4" w:space="0"/>
              <w:bottom w:val="single" w:color="auto" w:sz="4" w:space="0"/>
              <w:right w:val="single" w:color="auto" w:sz="4" w:space="0"/>
            </w:tcBorders>
            <w:vAlign w:val="center"/>
          </w:tcPr>
          <w:p w14:paraId="09EE7878">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4.2</w:t>
            </w:r>
          </w:p>
        </w:tc>
        <w:tc>
          <w:tcPr>
            <w:tcW w:w="2030" w:type="dxa"/>
            <w:tcBorders>
              <w:top w:val="single" w:color="auto" w:sz="4" w:space="0"/>
              <w:left w:val="single" w:color="auto" w:sz="4" w:space="0"/>
              <w:bottom w:val="single" w:color="auto" w:sz="4" w:space="0"/>
              <w:right w:val="single" w:color="auto" w:sz="4" w:space="0"/>
            </w:tcBorders>
            <w:vAlign w:val="center"/>
          </w:tcPr>
          <w:p w14:paraId="631EC570">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现场解密投标文件地点</w:t>
            </w:r>
          </w:p>
        </w:tc>
        <w:tc>
          <w:tcPr>
            <w:tcW w:w="6610" w:type="dxa"/>
            <w:tcBorders>
              <w:top w:val="single" w:color="auto" w:sz="4" w:space="0"/>
              <w:left w:val="single" w:color="auto" w:sz="4" w:space="0"/>
              <w:bottom w:val="single" w:color="auto" w:sz="4" w:space="0"/>
              <w:right w:val="single" w:color="auto" w:sz="4" w:space="0"/>
            </w:tcBorders>
            <w:vAlign w:val="center"/>
          </w:tcPr>
          <w:p w14:paraId="30802242">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32"/>
                <w:szCs w:val="40"/>
                <w14:textFill>
                  <w14:solidFill>
                    <w14:schemeClr w14:val="tx1"/>
                  </w14:solidFill>
                </w14:textFill>
              </w:rPr>
              <w:t>/</w:t>
            </w:r>
          </w:p>
        </w:tc>
      </w:tr>
      <w:tr w14:paraId="56F1E06B">
        <w:tblPrEx>
          <w:tblCellMar>
            <w:top w:w="0" w:type="dxa"/>
            <w:left w:w="108" w:type="dxa"/>
            <w:bottom w:w="0" w:type="dxa"/>
            <w:right w:w="108" w:type="dxa"/>
          </w:tblCellMar>
        </w:tblPrEx>
        <w:trPr>
          <w:trHeight w:val="793" w:hRule="atLeast"/>
        </w:trPr>
        <w:tc>
          <w:tcPr>
            <w:tcW w:w="1254" w:type="dxa"/>
            <w:tcBorders>
              <w:top w:val="single" w:color="auto" w:sz="4" w:space="0"/>
              <w:left w:val="single" w:color="auto" w:sz="4" w:space="0"/>
              <w:bottom w:val="single" w:color="auto" w:sz="4" w:space="0"/>
              <w:right w:val="single" w:color="auto" w:sz="4" w:space="0"/>
            </w:tcBorders>
            <w:vAlign w:val="center"/>
          </w:tcPr>
          <w:p w14:paraId="2A445586">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4.3</w:t>
            </w:r>
          </w:p>
        </w:tc>
        <w:tc>
          <w:tcPr>
            <w:tcW w:w="2030" w:type="dxa"/>
            <w:tcBorders>
              <w:top w:val="single" w:color="auto" w:sz="4" w:space="0"/>
              <w:left w:val="single" w:color="auto" w:sz="4" w:space="0"/>
              <w:bottom w:val="single" w:color="auto" w:sz="4" w:space="0"/>
              <w:right w:val="single" w:color="auto" w:sz="4" w:space="0"/>
            </w:tcBorders>
            <w:vAlign w:val="center"/>
          </w:tcPr>
          <w:p w14:paraId="069DEF23">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是否退还投标文件</w:t>
            </w:r>
          </w:p>
        </w:tc>
        <w:tc>
          <w:tcPr>
            <w:tcW w:w="6610" w:type="dxa"/>
            <w:tcBorders>
              <w:top w:val="single" w:color="auto" w:sz="4" w:space="0"/>
              <w:left w:val="single" w:color="auto" w:sz="4" w:space="0"/>
              <w:bottom w:val="single" w:color="auto" w:sz="4" w:space="0"/>
              <w:right w:val="single" w:color="auto" w:sz="4" w:space="0"/>
            </w:tcBorders>
            <w:vAlign w:val="center"/>
          </w:tcPr>
          <w:p w14:paraId="643EE8EB">
            <w:pPr>
              <w:pStyle w:val="15"/>
              <w:topLinePunct/>
              <w:spacing w:line="320" w:lineRule="exact"/>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☑否</w:t>
            </w:r>
          </w:p>
          <w:p w14:paraId="189789EC">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是</w:t>
            </w:r>
          </w:p>
        </w:tc>
      </w:tr>
      <w:tr w14:paraId="509ECBC1">
        <w:tblPrEx>
          <w:tblCellMar>
            <w:top w:w="0" w:type="dxa"/>
            <w:left w:w="108" w:type="dxa"/>
            <w:bottom w:w="0" w:type="dxa"/>
            <w:right w:w="108" w:type="dxa"/>
          </w:tblCellMar>
        </w:tblPrEx>
        <w:trPr>
          <w:trHeight w:val="1180" w:hRule="atLeast"/>
        </w:trPr>
        <w:tc>
          <w:tcPr>
            <w:tcW w:w="1254" w:type="dxa"/>
            <w:tcBorders>
              <w:top w:val="single" w:color="auto" w:sz="4" w:space="0"/>
              <w:left w:val="single" w:color="auto" w:sz="4" w:space="0"/>
              <w:bottom w:val="single" w:color="auto" w:sz="4" w:space="0"/>
              <w:right w:val="single" w:color="auto" w:sz="4" w:space="0"/>
            </w:tcBorders>
            <w:vAlign w:val="center"/>
          </w:tcPr>
          <w:p w14:paraId="040930C5">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5.1</w:t>
            </w:r>
          </w:p>
        </w:tc>
        <w:tc>
          <w:tcPr>
            <w:tcW w:w="2030" w:type="dxa"/>
            <w:tcBorders>
              <w:top w:val="single" w:color="auto" w:sz="4" w:space="0"/>
              <w:left w:val="single" w:color="auto" w:sz="4" w:space="0"/>
              <w:bottom w:val="single" w:color="auto" w:sz="4" w:space="0"/>
              <w:right w:val="single" w:color="auto" w:sz="4" w:space="0"/>
            </w:tcBorders>
            <w:vAlign w:val="center"/>
          </w:tcPr>
          <w:p w14:paraId="4F7DA1C6">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开标时间和地点</w:t>
            </w:r>
          </w:p>
        </w:tc>
        <w:tc>
          <w:tcPr>
            <w:tcW w:w="6610" w:type="dxa"/>
            <w:tcBorders>
              <w:top w:val="single" w:color="auto" w:sz="4" w:space="0"/>
              <w:left w:val="single" w:color="auto" w:sz="4" w:space="0"/>
              <w:bottom w:val="single" w:color="auto" w:sz="4" w:space="0"/>
              <w:right w:val="single" w:color="auto" w:sz="4" w:space="0"/>
            </w:tcBorders>
            <w:vAlign w:val="center"/>
          </w:tcPr>
          <w:p w14:paraId="57C440A1">
            <w:pPr>
              <w:spacing w:line="320" w:lineRule="exact"/>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开标时间：</w:t>
            </w:r>
            <w:r>
              <w:rPr>
                <w:rFonts w:hint="eastAsia" w:ascii="宋体" w:hAnsi="宋体" w:cs="宋体"/>
                <w:b/>
                <w:color w:val="000000" w:themeColor="text1"/>
                <w:szCs w:val="21"/>
                <w:u w:val="single"/>
                <w:lang w:val="en-US" w:eastAsia="zh-CN"/>
                <w14:textFill>
                  <w14:solidFill>
                    <w14:schemeClr w14:val="tx1"/>
                  </w14:solidFill>
                </w14:textFill>
              </w:rPr>
              <w:t>2026</w:t>
            </w:r>
            <w:r>
              <w:rPr>
                <w:rFonts w:hint="eastAsia" w:ascii="宋体" w:hAnsi="宋体" w:cs="宋体"/>
                <w:b/>
                <w:color w:val="000000" w:themeColor="text1"/>
                <w:szCs w:val="21"/>
                <w:u w:val="single"/>
                <w14:textFill>
                  <w14:solidFill>
                    <w14:schemeClr w14:val="tx1"/>
                  </w14:solidFill>
                </w14:textFill>
              </w:rPr>
              <w:t>年</w:t>
            </w:r>
            <w:r>
              <w:rPr>
                <w:rFonts w:hint="eastAsia" w:ascii="宋体" w:hAnsi="宋体" w:cs="宋体"/>
                <w:b/>
                <w:color w:val="000000" w:themeColor="text1"/>
                <w:szCs w:val="21"/>
                <w:u w:val="single"/>
                <w:lang w:val="en-US" w:eastAsia="zh-CN"/>
                <w14:textFill>
                  <w14:solidFill>
                    <w14:schemeClr w14:val="tx1"/>
                  </w14:solidFill>
                </w14:textFill>
              </w:rPr>
              <w:t xml:space="preserve">   </w:t>
            </w:r>
            <w:r>
              <w:rPr>
                <w:rFonts w:hint="eastAsia" w:ascii="宋体" w:hAnsi="宋体" w:cs="宋体"/>
                <w:b/>
                <w:color w:val="000000" w:themeColor="text1"/>
                <w:szCs w:val="21"/>
                <w:u w:val="single"/>
                <w14:textFill>
                  <w14:solidFill>
                    <w14:schemeClr w14:val="tx1"/>
                  </w14:solidFill>
                </w14:textFill>
              </w:rPr>
              <w:t>月</w:t>
            </w:r>
            <w:r>
              <w:rPr>
                <w:rFonts w:hint="eastAsia" w:ascii="宋体" w:hAnsi="宋体" w:cs="宋体"/>
                <w:b/>
                <w:color w:val="000000" w:themeColor="text1"/>
                <w:szCs w:val="21"/>
                <w:u w:val="single"/>
                <w:lang w:val="en-US" w:eastAsia="zh-CN"/>
                <w14:textFill>
                  <w14:solidFill>
                    <w14:schemeClr w14:val="tx1"/>
                  </w14:solidFill>
                </w14:textFill>
              </w:rPr>
              <w:t xml:space="preserve">   </w:t>
            </w:r>
            <w:r>
              <w:rPr>
                <w:rFonts w:hint="eastAsia" w:ascii="宋体" w:hAnsi="宋体" w:cs="宋体"/>
                <w:b/>
                <w:color w:val="000000" w:themeColor="text1"/>
                <w:szCs w:val="21"/>
                <w:u w:val="single"/>
                <w14:textFill>
                  <w14:solidFill>
                    <w14:schemeClr w14:val="tx1"/>
                  </w14:solidFill>
                </w14:textFill>
              </w:rPr>
              <w:t>日上午</w:t>
            </w:r>
            <w:r>
              <w:rPr>
                <w:rFonts w:hint="eastAsia" w:ascii="宋体" w:hAnsi="宋体" w:cs="宋体"/>
                <w:b/>
                <w:color w:val="000000" w:themeColor="text1"/>
                <w:szCs w:val="21"/>
                <w:u w:val="single"/>
                <w:lang w:eastAsia="zh-CN"/>
                <w14:textFill>
                  <w14:solidFill>
                    <w14:schemeClr w14:val="tx1"/>
                  </w14:solidFill>
                </w14:textFill>
              </w:rPr>
              <w:t>8点30分</w:t>
            </w:r>
          </w:p>
          <w:p w14:paraId="430DD045">
            <w:pPr>
              <w:spacing w:line="320" w:lineRule="exact"/>
              <w:ind w:left="1050" w:hanging="1050" w:hangingChars="5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开标地点：</w:t>
            </w:r>
            <w:r>
              <w:rPr>
                <w:rFonts w:hint="eastAsia" w:ascii="宋体" w:hAnsi="宋体" w:cs="宋体"/>
                <w:b/>
                <w:color w:val="000000" w:themeColor="text1"/>
                <w:szCs w:val="21"/>
                <w:u w:val="single"/>
                <w:lang w:val="en-US" w:eastAsia="zh-CN"/>
                <w14:textFill>
                  <w14:solidFill>
                    <w14:schemeClr w14:val="tx1"/>
                  </w14:solidFill>
                </w14:textFill>
              </w:rPr>
              <w:t>红河州</w:t>
            </w:r>
            <w:r>
              <w:rPr>
                <w:rFonts w:hint="eastAsia" w:ascii="宋体" w:hAnsi="宋体" w:cs="宋体"/>
                <w:b/>
                <w:color w:val="000000" w:themeColor="text1"/>
                <w:szCs w:val="21"/>
                <w:u w:val="single"/>
                <w14:textFill>
                  <w14:solidFill>
                    <w14:schemeClr w14:val="tx1"/>
                  </w14:solidFill>
                </w14:textFill>
              </w:rPr>
              <w:t>公共资源交易中心</w:t>
            </w:r>
          </w:p>
        </w:tc>
      </w:tr>
      <w:tr w14:paraId="3C5727FC">
        <w:tblPrEx>
          <w:tblCellMar>
            <w:top w:w="0" w:type="dxa"/>
            <w:left w:w="108" w:type="dxa"/>
            <w:bottom w:w="0" w:type="dxa"/>
            <w:right w:w="108" w:type="dxa"/>
          </w:tblCellMar>
        </w:tblPrEx>
        <w:trPr>
          <w:trHeight w:val="1381" w:hRule="atLeast"/>
        </w:trPr>
        <w:tc>
          <w:tcPr>
            <w:tcW w:w="1254" w:type="dxa"/>
            <w:tcBorders>
              <w:top w:val="single" w:color="auto" w:sz="4" w:space="0"/>
              <w:left w:val="single" w:color="auto" w:sz="4" w:space="0"/>
              <w:bottom w:val="single" w:color="auto" w:sz="4" w:space="0"/>
              <w:right w:val="single" w:color="auto" w:sz="4" w:space="0"/>
            </w:tcBorders>
            <w:vAlign w:val="center"/>
          </w:tcPr>
          <w:p w14:paraId="6F8837E2">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5.2</w:t>
            </w:r>
          </w:p>
        </w:tc>
        <w:tc>
          <w:tcPr>
            <w:tcW w:w="2030" w:type="dxa"/>
            <w:tcBorders>
              <w:top w:val="single" w:color="auto" w:sz="4" w:space="0"/>
              <w:left w:val="single" w:color="auto" w:sz="4" w:space="0"/>
              <w:bottom w:val="single" w:color="auto" w:sz="4" w:space="0"/>
              <w:right w:val="single" w:color="auto" w:sz="4" w:space="0"/>
            </w:tcBorders>
            <w:vAlign w:val="center"/>
          </w:tcPr>
          <w:p w14:paraId="3EFAA7FC">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开标程序</w:t>
            </w:r>
          </w:p>
        </w:tc>
        <w:tc>
          <w:tcPr>
            <w:tcW w:w="6610" w:type="dxa"/>
            <w:tcBorders>
              <w:top w:val="single" w:color="auto" w:sz="4" w:space="0"/>
              <w:left w:val="single" w:color="auto" w:sz="4" w:space="0"/>
              <w:bottom w:val="single" w:color="auto" w:sz="4" w:space="0"/>
              <w:right w:val="single" w:color="auto" w:sz="4" w:space="0"/>
            </w:tcBorders>
            <w:vAlign w:val="center"/>
          </w:tcPr>
          <w:p w14:paraId="3F787FE1">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开标顺序：□随机开启</w:t>
            </w:r>
          </w:p>
          <w:p w14:paraId="090B8837">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□按递交先后顺序开启</w:t>
            </w:r>
          </w:p>
          <w:p w14:paraId="3F2494AE">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☑其他开启方式：</w:t>
            </w:r>
            <w:r>
              <w:rPr>
                <w:rFonts w:hint="eastAsia" w:ascii="宋体" w:hAnsi="宋体" w:cs="宋体"/>
                <w:color w:val="000000" w:themeColor="text1"/>
                <w:szCs w:val="21"/>
                <w:u w:val="single"/>
                <w14:textFill>
                  <w14:solidFill>
                    <w14:schemeClr w14:val="tx1"/>
                  </w14:solidFill>
                </w14:textFill>
              </w:rPr>
              <w:t>按照交易平台自动提取所有投标人的顺序当众开标</w:t>
            </w:r>
          </w:p>
        </w:tc>
      </w:tr>
      <w:tr w14:paraId="47DC7E19">
        <w:tblPrEx>
          <w:tblCellMar>
            <w:top w:w="0" w:type="dxa"/>
            <w:left w:w="108" w:type="dxa"/>
            <w:bottom w:w="0" w:type="dxa"/>
            <w:right w:w="108" w:type="dxa"/>
          </w:tblCellMar>
        </w:tblPrEx>
        <w:trPr>
          <w:trHeight w:val="1433" w:hRule="atLeast"/>
        </w:trPr>
        <w:tc>
          <w:tcPr>
            <w:tcW w:w="1254" w:type="dxa"/>
            <w:tcBorders>
              <w:top w:val="single" w:color="auto" w:sz="4" w:space="0"/>
              <w:left w:val="single" w:color="auto" w:sz="4" w:space="0"/>
              <w:bottom w:val="single" w:color="auto" w:sz="4" w:space="0"/>
              <w:right w:val="single" w:color="auto" w:sz="4" w:space="0"/>
            </w:tcBorders>
            <w:vAlign w:val="center"/>
          </w:tcPr>
          <w:p w14:paraId="0561CC5F">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6.1</w:t>
            </w:r>
          </w:p>
        </w:tc>
        <w:tc>
          <w:tcPr>
            <w:tcW w:w="2030" w:type="dxa"/>
            <w:tcBorders>
              <w:top w:val="single" w:color="auto" w:sz="4" w:space="0"/>
              <w:left w:val="single" w:color="auto" w:sz="4" w:space="0"/>
              <w:bottom w:val="single" w:color="auto" w:sz="4" w:space="0"/>
              <w:right w:val="single" w:color="auto" w:sz="4" w:space="0"/>
            </w:tcBorders>
            <w:vAlign w:val="center"/>
          </w:tcPr>
          <w:p w14:paraId="442C7D1A">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评标委员会的组建</w:t>
            </w:r>
          </w:p>
        </w:tc>
        <w:tc>
          <w:tcPr>
            <w:tcW w:w="6610" w:type="dxa"/>
            <w:tcBorders>
              <w:top w:val="single" w:color="auto" w:sz="4" w:space="0"/>
              <w:left w:val="single" w:color="auto" w:sz="4" w:space="0"/>
              <w:bottom w:val="single" w:color="auto" w:sz="4" w:space="0"/>
              <w:right w:val="single" w:color="auto" w:sz="4" w:space="0"/>
            </w:tcBorders>
            <w:vAlign w:val="center"/>
          </w:tcPr>
          <w:p w14:paraId="03E32282">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评标委员会的组建：人员人数为5人以上单数组成，其中技术、经济等方面的专家不少于成员总数的三分之二。</w:t>
            </w:r>
            <w:r>
              <w:rPr>
                <w:rFonts w:hint="eastAsia" w:ascii="宋体" w:hAnsi="宋体" w:cs="宋体"/>
                <w:color w:val="000000" w:themeColor="text1"/>
                <w:szCs w:val="21"/>
                <w14:textFill>
                  <w14:solidFill>
                    <w14:schemeClr w14:val="tx1"/>
                  </w14:solidFill>
                </w14:textFill>
              </w:rPr>
              <w:br w:type="textWrapping"/>
            </w:r>
            <w:r>
              <w:rPr>
                <w:rFonts w:hint="eastAsia" w:ascii="宋体" w:hAnsi="宋体" w:cs="宋体"/>
                <w:color w:val="000000" w:themeColor="text1"/>
                <w:szCs w:val="21"/>
                <w14:textFill>
                  <w14:solidFill>
                    <w14:schemeClr w14:val="tx1"/>
                  </w14:solidFill>
                </w14:textFill>
              </w:rPr>
              <w:t>评标专家确定方式：在云南省综合评标专家库(http//ggzy.yn.gov.cn/zhuanjia/）中随机抽取。</w:t>
            </w:r>
          </w:p>
        </w:tc>
      </w:tr>
      <w:tr w14:paraId="21F8CF75">
        <w:tblPrEx>
          <w:tblCellMar>
            <w:top w:w="0" w:type="dxa"/>
            <w:left w:w="108" w:type="dxa"/>
            <w:bottom w:w="0" w:type="dxa"/>
            <w:right w:w="108" w:type="dxa"/>
          </w:tblCellMar>
        </w:tblPrEx>
        <w:trPr>
          <w:trHeight w:val="793" w:hRule="atLeast"/>
        </w:trPr>
        <w:tc>
          <w:tcPr>
            <w:tcW w:w="1254" w:type="dxa"/>
            <w:tcBorders>
              <w:top w:val="single" w:color="auto" w:sz="4" w:space="0"/>
              <w:left w:val="single" w:color="auto" w:sz="4" w:space="0"/>
              <w:bottom w:val="single" w:color="auto" w:sz="4" w:space="0"/>
              <w:right w:val="single" w:color="auto" w:sz="4" w:space="0"/>
            </w:tcBorders>
            <w:vAlign w:val="center"/>
          </w:tcPr>
          <w:p w14:paraId="4C8943DB">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7.1</w:t>
            </w:r>
          </w:p>
        </w:tc>
        <w:tc>
          <w:tcPr>
            <w:tcW w:w="2030" w:type="dxa"/>
            <w:tcBorders>
              <w:top w:val="single" w:color="auto" w:sz="4" w:space="0"/>
              <w:left w:val="single" w:color="auto" w:sz="4" w:space="0"/>
              <w:bottom w:val="single" w:color="auto" w:sz="4" w:space="0"/>
              <w:right w:val="single" w:color="auto" w:sz="4" w:space="0"/>
            </w:tcBorders>
            <w:vAlign w:val="center"/>
          </w:tcPr>
          <w:p w14:paraId="7EFE7654">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是否授权评标委员会确定中标人</w:t>
            </w:r>
          </w:p>
        </w:tc>
        <w:tc>
          <w:tcPr>
            <w:tcW w:w="6610" w:type="dxa"/>
            <w:tcBorders>
              <w:top w:val="single" w:color="auto" w:sz="4" w:space="0"/>
              <w:left w:val="single" w:color="auto" w:sz="4" w:space="0"/>
              <w:bottom w:val="single" w:color="auto" w:sz="4" w:space="0"/>
              <w:right w:val="single" w:color="auto" w:sz="4" w:space="0"/>
            </w:tcBorders>
            <w:vAlign w:val="center"/>
          </w:tcPr>
          <w:p w14:paraId="313E87DF">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□是</w:t>
            </w:r>
          </w:p>
          <w:p w14:paraId="6B2E6FF4">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☑否，推荐的中标候选人数：3人</w:t>
            </w:r>
          </w:p>
        </w:tc>
      </w:tr>
      <w:tr w14:paraId="57765E88">
        <w:tblPrEx>
          <w:tblCellMar>
            <w:top w:w="0" w:type="dxa"/>
            <w:left w:w="108" w:type="dxa"/>
            <w:bottom w:w="0" w:type="dxa"/>
            <w:right w:w="108" w:type="dxa"/>
          </w:tblCellMar>
        </w:tblPrEx>
        <w:trPr>
          <w:trHeight w:val="1451" w:hRule="atLeast"/>
        </w:trPr>
        <w:tc>
          <w:tcPr>
            <w:tcW w:w="1254" w:type="dxa"/>
            <w:tcBorders>
              <w:top w:val="single" w:color="auto" w:sz="4" w:space="0"/>
              <w:left w:val="single" w:color="auto" w:sz="4" w:space="0"/>
              <w:bottom w:val="single" w:color="auto" w:sz="4" w:space="0"/>
              <w:right w:val="single" w:color="auto" w:sz="4" w:space="0"/>
            </w:tcBorders>
            <w:vAlign w:val="center"/>
          </w:tcPr>
          <w:p w14:paraId="3D3E8CDE">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7.2</w:t>
            </w:r>
          </w:p>
        </w:tc>
        <w:tc>
          <w:tcPr>
            <w:tcW w:w="2030" w:type="dxa"/>
            <w:tcBorders>
              <w:top w:val="single" w:color="auto" w:sz="4" w:space="0"/>
              <w:left w:val="single" w:color="auto" w:sz="4" w:space="0"/>
              <w:bottom w:val="single" w:color="auto" w:sz="4" w:space="0"/>
              <w:right w:val="single" w:color="auto" w:sz="4" w:space="0"/>
            </w:tcBorders>
            <w:vAlign w:val="center"/>
          </w:tcPr>
          <w:p w14:paraId="7AB59125">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中标候选人公示</w:t>
            </w:r>
          </w:p>
          <w:p w14:paraId="6DF5ABCC">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媒介</w:t>
            </w:r>
          </w:p>
        </w:tc>
        <w:tc>
          <w:tcPr>
            <w:tcW w:w="6610" w:type="dxa"/>
            <w:tcBorders>
              <w:top w:val="single" w:color="auto" w:sz="4" w:space="0"/>
              <w:left w:val="single" w:color="auto" w:sz="4" w:space="0"/>
              <w:bottom w:val="single" w:color="auto" w:sz="4" w:space="0"/>
              <w:right w:val="single" w:color="auto" w:sz="4" w:space="0"/>
            </w:tcBorders>
            <w:vAlign w:val="center"/>
          </w:tcPr>
          <w:p w14:paraId="66CAD64C">
            <w:pPr>
              <w:spacing w:line="320" w:lineRule="exact"/>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在中国招标投标公共服务平台（</w:t>
            </w:r>
            <w:r>
              <w:rPr>
                <w:rFonts w:hint="eastAsia" w:ascii="宋体" w:hAnsi="宋体" w:cs="宋体"/>
                <w:color w:val="000000" w:themeColor="text1"/>
                <w:lang w:eastAsia="zh-CN"/>
                <w14:textFill>
                  <w14:solidFill>
                    <w14:schemeClr w14:val="tx1"/>
                  </w14:solidFill>
                </w14:textFill>
              </w:rPr>
              <w:t>网址：</w:t>
            </w:r>
            <w:r>
              <w:rPr>
                <w:rFonts w:hint="eastAsia" w:ascii="宋体" w:hAnsi="宋体" w:cs="宋体"/>
                <w:color w:val="000000" w:themeColor="text1"/>
                <w14:textFill>
                  <w14:solidFill>
                    <w14:schemeClr w14:val="tx1"/>
                  </w14:solidFill>
                </w14:textFill>
              </w:rPr>
              <w:t>http://www.cebpubservice.com/)、云南省建设监管公共服务平台（</w:t>
            </w:r>
            <w:r>
              <w:rPr>
                <w:rFonts w:hint="eastAsia" w:ascii="宋体" w:hAnsi="宋体" w:cs="宋体"/>
                <w:color w:val="000000" w:themeColor="text1"/>
                <w:lang w:eastAsia="zh-CN"/>
                <w14:textFill>
                  <w14:solidFill>
                    <w14:schemeClr w14:val="tx1"/>
                  </w14:solidFill>
                </w14:textFill>
              </w:rPr>
              <w:t>网址：</w:t>
            </w:r>
            <w:r>
              <w:rPr>
                <w:rFonts w:hint="eastAsia" w:ascii="宋体" w:hAnsi="宋体" w:cs="宋体"/>
                <w:color w:val="000000" w:themeColor="text1"/>
                <w14:textFill>
                  <w14:solidFill>
                    <w14:schemeClr w14:val="tx1"/>
                  </w14:solidFill>
                </w14:textFill>
              </w:rPr>
              <w:t>https://www.ynjzjgcx.com/）、</w:t>
            </w:r>
            <w:r>
              <w:rPr>
                <w:rFonts w:hint="eastAsia" w:ascii="宋体" w:hAnsi="宋体" w:cs="宋体"/>
                <w:color w:val="000000" w:themeColor="text1"/>
                <w:lang w:eastAsia="zh-CN"/>
                <w14:textFill>
                  <w14:solidFill>
                    <w14:schemeClr w14:val="tx1"/>
                  </w14:solidFill>
                </w14:textFill>
              </w:rPr>
              <w:t>全国公共资源交易平台（云南省）/云南省公共资源交易信息网（网址：http://gzy.yn.gov.cn/)</w:t>
            </w:r>
            <w:r>
              <w:rPr>
                <w:rFonts w:hint="eastAsia" w:ascii="宋体" w:hAnsi="宋体" w:cs="宋体"/>
                <w:color w:val="000000" w:themeColor="text1"/>
                <w14:textFill>
                  <w14:solidFill>
                    <w14:schemeClr w14:val="tx1"/>
                  </w14:solidFill>
                </w14:textFill>
              </w:rPr>
              <w:t>上发布。</w:t>
            </w:r>
            <w:r>
              <w:rPr>
                <w:rFonts w:hint="eastAsia" w:ascii="宋体" w:hAnsi="宋体" w:cs="宋体"/>
                <w:color w:val="000000" w:themeColor="text1"/>
                <w:szCs w:val="21"/>
                <w14:textFill>
                  <w14:solidFill>
                    <w14:schemeClr w14:val="tx1"/>
                  </w14:solidFill>
                </w14:textFill>
              </w:rPr>
              <w:t>中标候选人公示，公示期不少于5个工作日。</w:t>
            </w:r>
          </w:p>
        </w:tc>
      </w:tr>
      <w:tr w14:paraId="03BDCC31">
        <w:tblPrEx>
          <w:tblCellMar>
            <w:top w:w="0" w:type="dxa"/>
            <w:left w:w="108" w:type="dxa"/>
            <w:bottom w:w="0" w:type="dxa"/>
            <w:right w:w="108" w:type="dxa"/>
          </w:tblCellMar>
        </w:tblPrEx>
        <w:trPr>
          <w:trHeight w:val="607" w:hRule="atLeast"/>
        </w:trPr>
        <w:tc>
          <w:tcPr>
            <w:tcW w:w="1254" w:type="dxa"/>
            <w:tcBorders>
              <w:top w:val="single" w:color="auto" w:sz="4" w:space="0"/>
              <w:left w:val="single" w:color="auto" w:sz="4" w:space="0"/>
              <w:bottom w:val="single" w:color="auto" w:sz="4" w:space="0"/>
              <w:right w:val="single" w:color="auto" w:sz="4" w:space="0"/>
            </w:tcBorders>
            <w:vAlign w:val="center"/>
          </w:tcPr>
          <w:p w14:paraId="053302C9">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7.3</w:t>
            </w:r>
          </w:p>
        </w:tc>
        <w:tc>
          <w:tcPr>
            <w:tcW w:w="2030" w:type="dxa"/>
            <w:tcBorders>
              <w:top w:val="single" w:color="auto" w:sz="4" w:space="0"/>
              <w:left w:val="single" w:color="auto" w:sz="4" w:space="0"/>
              <w:bottom w:val="single" w:color="auto" w:sz="4" w:space="0"/>
              <w:right w:val="single" w:color="auto" w:sz="4" w:space="0"/>
            </w:tcBorders>
            <w:vAlign w:val="center"/>
          </w:tcPr>
          <w:p w14:paraId="7186A401">
            <w:pPr>
              <w:spacing w:line="320" w:lineRule="exact"/>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履约保证金</w:t>
            </w:r>
          </w:p>
        </w:tc>
        <w:tc>
          <w:tcPr>
            <w:tcW w:w="6610" w:type="dxa"/>
            <w:tcBorders>
              <w:top w:val="single" w:color="auto" w:sz="4" w:space="0"/>
              <w:left w:val="single" w:color="auto" w:sz="4" w:space="0"/>
              <w:bottom w:val="single" w:color="auto" w:sz="4" w:space="0"/>
              <w:right w:val="single" w:color="auto" w:sz="4" w:space="0"/>
            </w:tcBorders>
            <w:vAlign w:val="center"/>
          </w:tcPr>
          <w:p w14:paraId="264BEE38">
            <w:pPr>
              <w:spacing w:line="3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履约保证金提交的形式：银行保函、银行汇款</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保证保险</w:t>
            </w:r>
            <w:r>
              <w:rPr>
                <w:rFonts w:hint="eastAsia" w:ascii="宋体" w:hAnsi="宋体" w:cs="宋体"/>
                <w:color w:val="000000" w:themeColor="text1"/>
                <w:szCs w:val="21"/>
                <w:highlight w:val="none"/>
                <w14:textFill>
                  <w14:solidFill>
                    <w14:schemeClr w14:val="tx1"/>
                  </w14:solidFill>
                </w14:textFill>
              </w:rPr>
              <w:t>。</w:t>
            </w:r>
          </w:p>
          <w:p w14:paraId="529854DF">
            <w:pPr>
              <w:spacing w:line="3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履约担保的金额：签约合同价的</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w:t>
            </w:r>
          </w:p>
        </w:tc>
      </w:tr>
      <w:tr w14:paraId="6B7DB76F">
        <w:tblPrEx>
          <w:tblCellMar>
            <w:top w:w="0" w:type="dxa"/>
            <w:left w:w="108" w:type="dxa"/>
            <w:bottom w:w="0" w:type="dxa"/>
            <w:right w:w="108" w:type="dxa"/>
          </w:tblCellMar>
        </w:tblPrEx>
        <w:trPr>
          <w:trHeight w:val="671" w:hRule="atLeast"/>
        </w:trPr>
        <w:tc>
          <w:tcPr>
            <w:tcW w:w="1254" w:type="dxa"/>
            <w:tcBorders>
              <w:top w:val="single" w:color="auto" w:sz="4" w:space="0"/>
              <w:left w:val="single" w:color="auto" w:sz="4" w:space="0"/>
              <w:bottom w:val="single" w:color="auto" w:sz="4" w:space="0"/>
              <w:right w:val="single" w:color="auto" w:sz="4" w:space="0"/>
            </w:tcBorders>
            <w:vAlign w:val="center"/>
          </w:tcPr>
          <w:p w14:paraId="29F1564A">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7.4</w:t>
            </w:r>
          </w:p>
        </w:tc>
        <w:tc>
          <w:tcPr>
            <w:tcW w:w="2030" w:type="dxa"/>
            <w:tcBorders>
              <w:top w:val="single" w:color="auto" w:sz="4" w:space="0"/>
              <w:left w:val="single" w:color="auto" w:sz="4" w:space="0"/>
              <w:bottom w:val="single" w:color="auto" w:sz="4" w:space="0"/>
              <w:right w:val="single" w:color="auto" w:sz="4" w:space="0"/>
            </w:tcBorders>
            <w:vAlign w:val="center"/>
          </w:tcPr>
          <w:p w14:paraId="5B60CF29">
            <w:pPr>
              <w:spacing w:line="320" w:lineRule="exact"/>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支付担保</w:t>
            </w:r>
          </w:p>
        </w:tc>
        <w:tc>
          <w:tcPr>
            <w:tcW w:w="6610" w:type="dxa"/>
            <w:tcBorders>
              <w:top w:val="single" w:color="auto" w:sz="4" w:space="0"/>
              <w:left w:val="single" w:color="auto" w:sz="4" w:space="0"/>
              <w:bottom w:val="single" w:color="auto" w:sz="4" w:space="0"/>
              <w:right w:val="single" w:color="auto" w:sz="4" w:space="0"/>
            </w:tcBorders>
            <w:vAlign w:val="center"/>
          </w:tcPr>
          <w:p w14:paraId="4BFABB76">
            <w:pPr>
              <w:spacing w:line="320" w:lineRule="exact"/>
              <w:rPr>
                <w:rFonts w:hint="eastAsia" w:ascii="宋体" w:hAnsi="宋体" w:cs="宋体"/>
                <w:bCs/>
                <w:color w:val="000000" w:themeColor="text1"/>
                <w:spacing w:val="-2"/>
                <w:szCs w:val="21"/>
                <w:highlight w:val="none"/>
                <w14:textFill>
                  <w14:solidFill>
                    <w14:schemeClr w14:val="tx1"/>
                  </w14:solidFill>
                </w14:textFill>
              </w:rPr>
            </w:pPr>
            <w:r>
              <w:rPr>
                <w:rFonts w:hint="eastAsia" w:ascii="宋体" w:hAnsi="宋体" w:cs="宋体"/>
                <w:bCs/>
                <w:color w:val="000000" w:themeColor="text1"/>
                <w:spacing w:val="-2"/>
                <w:szCs w:val="21"/>
                <w:highlight w:val="none"/>
                <w14:textFill>
                  <w14:solidFill>
                    <w14:schemeClr w14:val="tx1"/>
                  </w14:solidFill>
                </w14:textFill>
              </w:rPr>
              <w:t>支付担保的形式：</w:t>
            </w:r>
            <w:r>
              <w:rPr>
                <w:rFonts w:hint="eastAsia" w:ascii="宋体" w:hAnsi="宋体" w:cs="宋体"/>
                <w:color w:val="000000" w:themeColor="text1"/>
                <w:szCs w:val="21"/>
                <w:highlight w:val="none"/>
                <w14:textFill>
                  <w14:solidFill>
                    <w14:schemeClr w14:val="tx1"/>
                  </w14:solidFill>
                </w14:textFill>
              </w:rPr>
              <w:t>银行保函、银行汇款</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保证保险</w:t>
            </w:r>
            <w:r>
              <w:rPr>
                <w:rFonts w:hint="eastAsia" w:ascii="宋体" w:hAnsi="宋体" w:cs="宋体"/>
                <w:color w:val="000000" w:themeColor="text1"/>
                <w:szCs w:val="21"/>
                <w:highlight w:val="none"/>
                <w14:textFill>
                  <w14:solidFill>
                    <w14:schemeClr w14:val="tx1"/>
                  </w14:solidFill>
                </w14:textFill>
              </w:rPr>
              <w:t>。</w:t>
            </w:r>
          </w:p>
          <w:p w14:paraId="4AA59D06">
            <w:pPr>
              <w:spacing w:line="3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pacing w:val="-2"/>
                <w:szCs w:val="21"/>
                <w:highlight w:val="none"/>
                <w14:textFill>
                  <w14:solidFill>
                    <w14:schemeClr w14:val="tx1"/>
                  </w14:solidFill>
                </w14:textFill>
              </w:rPr>
              <w:t>支付担保的金额：</w:t>
            </w:r>
            <w:r>
              <w:rPr>
                <w:rFonts w:hint="eastAsia" w:ascii="宋体" w:hAnsi="宋体" w:cs="宋体"/>
                <w:color w:val="000000" w:themeColor="text1"/>
                <w:szCs w:val="21"/>
                <w:highlight w:val="none"/>
                <w14:textFill>
                  <w14:solidFill>
                    <w14:schemeClr w14:val="tx1"/>
                  </w14:solidFill>
                </w14:textFill>
              </w:rPr>
              <w:t>签约合同价的</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w:t>
            </w:r>
          </w:p>
        </w:tc>
      </w:tr>
      <w:tr w14:paraId="64914609">
        <w:tblPrEx>
          <w:tblCellMar>
            <w:top w:w="0" w:type="dxa"/>
            <w:left w:w="108" w:type="dxa"/>
            <w:bottom w:w="0" w:type="dxa"/>
            <w:right w:w="108" w:type="dxa"/>
          </w:tblCellMar>
        </w:tblPrEx>
        <w:trPr>
          <w:trHeight w:val="642" w:hRule="atLeast"/>
        </w:trPr>
        <w:tc>
          <w:tcPr>
            <w:tcW w:w="9894" w:type="dxa"/>
            <w:gridSpan w:val="3"/>
            <w:tcBorders>
              <w:top w:val="single" w:color="auto" w:sz="4" w:space="0"/>
              <w:left w:val="single" w:color="auto" w:sz="4" w:space="0"/>
              <w:bottom w:val="single" w:color="auto" w:sz="4" w:space="0"/>
              <w:right w:val="single" w:color="auto" w:sz="4" w:space="0"/>
            </w:tcBorders>
            <w:vAlign w:val="center"/>
          </w:tcPr>
          <w:p w14:paraId="79C18834">
            <w:pPr>
              <w:spacing w:line="32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需要补充的其他内容</w:t>
            </w:r>
          </w:p>
        </w:tc>
      </w:tr>
      <w:tr w14:paraId="2E2491E3">
        <w:tblPrEx>
          <w:tblCellMar>
            <w:top w:w="0" w:type="dxa"/>
            <w:left w:w="108" w:type="dxa"/>
            <w:bottom w:w="0" w:type="dxa"/>
            <w:right w:w="108" w:type="dxa"/>
          </w:tblCellMar>
        </w:tblPrEx>
        <w:trPr>
          <w:trHeight w:val="90" w:hRule="atLeast"/>
        </w:trPr>
        <w:tc>
          <w:tcPr>
            <w:tcW w:w="1254" w:type="dxa"/>
            <w:tcBorders>
              <w:left w:val="single" w:color="auto" w:sz="4" w:space="0"/>
              <w:bottom w:val="single" w:color="auto" w:sz="4" w:space="0"/>
              <w:right w:val="single" w:color="auto" w:sz="4" w:space="0"/>
            </w:tcBorders>
            <w:vAlign w:val="center"/>
          </w:tcPr>
          <w:p w14:paraId="3CFDCCE7">
            <w:pPr>
              <w:spacing w:line="320" w:lineRule="exact"/>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（一）</w:t>
            </w:r>
          </w:p>
        </w:tc>
        <w:tc>
          <w:tcPr>
            <w:tcW w:w="8640" w:type="dxa"/>
            <w:gridSpan w:val="2"/>
            <w:tcBorders>
              <w:top w:val="single" w:color="auto" w:sz="4" w:space="0"/>
              <w:left w:val="single" w:color="auto" w:sz="4" w:space="0"/>
              <w:bottom w:val="single" w:color="auto" w:sz="4" w:space="0"/>
              <w:right w:val="single" w:color="auto" w:sz="4" w:space="0"/>
            </w:tcBorders>
            <w:vAlign w:val="center"/>
          </w:tcPr>
          <w:p w14:paraId="0D204862">
            <w:pPr>
              <w:spacing w:line="3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szCs w:val="21"/>
                <w:highlight w:val="none"/>
              </w:rPr>
              <w:t>施工过程中的临时设施及临时用水、用电安装和使用等由中标人负责，中标人自行负责图纸及相关资料的设计、报审、报批</w:t>
            </w:r>
            <w:r>
              <w:rPr>
                <w:rFonts w:hint="eastAsia" w:ascii="宋体" w:hAnsi="宋体" w:cs="宋体"/>
                <w:color w:val="000000"/>
                <w:szCs w:val="21"/>
                <w:highlight w:val="none"/>
                <w:lang w:eastAsia="zh-CN"/>
              </w:rPr>
              <w:t>，</w:t>
            </w:r>
            <w:r>
              <w:rPr>
                <w:rFonts w:hint="eastAsia" w:ascii="宋体" w:hAnsi="宋体" w:cs="宋体"/>
                <w:color w:val="000000"/>
                <w:szCs w:val="21"/>
                <w:highlight w:val="none"/>
                <w:lang w:val="en-US" w:eastAsia="zh-CN"/>
              </w:rPr>
              <w:t>完成以上项目所产生的费用计入措施费中</w:t>
            </w:r>
            <w:r>
              <w:rPr>
                <w:rFonts w:hint="eastAsia" w:ascii="宋体" w:hAnsi="宋体" w:cs="宋体"/>
                <w:color w:val="000000"/>
                <w:szCs w:val="21"/>
                <w:highlight w:val="none"/>
              </w:rPr>
              <w:t>。</w:t>
            </w:r>
          </w:p>
        </w:tc>
      </w:tr>
      <w:tr w14:paraId="69ECCDF9">
        <w:tblPrEx>
          <w:tblCellMar>
            <w:top w:w="0" w:type="dxa"/>
            <w:left w:w="108" w:type="dxa"/>
            <w:bottom w:w="0" w:type="dxa"/>
            <w:right w:w="108" w:type="dxa"/>
          </w:tblCellMar>
        </w:tblPrEx>
        <w:trPr>
          <w:trHeight w:val="1981" w:hRule="atLeast"/>
        </w:trPr>
        <w:tc>
          <w:tcPr>
            <w:tcW w:w="1254" w:type="dxa"/>
            <w:tcBorders>
              <w:top w:val="single" w:color="auto" w:sz="4" w:space="0"/>
              <w:left w:val="single" w:color="auto" w:sz="4" w:space="0"/>
              <w:bottom w:val="single" w:color="auto" w:sz="4" w:space="0"/>
              <w:right w:val="single" w:color="auto" w:sz="4" w:space="0"/>
            </w:tcBorders>
            <w:vAlign w:val="center"/>
          </w:tcPr>
          <w:p w14:paraId="67B1CE4C">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（二）</w:t>
            </w:r>
          </w:p>
        </w:tc>
        <w:tc>
          <w:tcPr>
            <w:tcW w:w="8640" w:type="dxa"/>
            <w:gridSpan w:val="2"/>
            <w:tcBorders>
              <w:top w:val="single" w:color="auto" w:sz="4" w:space="0"/>
              <w:left w:val="single" w:color="auto" w:sz="4" w:space="0"/>
              <w:bottom w:val="single" w:color="auto" w:sz="4" w:space="0"/>
              <w:right w:val="single" w:color="auto" w:sz="4" w:space="0"/>
            </w:tcBorders>
            <w:vAlign w:val="center"/>
          </w:tcPr>
          <w:p w14:paraId="310E93A4">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及招标人委托的招标代理机构负责解释。</w:t>
            </w:r>
          </w:p>
        </w:tc>
      </w:tr>
      <w:tr w14:paraId="2AD7D0FB">
        <w:tblPrEx>
          <w:tblCellMar>
            <w:top w:w="0" w:type="dxa"/>
            <w:left w:w="108" w:type="dxa"/>
            <w:bottom w:w="0" w:type="dxa"/>
            <w:right w:w="108" w:type="dxa"/>
          </w:tblCellMar>
        </w:tblPrEx>
        <w:trPr>
          <w:trHeight w:val="1590" w:hRule="atLeast"/>
        </w:trPr>
        <w:tc>
          <w:tcPr>
            <w:tcW w:w="1254" w:type="dxa"/>
            <w:tcBorders>
              <w:top w:val="single" w:color="auto" w:sz="4" w:space="0"/>
              <w:left w:val="single" w:color="auto" w:sz="4" w:space="0"/>
              <w:bottom w:val="single" w:color="auto" w:sz="4" w:space="0"/>
              <w:right w:val="single" w:color="auto" w:sz="4" w:space="0"/>
            </w:tcBorders>
            <w:vAlign w:val="center"/>
          </w:tcPr>
          <w:p w14:paraId="2E85CA9C">
            <w:pPr>
              <w:spacing w:line="3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（三）</w:t>
            </w:r>
          </w:p>
        </w:tc>
        <w:tc>
          <w:tcPr>
            <w:tcW w:w="8640" w:type="dxa"/>
            <w:gridSpan w:val="2"/>
            <w:tcBorders>
              <w:top w:val="single" w:color="auto" w:sz="4" w:space="0"/>
              <w:left w:val="single" w:color="auto" w:sz="4" w:space="0"/>
              <w:bottom w:val="single" w:color="auto" w:sz="4" w:space="0"/>
              <w:right w:val="single" w:color="auto" w:sz="4" w:space="0"/>
            </w:tcBorders>
            <w:vAlign w:val="center"/>
          </w:tcPr>
          <w:p w14:paraId="522CFA3C">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单位必须遵守《中华人民共和国保守国家秘密法》《中华人民共和国保守国家秘密法实施条例》规定做好保密工作，构成本招标文件各个组成部分的文件、施工图纸，未经招标人书面同意，投标人不得擅自复印和用于非本招标项目所需的其他目的。招标人全部或者部分使用未中标人投标文件中的技术成果或技术方案时，须征得其书面同意，并不得擅自复印或提供给第三人。</w:t>
            </w:r>
          </w:p>
        </w:tc>
      </w:tr>
      <w:tr w14:paraId="4A47261E">
        <w:tblPrEx>
          <w:tblCellMar>
            <w:top w:w="0" w:type="dxa"/>
            <w:left w:w="108" w:type="dxa"/>
            <w:bottom w:w="0" w:type="dxa"/>
            <w:right w:w="108" w:type="dxa"/>
          </w:tblCellMar>
        </w:tblPrEx>
        <w:trPr>
          <w:trHeight w:val="1136" w:hRule="atLeast"/>
        </w:trPr>
        <w:tc>
          <w:tcPr>
            <w:tcW w:w="1254" w:type="dxa"/>
            <w:tcBorders>
              <w:top w:val="single" w:color="auto" w:sz="4" w:space="0"/>
              <w:left w:val="single" w:color="auto" w:sz="4" w:space="0"/>
              <w:bottom w:val="single" w:color="auto" w:sz="4" w:space="0"/>
              <w:right w:val="single" w:color="auto" w:sz="4" w:space="0"/>
            </w:tcBorders>
            <w:vAlign w:val="center"/>
          </w:tcPr>
          <w:p w14:paraId="77010977">
            <w:pPr>
              <w:spacing w:line="320" w:lineRule="exact"/>
              <w:jc w:val="center"/>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（四）</w:t>
            </w:r>
          </w:p>
        </w:tc>
        <w:tc>
          <w:tcPr>
            <w:tcW w:w="8640" w:type="dxa"/>
            <w:gridSpan w:val="2"/>
            <w:tcBorders>
              <w:top w:val="single" w:color="auto" w:sz="4" w:space="0"/>
              <w:left w:val="single" w:color="auto" w:sz="4" w:space="0"/>
              <w:bottom w:val="single" w:color="auto" w:sz="4" w:space="0"/>
              <w:right w:val="single" w:color="auto" w:sz="4" w:space="0"/>
            </w:tcBorders>
          </w:tcPr>
          <w:p w14:paraId="224DD96B">
            <w:pPr>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农民工工资保障：根据《红河州人民政府办公室关于全面治理拖欠农民工工资问题的实施意见》（红政办发〔2016〕250号）、《红河州工程建设领域农民工工资分账管理和实名制发放实施细则》的通知（红人社发〔2017〕94号）的规定执行。投标人须做出以下承诺：不拖欠农民工工资，并响应相应文件。</w:t>
            </w:r>
          </w:p>
        </w:tc>
      </w:tr>
      <w:tr w14:paraId="5216AAB3">
        <w:tblPrEx>
          <w:tblCellMar>
            <w:top w:w="0" w:type="dxa"/>
            <w:left w:w="108" w:type="dxa"/>
            <w:bottom w:w="0" w:type="dxa"/>
            <w:right w:w="108" w:type="dxa"/>
          </w:tblCellMar>
        </w:tblPrEx>
        <w:trPr>
          <w:trHeight w:val="2047" w:hRule="atLeast"/>
        </w:trPr>
        <w:tc>
          <w:tcPr>
            <w:tcW w:w="1254" w:type="dxa"/>
            <w:tcBorders>
              <w:top w:val="single" w:color="auto" w:sz="4" w:space="0"/>
              <w:left w:val="single" w:color="auto" w:sz="4" w:space="0"/>
              <w:bottom w:val="single" w:color="auto" w:sz="4" w:space="0"/>
              <w:right w:val="single" w:color="auto" w:sz="4" w:space="0"/>
            </w:tcBorders>
            <w:vAlign w:val="center"/>
          </w:tcPr>
          <w:p w14:paraId="48CD9894">
            <w:pPr>
              <w:spacing w:line="320" w:lineRule="exact"/>
              <w:jc w:val="center"/>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（五）</w:t>
            </w:r>
          </w:p>
        </w:tc>
        <w:tc>
          <w:tcPr>
            <w:tcW w:w="8640" w:type="dxa"/>
            <w:gridSpan w:val="2"/>
            <w:tcBorders>
              <w:top w:val="single" w:color="auto" w:sz="4" w:space="0"/>
              <w:left w:val="single" w:color="auto" w:sz="4" w:space="0"/>
              <w:bottom w:val="single" w:color="auto" w:sz="4" w:space="0"/>
              <w:right w:val="single" w:color="auto" w:sz="4" w:space="0"/>
            </w:tcBorders>
          </w:tcPr>
          <w:p w14:paraId="79B95AFB">
            <w:pPr>
              <w:spacing w:line="0" w:lineRule="atLeas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对</w:t>
            </w:r>
            <w:r>
              <w:rPr>
                <w:rFonts w:hint="eastAsia" w:ascii="宋体" w:hAnsi="宋体" w:cs="宋体"/>
                <w:b/>
                <w:color w:val="000000" w:themeColor="text1"/>
                <w:szCs w:val="21"/>
                <w:lang w:eastAsia="zh-CN"/>
                <w14:textFill>
                  <w14:solidFill>
                    <w14:schemeClr w14:val="tx1"/>
                  </w14:solidFill>
                </w14:textFill>
              </w:rPr>
              <w:t>勘察设计施工总承包</w:t>
            </w:r>
            <w:r>
              <w:rPr>
                <w:rFonts w:hint="eastAsia" w:ascii="宋体" w:hAnsi="宋体" w:cs="宋体"/>
                <w:b/>
                <w:color w:val="000000" w:themeColor="text1"/>
                <w:szCs w:val="21"/>
                <w14:textFill>
                  <w14:solidFill>
                    <w14:schemeClr w14:val="tx1"/>
                  </w14:solidFill>
                </w14:textFill>
              </w:rPr>
              <w:t>招标方式的相关要求：</w:t>
            </w:r>
          </w:p>
          <w:p w14:paraId="1F22A8A8">
            <w:pPr>
              <w:spacing w:line="0" w:lineRule="atLeast"/>
              <w:ind w:firstLine="413" w:firstLineChars="196"/>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1、中标人完成的设计成果须报招标人审核和相关职能部门报批通过后，方可进入下一程序的工作；</w:t>
            </w:r>
          </w:p>
          <w:p w14:paraId="282F652B">
            <w:pPr>
              <w:spacing w:line="320" w:lineRule="exact"/>
              <w:ind w:firstLine="422"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14:textFill>
                  <w14:solidFill>
                    <w14:schemeClr w14:val="tx1"/>
                  </w14:solidFill>
                </w14:textFill>
              </w:rPr>
              <w:t>2、由中标人根据审查合格的施工图纸编制已标价工程量清单报招标人，招标人委托具有工程造价咨询资质的单位审查工程造价并经相关工程造价管理部门备案后，该经发包人审核确定、承包人认可并备案的工程造价须作为项目</w:t>
            </w:r>
            <w:r>
              <w:rPr>
                <w:rFonts w:hint="eastAsia" w:ascii="宋体" w:hAnsi="宋体" w:cs="宋体"/>
                <w:b/>
                <w:bCs/>
                <w:color w:val="000000" w:themeColor="text1"/>
                <w:lang w:eastAsia="zh-CN"/>
                <w14:textFill>
                  <w14:solidFill>
                    <w14:schemeClr w14:val="tx1"/>
                  </w14:solidFill>
                </w14:textFill>
              </w:rPr>
              <w:t>勘察设计施工总承包</w:t>
            </w:r>
            <w:r>
              <w:rPr>
                <w:rFonts w:hint="eastAsia" w:ascii="宋体" w:hAnsi="宋体" w:cs="宋体"/>
                <w:b/>
                <w:bCs/>
                <w:color w:val="000000" w:themeColor="text1"/>
                <w14:textFill>
                  <w14:solidFill>
                    <w14:schemeClr w14:val="tx1"/>
                  </w14:solidFill>
                </w14:textFill>
              </w:rPr>
              <w:t>合同的签约工程造价（即建安工程造价）签入补充协议中。</w:t>
            </w:r>
          </w:p>
        </w:tc>
      </w:tr>
      <w:tr w14:paraId="398487D7">
        <w:tblPrEx>
          <w:tblCellMar>
            <w:top w:w="0" w:type="dxa"/>
            <w:left w:w="108" w:type="dxa"/>
            <w:bottom w:w="0" w:type="dxa"/>
            <w:right w:w="108" w:type="dxa"/>
          </w:tblCellMar>
        </w:tblPrEx>
        <w:trPr>
          <w:trHeight w:val="905" w:hRule="atLeast"/>
        </w:trPr>
        <w:tc>
          <w:tcPr>
            <w:tcW w:w="1254" w:type="dxa"/>
            <w:tcBorders>
              <w:top w:val="single" w:color="auto" w:sz="4" w:space="0"/>
              <w:left w:val="single" w:color="auto" w:sz="4" w:space="0"/>
              <w:bottom w:val="single" w:color="auto" w:sz="4" w:space="0"/>
              <w:right w:val="single" w:color="auto" w:sz="4" w:space="0"/>
            </w:tcBorders>
            <w:vAlign w:val="center"/>
          </w:tcPr>
          <w:p w14:paraId="799F338D">
            <w:pPr>
              <w:spacing w:line="320" w:lineRule="exact"/>
              <w:jc w:val="center"/>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（六）</w:t>
            </w:r>
          </w:p>
        </w:tc>
        <w:tc>
          <w:tcPr>
            <w:tcW w:w="8640" w:type="dxa"/>
            <w:gridSpan w:val="2"/>
            <w:tcBorders>
              <w:top w:val="single" w:color="auto" w:sz="4" w:space="0"/>
              <w:left w:val="single" w:color="auto" w:sz="4" w:space="0"/>
              <w:bottom w:val="single" w:color="auto" w:sz="4" w:space="0"/>
              <w:right w:val="single" w:color="auto" w:sz="4" w:space="0"/>
            </w:tcBorders>
            <w:vAlign w:val="center"/>
          </w:tcPr>
          <w:p w14:paraId="58940F70">
            <w:pPr>
              <w:jc w:val="left"/>
              <w:rPr>
                <w:rFonts w:hint="eastAsia"/>
                <w:b/>
                <w:bCs/>
                <w:color w:val="000000" w:themeColor="text1"/>
                <w:sz w:val="28"/>
                <w:szCs w:val="36"/>
                <w:lang w:val="en-US" w:eastAsia="zh-CN"/>
                <w14:textFill>
                  <w14:solidFill>
                    <w14:schemeClr w14:val="tx1"/>
                  </w14:solidFill>
                </w14:textFill>
              </w:rPr>
            </w:pPr>
            <w:r>
              <w:rPr>
                <w:rFonts w:hint="eastAsia" w:ascii="宋体" w:hAnsi="宋体" w:cs="宋体"/>
                <w:b/>
                <w:bCs/>
                <w:color w:val="000000" w:themeColor="text1"/>
                <w:szCs w:val="21"/>
                <w:lang w:val="en-US" w:eastAsia="zh-CN"/>
                <w14:textFill>
                  <w14:solidFill>
                    <w14:schemeClr w14:val="tx1"/>
                  </w14:solidFill>
                </w14:textFill>
              </w:rPr>
              <w:t>1.</w:t>
            </w:r>
            <w:r>
              <w:rPr>
                <w:rFonts w:hint="eastAsia" w:ascii="宋体" w:hAnsi="宋体" w:cs="宋体"/>
                <w:b/>
                <w:bCs/>
                <w:color w:val="000000" w:themeColor="text1"/>
                <w:szCs w:val="21"/>
                <w14:textFill>
                  <w14:solidFill>
                    <w14:schemeClr w14:val="tx1"/>
                  </w14:solidFill>
                </w14:textFill>
              </w:rPr>
              <w:t>招标代理服务费：</w:t>
            </w:r>
          </w:p>
          <w:p w14:paraId="6E057945">
            <w:pPr>
              <w:adjustRightInd w:val="0"/>
              <w:snapToGrid w:val="0"/>
              <w:spacing w:line="360" w:lineRule="auto"/>
              <w:rPr>
                <w:rFonts w:ascii="宋体" w:hAnsi="宋体"/>
                <w:snapToGrid w:val="0"/>
                <w:kern w:val="0"/>
                <w:szCs w:val="21"/>
                <w:u w:val="single"/>
              </w:rPr>
            </w:pPr>
            <w:r>
              <w:rPr>
                <w:rFonts w:hint="eastAsia"/>
                <w:color w:val="000000" w:themeColor="text1"/>
                <w:lang w:val="en-US" w:eastAsia="zh-CN"/>
                <w14:textFill>
                  <w14:solidFill>
                    <w14:schemeClr w14:val="tx1"/>
                  </w14:solidFill>
                </w14:textFill>
              </w:rPr>
              <w:t xml:space="preserve">   </w:t>
            </w:r>
            <w:r>
              <w:rPr>
                <w:rFonts w:ascii="宋体" w:hAnsi="宋体"/>
                <w:snapToGrid w:val="0"/>
                <w:kern w:val="0"/>
                <w:szCs w:val="21"/>
                <w:u w:val="single"/>
              </w:rPr>
              <w:t>根据国家发展改革委关于《进一步放开建设项目专业服务价格的通知》（发改价格〔2015〕299号），以本项目中标金额为计算基数，按照差额定率累进法优惠35%计取，由中标</w:t>
            </w:r>
            <w:r>
              <w:rPr>
                <w:rFonts w:hint="eastAsia" w:ascii="宋体" w:hAnsi="宋体"/>
                <w:snapToGrid w:val="0"/>
                <w:kern w:val="0"/>
                <w:szCs w:val="21"/>
                <w:u w:val="single"/>
                <w:lang w:val="en-US" w:eastAsia="zh-CN"/>
              </w:rPr>
              <w:t>单位承担</w:t>
            </w:r>
            <w:r>
              <w:rPr>
                <w:rFonts w:ascii="宋体" w:hAnsi="宋体"/>
                <w:snapToGrid w:val="0"/>
                <w:kern w:val="0"/>
                <w:szCs w:val="21"/>
                <w:u w:val="single"/>
              </w:rPr>
              <w:t>。</w:t>
            </w:r>
          </w:p>
          <w:p w14:paraId="24EC08BC">
            <w:pPr>
              <w:adjustRightInd w:val="0"/>
              <w:snapToGrid w:val="0"/>
              <w:spacing w:line="360" w:lineRule="auto"/>
              <w:rPr>
                <w:rFonts w:ascii="宋体" w:hAnsi="宋体"/>
                <w:snapToGrid w:val="0"/>
                <w:kern w:val="0"/>
                <w:szCs w:val="21"/>
                <w:u w:val="single"/>
              </w:rPr>
            </w:pPr>
            <w:r>
              <w:rPr>
                <w:rFonts w:ascii="宋体" w:hAnsi="宋体"/>
                <w:snapToGrid w:val="0"/>
                <w:kern w:val="0"/>
                <w:szCs w:val="21"/>
                <w:u w:val="single"/>
              </w:rPr>
              <w:t>招标代理服务费计取方式：费率，计算方式如下，本项目属于服务招标。</w:t>
            </w:r>
          </w:p>
          <w:p w14:paraId="44927744">
            <w:pPr>
              <w:adjustRightInd w:val="0"/>
              <w:snapToGrid w:val="0"/>
              <w:spacing w:line="360" w:lineRule="auto"/>
              <w:rPr>
                <w:rFonts w:ascii="宋体" w:hAnsi="宋体"/>
                <w:snapToGrid w:val="0"/>
                <w:kern w:val="0"/>
                <w:szCs w:val="21"/>
                <w:u w:val="single"/>
              </w:rPr>
            </w:pPr>
            <w:r>
              <w:rPr>
                <w:rFonts w:ascii="宋体" w:hAnsi="宋体"/>
                <w:snapToGrid w:val="0"/>
                <w:kern w:val="0"/>
                <w:szCs w:val="21"/>
                <w:u w:val="single"/>
              </w:rPr>
              <w:t>50 万元及以下 （货物招标：收取费率0.7 万元、服务招标：收取费率0.7 万元、工程招标：收取费率0.7 万元 ）；</w:t>
            </w:r>
          </w:p>
          <w:p w14:paraId="314B490C">
            <w:pPr>
              <w:adjustRightInd w:val="0"/>
              <w:snapToGrid w:val="0"/>
              <w:spacing w:line="360" w:lineRule="auto"/>
              <w:rPr>
                <w:rFonts w:ascii="宋体" w:hAnsi="宋体"/>
                <w:snapToGrid w:val="0"/>
                <w:kern w:val="0"/>
                <w:szCs w:val="21"/>
                <w:u w:val="single"/>
              </w:rPr>
            </w:pPr>
            <w:r>
              <w:rPr>
                <w:rFonts w:ascii="宋体" w:hAnsi="宋体"/>
                <w:snapToGrid w:val="0"/>
                <w:kern w:val="0"/>
                <w:szCs w:val="21"/>
                <w:u w:val="single"/>
              </w:rPr>
              <w:t>50 万元—100 万元（含）（货物招标：收取费率1.5%、服务招标：收取费率1.5%、工程招标：收取费率1.5%）；</w:t>
            </w:r>
          </w:p>
          <w:p w14:paraId="2630541B">
            <w:pPr>
              <w:adjustRightInd w:val="0"/>
              <w:snapToGrid w:val="0"/>
              <w:spacing w:line="360" w:lineRule="auto"/>
              <w:rPr>
                <w:rFonts w:ascii="宋体" w:hAnsi="宋体"/>
                <w:snapToGrid w:val="0"/>
                <w:kern w:val="0"/>
                <w:szCs w:val="21"/>
                <w:u w:val="single"/>
              </w:rPr>
            </w:pPr>
            <w:r>
              <w:rPr>
                <w:rFonts w:ascii="宋体" w:hAnsi="宋体"/>
                <w:snapToGrid w:val="0"/>
                <w:kern w:val="0"/>
                <w:szCs w:val="21"/>
                <w:u w:val="single"/>
              </w:rPr>
              <w:t xml:space="preserve">100 万元—500 万元（含） （货物招标：收取费率1.3%、服务招标：收取费率1.3%、工程招标：收取费率1%）； </w:t>
            </w:r>
          </w:p>
          <w:p w14:paraId="0ABF52E4">
            <w:pPr>
              <w:adjustRightInd w:val="0"/>
              <w:snapToGrid w:val="0"/>
              <w:spacing w:line="360" w:lineRule="auto"/>
              <w:rPr>
                <w:rFonts w:ascii="宋体" w:hAnsi="宋体"/>
                <w:snapToGrid w:val="0"/>
                <w:kern w:val="0"/>
                <w:szCs w:val="21"/>
                <w:u w:val="single"/>
              </w:rPr>
            </w:pPr>
            <w:r>
              <w:rPr>
                <w:rFonts w:ascii="宋体" w:hAnsi="宋体"/>
                <w:snapToGrid w:val="0"/>
                <w:kern w:val="0"/>
                <w:szCs w:val="21"/>
                <w:u w:val="single"/>
              </w:rPr>
              <w:t xml:space="preserve">500 万元—1000 万元（含）（货物招标：收取费率1%、服务招标：收取费率0.5%、工程招标：收取费率0.7%）； </w:t>
            </w:r>
          </w:p>
          <w:p w14:paraId="32C5117D">
            <w:pPr>
              <w:adjustRightInd w:val="0"/>
              <w:snapToGrid w:val="0"/>
              <w:spacing w:line="360" w:lineRule="auto"/>
              <w:rPr>
                <w:rFonts w:ascii="宋体" w:hAnsi="宋体"/>
                <w:snapToGrid w:val="0"/>
                <w:kern w:val="0"/>
                <w:szCs w:val="21"/>
                <w:u w:val="single"/>
              </w:rPr>
            </w:pPr>
            <w:r>
              <w:rPr>
                <w:rFonts w:ascii="宋体" w:hAnsi="宋体"/>
                <w:snapToGrid w:val="0"/>
                <w:kern w:val="0"/>
                <w:szCs w:val="21"/>
                <w:u w:val="single"/>
              </w:rPr>
              <w:t>1000 万元—5000 万元（含） （货物招标：收取费率0.7%、服务招标：收取费率0.4%、工程招标：收取费率0.4%）；</w:t>
            </w:r>
          </w:p>
          <w:p w14:paraId="39861AB5">
            <w:pPr>
              <w:adjustRightInd w:val="0"/>
              <w:snapToGrid w:val="0"/>
              <w:spacing w:line="360" w:lineRule="auto"/>
              <w:rPr>
                <w:rFonts w:ascii="宋体" w:hAnsi="宋体"/>
                <w:snapToGrid w:val="0"/>
                <w:kern w:val="0"/>
                <w:szCs w:val="21"/>
                <w:u w:val="single"/>
              </w:rPr>
            </w:pPr>
            <w:r>
              <w:rPr>
                <w:rFonts w:ascii="宋体" w:hAnsi="宋体"/>
                <w:snapToGrid w:val="0"/>
                <w:kern w:val="0"/>
                <w:szCs w:val="21"/>
                <w:u w:val="single"/>
              </w:rPr>
              <w:t xml:space="preserve">5000 万元—1 亿元（含）（货物招标：收取费率0.25%、服务招标：收取费率0.1%、工程招标：收取费率0.25%）。 </w:t>
            </w:r>
          </w:p>
          <w:p w14:paraId="63B5B3DC">
            <w:pPr>
              <w:adjustRightInd w:val="0"/>
              <w:snapToGrid w:val="0"/>
              <w:spacing w:line="360" w:lineRule="auto"/>
              <w:rPr>
                <w:rFonts w:ascii="宋体" w:hAnsi="宋体"/>
                <w:snapToGrid w:val="0"/>
                <w:kern w:val="0"/>
                <w:szCs w:val="21"/>
                <w:u w:val="single"/>
              </w:rPr>
            </w:pPr>
            <w:r>
              <w:rPr>
                <w:rFonts w:ascii="宋体" w:hAnsi="宋体"/>
                <w:snapToGrid w:val="0"/>
                <w:kern w:val="0"/>
                <w:szCs w:val="21"/>
                <w:u w:val="single"/>
              </w:rPr>
              <w:t xml:space="preserve">说明：招标代理服务收费按差额定率累进法计算以单个项目（或标段）中标通知书的中标金额为计算基数。中标金额大于 50 万时，50 万元以内的固定收费金额不参与累进，直接以 50 万元 </w:t>
            </w:r>
          </w:p>
          <w:p w14:paraId="7BB93561">
            <w:pPr>
              <w:adjustRightInd w:val="0"/>
              <w:snapToGrid w:val="0"/>
              <w:spacing w:line="360" w:lineRule="auto"/>
              <w:rPr>
                <w:rFonts w:ascii="宋体" w:hAnsi="宋体"/>
                <w:snapToGrid w:val="0"/>
                <w:kern w:val="0"/>
                <w:szCs w:val="21"/>
                <w:u w:val="single"/>
              </w:rPr>
            </w:pPr>
            <w:r>
              <w:rPr>
                <w:rFonts w:ascii="宋体" w:hAnsi="宋体"/>
                <w:snapToGrid w:val="0"/>
                <w:kern w:val="0"/>
                <w:szCs w:val="21"/>
                <w:u w:val="single"/>
              </w:rPr>
              <w:t xml:space="preserve">—100 万元（含）的费率进行计算。 </w:t>
            </w:r>
          </w:p>
          <w:p w14:paraId="3CCBA21E">
            <w:pPr>
              <w:adjustRightInd w:val="0"/>
              <w:snapToGrid w:val="0"/>
              <w:spacing w:line="360" w:lineRule="auto"/>
              <w:rPr>
                <w:rFonts w:ascii="宋体" w:hAnsi="宋体"/>
                <w:snapToGrid w:val="0"/>
                <w:kern w:val="0"/>
                <w:szCs w:val="21"/>
                <w:u w:val="single"/>
              </w:rPr>
            </w:pPr>
            <w:r>
              <w:rPr>
                <w:rFonts w:ascii="宋体" w:hAnsi="宋体"/>
                <w:snapToGrid w:val="0"/>
                <w:kern w:val="0"/>
                <w:szCs w:val="21"/>
                <w:u w:val="single"/>
              </w:rPr>
              <w:t xml:space="preserve">例如：某工程总承包（含勘察设计、施工）项目，中标金额中勘察设计费为 300 万元，施工费用为 10000 万元，计算招标代理服务收费额如下： </w:t>
            </w:r>
          </w:p>
          <w:p w14:paraId="6A6F9694">
            <w:pPr>
              <w:adjustRightInd w:val="0"/>
              <w:snapToGrid w:val="0"/>
              <w:spacing w:line="360" w:lineRule="auto"/>
              <w:rPr>
                <w:rFonts w:ascii="宋体" w:hAnsi="宋体"/>
                <w:snapToGrid w:val="0"/>
                <w:kern w:val="0"/>
                <w:szCs w:val="21"/>
                <w:u w:val="single"/>
              </w:rPr>
            </w:pPr>
            <w:r>
              <w:rPr>
                <w:rFonts w:ascii="宋体" w:hAnsi="宋体"/>
                <w:snapToGrid w:val="0"/>
                <w:kern w:val="0"/>
                <w:szCs w:val="21"/>
                <w:u w:val="single"/>
              </w:rPr>
              <w:t xml:space="preserve">（一）勘察设计部分招标代理服务收费额 </w:t>
            </w:r>
          </w:p>
          <w:p w14:paraId="04639A32">
            <w:pPr>
              <w:adjustRightInd w:val="0"/>
              <w:snapToGrid w:val="0"/>
              <w:spacing w:line="360" w:lineRule="auto"/>
              <w:rPr>
                <w:rFonts w:ascii="宋体" w:hAnsi="宋体"/>
                <w:snapToGrid w:val="0"/>
                <w:kern w:val="0"/>
                <w:szCs w:val="21"/>
                <w:u w:val="single"/>
              </w:rPr>
            </w:pPr>
            <w:r>
              <w:rPr>
                <w:rFonts w:ascii="宋体" w:hAnsi="宋体"/>
                <w:snapToGrid w:val="0"/>
                <w:kern w:val="0"/>
                <w:szCs w:val="21"/>
                <w:u w:val="single"/>
              </w:rPr>
              <w:t xml:space="preserve">100 万元×1.5%=1.50 万元 </w:t>
            </w:r>
          </w:p>
          <w:p w14:paraId="581E31FA">
            <w:pPr>
              <w:adjustRightInd w:val="0"/>
              <w:snapToGrid w:val="0"/>
              <w:spacing w:line="360" w:lineRule="auto"/>
              <w:rPr>
                <w:rFonts w:ascii="宋体" w:hAnsi="宋体"/>
                <w:snapToGrid w:val="0"/>
                <w:kern w:val="0"/>
                <w:szCs w:val="21"/>
                <w:u w:val="single"/>
              </w:rPr>
            </w:pPr>
            <w:r>
              <w:rPr>
                <w:rFonts w:ascii="宋体" w:hAnsi="宋体"/>
                <w:snapToGrid w:val="0"/>
                <w:kern w:val="0"/>
                <w:szCs w:val="21"/>
                <w:u w:val="single"/>
              </w:rPr>
              <w:t xml:space="preserve">（300-100）万元×1.3%=2.6 万元 </w:t>
            </w:r>
          </w:p>
          <w:p w14:paraId="5F179CB6">
            <w:pPr>
              <w:adjustRightInd w:val="0"/>
              <w:snapToGrid w:val="0"/>
              <w:spacing w:line="360" w:lineRule="auto"/>
              <w:rPr>
                <w:rFonts w:ascii="宋体" w:hAnsi="宋体"/>
                <w:snapToGrid w:val="0"/>
                <w:kern w:val="0"/>
                <w:szCs w:val="21"/>
                <w:u w:val="single"/>
              </w:rPr>
            </w:pPr>
            <w:r>
              <w:rPr>
                <w:rFonts w:ascii="宋体" w:hAnsi="宋体"/>
                <w:snapToGrid w:val="0"/>
                <w:kern w:val="0"/>
                <w:szCs w:val="21"/>
                <w:u w:val="single"/>
              </w:rPr>
              <w:t xml:space="preserve">该部分合计收费=1.5＋2.6=4.1（万元） </w:t>
            </w:r>
          </w:p>
          <w:p w14:paraId="4F8B0770">
            <w:pPr>
              <w:adjustRightInd w:val="0"/>
              <w:snapToGrid w:val="0"/>
              <w:spacing w:line="360" w:lineRule="auto"/>
              <w:rPr>
                <w:rFonts w:ascii="宋体" w:hAnsi="宋体"/>
                <w:snapToGrid w:val="0"/>
                <w:kern w:val="0"/>
                <w:szCs w:val="21"/>
                <w:u w:val="single"/>
              </w:rPr>
            </w:pPr>
            <w:r>
              <w:rPr>
                <w:rFonts w:ascii="宋体" w:hAnsi="宋体"/>
                <w:snapToGrid w:val="0"/>
                <w:kern w:val="0"/>
                <w:szCs w:val="21"/>
                <w:u w:val="single"/>
              </w:rPr>
              <w:t xml:space="preserve">（二）施工部分招标代理服务收费额 </w:t>
            </w:r>
          </w:p>
          <w:p w14:paraId="654A1E15">
            <w:pPr>
              <w:adjustRightInd w:val="0"/>
              <w:snapToGrid w:val="0"/>
              <w:spacing w:line="360" w:lineRule="auto"/>
              <w:rPr>
                <w:rFonts w:ascii="宋体" w:hAnsi="宋体"/>
                <w:snapToGrid w:val="0"/>
                <w:kern w:val="0"/>
                <w:szCs w:val="21"/>
                <w:u w:val="single"/>
              </w:rPr>
            </w:pPr>
            <w:r>
              <w:rPr>
                <w:rFonts w:ascii="宋体" w:hAnsi="宋体"/>
                <w:snapToGrid w:val="0"/>
                <w:kern w:val="0"/>
                <w:szCs w:val="21"/>
                <w:u w:val="single"/>
              </w:rPr>
              <w:t xml:space="preserve">100 万元×1.5%=1.50 万元 </w:t>
            </w:r>
          </w:p>
          <w:p w14:paraId="317CC4EB">
            <w:pPr>
              <w:adjustRightInd w:val="0"/>
              <w:snapToGrid w:val="0"/>
              <w:spacing w:line="360" w:lineRule="auto"/>
              <w:rPr>
                <w:rFonts w:ascii="宋体" w:hAnsi="宋体"/>
                <w:snapToGrid w:val="0"/>
                <w:kern w:val="0"/>
                <w:szCs w:val="21"/>
                <w:u w:val="single"/>
              </w:rPr>
            </w:pPr>
            <w:r>
              <w:rPr>
                <w:rFonts w:ascii="宋体" w:hAnsi="宋体"/>
                <w:snapToGrid w:val="0"/>
                <w:kern w:val="0"/>
                <w:szCs w:val="21"/>
                <w:u w:val="single"/>
              </w:rPr>
              <w:t xml:space="preserve">（500-100）万元×1%=4 万元 </w:t>
            </w:r>
          </w:p>
          <w:p w14:paraId="3456D7ED">
            <w:pPr>
              <w:adjustRightInd w:val="0"/>
              <w:snapToGrid w:val="0"/>
              <w:spacing w:line="360" w:lineRule="auto"/>
              <w:rPr>
                <w:rFonts w:ascii="宋体" w:hAnsi="宋体"/>
                <w:snapToGrid w:val="0"/>
                <w:kern w:val="0"/>
                <w:szCs w:val="21"/>
                <w:u w:val="single"/>
              </w:rPr>
            </w:pPr>
            <w:r>
              <w:rPr>
                <w:rFonts w:ascii="宋体" w:hAnsi="宋体"/>
                <w:snapToGrid w:val="0"/>
                <w:kern w:val="0"/>
                <w:szCs w:val="21"/>
                <w:u w:val="single"/>
              </w:rPr>
              <w:t xml:space="preserve">（1000-500）万元×0.7%=3.5 万元 </w:t>
            </w:r>
          </w:p>
          <w:p w14:paraId="63B361D2">
            <w:pPr>
              <w:adjustRightInd w:val="0"/>
              <w:snapToGrid w:val="0"/>
              <w:spacing w:line="360" w:lineRule="auto"/>
              <w:rPr>
                <w:rFonts w:ascii="宋体" w:hAnsi="宋体"/>
                <w:snapToGrid w:val="0"/>
                <w:kern w:val="0"/>
                <w:szCs w:val="21"/>
                <w:u w:val="single"/>
              </w:rPr>
            </w:pPr>
            <w:r>
              <w:rPr>
                <w:rFonts w:ascii="宋体" w:hAnsi="宋体"/>
                <w:snapToGrid w:val="0"/>
                <w:kern w:val="0"/>
                <w:szCs w:val="21"/>
                <w:u w:val="single"/>
              </w:rPr>
              <w:t xml:space="preserve">（5000-1000）万元×0.4%=16 万元 </w:t>
            </w:r>
          </w:p>
          <w:p w14:paraId="4E9EFC3C">
            <w:pPr>
              <w:adjustRightInd w:val="0"/>
              <w:snapToGrid w:val="0"/>
              <w:spacing w:line="360" w:lineRule="auto"/>
              <w:rPr>
                <w:rFonts w:ascii="宋体" w:hAnsi="宋体"/>
                <w:snapToGrid w:val="0"/>
                <w:kern w:val="0"/>
                <w:szCs w:val="21"/>
                <w:u w:val="single"/>
              </w:rPr>
            </w:pPr>
            <w:r>
              <w:rPr>
                <w:rFonts w:ascii="宋体" w:hAnsi="宋体"/>
                <w:snapToGrid w:val="0"/>
                <w:kern w:val="0"/>
                <w:szCs w:val="21"/>
                <w:u w:val="single"/>
              </w:rPr>
              <w:t xml:space="preserve">（10000-5000）万元×0.25%=12.5 万元 </w:t>
            </w:r>
          </w:p>
          <w:p w14:paraId="36CAEC9F">
            <w:pPr>
              <w:adjustRightInd w:val="0"/>
              <w:snapToGrid w:val="0"/>
              <w:spacing w:line="360" w:lineRule="auto"/>
              <w:rPr>
                <w:rFonts w:hint="eastAsia"/>
                <w:b/>
                <w:bCs/>
                <w:color w:val="000000" w:themeColor="text1"/>
                <w14:textFill>
                  <w14:solidFill>
                    <w14:schemeClr w14:val="tx1"/>
                  </w14:solidFill>
                </w14:textFill>
              </w:rPr>
            </w:pPr>
            <w:r>
              <w:rPr>
                <w:rFonts w:ascii="宋体" w:hAnsi="宋体"/>
                <w:snapToGrid w:val="0"/>
                <w:kern w:val="0"/>
                <w:szCs w:val="21"/>
                <w:u w:val="single"/>
              </w:rPr>
              <w:t>该部分合计收费=1.5＋4＋3.5＋16＋12.5=37.5（万元）</w:t>
            </w:r>
          </w:p>
          <w:p w14:paraId="1ED69438">
            <w:pPr>
              <w:jc w:val="left"/>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收取方式：银行转账或网上银行支付；</w:t>
            </w:r>
          </w:p>
          <w:p w14:paraId="39CE372C">
            <w:pPr>
              <w:jc w:val="left"/>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中标服务费收款银行及账号：</w:t>
            </w:r>
          </w:p>
          <w:p w14:paraId="2A301DFA">
            <w:pPr>
              <w:jc w:val="left"/>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开户银行：建设银行蒙自明珠路支行</w:t>
            </w:r>
          </w:p>
          <w:p w14:paraId="78DE3F38">
            <w:pPr>
              <w:jc w:val="left"/>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银行账号：53001666351051002409</w:t>
            </w:r>
          </w:p>
          <w:p w14:paraId="429B80AF">
            <w:pPr>
              <w:jc w:val="left"/>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收款单位地址：蒙自市护国路1号红建佳苑商网6号</w:t>
            </w:r>
          </w:p>
          <w:p w14:paraId="304E253E">
            <w:pPr>
              <w:jc w:val="left"/>
              <w:rPr>
                <w:color w:val="000000" w:themeColor="text1"/>
                <w14:textFill>
                  <w14:solidFill>
                    <w14:schemeClr w14:val="tx1"/>
                  </w14:solidFill>
                </w14:textFill>
              </w:rPr>
            </w:pPr>
            <w:r>
              <w:rPr>
                <w:rFonts w:hint="eastAsia"/>
                <w:b/>
                <w:bCs/>
                <w:color w:val="000000" w:themeColor="text1"/>
                <w14:textFill>
                  <w14:solidFill>
                    <w14:schemeClr w14:val="tx1"/>
                  </w14:solidFill>
                </w14:textFill>
              </w:rPr>
              <w:t>收款单位联系人、联系电话：杨正伟  0873-3033920</w:t>
            </w:r>
          </w:p>
        </w:tc>
      </w:tr>
      <w:tr w14:paraId="4D595D9B">
        <w:tblPrEx>
          <w:tblCellMar>
            <w:top w:w="0" w:type="dxa"/>
            <w:left w:w="108" w:type="dxa"/>
            <w:bottom w:w="0" w:type="dxa"/>
            <w:right w:w="108" w:type="dxa"/>
          </w:tblCellMar>
        </w:tblPrEx>
        <w:trPr>
          <w:trHeight w:val="905" w:hRule="atLeast"/>
        </w:trPr>
        <w:tc>
          <w:tcPr>
            <w:tcW w:w="1254" w:type="dxa"/>
            <w:tcBorders>
              <w:top w:val="single" w:color="auto" w:sz="4" w:space="0"/>
              <w:left w:val="single" w:color="auto" w:sz="4" w:space="0"/>
              <w:bottom w:val="single" w:color="auto" w:sz="4" w:space="0"/>
              <w:right w:val="single" w:color="auto" w:sz="4" w:space="0"/>
            </w:tcBorders>
            <w:vAlign w:val="center"/>
          </w:tcPr>
          <w:p w14:paraId="74B84657">
            <w:pPr>
              <w:spacing w:line="320" w:lineRule="exact"/>
              <w:jc w:val="center"/>
              <w:rPr>
                <w:rFonts w:hint="eastAsia" w:ascii="宋体" w:hAnsi="宋体" w:eastAsia="宋体" w:cs="宋体"/>
                <w:bCs/>
                <w:color w:val="000000" w:themeColor="text1"/>
                <w:szCs w:val="21"/>
                <w:lang w:eastAsia="zh-CN"/>
                <w14:textFill>
                  <w14:solidFill>
                    <w14:schemeClr w14:val="tx1"/>
                  </w14:solidFill>
                </w14:textFill>
              </w:rPr>
            </w:pPr>
            <w:r>
              <w:rPr>
                <w:rFonts w:hint="eastAsia" w:ascii="宋体" w:hAnsi="宋体" w:cs="宋体"/>
                <w:bCs/>
                <w:color w:val="000000" w:themeColor="text1"/>
                <w:szCs w:val="21"/>
                <w:lang w:eastAsia="zh-CN"/>
                <w14:textFill>
                  <w14:solidFill>
                    <w14:schemeClr w14:val="tx1"/>
                  </w14:solidFill>
                </w14:textFill>
              </w:rPr>
              <w:t>（</w:t>
            </w:r>
            <w:r>
              <w:rPr>
                <w:rFonts w:hint="eastAsia" w:ascii="宋体" w:hAnsi="宋体" w:cs="宋体"/>
                <w:bCs/>
                <w:color w:val="000000" w:themeColor="text1"/>
                <w:szCs w:val="21"/>
                <w:lang w:val="en-US" w:eastAsia="zh-CN"/>
                <w14:textFill>
                  <w14:solidFill>
                    <w14:schemeClr w14:val="tx1"/>
                  </w14:solidFill>
                </w14:textFill>
              </w:rPr>
              <w:t>七</w:t>
            </w:r>
            <w:r>
              <w:rPr>
                <w:rFonts w:hint="eastAsia" w:ascii="宋体" w:hAnsi="宋体" w:cs="宋体"/>
                <w:bCs/>
                <w:color w:val="000000" w:themeColor="text1"/>
                <w:szCs w:val="21"/>
                <w:lang w:eastAsia="zh-CN"/>
                <w14:textFill>
                  <w14:solidFill>
                    <w14:schemeClr w14:val="tx1"/>
                  </w14:solidFill>
                </w14:textFill>
              </w:rPr>
              <w:t>）</w:t>
            </w:r>
          </w:p>
        </w:tc>
        <w:tc>
          <w:tcPr>
            <w:tcW w:w="8640" w:type="dxa"/>
            <w:gridSpan w:val="2"/>
            <w:tcBorders>
              <w:top w:val="single" w:color="auto" w:sz="4" w:space="0"/>
              <w:left w:val="single" w:color="auto" w:sz="4" w:space="0"/>
              <w:bottom w:val="single" w:color="auto" w:sz="4" w:space="0"/>
              <w:right w:val="single" w:color="auto" w:sz="4" w:space="0"/>
            </w:tcBorders>
            <w:vAlign w:val="center"/>
          </w:tcPr>
          <w:p w14:paraId="0F15B8DD">
            <w:pPr>
              <w:jc w:val="left"/>
              <w:rPr>
                <w:rFonts w:hint="default" w:eastAsia="宋体"/>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本项目</w:t>
            </w:r>
            <w:r>
              <w:rPr>
                <w:rFonts w:hint="eastAsia"/>
                <w:b/>
                <w:bCs/>
                <w:color w:val="000000" w:themeColor="text1"/>
                <w14:textFill>
                  <w14:solidFill>
                    <w14:schemeClr w14:val="tx1"/>
                  </w14:solidFill>
                </w14:textFill>
              </w:rPr>
              <w:t>在线发送中标通知书和签订合同</w:t>
            </w:r>
            <w:r>
              <w:rPr>
                <w:rFonts w:hint="eastAsia"/>
                <w:b/>
                <w:bCs/>
                <w:color w:val="000000" w:themeColor="text1"/>
                <w:lang w:eastAsia="zh-CN"/>
                <w14:textFill>
                  <w14:solidFill>
                    <w14:schemeClr w14:val="tx1"/>
                  </w14:solidFill>
                </w14:textFill>
              </w:rPr>
              <w:t>，</w:t>
            </w:r>
            <w:r>
              <w:rPr>
                <w:rFonts w:hint="eastAsia"/>
                <w:b/>
                <w:bCs/>
                <w:color w:val="000000" w:themeColor="text1"/>
                <w:lang w:val="en-US" w:eastAsia="zh-CN"/>
                <w14:textFill>
                  <w14:solidFill>
                    <w14:schemeClr w14:val="tx1"/>
                  </w14:solidFill>
                </w14:textFill>
              </w:rPr>
              <w:t>相关事宜按</w:t>
            </w:r>
            <w:r>
              <w:rPr>
                <w:rFonts w:hint="eastAsia"/>
                <w:b/>
                <w:bCs/>
                <w:color w:val="000000" w:themeColor="text1"/>
                <w:lang w:eastAsia="zh-CN"/>
                <w14:textFill>
                  <w14:solidFill>
                    <w14:schemeClr w14:val="tx1"/>
                  </w14:solidFill>
                </w14:textFill>
              </w:rPr>
              <w:t>《</w:t>
            </w:r>
            <w:r>
              <w:rPr>
                <w:rFonts w:hint="eastAsia"/>
                <w:b/>
                <w:bCs/>
                <w:color w:val="000000" w:themeColor="text1"/>
                <w14:textFill>
                  <w14:solidFill>
                    <w14:schemeClr w14:val="tx1"/>
                  </w14:solidFill>
                </w14:textFill>
              </w:rPr>
              <w:t>红河州进场交易工程建设项目在线发送中标通知书和签订合同运行管理制度</w:t>
            </w:r>
            <w:r>
              <w:rPr>
                <w:rFonts w:hint="eastAsia"/>
                <w:b/>
                <w:bCs/>
                <w:color w:val="000000" w:themeColor="text1"/>
                <w:lang w:eastAsia="zh-CN"/>
                <w14:textFill>
                  <w14:solidFill>
                    <w14:schemeClr w14:val="tx1"/>
                  </w14:solidFill>
                </w14:textFill>
              </w:rPr>
              <w:t>》</w:t>
            </w:r>
            <w:r>
              <w:rPr>
                <w:rFonts w:hint="eastAsia"/>
                <w:b/>
                <w:bCs/>
                <w:color w:val="000000" w:themeColor="text1"/>
                <w:lang w:val="en-US" w:eastAsia="zh-CN"/>
                <w14:textFill>
                  <w14:solidFill>
                    <w14:schemeClr w14:val="tx1"/>
                  </w14:solidFill>
                </w14:textFill>
              </w:rPr>
              <w:t>执行。</w:t>
            </w:r>
          </w:p>
        </w:tc>
      </w:tr>
      <w:tr w14:paraId="43605139">
        <w:tblPrEx>
          <w:tblCellMar>
            <w:top w:w="0" w:type="dxa"/>
            <w:left w:w="108" w:type="dxa"/>
            <w:bottom w:w="0" w:type="dxa"/>
            <w:right w:w="108" w:type="dxa"/>
          </w:tblCellMar>
        </w:tblPrEx>
        <w:trPr>
          <w:trHeight w:val="548" w:hRule="atLeast"/>
        </w:trPr>
        <w:tc>
          <w:tcPr>
            <w:tcW w:w="1254" w:type="dxa"/>
            <w:tcBorders>
              <w:top w:val="single" w:color="auto" w:sz="4" w:space="0"/>
              <w:left w:val="single" w:color="auto" w:sz="4" w:space="0"/>
              <w:bottom w:val="single" w:color="auto" w:sz="4" w:space="0"/>
              <w:right w:val="single" w:color="auto" w:sz="4" w:space="0"/>
            </w:tcBorders>
            <w:vAlign w:val="center"/>
          </w:tcPr>
          <w:p w14:paraId="231C0E6D">
            <w:pPr>
              <w:spacing w:line="320" w:lineRule="exact"/>
              <w:jc w:val="center"/>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w:t>
            </w:r>
            <w:r>
              <w:rPr>
                <w:rFonts w:hint="eastAsia" w:ascii="宋体" w:hAnsi="宋体" w:cs="宋体"/>
                <w:bCs/>
                <w:color w:val="000000" w:themeColor="text1"/>
                <w:szCs w:val="21"/>
                <w:lang w:val="en-US" w:eastAsia="zh-CN"/>
                <w14:textFill>
                  <w14:solidFill>
                    <w14:schemeClr w14:val="tx1"/>
                  </w14:solidFill>
                </w14:textFill>
              </w:rPr>
              <w:t>八</w:t>
            </w:r>
            <w:r>
              <w:rPr>
                <w:rFonts w:hint="eastAsia" w:ascii="宋体" w:hAnsi="宋体" w:cs="宋体"/>
                <w:bCs/>
                <w:color w:val="000000" w:themeColor="text1"/>
                <w:szCs w:val="21"/>
                <w14:textFill>
                  <w14:solidFill>
                    <w14:schemeClr w14:val="tx1"/>
                  </w14:solidFill>
                </w14:textFill>
              </w:rPr>
              <w:t>）</w:t>
            </w:r>
          </w:p>
        </w:tc>
        <w:tc>
          <w:tcPr>
            <w:tcW w:w="8640" w:type="dxa"/>
            <w:gridSpan w:val="2"/>
            <w:tcBorders>
              <w:top w:val="single" w:color="auto" w:sz="4" w:space="0"/>
              <w:left w:val="single" w:color="auto" w:sz="4" w:space="0"/>
              <w:bottom w:val="single" w:color="auto" w:sz="4" w:space="0"/>
              <w:right w:val="single" w:color="auto" w:sz="4" w:space="0"/>
            </w:tcBorders>
            <w:vAlign w:val="center"/>
          </w:tcPr>
          <w:p w14:paraId="729A1726">
            <w:pPr>
              <w:spacing w:line="320" w:lineRule="exact"/>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本招标文件解释权归招标人所有。</w:t>
            </w:r>
          </w:p>
        </w:tc>
      </w:tr>
    </w:tbl>
    <w:p w14:paraId="2BDD5466">
      <w:pPr>
        <w:rPr>
          <w:rFonts w:hint="eastAsia" w:ascii="宋体" w:hAnsi="宋体" w:cs="宋体"/>
          <w:color w:val="000000" w:themeColor="text1"/>
          <w14:textFill>
            <w14:solidFill>
              <w14:schemeClr w14:val="tx1"/>
            </w14:solidFill>
          </w14:textFill>
        </w:rPr>
      </w:pPr>
    </w:p>
    <w:p w14:paraId="4F7E4018">
      <w:pPr>
        <w:pStyle w:val="3"/>
        <w:spacing w:line="3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r>
      <w:bookmarkStart w:id="105" w:name="_Toc46412055"/>
      <w:bookmarkStart w:id="106" w:name="_Toc46412393"/>
      <w:bookmarkStart w:id="107" w:name="_Toc247513952"/>
      <w:bookmarkStart w:id="108" w:name="_Toc48853271"/>
      <w:bookmarkStart w:id="109" w:name="_Toc247527553"/>
      <w:bookmarkStart w:id="110" w:name="_Toc152042305"/>
      <w:bookmarkStart w:id="111" w:name="_Toc18439"/>
      <w:bookmarkStart w:id="112" w:name="_Toc16569"/>
      <w:bookmarkStart w:id="113" w:name="_Toc152045529"/>
      <w:bookmarkStart w:id="114" w:name="_Toc144974497"/>
      <w:bookmarkStart w:id="115" w:name="_Toc48853063"/>
      <w:r>
        <w:rPr>
          <w:rFonts w:hint="eastAsia" w:ascii="宋体" w:hAnsi="宋体" w:eastAsia="宋体" w:cs="宋体"/>
          <w:color w:val="000000" w:themeColor="text1"/>
          <w14:textFill>
            <w14:solidFill>
              <w14:schemeClr w14:val="tx1"/>
            </w14:solidFill>
          </w14:textFill>
        </w:rPr>
        <w:t>1. 总则</w:t>
      </w:r>
      <w:bookmarkEnd w:id="105"/>
      <w:bookmarkEnd w:id="106"/>
      <w:bookmarkEnd w:id="107"/>
      <w:bookmarkEnd w:id="108"/>
      <w:bookmarkEnd w:id="109"/>
      <w:bookmarkEnd w:id="110"/>
      <w:bookmarkEnd w:id="111"/>
      <w:bookmarkEnd w:id="112"/>
      <w:bookmarkEnd w:id="113"/>
      <w:bookmarkEnd w:id="114"/>
      <w:bookmarkEnd w:id="115"/>
    </w:p>
    <w:p w14:paraId="1583832D">
      <w:pPr>
        <w:pStyle w:val="4"/>
        <w:rPr>
          <w:rFonts w:hint="eastAsia" w:ascii="宋体" w:eastAsia="宋体" w:cs="宋体"/>
          <w:color w:val="000000" w:themeColor="text1"/>
          <w14:textFill>
            <w14:solidFill>
              <w14:schemeClr w14:val="tx1"/>
            </w14:solidFill>
          </w14:textFill>
        </w:rPr>
      </w:pPr>
      <w:bookmarkStart w:id="116" w:name="_Toc48853272"/>
      <w:bookmarkStart w:id="117" w:name="_Toc152045530"/>
      <w:bookmarkStart w:id="118" w:name="_Toc48853064"/>
      <w:bookmarkStart w:id="119" w:name="_Toc46412394"/>
      <w:bookmarkStart w:id="120" w:name="_Toc144974498"/>
      <w:bookmarkStart w:id="121" w:name="_Toc152042306"/>
      <w:bookmarkStart w:id="122" w:name="_Toc46412056"/>
      <w:bookmarkStart w:id="123" w:name="_Toc247527554"/>
      <w:bookmarkStart w:id="124" w:name="_Toc10017"/>
      <w:bookmarkStart w:id="125" w:name="_Toc247513953"/>
      <w:bookmarkStart w:id="126" w:name="_Toc11889"/>
      <w:r>
        <w:rPr>
          <w:rFonts w:hint="eastAsia" w:ascii="宋体" w:eastAsia="宋体" w:cs="宋体"/>
          <w:color w:val="000000" w:themeColor="text1"/>
          <w14:textFill>
            <w14:solidFill>
              <w14:schemeClr w14:val="tx1"/>
            </w14:solidFill>
          </w14:textFill>
        </w:rPr>
        <w:t>1.1 项目概况</w:t>
      </w:r>
      <w:bookmarkEnd w:id="116"/>
      <w:bookmarkEnd w:id="117"/>
      <w:bookmarkEnd w:id="118"/>
      <w:bookmarkEnd w:id="119"/>
      <w:bookmarkEnd w:id="120"/>
      <w:bookmarkEnd w:id="121"/>
      <w:bookmarkEnd w:id="122"/>
      <w:bookmarkEnd w:id="123"/>
      <w:bookmarkEnd w:id="124"/>
      <w:bookmarkEnd w:id="125"/>
      <w:bookmarkEnd w:id="126"/>
    </w:p>
    <w:p w14:paraId="746F9428">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1.1.1根据《中华人民共和国招标投标法》等有关法律法规和规章的规定，本招标项目已具备招标条件，现对该项目</w:t>
      </w:r>
      <w:r>
        <w:rPr>
          <w:rFonts w:hint="eastAsia" w:ascii="宋体" w:hAnsi="宋体" w:cs="宋体"/>
          <w:color w:val="000000" w:themeColor="text1"/>
          <w:lang w:val="en-US" w:eastAsia="zh-CN"/>
          <w14:textFill>
            <w14:solidFill>
              <w14:schemeClr w14:val="tx1"/>
            </w14:solidFill>
          </w14:textFill>
        </w:rPr>
        <w:t>勘察</w:t>
      </w:r>
      <w:r>
        <w:rPr>
          <w:rFonts w:hint="eastAsia" w:ascii="宋体" w:hAnsi="宋体" w:cs="宋体"/>
          <w:color w:val="000000" w:themeColor="text1"/>
          <w14:textFill>
            <w14:solidFill>
              <w14:schemeClr w14:val="tx1"/>
            </w14:solidFill>
          </w14:textFill>
        </w:rPr>
        <w:t>设计</w:t>
      </w:r>
      <w:r>
        <w:rPr>
          <w:rFonts w:hint="eastAsia" w:ascii="宋体" w:hAnsi="宋体" w:cs="宋体"/>
          <w:color w:val="000000" w:themeColor="text1"/>
          <w:lang w:val="en-US" w:eastAsia="zh-CN"/>
          <w14:textFill>
            <w14:solidFill>
              <w14:schemeClr w14:val="tx1"/>
            </w14:solidFill>
          </w14:textFill>
        </w:rPr>
        <w:t>采购</w:t>
      </w:r>
      <w:r>
        <w:rPr>
          <w:rFonts w:hint="eastAsia" w:ascii="宋体" w:hAnsi="宋体" w:cs="宋体"/>
          <w:color w:val="000000" w:themeColor="text1"/>
          <w14:textFill>
            <w14:solidFill>
              <w14:schemeClr w14:val="tx1"/>
            </w14:solidFill>
          </w14:textFill>
        </w:rPr>
        <w:t>施工进行总承包招标。</w:t>
      </w:r>
    </w:p>
    <w:p w14:paraId="7436B452">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1.1.2 招标人：见投标人须知前附表。</w:t>
      </w:r>
    </w:p>
    <w:p w14:paraId="5E120027">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1.1.3 招标代理机构：见投标人须知前附表。                                </w:t>
      </w:r>
    </w:p>
    <w:p w14:paraId="3CB6C9ED">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1.1.4 招标项目名称：见投标人须知前附表。</w:t>
      </w:r>
    </w:p>
    <w:p w14:paraId="618784C0">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1.1.5 项目建设地址：见投标人须知前附表。</w:t>
      </w:r>
    </w:p>
    <w:p w14:paraId="0534E4B4">
      <w:pPr>
        <w:pStyle w:val="4"/>
        <w:rPr>
          <w:rFonts w:hint="eastAsia" w:ascii="宋体" w:eastAsia="宋体" w:cs="宋体"/>
          <w:color w:val="000000" w:themeColor="text1"/>
          <w14:textFill>
            <w14:solidFill>
              <w14:schemeClr w14:val="tx1"/>
            </w14:solidFill>
          </w14:textFill>
        </w:rPr>
      </w:pPr>
      <w:bookmarkStart w:id="127" w:name="_Toc46412395"/>
      <w:bookmarkStart w:id="128" w:name="_Toc247527555"/>
      <w:bookmarkStart w:id="129" w:name="_Toc46412057"/>
      <w:bookmarkStart w:id="130" w:name="_Toc48853065"/>
      <w:bookmarkStart w:id="131" w:name="_Toc48853273"/>
      <w:bookmarkStart w:id="132" w:name="_Toc21444"/>
      <w:bookmarkStart w:id="133" w:name="_Toc247513954"/>
      <w:bookmarkStart w:id="134" w:name="_Toc18869"/>
      <w:bookmarkStart w:id="135" w:name="_Toc152045531"/>
      <w:bookmarkStart w:id="136" w:name="_Toc144974499"/>
      <w:bookmarkStart w:id="137" w:name="_Toc152042307"/>
      <w:r>
        <w:rPr>
          <w:rFonts w:hint="eastAsia" w:ascii="宋体" w:eastAsia="宋体" w:cs="宋体"/>
          <w:color w:val="000000" w:themeColor="text1"/>
          <w14:textFill>
            <w14:solidFill>
              <w14:schemeClr w14:val="tx1"/>
            </w14:solidFill>
          </w14:textFill>
        </w:rPr>
        <w:t>1.2 项目的资金来源和落实情况</w:t>
      </w:r>
      <w:bookmarkEnd w:id="127"/>
      <w:bookmarkEnd w:id="128"/>
      <w:bookmarkEnd w:id="129"/>
      <w:bookmarkEnd w:id="130"/>
      <w:bookmarkEnd w:id="131"/>
      <w:bookmarkEnd w:id="132"/>
      <w:bookmarkEnd w:id="133"/>
      <w:bookmarkEnd w:id="134"/>
      <w:bookmarkEnd w:id="135"/>
      <w:bookmarkEnd w:id="136"/>
      <w:bookmarkEnd w:id="137"/>
    </w:p>
    <w:p w14:paraId="6A60D2EF">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1.2.1 资金来源及比例：见投标人须知前附表。</w:t>
      </w:r>
    </w:p>
    <w:p w14:paraId="60546104">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1.2.2 资金落实情况：见投标人须知前附表。</w:t>
      </w:r>
    </w:p>
    <w:p w14:paraId="7EA3782F">
      <w:pPr>
        <w:pStyle w:val="4"/>
        <w:rPr>
          <w:rFonts w:hint="eastAsia" w:ascii="宋体" w:eastAsia="宋体" w:cs="宋体"/>
          <w:color w:val="000000" w:themeColor="text1"/>
          <w14:textFill>
            <w14:solidFill>
              <w14:schemeClr w14:val="tx1"/>
            </w14:solidFill>
          </w14:textFill>
        </w:rPr>
      </w:pPr>
      <w:bookmarkStart w:id="138" w:name="_Toc247527556"/>
      <w:bookmarkStart w:id="139" w:name="_Toc247513955"/>
      <w:bookmarkStart w:id="140" w:name="_Toc144974500"/>
      <w:bookmarkStart w:id="141" w:name="_Toc152045532"/>
      <w:bookmarkStart w:id="142" w:name="_Toc152042308"/>
      <w:bookmarkStart w:id="143" w:name="_Toc46412396"/>
      <w:bookmarkStart w:id="144" w:name="_Toc6917"/>
      <w:bookmarkStart w:id="145" w:name="_Toc48853274"/>
      <w:bookmarkStart w:id="146" w:name="_Toc48853066"/>
      <w:bookmarkStart w:id="147" w:name="_Toc30146"/>
      <w:bookmarkStart w:id="148" w:name="_Toc46412058"/>
      <w:r>
        <w:rPr>
          <w:rFonts w:hint="eastAsia" w:ascii="宋体" w:eastAsia="宋体" w:cs="宋体"/>
          <w:color w:val="000000" w:themeColor="text1"/>
          <w14:textFill>
            <w14:solidFill>
              <w14:schemeClr w14:val="tx1"/>
            </w14:solidFill>
          </w14:textFill>
        </w:rPr>
        <w:t>1.3 招标范围、计划工期和</w:t>
      </w:r>
      <w:bookmarkEnd w:id="138"/>
      <w:bookmarkEnd w:id="139"/>
      <w:bookmarkEnd w:id="140"/>
      <w:bookmarkEnd w:id="141"/>
      <w:bookmarkEnd w:id="142"/>
      <w:r>
        <w:rPr>
          <w:rFonts w:hint="eastAsia" w:ascii="宋体" w:eastAsia="宋体" w:cs="宋体"/>
          <w:color w:val="000000" w:themeColor="text1"/>
          <w14:textFill>
            <w14:solidFill>
              <w14:schemeClr w14:val="tx1"/>
            </w14:solidFill>
          </w14:textFill>
        </w:rPr>
        <w:t>质量标准</w:t>
      </w:r>
      <w:bookmarkEnd w:id="143"/>
      <w:bookmarkEnd w:id="144"/>
      <w:bookmarkEnd w:id="145"/>
      <w:bookmarkEnd w:id="146"/>
      <w:bookmarkEnd w:id="147"/>
      <w:bookmarkEnd w:id="148"/>
    </w:p>
    <w:p w14:paraId="41430DEC">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1.3.1 招标范围：见投标人须知前附表。</w:t>
      </w:r>
    </w:p>
    <w:p w14:paraId="0109AB1B">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1.3.2 计划工期：见投标人须知前附表。</w:t>
      </w:r>
    </w:p>
    <w:p w14:paraId="07C42A73">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1.3.3 质量标准：见投标人须知前附表。</w:t>
      </w:r>
    </w:p>
    <w:p w14:paraId="08D07C6C">
      <w:pPr>
        <w:pStyle w:val="4"/>
        <w:rPr>
          <w:rFonts w:hint="eastAsia" w:ascii="宋体" w:eastAsia="宋体" w:cs="宋体"/>
          <w:color w:val="000000" w:themeColor="text1"/>
          <w14:textFill>
            <w14:solidFill>
              <w14:schemeClr w14:val="tx1"/>
            </w14:solidFill>
          </w14:textFill>
        </w:rPr>
      </w:pPr>
      <w:bookmarkStart w:id="149" w:name="_Toc152045534"/>
      <w:bookmarkStart w:id="150" w:name="_Toc48853067"/>
      <w:bookmarkStart w:id="151" w:name="_Toc46412059"/>
      <w:bookmarkStart w:id="152" w:name="_Toc247527558"/>
      <w:bookmarkStart w:id="153" w:name="_Toc152042310"/>
      <w:bookmarkStart w:id="154" w:name="_Toc247513957"/>
      <w:bookmarkStart w:id="155" w:name="_Toc46412397"/>
      <w:bookmarkStart w:id="156" w:name="_Toc3231"/>
      <w:bookmarkStart w:id="157" w:name="_Toc18132"/>
      <w:bookmarkStart w:id="158" w:name="_Toc144974502"/>
      <w:bookmarkStart w:id="159" w:name="_Toc48853275"/>
      <w:r>
        <w:rPr>
          <w:rFonts w:hint="eastAsia" w:ascii="宋体" w:eastAsia="宋体" w:cs="宋体"/>
          <w:color w:val="000000" w:themeColor="text1"/>
          <w14:textFill>
            <w14:solidFill>
              <w14:schemeClr w14:val="tx1"/>
            </w14:solidFill>
          </w14:textFill>
        </w:rPr>
        <w:t>1.4 投标人资格要求（适用于未进行资格预审的）</w:t>
      </w:r>
      <w:bookmarkEnd w:id="149"/>
      <w:bookmarkEnd w:id="150"/>
      <w:bookmarkEnd w:id="151"/>
      <w:bookmarkEnd w:id="152"/>
      <w:bookmarkEnd w:id="153"/>
      <w:bookmarkEnd w:id="154"/>
      <w:bookmarkEnd w:id="155"/>
      <w:bookmarkEnd w:id="156"/>
      <w:bookmarkEnd w:id="157"/>
      <w:bookmarkEnd w:id="158"/>
      <w:bookmarkEnd w:id="159"/>
    </w:p>
    <w:p w14:paraId="420BF66D">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1.4.1 投标人应具备承担本招标项目资质条件、能力和信誉。</w:t>
      </w:r>
    </w:p>
    <w:p w14:paraId="349C6685">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（1）资质要求：见投标人须知前附表；</w:t>
      </w:r>
    </w:p>
    <w:p w14:paraId="167EDA63">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（2）财务要求：见投标人须知前附表；</w:t>
      </w:r>
    </w:p>
    <w:p w14:paraId="63584C62">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（3）信誉要求：见投标人须知前附表；</w:t>
      </w:r>
    </w:p>
    <w:p w14:paraId="6BA1BA86">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（4）项目经理的资格要求：见投标人须知前附表；</w:t>
      </w:r>
    </w:p>
    <w:p w14:paraId="782C4ED6">
      <w:pPr>
        <w:spacing w:line="400" w:lineRule="exact"/>
        <w:ind w:firstLine="420" w:firstLineChars="200"/>
        <w:rPr>
          <w:rFonts w:hint="eastAsia" w:eastAsia="宋体"/>
          <w:lang w:eastAsia="zh-CN"/>
        </w:rPr>
      </w:pPr>
      <w:r>
        <w:rPr>
          <w:rFonts w:hint="eastAsia" w:ascii="宋体" w:hAnsi="宋体" w:cs="宋体"/>
          <w:color w:val="000000" w:themeColor="text1"/>
          <w:lang w:eastAsia="zh-CN"/>
          <w14:textFill>
            <w14:solidFill>
              <w14:schemeClr w14:val="tx1"/>
            </w14:solidFill>
          </w14:textFill>
        </w:rPr>
        <w:t>（</w:t>
      </w:r>
      <w:r>
        <w:rPr>
          <w:rFonts w:hint="eastAsia" w:ascii="宋体" w:hAnsi="宋体" w:cs="宋体"/>
          <w:color w:val="000000" w:themeColor="text1"/>
          <w:lang w:val="en-US" w:eastAsia="zh-CN"/>
          <w14:textFill>
            <w14:solidFill>
              <w14:schemeClr w14:val="tx1"/>
            </w14:solidFill>
          </w14:textFill>
        </w:rPr>
        <w:t>5</w:t>
      </w:r>
      <w:r>
        <w:rPr>
          <w:rFonts w:hint="eastAsia" w:ascii="宋体" w:hAnsi="宋体" w:cs="宋体"/>
          <w:color w:val="000000" w:themeColor="text1"/>
          <w:lang w:eastAsia="zh-CN"/>
          <w14:textFill>
            <w14:solidFill>
              <w14:schemeClr w14:val="tx1"/>
            </w14:solidFill>
          </w14:textFill>
        </w:rPr>
        <w:t>）</w:t>
      </w:r>
      <w:r>
        <w:rPr>
          <w:rFonts w:hint="eastAsia" w:ascii="宋体" w:hAnsi="宋体" w:cs="宋体"/>
          <w:color w:val="000000" w:themeColor="text1"/>
          <w:lang w:val="en-US" w:eastAsia="zh-CN"/>
          <w14:textFill>
            <w14:solidFill>
              <w14:schemeClr w14:val="tx1"/>
            </w14:solidFill>
          </w14:textFill>
        </w:rPr>
        <w:t>勘察</w:t>
      </w:r>
      <w:r>
        <w:rPr>
          <w:rFonts w:hint="eastAsia" w:ascii="宋体" w:hAnsi="宋体" w:cs="宋体"/>
          <w:color w:val="000000" w:themeColor="text1"/>
          <w14:textFill>
            <w14:solidFill>
              <w14:schemeClr w14:val="tx1"/>
            </w14:solidFill>
          </w14:textFill>
        </w:rPr>
        <w:t>负责人的资格要求：见投标人须知前附表；</w:t>
      </w:r>
    </w:p>
    <w:p w14:paraId="6B218419">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w:t>
      </w:r>
      <w:r>
        <w:rPr>
          <w:rFonts w:hint="eastAsia" w:ascii="宋体" w:hAnsi="宋体" w:cs="宋体"/>
          <w:color w:val="000000" w:themeColor="text1"/>
          <w:lang w:val="en-US" w:eastAsia="zh-CN"/>
          <w14:textFill>
            <w14:solidFill>
              <w14:schemeClr w14:val="tx1"/>
            </w14:solidFill>
          </w14:textFill>
        </w:rPr>
        <w:t>6</w:t>
      </w:r>
      <w:r>
        <w:rPr>
          <w:rFonts w:hint="eastAsia" w:ascii="宋体" w:hAnsi="宋体" w:cs="宋体"/>
          <w:color w:val="000000" w:themeColor="text1"/>
          <w14:textFill>
            <w14:solidFill>
              <w14:schemeClr w14:val="tx1"/>
            </w14:solidFill>
          </w14:textFill>
        </w:rPr>
        <w:t>）设计负责人的资格要求：见投标人须知前附表；</w:t>
      </w:r>
    </w:p>
    <w:p w14:paraId="039DD535">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w:t>
      </w:r>
      <w:r>
        <w:rPr>
          <w:rFonts w:hint="eastAsia" w:ascii="宋体" w:hAnsi="宋体" w:cs="宋体"/>
          <w:color w:val="000000" w:themeColor="text1"/>
          <w:lang w:val="en-US" w:eastAsia="zh-CN"/>
          <w14:textFill>
            <w14:solidFill>
              <w14:schemeClr w14:val="tx1"/>
            </w14:solidFill>
          </w14:textFill>
        </w:rPr>
        <w:t>7</w:t>
      </w:r>
      <w:r>
        <w:rPr>
          <w:rFonts w:hint="eastAsia" w:ascii="宋体" w:hAnsi="宋体" w:cs="宋体"/>
          <w:color w:val="000000" w:themeColor="text1"/>
          <w14:textFill>
            <w14:solidFill>
              <w14:schemeClr w14:val="tx1"/>
            </w14:solidFill>
          </w14:textFill>
        </w:rPr>
        <w:t>）施工负责人的资格要求：见投标人须知前附表；</w:t>
      </w:r>
    </w:p>
    <w:p w14:paraId="59245C53">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w:t>
      </w:r>
      <w:r>
        <w:rPr>
          <w:rFonts w:hint="eastAsia" w:ascii="宋体" w:hAnsi="宋体" w:cs="宋体"/>
          <w:color w:val="000000" w:themeColor="text1"/>
          <w:lang w:val="en-US" w:eastAsia="zh-CN"/>
          <w14:textFill>
            <w14:solidFill>
              <w14:schemeClr w14:val="tx1"/>
            </w14:solidFill>
          </w14:textFill>
        </w:rPr>
        <w:t>8</w:t>
      </w:r>
      <w:r>
        <w:rPr>
          <w:rFonts w:hint="eastAsia" w:ascii="宋体" w:hAnsi="宋体" w:cs="宋体"/>
          <w:color w:val="000000" w:themeColor="text1"/>
          <w14:textFill>
            <w14:solidFill>
              <w14:schemeClr w14:val="tx1"/>
            </w14:solidFill>
          </w14:textFill>
        </w:rPr>
        <w:t>）其他人员要求：见投标人须知前附表；</w:t>
      </w:r>
    </w:p>
    <w:p w14:paraId="1024CB23">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w:t>
      </w:r>
      <w:r>
        <w:rPr>
          <w:rFonts w:hint="eastAsia" w:ascii="宋体" w:hAnsi="宋体" w:cs="宋体"/>
          <w:color w:val="000000" w:themeColor="text1"/>
          <w:lang w:val="en-US" w:eastAsia="zh-CN"/>
          <w14:textFill>
            <w14:solidFill>
              <w14:schemeClr w14:val="tx1"/>
            </w14:solidFill>
          </w14:textFill>
        </w:rPr>
        <w:t>9</w:t>
      </w:r>
      <w:r>
        <w:rPr>
          <w:rFonts w:hint="eastAsia" w:ascii="宋体" w:hAnsi="宋体" w:cs="宋体"/>
          <w:color w:val="000000" w:themeColor="text1"/>
          <w14:textFill>
            <w14:solidFill>
              <w14:schemeClr w14:val="tx1"/>
            </w14:solidFill>
          </w14:textFill>
        </w:rPr>
        <w:t>）其他要求：见投标人须知前附表。</w:t>
      </w:r>
    </w:p>
    <w:p w14:paraId="739B521C">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1.4.2 投标人须知前附表规定接受联合体投标的，除应符合本章第1.4.1项和投标人须知前附表的要求外，还应遵守以下规定： </w:t>
      </w:r>
    </w:p>
    <w:p w14:paraId="011F306C">
      <w:pPr>
        <w:spacing w:line="400" w:lineRule="exact"/>
        <w:ind w:firstLine="315" w:firstLineChars="15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（1）联合体各方应按招标文件提供的格式签订联合体协议书，明确联合体牵头人和各方权利义务；</w:t>
      </w:r>
    </w:p>
    <w:p w14:paraId="510CE05F">
      <w:pPr>
        <w:spacing w:line="400" w:lineRule="exact"/>
        <w:ind w:firstLine="315" w:firstLineChars="150"/>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（2）由同一专业的单位组成的联合体，按照资质等级较低的单位确定资质等级；</w:t>
      </w:r>
    </w:p>
    <w:p w14:paraId="36901D6A">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1.4.3 投标人不得存在下列情形之一：</w:t>
      </w:r>
    </w:p>
    <w:p w14:paraId="2D0BF33B">
      <w:pPr>
        <w:spacing w:line="400" w:lineRule="exact"/>
        <w:ind w:firstLine="315" w:firstLineChars="15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（1）为招标人不具有独立法人资格的附属机构（单位）； </w:t>
      </w:r>
    </w:p>
    <w:p w14:paraId="18A27922">
      <w:pPr>
        <w:spacing w:line="400" w:lineRule="exact"/>
        <w:ind w:firstLine="315" w:firstLineChars="15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（2）为本招标项目的监理人；</w:t>
      </w:r>
    </w:p>
    <w:p w14:paraId="3F2EB627">
      <w:pPr>
        <w:spacing w:line="400" w:lineRule="exact"/>
        <w:ind w:firstLine="315" w:firstLineChars="15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（3）为本招标项目的代建人； </w:t>
      </w:r>
    </w:p>
    <w:p w14:paraId="2A94B143">
      <w:pPr>
        <w:spacing w:line="400" w:lineRule="exact"/>
        <w:ind w:firstLine="315" w:firstLineChars="15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（4）为本招标项目提供招标代理服务的； </w:t>
      </w:r>
    </w:p>
    <w:p w14:paraId="07F4111A">
      <w:pPr>
        <w:spacing w:line="400" w:lineRule="exact"/>
        <w:ind w:firstLine="315" w:firstLineChars="15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（5）被责令停业的； </w:t>
      </w:r>
    </w:p>
    <w:p w14:paraId="7F4A1C07">
      <w:pPr>
        <w:spacing w:line="400" w:lineRule="exact"/>
        <w:ind w:firstLine="315" w:firstLineChars="15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（6）被暂停或取消投标资格的； </w:t>
      </w:r>
    </w:p>
    <w:p w14:paraId="00357BD2">
      <w:pPr>
        <w:spacing w:line="400" w:lineRule="exact"/>
        <w:ind w:firstLine="315" w:firstLineChars="15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（7）财产被接管或冻结的；</w:t>
      </w:r>
    </w:p>
    <w:p w14:paraId="2B079216">
      <w:pPr>
        <w:spacing w:line="400" w:lineRule="exact"/>
        <w:ind w:firstLine="315" w:firstLineChars="15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（8）与本招标项目的监理人或代建人或招标代理机构同为一个法定代表人的；</w:t>
      </w:r>
    </w:p>
    <w:p w14:paraId="1B275863">
      <w:pPr>
        <w:spacing w:line="400" w:lineRule="exact"/>
        <w:ind w:firstLine="315" w:firstLineChars="15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（9）与本招标项目的监理人或代建人或招标代理机构相互控股或参股的；</w:t>
      </w:r>
    </w:p>
    <w:p w14:paraId="309F51E7">
      <w:pPr>
        <w:spacing w:line="400" w:lineRule="exact"/>
        <w:ind w:firstLine="315" w:firstLineChars="15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（10）与本招标项目的监理人或代建人或招标代理机构相互任职或工作的。</w:t>
      </w:r>
    </w:p>
    <w:p w14:paraId="0FFD2C92">
      <w:pPr>
        <w:spacing w:line="400" w:lineRule="exact"/>
        <w:ind w:firstLine="420" w:firstLineChars="200"/>
        <w:rPr>
          <w:rFonts w:hint="eastAsia" w:ascii="宋体" w:hAnsi="宋体" w:cs="宋体"/>
          <w:b/>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1.4.4 </w:t>
      </w:r>
      <w:r>
        <w:rPr>
          <w:rFonts w:hint="eastAsia" w:ascii="宋体" w:hAnsi="宋体" w:cs="宋体"/>
          <w:bCs/>
          <w:color w:val="000000" w:themeColor="text1"/>
          <w14:textFill>
            <w14:solidFill>
              <w14:schemeClr w14:val="tx1"/>
            </w14:solidFill>
          </w14:textFill>
        </w:rPr>
        <w:t>单位负责人为同一人或者存在控股、管理关系的不同单位，不得同时参加本招标项目投标。</w:t>
      </w:r>
    </w:p>
    <w:p w14:paraId="68BF8AD3">
      <w:pPr>
        <w:pStyle w:val="4"/>
        <w:rPr>
          <w:rFonts w:hint="eastAsia" w:ascii="宋体" w:eastAsia="宋体" w:cs="宋体"/>
          <w:color w:val="000000" w:themeColor="text1"/>
          <w14:textFill>
            <w14:solidFill>
              <w14:schemeClr w14:val="tx1"/>
            </w14:solidFill>
          </w14:textFill>
        </w:rPr>
      </w:pPr>
      <w:bookmarkStart w:id="160" w:name="_Toc247513958"/>
      <w:bookmarkStart w:id="161" w:name="_Toc144974503"/>
      <w:bookmarkStart w:id="162" w:name="_Toc152045535"/>
      <w:bookmarkStart w:id="163" w:name="_Toc152042311"/>
      <w:bookmarkStart w:id="164" w:name="_Toc247527559"/>
      <w:bookmarkStart w:id="165" w:name="_Toc5407"/>
      <w:bookmarkStart w:id="166" w:name="_Toc46412398"/>
      <w:bookmarkStart w:id="167" w:name="_Toc48853068"/>
      <w:bookmarkStart w:id="168" w:name="_Toc48853276"/>
      <w:bookmarkStart w:id="169" w:name="_Toc46412060"/>
      <w:bookmarkStart w:id="170" w:name="_Toc10154"/>
      <w:r>
        <w:rPr>
          <w:rFonts w:hint="eastAsia" w:ascii="宋体" w:eastAsia="宋体" w:cs="宋体"/>
          <w:color w:val="000000" w:themeColor="text1"/>
          <w14:textFill>
            <w14:solidFill>
              <w14:schemeClr w14:val="tx1"/>
            </w14:solidFill>
          </w14:textFill>
        </w:rPr>
        <w:t>1.5 费用承担</w:t>
      </w:r>
      <w:bookmarkEnd w:id="160"/>
      <w:bookmarkEnd w:id="161"/>
      <w:bookmarkEnd w:id="162"/>
      <w:bookmarkEnd w:id="163"/>
      <w:bookmarkEnd w:id="164"/>
      <w:r>
        <w:rPr>
          <w:rFonts w:hint="eastAsia" w:ascii="宋体" w:eastAsia="宋体" w:cs="宋体"/>
          <w:color w:val="000000" w:themeColor="text1"/>
          <w14:textFill>
            <w14:solidFill>
              <w14:schemeClr w14:val="tx1"/>
            </w14:solidFill>
          </w14:textFill>
        </w:rPr>
        <w:t>和设计成果补偿</w:t>
      </w:r>
      <w:bookmarkEnd w:id="165"/>
      <w:bookmarkEnd w:id="166"/>
      <w:bookmarkEnd w:id="167"/>
      <w:bookmarkEnd w:id="168"/>
      <w:bookmarkEnd w:id="169"/>
      <w:bookmarkEnd w:id="170"/>
    </w:p>
    <w:p w14:paraId="40A5FA64">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1.5.1 投标人准备和参加投标活动发生的费用自理。</w:t>
      </w:r>
    </w:p>
    <w:p w14:paraId="2DB1DF74">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1.5.2 招标人对符合招标文件规定的未中标人的设计成果不进行补偿。</w:t>
      </w:r>
    </w:p>
    <w:p w14:paraId="7A9EF85E">
      <w:pPr>
        <w:pStyle w:val="4"/>
        <w:rPr>
          <w:rFonts w:hint="eastAsia" w:ascii="宋体" w:eastAsia="宋体" w:cs="宋体"/>
          <w:color w:val="000000" w:themeColor="text1"/>
          <w14:textFill>
            <w14:solidFill>
              <w14:schemeClr w14:val="tx1"/>
            </w14:solidFill>
          </w14:textFill>
        </w:rPr>
      </w:pPr>
      <w:bookmarkStart w:id="171" w:name="_Toc31200"/>
      <w:bookmarkStart w:id="172" w:name="_Toc46412061"/>
      <w:bookmarkStart w:id="173" w:name="_Toc152042312"/>
      <w:bookmarkStart w:id="174" w:name="_Toc48853277"/>
      <w:bookmarkStart w:id="175" w:name="_Toc247527560"/>
      <w:bookmarkStart w:id="176" w:name="_Toc247513959"/>
      <w:bookmarkStart w:id="177" w:name="_Toc48853069"/>
      <w:bookmarkStart w:id="178" w:name="_Toc23928"/>
      <w:bookmarkStart w:id="179" w:name="_Toc144974504"/>
      <w:bookmarkStart w:id="180" w:name="_Toc46412399"/>
      <w:bookmarkStart w:id="181" w:name="_Toc152045536"/>
      <w:r>
        <w:rPr>
          <w:rFonts w:hint="eastAsia" w:ascii="宋体" w:eastAsia="宋体" w:cs="宋体"/>
          <w:color w:val="000000" w:themeColor="text1"/>
          <w14:textFill>
            <w14:solidFill>
              <w14:schemeClr w14:val="tx1"/>
            </w14:solidFill>
          </w14:textFill>
        </w:rPr>
        <w:t>1.6 保密</w:t>
      </w:r>
      <w:bookmarkEnd w:id="171"/>
      <w:bookmarkEnd w:id="172"/>
      <w:bookmarkEnd w:id="173"/>
      <w:bookmarkEnd w:id="174"/>
      <w:bookmarkEnd w:id="175"/>
      <w:bookmarkEnd w:id="176"/>
      <w:bookmarkEnd w:id="177"/>
      <w:bookmarkEnd w:id="178"/>
      <w:bookmarkEnd w:id="179"/>
      <w:bookmarkEnd w:id="180"/>
      <w:bookmarkEnd w:id="181"/>
    </w:p>
    <w:p w14:paraId="1A2B7E0E">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参与招标投标活动的各方应对招标文件和投标文件中的商业和技术等秘密保密，否则应承担相应的法律责任。 </w:t>
      </w:r>
    </w:p>
    <w:p w14:paraId="108BDC06">
      <w:pPr>
        <w:pStyle w:val="4"/>
        <w:rPr>
          <w:rFonts w:hint="eastAsia" w:ascii="宋体" w:eastAsia="宋体" w:cs="宋体"/>
          <w:color w:val="000000" w:themeColor="text1"/>
          <w14:textFill>
            <w14:solidFill>
              <w14:schemeClr w14:val="tx1"/>
            </w14:solidFill>
          </w14:textFill>
        </w:rPr>
      </w:pPr>
      <w:bookmarkStart w:id="182" w:name="_Toc144974505"/>
      <w:bookmarkStart w:id="183" w:name="_Toc46412400"/>
      <w:bookmarkStart w:id="184" w:name="_Toc30154"/>
      <w:bookmarkStart w:id="185" w:name="_Toc48853070"/>
      <w:bookmarkStart w:id="186" w:name="_Toc152045537"/>
      <w:bookmarkStart w:id="187" w:name="_Toc247527561"/>
      <w:bookmarkStart w:id="188" w:name="_Toc20044"/>
      <w:bookmarkStart w:id="189" w:name="_Toc46412062"/>
      <w:bookmarkStart w:id="190" w:name="_Toc48853278"/>
      <w:bookmarkStart w:id="191" w:name="_Toc247513960"/>
      <w:bookmarkStart w:id="192" w:name="_Toc152042313"/>
      <w:r>
        <w:rPr>
          <w:rFonts w:hint="eastAsia" w:ascii="宋体" w:eastAsia="宋体" w:cs="宋体"/>
          <w:color w:val="000000" w:themeColor="text1"/>
          <w14:textFill>
            <w14:solidFill>
              <w14:schemeClr w14:val="tx1"/>
            </w14:solidFill>
          </w14:textFill>
        </w:rPr>
        <w:t>1.7 语言</w:t>
      </w:r>
      <w:bookmarkEnd w:id="182"/>
      <w:r>
        <w:rPr>
          <w:rFonts w:hint="eastAsia" w:ascii="宋体" w:eastAsia="宋体" w:cs="宋体"/>
          <w:color w:val="000000" w:themeColor="text1"/>
          <w14:textFill>
            <w14:solidFill>
              <w14:schemeClr w14:val="tx1"/>
            </w14:solidFill>
          </w14:textFill>
        </w:rPr>
        <w:t>文字</w:t>
      </w:r>
      <w:bookmarkEnd w:id="183"/>
      <w:bookmarkEnd w:id="184"/>
      <w:bookmarkEnd w:id="185"/>
      <w:bookmarkEnd w:id="186"/>
      <w:bookmarkEnd w:id="187"/>
      <w:bookmarkEnd w:id="188"/>
      <w:bookmarkEnd w:id="189"/>
      <w:bookmarkEnd w:id="190"/>
      <w:bookmarkEnd w:id="191"/>
      <w:bookmarkEnd w:id="192"/>
    </w:p>
    <w:p w14:paraId="3321066E">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招标投标文件使用的语言文字为中文。专用术语使用外文的，应附有中文注释。</w:t>
      </w:r>
    </w:p>
    <w:p w14:paraId="568996FA">
      <w:pPr>
        <w:pStyle w:val="4"/>
        <w:rPr>
          <w:rFonts w:hint="eastAsia" w:ascii="宋体" w:eastAsia="宋体" w:cs="宋体"/>
          <w:color w:val="000000" w:themeColor="text1"/>
          <w14:textFill>
            <w14:solidFill>
              <w14:schemeClr w14:val="tx1"/>
            </w14:solidFill>
          </w14:textFill>
        </w:rPr>
      </w:pPr>
      <w:bookmarkStart w:id="193" w:name="_Toc4269"/>
      <w:bookmarkStart w:id="194" w:name="_Toc46412401"/>
      <w:bookmarkStart w:id="195" w:name="_Toc247527562"/>
      <w:bookmarkStart w:id="196" w:name="_Toc247513961"/>
      <w:bookmarkStart w:id="197" w:name="_Toc144974506"/>
      <w:bookmarkStart w:id="198" w:name="_Toc152042314"/>
      <w:bookmarkStart w:id="199" w:name="_Toc48853071"/>
      <w:bookmarkStart w:id="200" w:name="_Toc46412063"/>
      <w:bookmarkStart w:id="201" w:name="_Toc30605"/>
      <w:bookmarkStart w:id="202" w:name="_Toc152045538"/>
      <w:bookmarkStart w:id="203" w:name="_Toc48853279"/>
      <w:r>
        <w:rPr>
          <w:rFonts w:hint="eastAsia" w:ascii="宋体" w:eastAsia="宋体" w:cs="宋体"/>
          <w:color w:val="000000" w:themeColor="text1"/>
          <w14:textFill>
            <w14:solidFill>
              <w14:schemeClr w14:val="tx1"/>
            </w14:solidFill>
          </w14:textFill>
        </w:rPr>
        <w:t>1.8 计量单位</w:t>
      </w:r>
      <w:bookmarkEnd w:id="193"/>
      <w:bookmarkEnd w:id="194"/>
      <w:bookmarkEnd w:id="195"/>
      <w:bookmarkEnd w:id="196"/>
      <w:bookmarkEnd w:id="197"/>
      <w:bookmarkEnd w:id="198"/>
      <w:bookmarkEnd w:id="199"/>
      <w:bookmarkEnd w:id="200"/>
      <w:bookmarkEnd w:id="201"/>
      <w:bookmarkEnd w:id="202"/>
      <w:bookmarkEnd w:id="203"/>
    </w:p>
    <w:p w14:paraId="5F599C1C">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所有计量均采用中华人民共和国法定计量单位。</w:t>
      </w:r>
    </w:p>
    <w:p w14:paraId="62990145">
      <w:pPr>
        <w:pStyle w:val="4"/>
        <w:rPr>
          <w:rFonts w:hint="eastAsia" w:ascii="宋体" w:eastAsia="宋体" w:cs="宋体"/>
          <w:color w:val="000000" w:themeColor="text1"/>
          <w14:textFill>
            <w14:solidFill>
              <w14:schemeClr w14:val="tx1"/>
            </w14:solidFill>
          </w14:textFill>
        </w:rPr>
      </w:pPr>
      <w:bookmarkStart w:id="204" w:name="_Toc48853280"/>
      <w:bookmarkStart w:id="205" w:name="_Toc48853072"/>
      <w:bookmarkStart w:id="206" w:name="_Toc46412402"/>
      <w:bookmarkStart w:id="207" w:name="_Toc27212"/>
      <w:bookmarkStart w:id="208" w:name="_Toc247513962"/>
      <w:bookmarkStart w:id="209" w:name="_Toc152042315"/>
      <w:bookmarkStart w:id="210" w:name="_Toc29579"/>
      <w:bookmarkStart w:id="211" w:name="_Toc46412064"/>
      <w:bookmarkStart w:id="212" w:name="_Toc144974507"/>
      <w:bookmarkStart w:id="213" w:name="_Toc247527563"/>
      <w:bookmarkStart w:id="214" w:name="_Toc152045539"/>
      <w:r>
        <w:rPr>
          <w:rFonts w:hint="eastAsia" w:ascii="宋体" w:eastAsia="宋体" w:cs="宋体"/>
          <w:color w:val="000000" w:themeColor="text1"/>
          <w14:textFill>
            <w14:solidFill>
              <w14:schemeClr w14:val="tx1"/>
            </w14:solidFill>
          </w14:textFill>
        </w:rPr>
        <w:t>1.9 踏勘现场</w:t>
      </w:r>
      <w:bookmarkEnd w:id="204"/>
      <w:bookmarkEnd w:id="205"/>
      <w:bookmarkEnd w:id="206"/>
      <w:bookmarkEnd w:id="207"/>
      <w:bookmarkEnd w:id="208"/>
      <w:bookmarkEnd w:id="209"/>
      <w:bookmarkEnd w:id="210"/>
      <w:bookmarkEnd w:id="211"/>
      <w:bookmarkEnd w:id="212"/>
      <w:bookmarkEnd w:id="213"/>
      <w:bookmarkEnd w:id="214"/>
    </w:p>
    <w:p w14:paraId="22E22678">
      <w:pPr>
        <w:spacing w:line="400" w:lineRule="exact"/>
        <w:ind w:firstLine="420" w:firstLineChars="200"/>
        <w:rPr>
          <w:rFonts w:hint="eastAsia" w:ascii="宋体" w:hAnsi="宋体" w:cs="宋体"/>
          <w:color w:val="000000" w:themeColor="text1"/>
          <w14:textFill>
            <w14:solidFill>
              <w14:schemeClr w14:val="tx1"/>
            </w14:solidFill>
          </w14:textFill>
        </w:rPr>
      </w:pPr>
      <w:bookmarkStart w:id="215" w:name="_Toc46412065"/>
      <w:bookmarkStart w:id="216" w:name="_Toc24938"/>
      <w:bookmarkStart w:id="217" w:name="_Toc247513963"/>
      <w:bookmarkStart w:id="218" w:name="_Toc46412403"/>
      <w:bookmarkStart w:id="219" w:name="_Toc48853281"/>
      <w:bookmarkStart w:id="220" w:name="_Toc152042316"/>
      <w:bookmarkStart w:id="221" w:name="_Toc144974508"/>
      <w:bookmarkStart w:id="222" w:name="_Toc152045540"/>
      <w:bookmarkStart w:id="223" w:name="_Toc247527564"/>
      <w:bookmarkStart w:id="224" w:name="_Toc48853073"/>
      <w:r>
        <w:rPr>
          <w:rFonts w:hint="eastAsia" w:ascii="宋体" w:hAnsi="宋体" w:cs="宋体"/>
          <w:color w:val="000000" w:themeColor="text1"/>
          <w14:textFill>
            <w14:solidFill>
              <w14:schemeClr w14:val="tx1"/>
            </w14:solidFill>
          </w14:textFill>
        </w:rPr>
        <w:t>见投标人须知前附表。</w:t>
      </w:r>
    </w:p>
    <w:p w14:paraId="63607B6F">
      <w:pPr>
        <w:pStyle w:val="4"/>
        <w:rPr>
          <w:rFonts w:hint="eastAsia" w:ascii="宋体" w:eastAsia="宋体" w:cs="宋体"/>
          <w:color w:val="000000" w:themeColor="text1"/>
          <w14:textFill>
            <w14:solidFill>
              <w14:schemeClr w14:val="tx1"/>
            </w14:solidFill>
          </w14:textFill>
        </w:rPr>
      </w:pPr>
      <w:bookmarkStart w:id="225" w:name="_Toc21026"/>
      <w:r>
        <w:rPr>
          <w:rFonts w:hint="eastAsia" w:ascii="宋体" w:eastAsia="宋体" w:cs="宋体"/>
          <w:color w:val="000000" w:themeColor="text1"/>
          <w14:textFill>
            <w14:solidFill>
              <w14:schemeClr w14:val="tx1"/>
            </w14:solidFill>
          </w14:textFill>
        </w:rPr>
        <w:t>1.10 投标预备会</w:t>
      </w:r>
      <w:bookmarkEnd w:id="215"/>
      <w:bookmarkEnd w:id="216"/>
      <w:bookmarkEnd w:id="217"/>
      <w:bookmarkEnd w:id="218"/>
      <w:bookmarkEnd w:id="219"/>
      <w:bookmarkEnd w:id="220"/>
      <w:bookmarkEnd w:id="221"/>
      <w:bookmarkEnd w:id="222"/>
      <w:bookmarkEnd w:id="223"/>
      <w:bookmarkEnd w:id="224"/>
      <w:bookmarkEnd w:id="225"/>
    </w:p>
    <w:p w14:paraId="6576BA15">
      <w:pPr>
        <w:spacing w:line="400" w:lineRule="exact"/>
        <w:ind w:firstLine="420" w:firstLineChars="200"/>
        <w:jc w:val="left"/>
        <w:rPr>
          <w:rFonts w:hint="eastAsia" w:ascii="宋体" w:hAnsi="宋体" w:cs="宋体"/>
          <w:color w:val="000000" w:themeColor="text1"/>
          <w:kern w:val="0"/>
          <w14:textFill>
            <w14:solidFill>
              <w14:schemeClr w14:val="tx1"/>
            </w14:solidFill>
          </w14:textFill>
        </w:rPr>
      </w:pPr>
      <w:bookmarkStart w:id="226" w:name="_Toc152042317"/>
      <w:bookmarkStart w:id="227" w:name="_Toc247513964"/>
      <w:bookmarkStart w:id="228" w:name="_Toc152045541"/>
      <w:bookmarkStart w:id="229" w:name="_Toc247527565"/>
      <w:bookmarkStart w:id="230" w:name="_Toc144974509"/>
      <w:r>
        <w:rPr>
          <w:rFonts w:hint="eastAsia" w:ascii="宋体" w:hAnsi="宋体" w:cs="宋体"/>
          <w:color w:val="000000" w:themeColor="text1"/>
          <w:szCs w:val="21"/>
          <w14:textFill>
            <w14:solidFill>
              <w14:schemeClr w14:val="tx1"/>
            </w14:solidFill>
          </w14:textFill>
        </w:rPr>
        <w:t>不召开。</w:t>
      </w:r>
      <w:r>
        <w:rPr>
          <w:rFonts w:hint="eastAsia" w:ascii="宋体" w:hAnsi="宋体" w:cs="宋体"/>
          <w:color w:val="000000" w:themeColor="text1"/>
          <w:kern w:val="0"/>
          <w14:textFill>
            <w14:solidFill>
              <w14:schemeClr w14:val="tx1"/>
            </w14:solidFill>
          </w14:textFill>
        </w:rPr>
        <w:t xml:space="preserve"> </w:t>
      </w:r>
    </w:p>
    <w:p w14:paraId="642BC802">
      <w:pPr>
        <w:pStyle w:val="4"/>
        <w:rPr>
          <w:rFonts w:hint="eastAsia" w:ascii="宋体" w:eastAsia="宋体" w:cs="宋体"/>
          <w:color w:val="000000" w:themeColor="text1"/>
          <w14:textFill>
            <w14:solidFill>
              <w14:schemeClr w14:val="tx1"/>
            </w14:solidFill>
          </w14:textFill>
        </w:rPr>
      </w:pPr>
      <w:bookmarkStart w:id="231" w:name="_Toc48853282"/>
      <w:bookmarkStart w:id="232" w:name="_Toc20792"/>
      <w:bookmarkStart w:id="233" w:name="_Toc48853074"/>
      <w:bookmarkStart w:id="234" w:name="_Toc46412404"/>
      <w:bookmarkStart w:id="235" w:name="_Toc10160"/>
      <w:bookmarkStart w:id="236" w:name="_Toc46412066"/>
      <w:r>
        <w:rPr>
          <w:rFonts w:hint="eastAsia" w:ascii="宋体" w:eastAsia="宋体" w:cs="宋体"/>
          <w:color w:val="000000" w:themeColor="text1"/>
          <w14:textFill>
            <w14:solidFill>
              <w14:schemeClr w14:val="tx1"/>
            </w14:solidFill>
          </w14:textFill>
        </w:rPr>
        <w:t>1.11 分包</w:t>
      </w:r>
      <w:bookmarkEnd w:id="226"/>
      <w:bookmarkEnd w:id="227"/>
      <w:bookmarkEnd w:id="228"/>
      <w:bookmarkEnd w:id="229"/>
      <w:bookmarkEnd w:id="230"/>
      <w:bookmarkEnd w:id="231"/>
      <w:bookmarkEnd w:id="232"/>
      <w:bookmarkEnd w:id="233"/>
      <w:bookmarkEnd w:id="234"/>
      <w:bookmarkEnd w:id="235"/>
      <w:bookmarkEnd w:id="236"/>
    </w:p>
    <w:p w14:paraId="37699DA5">
      <w:pPr>
        <w:spacing w:line="400" w:lineRule="exact"/>
        <w:ind w:firstLine="567" w:firstLineChars="27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1.11.1 投标人须知前附表规定应当由分包人实施的非主体、非关键性工作，投标人应当按照第五章“发包人要求”的规定提供分包人候选名单及其相应资料。</w:t>
      </w:r>
    </w:p>
    <w:p w14:paraId="1D6548AE">
      <w:pPr>
        <w:spacing w:line="400" w:lineRule="exact"/>
        <w:ind w:firstLine="567" w:firstLineChars="27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1.11.2 投标人拟在中标后将中标项目的部分非主体、非关键性工作进行分包的，应符合投标人须知前附表规定的分包内容、分包金额和资质要求等限制性条件。</w:t>
      </w:r>
    </w:p>
    <w:p w14:paraId="1009C1E9">
      <w:pPr>
        <w:pStyle w:val="4"/>
        <w:rPr>
          <w:rFonts w:hint="eastAsia" w:ascii="宋体" w:eastAsia="宋体" w:cs="宋体"/>
          <w:color w:val="000000" w:themeColor="text1"/>
          <w14:textFill>
            <w14:solidFill>
              <w14:schemeClr w14:val="tx1"/>
            </w14:solidFill>
          </w14:textFill>
        </w:rPr>
      </w:pPr>
      <w:bookmarkStart w:id="237" w:name="_Toc46412067"/>
      <w:bookmarkStart w:id="238" w:name="_Toc46412405"/>
      <w:bookmarkStart w:id="239" w:name="_Toc247513965"/>
      <w:bookmarkStart w:id="240" w:name="_Toc17646"/>
      <w:bookmarkStart w:id="241" w:name="_Toc12818"/>
      <w:bookmarkStart w:id="242" w:name="_Toc48853283"/>
      <w:bookmarkStart w:id="243" w:name="_Toc48853075"/>
      <w:bookmarkStart w:id="244" w:name="_Toc247527566"/>
      <w:r>
        <w:rPr>
          <w:rFonts w:hint="eastAsia" w:ascii="宋体" w:eastAsia="宋体" w:cs="宋体"/>
          <w:color w:val="000000" w:themeColor="text1"/>
          <w14:textFill>
            <w14:solidFill>
              <w14:schemeClr w14:val="tx1"/>
            </w14:solidFill>
          </w14:textFill>
        </w:rPr>
        <w:t>1.12 偏离</w:t>
      </w:r>
      <w:bookmarkEnd w:id="237"/>
      <w:bookmarkEnd w:id="238"/>
      <w:bookmarkEnd w:id="239"/>
      <w:bookmarkEnd w:id="240"/>
      <w:bookmarkEnd w:id="241"/>
      <w:bookmarkEnd w:id="242"/>
      <w:bookmarkEnd w:id="243"/>
      <w:bookmarkEnd w:id="244"/>
    </w:p>
    <w:p w14:paraId="1A360261">
      <w:pPr>
        <w:spacing w:line="400" w:lineRule="exact"/>
        <w:ind w:firstLine="359" w:firstLineChars="171"/>
        <w:rPr>
          <w:rFonts w:hint="eastAsia" w:ascii="宋体" w:hAnsi="宋体" w:cs="宋体"/>
          <w:color w:val="000000" w:themeColor="text1"/>
          <w14:textFill>
            <w14:solidFill>
              <w14:schemeClr w14:val="tx1"/>
            </w14:solidFill>
          </w14:textFill>
        </w:rPr>
      </w:pPr>
      <w:bookmarkStart w:id="245" w:name="_Toc1074"/>
      <w:bookmarkStart w:id="246" w:name="_Toc247527567"/>
      <w:bookmarkStart w:id="247" w:name="_Toc152042318"/>
      <w:bookmarkStart w:id="248" w:name="_Toc152045542"/>
      <w:bookmarkStart w:id="249" w:name="_Toc46412406"/>
      <w:bookmarkStart w:id="250" w:name="_Toc46412068"/>
      <w:bookmarkStart w:id="251" w:name="_Toc48853076"/>
      <w:bookmarkStart w:id="252" w:name="_Toc48853284"/>
      <w:bookmarkStart w:id="253" w:name="_Toc144974510"/>
      <w:bookmarkStart w:id="254" w:name="_Toc247513966"/>
      <w:r>
        <w:rPr>
          <w:rFonts w:hint="eastAsia" w:ascii="宋体" w:hAnsi="宋体" w:cs="宋体"/>
          <w:color w:val="000000" w:themeColor="text1"/>
          <w14:textFill>
            <w14:solidFill>
              <w14:schemeClr w14:val="tx1"/>
            </w14:solidFill>
          </w14:textFill>
        </w:rPr>
        <w:t>不允许偏离。</w:t>
      </w:r>
    </w:p>
    <w:p w14:paraId="4EB210EB">
      <w:pPr>
        <w:pStyle w:val="3"/>
        <w:rPr>
          <w:rFonts w:hint="eastAsia" w:ascii="宋体" w:hAnsi="宋体" w:eastAsia="宋体" w:cs="宋体"/>
          <w:color w:val="000000" w:themeColor="text1"/>
          <w14:textFill>
            <w14:solidFill>
              <w14:schemeClr w14:val="tx1"/>
            </w14:solidFill>
          </w14:textFill>
        </w:rPr>
      </w:pPr>
      <w:bookmarkStart w:id="255" w:name="_Toc10527"/>
      <w:r>
        <w:rPr>
          <w:rFonts w:hint="eastAsia" w:ascii="宋体" w:hAnsi="宋体" w:eastAsia="宋体" w:cs="宋体"/>
          <w:color w:val="000000" w:themeColor="text1"/>
          <w14:textFill>
            <w14:solidFill>
              <w14:schemeClr w14:val="tx1"/>
            </w14:solidFill>
          </w14:textFill>
        </w:rPr>
        <w:t>2. 招标文件</w:t>
      </w:r>
      <w:bookmarkEnd w:id="245"/>
      <w:bookmarkEnd w:id="246"/>
      <w:bookmarkEnd w:id="247"/>
      <w:bookmarkEnd w:id="248"/>
      <w:bookmarkEnd w:id="249"/>
      <w:bookmarkEnd w:id="250"/>
      <w:bookmarkEnd w:id="251"/>
      <w:bookmarkEnd w:id="252"/>
      <w:bookmarkEnd w:id="253"/>
      <w:bookmarkEnd w:id="254"/>
      <w:bookmarkEnd w:id="255"/>
    </w:p>
    <w:p w14:paraId="36900441">
      <w:pPr>
        <w:pStyle w:val="4"/>
        <w:rPr>
          <w:rFonts w:hint="eastAsia" w:ascii="宋体" w:eastAsia="宋体" w:cs="宋体"/>
          <w:color w:val="000000" w:themeColor="text1"/>
          <w14:textFill>
            <w14:solidFill>
              <w14:schemeClr w14:val="tx1"/>
            </w14:solidFill>
          </w14:textFill>
        </w:rPr>
      </w:pPr>
      <w:bookmarkStart w:id="256" w:name="_Toc3031"/>
      <w:bookmarkStart w:id="257" w:name="_Toc152042319"/>
      <w:bookmarkStart w:id="258" w:name="_Toc48853285"/>
      <w:bookmarkStart w:id="259" w:name="_Toc152045543"/>
      <w:bookmarkStart w:id="260" w:name="_Toc247527568"/>
      <w:bookmarkStart w:id="261" w:name="_Toc48853077"/>
      <w:bookmarkStart w:id="262" w:name="_Toc6999"/>
      <w:bookmarkStart w:id="263" w:name="_Toc247513967"/>
      <w:bookmarkStart w:id="264" w:name="_Toc144974511"/>
      <w:bookmarkStart w:id="265" w:name="_Toc46412069"/>
      <w:bookmarkStart w:id="266" w:name="_Toc46412407"/>
      <w:r>
        <w:rPr>
          <w:rFonts w:hint="eastAsia" w:ascii="宋体" w:eastAsia="宋体" w:cs="宋体"/>
          <w:color w:val="000000" w:themeColor="text1"/>
          <w14:textFill>
            <w14:solidFill>
              <w14:schemeClr w14:val="tx1"/>
            </w14:solidFill>
          </w14:textFill>
        </w:rPr>
        <w:t>2.1 招标文件的组成</w:t>
      </w:r>
      <w:bookmarkEnd w:id="256"/>
      <w:bookmarkEnd w:id="257"/>
      <w:bookmarkEnd w:id="258"/>
      <w:bookmarkEnd w:id="259"/>
      <w:bookmarkEnd w:id="260"/>
      <w:bookmarkEnd w:id="261"/>
      <w:bookmarkEnd w:id="262"/>
      <w:bookmarkEnd w:id="263"/>
      <w:bookmarkEnd w:id="264"/>
      <w:bookmarkEnd w:id="265"/>
      <w:bookmarkEnd w:id="266"/>
    </w:p>
    <w:p w14:paraId="4CD0EFE6">
      <w:pPr>
        <w:spacing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本招标文件包括：</w:t>
      </w:r>
    </w:p>
    <w:p w14:paraId="113E9E38">
      <w:pPr>
        <w:spacing w:line="400" w:lineRule="exact"/>
        <w:ind w:firstLine="359" w:firstLineChars="171"/>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（1）招标公告（或投标邀请书）；</w:t>
      </w:r>
    </w:p>
    <w:p w14:paraId="5D5D80F0">
      <w:pPr>
        <w:spacing w:line="400" w:lineRule="exact"/>
        <w:ind w:firstLine="359" w:firstLineChars="171"/>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（2）投标人须知；</w:t>
      </w:r>
    </w:p>
    <w:p w14:paraId="54C38119">
      <w:pPr>
        <w:spacing w:line="400" w:lineRule="exact"/>
        <w:ind w:firstLine="359" w:firstLineChars="171"/>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（3）评标办法；</w:t>
      </w:r>
    </w:p>
    <w:p w14:paraId="47ACF3CC">
      <w:pPr>
        <w:spacing w:line="400" w:lineRule="exact"/>
        <w:ind w:firstLine="359" w:firstLineChars="171"/>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（4）合同条款及格式；</w:t>
      </w:r>
    </w:p>
    <w:p w14:paraId="58B861A3">
      <w:pPr>
        <w:spacing w:line="400" w:lineRule="exact"/>
        <w:ind w:firstLine="359" w:firstLineChars="171"/>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（5）发包人要求；</w:t>
      </w:r>
    </w:p>
    <w:p w14:paraId="68007147">
      <w:pPr>
        <w:spacing w:line="400" w:lineRule="exact"/>
        <w:ind w:firstLine="359" w:firstLineChars="171"/>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（6）发包人提供的资料和条件；</w:t>
      </w:r>
    </w:p>
    <w:p w14:paraId="6478F3A5">
      <w:pPr>
        <w:spacing w:line="400" w:lineRule="exact"/>
        <w:ind w:firstLine="359" w:firstLineChars="171"/>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（7）投标文件格式；</w:t>
      </w:r>
    </w:p>
    <w:p w14:paraId="465EA367">
      <w:pPr>
        <w:spacing w:line="400" w:lineRule="exact"/>
        <w:ind w:firstLine="359" w:firstLineChars="171"/>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（8）投标人须知前附表规定的其他资料。</w:t>
      </w:r>
    </w:p>
    <w:p w14:paraId="32E74ED4">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根据本章第1.10款、第2.2款和第2.3款对招标文件所做的澄清、修改，构成招标文件的组成部分。</w:t>
      </w:r>
    </w:p>
    <w:p w14:paraId="0B35C93D">
      <w:pPr>
        <w:pStyle w:val="4"/>
        <w:rPr>
          <w:rFonts w:hint="eastAsia" w:ascii="宋体" w:eastAsia="宋体" w:cs="宋体"/>
          <w:color w:val="000000" w:themeColor="text1"/>
          <w14:textFill>
            <w14:solidFill>
              <w14:schemeClr w14:val="tx1"/>
            </w14:solidFill>
          </w14:textFill>
        </w:rPr>
      </w:pPr>
      <w:bookmarkStart w:id="267" w:name="_Toc46412070"/>
      <w:bookmarkStart w:id="268" w:name="_Toc48853286"/>
      <w:bookmarkStart w:id="269" w:name="_Toc46412408"/>
      <w:bookmarkStart w:id="270" w:name="_Toc48853078"/>
      <w:bookmarkStart w:id="271" w:name="_Toc247527569"/>
      <w:bookmarkStart w:id="272" w:name="_Toc17736"/>
      <w:bookmarkStart w:id="273" w:name="_Toc152042320"/>
      <w:bookmarkStart w:id="274" w:name="_Toc247513968"/>
      <w:bookmarkStart w:id="275" w:name="_Toc4612"/>
      <w:bookmarkStart w:id="276" w:name="_Toc144974512"/>
      <w:bookmarkStart w:id="277" w:name="_Toc152045544"/>
      <w:r>
        <w:rPr>
          <w:rFonts w:hint="eastAsia" w:ascii="宋体" w:eastAsia="宋体" w:cs="宋体"/>
          <w:color w:val="000000" w:themeColor="text1"/>
          <w14:textFill>
            <w14:solidFill>
              <w14:schemeClr w14:val="tx1"/>
            </w14:solidFill>
          </w14:textFill>
        </w:rPr>
        <w:t>2.2 招标文件的澄清</w:t>
      </w:r>
      <w:bookmarkEnd w:id="267"/>
      <w:bookmarkEnd w:id="268"/>
      <w:bookmarkEnd w:id="269"/>
      <w:bookmarkEnd w:id="270"/>
      <w:bookmarkEnd w:id="271"/>
      <w:bookmarkEnd w:id="272"/>
      <w:bookmarkEnd w:id="273"/>
      <w:bookmarkEnd w:id="274"/>
      <w:bookmarkEnd w:id="275"/>
      <w:bookmarkEnd w:id="276"/>
      <w:bookmarkEnd w:id="277"/>
    </w:p>
    <w:p w14:paraId="54C2DD23">
      <w:pPr>
        <w:spacing w:line="400" w:lineRule="exact"/>
        <w:ind w:firstLine="359" w:firstLineChars="171"/>
        <w:rPr>
          <w:rFonts w:hint="eastAsia" w:ascii="宋体" w:hAnsi="宋体" w:cs="宋体"/>
          <w:color w:val="000000" w:themeColor="text1"/>
          <w14:textFill>
            <w14:solidFill>
              <w14:schemeClr w14:val="tx1"/>
            </w14:solidFill>
          </w14:textFill>
        </w:rPr>
      </w:pPr>
      <w:bookmarkStart w:id="278" w:name="_Toc54189800"/>
      <w:bookmarkStart w:id="279" w:name="_Toc48853287"/>
      <w:bookmarkStart w:id="280" w:name="_Toc1482"/>
      <w:bookmarkStart w:id="281" w:name="_Toc247513969"/>
      <w:bookmarkStart w:id="282" w:name="_Toc152042321"/>
      <w:bookmarkStart w:id="283" w:name="_Toc46412409"/>
      <w:bookmarkStart w:id="284" w:name="_Toc152045545"/>
      <w:bookmarkStart w:id="285" w:name="_Toc46412071"/>
      <w:bookmarkStart w:id="286" w:name="_Toc247527570"/>
      <w:bookmarkStart w:id="287" w:name="_Toc144974513"/>
      <w:bookmarkStart w:id="288" w:name="_Toc48853079"/>
      <w:r>
        <w:rPr>
          <w:rFonts w:hint="eastAsia" w:ascii="宋体" w:hAnsi="宋体" w:cs="宋体"/>
          <w:color w:val="000000" w:themeColor="text1"/>
          <w14:textFill>
            <w14:solidFill>
              <w14:schemeClr w14:val="tx1"/>
            </w14:solidFill>
          </w14:textFill>
        </w:rPr>
        <w:t>2.2.1投标人应仔细阅读和检查招标文件的全部内容。如发现缺页或附件不全，应及时向招标人提出，以便补齐。如有疑问，应在投标人须知前附表规定的时间前以在线署名提交方式登录</w:t>
      </w:r>
      <w:r>
        <w:rPr>
          <w:rFonts w:hint="eastAsia" w:ascii="宋体" w:hAnsi="宋体" w:cs="宋体"/>
          <w:color w:val="000000" w:themeColor="text1"/>
          <w:lang w:eastAsia="zh-CN"/>
          <w14:textFill>
            <w14:solidFill>
              <w14:schemeClr w14:val="tx1"/>
            </w14:solidFill>
          </w14:textFill>
        </w:rPr>
        <w:t>全国公共资源交易平台（云南省）/云南省公共资源交易信息网（网址：http://gzy.yn.gov.cn/)，选择地区“红河州”，切换至“红河州公共资源交易电子服务系统/全国公共资源交易平台（云南省·红河州）</w:t>
      </w:r>
      <w:r>
        <w:rPr>
          <w:rFonts w:hint="eastAsia" w:ascii="宋体" w:hAnsi="宋体" w:cs="宋体"/>
          <w:color w:val="000000" w:themeColor="text1"/>
          <w14:textFill>
            <w14:solidFill>
              <w14:schemeClr w14:val="tx1"/>
            </w14:solidFill>
          </w14:textFill>
        </w:rPr>
        <w:t>，要求招标人对招标文件予以澄清。</w:t>
      </w:r>
      <w:bookmarkEnd w:id="278"/>
    </w:p>
    <w:p w14:paraId="0713A373">
      <w:pPr>
        <w:spacing w:line="400" w:lineRule="exact"/>
        <w:ind w:firstLine="359" w:firstLineChars="171"/>
        <w:rPr>
          <w:rFonts w:hint="eastAsia" w:ascii="宋体" w:hAnsi="宋体" w:cs="宋体"/>
          <w:color w:val="000000" w:themeColor="text1"/>
          <w14:textFill>
            <w14:solidFill>
              <w14:schemeClr w14:val="tx1"/>
            </w14:solidFill>
          </w14:textFill>
        </w:rPr>
      </w:pPr>
      <w:bookmarkStart w:id="289" w:name="_Toc54189801"/>
      <w:r>
        <w:rPr>
          <w:rFonts w:hint="eastAsia" w:ascii="宋体" w:hAnsi="宋体" w:cs="宋体"/>
          <w:color w:val="000000" w:themeColor="text1"/>
          <w14:textFill>
            <w14:solidFill>
              <w14:schemeClr w14:val="tx1"/>
            </w14:solidFill>
          </w14:textFill>
        </w:rPr>
        <w:t>2.2.2招标澄清和补遗全部通过网络送达，请投标人在开标截止日前，务必查询网站信息，投标人自行登录</w:t>
      </w:r>
      <w:r>
        <w:rPr>
          <w:rFonts w:hint="eastAsia" w:ascii="宋体" w:hAnsi="宋体" w:cs="宋体"/>
          <w:color w:val="000000" w:themeColor="text1"/>
          <w:lang w:eastAsia="zh-CN"/>
          <w14:textFill>
            <w14:solidFill>
              <w14:schemeClr w14:val="tx1"/>
            </w14:solidFill>
          </w14:textFill>
        </w:rPr>
        <w:t>全国公共资源交易平台（云南省）/云南省公共资源交易信息网（网址：http://gzy.yn.gov.cn/)，选择地区“红河州”，切换至“红河州公共资源交易电子服务系统/全国公共资源交易平台（云南省·红河州）</w:t>
      </w:r>
      <w:r>
        <w:rPr>
          <w:rFonts w:hint="eastAsia" w:ascii="宋体" w:hAnsi="宋体" w:cs="宋体"/>
          <w:color w:val="000000" w:themeColor="text1"/>
          <w14:textFill>
            <w14:solidFill>
              <w14:schemeClr w14:val="tx1"/>
            </w14:solidFill>
          </w14:textFill>
        </w:rPr>
        <w:t>获取澄清，如果澄清发出的时间距投标人须知前附表规定的投标截止时间不足15天，并且澄清内容影响投标文件编制的，应相应延长投标截止时间。</w:t>
      </w:r>
      <w:bookmarkEnd w:id="289"/>
    </w:p>
    <w:p w14:paraId="3723AF18">
      <w:pPr>
        <w:pStyle w:val="4"/>
        <w:rPr>
          <w:rFonts w:hint="eastAsia" w:ascii="宋体" w:eastAsia="宋体" w:cs="宋体"/>
          <w:color w:val="000000" w:themeColor="text1"/>
          <w14:textFill>
            <w14:solidFill>
              <w14:schemeClr w14:val="tx1"/>
            </w14:solidFill>
          </w14:textFill>
        </w:rPr>
      </w:pPr>
      <w:bookmarkStart w:id="290" w:name="_Toc2988"/>
      <w:r>
        <w:rPr>
          <w:rFonts w:hint="eastAsia" w:ascii="宋体" w:eastAsia="宋体" w:cs="宋体"/>
          <w:color w:val="000000" w:themeColor="text1"/>
          <w14:textFill>
            <w14:solidFill>
              <w14:schemeClr w14:val="tx1"/>
            </w14:solidFill>
          </w14:textFill>
        </w:rPr>
        <w:t>2.3 招标文件的修改</w:t>
      </w:r>
      <w:bookmarkEnd w:id="279"/>
      <w:bookmarkEnd w:id="280"/>
      <w:bookmarkEnd w:id="281"/>
      <w:bookmarkEnd w:id="282"/>
      <w:bookmarkEnd w:id="283"/>
      <w:bookmarkEnd w:id="284"/>
      <w:bookmarkEnd w:id="285"/>
      <w:bookmarkEnd w:id="286"/>
      <w:bookmarkEnd w:id="287"/>
      <w:bookmarkEnd w:id="288"/>
      <w:bookmarkEnd w:id="290"/>
    </w:p>
    <w:p w14:paraId="72B7E0F7">
      <w:pPr>
        <w:spacing w:line="400" w:lineRule="exact"/>
        <w:ind w:firstLine="567" w:firstLineChars="270"/>
        <w:rPr>
          <w:rFonts w:hint="eastAsia" w:ascii="宋体" w:hAnsi="宋体" w:cs="宋体"/>
          <w:color w:val="000000" w:themeColor="text1"/>
          <w14:textFill>
            <w14:solidFill>
              <w14:schemeClr w14:val="tx1"/>
            </w14:solidFill>
          </w14:textFill>
        </w:rPr>
      </w:pPr>
      <w:bookmarkStart w:id="291" w:name="_Toc54189803"/>
      <w:bookmarkStart w:id="292" w:name="_Toc152042322"/>
      <w:bookmarkStart w:id="293" w:name="_Toc144974514"/>
      <w:bookmarkStart w:id="294" w:name="_Toc247527571"/>
      <w:bookmarkStart w:id="295" w:name="_Toc152045546"/>
      <w:bookmarkStart w:id="296" w:name="_Toc247513970"/>
      <w:r>
        <w:rPr>
          <w:rFonts w:hint="eastAsia" w:ascii="宋体" w:hAnsi="宋体" w:cs="宋体"/>
          <w:color w:val="000000" w:themeColor="text1"/>
          <w14:textFill>
            <w14:solidFill>
              <w14:schemeClr w14:val="tx1"/>
            </w14:solidFill>
          </w14:textFill>
        </w:rPr>
        <w:t>2.3.1在投标截止时间15天前，确需要变更招标文件内容的，招标人可主动或在解答投标人提出的澄清问题时对招标文件进行修改，并同时报主管部门备案。</w:t>
      </w:r>
      <w:bookmarkEnd w:id="291"/>
    </w:p>
    <w:p w14:paraId="1886065F">
      <w:pPr>
        <w:spacing w:line="400" w:lineRule="exact"/>
        <w:ind w:firstLine="567" w:firstLineChars="270"/>
        <w:rPr>
          <w:rFonts w:hint="eastAsia" w:ascii="宋体" w:hAnsi="宋体" w:cs="宋体"/>
          <w:color w:val="000000" w:themeColor="text1"/>
          <w14:textFill>
            <w14:solidFill>
              <w14:schemeClr w14:val="tx1"/>
            </w14:solidFill>
          </w14:textFill>
        </w:rPr>
      </w:pPr>
      <w:bookmarkStart w:id="297" w:name="_Toc54189804"/>
      <w:r>
        <w:rPr>
          <w:rFonts w:hint="eastAsia" w:ascii="宋体" w:hAnsi="宋体" w:cs="宋体"/>
          <w:color w:val="000000" w:themeColor="text1"/>
          <w14:textFill>
            <w14:solidFill>
              <w14:schemeClr w14:val="tx1"/>
            </w14:solidFill>
          </w14:textFill>
        </w:rPr>
        <w:t>招标人对评标办法做出变更的，需要重新制作电子招标文件，并重新备案，同时发布补遗文件进行说明以保证各投标人都能重新下载最新的电子招标文件用于编制电子投标文件。</w:t>
      </w:r>
      <w:bookmarkEnd w:id="297"/>
    </w:p>
    <w:p w14:paraId="56205E87">
      <w:pPr>
        <w:spacing w:line="400" w:lineRule="exact"/>
        <w:ind w:firstLine="567" w:firstLineChars="270"/>
        <w:rPr>
          <w:rFonts w:hint="eastAsia" w:ascii="宋体" w:hAnsi="宋体" w:cs="宋体"/>
          <w:color w:val="000000" w:themeColor="text1"/>
          <w14:textFill>
            <w14:solidFill>
              <w14:schemeClr w14:val="tx1"/>
            </w14:solidFill>
          </w14:textFill>
        </w:rPr>
      </w:pPr>
      <w:bookmarkStart w:id="298" w:name="_Toc54189805"/>
      <w:r>
        <w:rPr>
          <w:rFonts w:hint="eastAsia" w:ascii="宋体" w:hAnsi="宋体" w:cs="宋体"/>
          <w:color w:val="000000" w:themeColor="text1"/>
          <w14:textFill>
            <w14:solidFill>
              <w14:schemeClr w14:val="tx1"/>
            </w14:solidFill>
          </w14:textFill>
        </w:rPr>
        <w:t>招标文件的修改将在“</w:t>
      </w:r>
      <w:r>
        <w:rPr>
          <w:rFonts w:hint="eastAsia" w:ascii="宋体" w:hAnsi="宋体" w:cs="宋体"/>
          <w:color w:val="000000" w:themeColor="text1"/>
          <w:lang w:eastAsia="zh-CN"/>
          <w14:textFill>
            <w14:solidFill>
              <w14:schemeClr w14:val="tx1"/>
            </w14:solidFill>
          </w14:textFill>
        </w:rPr>
        <w:t>全国公共资源交易平台（云南省）/云南省公共资源交易信息网（网址：http://gzy.yn.gov.cn/)，选择地区“红河州”，切换至“红河州公共资源交易电子服务系统/全国公共资源交易平台（云南省·红河州）</w:t>
      </w:r>
      <w:r>
        <w:rPr>
          <w:rFonts w:hint="eastAsia" w:ascii="宋体" w:hAnsi="宋体" w:cs="宋体"/>
          <w:color w:val="000000" w:themeColor="text1"/>
          <w14:textFill>
            <w14:solidFill>
              <w14:schemeClr w14:val="tx1"/>
            </w14:solidFill>
          </w14:textFill>
        </w:rPr>
        <w:t>”发布，招标文件的修改作为招标文件的组成部分，并具有约束力。但如果修改招标文件的时间距投标截止时间不足15天，并且修改内容影响投标文件编制的，应相应延长投标截止时间。</w:t>
      </w:r>
      <w:bookmarkEnd w:id="298"/>
    </w:p>
    <w:p w14:paraId="3139A0DE">
      <w:pPr>
        <w:spacing w:line="400" w:lineRule="exact"/>
        <w:ind w:firstLine="567" w:firstLineChars="270"/>
        <w:rPr>
          <w:rFonts w:hint="eastAsia" w:ascii="宋体" w:hAnsi="宋体" w:cs="宋体"/>
          <w:color w:val="000000" w:themeColor="text1"/>
          <w14:textFill>
            <w14:solidFill>
              <w14:schemeClr w14:val="tx1"/>
            </w14:solidFill>
          </w14:textFill>
        </w:rPr>
      </w:pPr>
      <w:bookmarkStart w:id="299" w:name="_Toc54189806"/>
      <w:r>
        <w:rPr>
          <w:rFonts w:hint="eastAsia" w:ascii="宋体" w:hAnsi="宋体" w:cs="宋体"/>
          <w:color w:val="000000" w:themeColor="text1"/>
          <w14:textFill>
            <w14:solidFill>
              <w14:schemeClr w14:val="tx1"/>
            </w14:solidFill>
          </w14:textFill>
        </w:rPr>
        <w:t>2.3.2投标人自行登录</w:t>
      </w:r>
      <w:r>
        <w:rPr>
          <w:rFonts w:hint="eastAsia" w:ascii="宋体" w:hAnsi="宋体" w:cs="宋体"/>
          <w:color w:val="000000" w:themeColor="text1"/>
          <w:lang w:eastAsia="zh-CN"/>
          <w14:textFill>
            <w14:solidFill>
              <w14:schemeClr w14:val="tx1"/>
            </w14:solidFill>
          </w14:textFill>
        </w:rPr>
        <w:t>全国公共资源交易平台（云南省）/云南省公共资源交易信息网（网址：http://gzy.yn.gov.cn/)，选择地区“红河州”，切换至“红河州公共资源交易电子服务系统/全国公共资源交易平台（云南省·红河州）</w:t>
      </w:r>
      <w:r>
        <w:rPr>
          <w:rFonts w:hint="eastAsia" w:ascii="宋体" w:hAnsi="宋体" w:cs="宋体"/>
          <w:color w:val="000000" w:themeColor="text1"/>
          <w14:textFill>
            <w14:solidFill>
              <w14:schemeClr w14:val="tx1"/>
            </w14:solidFill>
          </w14:textFill>
        </w:rPr>
        <w:t>收取修改内容。投标人应在投标截止时间前自行查看“</w:t>
      </w:r>
      <w:r>
        <w:rPr>
          <w:rFonts w:hint="eastAsia" w:ascii="宋体" w:hAnsi="宋体" w:cs="宋体"/>
          <w:color w:val="000000" w:themeColor="text1"/>
          <w:lang w:eastAsia="zh-CN"/>
          <w14:textFill>
            <w14:solidFill>
              <w14:schemeClr w14:val="tx1"/>
            </w14:solidFill>
          </w14:textFill>
        </w:rPr>
        <w:t>全国公共资源交易平台（云南省）/云南省公共资源交易信息网（网址：http://gzy.yn.gov.cn/)，选择地区“红河州”，切换至“红河州公共资源交易电子服务系统/全国公共资源交易平台（云南省·红河州）</w:t>
      </w:r>
      <w:r>
        <w:rPr>
          <w:rFonts w:hint="eastAsia" w:ascii="宋体" w:hAnsi="宋体" w:cs="宋体"/>
          <w:color w:val="000000" w:themeColor="text1"/>
          <w14:textFill>
            <w14:solidFill>
              <w14:schemeClr w14:val="tx1"/>
            </w14:solidFill>
          </w14:textFill>
        </w:rPr>
        <w:t>”中有关该工程招标文件的答疑、补遗内容。否则，由此引起的投标损失自负。</w:t>
      </w:r>
      <w:bookmarkEnd w:id="299"/>
    </w:p>
    <w:p w14:paraId="7393C4D4">
      <w:pPr>
        <w:spacing w:line="400" w:lineRule="exact"/>
        <w:ind w:firstLine="567" w:firstLineChars="270"/>
        <w:rPr>
          <w:rFonts w:hint="eastAsia" w:ascii="宋体" w:hAnsi="宋体" w:cs="宋体"/>
          <w:color w:val="000000" w:themeColor="text1"/>
          <w14:textFill>
            <w14:solidFill>
              <w14:schemeClr w14:val="tx1"/>
            </w14:solidFill>
          </w14:textFill>
        </w:rPr>
      </w:pPr>
      <w:bookmarkStart w:id="300" w:name="_Toc54189807"/>
      <w:r>
        <w:rPr>
          <w:rFonts w:hint="eastAsia" w:ascii="宋体" w:hAnsi="宋体" w:cs="宋体"/>
          <w:color w:val="000000" w:themeColor="text1"/>
          <w14:textFill>
            <w14:solidFill>
              <w14:schemeClr w14:val="tx1"/>
            </w14:solidFill>
          </w14:textFill>
        </w:rPr>
        <w:t>2.3.3潜在投标人或者其他利害关系人对招标文件有异议的，应当在投标截止时间10日前提出。招标人应当自收到异议之日起3日内作出答复；作出答复前，应当暂停招标投标活动。</w:t>
      </w:r>
      <w:bookmarkEnd w:id="300"/>
    </w:p>
    <w:p w14:paraId="154F7EE6">
      <w:pPr>
        <w:spacing w:line="400" w:lineRule="exact"/>
        <w:ind w:firstLine="567" w:firstLineChars="270"/>
        <w:rPr>
          <w:rFonts w:hint="eastAsia" w:ascii="宋体" w:hAnsi="宋体" w:cs="宋体"/>
          <w:color w:val="000000" w:themeColor="text1"/>
          <w14:textFill>
            <w14:solidFill>
              <w14:schemeClr w14:val="tx1"/>
            </w14:solidFill>
          </w14:textFill>
        </w:rPr>
      </w:pPr>
      <w:bookmarkStart w:id="301" w:name="_Toc54189808"/>
      <w:r>
        <w:rPr>
          <w:rFonts w:hint="eastAsia" w:ascii="宋体" w:hAnsi="宋体" w:cs="宋体"/>
          <w:color w:val="000000" w:themeColor="text1"/>
          <w14:textFill>
            <w14:solidFill>
              <w14:schemeClr w14:val="tx1"/>
            </w14:solidFill>
          </w14:textFill>
        </w:rPr>
        <w:t>2.3.4招标文件、招标文件澄清、招标文件修改文件内容均以网上发布的为准，当招标文件、招标文件澄清、招标文件修改文件内容相互矛盾时，以最后发出的为准。</w:t>
      </w:r>
      <w:bookmarkEnd w:id="301"/>
    </w:p>
    <w:p w14:paraId="67AA22DF">
      <w:pPr>
        <w:pStyle w:val="3"/>
        <w:rPr>
          <w:rFonts w:hint="eastAsia" w:ascii="宋体" w:hAnsi="宋体" w:eastAsia="宋体" w:cs="宋体"/>
          <w:color w:val="000000" w:themeColor="text1"/>
          <w14:textFill>
            <w14:solidFill>
              <w14:schemeClr w14:val="tx1"/>
            </w14:solidFill>
          </w14:textFill>
        </w:rPr>
      </w:pPr>
      <w:bookmarkStart w:id="302" w:name="_Toc48853080"/>
      <w:bookmarkStart w:id="303" w:name="_Toc46412410"/>
      <w:bookmarkStart w:id="304" w:name="_Toc48853288"/>
      <w:bookmarkStart w:id="305" w:name="_Toc46412072"/>
      <w:bookmarkStart w:id="306" w:name="_Toc9209"/>
      <w:bookmarkStart w:id="307" w:name="_Toc29849"/>
      <w:r>
        <w:rPr>
          <w:rFonts w:hint="eastAsia" w:ascii="宋体" w:hAnsi="宋体" w:eastAsia="宋体" w:cs="宋体"/>
          <w:color w:val="000000" w:themeColor="text1"/>
          <w14:textFill>
            <w14:solidFill>
              <w14:schemeClr w14:val="tx1"/>
            </w14:solidFill>
          </w14:textFill>
        </w:rPr>
        <w:t>3. 投标文件</w:t>
      </w:r>
      <w:bookmarkEnd w:id="292"/>
      <w:bookmarkEnd w:id="293"/>
      <w:bookmarkEnd w:id="294"/>
      <w:bookmarkEnd w:id="295"/>
      <w:bookmarkEnd w:id="296"/>
      <w:bookmarkEnd w:id="302"/>
      <w:bookmarkEnd w:id="303"/>
      <w:bookmarkEnd w:id="304"/>
      <w:bookmarkEnd w:id="305"/>
      <w:bookmarkEnd w:id="306"/>
      <w:bookmarkEnd w:id="307"/>
    </w:p>
    <w:p w14:paraId="25D29CF9">
      <w:pPr>
        <w:pStyle w:val="4"/>
        <w:rPr>
          <w:rFonts w:hint="eastAsia" w:ascii="宋体" w:eastAsia="宋体" w:cs="宋体"/>
          <w:color w:val="000000" w:themeColor="text1"/>
          <w14:textFill>
            <w14:solidFill>
              <w14:schemeClr w14:val="tx1"/>
            </w14:solidFill>
          </w14:textFill>
        </w:rPr>
      </w:pPr>
      <w:bookmarkStart w:id="308" w:name="_Toc144974515"/>
      <w:bookmarkStart w:id="309" w:name="_Toc152045547"/>
      <w:bookmarkStart w:id="310" w:name="_Toc30653"/>
      <w:bookmarkStart w:id="311" w:name="_Toc152042323"/>
      <w:bookmarkStart w:id="312" w:name="_Toc48853289"/>
      <w:bookmarkStart w:id="313" w:name="_Toc46412411"/>
      <w:bookmarkStart w:id="314" w:name="_Toc247513971"/>
      <w:bookmarkStart w:id="315" w:name="_Toc48853081"/>
      <w:bookmarkStart w:id="316" w:name="_Toc247527572"/>
      <w:bookmarkStart w:id="317" w:name="_Toc11095"/>
      <w:bookmarkStart w:id="318" w:name="_Toc46412073"/>
      <w:r>
        <w:rPr>
          <w:rFonts w:hint="eastAsia" w:ascii="宋体" w:eastAsia="宋体" w:cs="宋体"/>
          <w:color w:val="000000" w:themeColor="text1"/>
          <w14:textFill>
            <w14:solidFill>
              <w14:schemeClr w14:val="tx1"/>
            </w14:solidFill>
          </w14:textFill>
        </w:rPr>
        <w:t>3.1 投标文件的组成</w:t>
      </w:r>
      <w:bookmarkEnd w:id="308"/>
      <w:bookmarkEnd w:id="309"/>
      <w:bookmarkEnd w:id="310"/>
      <w:bookmarkEnd w:id="311"/>
      <w:bookmarkEnd w:id="312"/>
      <w:bookmarkEnd w:id="313"/>
      <w:bookmarkEnd w:id="314"/>
      <w:bookmarkEnd w:id="315"/>
      <w:bookmarkEnd w:id="316"/>
      <w:bookmarkEnd w:id="317"/>
      <w:bookmarkEnd w:id="318"/>
    </w:p>
    <w:p w14:paraId="0AB51C5A">
      <w:pPr>
        <w:spacing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3.1.1 投标文件应包括下列内容：</w:t>
      </w:r>
    </w:p>
    <w:p w14:paraId="77D8EF19">
      <w:pPr>
        <w:spacing w:line="360" w:lineRule="exact"/>
        <w:ind w:firstLine="567" w:firstLineChars="27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（1）投标（唱标）一览表</w:t>
      </w:r>
    </w:p>
    <w:p w14:paraId="1F7EF6F2">
      <w:pPr>
        <w:spacing w:line="360" w:lineRule="exact"/>
        <w:ind w:firstLine="567" w:firstLineChars="27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（2）投标函及投标函附录</w:t>
      </w:r>
    </w:p>
    <w:p w14:paraId="732235B2">
      <w:pPr>
        <w:spacing w:line="360" w:lineRule="exact"/>
        <w:ind w:firstLine="567" w:firstLineChars="27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（3）法定代表人身份证明</w:t>
      </w:r>
    </w:p>
    <w:p w14:paraId="4068995A">
      <w:pPr>
        <w:spacing w:line="360" w:lineRule="exact"/>
        <w:ind w:firstLine="567" w:firstLineChars="27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（4）授权委托书</w:t>
      </w:r>
    </w:p>
    <w:p w14:paraId="22EECD05">
      <w:pPr>
        <w:spacing w:line="360" w:lineRule="exact"/>
        <w:ind w:firstLine="567" w:firstLineChars="27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（5）联合体协议书</w:t>
      </w:r>
    </w:p>
    <w:p w14:paraId="6BCF1CF2">
      <w:pPr>
        <w:spacing w:line="360" w:lineRule="exact"/>
        <w:ind w:firstLine="567" w:firstLineChars="27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（6）承诺书 </w:t>
      </w:r>
    </w:p>
    <w:p w14:paraId="3B00726F">
      <w:pPr>
        <w:spacing w:line="360" w:lineRule="exact"/>
        <w:ind w:firstLine="567" w:firstLineChars="27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（7）投标保证金</w:t>
      </w:r>
    </w:p>
    <w:p w14:paraId="6AF2A8BD">
      <w:pPr>
        <w:spacing w:line="360" w:lineRule="exact"/>
        <w:ind w:firstLine="567" w:firstLineChars="27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（8）承包人建议书</w:t>
      </w:r>
    </w:p>
    <w:p w14:paraId="3540B19E">
      <w:pPr>
        <w:spacing w:line="360" w:lineRule="exact"/>
        <w:ind w:firstLine="567" w:firstLineChars="27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（9）承包人实施计划</w:t>
      </w:r>
    </w:p>
    <w:p w14:paraId="280BB11F">
      <w:pPr>
        <w:spacing w:line="360" w:lineRule="exact"/>
        <w:ind w:firstLine="567" w:firstLineChars="27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（10）资格审查资料</w:t>
      </w:r>
    </w:p>
    <w:p w14:paraId="34F38C96">
      <w:pPr>
        <w:spacing w:line="360" w:lineRule="exact"/>
        <w:ind w:firstLine="567" w:firstLineChars="27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（11）其他资料</w:t>
      </w:r>
    </w:p>
    <w:p w14:paraId="2C6E2821">
      <w:pPr>
        <w:spacing w:line="400" w:lineRule="exact"/>
        <w:ind w:firstLine="359" w:firstLineChars="171"/>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3.1.2 投标人须知前附表规定不接受联合体投标的，或投标人没有组成联合体的，投标文件不包括本章第3.1.1（3）目所指的联合体协议书。 </w:t>
      </w:r>
    </w:p>
    <w:p w14:paraId="2351F14A">
      <w:pPr>
        <w:pStyle w:val="4"/>
        <w:rPr>
          <w:rFonts w:hint="eastAsia" w:ascii="宋体" w:eastAsia="宋体" w:cs="宋体"/>
          <w:color w:val="000000" w:themeColor="text1"/>
          <w14:textFill>
            <w14:solidFill>
              <w14:schemeClr w14:val="tx1"/>
            </w14:solidFill>
          </w14:textFill>
        </w:rPr>
      </w:pPr>
      <w:bookmarkStart w:id="319" w:name="_Toc144974516"/>
      <w:bookmarkStart w:id="320" w:name="_Toc46412074"/>
      <w:bookmarkStart w:id="321" w:name="_Toc6393"/>
      <w:bookmarkStart w:id="322" w:name="_Toc48853290"/>
      <w:bookmarkStart w:id="323" w:name="_Toc247527573"/>
      <w:bookmarkStart w:id="324" w:name="_Toc46412412"/>
      <w:bookmarkStart w:id="325" w:name="_Toc18729"/>
      <w:bookmarkStart w:id="326" w:name="_Toc152045548"/>
      <w:bookmarkStart w:id="327" w:name="_Toc48853082"/>
      <w:bookmarkStart w:id="328" w:name="_Toc247513972"/>
      <w:bookmarkStart w:id="329" w:name="_Toc152042324"/>
      <w:r>
        <w:rPr>
          <w:rFonts w:hint="eastAsia" w:ascii="宋体" w:eastAsia="宋体" w:cs="宋体"/>
          <w:color w:val="000000" w:themeColor="text1"/>
          <w14:textFill>
            <w14:solidFill>
              <w14:schemeClr w14:val="tx1"/>
            </w14:solidFill>
          </w14:textFill>
        </w:rPr>
        <w:t>3.2 投标报价</w:t>
      </w:r>
      <w:bookmarkEnd w:id="319"/>
      <w:bookmarkEnd w:id="320"/>
      <w:bookmarkEnd w:id="321"/>
      <w:bookmarkEnd w:id="322"/>
      <w:bookmarkEnd w:id="323"/>
      <w:bookmarkEnd w:id="324"/>
      <w:bookmarkEnd w:id="325"/>
      <w:bookmarkEnd w:id="326"/>
      <w:bookmarkEnd w:id="327"/>
      <w:bookmarkEnd w:id="328"/>
      <w:bookmarkEnd w:id="329"/>
      <w:r>
        <w:rPr>
          <w:rFonts w:hint="eastAsia" w:ascii="宋体" w:eastAsia="宋体" w:cs="宋体"/>
          <w:color w:val="000000" w:themeColor="text1"/>
          <w14:textFill>
            <w14:solidFill>
              <w14:schemeClr w14:val="tx1"/>
            </w14:solidFill>
          </w14:textFill>
        </w:rPr>
        <w:t xml:space="preserve"> </w:t>
      </w:r>
    </w:p>
    <w:p w14:paraId="51B42150">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3.2.1 投标人应按第七章“投标文件格式”的要求填写价格清单。</w:t>
      </w:r>
    </w:p>
    <w:p w14:paraId="0485DFFC">
      <w:pPr>
        <w:spacing w:line="440" w:lineRule="exact"/>
        <w:ind w:firstLine="42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3.2.2 </w:t>
      </w:r>
      <w:r>
        <w:rPr>
          <w:rFonts w:hint="eastAsia" w:ascii="宋体" w:hAnsi="宋体" w:cs="宋体"/>
          <w:color w:val="000000" w:themeColor="text1"/>
          <w:szCs w:val="21"/>
          <w14:textFill>
            <w14:solidFill>
              <w14:schemeClr w14:val="tx1"/>
            </w14:solidFill>
          </w14:textFill>
        </w:rPr>
        <w:t>投标人应充分了解施工场地的位置、周边环境、道路、装卸、保管、安装限制以及影响投标报价的其他要素。投标人根据投标设计，结合市场情况进行投标报价。</w:t>
      </w:r>
    </w:p>
    <w:p w14:paraId="23AE59FE">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3.2.3 投标人在投标截止时间前修改投标函中的投标报价总额，应同时修改投标文件“价格清单”中的相应报价，投标报价总额为各分项金额之和。此修改须符合本章第4.3款的有关要求。</w:t>
      </w:r>
    </w:p>
    <w:p w14:paraId="6F2A74F9">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3.2.4 招标人设有最高投标限价的，投标人的投标报价不得超过最高投标限价，最高投标限价或其计算方法在投标人须知前附表中载明。</w:t>
      </w:r>
    </w:p>
    <w:p w14:paraId="2FCB4DE9">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3.2.5 投标报价的其他要求见投标人须知前附表。</w:t>
      </w:r>
    </w:p>
    <w:p w14:paraId="5FE860C6">
      <w:pPr>
        <w:pStyle w:val="4"/>
        <w:rPr>
          <w:rFonts w:hint="eastAsia" w:ascii="宋体" w:eastAsia="宋体" w:cs="宋体"/>
          <w:color w:val="000000" w:themeColor="text1"/>
          <w14:textFill>
            <w14:solidFill>
              <w14:schemeClr w14:val="tx1"/>
            </w14:solidFill>
          </w14:textFill>
        </w:rPr>
      </w:pPr>
      <w:bookmarkStart w:id="330" w:name="_Toc247527574"/>
      <w:bookmarkStart w:id="331" w:name="_Toc46412075"/>
      <w:bookmarkStart w:id="332" w:name="_Toc152045549"/>
      <w:bookmarkStart w:id="333" w:name="_Toc144974517"/>
      <w:bookmarkStart w:id="334" w:name="_Toc247513973"/>
      <w:bookmarkStart w:id="335" w:name="_Toc10034"/>
      <w:bookmarkStart w:id="336" w:name="_Toc46412413"/>
      <w:bookmarkStart w:id="337" w:name="_Toc48853083"/>
      <w:bookmarkStart w:id="338" w:name="_Toc48853291"/>
      <w:bookmarkStart w:id="339" w:name="_Toc152042325"/>
      <w:bookmarkStart w:id="340" w:name="_Toc10153"/>
      <w:r>
        <w:rPr>
          <w:rFonts w:hint="eastAsia" w:ascii="宋体" w:eastAsia="宋体" w:cs="宋体"/>
          <w:color w:val="000000" w:themeColor="text1"/>
          <w14:textFill>
            <w14:solidFill>
              <w14:schemeClr w14:val="tx1"/>
            </w14:solidFill>
          </w14:textFill>
        </w:rPr>
        <w:t>3.3 投标有效期</w:t>
      </w:r>
      <w:bookmarkEnd w:id="330"/>
      <w:bookmarkEnd w:id="331"/>
      <w:bookmarkEnd w:id="332"/>
      <w:bookmarkEnd w:id="333"/>
      <w:bookmarkEnd w:id="334"/>
      <w:bookmarkEnd w:id="335"/>
      <w:bookmarkEnd w:id="336"/>
      <w:bookmarkEnd w:id="337"/>
      <w:bookmarkEnd w:id="338"/>
      <w:bookmarkEnd w:id="339"/>
      <w:bookmarkEnd w:id="340"/>
    </w:p>
    <w:p w14:paraId="2558E90D">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3.3.1 除投标人须知前附表另有规定外，投标有效期为</w:t>
      </w:r>
      <w:r>
        <w:rPr>
          <w:rFonts w:hint="eastAsia" w:ascii="宋体" w:hAnsi="宋体" w:cs="宋体"/>
          <w:color w:val="000000" w:themeColor="text1"/>
          <w:szCs w:val="21"/>
          <w14:textFill>
            <w14:solidFill>
              <w14:schemeClr w14:val="tx1"/>
            </w14:solidFill>
          </w14:textFill>
        </w:rPr>
        <w:t>90日历天</w:t>
      </w:r>
      <w:r>
        <w:rPr>
          <w:rFonts w:hint="eastAsia" w:ascii="宋体" w:hAnsi="宋体" w:cs="宋体"/>
          <w:color w:val="000000" w:themeColor="text1"/>
          <w14:textFill>
            <w14:solidFill>
              <w14:schemeClr w14:val="tx1"/>
            </w14:solidFill>
          </w14:textFill>
        </w:rPr>
        <w:t>。</w:t>
      </w:r>
    </w:p>
    <w:p w14:paraId="218D97BD">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3.3.2 在投标有效期内，投标人撤销或修改其投标文件的，应承担招标文件和法律规定的责任。</w:t>
      </w:r>
    </w:p>
    <w:p w14:paraId="45D0BB3A">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3.3.3 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14:paraId="629823F4">
      <w:pPr>
        <w:pStyle w:val="4"/>
        <w:rPr>
          <w:rFonts w:hint="eastAsia" w:ascii="宋体" w:eastAsia="宋体" w:cs="宋体"/>
          <w:color w:val="000000" w:themeColor="text1"/>
          <w14:textFill>
            <w14:solidFill>
              <w14:schemeClr w14:val="tx1"/>
            </w14:solidFill>
          </w14:textFill>
        </w:rPr>
      </w:pPr>
      <w:bookmarkStart w:id="341" w:name="_Toc46412414"/>
      <w:bookmarkStart w:id="342" w:name="_Toc10511"/>
      <w:bookmarkStart w:id="343" w:name="_Toc152042326"/>
      <w:bookmarkStart w:id="344" w:name="_Toc4380"/>
      <w:bookmarkStart w:id="345" w:name="_Toc144974518"/>
      <w:bookmarkStart w:id="346" w:name="_Toc152045550"/>
      <w:bookmarkStart w:id="347" w:name="_Toc247513974"/>
      <w:bookmarkStart w:id="348" w:name="_Toc48853084"/>
      <w:bookmarkStart w:id="349" w:name="_Toc247527575"/>
      <w:bookmarkStart w:id="350" w:name="_Toc48853292"/>
      <w:bookmarkStart w:id="351" w:name="_Toc46412076"/>
      <w:r>
        <w:rPr>
          <w:rFonts w:hint="eastAsia" w:ascii="宋体" w:eastAsia="宋体" w:cs="宋体"/>
          <w:color w:val="000000" w:themeColor="text1"/>
          <w14:textFill>
            <w14:solidFill>
              <w14:schemeClr w14:val="tx1"/>
            </w14:solidFill>
          </w14:textFill>
        </w:rPr>
        <w:t>3.4 投标保证金</w:t>
      </w:r>
      <w:bookmarkEnd w:id="341"/>
      <w:bookmarkEnd w:id="342"/>
      <w:bookmarkEnd w:id="343"/>
      <w:bookmarkEnd w:id="344"/>
      <w:bookmarkEnd w:id="345"/>
      <w:bookmarkEnd w:id="346"/>
      <w:bookmarkEnd w:id="347"/>
      <w:bookmarkEnd w:id="348"/>
      <w:bookmarkEnd w:id="349"/>
      <w:bookmarkEnd w:id="350"/>
      <w:bookmarkEnd w:id="351"/>
    </w:p>
    <w:p w14:paraId="47C8D859">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3.4.1 投标人在递交投标文件的同时，应按投标人须知前附表规定的金额、担保形式和第七章“投标文件格式”规定的投标保证金格式递交投标保证金，并作为其投标文件的组成部分。</w:t>
      </w:r>
      <w:r>
        <w:rPr>
          <w:rFonts w:hint="eastAsia" w:ascii="宋体" w:hAnsi="宋体" w:cs="宋体"/>
          <w:b/>
          <w:bCs/>
          <w:color w:val="000000" w:themeColor="text1"/>
          <w14:textFill>
            <w14:solidFill>
              <w14:schemeClr w14:val="tx1"/>
            </w14:solidFill>
          </w14:textFill>
        </w:rPr>
        <w:t>联合体投标的，其投标保证金由牵头人递交</w:t>
      </w:r>
      <w:r>
        <w:rPr>
          <w:rFonts w:hint="eastAsia" w:ascii="宋体" w:hAnsi="宋体" w:cs="宋体"/>
          <w:color w:val="000000" w:themeColor="text1"/>
          <w14:textFill>
            <w14:solidFill>
              <w14:schemeClr w14:val="tx1"/>
            </w14:solidFill>
          </w14:textFill>
        </w:rPr>
        <w:t>，并应符合投标人须知前附表的规定。</w:t>
      </w:r>
    </w:p>
    <w:p w14:paraId="3BE9E733">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招标人在招标文件中要求投标人提交投标保证金的，投标人应当在投标截止时间前按照要求提交。否则，该投标文件将被拒绝或作废标处理。</w:t>
      </w:r>
    </w:p>
    <w:p w14:paraId="0AC9782D">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投标保证金不得超过投标总价的2%，投标保证金有效期应当与投标有效期一致。投标保证金可以是银行转账、银行保函、保证保险等，采用转账支票、汇款等方式的，投标保证金必须从投标人的基本账户转出；采用转账支票、银行汇票等方式的，应由投标人开立基本账户的银行出具。具体内容详见投标人须知前附表规定。</w:t>
      </w:r>
    </w:p>
    <w:p w14:paraId="15F9149F">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3.4.2 投标人不按本章第3.4.1项要求提交投标保证金的，评标委员会将否决其投标。</w:t>
      </w:r>
    </w:p>
    <w:p w14:paraId="51266225">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3.4.3 招标人与中标人签订合同后5日内，向未中标的投标人和中标人退还投标保证金及同期银行存款利息。</w:t>
      </w:r>
    </w:p>
    <w:p w14:paraId="6507A3B1">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3.4.4 有下列情形之一的，投标保证金将不予退还：</w:t>
      </w:r>
    </w:p>
    <w:p w14:paraId="264A73AD">
      <w:pPr>
        <w:spacing w:line="400" w:lineRule="exact"/>
        <w:ind w:firstLine="315" w:firstLineChars="15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（1）投标人在规定的投标有效期内撤销或修改其投标文件；</w:t>
      </w:r>
    </w:p>
    <w:p w14:paraId="46829501">
      <w:pPr>
        <w:spacing w:line="400" w:lineRule="exact"/>
        <w:ind w:firstLine="315" w:firstLineChars="15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（2）中标人在收到中标通知书后，无正当理由拒签合同或未按招标文件规定提交履约担保的，按</w:t>
      </w:r>
      <w:r>
        <w:rPr>
          <w:rFonts w:hint="eastAsia" w:ascii="宋体" w:hAnsi="宋体" w:cs="宋体"/>
          <w:color w:val="000000" w:themeColor="text1"/>
          <w:shd w:val="clear" w:color="auto" w:fill="FFFFFF"/>
          <w14:textFill>
            <w14:solidFill>
              <w14:schemeClr w14:val="tx1"/>
            </w14:solidFill>
          </w14:textFill>
        </w:rPr>
        <w:t>《中华人民共和国招标投标法实施条例》第七十四条规定，投标保证金不予退还</w:t>
      </w:r>
      <w:r>
        <w:rPr>
          <w:rFonts w:hint="eastAsia" w:ascii="宋体" w:hAnsi="宋体" w:cs="宋体"/>
          <w:color w:val="000000" w:themeColor="text1"/>
          <w14:textFill>
            <w14:solidFill>
              <w14:schemeClr w14:val="tx1"/>
            </w14:solidFill>
          </w14:textFill>
        </w:rPr>
        <w:t>。</w:t>
      </w:r>
    </w:p>
    <w:p w14:paraId="24B5B27E">
      <w:pPr>
        <w:pStyle w:val="4"/>
        <w:rPr>
          <w:rFonts w:hint="eastAsia" w:ascii="宋体" w:eastAsia="宋体" w:cs="宋体"/>
          <w:color w:val="000000" w:themeColor="text1"/>
          <w14:textFill>
            <w14:solidFill>
              <w14:schemeClr w14:val="tx1"/>
            </w14:solidFill>
          </w14:textFill>
        </w:rPr>
      </w:pPr>
      <w:bookmarkStart w:id="352" w:name="_Toc247513976"/>
      <w:bookmarkStart w:id="353" w:name="_Toc152045552"/>
      <w:bookmarkStart w:id="354" w:name="_Toc152042328"/>
      <w:bookmarkStart w:id="355" w:name="_Toc1995"/>
      <w:bookmarkStart w:id="356" w:name="_Toc46412415"/>
      <w:bookmarkStart w:id="357" w:name="_Toc48853085"/>
      <w:bookmarkStart w:id="358" w:name="_Toc46412077"/>
      <w:bookmarkStart w:id="359" w:name="_Toc48853293"/>
      <w:bookmarkStart w:id="360" w:name="_Toc20126"/>
      <w:bookmarkStart w:id="361" w:name="_Toc144974520"/>
      <w:bookmarkStart w:id="362" w:name="_Toc247527577"/>
      <w:r>
        <w:rPr>
          <w:rFonts w:hint="eastAsia" w:ascii="宋体" w:eastAsia="宋体" w:cs="宋体"/>
          <w:color w:val="000000" w:themeColor="text1"/>
          <w14:textFill>
            <w14:solidFill>
              <w14:schemeClr w14:val="tx1"/>
            </w14:solidFill>
          </w14:textFill>
        </w:rPr>
        <w:t>3.5 资格审查资料（适用于未进行资格预审的）</w:t>
      </w:r>
      <w:bookmarkEnd w:id="352"/>
      <w:bookmarkEnd w:id="353"/>
      <w:bookmarkEnd w:id="354"/>
      <w:bookmarkEnd w:id="355"/>
      <w:bookmarkEnd w:id="356"/>
      <w:bookmarkEnd w:id="357"/>
      <w:bookmarkEnd w:id="358"/>
      <w:bookmarkEnd w:id="359"/>
      <w:bookmarkEnd w:id="360"/>
      <w:bookmarkEnd w:id="361"/>
      <w:bookmarkEnd w:id="362"/>
    </w:p>
    <w:p w14:paraId="10988E9B">
      <w:pPr>
        <w:spacing w:line="400" w:lineRule="exact"/>
        <w:ind w:firstLine="420" w:firstLineChars="200"/>
        <w:rPr>
          <w:rFonts w:hint="eastAsia" w:ascii="宋体" w:hAnsi="宋体" w:cs="宋体"/>
          <w:color w:val="000000" w:themeColor="text1"/>
          <w14:textFill>
            <w14:solidFill>
              <w14:schemeClr w14:val="tx1"/>
            </w14:solidFill>
          </w14:textFill>
        </w:rPr>
      </w:pPr>
      <w:bookmarkStart w:id="363" w:name="_Toc8033"/>
      <w:r>
        <w:rPr>
          <w:rFonts w:hint="eastAsia" w:ascii="宋体" w:hAnsi="宋体" w:cs="宋体"/>
          <w:color w:val="000000" w:themeColor="text1"/>
          <w14:textFill>
            <w14:solidFill>
              <w14:schemeClr w14:val="tx1"/>
            </w14:solidFill>
          </w14:textFill>
        </w:rPr>
        <w:t>投标人在编制投标文件时，应按招标文件要求提供资格审查资料，以证明其各项资格条件能满足招标文件的要求，具备承担本项目施工的资质条件、能力和信誉。</w:t>
      </w:r>
      <w:bookmarkEnd w:id="363"/>
    </w:p>
    <w:p w14:paraId="7BA92819">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详见招标文件第二章 “投标人须知前附表 1.4.1项”规定。</w:t>
      </w:r>
    </w:p>
    <w:p w14:paraId="4F79E3B3">
      <w:pPr>
        <w:pStyle w:val="4"/>
        <w:rPr>
          <w:rFonts w:hint="eastAsia" w:ascii="宋体" w:eastAsia="宋体" w:cs="宋体"/>
          <w:color w:val="000000" w:themeColor="text1"/>
          <w14:textFill>
            <w14:solidFill>
              <w14:schemeClr w14:val="tx1"/>
            </w14:solidFill>
          </w14:textFill>
        </w:rPr>
      </w:pPr>
      <w:bookmarkStart w:id="364" w:name="_Toc28651"/>
      <w:bookmarkStart w:id="365" w:name="_Toc152042329"/>
      <w:bookmarkStart w:id="366" w:name="_Toc152045553"/>
      <w:bookmarkStart w:id="367" w:name="_Toc48853086"/>
      <w:bookmarkStart w:id="368" w:name="_Toc46412078"/>
      <w:bookmarkStart w:id="369" w:name="_Toc144974521"/>
      <w:bookmarkStart w:id="370" w:name="_Toc46412416"/>
      <w:bookmarkStart w:id="371" w:name="_Toc247513977"/>
      <w:bookmarkStart w:id="372" w:name="_Toc247527578"/>
      <w:bookmarkStart w:id="373" w:name="_Toc27829"/>
      <w:bookmarkStart w:id="374" w:name="_Toc48853294"/>
      <w:r>
        <w:rPr>
          <w:rFonts w:hint="eastAsia" w:ascii="宋体" w:eastAsia="宋体" w:cs="宋体"/>
          <w:color w:val="000000" w:themeColor="text1"/>
          <w14:textFill>
            <w14:solidFill>
              <w14:schemeClr w14:val="tx1"/>
            </w14:solidFill>
          </w14:textFill>
        </w:rPr>
        <w:t>3.6 备选投标方案</w:t>
      </w:r>
      <w:bookmarkEnd w:id="364"/>
      <w:bookmarkEnd w:id="365"/>
      <w:bookmarkEnd w:id="366"/>
      <w:bookmarkEnd w:id="367"/>
      <w:bookmarkEnd w:id="368"/>
      <w:bookmarkEnd w:id="369"/>
      <w:bookmarkEnd w:id="370"/>
      <w:bookmarkEnd w:id="371"/>
      <w:bookmarkEnd w:id="372"/>
      <w:bookmarkEnd w:id="373"/>
      <w:bookmarkEnd w:id="374"/>
    </w:p>
    <w:p w14:paraId="1197609F">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招标人可以接受该备选投标方案。</w:t>
      </w:r>
    </w:p>
    <w:p w14:paraId="30E41614">
      <w:pPr>
        <w:pStyle w:val="4"/>
        <w:rPr>
          <w:rFonts w:hint="eastAsia" w:ascii="宋体" w:eastAsia="宋体" w:cs="宋体"/>
          <w:color w:val="000000" w:themeColor="text1"/>
          <w14:textFill>
            <w14:solidFill>
              <w14:schemeClr w14:val="tx1"/>
            </w14:solidFill>
          </w14:textFill>
        </w:rPr>
      </w:pPr>
      <w:bookmarkStart w:id="375" w:name="_Toc46412079"/>
      <w:bookmarkStart w:id="376" w:name="_Toc22195"/>
      <w:bookmarkStart w:id="377" w:name="_Toc152045554"/>
      <w:bookmarkStart w:id="378" w:name="_Toc46412417"/>
      <w:bookmarkStart w:id="379" w:name="_Toc247527579"/>
      <w:bookmarkStart w:id="380" w:name="_Toc31244"/>
      <w:bookmarkStart w:id="381" w:name="_Toc152042330"/>
      <w:bookmarkStart w:id="382" w:name="_Toc144974522"/>
      <w:bookmarkStart w:id="383" w:name="_Toc48853087"/>
      <w:bookmarkStart w:id="384" w:name="_Toc247513978"/>
      <w:bookmarkStart w:id="385" w:name="_Toc48853295"/>
      <w:r>
        <w:rPr>
          <w:rFonts w:hint="eastAsia" w:ascii="宋体" w:eastAsia="宋体" w:cs="宋体"/>
          <w:color w:val="000000" w:themeColor="text1"/>
          <w14:textFill>
            <w14:solidFill>
              <w14:schemeClr w14:val="tx1"/>
            </w14:solidFill>
          </w14:textFill>
        </w:rPr>
        <w:t>3.7 投标文件的编制</w:t>
      </w:r>
      <w:bookmarkEnd w:id="375"/>
      <w:bookmarkEnd w:id="376"/>
      <w:bookmarkEnd w:id="377"/>
      <w:bookmarkEnd w:id="378"/>
      <w:bookmarkEnd w:id="379"/>
      <w:bookmarkEnd w:id="380"/>
      <w:bookmarkEnd w:id="381"/>
      <w:bookmarkEnd w:id="382"/>
      <w:bookmarkEnd w:id="383"/>
      <w:bookmarkEnd w:id="384"/>
      <w:bookmarkEnd w:id="385"/>
    </w:p>
    <w:p w14:paraId="0BAAFFAD">
      <w:pPr>
        <w:spacing w:line="400" w:lineRule="exact"/>
        <w:ind w:firstLine="420" w:firstLineChars="200"/>
        <w:rPr>
          <w:rFonts w:hint="eastAsia" w:ascii="宋体" w:hAnsi="宋体" w:cs="宋体"/>
          <w:color w:val="000000" w:themeColor="text1"/>
          <w14:textFill>
            <w14:solidFill>
              <w14:schemeClr w14:val="tx1"/>
            </w14:solidFill>
          </w14:textFill>
        </w:rPr>
      </w:pPr>
      <w:bookmarkStart w:id="386" w:name="_Toc54189817"/>
      <w:r>
        <w:rPr>
          <w:rFonts w:hint="eastAsia" w:ascii="宋体" w:hAnsi="宋体" w:cs="宋体"/>
          <w:color w:val="000000" w:themeColor="text1"/>
          <w14:textFill>
            <w14:solidFill>
              <w14:schemeClr w14:val="tx1"/>
            </w14:solidFill>
          </w14:textFill>
        </w:rPr>
        <w:t>3.7.1 投标文件全部采用电子文档，应按第七章“投标文件格式”进行编写，如有必要，可以增加附页，作为投标文件的组成部分。其中，投标函附录在满足招标文件实质性要求的基础上，可以提出比招标文件要求更有利于招标人的承诺。</w:t>
      </w:r>
      <w:bookmarkEnd w:id="386"/>
    </w:p>
    <w:p w14:paraId="5602D32B">
      <w:pPr>
        <w:spacing w:line="400" w:lineRule="exact"/>
        <w:ind w:firstLine="420" w:firstLineChars="200"/>
        <w:rPr>
          <w:rFonts w:hint="eastAsia" w:ascii="宋体" w:hAnsi="宋体" w:cs="宋体"/>
          <w:color w:val="000000" w:themeColor="text1"/>
          <w14:textFill>
            <w14:solidFill>
              <w14:schemeClr w14:val="tx1"/>
            </w14:solidFill>
          </w14:textFill>
        </w:rPr>
      </w:pPr>
      <w:bookmarkStart w:id="387" w:name="_Toc54189818"/>
      <w:r>
        <w:rPr>
          <w:rFonts w:hint="eastAsia" w:ascii="宋体" w:hAnsi="宋体" w:cs="宋体"/>
          <w:color w:val="000000" w:themeColor="text1"/>
          <w14:textFill>
            <w14:solidFill>
              <w14:schemeClr w14:val="tx1"/>
            </w14:solidFill>
          </w14:textFill>
        </w:rPr>
        <w:t>3.7.2 投标文件应当对招标文件有关招标范围、投标有效期、工期、质量标准、发包人要求等实质性内容作出响应。</w:t>
      </w:r>
      <w:bookmarkEnd w:id="387"/>
    </w:p>
    <w:p w14:paraId="308A571F">
      <w:pPr>
        <w:spacing w:line="400" w:lineRule="exact"/>
        <w:ind w:firstLine="420" w:firstLineChars="200"/>
        <w:rPr>
          <w:rFonts w:hint="eastAsia" w:ascii="宋体" w:hAnsi="宋体" w:cs="宋体"/>
          <w:color w:val="000000" w:themeColor="text1"/>
          <w14:textFill>
            <w14:solidFill>
              <w14:schemeClr w14:val="tx1"/>
            </w14:solidFill>
          </w14:textFill>
        </w:rPr>
      </w:pPr>
      <w:bookmarkStart w:id="388" w:name="_Toc54189819"/>
      <w:r>
        <w:rPr>
          <w:rFonts w:hint="eastAsia" w:ascii="宋体" w:hAnsi="宋体" w:cs="宋体"/>
          <w:color w:val="000000" w:themeColor="text1"/>
          <w14:textFill>
            <w14:solidFill>
              <w14:schemeClr w14:val="tx1"/>
            </w14:solidFill>
          </w14:textFill>
        </w:rPr>
        <w:t>3.7.3 投标文件由投标人的法定代表人或其授权的代理人签字或盖单位章。投标人的法定代表人授权代理人签字的，投标文件应附由法定代表人签署的授权委托书。投标文件应尽量避免涂改、行间插字或删除。如果出现上述情况，改动之处应加盖单位章或由投标人的法定代表人或其授权的代理人签字确认。签字或盖章的具体要求见投标人须知前附表。</w:t>
      </w:r>
      <w:bookmarkEnd w:id="388"/>
    </w:p>
    <w:p w14:paraId="795931CE">
      <w:pPr>
        <w:spacing w:line="400" w:lineRule="exact"/>
        <w:ind w:firstLine="420" w:firstLineChars="200"/>
        <w:rPr>
          <w:rFonts w:hint="eastAsia" w:ascii="宋体" w:hAnsi="宋体" w:cs="宋体"/>
          <w:color w:val="000000" w:themeColor="text1"/>
          <w14:textFill>
            <w14:solidFill>
              <w14:schemeClr w14:val="tx1"/>
            </w14:solidFill>
          </w14:textFill>
        </w:rPr>
      </w:pPr>
      <w:bookmarkStart w:id="389" w:name="_Toc54189822"/>
      <w:r>
        <w:rPr>
          <w:rFonts w:hint="eastAsia" w:ascii="宋体" w:hAnsi="宋体" w:cs="宋体"/>
          <w:color w:val="000000" w:themeColor="text1"/>
          <w14:textFill>
            <w14:solidFill>
              <w14:schemeClr w14:val="tx1"/>
            </w14:solidFill>
          </w14:textFill>
        </w:rPr>
        <w:t>3.7.4 投标文件份数见投标人须知前附表。电子投标文件应与投标文件电子文档U盘或光盘中的文件内容一致，不一致时以网上递交的电子文件为准。</w:t>
      </w:r>
    </w:p>
    <w:p w14:paraId="5D1703DF">
      <w:pPr>
        <w:spacing w:line="400" w:lineRule="exact"/>
        <w:ind w:firstLine="420" w:firstLineChars="200"/>
        <w:rPr>
          <w:rFonts w:hint="eastAsia" w:ascii="宋体" w:hAnsi="宋体" w:cs="宋体"/>
          <w:b/>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3.7.5 电子投标文件中的证明资料的“复印件”均为“原件的扫描件或影印件”。要求盖单位章和（或）签字的地方，投标人均应使用 CA数字证书加盖投标人的单位电子印章和（或）法定代表人的个人电子印章或电子签名章。当投标文件格式中要求签字或盖章的地方不能使用CA数字证书加盖投标人单位电子印章或不能使用CA数字证书加盖法定代表人的个人电子印章或电子签名章时，投标人应按招标的要求填写完毕再签字或盖章后上传扫描件。</w:t>
      </w:r>
      <w:bookmarkEnd w:id="389"/>
      <w:r>
        <w:rPr>
          <w:rFonts w:hint="eastAsia" w:ascii="宋体" w:hAnsi="宋体" w:cs="宋体"/>
          <w:b/>
          <w:color w:val="000000" w:themeColor="text1"/>
          <w14:textFill>
            <w14:solidFill>
              <w14:schemeClr w14:val="tx1"/>
            </w14:solidFill>
          </w14:textFill>
        </w:rPr>
        <w:t>签字、盖章、电子签章均具有同等效力。</w:t>
      </w:r>
    </w:p>
    <w:p w14:paraId="069DAE27">
      <w:pPr>
        <w:spacing w:line="400" w:lineRule="exact"/>
        <w:ind w:firstLine="422" w:firstLineChars="200"/>
        <w:rPr>
          <w:rFonts w:hint="eastAsia"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若为联合体投标，除格式部分注明的由联合体各方共同签字、盖章外，其余签字、盖章由牵头人完成即可。</w:t>
      </w:r>
    </w:p>
    <w:p w14:paraId="736F34E4">
      <w:pPr>
        <w:pStyle w:val="3"/>
        <w:rPr>
          <w:rFonts w:hint="eastAsia" w:ascii="宋体" w:hAnsi="宋体" w:eastAsia="宋体" w:cs="宋体"/>
          <w:color w:val="000000" w:themeColor="text1"/>
          <w14:textFill>
            <w14:solidFill>
              <w14:schemeClr w14:val="tx1"/>
            </w14:solidFill>
          </w14:textFill>
        </w:rPr>
      </w:pPr>
      <w:bookmarkStart w:id="390" w:name="_Toc152042331"/>
      <w:bookmarkStart w:id="391" w:name="_Toc48853296"/>
      <w:bookmarkStart w:id="392" w:name="_Toc144974523"/>
      <w:bookmarkStart w:id="393" w:name="_Toc247513979"/>
      <w:bookmarkStart w:id="394" w:name="_Toc31187"/>
      <w:bookmarkStart w:id="395" w:name="_Toc46412080"/>
      <w:bookmarkStart w:id="396" w:name="_Toc5504"/>
      <w:bookmarkStart w:id="397" w:name="_Toc247527580"/>
      <w:bookmarkStart w:id="398" w:name="_Toc152045555"/>
      <w:bookmarkStart w:id="399" w:name="_Toc46412418"/>
      <w:bookmarkStart w:id="400" w:name="_Toc48853088"/>
      <w:r>
        <w:rPr>
          <w:rFonts w:hint="eastAsia" w:ascii="宋体" w:hAnsi="宋体" w:eastAsia="宋体" w:cs="宋体"/>
          <w:color w:val="000000" w:themeColor="text1"/>
          <w14:textFill>
            <w14:solidFill>
              <w14:schemeClr w14:val="tx1"/>
            </w14:solidFill>
          </w14:textFill>
        </w:rPr>
        <w:t>4. 投标</w:t>
      </w:r>
      <w:bookmarkEnd w:id="390"/>
      <w:bookmarkEnd w:id="391"/>
      <w:bookmarkEnd w:id="392"/>
      <w:bookmarkEnd w:id="393"/>
      <w:bookmarkEnd w:id="394"/>
      <w:bookmarkEnd w:id="395"/>
      <w:bookmarkEnd w:id="396"/>
      <w:bookmarkEnd w:id="397"/>
      <w:bookmarkEnd w:id="398"/>
      <w:bookmarkEnd w:id="399"/>
      <w:bookmarkEnd w:id="400"/>
    </w:p>
    <w:p w14:paraId="3301A710">
      <w:pPr>
        <w:pStyle w:val="4"/>
        <w:rPr>
          <w:rFonts w:hint="eastAsia" w:ascii="宋体" w:eastAsia="宋体" w:cs="宋体"/>
          <w:color w:val="000000" w:themeColor="text1"/>
          <w14:textFill>
            <w14:solidFill>
              <w14:schemeClr w14:val="tx1"/>
            </w14:solidFill>
          </w14:textFill>
        </w:rPr>
      </w:pPr>
      <w:bookmarkStart w:id="401" w:name="_Toc11071"/>
      <w:bookmarkStart w:id="402" w:name="_Toc48853297"/>
      <w:bookmarkStart w:id="403" w:name="_Toc48853089"/>
      <w:bookmarkStart w:id="404" w:name="_Toc46412081"/>
      <w:bookmarkStart w:id="405" w:name="_Toc20072"/>
      <w:bookmarkStart w:id="406" w:name="_Toc46412419"/>
      <w:bookmarkStart w:id="407" w:name="_Toc144974524"/>
      <w:bookmarkStart w:id="408" w:name="_Toc247513980"/>
      <w:bookmarkStart w:id="409" w:name="_Toc247527581"/>
      <w:bookmarkStart w:id="410" w:name="_Toc152042332"/>
      <w:bookmarkStart w:id="411" w:name="_Toc152045556"/>
      <w:r>
        <w:rPr>
          <w:rFonts w:hint="eastAsia" w:ascii="宋体" w:eastAsia="宋体" w:cs="宋体"/>
          <w:color w:val="000000" w:themeColor="text1"/>
          <w14:textFill>
            <w14:solidFill>
              <w14:schemeClr w14:val="tx1"/>
            </w14:solidFill>
          </w14:textFill>
        </w:rPr>
        <w:t>4.1投标文件的上传</w:t>
      </w:r>
      <w:bookmarkEnd w:id="401"/>
      <w:bookmarkEnd w:id="402"/>
      <w:bookmarkEnd w:id="403"/>
      <w:bookmarkEnd w:id="404"/>
      <w:bookmarkEnd w:id="405"/>
      <w:bookmarkEnd w:id="406"/>
    </w:p>
    <w:p w14:paraId="6B04AB00">
      <w:pPr>
        <w:spacing w:line="400" w:lineRule="exact"/>
        <w:ind w:firstLine="420" w:firstLineChars="200"/>
        <w:rPr>
          <w:rFonts w:hint="eastAsia" w:ascii="宋体" w:hAnsi="宋体" w:cs="宋体"/>
          <w:color w:val="000000" w:themeColor="text1"/>
          <w14:textFill>
            <w14:solidFill>
              <w14:schemeClr w14:val="tx1"/>
            </w14:solidFill>
          </w14:textFill>
        </w:rPr>
      </w:pPr>
      <w:bookmarkStart w:id="412" w:name="_Toc54189825"/>
      <w:bookmarkStart w:id="413" w:name="_Toc46412420"/>
      <w:bookmarkStart w:id="414" w:name="_Toc46412082"/>
      <w:bookmarkStart w:id="415" w:name="_Toc16599"/>
      <w:bookmarkStart w:id="416" w:name="_Toc48853298"/>
      <w:bookmarkStart w:id="417" w:name="_Toc48853090"/>
      <w:r>
        <w:rPr>
          <w:rFonts w:hint="eastAsia" w:ascii="宋体" w:hAnsi="宋体" w:cs="宋体"/>
          <w:color w:val="000000" w:themeColor="text1"/>
          <w14:textFill>
            <w14:solidFill>
              <w14:schemeClr w14:val="tx1"/>
            </w14:solidFill>
          </w14:textFill>
        </w:rPr>
        <w:t>4.1.1投标人应在本章第2.2.2项规定的投标截止时间前将电子投标文件上传到</w:t>
      </w:r>
      <w:r>
        <w:rPr>
          <w:rFonts w:hint="eastAsia" w:ascii="宋体" w:hAnsi="宋体" w:cs="宋体"/>
          <w:color w:val="000000" w:themeColor="text1"/>
          <w:lang w:eastAsia="zh-CN"/>
          <w14:textFill>
            <w14:solidFill>
              <w14:schemeClr w14:val="tx1"/>
            </w14:solidFill>
          </w14:textFill>
        </w:rPr>
        <w:t>全国公共资源交易平台（云南省）/云南省公共资源交易信息网（网址：http://gzy.yn.gov.cn/)，选择地区“红河州”，切换至“红河州公共资源交易电子服务系统/全国公共资源交易平台（云南省·红河州）</w:t>
      </w:r>
      <w:r>
        <w:rPr>
          <w:rFonts w:hint="eastAsia" w:ascii="宋体" w:hAnsi="宋体" w:cs="宋体"/>
          <w:color w:val="000000" w:themeColor="text1"/>
          <w14:textFill>
            <w14:solidFill>
              <w14:schemeClr w14:val="tx1"/>
            </w14:solidFill>
          </w14:textFill>
        </w:rPr>
        <w:t>，未按规定在投标截止时间前上传投标文件的，视为撤回其投标文件。</w:t>
      </w:r>
      <w:bookmarkEnd w:id="412"/>
    </w:p>
    <w:p w14:paraId="2E1CA504">
      <w:pPr>
        <w:spacing w:line="400" w:lineRule="exact"/>
        <w:ind w:firstLine="420" w:firstLineChars="200"/>
        <w:rPr>
          <w:rFonts w:hint="eastAsia" w:ascii="宋体" w:hAnsi="宋体" w:cs="宋体"/>
          <w:color w:val="000000" w:themeColor="text1"/>
          <w14:textFill>
            <w14:solidFill>
              <w14:schemeClr w14:val="tx1"/>
            </w14:solidFill>
          </w14:textFill>
        </w:rPr>
      </w:pPr>
      <w:bookmarkStart w:id="418" w:name="_Toc54189826"/>
      <w:r>
        <w:rPr>
          <w:rFonts w:hint="eastAsia" w:ascii="宋体" w:hAnsi="宋体" w:cs="宋体"/>
          <w:color w:val="000000" w:themeColor="text1"/>
          <w14:textFill>
            <w14:solidFill>
              <w14:schemeClr w14:val="tx1"/>
            </w14:solidFill>
          </w14:textFill>
        </w:rPr>
        <w:t>4.1.2除投标人须知前附表另有规定外，投标人所递交的投标文件不予退还。</w:t>
      </w:r>
      <w:bookmarkEnd w:id="418"/>
    </w:p>
    <w:p w14:paraId="56717F3B">
      <w:pPr>
        <w:spacing w:line="400" w:lineRule="exact"/>
        <w:ind w:firstLine="420" w:firstLineChars="200"/>
        <w:rPr>
          <w:rFonts w:hint="eastAsia" w:ascii="宋体" w:hAnsi="宋体" w:cs="宋体"/>
          <w:color w:val="000000" w:themeColor="text1"/>
          <w14:textFill>
            <w14:solidFill>
              <w14:schemeClr w14:val="tx1"/>
            </w14:solidFill>
          </w14:textFill>
        </w:rPr>
      </w:pPr>
      <w:bookmarkStart w:id="419" w:name="_Toc54189827"/>
      <w:r>
        <w:rPr>
          <w:rFonts w:hint="eastAsia" w:ascii="宋体" w:hAnsi="宋体" w:cs="宋体"/>
          <w:color w:val="000000" w:themeColor="text1"/>
          <w14:textFill>
            <w14:solidFill>
              <w14:schemeClr w14:val="tx1"/>
            </w14:solidFill>
          </w14:textFill>
        </w:rPr>
        <w:t>4.1.3网上上传投标文件：投标人登录“</w:t>
      </w:r>
      <w:r>
        <w:rPr>
          <w:rFonts w:hint="eastAsia" w:ascii="宋体" w:hAnsi="宋体" w:cs="宋体"/>
          <w:color w:val="000000" w:themeColor="text1"/>
          <w:lang w:eastAsia="zh-CN"/>
          <w14:textFill>
            <w14:solidFill>
              <w14:schemeClr w14:val="tx1"/>
            </w14:solidFill>
          </w14:textFill>
        </w:rPr>
        <w:t>全国公共资源交易平台（云南省）/云南省公共资源交易信息网（网址：http://gzy.yn.gov.cn/)，选择地区“红河州”，切换至“红河州公共资源交易电子服务系统/全国公共资源交易平台（云南省·红河州）</w:t>
      </w:r>
      <w:r>
        <w:rPr>
          <w:rFonts w:hint="eastAsia" w:ascii="宋体" w:hAnsi="宋体" w:cs="宋体"/>
          <w:color w:val="000000" w:themeColor="text1"/>
          <w14:textFill>
            <w14:solidFill>
              <w14:schemeClr w14:val="tx1"/>
            </w14:solidFill>
          </w14:textFill>
        </w:rPr>
        <w:t>”，投标人根据拟要投标的项目，按照网上投标系统要求上传全部投标文件，投标文件上传后须自行检查投标文件的完整性并进行确认签名后，方完成全部投标文件网上上传操作。投标人可自行打印“上传投标文件回执”。投标截止时间前未完成投标文件传输的，视为撤回投标文件。</w:t>
      </w:r>
      <w:bookmarkEnd w:id="419"/>
    </w:p>
    <w:p w14:paraId="0A364D0C">
      <w:pPr>
        <w:pStyle w:val="4"/>
        <w:rPr>
          <w:rFonts w:hint="eastAsia" w:ascii="宋体" w:eastAsia="宋体" w:cs="宋体"/>
          <w:color w:val="000000" w:themeColor="text1"/>
          <w14:textFill>
            <w14:solidFill>
              <w14:schemeClr w14:val="tx1"/>
            </w14:solidFill>
          </w14:textFill>
        </w:rPr>
      </w:pPr>
      <w:bookmarkStart w:id="420" w:name="_Toc8966"/>
      <w:r>
        <w:rPr>
          <w:rFonts w:hint="eastAsia" w:ascii="宋体" w:eastAsia="宋体" w:cs="宋体"/>
          <w:color w:val="000000" w:themeColor="text1"/>
          <w14:textFill>
            <w14:solidFill>
              <w14:schemeClr w14:val="tx1"/>
            </w14:solidFill>
          </w14:textFill>
        </w:rPr>
        <w:t>4.2 投标文件的密封和标记</w:t>
      </w:r>
      <w:bookmarkEnd w:id="407"/>
      <w:bookmarkEnd w:id="408"/>
      <w:bookmarkEnd w:id="409"/>
      <w:bookmarkEnd w:id="410"/>
      <w:bookmarkEnd w:id="411"/>
      <w:bookmarkEnd w:id="413"/>
      <w:bookmarkEnd w:id="414"/>
      <w:bookmarkEnd w:id="415"/>
      <w:bookmarkEnd w:id="416"/>
      <w:bookmarkEnd w:id="417"/>
      <w:bookmarkEnd w:id="420"/>
    </w:p>
    <w:p w14:paraId="41A6E0FF">
      <w:pPr>
        <w:spacing w:line="400" w:lineRule="exact"/>
        <w:ind w:firstLine="420" w:firstLineChars="200"/>
        <w:rPr>
          <w:rFonts w:hint="eastAsia" w:ascii="宋体" w:hAnsi="宋体" w:cs="宋体"/>
          <w:color w:val="000000" w:themeColor="text1"/>
          <w14:textFill>
            <w14:solidFill>
              <w14:schemeClr w14:val="tx1"/>
            </w14:solidFill>
          </w14:textFill>
        </w:rPr>
      </w:pPr>
      <w:bookmarkStart w:id="421" w:name="_Toc247513981"/>
      <w:bookmarkStart w:id="422" w:name="_Toc48853091"/>
      <w:bookmarkStart w:id="423" w:name="_Toc152045557"/>
      <w:bookmarkStart w:id="424" w:name="_Toc152042333"/>
      <w:bookmarkStart w:id="425" w:name="_Toc46412421"/>
      <w:bookmarkStart w:id="426" w:name="_Toc144974525"/>
      <w:bookmarkStart w:id="427" w:name="_Toc46412083"/>
      <w:bookmarkStart w:id="428" w:name="_Toc247527582"/>
      <w:bookmarkStart w:id="429" w:name="_Toc5446"/>
      <w:bookmarkStart w:id="430" w:name="_Toc48853299"/>
      <w:r>
        <w:rPr>
          <w:rFonts w:hint="eastAsia" w:ascii="宋体" w:hAnsi="宋体" w:cs="宋体"/>
          <w:color w:val="000000" w:themeColor="text1"/>
          <w14:textFill>
            <w14:solidFill>
              <w14:schemeClr w14:val="tx1"/>
            </w14:solidFill>
          </w14:textFill>
        </w:rPr>
        <w:t>4.2.1 网上递交的投标文件需要对投标文件进行加密。</w:t>
      </w:r>
    </w:p>
    <w:p w14:paraId="24AA97D9">
      <w:pPr>
        <w:pStyle w:val="4"/>
        <w:rPr>
          <w:rFonts w:hint="eastAsia" w:ascii="宋体" w:eastAsia="宋体" w:cs="宋体"/>
          <w:color w:val="000000" w:themeColor="text1"/>
          <w14:textFill>
            <w14:solidFill>
              <w14:schemeClr w14:val="tx1"/>
            </w14:solidFill>
          </w14:textFill>
        </w:rPr>
      </w:pPr>
      <w:bookmarkStart w:id="431" w:name="_Toc16959"/>
      <w:r>
        <w:rPr>
          <w:rFonts w:hint="eastAsia" w:ascii="宋体" w:eastAsia="宋体" w:cs="宋体"/>
          <w:color w:val="000000" w:themeColor="text1"/>
          <w14:textFill>
            <w14:solidFill>
              <w14:schemeClr w14:val="tx1"/>
            </w14:solidFill>
          </w14:textFill>
        </w:rPr>
        <w:t>4.3 投标文件的递交</w:t>
      </w:r>
      <w:bookmarkEnd w:id="421"/>
      <w:bookmarkEnd w:id="422"/>
      <w:bookmarkEnd w:id="423"/>
      <w:bookmarkEnd w:id="424"/>
      <w:bookmarkEnd w:id="425"/>
      <w:bookmarkEnd w:id="426"/>
      <w:bookmarkEnd w:id="427"/>
      <w:bookmarkEnd w:id="428"/>
      <w:bookmarkEnd w:id="429"/>
      <w:bookmarkEnd w:id="430"/>
      <w:bookmarkEnd w:id="431"/>
    </w:p>
    <w:p w14:paraId="03A924F4">
      <w:pPr>
        <w:spacing w:line="400" w:lineRule="exact"/>
        <w:ind w:firstLine="420" w:firstLineChars="200"/>
        <w:rPr>
          <w:rFonts w:hint="eastAsia" w:ascii="宋体" w:hAnsi="宋体" w:cs="宋体"/>
          <w:color w:val="000000" w:themeColor="text1"/>
          <w14:textFill>
            <w14:solidFill>
              <w14:schemeClr w14:val="tx1"/>
            </w14:solidFill>
          </w14:textFill>
        </w:rPr>
      </w:pPr>
      <w:bookmarkStart w:id="432" w:name="_Toc54189830"/>
      <w:bookmarkStart w:id="433" w:name="_Toc46412084"/>
      <w:bookmarkStart w:id="434" w:name="_Toc152045558"/>
      <w:bookmarkStart w:id="435" w:name="_Toc247513982"/>
      <w:bookmarkStart w:id="436" w:name="_Toc48853092"/>
      <w:bookmarkStart w:id="437" w:name="_Toc19256"/>
      <w:bookmarkStart w:id="438" w:name="_Toc247527583"/>
      <w:bookmarkStart w:id="439" w:name="_Toc152042334"/>
      <w:bookmarkStart w:id="440" w:name="_Toc46412422"/>
      <w:bookmarkStart w:id="441" w:name="_Toc144974526"/>
      <w:bookmarkStart w:id="442" w:name="_Toc48853300"/>
      <w:r>
        <w:rPr>
          <w:rFonts w:hint="eastAsia" w:ascii="宋体" w:hAnsi="宋体" w:cs="宋体"/>
          <w:color w:val="000000" w:themeColor="text1"/>
          <w14:textFill>
            <w14:solidFill>
              <w14:schemeClr w14:val="tx1"/>
            </w14:solidFill>
          </w14:textFill>
        </w:rPr>
        <w:t>4.3.1 投标人应在第2.2.2项规定的投标截止时间之前递交投标文件。</w:t>
      </w:r>
      <w:bookmarkEnd w:id="432"/>
    </w:p>
    <w:p w14:paraId="5DEB2457">
      <w:pPr>
        <w:pStyle w:val="4"/>
        <w:rPr>
          <w:rFonts w:hint="eastAsia" w:ascii="宋体" w:eastAsia="宋体" w:cs="宋体"/>
          <w:color w:val="000000" w:themeColor="text1"/>
          <w14:textFill>
            <w14:solidFill>
              <w14:schemeClr w14:val="tx1"/>
            </w14:solidFill>
          </w14:textFill>
        </w:rPr>
      </w:pPr>
      <w:bookmarkStart w:id="443" w:name="_Toc4311"/>
      <w:r>
        <w:rPr>
          <w:rFonts w:hint="eastAsia" w:ascii="宋体" w:eastAsia="宋体" w:cs="宋体"/>
          <w:color w:val="000000" w:themeColor="text1"/>
          <w14:textFill>
            <w14:solidFill>
              <w14:schemeClr w14:val="tx1"/>
            </w14:solidFill>
          </w14:textFill>
        </w:rPr>
        <w:t>4.4 投标文件的修改与撤回</w:t>
      </w:r>
      <w:bookmarkEnd w:id="433"/>
      <w:bookmarkEnd w:id="434"/>
      <w:bookmarkEnd w:id="435"/>
      <w:bookmarkEnd w:id="436"/>
      <w:bookmarkEnd w:id="437"/>
      <w:bookmarkEnd w:id="438"/>
      <w:bookmarkEnd w:id="439"/>
      <w:bookmarkEnd w:id="440"/>
      <w:bookmarkEnd w:id="441"/>
      <w:bookmarkEnd w:id="442"/>
      <w:bookmarkEnd w:id="443"/>
    </w:p>
    <w:p w14:paraId="325328FE">
      <w:pPr>
        <w:adjustRightInd w:val="0"/>
        <w:snapToGrid w:val="0"/>
        <w:spacing w:line="360" w:lineRule="auto"/>
        <w:ind w:firstLine="420" w:firstLineChars="200"/>
        <w:rPr>
          <w:rFonts w:hint="eastAsia" w:ascii="宋体" w:hAnsi="宋体" w:cs="宋体"/>
          <w:color w:val="000000" w:themeColor="text1"/>
          <w:kern w:val="0"/>
          <w14:textFill>
            <w14:solidFill>
              <w14:schemeClr w14:val="tx1"/>
            </w14:solidFill>
          </w14:textFill>
        </w:rPr>
      </w:pPr>
      <w:bookmarkStart w:id="444" w:name="_Toc152045559"/>
      <w:bookmarkStart w:id="445" w:name="_Toc144974527"/>
      <w:bookmarkStart w:id="446" w:name="_Toc247527584"/>
      <w:bookmarkStart w:id="447" w:name="_Toc152042335"/>
      <w:bookmarkStart w:id="448" w:name="_Toc247513983"/>
      <w:r>
        <w:rPr>
          <w:rFonts w:hint="eastAsia" w:ascii="宋体" w:hAnsi="宋体" w:cs="宋体"/>
          <w:color w:val="000000" w:themeColor="text1"/>
          <w:kern w:val="0"/>
          <w14:textFill>
            <w14:solidFill>
              <w14:schemeClr w14:val="tx1"/>
            </w14:solidFill>
          </w14:textFill>
        </w:rPr>
        <w:t>4.4.1在本章第2.2.2项规定的投标截止时间前，投标人可以修改或撤回已在网上上传的投标文件，无须书面形式通知招标人。</w:t>
      </w:r>
    </w:p>
    <w:p w14:paraId="126D7969">
      <w:pPr>
        <w:adjustRightInd w:val="0"/>
        <w:snapToGrid w:val="0"/>
        <w:spacing w:line="360" w:lineRule="auto"/>
        <w:ind w:firstLine="420" w:firstLineChars="200"/>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4.4.2投标人撤回投标文件的，可在规定时间内申请退还已缴纳的投标保证金。</w:t>
      </w:r>
    </w:p>
    <w:p w14:paraId="4A8A5944">
      <w:pPr>
        <w:adjustRightInd w:val="0"/>
        <w:snapToGrid w:val="0"/>
        <w:spacing w:line="360" w:lineRule="auto"/>
        <w:ind w:firstLine="420" w:firstLineChars="200"/>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4.4.3修改的内容为投标文件的组成部分。修改的投标文件应按照规定进行编制和上传。</w:t>
      </w:r>
    </w:p>
    <w:p w14:paraId="32FEBFCA">
      <w:pPr>
        <w:pStyle w:val="3"/>
        <w:rPr>
          <w:rFonts w:hint="eastAsia" w:ascii="宋体" w:hAnsi="宋体" w:eastAsia="宋体" w:cs="宋体"/>
          <w:color w:val="000000" w:themeColor="text1"/>
          <w14:textFill>
            <w14:solidFill>
              <w14:schemeClr w14:val="tx1"/>
            </w14:solidFill>
          </w14:textFill>
        </w:rPr>
      </w:pPr>
      <w:bookmarkStart w:id="449" w:name="_Toc48853093"/>
      <w:bookmarkStart w:id="450" w:name="_Toc8312"/>
      <w:bookmarkStart w:id="451" w:name="_Toc46412085"/>
      <w:bookmarkStart w:id="452" w:name="_Toc11347"/>
      <w:bookmarkStart w:id="453" w:name="_Toc48853301"/>
      <w:bookmarkStart w:id="454" w:name="_Toc46412423"/>
      <w:r>
        <w:rPr>
          <w:rFonts w:hint="eastAsia" w:ascii="宋体" w:hAnsi="宋体" w:eastAsia="宋体" w:cs="宋体"/>
          <w:color w:val="000000" w:themeColor="text1"/>
          <w14:textFill>
            <w14:solidFill>
              <w14:schemeClr w14:val="tx1"/>
            </w14:solidFill>
          </w14:textFill>
        </w:rPr>
        <w:t>5. 开标</w:t>
      </w:r>
      <w:bookmarkEnd w:id="444"/>
      <w:bookmarkEnd w:id="445"/>
      <w:bookmarkEnd w:id="446"/>
      <w:bookmarkEnd w:id="447"/>
      <w:bookmarkEnd w:id="448"/>
      <w:bookmarkEnd w:id="449"/>
      <w:bookmarkEnd w:id="450"/>
      <w:bookmarkEnd w:id="451"/>
      <w:bookmarkEnd w:id="452"/>
      <w:bookmarkEnd w:id="453"/>
      <w:bookmarkEnd w:id="454"/>
    </w:p>
    <w:p w14:paraId="1EC6AF76">
      <w:pPr>
        <w:pStyle w:val="4"/>
        <w:rPr>
          <w:rFonts w:hint="eastAsia" w:ascii="宋体" w:eastAsia="宋体" w:cs="宋体"/>
          <w:color w:val="000000" w:themeColor="text1"/>
          <w14:textFill>
            <w14:solidFill>
              <w14:schemeClr w14:val="tx1"/>
            </w14:solidFill>
          </w14:textFill>
        </w:rPr>
      </w:pPr>
      <w:bookmarkStart w:id="455" w:name="_Toc247527585"/>
      <w:bookmarkStart w:id="456" w:name="_Toc247513984"/>
      <w:bookmarkStart w:id="457" w:name="_Toc152042336"/>
      <w:bookmarkStart w:id="458" w:name="_Toc46412086"/>
      <w:bookmarkStart w:id="459" w:name="_Toc152045560"/>
      <w:bookmarkStart w:id="460" w:name="_Toc16075"/>
      <w:bookmarkStart w:id="461" w:name="_Toc144974528"/>
      <w:bookmarkStart w:id="462" w:name="_Toc46412424"/>
      <w:bookmarkStart w:id="463" w:name="_Toc27165"/>
      <w:bookmarkStart w:id="464" w:name="_Toc48853094"/>
      <w:bookmarkStart w:id="465" w:name="_Toc48853302"/>
      <w:r>
        <w:rPr>
          <w:rFonts w:hint="eastAsia" w:ascii="宋体" w:eastAsia="宋体" w:cs="宋体"/>
          <w:color w:val="000000" w:themeColor="text1"/>
          <w14:textFill>
            <w14:solidFill>
              <w14:schemeClr w14:val="tx1"/>
            </w14:solidFill>
          </w14:textFill>
        </w:rPr>
        <w:t>5.1 开标时间和地点</w:t>
      </w:r>
      <w:bookmarkEnd w:id="455"/>
      <w:bookmarkEnd w:id="456"/>
      <w:bookmarkEnd w:id="457"/>
      <w:bookmarkEnd w:id="458"/>
      <w:bookmarkEnd w:id="459"/>
      <w:bookmarkEnd w:id="460"/>
      <w:bookmarkEnd w:id="461"/>
      <w:bookmarkEnd w:id="462"/>
      <w:bookmarkEnd w:id="463"/>
      <w:bookmarkEnd w:id="464"/>
      <w:bookmarkEnd w:id="465"/>
    </w:p>
    <w:p w14:paraId="3B77BD10">
      <w:pPr>
        <w:adjustRightInd w:val="0"/>
        <w:snapToGrid w:val="0"/>
        <w:spacing w:line="360" w:lineRule="auto"/>
        <w:ind w:firstLine="420" w:firstLineChars="200"/>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招标人在本章第2.2.2项规定的投标截止时间（开标时间）和投标人须知前附表规定的地点公开开标，投标人网上远程开标。</w:t>
      </w:r>
    </w:p>
    <w:p w14:paraId="03C0639F">
      <w:pPr>
        <w:pStyle w:val="4"/>
        <w:rPr>
          <w:rFonts w:hint="eastAsia" w:ascii="宋体" w:eastAsia="宋体" w:cs="宋体"/>
          <w:color w:val="000000" w:themeColor="text1"/>
          <w14:textFill>
            <w14:solidFill>
              <w14:schemeClr w14:val="tx1"/>
            </w14:solidFill>
          </w14:textFill>
        </w:rPr>
      </w:pPr>
      <w:bookmarkStart w:id="466" w:name="_Toc152042337"/>
      <w:bookmarkStart w:id="467" w:name="_Toc46412425"/>
      <w:bookmarkStart w:id="468" w:name="_Toc48853095"/>
      <w:bookmarkStart w:id="469" w:name="_Toc247513985"/>
      <w:bookmarkStart w:id="470" w:name="_Toc46412087"/>
      <w:bookmarkStart w:id="471" w:name="_Toc3999"/>
      <w:bookmarkStart w:id="472" w:name="_Toc32228"/>
      <w:bookmarkStart w:id="473" w:name="_Toc247527586"/>
      <w:bookmarkStart w:id="474" w:name="_Toc152045561"/>
      <w:bookmarkStart w:id="475" w:name="_Toc144974529"/>
      <w:bookmarkStart w:id="476" w:name="_Toc48853303"/>
      <w:r>
        <w:rPr>
          <w:rFonts w:hint="eastAsia" w:ascii="宋体" w:eastAsia="宋体" w:cs="宋体"/>
          <w:color w:val="000000" w:themeColor="text1"/>
          <w14:textFill>
            <w14:solidFill>
              <w14:schemeClr w14:val="tx1"/>
            </w14:solidFill>
          </w14:textFill>
        </w:rPr>
        <w:t>5.2 开标程序</w:t>
      </w:r>
      <w:bookmarkEnd w:id="466"/>
      <w:bookmarkEnd w:id="467"/>
      <w:bookmarkEnd w:id="468"/>
      <w:bookmarkEnd w:id="469"/>
      <w:bookmarkEnd w:id="470"/>
      <w:bookmarkEnd w:id="471"/>
      <w:bookmarkEnd w:id="472"/>
      <w:bookmarkEnd w:id="473"/>
      <w:bookmarkEnd w:id="474"/>
      <w:bookmarkEnd w:id="475"/>
      <w:bookmarkEnd w:id="476"/>
    </w:p>
    <w:p w14:paraId="6D438F5D">
      <w:pPr>
        <w:adjustRightInd w:val="0"/>
        <w:snapToGrid w:val="0"/>
        <w:spacing w:line="360" w:lineRule="auto"/>
        <w:ind w:firstLine="420" w:firstLineChars="200"/>
        <w:rPr>
          <w:rFonts w:hint="eastAsia" w:ascii="宋体" w:hAnsi="宋体" w:cs="宋体"/>
          <w:color w:val="000000" w:themeColor="text1"/>
          <w:kern w:val="0"/>
          <w14:textFill>
            <w14:solidFill>
              <w14:schemeClr w14:val="tx1"/>
            </w14:solidFill>
          </w14:textFill>
        </w:rPr>
      </w:pPr>
      <w:bookmarkStart w:id="477" w:name="_Toc15336"/>
      <w:bookmarkStart w:id="478" w:name="_Toc46412426"/>
      <w:bookmarkStart w:id="479" w:name="_Toc46412088"/>
      <w:bookmarkStart w:id="480" w:name="_Toc48853096"/>
      <w:bookmarkStart w:id="481" w:name="_Toc48853304"/>
      <w:r>
        <w:rPr>
          <w:rFonts w:hint="eastAsia" w:ascii="宋体" w:hAnsi="宋体" w:cs="宋体"/>
          <w:color w:val="000000" w:themeColor="text1"/>
          <w:kern w:val="0"/>
          <w14:textFill>
            <w14:solidFill>
              <w14:schemeClr w14:val="tx1"/>
            </w14:solidFill>
          </w14:textFill>
        </w:rPr>
        <w:t>投标人网上远程解密文件。</w:t>
      </w:r>
    </w:p>
    <w:p w14:paraId="0A6B003B">
      <w:pPr>
        <w:adjustRightInd w:val="0"/>
        <w:snapToGrid w:val="0"/>
        <w:spacing w:line="360" w:lineRule="auto"/>
        <w:ind w:firstLine="420" w:firstLineChars="200"/>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网上远程解密时，在招标代理机构发布远程解密文件的即时消息后，投标人用企业CA证书加密的投标文件，可以直接对文件进行解密；使用法定代表人CA证书加密的文件，在远程解密前应先用企业CA证书登录，接到远程解密后，拔出企业CA证书插入法定代表人CA证书后再进行解密文件。</w:t>
      </w:r>
    </w:p>
    <w:p w14:paraId="32246A2E">
      <w:pPr>
        <w:adjustRightInd w:val="0"/>
        <w:snapToGrid w:val="0"/>
        <w:spacing w:line="360" w:lineRule="auto"/>
        <w:ind w:firstLine="420" w:firstLineChars="200"/>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注：1. 网上远程解密：投标人必须在规定的时间内完成解密工作，由于投标人操作失误或自身造成没有按时进行远程解密的，视为撤回投标文件。</w:t>
      </w:r>
    </w:p>
    <w:p w14:paraId="68897608">
      <w:pPr>
        <w:adjustRightInd w:val="0"/>
        <w:snapToGrid w:val="0"/>
        <w:spacing w:line="360" w:lineRule="auto"/>
        <w:ind w:firstLine="420" w:firstLineChars="200"/>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2. 唱标结束后，投标人在招标人规定时间内未提出异议的，视为无异议，到达截止时间后自动进入下一环节。</w:t>
      </w:r>
    </w:p>
    <w:p w14:paraId="7E9BD334">
      <w:pPr>
        <w:adjustRightInd w:val="0"/>
        <w:snapToGrid w:val="0"/>
        <w:spacing w:line="360" w:lineRule="auto"/>
        <w:ind w:firstLine="420" w:firstLineChars="200"/>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3. 对唱标结果签名确认时间为招标人发出通知后3分钟内，若投标人在规定时间内未对唱标结果进行电子签名确认的，则视为自动确认唱标内容，到达截止时间后自动进入下一环节。</w:t>
      </w:r>
    </w:p>
    <w:p w14:paraId="0F847482">
      <w:pPr>
        <w:pStyle w:val="4"/>
        <w:rPr>
          <w:rFonts w:hint="eastAsia" w:ascii="宋体" w:eastAsia="宋体" w:cs="宋体"/>
          <w:color w:val="000000" w:themeColor="text1"/>
          <w14:textFill>
            <w14:solidFill>
              <w14:schemeClr w14:val="tx1"/>
            </w14:solidFill>
          </w14:textFill>
        </w:rPr>
      </w:pPr>
      <w:bookmarkStart w:id="482" w:name="_Toc11603"/>
      <w:r>
        <w:rPr>
          <w:rFonts w:hint="eastAsia" w:ascii="宋体" w:eastAsia="宋体" w:cs="宋体"/>
          <w:color w:val="000000" w:themeColor="text1"/>
          <w14:textFill>
            <w14:solidFill>
              <w14:schemeClr w14:val="tx1"/>
            </w14:solidFill>
          </w14:textFill>
        </w:rPr>
        <w:t>5.3 开标异议</w:t>
      </w:r>
      <w:bookmarkEnd w:id="477"/>
      <w:bookmarkEnd w:id="478"/>
      <w:bookmarkEnd w:id="479"/>
      <w:bookmarkEnd w:id="480"/>
      <w:bookmarkEnd w:id="481"/>
      <w:bookmarkEnd w:id="482"/>
    </w:p>
    <w:p w14:paraId="2E610907">
      <w:pPr>
        <w:spacing w:line="400" w:lineRule="exact"/>
        <w:ind w:firstLine="359" w:firstLineChars="171"/>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投标人对开标有异议的，应当在开标现场提出，招标人当场作出答复，并制作记录。</w:t>
      </w:r>
    </w:p>
    <w:p w14:paraId="483F44C0">
      <w:pPr>
        <w:pStyle w:val="3"/>
        <w:rPr>
          <w:rFonts w:hint="eastAsia" w:ascii="宋体" w:hAnsi="宋体" w:eastAsia="宋体" w:cs="宋体"/>
          <w:color w:val="000000" w:themeColor="text1"/>
          <w14:textFill>
            <w14:solidFill>
              <w14:schemeClr w14:val="tx1"/>
            </w14:solidFill>
          </w14:textFill>
        </w:rPr>
      </w:pPr>
      <w:bookmarkStart w:id="483" w:name="_Toc152045562"/>
      <w:bookmarkStart w:id="484" w:name="_Toc48853305"/>
      <w:bookmarkStart w:id="485" w:name="_Toc46412089"/>
      <w:bookmarkStart w:id="486" w:name="_Toc247513986"/>
      <w:bookmarkStart w:id="487" w:name="_Toc152042338"/>
      <w:bookmarkStart w:id="488" w:name="_Toc26631"/>
      <w:bookmarkStart w:id="489" w:name="_Toc247527587"/>
      <w:bookmarkStart w:id="490" w:name="_Toc29770"/>
      <w:bookmarkStart w:id="491" w:name="_Toc46412427"/>
      <w:bookmarkStart w:id="492" w:name="_Toc48853097"/>
      <w:bookmarkStart w:id="493" w:name="_Toc144974530"/>
      <w:r>
        <w:rPr>
          <w:rFonts w:hint="eastAsia" w:ascii="宋体" w:hAnsi="宋体" w:eastAsia="宋体" w:cs="宋体"/>
          <w:color w:val="000000" w:themeColor="text1"/>
          <w14:textFill>
            <w14:solidFill>
              <w14:schemeClr w14:val="tx1"/>
            </w14:solidFill>
          </w14:textFill>
        </w:rPr>
        <w:t>6. 评标</w:t>
      </w:r>
      <w:bookmarkEnd w:id="483"/>
      <w:bookmarkEnd w:id="484"/>
      <w:bookmarkEnd w:id="485"/>
      <w:bookmarkEnd w:id="486"/>
      <w:bookmarkEnd w:id="487"/>
      <w:bookmarkEnd w:id="488"/>
      <w:bookmarkEnd w:id="489"/>
      <w:bookmarkEnd w:id="490"/>
      <w:bookmarkEnd w:id="491"/>
      <w:bookmarkEnd w:id="492"/>
      <w:bookmarkEnd w:id="493"/>
    </w:p>
    <w:p w14:paraId="778943DD">
      <w:pPr>
        <w:pStyle w:val="4"/>
        <w:rPr>
          <w:rFonts w:hint="eastAsia" w:ascii="宋体" w:eastAsia="宋体" w:cs="宋体"/>
          <w:color w:val="000000" w:themeColor="text1"/>
          <w14:textFill>
            <w14:solidFill>
              <w14:schemeClr w14:val="tx1"/>
            </w14:solidFill>
          </w14:textFill>
        </w:rPr>
      </w:pPr>
      <w:bookmarkStart w:id="494" w:name="_Toc247527588"/>
      <w:bookmarkStart w:id="495" w:name="_Toc6239"/>
      <w:bookmarkStart w:id="496" w:name="_Toc144974531"/>
      <w:bookmarkStart w:id="497" w:name="_Toc46412428"/>
      <w:bookmarkStart w:id="498" w:name="_Toc247513987"/>
      <w:bookmarkStart w:id="499" w:name="_Toc48853306"/>
      <w:bookmarkStart w:id="500" w:name="_Toc152042339"/>
      <w:bookmarkStart w:id="501" w:name="_Toc152045563"/>
      <w:bookmarkStart w:id="502" w:name="_Toc48853098"/>
      <w:bookmarkStart w:id="503" w:name="_Toc28501"/>
      <w:bookmarkStart w:id="504" w:name="_Toc46412090"/>
      <w:r>
        <w:rPr>
          <w:rFonts w:hint="eastAsia" w:ascii="宋体" w:eastAsia="宋体" w:cs="宋体"/>
          <w:color w:val="000000" w:themeColor="text1"/>
          <w14:textFill>
            <w14:solidFill>
              <w14:schemeClr w14:val="tx1"/>
            </w14:solidFill>
          </w14:textFill>
        </w:rPr>
        <w:t>6.1 评标委员会</w:t>
      </w:r>
      <w:bookmarkEnd w:id="494"/>
      <w:bookmarkEnd w:id="495"/>
      <w:bookmarkEnd w:id="496"/>
      <w:bookmarkEnd w:id="497"/>
      <w:bookmarkEnd w:id="498"/>
      <w:bookmarkEnd w:id="499"/>
      <w:bookmarkEnd w:id="500"/>
      <w:bookmarkEnd w:id="501"/>
      <w:bookmarkEnd w:id="502"/>
      <w:bookmarkEnd w:id="503"/>
      <w:bookmarkEnd w:id="504"/>
    </w:p>
    <w:p w14:paraId="68C1C2E0">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6.1.1 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2D04E00F">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6.1.2 评标委员会成员有下列情形之一的，应当回避：</w:t>
      </w:r>
    </w:p>
    <w:p w14:paraId="438ADECB">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（1）投标人或投标人主要负责人的近亲属；</w:t>
      </w:r>
    </w:p>
    <w:p w14:paraId="3040189B">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（2）项目主管部门或者行政监督部门的人员；</w:t>
      </w:r>
    </w:p>
    <w:p w14:paraId="5B7A5358">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（3）与投标人有经济利益关系，可能影响对投标公正评审的；</w:t>
      </w:r>
    </w:p>
    <w:p w14:paraId="253C79F8">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（4）曾因在招标、评标以及其他与招标投标有关活动中从事违法行为而受过行政处罚或刑事处罚的；</w:t>
      </w:r>
    </w:p>
    <w:p w14:paraId="63D8B5DA">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（5）与投标人有其他利害关系。</w:t>
      </w:r>
    </w:p>
    <w:p w14:paraId="7BE30867">
      <w:pPr>
        <w:pStyle w:val="4"/>
        <w:rPr>
          <w:rFonts w:hint="eastAsia" w:ascii="宋体" w:eastAsia="宋体" w:cs="宋体"/>
          <w:color w:val="000000" w:themeColor="text1"/>
          <w14:textFill>
            <w14:solidFill>
              <w14:schemeClr w14:val="tx1"/>
            </w14:solidFill>
          </w14:textFill>
        </w:rPr>
      </w:pPr>
      <w:bookmarkStart w:id="505" w:name="_Toc46412429"/>
      <w:bookmarkStart w:id="506" w:name="_Toc46412091"/>
      <w:bookmarkStart w:id="507" w:name="_Toc152042340"/>
      <w:bookmarkStart w:id="508" w:name="_Toc48853099"/>
      <w:bookmarkStart w:id="509" w:name="_Toc48853307"/>
      <w:bookmarkStart w:id="510" w:name="_Toc247513988"/>
      <w:bookmarkStart w:id="511" w:name="_Toc144974532"/>
      <w:bookmarkStart w:id="512" w:name="_Toc15324"/>
      <w:bookmarkStart w:id="513" w:name="_Toc247527589"/>
      <w:bookmarkStart w:id="514" w:name="_Toc30114"/>
      <w:bookmarkStart w:id="515" w:name="_Toc152045564"/>
      <w:r>
        <w:rPr>
          <w:rFonts w:hint="eastAsia" w:ascii="宋体" w:eastAsia="宋体" w:cs="宋体"/>
          <w:color w:val="000000" w:themeColor="text1"/>
          <w14:textFill>
            <w14:solidFill>
              <w14:schemeClr w14:val="tx1"/>
            </w14:solidFill>
          </w14:textFill>
        </w:rPr>
        <w:t>6.2 评标原则</w:t>
      </w:r>
      <w:bookmarkEnd w:id="505"/>
      <w:bookmarkEnd w:id="506"/>
      <w:bookmarkEnd w:id="507"/>
      <w:bookmarkEnd w:id="508"/>
      <w:bookmarkEnd w:id="509"/>
      <w:bookmarkEnd w:id="510"/>
      <w:bookmarkEnd w:id="511"/>
      <w:bookmarkEnd w:id="512"/>
      <w:bookmarkEnd w:id="513"/>
      <w:bookmarkEnd w:id="514"/>
      <w:bookmarkEnd w:id="515"/>
      <w:r>
        <w:rPr>
          <w:rFonts w:hint="eastAsia" w:ascii="宋体" w:eastAsia="宋体" w:cs="宋体"/>
          <w:color w:val="000000" w:themeColor="text1"/>
          <w14:textFill>
            <w14:solidFill>
              <w14:schemeClr w14:val="tx1"/>
            </w14:solidFill>
          </w14:textFill>
        </w:rPr>
        <w:tab/>
      </w:r>
    </w:p>
    <w:p w14:paraId="15A96CA7">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评标活动遵循公平、公正、科学和择优的原则。</w:t>
      </w:r>
    </w:p>
    <w:p w14:paraId="354B4175">
      <w:pPr>
        <w:pStyle w:val="4"/>
        <w:rPr>
          <w:rFonts w:hint="eastAsia" w:ascii="宋体" w:eastAsia="宋体" w:cs="宋体"/>
          <w:color w:val="000000" w:themeColor="text1"/>
          <w14:textFill>
            <w14:solidFill>
              <w14:schemeClr w14:val="tx1"/>
            </w14:solidFill>
          </w14:textFill>
        </w:rPr>
      </w:pPr>
      <w:bookmarkStart w:id="516" w:name="_Toc46412430"/>
      <w:bookmarkStart w:id="517" w:name="_Toc48853100"/>
      <w:bookmarkStart w:id="518" w:name="_Toc21734"/>
      <w:bookmarkStart w:id="519" w:name="_Toc247527590"/>
      <w:bookmarkStart w:id="520" w:name="_Toc152042341"/>
      <w:bookmarkStart w:id="521" w:name="_Toc48853308"/>
      <w:bookmarkStart w:id="522" w:name="_Toc46412092"/>
      <w:bookmarkStart w:id="523" w:name="_Toc11719"/>
      <w:bookmarkStart w:id="524" w:name="_Toc247513989"/>
      <w:bookmarkStart w:id="525" w:name="_Toc144974533"/>
      <w:bookmarkStart w:id="526" w:name="_Toc152045565"/>
      <w:r>
        <w:rPr>
          <w:rFonts w:hint="eastAsia" w:ascii="宋体" w:eastAsia="宋体" w:cs="宋体"/>
          <w:color w:val="000000" w:themeColor="text1"/>
          <w14:textFill>
            <w14:solidFill>
              <w14:schemeClr w14:val="tx1"/>
            </w14:solidFill>
          </w14:textFill>
        </w:rPr>
        <w:t>6.3 评标</w:t>
      </w:r>
      <w:bookmarkEnd w:id="516"/>
      <w:bookmarkEnd w:id="517"/>
      <w:bookmarkEnd w:id="518"/>
      <w:bookmarkEnd w:id="519"/>
      <w:bookmarkEnd w:id="520"/>
      <w:bookmarkEnd w:id="521"/>
      <w:bookmarkEnd w:id="522"/>
      <w:bookmarkEnd w:id="523"/>
      <w:bookmarkEnd w:id="524"/>
      <w:bookmarkEnd w:id="525"/>
      <w:bookmarkEnd w:id="526"/>
    </w:p>
    <w:p w14:paraId="2F32246D">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评标委员会按照第三章“评标办法”规定的方法、评审因素、标准和程序对投标文件进行评审。第三章“评标办法”没有规定的方法、评审因素和标准，不作为评标依据。</w:t>
      </w:r>
    </w:p>
    <w:p w14:paraId="23ADDD1E">
      <w:pPr>
        <w:pStyle w:val="3"/>
        <w:rPr>
          <w:rFonts w:hint="eastAsia" w:ascii="宋体" w:hAnsi="宋体" w:eastAsia="宋体" w:cs="宋体"/>
          <w:color w:val="000000" w:themeColor="text1"/>
          <w14:textFill>
            <w14:solidFill>
              <w14:schemeClr w14:val="tx1"/>
            </w14:solidFill>
          </w14:textFill>
        </w:rPr>
      </w:pPr>
      <w:bookmarkStart w:id="527" w:name="_Toc152045566"/>
      <w:bookmarkStart w:id="528" w:name="_Toc247527591"/>
      <w:bookmarkStart w:id="529" w:name="_Toc48853309"/>
      <w:bookmarkStart w:id="530" w:name="_Toc152042342"/>
      <w:bookmarkStart w:id="531" w:name="_Toc48853101"/>
      <w:bookmarkStart w:id="532" w:name="_Toc20540"/>
      <w:bookmarkStart w:id="533" w:name="_Toc46412093"/>
      <w:bookmarkStart w:id="534" w:name="_Toc46412431"/>
      <w:bookmarkStart w:id="535" w:name="_Toc23582"/>
      <w:bookmarkStart w:id="536" w:name="_Toc144974534"/>
      <w:bookmarkStart w:id="537" w:name="_Toc247513990"/>
      <w:r>
        <w:rPr>
          <w:rFonts w:hint="eastAsia" w:ascii="宋体" w:hAnsi="宋体" w:eastAsia="宋体" w:cs="宋体"/>
          <w:color w:val="000000" w:themeColor="text1"/>
          <w14:textFill>
            <w14:solidFill>
              <w14:schemeClr w14:val="tx1"/>
            </w14:solidFill>
          </w14:textFill>
        </w:rPr>
        <w:t>7. 合同授予</w:t>
      </w:r>
      <w:bookmarkEnd w:id="527"/>
      <w:bookmarkEnd w:id="528"/>
      <w:bookmarkEnd w:id="529"/>
      <w:bookmarkEnd w:id="530"/>
      <w:bookmarkEnd w:id="531"/>
      <w:bookmarkEnd w:id="532"/>
      <w:bookmarkEnd w:id="533"/>
      <w:bookmarkEnd w:id="534"/>
      <w:bookmarkEnd w:id="535"/>
      <w:bookmarkEnd w:id="536"/>
      <w:bookmarkEnd w:id="537"/>
    </w:p>
    <w:p w14:paraId="0647B1B3">
      <w:pPr>
        <w:pStyle w:val="4"/>
        <w:rPr>
          <w:rFonts w:hint="eastAsia" w:ascii="宋体" w:eastAsia="宋体" w:cs="宋体"/>
          <w:color w:val="000000" w:themeColor="text1"/>
          <w14:textFill>
            <w14:solidFill>
              <w14:schemeClr w14:val="tx1"/>
            </w14:solidFill>
          </w14:textFill>
        </w:rPr>
      </w:pPr>
      <w:bookmarkStart w:id="538" w:name="_Toc48853102"/>
      <w:bookmarkStart w:id="539" w:name="_Toc247513991"/>
      <w:bookmarkStart w:id="540" w:name="_Toc9441"/>
      <w:bookmarkStart w:id="541" w:name="_Toc152042343"/>
      <w:bookmarkStart w:id="542" w:name="_Toc46412432"/>
      <w:bookmarkStart w:id="543" w:name="_Toc48853310"/>
      <w:bookmarkStart w:id="544" w:name="_Toc6178"/>
      <w:bookmarkStart w:id="545" w:name="_Toc144974535"/>
      <w:bookmarkStart w:id="546" w:name="_Toc152045567"/>
      <w:bookmarkStart w:id="547" w:name="_Toc247527592"/>
      <w:bookmarkStart w:id="548" w:name="_Toc46412094"/>
      <w:r>
        <w:rPr>
          <w:rFonts w:hint="eastAsia" w:ascii="宋体" w:eastAsia="宋体" w:cs="宋体"/>
          <w:color w:val="000000" w:themeColor="text1"/>
          <w14:textFill>
            <w14:solidFill>
              <w14:schemeClr w14:val="tx1"/>
            </w14:solidFill>
          </w14:textFill>
        </w:rPr>
        <w:t>7.1 定标方式</w:t>
      </w:r>
      <w:bookmarkEnd w:id="538"/>
      <w:bookmarkEnd w:id="539"/>
      <w:bookmarkEnd w:id="540"/>
      <w:bookmarkEnd w:id="541"/>
      <w:bookmarkEnd w:id="542"/>
      <w:bookmarkEnd w:id="543"/>
      <w:bookmarkEnd w:id="544"/>
      <w:bookmarkEnd w:id="545"/>
      <w:bookmarkEnd w:id="546"/>
      <w:bookmarkEnd w:id="547"/>
      <w:bookmarkEnd w:id="548"/>
    </w:p>
    <w:p w14:paraId="505F3F90">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除投标人须知前附表规定评标委员会直接确定中标人外，招标人依据评标委员会推荐的中标候选人确定中标人，评标委员会推荐中标候选人的人数见投标人须知前附表。</w:t>
      </w:r>
    </w:p>
    <w:p w14:paraId="33C9396F">
      <w:pPr>
        <w:pStyle w:val="4"/>
        <w:rPr>
          <w:rFonts w:hint="eastAsia" w:ascii="宋体" w:eastAsia="宋体" w:cs="宋体"/>
          <w:color w:val="000000" w:themeColor="text1"/>
          <w14:textFill>
            <w14:solidFill>
              <w14:schemeClr w14:val="tx1"/>
            </w14:solidFill>
          </w14:textFill>
        </w:rPr>
      </w:pPr>
      <w:bookmarkStart w:id="549" w:name="_Toc46412433"/>
      <w:bookmarkStart w:id="550" w:name="_Toc17103"/>
      <w:bookmarkStart w:id="551" w:name="_Toc48853311"/>
      <w:bookmarkStart w:id="552" w:name="_Toc28420"/>
      <w:bookmarkStart w:id="553" w:name="_Toc48853103"/>
      <w:bookmarkStart w:id="554" w:name="_Toc46412095"/>
      <w:r>
        <w:rPr>
          <w:rFonts w:hint="eastAsia" w:ascii="宋体" w:eastAsia="宋体" w:cs="宋体"/>
          <w:color w:val="000000" w:themeColor="text1"/>
          <w14:textFill>
            <w14:solidFill>
              <w14:schemeClr w14:val="tx1"/>
            </w14:solidFill>
          </w14:textFill>
        </w:rPr>
        <w:t>7.2 中标候选人公示</w:t>
      </w:r>
      <w:bookmarkEnd w:id="549"/>
      <w:bookmarkEnd w:id="550"/>
      <w:bookmarkEnd w:id="551"/>
      <w:bookmarkEnd w:id="552"/>
      <w:bookmarkEnd w:id="553"/>
      <w:bookmarkEnd w:id="554"/>
    </w:p>
    <w:p w14:paraId="577E0169">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招标人在投标人须知前附表规定的媒介公示中标候选人。</w:t>
      </w:r>
    </w:p>
    <w:p w14:paraId="3CB103A9">
      <w:pPr>
        <w:pStyle w:val="4"/>
        <w:rPr>
          <w:rFonts w:hint="eastAsia" w:ascii="宋体" w:eastAsia="宋体" w:cs="宋体"/>
          <w:color w:val="000000" w:themeColor="text1"/>
          <w14:textFill>
            <w14:solidFill>
              <w14:schemeClr w14:val="tx1"/>
            </w14:solidFill>
          </w14:textFill>
        </w:rPr>
      </w:pPr>
      <w:bookmarkStart w:id="555" w:name="_Toc19232"/>
      <w:bookmarkStart w:id="556" w:name="_Toc46412434"/>
      <w:bookmarkStart w:id="557" w:name="_Toc46412096"/>
      <w:bookmarkStart w:id="558" w:name="_Toc48853104"/>
      <w:bookmarkStart w:id="559" w:name="_Toc144974536"/>
      <w:bookmarkStart w:id="560" w:name="_Toc247513992"/>
      <w:bookmarkStart w:id="561" w:name="_Toc152045568"/>
      <w:bookmarkStart w:id="562" w:name="_Toc48853312"/>
      <w:bookmarkStart w:id="563" w:name="_Toc9288"/>
      <w:bookmarkStart w:id="564" w:name="_Toc247527593"/>
      <w:bookmarkStart w:id="565" w:name="_Toc152042344"/>
      <w:r>
        <w:rPr>
          <w:rFonts w:hint="eastAsia" w:ascii="宋体" w:eastAsia="宋体" w:cs="宋体"/>
          <w:color w:val="000000" w:themeColor="text1"/>
          <w14:textFill>
            <w14:solidFill>
              <w14:schemeClr w14:val="tx1"/>
            </w14:solidFill>
          </w14:textFill>
        </w:rPr>
        <w:t>7.3 中标通知</w:t>
      </w:r>
      <w:bookmarkEnd w:id="555"/>
      <w:bookmarkEnd w:id="556"/>
      <w:bookmarkEnd w:id="557"/>
      <w:bookmarkEnd w:id="558"/>
      <w:bookmarkEnd w:id="559"/>
      <w:bookmarkEnd w:id="560"/>
      <w:bookmarkEnd w:id="561"/>
      <w:bookmarkEnd w:id="562"/>
      <w:bookmarkEnd w:id="563"/>
      <w:bookmarkEnd w:id="564"/>
      <w:bookmarkEnd w:id="565"/>
    </w:p>
    <w:p w14:paraId="4F105E6B">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在本章第3.3款规定的投标有效期内，招标人以书面形式向中标人发出中标通知书，同时将中标结果通知未中标的投标人。中标通知书按本章附表格式填写。</w:t>
      </w:r>
    </w:p>
    <w:p w14:paraId="69578DA8">
      <w:pPr>
        <w:pStyle w:val="4"/>
        <w:rPr>
          <w:rFonts w:hint="eastAsia" w:ascii="宋体" w:eastAsia="宋体" w:cs="宋体"/>
          <w:color w:val="000000" w:themeColor="text1"/>
          <w14:textFill>
            <w14:solidFill>
              <w14:schemeClr w14:val="tx1"/>
            </w14:solidFill>
          </w14:textFill>
        </w:rPr>
      </w:pPr>
      <w:bookmarkStart w:id="566" w:name="_Toc46412435"/>
      <w:bookmarkStart w:id="567" w:name="_Toc46412097"/>
      <w:bookmarkStart w:id="568" w:name="_Toc247513993"/>
      <w:bookmarkStart w:id="569" w:name="_Toc48853105"/>
      <w:bookmarkStart w:id="570" w:name="_Toc152042345"/>
      <w:bookmarkStart w:id="571" w:name="_Toc247527594"/>
      <w:bookmarkStart w:id="572" w:name="_Toc1699"/>
      <w:bookmarkStart w:id="573" w:name="_Toc10961"/>
      <w:bookmarkStart w:id="574" w:name="_Toc144974537"/>
      <w:bookmarkStart w:id="575" w:name="_Toc48853313"/>
      <w:bookmarkStart w:id="576" w:name="_Toc152045569"/>
      <w:r>
        <w:rPr>
          <w:rFonts w:hint="eastAsia" w:ascii="宋体" w:eastAsia="宋体" w:cs="宋体"/>
          <w:color w:val="000000" w:themeColor="text1"/>
          <w14:textFill>
            <w14:solidFill>
              <w14:schemeClr w14:val="tx1"/>
            </w14:solidFill>
          </w14:textFill>
        </w:rPr>
        <w:t>7.4 履约担保</w:t>
      </w:r>
      <w:bookmarkEnd w:id="566"/>
      <w:bookmarkEnd w:id="567"/>
      <w:bookmarkEnd w:id="568"/>
      <w:bookmarkEnd w:id="569"/>
      <w:bookmarkEnd w:id="570"/>
      <w:bookmarkEnd w:id="571"/>
      <w:bookmarkEnd w:id="572"/>
      <w:bookmarkEnd w:id="573"/>
      <w:bookmarkEnd w:id="574"/>
      <w:bookmarkEnd w:id="575"/>
      <w:bookmarkEnd w:id="576"/>
    </w:p>
    <w:p w14:paraId="65E06CCA">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7.4.1 在签订合同前，中标人应按投标人须知前附表规定的担保形式、金额和招标文件第四章“合同条款及格式”规定的或者事先经过招标人书面认可的履约担保格式向招标人提交履约担保。联合体中标的，其履约担保由联合体各方或者联合体中牵头人的名义提交。</w:t>
      </w:r>
    </w:p>
    <w:p w14:paraId="02E879A7">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7.4.2 中标人不能按本章第7.4.1项要求提交履约担保的，视为放弃中标，按《中华人民共和国招标投标法实施条例》第七十四条规定，投标保证金不予退还，给招标人造成的损失超过投标保证金数额的，中标人还应当对超过部分予以赔偿。</w:t>
      </w:r>
    </w:p>
    <w:p w14:paraId="1A3E29C0">
      <w:pPr>
        <w:pStyle w:val="4"/>
        <w:rPr>
          <w:rFonts w:hint="eastAsia" w:ascii="宋体" w:eastAsia="宋体" w:cs="宋体"/>
          <w:color w:val="000000" w:themeColor="text1"/>
          <w14:textFill>
            <w14:solidFill>
              <w14:schemeClr w14:val="tx1"/>
            </w14:solidFill>
          </w14:textFill>
        </w:rPr>
      </w:pPr>
      <w:bookmarkStart w:id="577" w:name="_Toc152045570"/>
      <w:bookmarkStart w:id="578" w:name="_Toc11452"/>
      <w:bookmarkStart w:id="579" w:name="_Toc152042346"/>
      <w:bookmarkStart w:id="580" w:name="_Toc24973"/>
      <w:bookmarkStart w:id="581" w:name="_Toc247527595"/>
      <w:bookmarkStart w:id="582" w:name="_Toc46412436"/>
      <w:bookmarkStart w:id="583" w:name="_Toc48853106"/>
      <w:bookmarkStart w:id="584" w:name="_Toc247513994"/>
      <w:bookmarkStart w:id="585" w:name="_Toc48853314"/>
      <w:bookmarkStart w:id="586" w:name="_Toc46412098"/>
      <w:bookmarkStart w:id="587" w:name="_Toc144974538"/>
      <w:r>
        <w:rPr>
          <w:rFonts w:hint="eastAsia" w:ascii="宋体" w:eastAsia="宋体" w:cs="宋体"/>
          <w:color w:val="000000" w:themeColor="text1"/>
          <w14:textFill>
            <w14:solidFill>
              <w14:schemeClr w14:val="tx1"/>
            </w14:solidFill>
          </w14:textFill>
        </w:rPr>
        <w:t>7.5 签订合同</w:t>
      </w:r>
      <w:bookmarkEnd w:id="577"/>
      <w:bookmarkEnd w:id="578"/>
      <w:bookmarkEnd w:id="579"/>
      <w:bookmarkEnd w:id="580"/>
      <w:bookmarkEnd w:id="581"/>
      <w:bookmarkEnd w:id="582"/>
      <w:bookmarkEnd w:id="583"/>
      <w:bookmarkEnd w:id="584"/>
      <w:bookmarkEnd w:id="585"/>
      <w:bookmarkEnd w:id="586"/>
      <w:bookmarkEnd w:id="587"/>
    </w:p>
    <w:p w14:paraId="2D19AC79">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7.5.1 招标人和中标人应当自中标通知书发出之日起30天内，根据招标文件和中标人的投标文件订立书面合同。中标人无正当理由拒签合同的，招标人取消其中标资格，其投标保证金不予退还；给招标人造成的损失超过投标保证金数额的，中标人还应当对超过部分予以赔偿。 </w:t>
      </w:r>
    </w:p>
    <w:p w14:paraId="7E71C0D3">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7.5.2 发出中标通知书后，招标人无正当理由拒签合同的，招标人向中标人退还投标保证金；给中标人造成损失的，还应当赔偿损失。 </w:t>
      </w:r>
    </w:p>
    <w:p w14:paraId="1A32DD37">
      <w:pPr>
        <w:pStyle w:val="3"/>
        <w:rPr>
          <w:rFonts w:hint="eastAsia" w:ascii="宋体" w:hAnsi="宋体" w:eastAsia="宋体" w:cs="宋体"/>
          <w:color w:val="000000" w:themeColor="text1"/>
          <w14:textFill>
            <w14:solidFill>
              <w14:schemeClr w14:val="tx1"/>
            </w14:solidFill>
          </w14:textFill>
        </w:rPr>
      </w:pPr>
      <w:bookmarkStart w:id="588" w:name="_Toc247527596"/>
      <w:bookmarkStart w:id="589" w:name="_Toc144974539"/>
      <w:bookmarkStart w:id="590" w:name="_Toc152042347"/>
      <w:bookmarkStart w:id="591" w:name="_Toc247513995"/>
      <w:bookmarkStart w:id="592" w:name="_Toc152045571"/>
      <w:bookmarkStart w:id="593" w:name="_Toc46412437"/>
      <w:bookmarkStart w:id="594" w:name="_Toc48853315"/>
      <w:bookmarkStart w:id="595" w:name="_Toc25394"/>
      <w:bookmarkStart w:id="596" w:name="_Toc46412099"/>
      <w:bookmarkStart w:id="597" w:name="_Toc29072"/>
      <w:bookmarkStart w:id="598" w:name="_Toc48853107"/>
      <w:r>
        <w:rPr>
          <w:rFonts w:hint="eastAsia" w:ascii="宋体" w:hAnsi="宋体" w:eastAsia="宋体" w:cs="宋体"/>
          <w:color w:val="000000" w:themeColor="text1"/>
          <w14:textFill>
            <w14:solidFill>
              <w14:schemeClr w14:val="tx1"/>
            </w14:solidFill>
          </w14:textFill>
        </w:rPr>
        <w:t>8.</w:t>
      </w:r>
      <w:bookmarkEnd w:id="588"/>
      <w:bookmarkEnd w:id="589"/>
      <w:bookmarkEnd w:id="590"/>
      <w:bookmarkEnd w:id="591"/>
      <w:bookmarkEnd w:id="592"/>
      <w:bookmarkStart w:id="599" w:name="_Toc152045574"/>
      <w:bookmarkStart w:id="600" w:name="_Toc247527599"/>
      <w:bookmarkStart w:id="601" w:name="_Toc152042350"/>
      <w:bookmarkStart w:id="602" w:name="_Toc247513998"/>
      <w:bookmarkStart w:id="603" w:name="_Toc144974542"/>
      <w:r>
        <w:rPr>
          <w:rFonts w:hint="eastAsia" w:ascii="宋体" w:hAnsi="宋体" w:eastAsia="宋体" w:cs="宋体"/>
          <w:color w:val="000000" w:themeColor="text1"/>
          <w14:textFill>
            <w14:solidFill>
              <w14:schemeClr w14:val="tx1"/>
            </w14:solidFill>
          </w14:textFill>
        </w:rPr>
        <w:t xml:space="preserve"> 纪律和监督</w:t>
      </w:r>
      <w:bookmarkEnd w:id="593"/>
      <w:bookmarkEnd w:id="594"/>
      <w:bookmarkEnd w:id="595"/>
      <w:bookmarkEnd w:id="596"/>
      <w:bookmarkEnd w:id="597"/>
      <w:bookmarkEnd w:id="598"/>
      <w:bookmarkEnd w:id="599"/>
      <w:bookmarkEnd w:id="600"/>
      <w:bookmarkEnd w:id="601"/>
      <w:bookmarkEnd w:id="602"/>
      <w:bookmarkEnd w:id="603"/>
    </w:p>
    <w:p w14:paraId="6154EB25">
      <w:pPr>
        <w:pStyle w:val="4"/>
        <w:rPr>
          <w:rFonts w:hint="eastAsia" w:ascii="宋体" w:eastAsia="宋体" w:cs="宋体"/>
          <w:color w:val="000000" w:themeColor="text1"/>
          <w14:textFill>
            <w14:solidFill>
              <w14:schemeClr w14:val="tx1"/>
            </w14:solidFill>
          </w14:textFill>
        </w:rPr>
      </w:pPr>
      <w:bookmarkStart w:id="604" w:name="_Toc152042351"/>
      <w:bookmarkStart w:id="605" w:name="_Toc152045575"/>
      <w:bookmarkStart w:id="606" w:name="_Toc48853316"/>
      <w:bookmarkStart w:id="607" w:name="_Toc48853108"/>
      <w:bookmarkStart w:id="608" w:name="_Toc144974543"/>
      <w:bookmarkStart w:id="609" w:name="_Toc247513999"/>
      <w:bookmarkStart w:id="610" w:name="_Toc247527600"/>
      <w:bookmarkStart w:id="611" w:name="_Toc28062"/>
      <w:bookmarkStart w:id="612" w:name="_Toc46412438"/>
      <w:bookmarkStart w:id="613" w:name="_Toc46412100"/>
      <w:bookmarkStart w:id="614" w:name="_Toc11057"/>
      <w:r>
        <w:rPr>
          <w:rFonts w:hint="eastAsia" w:ascii="宋体" w:eastAsia="宋体" w:cs="宋体"/>
          <w:color w:val="000000" w:themeColor="text1"/>
          <w14:textFill>
            <w14:solidFill>
              <w14:schemeClr w14:val="tx1"/>
            </w14:solidFill>
          </w14:textFill>
        </w:rPr>
        <w:t>8.1 对招标人的纪律要求</w:t>
      </w:r>
      <w:bookmarkEnd w:id="604"/>
      <w:bookmarkEnd w:id="605"/>
      <w:bookmarkEnd w:id="606"/>
      <w:bookmarkEnd w:id="607"/>
      <w:bookmarkEnd w:id="608"/>
      <w:bookmarkEnd w:id="609"/>
      <w:bookmarkEnd w:id="610"/>
      <w:bookmarkEnd w:id="611"/>
      <w:bookmarkEnd w:id="612"/>
      <w:bookmarkEnd w:id="613"/>
      <w:bookmarkEnd w:id="614"/>
    </w:p>
    <w:p w14:paraId="608A008D">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招标人不得泄露招标投标活动中应当保密的情况和资料，不得与投标人串通损害国家利益、社会公共利益或者他人合法权益。</w:t>
      </w:r>
    </w:p>
    <w:p w14:paraId="732D3681">
      <w:pPr>
        <w:pStyle w:val="4"/>
        <w:rPr>
          <w:rFonts w:hint="eastAsia" w:ascii="宋体" w:eastAsia="宋体" w:cs="宋体"/>
          <w:color w:val="000000" w:themeColor="text1"/>
          <w14:textFill>
            <w14:solidFill>
              <w14:schemeClr w14:val="tx1"/>
            </w14:solidFill>
          </w14:textFill>
        </w:rPr>
      </w:pPr>
      <w:bookmarkStart w:id="615" w:name="_Toc144974544"/>
      <w:bookmarkStart w:id="616" w:name="_Toc247527601"/>
      <w:bookmarkStart w:id="617" w:name="_Toc7555"/>
      <w:bookmarkStart w:id="618" w:name="_Toc48853109"/>
      <w:bookmarkStart w:id="619" w:name="_Toc48853317"/>
      <w:bookmarkStart w:id="620" w:name="_Toc46412439"/>
      <w:bookmarkStart w:id="621" w:name="_Toc46412101"/>
      <w:bookmarkStart w:id="622" w:name="_Toc152042352"/>
      <w:bookmarkStart w:id="623" w:name="_Toc247514000"/>
      <w:bookmarkStart w:id="624" w:name="_Toc23969"/>
      <w:bookmarkStart w:id="625" w:name="_Toc152045576"/>
      <w:r>
        <w:rPr>
          <w:rFonts w:hint="eastAsia" w:ascii="宋体" w:eastAsia="宋体" w:cs="宋体"/>
          <w:color w:val="000000" w:themeColor="text1"/>
          <w14:textFill>
            <w14:solidFill>
              <w14:schemeClr w14:val="tx1"/>
            </w14:solidFill>
          </w14:textFill>
        </w:rPr>
        <w:t>8.2 对投标人的纪律要求</w:t>
      </w:r>
      <w:bookmarkEnd w:id="615"/>
      <w:bookmarkEnd w:id="616"/>
      <w:bookmarkEnd w:id="617"/>
      <w:bookmarkEnd w:id="618"/>
      <w:bookmarkEnd w:id="619"/>
      <w:bookmarkEnd w:id="620"/>
      <w:bookmarkEnd w:id="621"/>
      <w:bookmarkEnd w:id="622"/>
      <w:bookmarkEnd w:id="623"/>
      <w:bookmarkEnd w:id="624"/>
      <w:bookmarkEnd w:id="625"/>
    </w:p>
    <w:p w14:paraId="50AE5704">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06FBB226">
      <w:pPr>
        <w:pStyle w:val="4"/>
        <w:rPr>
          <w:rFonts w:hint="eastAsia" w:ascii="宋体" w:eastAsia="宋体" w:cs="宋体"/>
          <w:color w:val="000000" w:themeColor="text1"/>
          <w14:textFill>
            <w14:solidFill>
              <w14:schemeClr w14:val="tx1"/>
            </w14:solidFill>
          </w14:textFill>
        </w:rPr>
      </w:pPr>
      <w:bookmarkStart w:id="626" w:name="_Toc48853110"/>
      <w:bookmarkStart w:id="627" w:name="_Toc152045577"/>
      <w:bookmarkStart w:id="628" w:name="_Toc152042353"/>
      <w:bookmarkStart w:id="629" w:name="_Toc48853318"/>
      <w:bookmarkStart w:id="630" w:name="_Toc247527602"/>
      <w:bookmarkStart w:id="631" w:name="_Toc46412440"/>
      <w:bookmarkStart w:id="632" w:name="_Toc144974545"/>
      <w:bookmarkStart w:id="633" w:name="_Toc247514001"/>
      <w:bookmarkStart w:id="634" w:name="_Toc5216"/>
      <w:bookmarkStart w:id="635" w:name="_Toc21945"/>
      <w:bookmarkStart w:id="636" w:name="_Toc46412102"/>
      <w:r>
        <w:rPr>
          <w:rFonts w:hint="eastAsia" w:ascii="宋体" w:eastAsia="宋体" w:cs="宋体"/>
          <w:color w:val="000000" w:themeColor="text1"/>
          <w14:textFill>
            <w14:solidFill>
              <w14:schemeClr w14:val="tx1"/>
            </w14:solidFill>
          </w14:textFill>
        </w:rPr>
        <w:t>8.3 对评标委员会成员的纪律要求</w:t>
      </w:r>
      <w:bookmarkEnd w:id="626"/>
      <w:bookmarkEnd w:id="627"/>
      <w:bookmarkEnd w:id="628"/>
      <w:bookmarkEnd w:id="629"/>
      <w:bookmarkEnd w:id="630"/>
      <w:bookmarkEnd w:id="631"/>
      <w:bookmarkEnd w:id="632"/>
      <w:bookmarkEnd w:id="633"/>
      <w:bookmarkEnd w:id="634"/>
      <w:bookmarkEnd w:id="635"/>
      <w:bookmarkEnd w:id="636"/>
    </w:p>
    <w:p w14:paraId="156798CA">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评标办法”没有规定的评审因素和标准进行评标。</w:t>
      </w:r>
    </w:p>
    <w:p w14:paraId="715627C5">
      <w:pPr>
        <w:pStyle w:val="4"/>
        <w:rPr>
          <w:rFonts w:hint="eastAsia" w:ascii="宋体" w:eastAsia="宋体" w:cs="宋体"/>
          <w:color w:val="000000" w:themeColor="text1"/>
          <w14:textFill>
            <w14:solidFill>
              <w14:schemeClr w14:val="tx1"/>
            </w14:solidFill>
          </w14:textFill>
        </w:rPr>
      </w:pPr>
      <w:bookmarkStart w:id="637" w:name="_Toc29499"/>
      <w:bookmarkStart w:id="638" w:name="_Toc48853111"/>
      <w:bookmarkStart w:id="639" w:name="_Toc1021"/>
      <w:bookmarkStart w:id="640" w:name="_Toc247514002"/>
      <w:bookmarkStart w:id="641" w:name="_Toc247527603"/>
      <w:bookmarkStart w:id="642" w:name="_Toc152042354"/>
      <w:bookmarkStart w:id="643" w:name="_Toc46412103"/>
      <w:bookmarkStart w:id="644" w:name="_Toc46412441"/>
      <w:bookmarkStart w:id="645" w:name="_Toc48853319"/>
      <w:bookmarkStart w:id="646" w:name="_Toc152045578"/>
      <w:bookmarkStart w:id="647" w:name="_Toc144974546"/>
      <w:r>
        <w:rPr>
          <w:rFonts w:hint="eastAsia" w:ascii="宋体" w:eastAsia="宋体" w:cs="宋体"/>
          <w:color w:val="000000" w:themeColor="text1"/>
          <w14:textFill>
            <w14:solidFill>
              <w14:schemeClr w14:val="tx1"/>
            </w14:solidFill>
          </w14:textFill>
        </w:rPr>
        <w:t>8.4 对与评标活动有关的工作人员的纪律要求</w:t>
      </w:r>
      <w:bookmarkEnd w:id="637"/>
      <w:bookmarkEnd w:id="638"/>
      <w:bookmarkEnd w:id="639"/>
      <w:bookmarkEnd w:id="640"/>
      <w:bookmarkEnd w:id="641"/>
      <w:bookmarkEnd w:id="642"/>
      <w:bookmarkEnd w:id="643"/>
      <w:bookmarkEnd w:id="644"/>
      <w:bookmarkEnd w:id="645"/>
      <w:bookmarkEnd w:id="646"/>
    </w:p>
    <w:p w14:paraId="3BC1C4A0">
      <w:pPr>
        <w:spacing w:line="400" w:lineRule="exact"/>
        <w:ind w:firstLine="420" w:firstLineChars="200"/>
        <w:rPr>
          <w:rFonts w:hint="eastAsia" w:ascii="宋体" w:hAnsi="宋体" w:cs="宋体"/>
          <w:color w:val="000000" w:themeColor="text1"/>
          <w14:textFill>
            <w14:solidFill>
              <w14:schemeClr w14:val="tx1"/>
            </w14:solidFill>
          </w14:textFill>
        </w:rPr>
      </w:pPr>
      <w:bookmarkStart w:id="648" w:name="_Toc152042355"/>
      <w:r>
        <w:rPr>
          <w:rFonts w:hint="eastAsia" w:ascii="宋体" w:hAnsi="宋体" w:cs="宋体"/>
          <w:color w:val="000000" w:themeColor="text1"/>
          <w14:textFill>
            <w14:solidFill>
              <w14:schemeClr w14:val="tx1"/>
            </w14:solidFill>
          </w14:textFill>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bookmarkEnd w:id="648"/>
    </w:p>
    <w:p w14:paraId="6E2A0F1F">
      <w:pPr>
        <w:pStyle w:val="4"/>
        <w:rPr>
          <w:rFonts w:hint="eastAsia" w:ascii="宋体" w:eastAsia="宋体" w:cs="宋体"/>
          <w:color w:val="000000" w:themeColor="text1"/>
          <w14:textFill>
            <w14:solidFill>
              <w14:schemeClr w14:val="tx1"/>
            </w14:solidFill>
          </w14:textFill>
        </w:rPr>
      </w:pPr>
      <w:bookmarkStart w:id="649" w:name="_Toc152045579"/>
      <w:bookmarkStart w:id="650" w:name="_Toc152042356"/>
      <w:bookmarkStart w:id="651" w:name="_Toc247514003"/>
      <w:bookmarkStart w:id="652" w:name="_Toc48853112"/>
      <w:bookmarkStart w:id="653" w:name="_Toc247527604"/>
      <w:bookmarkStart w:id="654" w:name="_Toc16246"/>
      <w:bookmarkStart w:id="655" w:name="_Toc46412104"/>
      <w:bookmarkStart w:id="656" w:name="_Toc46412442"/>
      <w:bookmarkStart w:id="657" w:name="_Toc48853320"/>
      <w:bookmarkStart w:id="658" w:name="_Toc11974"/>
      <w:r>
        <w:rPr>
          <w:rFonts w:hint="eastAsia" w:ascii="宋体" w:eastAsia="宋体" w:cs="宋体"/>
          <w:color w:val="000000" w:themeColor="text1"/>
          <w14:textFill>
            <w14:solidFill>
              <w14:schemeClr w14:val="tx1"/>
            </w14:solidFill>
          </w14:textFill>
        </w:rPr>
        <w:t>8.5 投诉</w:t>
      </w:r>
      <w:bookmarkEnd w:id="647"/>
      <w:bookmarkEnd w:id="649"/>
      <w:bookmarkEnd w:id="650"/>
      <w:bookmarkEnd w:id="651"/>
      <w:bookmarkEnd w:id="652"/>
      <w:bookmarkEnd w:id="653"/>
      <w:bookmarkEnd w:id="654"/>
      <w:bookmarkEnd w:id="655"/>
      <w:bookmarkEnd w:id="656"/>
      <w:bookmarkEnd w:id="657"/>
      <w:bookmarkEnd w:id="658"/>
    </w:p>
    <w:p w14:paraId="717C9842">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投标人和其他利害关系人认为本次招标活动违反法律法规和规章规定的，有权向有关行政监督部门投诉。</w:t>
      </w:r>
    </w:p>
    <w:p w14:paraId="4E3BEC37">
      <w:pPr>
        <w:pStyle w:val="3"/>
        <w:rPr>
          <w:rFonts w:hint="eastAsia" w:ascii="宋体" w:hAnsi="宋体" w:eastAsia="宋体" w:cs="宋体"/>
          <w:color w:val="000000" w:themeColor="text1"/>
          <w14:textFill>
            <w14:solidFill>
              <w14:schemeClr w14:val="tx1"/>
            </w14:solidFill>
          </w14:textFill>
        </w:rPr>
      </w:pPr>
      <w:bookmarkStart w:id="659" w:name="_Toc46412105"/>
      <w:bookmarkStart w:id="660" w:name="_Toc48853113"/>
      <w:bookmarkStart w:id="661" w:name="_Toc247527605"/>
      <w:bookmarkStart w:id="662" w:name="_Toc247514004"/>
      <w:bookmarkStart w:id="663" w:name="_Toc4003"/>
      <w:bookmarkStart w:id="664" w:name="_Toc152045580"/>
      <w:bookmarkStart w:id="665" w:name="_Toc46412443"/>
      <w:bookmarkStart w:id="666" w:name="_Toc144974547"/>
      <w:bookmarkStart w:id="667" w:name="_Toc6473"/>
      <w:bookmarkStart w:id="668" w:name="_Toc48853321"/>
      <w:bookmarkStart w:id="669" w:name="_Toc152042357"/>
      <w:r>
        <w:rPr>
          <w:rFonts w:hint="eastAsia" w:ascii="宋体" w:hAnsi="宋体" w:eastAsia="宋体" w:cs="宋体"/>
          <w:color w:val="000000" w:themeColor="text1"/>
          <w14:textFill>
            <w14:solidFill>
              <w14:schemeClr w14:val="tx1"/>
            </w14:solidFill>
          </w14:textFill>
        </w:rPr>
        <w:t>9. 需要补充的其他内容</w:t>
      </w:r>
      <w:bookmarkEnd w:id="659"/>
      <w:bookmarkEnd w:id="660"/>
      <w:bookmarkEnd w:id="661"/>
      <w:bookmarkEnd w:id="662"/>
      <w:bookmarkEnd w:id="663"/>
      <w:bookmarkEnd w:id="664"/>
      <w:bookmarkEnd w:id="665"/>
      <w:bookmarkEnd w:id="666"/>
      <w:bookmarkEnd w:id="667"/>
      <w:bookmarkEnd w:id="668"/>
      <w:bookmarkEnd w:id="669"/>
    </w:p>
    <w:p w14:paraId="37DE24A4">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需要补充的其他内容：见投标人须知前附表。</w:t>
      </w:r>
    </w:p>
    <w:p w14:paraId="50AB479C">
      <w:pPr>
        <w:spacing w:line="400" w:lineRule="exact"/>
        <w:rPr>
          <w:rFonts w:hint="eastAsia" w:ascii="宋体" w:hAnsi="宋体" w:cs="宋体"/>
          <w:color w:val="000000" w:themeColor="text1"/>
          <w14:textFill>
            <w14:solidFill>
              <w14:schemeClr w14:val="tx1"/>
            </w14:solidFill>
          </w14:textFill>
        </w:rPr>
        <w:sectPr>
          <w:pgSz w:w="11906" w:h="16838"/>
          <w:pgMar w:top="993" w:right="1052" w:bottom="1106" w:left="1414" w:header="567" w:footer="567" w:gutter="0"/>
          <w:pgNumType w:fmt="decimal"/>
          <w:cols w:space="720" w:num="1"/>
          <w:docGrid w:type="lines" w:linePitch="312" w:charSpace="0"/>
        </w:sectPr>
      </w:pPr>
    </w:p>
    <w:p w14:paraId="75661A93">
      <w:pPr>
        <w:rPr>
          <w:rFonts w:hint="eastAsia" w:ascii="宋体" w:eastAsia="宋体" w:cs="宋体"/>
          <w:color w:val="000000" w:themeColor="text1"/>
          <w14:textFill>
            <w14:solidFill>
              <w14:schemeClr w14:val="tx1"/>
            </w14:solidFill>
          </w14:textFill>
        </w:rPr>
      </w:pPr>
      <w:bookmarkStart w:id="670" w:name="_Toc73459863"/>
      <w:bookmarkStart w:id="671" w:name="_Toc152045581"/>
      <w:bookmarkStart w:id="672" w:name="_Toc2787628"/>
      <w:bookmarkStart w:id="673" w:name="_Toc247527606"/>
      <w:bookmarkStart w:id="674" w:name="_Toc247514005"/>
      <w:bookmarkStart w:id="675" w:name="_Toc152042358"/>
      <w:bookmarkStart w:id="676" w:name="_Toc144974548"/>
      <w:bookmarkStart w:id="677" w:name="_Toc9611"/>
      <w:bookmarkStart w:id="678" w:name="_Toc144974549"/>
      <w:bookmarkStart w:id="679" w:name="_Toc152042359"/>
      <w:bookmarkStart w:id="680" w:name="_Toc247514006"/>
      <w:bookmarkStart w:id="681" w:name="_Toc247527607"/>
      <w:bookmarkStart w:id="682" w:name="_Toc152045582"/>
      <w:r>
        <w:rPr>
          <w:rFonts w:hint="eastAsia" w:ascii="宋体" w:eastAsia="宋体" w:cs="宋体"/>
          <w:color w:val="000000" w:themeColor="text1"/>
          <w14:textFill>
            <w14:solidFill>
              <w14:schemeClr w14:val="tx1"/>
            </w14:solidFill>
          </w14:textFill>
        </w:rPr>
        <w:br w:type="page"/>
      </w:r>
    </w:p>
    <w:p w14:paraId="187DF9B1">
      <w:pPr>
        <w:pStyle w:val="4"/>
        <w:spacing w:line="380" w:lineRule="exact"/>
        <w:ind w:firstLine="0" w:firstLineChars="0"/>
        <w:rPr>
          <w:rFonts w:hint="eastAsia" w:ascii="宋体" w:eastAsia="宋体" w:cs="宋体"/>
          <w:color w:val="000000" w:themeColor="text1"/>
          <w14:textFill>
            <w14:solidFill>
              <w14:schemeClr w14:val="tx1"/>
            </w14:solidFill>
          </w14:textFill>
        </w:rPr>
      </w:pPr>
      <w:r>
        <w:rPr>
          <w:rFonts w:hint="eastAsia" w:ascii="宋体" w:eastAsia="宋体" w:cs="宋体"/>
          <w:color w:val="000000" w:themeColor="text1"/>
          <w14:textFill>
            <w14:solidFill>
              <w14:schemeClr w14:val="tx1"/>
            </w14:solidFill>
          </w14:textFill>
        </w:rPr>
        <w:t>附件一：开标记录表</w:t>
      </w:r>
      <w:bookmarkEnd w:id="670"/>
      <w:bookmarkEnd w:id="671"/>
      <w:bookmarkEnd w:id="672"/>
      <w:bookmarkEnd w:id="673"/>
      <w:bookmarkEnd w:id="674"/>
      <w:bookmarkEnd w:id="675"/>
      <w:bookmarkEnd w:id="676"/>
      <w:bookmarkEnd w:id="677"/>
    </w:p>
    <w:p w14:paraId="5A9F9DA3">
      <w:pPr>
        <w:spacing w:line="380" w:lineRule="exact"/>
        <w:jc w:val="cente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u w:val="single"/>
          <w:lang w:eastAsia="zh-CN"/>
          <w14:textFill>
            <w14:solidFill>
              <w14:schemeClr w14:val="tx1"/>
            </w14:solidFill>
          </w14:textFill>
        </w:rPr>
        <w:t>（项目名称）</w:t>
      </w:r>
      <w:r>
        <w:rPr>
          <w:rFonts w:hint="eastAsia" w:ascii="宋体" w:hAnsi="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招标开标记录表</w:t>
      </w:r>
    </w:p>
    <w:p w14:paraId="62A78C53">
      <w:pPr>
        <w:pStyle w:val="16"/>
        <w:rPr>
          <w:rFonts w:hint="eastAsia" w:ascii="宋体" w:hAnsi="宋体" w:cs="宋体"/>
          <w:color w:val="000000" w:themeColor="text1"/>
          <w14:textFill>
            <w14:solidFill>
              <w14:schemeClr w14:val="tx1"/>
            </w14:solidFill>
          </w14:textFill>
        </w:rPr>
      </w:pPr>
    </w:p>
    <w:p w14:paraId="7369FF52">
      <w:pPr>
        <w:spacing w:line="400" w:lineRule="exact"/>
        <w:ind w:right="420" w:firstLine="218" w:firstLineChars="104"/>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开标时间：</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年</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月</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日</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时</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分</w:t>
      </w:r>
    </w:p>
    <w:p w14:paraId="56590E3B">
      <w:pPr>
        <w:spacing w:line="400" w:lineRule="exact"/>
        <w:ind w:right="420" w:firstLine="218" w:firstLineChars="104"/>
        <w:rPr>
          <w:rFonts w:hint="eastAsia" w:ascii="宋体" w:hAnsi="宋体" w:cs="宋体"/>
          <w:color w:val="000000" w:themeColor="text1"/>
          <w14:textFill>
            <w14:solidFill>
              <w14:schemeClr w14:val="tx1"/>
            </w14:solidFill>
          </w14:textFill>
        </w:rPr>
      </w:pPr>
    </w:p>
    <w:p w14:paraId="2186FDF1">
      <w:pPr>
        <w:spacing w:line="400" w:lineRule="exact"/>
        <w:ind w:right="420" w:firstLine="218" w:firstLineChars="104"/>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bl>
      <w:tblPr>
        <w:tblStyle w:val="41"/>
        <w:tblpPr w:leftFromText="180" w:rightFromText="180" w:vertAnchor="page" w:horzAnchor="page" w:tblpX="899" w:tblpY="4526"/>
        <w:tblOverlap w:val="never"/>
        <w:tblW w:w="10341" w:type="dxa"/>
        <w:jc w:val="center"/>
        <w:tblLayout w:type="fixed"/>
        <w:tblCellMar>
          <w:top w:w="0" w:type="dxa"/>
          <w:left w:w="108" w:type="dxa"/>
          <w:bottom w:w="0" w:type="dxa"/>
          <w:right w:w="108" w:type="dxa"/>
        </w:tblCellMar>
      </w:tblPr>
      <w:tblGrid>
        <w:gridCol w:w="435"/>
        <w:gridCol w:w="560"/>
        <w:gridCol w:w="536"/>
        <w:gridCol w:w="366"/>
        <w:gridCol w:w="389"/>
        <w:gridCol w:w="546"/>
        <w:gridCol w:w="534"/>
        <w:gridCol w:w="878"/>
        <w:gridCol w:w="681"/>
        <w:gridCol w:w="727"/>
        <w:gridCol w:w="603"/>
        <w:gridCol w:w="789"/>
        <w:gridCol w:w="716"/>
        <w:gridCol w:w="722"/>
        <w:gridCol w:w="919"/>
        <w:gridCol w:w="940"/>
      </w:tblGrid>
      <w:tr w14:paraId="5FF33433">
        <w:tblPrEx>
          <w:tblCellMar>
            <w:top w:w="0" w:type="dxa"/>
            <w:left w:w="108" w:type="dxa"/>
            <w:bottom w:w="0" w:type="dxa"/>
            <w:right w:w="108" w:type="dxa"/>
          </w:tblCellMar>
        </w:tblPrEx>
        <w:trPr>
          <w:trHeight w:val="1564" w:hRule="atLeast"/>
          <w:jc w:val="center"/>
        </w:trPr>
        <w:tc>
          <w:tcPr>
            <w:tcW w:w="435" w:type="dxa"/>
            <w:tcBorders>
              <w:top w:val="single" w:color="auto" w:sz="4" w:space="0"/>
              <w:left w:val="single" w:color="auto" w:sz="4" w:space="0"/>
              <w:bottom w:val="single" w:color="auto" w:sz="4" w:space="0"/>
              <w:right w:val="single" w:color="auto" w:sz="4" w:space="0"/>
            </w:tcBorders>
            <w:noWrap w:val="0"/>
            <w:vAlign w:val="center"/>
          </w:tcPr>
          <w:p w14:paraId="5F41889A">
            <w:pPr>
              <w:jc w:val="center"/>
              <w:rPr>
                <w:rFonts w:hint="eastAsia" w:ascii="宋体" w:hAnsi="宋体" w:cs="宋体"/>
                <w:color w:val="000000"/>
                <w:sz w:val="18"/>
                <w:szCs w:val="18"/>
              </w:rPr>
            </w:pPr>
            <w:r>
              <w:rPr>
                <w:rFonts w:hint="eastAsia" w:ascii="宋体" w:hAnsi="宋体" w:cs="宋体"/>
                <w:color w:val="000000"/>
                <w:sz w:val="18"/>
                <w:szCs w:val="18"/>
              </w:rPr>
              <w:t>序号</w:t>
            </w:r>
          </w:p>
        </w:tc>
        <w:tc>
          <w:tcPr>
            <w:tcW w:w="560" w:type="dxa"/>
            <w:tcBorders>
              <w:top w:val="single" w:color="auto" w:sz="4" w:space="0"/>
              <w:left w:val="single" w:color="auto" w:sz="4" w:space="0"/>
              <w:bottom w:val="single" w:color="auto" w:sz="4" w:space="0"/>
              <w:right w:val="single" w:color="auto" w:sz="4" w:space="0"/>
            </w:tcBorders>
            <w:noWrap w:val="0"/>
            <w:vAlign w:val="center"/>
          </w:tcPr>
          <w:p w14:paraId="485E36E8">
            <w:pPr>
              <w:jc w:val="center"/>
              <w:rPr>
                <w:rFonts w:hint="eastAsia" w:ascii="宋体" w:hAnsi="宋体" w:cs="宋体"/>
                <w:color w:val="000000"/>
                <w:sz w:val="18"/>
                <w:szCs w:val="18"/>
              </w:rPr>
            </w:pPr>
            <w:r>
              <w:rPr>
                <w:rFonts w:hint="eastAsia" w:ascii="宋体" w:hAnsi="宋体" w:cs="宋体"/>
                <w:color w:val="000000"/>
                <w:sz w:val="18"/>
                <w:szCs w:val="18"/>
              </w:rPr>
              <w:t>投标人名称</w:t>
            </w:r>
          </w:p>
        </w:tc>
        <w:tc>
          <w:tcPr>
            <w:tcW w:w="536" w:type="dxa"/>
            <w:tcBorders>
              <w:top w:val="single" w:color="auto" w:sz="4" w:space="0"/>
              <w:left w:val="single" w:color="auto" w:sz="4" w:space="0"/>
              <w:bottom w:val="single" w:color="auto" w:sz="4" w:space="0"/>
              <w:right w:val="single" w:color="auto" w:sz="4" w:space="0"/>
            </w:tcBorders>
            <w:noWrap w:val="0"/>
            <w:vAlign w:val="center"/>
          </w:tcPr>
          <w:p w14:paraId="7FF73535">
            <w:pPr>
              <w:jc w:val="center"/>
              <w:rPr>
                <w:rFonts w:hint="eastAsia" w:ascii="宋体" w:hAnsi="宋体" w:cs="宋体"/>
                <w:color w:val="000000"/>
                <w:sz w:val="18"/>
                <w:szCs w:val="18"/>
              </w:rPr>
            </w:pPr>
            <w:r>
              <w:rPr>
                <w:rFonts w:hint="eastAsia" w:ascii="宋体" w:hAnsi="宋体" w:cs="宋体"/>
                <w:color w:val="000000"/>
                <w:sz w:val="18"/>
                <w:szCs w:val="18"/>
              </w:rPr>
              <w:t>密封</w:t>
            </w:r>
          </w:p>
          <w:p w14:paraId="42F6188D">
            <w:pPr>
              <w:jc w:val="center"/>
              <w:rPr>
                <w:rFonts w:hint="eastAsia" w:ascii="宋体" w:hAnsi="宋体" w:cs="宋体"/>
                <w:color w:val="000000"/>
                <w:sz w:val="18"/>
                <w:szCs w:val="18"/>
              </w:rPr>
            </w:pPr>
            <w:r>
              <w:rPr>
                <w:rFonts w:hint="eastAsia" w:ascii="宋体" w:hAnsi="宋体" w:cs="宋体"/>
                <w:color w:val="000000"/>
                <w:sz w:val="18"/>
                <w:szCs w:val="18"/>
              </w:rPr>
              <w:t>情况</w:t>
            </w:r>
          </w:p>
        </w:tc>
        <w:tc>
          <w:tcPr>
            <w:tcW w:w="366" w:type="dxa"/>
            <w:tcBorders>
              <w:top w:val="single" w:color="auto" w:sz="4" w:space="0"/>
              <w:left w:val="single" w:color="auto" w:sz="4" w:space="0"/>
              <w:bottom w:val="single" w:color="auto" w:sz="4" w:space="0"/>
              <w:right w:val="single" w:color="auto" w:sz="4" w:space="0"/>
            </w:tcBorders>
            <w:noWrap w:val="0"/>
            <w:vAlign w:val="center"/>
          </w:tcPr>
          <w:p w14:paraId="24F9D646">
            <w:pPr>
              <w:jc w:val="center"/>
              <w:rPr>
                <w:rFonts w:hint="eastAsia" w:ascii="宋体" w:hAnsi="宋体" w:cs="宋体"/>
                <w:color w:val="000000"/>
                <w:sz w:val="18"/>
                <w:szCs w:val="18"/>
              </w:rPr>
            </w:pPr>
            <w:r>
              <w:rPr>
                <w:rFonts w:hint="eastAsia" w:ascii="宋体" w:hAnsi="宋体" w:cs="宋体"/>
                <w:color w:val="000000"/>
                <w:sz w:val="18"/>
                <w:szCs w:val="18"/>
              </w:rPr>
              <w:t>投标保证金</w:t>
            </w:r>
          </w:p>
        </w:tc>
        <w:tc>
          <w:tcPr>
            <w:tcW w:w="389" w:type="dxa"/>
            <w:tcBorders>
              <w:top w:val="single" w:color="auto" w:sz="4" w:space="0"/>
              <w:left w:val="single" w:color="auto" w:sz="4" w:space="0"/>
              <w:bottom w:val="single" w:color="auto" w:sz="4" w:space="0"/>
              <w:right w:val="single" w:color="auto" w:sz="4" w:space="0"/>
            </w:tcBorders>
            <w:noWrap w:val="0"/>
            <w:vAlign w:val="center"/>
          </w:tcPr>
          <w:p w14:paraId="687B7E34">
            <w:pPr>
              <w:jc w:val="center"/>
              <w:rPr>
                <w:rFonts w:hint="eastAsia" w:ascii="宋体" w:hAnsi="宋体" w:cs="宋体"/>
                <w:color w:val="000000"/>
                <w:sz w:val="18"/>
                <w:szCs w:val="18"/>
              </w:rPr>
            </w:pPr>
            <w:r>
              <w:rPr>
                <w:rFonts w:hint="eastAsia" w:ascii="宋体" w:hAnsi="宋体" w:cs="宋体"/>
                <w:color w:val="000000"/>
                <w:kern w:val="0"/>
                <w:sz w:val="18"/>
                <w:szCs w:val="18"/>
              </w:rPr>
              <w:t>工期</w:t>
            </w:r>
          </w:p>
        </w:tc>
        <w:tc>
          <w:tcPr>
            <w:tcW w:w="546" w:type="dxa"/>
            <w:tcBorders>
              <w:top w:val="single" w:color="auto" w:sz="4" w:space="0"/>
              <w:left w:val="single" w:color="auto" w:sz="4" w:space="0"/>
              <w:bottom w:val="single" w:color="auto" w:sz="4" w:space="0"/>
              <w:right w:val="single" w:color="auto" w:sz="4" w:space="0"/>
            </w:tcBorders>
            <w:noWrap w:val="0"/>
            <w:vAlign w:val="center"/>
          </w:tcPr>
          <w:p w14:paraId="596FEC32">
            <w:pPr>
              <w:jc w:val="center"/>
              <w:rPr>
                <w:rFonts w:hint="eastAsia" w:ascii="宋体" w:hAnsi="宋体" w:cs="宋体"/>
                <w:color w:val="000000"/>
                <w:kern w:val="0"/>
                <w:sz w:val="18"/>
                <w:szCs w:val="18"/>
              </w:rPr>
            </w:pPr>
            <w:r>
              <w:rPr>
                <w:rFonts w:hint="eastAsia" w:ascii="宋体" w:hAnsi="宋体" w:cs="宋体"/>
                <w:color w:val="000000"/>
                <w:sz w:val="18"/>
                <w:szCs w:val="18"/>
              </w:rPr>
              <w:t>勘察费报价</w:t>
            </w:r>
          </w:p>
        </w:tc>
        <w:tc>
          <w:tcPr>
            <w:tcW w:w="534" w:type="dxa"/>
            <w:tcBorders>
              <w:top w:val="single" w:color="auto" w:sz="4" w:space="0"/>
              <w:left w:val="single" w:color="auto" w:sz="4" w:space="0"/>
              <w:bottom w:val="single" w:color="auto" w:sz="4" w:space="0"/>
              <w:right w:val="single" w:color="auto" w:sz="4" w:space="0"/>
            </w:tcBorders>
            <w:noWrap w:val="0"/>
            <w:vAlign w:val="center"/>
          </w:tcPr>
          <w:p w14:paraId="42D38B66">
            <w:pPr>
              <w:jc w:val="center"/>
              <w:rPr>
                <w:rFonts w:hint="eastAsia" w:ascii="宋体" w:hAnsi="宋体" w:cs="宋体"/>
                <w:color w:val="000000"/>
                <w:sz w:val="18"/>
                <w:szCs w:val="18"/>
              </w:rPr>
            </w:pPr>
            <w:r>
              <w:rPr>
                <w:rFonts w:hint="eastAsia" w:ascii="宋体" w:hAnsi="宋体" w:cs="宋体"/>
                <w:color w:val="000000"/>
                <w:kern w:val="0"/>
                <w:sz w:val="18"/>
                <w:szCs w:val="18"/>
              </w:rPr>
              <w:t>设计费报价</w:t>
            </w:r>
          </w:p>
        </w:tc>
        <w:tc>
          <w:tcPr>
            <w:tcW w:w="878" w:type="dxa"/>
            <w:tcBorders>
              <w:top w:val="single" w:color="auto" w:sz="4" w:space="0"/>
              <w:left w:val="single" w:color="auto" w:sz="4" w:space="0"/>
              <w:bottom w:val="single" w:color="auto" w:sz="4" w:space="0"/>
              <w:right w:val="single" w:color="auto" w:sz="4" w:space="0"/>
            </w:tcBorders>
            <w:noWrap w:val="0"/>
            <w:vAlign w:val="center"/>
          </w:tcPr>
          <w:p w14:paraId="1E0A6206">
            <w:pPr>
              <w:jc w:val="center"/>
              <w:rPr>
                <w:rFonts w:hint="eastAsia" w:ascii="宋体" w:hAnsi="宋体" w:eastAsia="宋体" w:cs="宋体"/>
                <w:color w:val="000000"/>
                <w:sz w:val="18"/>
                <w:szCs w:val="18"/>
                <w:lang w:eastAsia="zh-CN"/>
              </w:rPr>
            </w:pPr>
            <w:r>
              <w:rPr>
                <w:rFonts w:hint="eastAsia" w:ascii="宋体" w:hAnsi="宋体" w:cs="宋体"/>
                <w:color w:val="000000"/>
                <w:sz w:val="18"/>
                <w:szCs w:val="18"/>
                <w:lang w:val="en-US" w:eastAsia="zh-CN"/>
              </w:rPr>
              <w:t>建筑安装工程费</w:t>
            </w:r>
            <w:r>
              <w:rPr>
                <w:rFonts w:hint="eastAsia" w:ascii="宋体" w:hAnsi="宋体" w:cs="宋体"/>
                <w:color w:val="000000"/>
                <w:sz w:val="18"/>
                <w:szCs w:val="18"/>
              </w:rPr>
              <w:t>报价</w:t>
            </w:r>
            <w:r>
              <w:rPr>
                <w:rFonts w:hint="eastAsia" w:ascii="宋体" w:hAnsi="宋体" w:cs="宋体"/>
                <w:color w:val="000000"/>
                <w:sz w:val="18"/>
                <w:szCs w:val="18"/>
                <w:lang w:eastAsia="zh-CN"/>
              </w:rPr>
              <w:t>（</w:t>
            </w:r>
            <w:r>
              <w:rPr>
                <w:rFonts w:hint="eastAsia" w:ascii="宋体" w:hAnsi="宋体" w:cs="宋体"/>
                <w:color w:val="000000"/>
                <w:sz w:val="18"/>
                <w:szCs w:val="18"/>
                <w:lang w:val="en-US" w:eastAsia="zh-CN"/>
              </w:rPr>
              <w:t>含设备采购安装及新能源项目</w:t>
            </w:r>
            <w:r>
              <w:rPr>
                <w:rFonts w:hint="eastAsia" w:ascii="宋体" w:hAnsi="宋体" w:cs="宋体"/>
                <w:color w:val="000000"/>
                <w:sz w:val="18"/>
                <w:szCs w:val="18"/>
                <w:lang w:eastAsia="zh-CN"/>
              </w:rPr>
              <w:t>）</w:t>
            </w:r>
          </w:p>
        </w:tc>
        <w:tc>
          <w:tcPr>
            <w:tcW w:w="681" w:type="dxa"/>
            <w:tcBorders>
              <w:top w:val="single" w:color="auto" w:sz="4" w:space="0"/>
              <w:left w:val="single" w:color="auto" w:sz="4" w:space="0"/>
              <w:bottom w:val="single" w:color="auto" w:sz="4" w:space="0"/>
              <w:right w:val="single" w:color="auto" w:sz="4" w:space="0"/>
            </w:tcBorders>
            <w:noWrap w:val="0"/>
            <w:vAlign w:val="center"/>
          </w:tcPr>
          <w:p w14:paraId="3B75BC62">
            <w:pPr>
              <w:jc w:val="center"/>
              <w:rPr>
                <w:rFonts w:hint="eastAsia" w:ascii="宋体" w:hAnsi="宋体" w:cs="宋体"/>
                <w:color w:val="000000"/>
                <w:sz w:val="18"/>
                <w:szCs w:val="18"/>
              </w:rPr>
            </w:pPr>
            <w:r>
              <w:rPr>
                <w:rFonts w:hint="eastAsia" w:ascii="宋体" w:hAnsi="宋体" w:cs="宋体"/>
                <w:color w:val="000000"/>
                <w:sz w:val="18"/>
                <w:szCs w:val="18"/>
              </w:rPr>
              <w:t>质量标准</w:t>
            </w:r>
          </w:p>
        </w:tc>
        <w:tc>
          <w:tcPr>
            <w:tcW w:w="727" w:type="dxa"/>
            <w:tcBorders>
              <w:top w:val="single" w:color="auto" w:sz="4" w:space="0"/>
              <w:left w:val="single" w:color="auto" w:sz="4" w:space="0"/>
              <w:bottom w:val="single" w:color="auto" w:sz="4" w:space="0"/>
              <w:right w:val="single" w:color="auto" w:sz="4" w:space="0"/>
            </w:tcBorders>
            <w:noWrap w:val="0"/>
            <w:vAlign w:val="center"/>
          </w:tcPr>
          <w:p w14:paraId="0D52A276">
            <w:pPr>
              <w:jc w:val="center"/>
              <w:rPr>
                <w:rFonts w:hint="eastAsia" w:ascii="宋体" w:hAnsi="宋体" w:cs="宋体"/>
                <w:color w:val="000000"/>
                <w:sz w:val="18"/>
                <w:szCs w:val="18"/>
              </w:rPr>
            </w:pPr>
            <w:r>
              <w:rPr>
                <w:rFonts w:hint="eastAsia" w:ascii="宋体" w:hAnsi="宋体" w:cs="宋体"/>
                <w:color w:val="000000"/>
                <w:sz w:val="18"/>
                <w:szCs w:val="18"/>
              </w:rPr>
              <w:t>项目经理</w:t>
            </w:r>
          </w:p>
        </w:tc>
        <w:tc>
          <w:tcPr>
            <w:tcW w:w="603" w:type="dxa"/>
            <w:tcBorders>
              <w:top w:val="single" w:color="auto" w:sz="4" w:space="0"/>
              <w:left w:val="single" w:color="auto" w:sz="4" w:space="0"/>
              <w:bottom w:val="single" w:color="auto" w:sz="4" w:space="0"/>
              <w:right w:val="single" w:color="auto" w:sz="4" w:space="0"/>
            </w:tcBorders>
            <w:noWrap w:val="0"/>
            <w:vAlign w:val="center"/>
          </w:tcPr>
          <w:p w14:paraId="27C06165">
            <w:pPr>
              <w:jc w:val="center"/>
              <w:rPr>
                <w:rFonts w:hint="eastAsia" w:ascii="宋体" w:hAnsi="宋体" w:cs="宋体"/>
                <w:color w:val="000000"/>
                <w:sz w:val="18"/>
                <w:szCs w:val="18"/>
              </w:rPr>
            </w:pPr>
            <w:r>
              <w:rPr>
                <w:rFonts w:hint="eastAsia" w:ascii="宋体" w:hAnsi="宋体" w:cs="宋体"/>
                <w:color w:val="000000"/>
                <w:sz w:val="18"/>
                <w:szCs w:val="18"/>
              </w:rPr>
              <w:t>勘察</w:t>
            </w:r>
            <w:r>
              <w:rPr>
                <w:rFonts w:hint="eastAsia" w:ascii="宋体" w:hAnsi="宋体" w:cs="宋体"/>
                <w:color w:val="000000"/>
                <w:sz w:val="18"/>
                <w:szCs w:val="18"/>
                <w:lang w:val="en-US" w:eastAsia="zh-CN"/>
              </w:rPr>
              <w:t>项目</w:t>
            </w:r>
            <w:r>
              <w:rPr>
                <w:rFonts w:hint="eastAsia" w:ascii="宋体" w:hAnsi="宋体" w:cs="宋体"/>
                <w:color w:val="000000"/>
                <w:sz w:val="18"/>
                <w:szCs w:val="18"/>
              </w:rPr>
              <w:t>负责人</w:t>
            </w:r>
          </w:p>
        </w:tc>
        <w:tc>
          <w:tcPr>
            <w:tcW w:w="789" w:type="dxa"/>
            <w:tcBorders>
              <w:top w:val="single" w:color="auto" w:sz="4" w:space="0"/>
              <w:left w:val="single" w:color="auto" w:sz="4" w:space="0"/>
              <w:bottom w:val="single" w:color="auto" w:sz="4" w:space="0"/>
              <w:right w:val="single" w:color="auto" w:sz="4" w:space="0"/>
            </w:tcBorders>
            <w:noWrap w:val="0"/>
            <w:vAlign w:val="center"/>
          </w:tcPr>
          <w:p w14:paraId="2717D504">
            <w:pPr>
              <w:jc w:val="center"/>
              <w:rPr>
                <w:rFonts w:hint="eastAsia" w:ascii="宋体" w:hAnsi="宋体" w:cs="宋体"/>
                <w:color w:val="000000"/>
                <w:sz w:val="18"/>
                <w:szCs w:val="18"/>
              </w:rPr>
            </w:pPr>
            <w:r>
              <w:rPr>
                <w:rFonts w:hint="eastAsia" w:ascii="宋体" w:hAnsi="宋体" w:cs="宋体"/>
                <w:color w:val="000000"/>
                <w:sz w:val="18"/>
                <w:szCs w:val="18"/>
              </w:rPr>
              <w:t>设计</w:t>
            </w:r>
            <w:r>
              <w:rPr>
                <w:rFonts w:hint="eastAsia" w:ascii="宋体" w:hAnsi="宋体" w:cs="宋体"/>
                <w:color w:val="000000"/>
                <w:sz w:val="18"/>
                <w:szCs w:val="18"/>
                <w:lang w:val="en-US" w:eastAsia="zh-CN"/>
              </w:rPr>
              <w:t>项目</w:t>
            </w:r>
            <w:r>
              <w:rPr>
                <w:rFonts w:hint="eastAsia" w:ascii="宋体" w:hAnsi="宋体" w:cs="宋体"/>
                <w:color w:val="000000"/>
                <w:sz w:val="18"/>
                <w:szCs w:val="18"/>
              </w:rPr>
              <w:t>负责人</w:t>
            </w:r>
          </w:p>
        </w:tc>
        <w:tc>
          <w:tcPr>
            <w:tcW w:w="716" w:type="dxa"/>
            <w:tcBorders>
              <w:top w:val="single" w:color="auto" w:sz="4" w:space="0"/>
              <w:left w:val="single" w:color="auto" w:sz="4" w:space="0"/>
              <w:bottom w:val="single" w:color="auto" w:sz="4" w:space="0"/>
              <w:right w:val="single" w:color="auto" w:sz="4" w:space="0"/>
            </w:tcBorders>
            <w:noWrap w:val="0"/>
            <w:vAlign w:val="center"/>
          </w:tcPr>
          <w:p w14:paraId="0F1200F6">
            <w:pPr>
              <w:jc w:val="center"/>
              <w:rPr>
                <w:rFonts w:hint="eastAsia" w:ascii="宋体" w:hAnsi="宋体" w:cs="宋体"/>
                <w:color w:val="000000"/>
                <w:sz w:val="18"/>
                <w:szCs w:val="18"/>
              </w:rPr>
            </w:pPr>
            <w:r>
              <w:rPr>
                <w:rFonts w:hint="eastAsia" w:ascii="宋体" w:hAnsi="宋体" w:cs="宋体"/>
                <w:color w:val="000000"/>
                <w:sz w:val="18"/>
                <w:szCs w:val="18"/>
              </w:rPr>
              <w:t>施工</w:t>
            </w:r>
            <w:r>
              <w:rPr>
                <w:rFonts w:hint="eastAsia" w:ascii="宋体" w:hAnsi="宋体" w:cs="宋体"/>
                <w:color w:val="000000"/>
                <w:sz w:val="18"/>
                <w:szCs w:val="18"/>
                <w:lang w:val="en-US" w:eastAsia="zh-CN"/>
              </w:rPr>
              <w:t>项目</w:t>
            </w:r>
            <w:r>
              <w:rPr>
                <w:rFonts w:hint="eastAsia" w:ascii="宋体" w:hAnsi="宋体" w:cs="宋体"/>
                <w:color w:val="000000"/>
                <w:sz w:val="18"/>
                <w:szCs w:val="18"/>
              </w:rPr>
              <w:t>负责人</w:t>
            </w:r>
          </w:p>
        </w:tc>
        <w:tc>
          <w:tcPr>
            <w:tcW w:w="722" w:type="dxa"/>
            <w:tcBorders>
              <w:top w:val="single" w:color="auto" w:sz="4" w:space="0"/>
              <w:left w:val="single" w:color="auto" w:sz="4" w:space="0"/>
              <w:bottom w:val="single" w:color="auto" w:sz="4" w:space="0"/>
              <w:right w:val="single" w:color="auto" w:sz="4" w:space="0"/>
            </w:tcBorders>
            <w:noWrap w:val="0"/>
            <w:vAlign w:val="center"/>
          </w:tcPr>
          <w:p w14:paraId="57BE7A19">
            <w:pPr>
              <w:jc w:val="center"/>
              <w:rPr>
                <w:rFonts w:hint="default" w:ascii="宋体" w:hAnsi="宋体" w:eastAsia="宋体" w:cs="宋体"/>
                <w:color w:val="000000"/>
                <w:sz w:val="18"/>
                <w:szCs w:val="18"/>
                <w:lang w:val="en-US" w:eastAsia="zh-CN"/>
              </w:rPr>
            </w:pPr>
            <w:r>
              <w:rPr>
                <w:rFonts w:hint="eastAsia" w:ascii="宋体" w:hAnsi="宋体" w:cs="宋体"/>
                <w:color w:val="000000"/>
                <w:sz w:val="18"/>
                <w:szCs w:val="18"/>
                <w:lang w:val="en-US" w:eastAsia="zh-CN"/>
              </w:rPr>
              <w:t>设备项目负责人</w:t>
            </w:r>
          </w:p>
        </w:tc>
        <w:tc>
          <w:tcPr>
            <w:tcW w:w="919" w:type="dxa"/>
            <w:tcBorders>
              <w:top w:val="single" w:color="auto" w:sz="4" w:space="0"/>
              <w:left w:val="single" w:color="auto" w:sz="4" w:space="0"/>
              <w:bottom w:val="single" w:color="auto" w:sz="4" w:space="0"/>
              <w:right w:val="single" w:color="auto" w:sz="4" w:space="0"/>
            </w:tcBorders>
            <w:noWrap w:val="0"/>
            <w:vAlign w:val="center"/>
          </w:tcPr>
          <w:p w14:paraId="21BBEE45">
            <w:pPr>
              <w:jc w:val="center"/>
              <w:rPr>
                <w:rFonts w:hint="default" w:ascii="宋体" w:hAnsi="宋体" w:eastAsia="宋体" w:cs="宋体"/>
                <w:color w:val="000000"/>
                <w:sz w:val="18"/>
                <w:szCs w:val="18"/>
                <w:lang w:val="en-US" w:eastAsia="zh-CN"/>
              </w:rPr>
            </w:pPr>
            <w:r>
              <w:rPr>
                <w:rFonts w:hint="eastAsia" w:ascii="宋体" w:hAnsi="宋体" w:cs="宋体"/>
                <w:color w:val="000000"/>
                <w:sz w:val="18"/>
                <w:szCs w:val="18"/>
                <w:lang w:val="en-US" w:eastAsia="zh-CN"/>
              </w:rPr>
              <w:t>新能源项目负责人</w:t>
            </w:r>
          </w:p>
        </w:tc>
        <w:tc>
          <w:tcPr>
            <w:tcW w:w="940" w:type="dxa"/>
            <w:tcBorders>
              <w:top w:val="single" w:color="auto" w:sz="4" w:space="0"/>
              <w:left w:val="single" w:color="auto" w:sz="4" w:space="0"/>
              <w:bottom w:val="single" w:color="auto" w:sz="4" w:space="0"/>
              <w:right w:val="single" w:color="auto" w:sz="4" w:space="0"/>
            </w:tcBorders>
            <w:noWrap w:val="0"/>
            <w:vAlign w:val="center"/>
          </w:tcPr>
          <w:p w14:paraId="393B87EA">
            <w:pPr>
              <w:jc w:val="center"/>
              <w:rPr>
                <w:rFonts w:hint="eastAsia" w:ascii="宋体" w:hAnsi="宋体" w:cs="宋体"/>
                <w:color w:val="000000"/>
                <w:sz w:val="18"/>
                <w:szCs w:val="18"/>
              </w:rPr>
            </w:pPr>
            <w:r>
              <w:rPr>
                <w:rFonts w:hint="eastAsia" w:ascii="宋体" w:hAnsi="宋体" w:cs="宋体"/>
                <w:color w:val="000000"/>
                <w:sz w:val="18"/>
                <w:szCs w:val="18"/>
              </w:rPr>
              <w:t>签名</w:t>
            </w:r>
          </w:p>
        </w:tc>
      </w:tr>
      <w:tr w14:paraId="6646D4A2">
        <w:tblPrEx>
          <w:tblCellMar>
            <w:top w:w="0" w:type="dxa"/>
            <w:left w:w="108" w:type="dxa"/>
            <w:bottom w:w="0" w:type="dxa"/>
            <w:right w:w="108" w:type="dxa"/>
          </w:tblCellMar>
        </w:tblPrEx>
        <w:trPr>
          <w:trHeight w:val="2425" w:hRule="atLeast"/>
          <w:jc w:val="center"/>
        </w:trPr>
        <w:tc>
          <w:tcPr>
            <w:tcW w:w="435" w:type="dxa"/>
            <w:tcBorders>
              <w:top w:val="single" w:color="auto" w:sz="4" w:space="0"/>
              <w:left w:val="single" w:color="auto" w:sz="4" w:space="0"/>
              <w:bottom w:val="single" w:color="auto" w:sz="4" w:space="0"/>
              <w:right w:val="single" w:color="auto" w:sz="4" w:space="0"/>
            </w:tcBorders>
            <w:noWrap w:val="0"/>
            <w:vAlign w:val="top"/>
          </w:tcPr>
          <w:p w14:paraId="7CDB9AC8">
            <w:pPr>
              <w:spacing w:line="0" w:lineRule="atLeast"/>
              <w:jc w:val="left"/>
              <w:rPr>
                <w:rFonts w:hint="eastAsia" w:ascii="宋体" w:hAnsi="宋体" w:cs="宋体"/>
                <w:color w:val="000000"/>
                <w:szCs w:val="21"/>
              </w:rPr>
            </w:pPr>
          </w:p>
        </w:tc>
        <w:tc>
          <w:tcPr>
            <w:tcW w:w="560" w:type="dxa"/>
            <w:tcBorders>
              <w:top w:val="single" w:color="auto" w:sz="4" w:space="0"/>
              <w:left w:val="single" w:color="auto" w:sz="4" w:space="0"/>
              <w:bottom w:val="single" w:color="auto" w:sz="4" w:space="0"/>
              <w:right w:val="single" w:color="auto" w:sz="4" w:space="0"/>
            </w:tcBorders>
            <w:noWrap w:val="0"/>
            <w:vAlign w:val="top"/>
          </w:tcPr>
          <w:p w14:paraId="08510095">
            <w:pPr>
              <w:spacing w:line="0" w:lineRule="atLeast"/>
              <w:jc w:val="left"/>
              <w:rPr>
                <w:rFonts w:hint="eastAsia" w:ascii="宋体" w:hAnsi="宋体" w:cs="宋体"/>
                <w:color w:val="000000"/>
                <w:szCs w:val="21"/>
              </w:rPr>
            </w:pPr>
          </w:p>
        </w:tc>
        <w:tc>
          <w:tcPr>
            <w:tcW w:w="536" w:type="dxa"/>
            <w:tcBorders>
              <w:top w:val="single" w:color="auto" w:sz="4" w:space="0"/>
              <w:left w:val="single" w:color="auto" w:sz="4" w:space="0"/>
              <w:bottom w:val="single" w:color="auto" w:sz="4" w:space="0"/>
              <w:right w:val="single" w:color="auto" w:sz="4" w:space="0"/>
            </w:tcBorders>
            <w:noWrap w:val="0"/>
            <w:vAlign w:val="top"/>
          </w:tcPr>
          <w:p w14:paraId="14A2EC7B">
            <w:pPr>
              <w:spacing w:line="0" w:lineRule="atLeast"/>
              <w:jc w:val="left"/>
              <w:rPr>
                <w:rFonts w:hint="eastAsia" w:ascii="宋体" w:hAnsi="宋体" w:cs="宋体"/>
                <w:color w:val="000000"/>
                <w:szCs w:val="21"/>
              </w:rPr>
            </w:pPr>
          </w:p>
        </w:tc>
        <w:tc>
          <w:tcPr>
            <w:tcW w:w="366" w:type="dxa"/>
            <w:tcBorders>
              <w:top w:val="single" w:color="auto" w:sz="4" w:space="0"/>
              <w:left w:val="single" w:color="auto" w:sz="4" w:space="0"/>
              <w:bottom w:val="single" w:color="auto" w:sz="4" w:space="0"/>
              <w:right w:val="single" w:color="auto" w:sz="4" w:space="0"/>
            </w:tcBorders>
            <w:noWrap w:val="0"/>
            <w:vAlign w:val="top"/>
          </w:tcPr>
          <w:p w14:paraId="18592CA5">
            <w:pPr>
              <w:spacing w:line="0" w:lineRule="atLeast"/>
              <w:jc w:val="left"/>
              <w:rPr>
                <w:rFonts w:hint="eastAsia" w:ascii="宋体" w:hAnsi="宋体" w:cs="宋体"/>
                <w:color w:val="000000"/>
                <w:szCs w:val="21"/>
              </w:rPr>
            </w:pPr>
          </w:p>
        </w:tc>
        <w:tc>
          <w:tcPr>
            <w:tcW w:w="389" w:type="dxa"/>
            <w:tcBorders>
              <w:top w:val="single" w:color="auto" w:sz="4" w:space="0"/>
              <w:left w:val="single" w:color="auto" w:sz="4" w:space="0"/>
              <w:bottom w:val="single" w:color="auto" w:sz="4" w:space="0"/>
              <w:right w:val="single" w:color="auto" w:sz="4" w:space="0"/>
            </w:tcBorders>
            <w:noWrap w:val="0"/>
            <w:vAlign w:val="top"/>
          </w:tcPr>
          <w:p w14:paraId="2177562E">
            <w:pPr>
              <w:spacing w:line="0" w:lineRule="atLeast"/>
              <w:jc w:val="left"/>
              <w:rPr>
                <w:rFonts w:hint="eastAsia" w:ascii="宋体" w:hAnsi="宋体" w:cs="宋体"/>
                <w:color w:val="000000"/>
                <w:szCs w:val="21"/>
              </w:rPr>
            </w:pPr>
          </w:p>
        </w:tc>
        <w:tc>
          <w:tcPr>
            <w:tcW w:w="546" w:type="dxa"/>
            <w:tcBorders>
              <w:top w:val="single" w:color="auto" w:sz="4" w:space="0"/>
              <w:left w:val="single" w:color="auto" w:sz="4" w:space="0"/>
              <w:bottom w:val="single" w:color="auto" w:sz="4" w:space="0"/>
              <w:right w:val="single" w:color="auto" w:sz="4" w:space="0"/>
            </w:tcBorders>
            <w:noWrap w:val="0"/>
            <w:vAlign w:val="center"/>
          </w:tcPr>
          <w:p w14:paraId="2E6FCDE1">
            <w:pPr>
              <w:spacing w:line="240" w:lineRule="exact"/>
              <w:jc w:val="left"/>
              <w:rPr>
                <w:rFonts w:hint="eastAsia" w:ascii="宋体" w:hAnsi="宋体" w:cs="宋体"/>
                <w:color w:val="000000"/>
                <w:kern w:val="0"/>
                <w:sz w:val="18"/>
                <w:szCs w:val="18"/>
              </w:rPr>
            </w:pPr>
            <w:r>
              <w:rPr>
                <w:rFonts w:hint="eastAsia" w:ascii="宋体" w:hAnsi="宋体" w:cs="宋体"/>
                <w:color w:val="000000"/>
                <w:sz w:val="18"/>
                <w:szCs w:val="18"/>
              </w:rPr>
              <w:t>勘察费</w:t>
            </w:r>
            <w:r>
              <w:rPr>
                <w:rFonts w:hint="eastAsia" w:ascii="宋体" w:hAnsi="宋体" w:cs="宋体"/>
                <w:color w:val="000000"/>
                <w:kern w:val="0"/>
                <w:sz w:val="18"/>
                <w:szCs w:val="18"/>
              </w:rPr>
              <w:t>优惠率</w:t>
            </w:r>
            <w:r>
              <w:rPr>
                <w:rFonts w:hint="eastAsia" w:ascii="宋体" w:hAnsi="宋体" w:cs="宋体"/>
                <w:color w:val="000000"/>
                <w:kern w:val="0"/>
                <w:sz w:val="18"/>
                <w:szCs w:val="18"/>
                <w:u w:val="single"/>
              </w:rPr>
              <w:t xml:space="preserve">   </w:t>
            </w:r>
            <w:r>
              <w:rPr>
                <w:rFonts w:hint="eastAsia" w:ascii="宋体" w:hAnsi="宋体" w:cs="宋体"/>
                <w:color w:val="000000"/>
                <w:kern w:val="0"/>
                <w:sz w:val="18"/>
                <w:szCs w:val="18"/>
              </w:rPr>
              <w:t>%</w:t>
            </w:r>
            <w:r>
              <w:rPr>
                <w:rFonts w:hint="eastAsia" w:ascii="宋体" w:hAnsi="宋体" w:cs="宋体"/>
                <w:color w:val="000000"/>
                <w:sz w:val="18"/>
                <w:szCs w:val="18"/>
              </w:rPr>
              <w:t>。</w:t>
            </w:r>
          </w:p>
        </w:tc>
        <w:tc>
          <w:tcPr>
            <w:tcW w:w="534" w:type="dxa"/>
            <w:tcBorders>
              <w:top w:val="single" w:color="auto" w:sz="4" w:space="0"/>
              <w:left w:val="single" w:color="auto" w:sz="4" w:space="0"/>
              <w:bottom w:val="single" w:color="auto" w:sz="4" w:space="0"/>
              <w:right w:val="single" w:color="auto" w:sz="4" w:space="0"/>
            </w:tcBorders>
            <w:noWrap w:val="0"/>
            <w:vAlign w:val="center"/>
          </w:tcPr>
          <w:p w14:paraId="7222B340">
            <w:pPr>
              <w:spacing w:line="0" w:lineRule="atLeast"/>
              <w:jc w:val="center"/>
              <w:rPr>
                <w:rFonts w:hint="eastAsia" w:ascii="宋体" w:hAnsi="宋体" w:cs="宋体"/>
                <w:color w:val="000000"/>
                <w:szCs w:val="21"/>
              </w:rPr>
            </w:pPr>
            <w:r>
              <w:rPr>
                <w:rFonts w:hint="eastAsia" w:ascii="宋体" w:hAnsi="宋体" w:cs="宋体"/>
                <w:color w:val="000000"/>
                <w:kern w:val="0"/>
                <w:sz w:val="18"/>
                <w:szCs w:val="18"/>
              </w:rPr>
              <w:t>设计费优惠率</w:t>
            </w:r>
            <w:r>
              <w:rPr>
                <w:rFonts w:hint="eastAsia" w:ascii="宋体" w:hAnsi="宋体" w:cs="宋体"/>
                <w:color w:val="000000"/>
                <w:kern w:val="0"/>
                <w:sz w:val="18"/>
                <w:szCs w:val="18"/>
                <w:u w:val="single"/>
              </w:rPr>
              <w:t xml:space="preserve">   </w:t>
            </w:r>
            <w:r>
              <w:rPr>
                <w:rFonts w:hint="eastAsia" w:ascii="宋体" w:hAnsi="宋体" w:cs="宋体"/>
                <w:color w:val="000000"/>
                <w:kern w:val="0"/>
                <w:sz w:val="18"/>
                <w:szCs w:val="18"/>
              </w:rPr>
              <w:t>%。</w:t>
            </w:r>
          </w:p>
        </w:tc>
        <w:tc>
          <w:tcPr>
            <w:tcW w:w="878" w:type="dxa"/>
            <w:tcBorders>
              <w:top w:val="single" w:color="auto" w:sz="4" w:space="0"/>
              <w:left w:val="single" w:color="auto" w:sz="4" w:space="0"/>
              <w:bottom w:val="single" w:color="auto" w:sz="4" w:space="0"/>
              <w:right w:val="single" w:color="auto" w:sz="4" w:space="0"/>
            </w:tcBorders>
            <w:noWrap w:val="0"/>
            <w:vAlign w:val="center"/>
          </w:tcPr>
          <w:p w14:paraId="6BDC9D1F">
            <w:pPr>
              <w:spacing w:line="240" w:lineRule="exact"/>
              <w:jc w:val="left"/>
              <w:rPr>
                <w:rFonts w:hint="eastAsia" w:ascii="宋体" w:hAnsi="宋体" w:cs="宋体"/>
                <w:color w:val="000000"/>
                <w:szCs w:val="21"/>
              </w:rPr>
            </w:pPr>
            <w:r>
              <w:rPr>
                <w:rFonts w:hint="eastAsia" w:ascii="宋体" w:hAnsi="宋体" w:cs="宋体"/>
                <w:color w:val="000000"/>
                <w:kern w:val="0"/>
                <w:sz w:val="18"/>
                <w:szCs w:val="18"/>
              </w:rPr>
              <w:t>建筑安装</w:t>
            </w:r>
            <w:r>
              <w:rPr>
                <w:rFonts w:hint="eastAsia" w:ascii="宋体" w:hAnsi="宋体" w:cs="宋体"/>
                <w:color w:val="000000"/>
                <w:sz w:val="18"/>
                <w:szCs w:val="18"/>
                <w:lang w:eastAsia="zh-CN"/>
              </w:rPr>
              <w:t>（</w:t>
            </w:r>
            <w:r>
              <w:rPr>
                <w:rFonts w:hint="eastAsia" w:ascii="宋体" w:hAnsi="宋体" w:cs="宋体"/>
                <w:color w:val="000000"/>
                <w:sz w:val="18"/>
                <w:szCs w:val="18"/>
                <w:lang w:val="en-US" w:eastAsia="zh-CN"/>
              </w:rPr>
              <w:t>含设备采购安装及新能源项目</w:t>
            </w:r>
            <w:r>
              <w:rPr>
                <w:rFonts w:hint="eastAsia" w:ascii="宋体" w:hAnsi="宋体" w:cs="宋体"/>
                <w:color w:val="000000"/>
                <w:sz w:val="18"/>
                <w:szCs w:val="18"/>
                <w:lang w:eastAsia="zh-CN"/>
              </w:rPr>
              <w:t>）</w:t>
            </w:r>
            <w:r>
              <w:rPr>
                <w:rFonts w:hint="eastAsia" w:ascii="宋体" w:hAnsi="宋体" w:cs="宋体"/>
                <w:color w:val="000000"/>
                <w:kern w:val="0"/>
                <w:sz w:val="18"/>
                <w:szCs w:val="18"/>
              </w:rPr>
              <w:t>工程费结算优惠率</w:t>
            </w:r>
            <w:r>
              <w:rPr>
                <w:rFonts w:hint="eastAsia" w:ascii="宋体" w:hAnsi="宋体" w:cs="宋体"/>
                <w:color w:val="000000"/>
                <w:kern w:val="0"/>
                <w:sz w:val="18"/>
                <w:szCs w:val="18"/>
                <w:u w:val="single"/>
              </w:rPr>
              <w:t xml:space="preserve">    </w:t>
            </w:r>
            <w:r>
              <w:rPr>
                <w:rFonts w:hint="eastAsia" w:ascii="宋体" w:hAnsi="宋体" w:cs="宋体"/>
                <w:color w:val="000000"/>
                <w:kern w:val="0"/>
                <w:sz w:val="18"/>
                <w:szCs w:val="18"/>
              </w:rPr>
              <w:t>%。</w:t>
            </w:r>
          </w:p>
        </w:tc>
        <w:tc>
          <w:tcPr>
            <w:tcW w:w="681" w:type="dxa"/>
            <w:tcBorders>
              <w:top w:val="single" w:color="auto" w:sz="4" w:space="0"/>
              <w:left w:val="single" w:color="auto" w:sz="4" w:space="0"/>
              <w:bottom w:val="single" w:color="auto" w:sz="4" w:space="0"/>
              <w:right w:val="single" w:color="auto" w:sz="4" w:space="0"/>
            </w:tcBorders>
            <w:noWrap w:val="0"/>
            <w:vAlign w:val="top"/>
          </w:tcPr>
          <w:p w14:paraId="232FC639">
            <w:pPr>
              <w:spacing w:line="0" w:lineRule="atLeast"/>
              <w:jc w:val="left"/>
              <w:rPr>
                <w:rFonts w:hint="eastAsia" w:ascii="宋体" w:hAnsi="宋体" w:cs="宋体"/>
                <w:color w:val="000000"/>
                <w:szCs w:val="21"/>
              </w:rPr>
            </w:pPr>
          </w:p>
        </w:tc>
        <w:tc>
          <w:tcPr>
            <w:tcW w:w="727" w:type="dxa"/>
            <w:tcBorders>
              <w:top w:val="single" w:color="auto" w:sz="4" w:space="0"/>
              <w:left w:val="single" w:color="auto" w:sz="4" w:space="0"/>
              <w:bottom w:val="single" w:color="auto" w:sz="4" w:space="0"/>
              <w:right w:val="single" w:color="auto" w:sz="4" w:space="0"/>
            </w:tcBorders>
            <w:noWrap w:val="0"/>
            <w:vAlign w:val="center"/>
          </w:tcPr>
          <w:p w14:paraId="5E2994EB">
            <w:pPr>
              <w:spacing w:line="0" w:lineRule="atLeast"/>
              <w:jc w:val="left"/>
              <w:rPr>
                <w:rFonts w:hint="eastAsia" w:ascii="宋体" w:hAnsi="宋体" w:cs="宋体"/>
                <w:color w:val="000000"/>
                <w:sz w:val="18"/>
                <w:szCs w:val="18"/>
              </w:rPr>
            </w:pPr>
            <w:r>
              <w:rPr>
                <w:rFonts w:hint="eastAsia" w:ascii="宋体" w:hAnsi="宋体" w:cs="宋体"/>
                <w:color w:val="000000"/>
                <w:sz w:val="18"/>
                <w:szCs w:val="18"/>
              </w:rPr>
              <w:t>姓名：</w:t>
            </w:r>
          </w:p>
          <w:p w14:paraId="5711B3A2">
            <w:pPr>
              <w:spacing w:line="0" w:lineRule="atLeast"/>
              <w:jc w:val="left"/>
              <w:rPr>
                <w:rFonts w:hint="eastAsia" w:ascii="宋体" w:hAnsi="宋体" w:cs="宋体"/>
                <w:color w:val="000000"/>
                <w:sz w:val="18"/>
                <w:szCs w:val="18"/>
              </w:rPr>
            </w:pPr>
            <w:r>
              <w:rPr>
                <w:rFonts w:hint="eastAsia" w:ascii="宋体" w:hAnsi="宋体" w:cs="宋体"/>
                <w:color w:val="000000"/>
                <w:sz w:val="18"/>
                <w:szCs w:val="18"/>
              </w:rPr>
              <w:t>证书名称：</w:t>
            </w:r>
          </w:p>
          <w:p w14:paraId="33B9D3AB">
            <w:pPr>
              <w:spacing w:line="0" w:lineRule="atLeast"/>
              <w:jc w:val="left"/>
              <w:rPr>
                <w:rFonts w:hint="eastAsia" w:ascii="宋体" w:hAnsi="宋体" w:cs="宋体"/>
                <w:color w:val="000000"/>
                <w:sz w:val="18"/>
                <w:szCs w:val="18"/>
              </w:rPr>
            </w:pPr>
            <w:r>
              <w:rPr>
                <w:rFonts w:hint="eastAsia" w:ascii="宋体" w:hAnsi="宋体" w:cs="宋体"/>
                <w:color w:val="000000"/>
                <w:sz w:val="18"/>
                <w:szCs w:val="18"/>
              </w:rPr>
              <w:t>注册编号：</w:t>
            </w:r>
          </w:p>
          <w:p w14:paraId="1E570E24">
            <w:pPr>
              <w:spacing w:line="0" w:lineRule="atLeast"/>
              <w:jc w:val="left"/>
              <w:rPr>
                <w:rFonts w:hint="eastAsia" w:ascii="宋体" w:hAnsi="宋体" w:cs="宋体"/>
                <w:color w:val="000000"/>
                <w:szCs w:val="21"/>
              </w:rPr>
            </w:pPr>
            <w:r>
              <w:rPr>
                <w:rFonts w:hint="eastAsia" w:ascii="宋体" w:hAnsi="宋体" w:cs="宋体"/>
                <w:color w:val="000000"/>
                <w:sz w:val="18"/>
                <w:szCs w:val="18"/>
              </w:rPr>
              <w:t>身份证号码：</w:t>
            </w:r>
          </w:p>
        </w:tc>
        <w:tc>
          <w:tcPr>
            <w:tcW w:w="603" w:type="dxa"/>
            <w:tcBorders>
              <w:top w:val="single" w:color="auto" w:sz="4" w:space="0"/>
              <w:left w:val="single" w:color="auto" w:sz="4" w:space="0"/>
              <w:bottom w:val="single" w:color="auto" w:sz="4" w:space="0"/>
              <w:right w:val="single" w:color="auto" w:sz="4" w:space="0"/>
            </w:tcBorders>
            <w:noWrap w:val="0"/>
            <w:vAlign w:val="center"/>
          </w:tcPr>
          <w:p w14:paraId="386EBF90">
            <w:pPr>
              <w:spacing w:line="0" w:lineRule="atLeast"/>
              <w:jc w:val="left"/>
              <w:rPr>
                <w:rFonts w:hint="eastAsia" w:ascii="宋体" w:hAnsi="宋体" w:cs="宋体"/>
                <w:color w:val="000000"/>
                <w:sz w:val="16"/>
                <w:szCs w:val="16"/>
              </w:rPr>
            </w:pPr>
            <w:r>
              <w:rPr>
                <w:rFonts w:hint="eastAsia" w:ascii="宋体" w:hAnsi="宋体" w:cs="宋体"/>
                <w:color w:val="000000"/>
                <w:sz w:val="16"/>
                <w:szCs w:val="16"/>
              </w:rPr>
              <w:t>姓名：</w:t>
            </w:r>
          </w:p>
          <w:p w14:paraId="58E8F673">
            <w:pPr>
              <w:spacing w:line="0" w:lineRule="atLeast"/>
              <w:jc w:val="left"/>
              <w:rPr>
                <w:rFonts w:hint="eastAsia" w:ascii="宋体" w:hAnsi="宋体" w:cs="宋体"/>
                <w:color w:val="000000"/>
                <w:sz w:val="16"/>
                <w:szCs w:val="16"/>
              </w:rPr>
            </w:pPr>
            <w:r>
              <w:rPr>
                <w:rFonts w:hint="eastAsia" w:ascii="宋体" w:hAnsi="宋体" w:cs="宋体"/>
                <w:color w:val="000000"/>
                <w:sz w:val="16"/>
                <w:szCs w:val="16"/>
              </w:rPr>
              <w:t>证书名称：</w:t>
            </w:r>
          </w:p>
          <w:p w14:paraId="17FD489A">
            <w:pPr>
              <w:spacing w:line="0" w:lineRule="atLeast"/>
              <w:jc w:val="left"/>
              <w:rPr>
                <w:rFonts w:hint="eastAsia" w:ascii="宋体" w:hAnsi="宋体" w:cs="宋体"/>
                <w:color w:val="000000"/>
                <w:sz w:val="16"/>
                <w:szCs w:val="16"/>
              </w:rPr>
            </w:pPr>
            <w:r>
              <w:rPr>
                <w:rFonts w:hint="eastAsia" w:ascii="宋体" w:hAnsi="宋体" w:cs="宋体"/>
                <w:color w:val="000000"/>
                <w:sz w:val="16"/>
                <w:szCs w:val="16"/>
              </w:rPr>
              <w:t>注册编号：</w:t>
            </w:r>
          </w:p>
          <w:p w14:paraId="706AE755">
            <w:pPr>
              <w:spacing w:line="0" w:lineRule="atLeast"/>
              <w:jc w:val="left"/>
              <w:rPr>
                <w:rFonts w:hint="eastAsia" w:ascii="宋体" w:hAnsi="宋体" w:cs="宋体"/>
                <w:color w:val="000000"/>
                <w:sz w:val="18"/>
                <w:szCs w:val="18"/>
              </w:rPr>
            </w:pPr>
            <w:r>
              <w:rPr>
                <w:rFonts w:hint="eastAsia" w:ascii="宋体" w:hAnsi="宋体" w:cs="宋体"/>
                <w:color w:val="000000"/>
                <w:sz w:val="16"/>
                <w:szCs w:val="16"/>
              </w:rPr>
              <w:t>身份证号码：</w:t>
            </w:r>
          </w:p>
        </w:tc>
        <w:tc>
          <w:tcPr>
            <w:tcW w:w="789" w:type="dxa"/>
            <w:tcBorders>
              <w:top w:val="single" w:color="auto" w:sz="4" w:space="0"/>
              <w:left w:val="single" w:color="auto" w:sz="4" w:space="0"/>
              <w:bottom w:val="single" w:color="auto" w:sz="4" w:space="0"/>
              <w:right w:val="single" w:color="auto" w:sz="4" w:space="0"/>
            </w:tcBorders>
            <w:noWrap w:val="0"/>
            <w:vAlign w:val="center"/>
          </w:tcPr>
          <w:p w14:paraId="5DBEDDCC">
            <w:pPr>
              <w:spacing w:line="0" w:lineRule="atLeast"/>
              <w:jc w:val="left"/>
              <w:rPr>
                <w:rFonts w:hint="eastAsia" w:ascii="宋体" w:hAnsi="宋体" w:cs="宋体"/>
                <w:color w:val="000000"/>
                <w:sz w:val="18"/>
                <w:szCs w:val="18"/>
              </w:rPr>
            </w:pPr>
            <w:r>
              <w:rPr>
                <w:rFonts w:hint="eastAsia" w:ascii="宋体" w:hAnsi="宋体" w:cs="宋体"/>
                <w:color w:val="000000"/>
                <w:sz w:val="18"/>
                <w:szCs w:val="18"/>
              </w:rPr>
              <w:t>姓名：</w:t>
            </w:r>
          </w:p>
          <w:p w14:paraId="70A81F64">
            <w:pPr>
              <w:spacing w:line="0" w:lineRule="atLeast"/>
              <w:jc w:val="left"/>
              <w:rPr>
                <w:rFonts w:hint="eastAsia" w:ascii="宋体" w:hAnsi="宋体" w:cs="宋体"/>
                <w:color w:val="000000"/>
                <w:sz w:val="18"/>
                <w:szCs w:val="18"/>
              </w:rPr>
            </w:pPr>
            <w:r>
              <w:rPr>
                <w:rFonts w:hint="eastAsia" w:ascii="宋体" w:hAnsi="宋体" w:cs="宋体"/>
                <w:color w:val="000000"/>
                <w:sz w:val="18"/>
                <w:szCs w:val="18"/>
              </w:rPr>
              <w:t>证书名称：</w:t>
            </w:r>
          </w:p>
          <w:p w14:paraId="049D7B3C">
            <w:pPr>
              <w:spacing w:line="0" w:lineRule="atLeast"/>
              <w:jc w:val="left"/>
              <w:rPr>
                <w:rFonts w:hint="eastAsia" w:ascii="宋体" w:hAnsi="宋体" w:cs="宋体"/>
                <w:color w:val="000000"/>
                <w:sz w:val="18"/>
                <w:szCs w:val="18"/>
              </w:rPr>
            </w:pPr>
            <w:r>
              <w:rPr>
                <w:rFonts w:hint="eastAsia" w:ascii="宋体" w:hAnsi="宋体" w:cs="宋体"/>
                <w:color w:val="000000"/>
                <w:sz w:val="18"/>
                <w:szCs w:val="18"/>
              </w:rPr>
              <w:t>注册编号：</w:t>
            </w:r>
          </w:p>
          <w:p w14:paraId="00E0C9AF">
            <w:pPr>
              <w:spacing w:line="0" w:lineRule="atLeast"/>
              <w:jc w:val="left"/>
              <w:rPr>
                <w:rFonts w:hint="eastAsia" w:ascii="宋体" w:hAnsi="宋体" w:cs="宋体"/>
                <w:color w:val="000000"/>
                <w:szCs w:val="21"/>
              </w:rPr>
            </w:pPr>
            <w:r>
              <w:rPr>
                <w:rFonts w:hint="eastAsia" w:ascii="宋体" w:hAnsi="宋体" w:cs="宋体"/>
                <w:color w:val="000000"/>
                <w:sz w:val="18"/>
                <w:szCs w:val="18"/>
              </w:rPr>
              <w:t>身份证号码：</w:t>
            </w:r>
          </w:p>
        </w:tc>
        <w:tc>
          <w:tcPr>
            <w:tcW w:w="716" w:type="dxa"/>
            <w:tcBorders>
              <w:top w:val="single" w:color="auto" w:sz="4" w:space="0"/>
              <w:left w:val="single" w:color="auto" w:sz="4" w:space="0"/>
              <w:bottom w:val="single" w:color="auto" w:sz="4" w:space="0"/>
              <w:right w:val="single" w:color="auto" w:sz="4" w:space="0"/>
            </w:tcBorders>
            <w:noWrap w:val="0"/>
            <w:vAlign w:val="center"/>
          </w:tcPr>
          <w:p w14:paraId="2127FEB0">
            <w:pPr>
              <w:spacing w:line="0" w:lineRule="atLeast"/>
              <w:jc w:val="left"/>
              <w:rPr>
                <w:rFonts w:hint="eastAsia" w:ascii="宋体" w:hAnsi="宋体" w:cs="宋体"/>
                <w:color w:val="000000"/>
                <w:sz w:val="16"/>
                <w:szCs w:val="16"/>
              </w:rPr>
            </w:pPr>
            <w:r>
              <w:rPr>
                <w:rFonts w:hint="eastAsia" w:ascii="宋体" w:hAnsi="宋体" w:cs="宋体"/>
                <w:color w:val="000000"/>
                <w:sz w:val="16"/>
                <w:szCs w:val="16"/>
              </w:rPr>
              <w:t>姓名：</w:t>
            </w:r>
          </w:p>
          <w:p w14:paraId="768ED63C">
            <w:pPr>
              <w:spacing w:line="0" w:lineRule="atLeast"/>
              <w:jc w:val="left"/>
              <w:rPr>
                <w:rFonts w:hint="eastAsia" w:ascii="宋体" w:hAnsi="宋体" w:cs="宋体"/>
                <w:color w:val="000000"/>
                <w:sz w:val="16"/>
                <w:szCs w:val="16"/>
              </w:rPr>
            </w:pPr>
            <w:r>
              <w:rPr>
                <w:rFonts w:hint="eastAsia" w:ascii="宋体" w:hAnsi="宋体" w:cs="宋体"/>
                <w:color w:val="000000"/>
                <w:sz w:val="16"/>
                <w:szCs w:val="16"/>
              </w:rPr>
              <w:t>证书名称：</w:t>
            </w:r>
          </w:p>
          <w:p w14:paraId="3A07E3ED">
            <w:pPr>
              <w:spacing w:line="0" w:lineRule="atLeast"/>
              <w:jc w:val="left"/>
              <w:rPr>
                <w:rFonts w:hint="eastAsia" w:ascii="宋体" w:hAnsi="宋体" w:cs="宋体"/>
                <w:color w:val="000000"/>
                <w:sz w:val="16"/>
                <w:szCs w:val="16"/>
              </w:rPr>
            </w:pPr>
            <w:r>
              <w:rPr>
                <w:rFonts w:hint="eastAsia" w:ascii="宋体" w:hAnsi="宋体" w:cs="宋体"/>
                <w:color w:val="000000"/>
                <w:sz w:val="16"/>
                <w:szCs w:val="16"/>
              </w:rPr>
              <w:t>注册编号：</w:t>
            </w:r>
          </w:p>
          <w:p w14:paraId="20DA3149">
            <w:pPr>
              <w:spacing w:line="0" w:lineRule="atLeast"/>
              <w:jc w:val="left"/>
              <w:rPr>
                <w:rFonts w:hint="eastAsia" w:ascii="宋体" w:hAnsi="宋体" w:cs="宋体"/>
                <w:color w:val="000000"/>
                <w:sz w:val="18"/>
                <w:szCs w:val="18"/>
              </w:rPr>
            </w:pPr>
            <w:r>
              <w:rPr>
                <w:rFonts w:hint="eastAsia" w:ascii="宋体" w:hAnsi="宋体" w:cs="宋体"/>
                <w:color w:val="000000"/>
                <w:sz w:val="16"/>
                <w:szCs w:val="16"/>
              </w:rPr>
              <w:t>身份证号码：</w:t>
            </w:r>
          </w:p>
        </w:tc>
        <w:tc>
          <w:tcPr>
            <w:tcW w:w="722" w:type="dxa"/>
            <w:tcBorders>
              <w:top w:val="single" w:color="auto" w:sz="4" w:space="0"/>
              <w:left w:val="single" w:color="auto" w:sz="4" w:space="0"/>
              <w:bottom w:val="single" w:color="auto" w:sz="4" w:space="0"/>
              <w:right w:val="single" w:color="auto" w:sz="4" w:space="0"/>
            </w:tcBorders>
            <w:noWrap w:val="0"/>
            <w:vAlign w:val="center"/>
          </w:tcPr>
          <w:p w14:paraId="5640CF57">
            <w:pPr>
              <w:spacing w:line="0" w:lineRule="atLeast"/>
              <w:jc w:val="left"/>
              <w:rPr>
                <w:rFonts w:hint="eastAsia" w:ascii="宋体" w:hAnsi="宋体" w:cs="宋体"/>
                <w:color w:val="000000"/>
                <w:sz w:val="18"/>
                <w:szCs w:val="18"/>
              </w:rPr>
            </w:pPr>
            <w:r>
              <w:rPr>
                <w:rFonts w:hint="eastAsia" w:ascii="宋体" w:hAnsi="宋体" w:cs="宋体"/>
                <w:color w:val="000000"/>
                <w:sz w:val="18"/>
                <w:szCs w:val="18"/>
              </w:rPr>
              <w:t>姓名：</w:t>
            </w:r>
          </w:p>
          <w:p w14:paraId="69D6CA05">
            <w:pPr>
              <w:spacing w:line="0" w:lineRule="atLeast"/>
              <w:jc w:val="left"/>
              <w:rPr>
                <w:rFonts w:hint="eastAsia" w:ascii="宋体" w:hAnsi="宋体" w:cs="宋体"/>
                <w:color w:val="000000"/>
                <w:sz w:val="18"/>
                <w:szCs w:val="18"/>
              </w:rPr>
            </w:pPr>
            <w:r>
              <w:rPr>
                <w:rFonts w:hint="eastAsia" w:ascii="宋体" w:hAnsi="宋体" w:cs="宋体"/>
                <w:color w:val="000000"/>
                <w:sz w:val="18"/>
                <w:szCs w:val="18"/>
              </w:rPr>
              <w:t>证书名称：</w:t>
            </w:r>
          </w:p>
          <w:p w14:paraId="3CE1987B">
            <w:pPr>
              <w:spacing w:line="0" w:lineRule="atLeast"/>
              <w:jc w:val="left"/>
              <w:rPr>
                <w:rFonts w:hint="eastAsia" w:ascii="宋体" w:hAnsi="宋体" w:cs="宋体"/>
                <w:color w:val="000000"/>
                <w:sz w:val="18"/>
                <w:szCs w:val="18"/>
              </w:rPr>
            </w:pPr>
            <w:r>
              <w:rPr>
                <w:rFonts w:hint="eastAsia" w:ascii="宋体" w:hAnsi="宋体" w:cs="宋体"/>
                <w:color w:val="000000"/>
                <w:sz w:val="18"/>
                <w:szCs w:val="18"/>
              </w:rPr>
              <w:t>注册编号：</w:t>
            </w:r>
          </w:p>
          <w:p w14:paraId="1A26E563">
            <w:pPr>
              <w:spacing w:line="0" w:lineRule="atLeast"/>
              <w:jc w:val="left"/>
              <w:rPr>
                <w:rFonts w:hint="eastAsia" w:ascii="宋体" w:hAnsi="宋体" w:cs="宋体"/>
                <w:color w:val="000000"/>
                <w:szCs w:val="21"/>
              </w:rPr>
            </w:pPr>
            <w:r>
              <w:rPr>
                <w:rFonts w:hint="eastAsia" w:ascii="宋体" w:hAnsi="宋体" w:cs="宋体"/>
                <w:color w:val="000000"/>
                <w:sz w:val="18"/>
                <w:szCs w:val="18"/>
              </w:rPr>
              <w:t>身份证号码：</w:t>
            </w:r>
          </w:p>
        </w:tc>
        <w:tc>
          <w:tcPr>
            <w:tcW w:w="919" w:type="dxa"/>
            <w:tcBorders>
              <w:top w:val="single" w:color="auto" w:sz="4" w:space="0"/>
              <w:left w:val="single" w:color="auto" w:sz="4" w:space="0"/>
              <w:bottom w:val="single" w:color="auto" w:sz="4" w:space="0"/>
              <w:right w:val="single" w:color="auto" w:sz="4" w:space="0"/>
            </w:tcBorders>
            <w:noWrap w:val="0"/>
            <w:vAlign w:val="center"/>
          </w:tcPr>
          <w:p w14:paraId="6CCF3E22">
            <w:pPr>
              <w:spacing w:line="0" w:lineRule="atLeast"/>
              <w:jc w:val="left"/>
              <w:rPr>
                <w:rFonts w:hint="eastAsia" w:ascii="宋体" w:hAnsi="宋体" w:cs="宋体"/>
                <w:color w:val="000000"/>
                <w:sz w:val="16"/>
                <w:szCs w:val="16"/>
              </w:rPr>
            </w:pPr>
            <w:r>
              <w:rPr>
                <w:rFonts w:hint="eastAsia" w:ascii="宋体" w:hAnsi="宋体" w:cs="宋体"/>
                <w:color w:val="000000"/>
                <w:sz w:val="16"/>
                <w:szCs w:val="16"/>
              </w:rPr>
              <w:t>姓名：</w:t>
            </w:r>
          </w:p>
          <w:p w14:paraId="11EDAACA">
            <w:pPr>
              <w:spacing w:line="0" w:lineRule="atLeast"/>
              <w:jc w:val="left"/>
              <w:rPr>
                <w:rFonts w:hint="eastAsia" w:ascii="宋体" w:hAnsi="宋体" w:cs="宋体"/>
                <w:color w:val="000000"/>
                <w:sz w:val="16"/>
                <w:szCs w:val="16"/>
              </w:rPr>
            </w:pPr>
            <w:r>
              <w:rPr>
                <w:rFonts w:hint="eastAsia" w:ascii="宋体" w:hAnsi="宋体" w:cs="宋体"/>
                <w:color w:val="000000"/>
                <w:sz w:val="16"/>
                <w:szCs w:val="16"/>
              </w:rPr>
              <w:t>证书名称：</w:t>
            </w:r>
          </w:p>
          <w:p w14:paraId="08581768">
            <w:pPr>
              <w:spacing w:line="0" w:lineRule="atLeast"/>
              <w:jc w:val="left"/>
              <w:rPr>
                <w:rFonts w:hint="eastAsia" w:ascii="宋体" w:hAnsi="宋体" w:cs="宋体"/>
                <w:color w:val="000000"/>
                <w:sz w:val="16"/>
                <w:szCs w:val="16"/>
              </w:rPr>
            </w:pPr>
            <w:r>
              <w:rPr>
                <w:rFonts w:hint="eastAsia" w:ascii="宋体" w:hAnsi="宋体" w:cs="宋体"/>
                <w:color w:val="000000"/>
                <w:sz w:val="16"/>
                <w:szCs w:val="16"/>
              </w:rPr>
              <w:t>注册编号：</w:t>
            </w:r>
          </w:p>
          <w:p w14:paraId="61B66D3A">
            <w:pPr>
              <w:spacing w:line="0" w:lineRule="atLeast"/>
              <w:jc w:val="left"/>
              <w:rPr>
                <w:rFonts w:hint="eastAsia" w:ascii="宋体" w:hAnsi="宋体" w:cs="宋体"/>
                <w:color w:val="000000"/>
                <w:szCs w:val="21"/>
              </w:rPr>
            </w:pPr>
            <w:r>
              <w:rPr>
                <w:rFonts w:hint="eastAsia" w:ascii="宋体" w:hAnsi="宋体" w:cs="宋体"/>
                <w:color w:val="000000"/>
                <w:sz w:val="16"/>
                <w:szCs w:val="16"/>
              </w:rPr>
              <w:t>身份证号码：</w:t>
            </w:r>
          </w:p>
        </w:tc>
        <w:tc>
          <w:tcPr>
            <w:tcW w:w="940" w:type="dxa"/>
            <w:tcBorders>
              <w:top w:val="single" w:color="auto" w:sz="4" w:space="0"/>
              <w:left w:val="single" w:color="auto" w:sz="4" w:space="0"/>
              <w:bottom w:val="single" w:color="auto" w:sz="4" w:space="0"/>
              <w:right w:val="single" w:color="auto" w:sz="4" w:space="0"/>
            </w:tcBorders>
            <w:noWrap w:val="0"/>
            <w:vAlign w:val="center"/>
          </w:tcPr>
          <w:p w14:paraId="7F74D9C1">
            <w:pPr>
              <w:spacing w:line="500" w:lineRule="exact"/>
              <w:jc w:val="left"/>
              <w:rPr>
                <w:rFonts w:hint="eastAsia" w:ascii="宋体" w:hAnsi="宋体" w:cs="宋体"/>
                <w:color w:val="000000"/>
                <w:szCs w:val="21"/>
              </w:rPr>
            </w:pPr>
          </w:p>
        </w:tc>
      </w:tr>
      <w:tr w14:paraId="41EE9E18">
        <w:tblPrEx>
          <w:tblCellMar>
            <w:top w:w="0" w:type="dxa"/>
            <w:left w:w="108" w:type="dxa"/>
            <w:bottom w:w="0" w:type="dxa"/>
            <w:right w:w="108" w:type="dxa"/>
          </w:tblCellMar>
        </w:tblPrEx>
        <w:trPr>
          <w:trHeight w:val="676" w:hRule="atLeast"/>
          <w:jc w:val="center"/>
        </w:trPr>
        <w:tc>
          <w:tcPr>
            <w:tcW w:w="435" w:type="dxa"/>
            <w:tcBorders>
              <w:top w:val="single" w:color="auto" w:sz="4" w:space="0"/>
              <w:left w:val="single" w:color="auto" w:sz="4" w:space="0"/>
              <w:bottom w:val="single" w:color="auto" w:sz="4" w:space="0"/>
              <w:right w:val="single" w:color="auto" w:sz="4" w:space="0"/>
            </w:tcBorders>
            <w:noWrap w:val="0"/>
            <w:vAlign w:val="top"/>
          </w:tcPr>
          <w:p w14:paraId="441C0AEC">
            <w:pPr>
              <w:spacing w:line="500" w:lineRule="exact"/>
              <w:jc w:val="center"/>
              <w:rPr>
                <w:rFonts w:hint="eastAsia" w:ascii="宋体" w:hAnsi="宋体" w:cs="宋体"/>
                <w:color w:val="000000"/>
                <w:szCs w:val="21"/>
              </w:rPr>
            </w:pPr>
            <w:r>
              <w:rPr>
                <w:rFonts w:hint="eastAsia" w:ascii="宋体" w:hAnsi="宋体" w:cs="宋体"/>
                <w:color w:val="000000"/>
                <w:szCs w:val="21"/>
              </w:rPr>
              <w:t>…</w:t>
            </w:r>
          </w:p>
        </w:tc>
        <w:tc>
          <w:tcPr>
            <w:tcW w:w="560" w:type="dxa"/>
            <w:tcBorders>
              <w:top w:val="single" w:color="auto" w:sz="4" w:space="0"/>
              <w:left w:val="single" w:color="auto" w:sz="4" w:space="0"/>
              <w:bottom w:val="single" w:color="auto" w:sz="4" w:space="0"/>
              <w:right w:val="single" w:color="auto" w:sz="4" w:space="0"/>
            </w:tcBorders>
            <w:noWrap w:val="0"/>
            <w:vAlign w:val="top"/>
          </w:tcPr>
          <w:p w14:paraId="3A508689">
            <w:pPr>
              <w:spacing w:line="500" w:lineRule="exact"/>
              <w:jc w:val="center"/>
              <w:rPr>
                <w:rFonts w:hint="eastAsia" w:ascii="宋体" w:hAnsi="宋体" w:cs="宋体"/>
                <w:color w:val="000000"/>
                <w:szCs w:val="21"/>
              </w:rPr>
            </w:pPr>
            <w:r>
              <w:rPr>
                <w:rFonts w:hint="eastAsia" w:ascii="宋体" w:hAnsi="宋体" w:cs="宋体"/>
                <w:color w:val="000000"/>
                <w:szCs w:val="21"/>
              </w:rPr>
              <w:t>…</w:t>
            </w:r>
          </w:p>
        </w:tc>
        <w:tc>
          <w:tcPr>
            <w:tcW w:w="536" w:type="dxa"/>
            <w:tcBorders>
              <w:top w:val="single" w:color="auto" w:sz="4" w:space="0"/>
              <w:left w:val="single" w:color="auto" w:sz="4" w:space="0"/>
              <w:bottom w:val="single" w:color="auto" w:sz="4" w:space="0"/>
              <w:right w:val="single" w:color="auto" w:sz="4" w:space="0"/>
            </w:tcBorders>
            <w:noWrap w:val="0"/>
            <w:vAlign w:val="top"/>
          </w:tcPr>
          <w:p w14:paraId="2DC38324">
            <w:pPr>
              <w:spacing w:line="500" w:lineRule="exact"/>
              <w:jc w:val="center"/>
              <w:rPr>
                <w:rFonts w:hint="eastAsia" w:ascii="宋体" w:hAnsi="宋体" w:cs="宋体"/>
                <w:color w:val="000000"/>
                <w:szCs w:val="21"/>
              </w:rPr>
            </w:pPr>
            <w:r>
              <w:rPr>
                <w:rFonts w:hint="eastAsia" w:ascii="宋体" w:hAnsi="宋体" w:cs="宋体"/>
                <w:color w:val="000000"/>
                <w:szCs w:val="21"/>
              </w:rPr>
              <w:t>…</w:t>
            </w:r>
          </w:p>
        </w:tc>
        <w:tc>
          <w:tcPr>
            <w:tcW w:w="366" w:type="dxa"/>
            <w:tcBorders>
              <w:top w:val="single" w:color="auto" w:sz="4" w:space="0"/>
              <w:left w:val="single" w:color="auto" w:sz="4" w:space="0"/>
              <w:bottom w:val="single" w:color="auto" w:sz="4" w:space="0"/>
              <w:right w:val="single" w:color="auto" w:sz="4" w:space="0"/>
            </w:tcBorders>
            <w:noWrap w:val="0"/>
            <w:vAlign w:val="top"/>
          </w:tcPr>
          <w:p w14:paraId="627EB03F">
            <w:pPr>
              <w:spacing w:line="500" w:lineRule="exact"/>
              <w:jc w:val="center"/>
              <w:rPr>
                <w:rFonts w:hint="eastAsia" w:ascii="宋体" w:hAnsi="宋体" w:cs="宋体"/>
                <w:color w:val="000000"/>
                <w:szCs w:val="21"/>
              </w:rPr>
            </w:pPr>
            <w:r>
              <w:rPr>
                <w:rFonts w:hint="eastAsia" w:ascii="宋体" w:hAnsi="宋体" w:cs="宋体"/>
                <w:color w:val="000000"/>
                <w:szCs w:val="21"/>
              </w:rPr>
              <w:t>…</w:t>
            </w:r>
          </w:p>
        </w:tc>
        <w:tc>
          <w:tcPr>
            <w:tcW w:w="389" w:type="dxa"/>
            <w:tcBorders>
              <w:top w:val="single" w:color="auto" w:sz="4" w:space="0"/>
              <w:left w:val="single" w:color="auto" w:sz="4" w:space="0"/>
              <w:bottom w:val="single" w:color="auto" w:sz="4" w:space="0"/>
              <w:right w:val="single" w:color="auto" w:sz="4" w:space="0"/>
            </w:tcBorders>
            <w:noWrap w:val="0"/>
            <w:vAlign w:val="top"/>
          </w:tcPr>
          <w:p w14:paraId="3BFF8334">
            <w:pPr>
              <w:spacing w:line="500" w:lineRule="exact"/>
              <w:jc w:val="center"/>
              <w:rPr>
                <w:rFonts w:hint="eastAsia" w:ascii="宋体" w:hAnsi="宋体" w:cs="宋体"/>
                <w:color w:val="000000"/>
                <w:szCs w:val="21"/>
              </w:rPr>
            </w:pPr>
            <w:r>
              <w:rPr>
                <w:rFonts w:hint="eastAsia" w:ascii="宋体" w:hAnsi="宋体" w:cs="宋体"/>
                <w:color w:val="000000"/>
                <w:szCs w:val="21"/>
              </w:rPr>
              <w:t>…</w:t>
            </w:r>
          </w:p>
        </w:tc>
        <w:tc>
          <w:tcPr>
            <w:tcW w:w="546" w:type="dxa"/>
            <w:tcBorders>
              <w:top w:val="single" w:color="auto" w:sz="4" w:space="0"/>
              <w:left w:val="single" w:color="auto" w:sz="4" w:space="0"/>
              <w:bottom w:val="single" w:color="auto" w:sz="4" w:space="0"/>
              <w:right w:val="single" w:color="auto" w:sz="4" w:space="0"/>
            </w:tcBorders>
            <w:noWrap w:val="0"/>
            <w:vAlign w:val="top"/>
          </w:tcPr>
          <w:p w14:paraId="5A563EE7">
            <w:pPr>
              <w:spacing w:line="500" w:lineRule="exact"/>
              <w:jc w:val="center"/>
              <w:rPr>
                <w:rFonts w:hint="eastAsia" w:ascii="宋体" w:hAnsi="宋体" w:cs="宋体"/>
                <w:color w:val="000000"/>
                <w:szCs w:val="21"/>
              </w:rPr>
            </w:pPr>
            <w:r>
              <w:rPr>
                <w:rFonts w:hint="eastAsia" w:ascii="宋体" w:hAnsi="宋体" w:cs="宋体"/>
                <w:color w:val="000000"/>
                <w:szCs w:val="21"/>
              </w:rPr>
              <w:t>…</w:t>
            </w:r>
          </w:p>
        </w:tc>
        <w:tc>
          <w:tcPr>
            <w:tcW w:w="534" w:type="dxa"/>
            <w:tcBorders>
              <w:top w:val="single" w:color="auto" w:sz="4" w:space="0"/>
              <w:left w:val="single" w:color="auto" w:sz="4" w:space="0"/>
              <w:bottom w:val="single" w:color="auto" w:sz="4" w:space="0"/>
              <w:right w:val="single" w:color="auto" w:sz="4" w:space="0"/>
            </w:tcBorders>
            <w:noWrap w:val="0"/>
            <w:vAlign w:val="top"/>
          </w:tcPr>
          <w:p w14:paraId="7E46AFF4">
            <w:pPr>
              <w:spacing w:line="500" w:lineRule="exact"/>
              <w:jc w:val="center"/>
              <w:rPr>
                <w:rFonts w:hint="eastAsia" w:ascii="宋体" w:hAnsi="宋体" w:cs="宋体"/>
                <w:color w:val="000000"/>
                <w:szCs w:val="21"/>
              </w:rPr>
            </w:pPr>
            <w:r>
              <w:rPr>
                <w:rFonts w:hint="eastAsia" w:ascii="宋体" w:hAnsi="宋体" w:cs="宋体"/>
                <w:color w:val="000000"/>
                <w:szCs w:val="21"/>
              </w:rPr>
              <w:t>…</w:t>
            </w:r>
          </w:p>
        </w:tc>
        <w:tc>
          <w:tcPr>
            <w:tcW w:w="878" w:type="dxa"/>
            <w:tcBorders>
              <w:top w:val="single" w:color="auto" w:sz="4" w:space="0"/>
              <w:left w:val="single" w:color="auto" w:sz="4" w:space="0"/>
              <w:bottom w:val="single" w:color="auto" w:sz="4" w:space="0"/>
              <w:right w:val="single" w:color="auto" w:sz="4" w:space="0"/>
            </w:tcBorders>
            <w:noWrap w:val="0"/>
            <w:vAlign w:val="top"/>
          </w:tcPr>
          <w:p w14:paraId="1BE49525">
            <w:pPr>
              <w:spacing w:line="500" w:lineRule="exact"/>
              <w:jc w:val="center"/>
              <w:rPr>
                <w:rFonts w:hint="eastAsia" w:ascii="宋体" w:hAnsi="宋体" w:cs="宋体"/>
                <w:color w:val="000000"/>
                <w:szCs w:val="21"/>
              </w:rPr>
            </w:pPr>
          </w:p>
        </w:tc>
        <w:tc>
          <w:tcPr>
            <w:tcW w:w="681" w:type="dxa"/>
            <w:tcBorders>
              <w:top w:val="single" w:color="auto" w:sz="4" w:space="0"/>
              <w:left w:val="single" w:color="auto" w:sz="4" w:space="0"/>
              <w:bottom w:val="single" w:color="auto" w:sz="4" w:space="0"/>
              <w:right w:val="single" w:color="auto" w:sz="4" w:space="0"/>
            </w:tcBorders>
            <w:noWrap w:val="0"/>
            <w:vAlign w:val="top"/>
          </w:tcPr>
          <w:p w14:paraId="0B7BF951">
            <w:pPr>
              <w:spacing w:line="500" w:lineRule="exact"/>
              <w:jc w:val="center"/>
              <w:rPr>
                <w:rFonts w:hint="eastAsia" w:ascii="宋体" w:hAnsi="宋体" w:cs="宋体"/>
                <w:color w:val="000000"/>
                <w:szCs w:val="21"/>
              </w:rPr>
            </w:pPr>
            <w:r>
              <w:rPr>
                <w:rFonts w:hint="eastAsia" w:ascii="宋体" w:hAnsi="宋体" w:cs="宋体"/>
                <w:color w:val="000000"/>
                <w:szCs w:val="21"/>
              </w:rPr>
              <w:t>…</w:t>
            </w:r>
          </w:p>
        </w:tc>
        <w:tc>
          <w:tcPr>
            <w:tcW w:w="727" w:type="dxa"/>
            <w:tcBorders>
              <w:top w:val="single" w:color="auto" w:sz="4" w:space="0"/>
              <w:left w:val="single" w:color="auto" w:sz="4" w:space="0"/>
              <w:bottom w:val="single" w:color="auto" w:sz="4" w:space="0"/>
              <w:right w:val="single" w:color="auto" w:sz="4" w:space="0"/>
            </w:tcBorders>
            <w:noWrap w:val="0"/>
            <w:vAlign w:val="top"/>
          </w:tcPr>
          <w:p w14:paraId="164457E1">
            <w:pPr>
              <w:spacing w:line="500" w:lineRule="exact"/>
              <w:jc w:val="center"/>
              <w:rPr>
                <w:rFonts w:hint="eastAsia" w:ascii="宋体" w:hAnsi="宋体" w:cs="宋体"/>
                <w:color w:val="000000"/>
                <w:szCs w:val="21"/>
              </w:rPr>
            </w:pPr>
            <w:r>
              <w:rPr>
                <w:rFonts w:hint="eastAsia" w:ascii="宋体" w:hAnsi="宋体" w:cs="宋体"/>
                <w:color w:val="000000"/>
                <w:szCs w:val="21"/>
              </w:rPr>
              <w:t>…</w:t>
            </w:r>
          </w:p>
        </w:tc>
        <w:tc>
          <w:tcPr>
            <w:tcW w:w="603" w:type="dxa"/>
            <w:tcBorders>
              <w:top w:val="single" w:color="auto" w:sz="4" w:space="0"/>
              <w:left w:val="single" w:color="auto" w:sz="4" w:space="0"/>
              <w:bottom w:val="single" w:color="auto" w:sz="4" w:space="0"/>
              <w:right w:val="single" w:color="auto" w:sz="4" w:space="0"/>
            </w:tcBorders>
            <w:noWrap w:val="0"/>
            <w:vAlign w:val="top"/>
          </w:tcPr>
          <w:p w14:paraId="2409245A">
            <w:pPr>
              <w:spacing w:line="500" w:lineRule="exact"/>
              <w:jc w:val="center"/>
              <w:rPr>
                <w:rFonts w:hint="eastAsia" w:ascii="宋体" w:hAnsi="宋体" w:cs="宋体"/>
                <w:color w:val="000000"/>
                <w:szCs w:val="21"/>
              </w:rPr>
            </w:pPr>
            <w:r>
              <w:rPr>
                <w:rFonts w:hint="eastAsia" w:ascii="宋体" w:hAnsi="宋体" w:cs="宋体"/>
                <w:color w:val="000000"/>
                <w:szCs w:val="21"/>
              </w:rPr>
              <w:t>…</w:t>
            </w:r>
          </w:p>
        </w:tc>
        <w:tc>
          <w:tcPr>
            <w:tcW w:w="789" w:type="dxa"/>
            <w:tcBorders>
              <w:top w:val="single" w:color="auto" w:sz="4" w:space="0"/>
              <w:left w:val="single" w:color="auto" w:sz="4" w:space="0"/>
              <w:bottom w:val="single" w:color="auto" w:sz="4" w:space="0"/>
              <w:right w:val="single" w:color="auto" w:sz="4" w:space="0"/>
            </w:tcBorders>
            <w:noWrap w:val="0"/>
            <w:vAlign w:val="top"/>
          </w:tcPr>
          <w:p w14:paraId="6D35F01A">
            <w:pPr>
              <w:spacing w:line="500" w:lineRule="exact"/>
              <w:jc w:val="center"/>
              <w:rPr>
                <w:rFonts w:hint="eastAsia" w:ascii="宋体" w:hAnsi="宋体" w:cs="宋体"/>
                <w:color w:val="000000"/>
                <w:szCs w:val="21"/>
              </w:rPr>
            </w:pPr>
          </w:p>
        </w:tc>
        <w:tc>
          <w:tcPr>
            <w:tcW w:w="716" w:type="dxa"/>
            <w:tcBorders>
              <w:top w:val="single" w:color="auto" w:sz="4" w:space="0"/>
              <w:left w:val="single" w:color="auto" w:sz="4" w:space="0"/>
              <w:bottom w:val="single" w:color="auto" w:sz="4" w:space="0"/>
              <w:right w:val="single" w:color="auto" w:sz="4" w:space="0"/>
            </w:tcBorders>
            <w:noWrap w:val="0"/>
            <w:vAlign w:val="top"/>
          </w:tcPr>
          <w:p w14:paraId="2C7C916C">
            <w:pPr>
              <w:spacing w:line="500" w:lineRule="exact"/>
              <w:jc w:val="center"/>
              <w:rPr>
                <w:rFonts w:hint="eastAsia" w:ascii="宋体" w:hAnsi="宋体" w:cs="宋体"/>
                <w:color w:val="000000"/>
                <w:szCs w:val="21"/>
              </w:rPr>
            </w:pPr>
          </w:p>
        </w:tc>
        <w:tc>
          <w:tcPr>
            <w:tcW w:w="722" w:type="dxa"/>
            <w:tcBorders>
              <w:top w:val="single" w:color="auto" w:sz="4" w:space="0"/>
              <w:left w:val="single" w:color="auto" w:sz="4" w:space="0"/>
              <w:bottom w:val="single" w:color="auto" w:sz="4" w:space="0"/>
              <w:right w:val="single" w:color="auto" w:sz="4" w:space="0"/>
            </w:tcBorders>
            <w:noWrap w:val="0"/>
            <w:vAlign w:val="top"/>
          </w:tcPr>
          <w:p w14:paraId="36EB2ED9">
            <w:pPr>
              <w:spacing w:line="500" w:lineRule="exact"/>
              <w:jc w:val="center"/>
              <w:rPr>
                <w:rFonts w:hint="eastAsia" w:ascii="宋体" w:hAnsi="宋体" w:cs="宋体"/>
                <w:color w:val="000000"/>
                <w:szCs w:val="21"/>
              </w:rPr>
            </w:pPr>
            <w:r>
              <w:rPr>
                <w:rFonts w:hint="eastAsia" w:ascii="宋体" w:hAnsi="宋体" w:cs="宋体"/>
                <w:color w:val="000000"/>
                <w:szCs w:val="21"/>
              </w:rPr>
              <w:t>…</w:t>
            </w:r>
          </w:p>
        </w:tc>
        <w:tc>
          <w:tcPr>
            <w:tcW w:w="919" w:type="dxa"/>
            <w:tcBorders>
              <w:top w:val="single" w:color="auto" w:sz="4" w:space="0"/>
              <w:left w:val="single" w:color="auto" w:sz="4" w:space="0"/>
              <w:bottom w:val="single" w:color="auto" w:sz="4" w:space="0"/>
              <w:right w:val="single" w:color="auto" w:sz="4" w:space="0"/>
            </w:tcBorders>
            <w:noWrap w:val="0"/>
            <w:vAlign w:val="top"/>
          </w:tcPr>
          <w:p w14:paraId="2E5A4520">
            <w:pPr>
              <w:spacing w:line="500" w:lineRule="exact"/>
              <w:jc w:val="center"/>
              <w:rPr>
                <w:rFonts w:hint="eastAsia" w:ascii="宋体" w:hAnsi="宋体" w:cs="宋体"/>
                <w:color w:val="000000"/>
                <w:szCs w:val="21"/>
              </w:rPr>
            </w:pPr>
          </w:p>
        </w:tc>
        <w:tc>
          <w:tcPr>
            <w:tcW w:w="940" w:type="dxa"/>
            <w:tcBorders>
              <w:top w:val="single" w:color="auto" w:sz="4" w:space="0"/>
              <w:left w:val="single" w:color="auto" w:sz="4" w:space="0"/>
              <w:bottom w:val="single" w:color="auto" w:sz="4" w:space="0"/>
              <w:right w:val="single" w:color="auto" w:sz="4" w:space="0"/>
            </w:tcBorders>
            <w:noWrap w:val="0"/>
            <w:vAlign w:val="top"/>
          </w:tcPr>
          <w:p w14:paraId="5F12D892">
            <w:r>
              <w:rPr>
                <w:rFonts w:hint="eastAsia" w:ascii="宋体" w:hAnsi="宋体" w:cs="宋体"/>
                <w:color w:val="000000"/>
                <w:szCs w:val="21"/>
              </w:rPr>
              <w:t>…</w:t>
            </w:r>
          </w:p>
          <w:p w14:paraId="3B3CA1E8">
            <w:pPr>
              <w:spacing w:line="500" w:lineRule="exact"/>
              <w:jc w:val="center"/>
              <w:rPr>
                <w:rFonts w:hint="eastAsia" w:ascii="宋体" w:hAnsi="宋体" w:cs="宋体"/>
                <w:color w:val="000000"/>
                <w:szCs w:val="21"/>
              </w:rPr>
            </w:pPr>
          </w:p>
        </w:tc>
      </w:tr>
      <w:tr w14:paraId="1E9C4FE1">
        <w:tblPrEx>
          <w:tblCellMar>
            <w:top w:w="0" w:type="dxa"/>
            <w:left w:w="108" w:type="dxa"/>
            <w:bottom w:w="0" w:type="dxa"/>
            <w:right w:w="108" w:type="dxa"/>
          </w:tblCellMar>
        </w:tblPrEx>
        <w:trPr>
          <w:trHeight w:val="510" w:hRule="atLeast"/>
          <w:jc w:val="center"/>
        </w:trPr>
        <w:tc>
          <w:tcPr>
            <w:tcW w:w="2832" w:type="dxa"/>
            <w:gridSpan w:val="6"/>
            <w:tcBorders>
              <w:top w:val="single" w:color="auto" w:sz="4" w:space="0"/>
              <w:left w:val="single" w:color="auto" w:sz="4" w:space="0"/>
              <w:bottom w:val="single" w:color="auto" w:sz="4" w:space="0"/>
              <w:right w:val="single" w:color="auto" w:sz="4" w:space="0"/>
            </w:tcBorders>
            <w:noWrap w:val="0"/>
            <w:vAlign w:val="center"/>
          </w:tcPr>
          <w:p w14:paraId="72734D3F">
            <w:pPr>
              <w:jc w:val="center"/>
              <w:rPr>
                <w:rFonts w:hint="eastAsia" w:ascii="宋体" w:hAnsi="宋体" w:cs="宋体"/>
                <w:color w:val="000000"/>
                <w:sz w:val="18"/>
                <w:szCs w:val="18"/>
              </w:rPr>
            </w:pPr>
            <w:r>
              <w:rPr>
                <w:rFonts w:hint="eastAsia" w:ascii="宋体" w:hAnsi="宋体" w:cs="宋体"/>
                <w:color w:val="000000"/>
                <w:szCs w:val="21"/>
              </w:rPr>
              <w:t>招标人编制的标底/最高限价</w:t>
            </w:r>
          </w:p>
        </w:tc>
        <w:tc>
          <w:tcPr>
            <w:tcW w:w="7509" w:type="dxa"/>
            <w:gridSpan w:val="10"/>
            <w:tcBorders>
              <w:top w:val="single" w:color="auto" w:sz="4" w:space="0"/>
              <w:left w:val="single" w:color="auto" w:sz="4" w:space="0"/>
              <w:bottom w:val="single" w:color="auto" w:sz="4" w:space="0"/>
              <w:right w:val="single" w:color="auto" w:sz="4" w:space="0"/>
            </w:tcBorders>
            <w:noWrap w:val="0"/>
            <w:vAlign w:val="top"/>
          </w:tcPr>
          <w:p w14:paraId="3CE450E6">
            <w:pPr>
              <w:spacing w:line="500" w:lineRule="exact"/>
              <w:jc w:val="left"/>
              <w:rPr>
                <w:rFonts w:hint="eastAsia" w:ascii="宋体" w:hAnsi="宋体" w:cs="宋体"/>
                <w:color w:val="000000"/>
                <w:szCs w:val="21"/>
              </w:rPr>
            </w:pPr>
          </w:p>
        </w:tc>
      </w:tr>
    </w:tbl>
    <w:p w14:paraId="3EE0FC6E">
      <w:pPr>
        <w:spacing w:line="440" w:lineRule="exact"/>
        <w:rPr>
          <w:rFonts w:hint="eastAsia" w:ascii="宋体" w:hAnsi="宋体" w:cs="宋体"/>
          <w:color w:val="000000" w:themeColor="text1"/>
          <w:szCs w:val="21"/>
          <w14:textFill>
            <w14:solidFill>
              <w14:schemeClr w14:val="tx1"/>
            </w14:solidFill>
          </w14:textFill>
        </w:rPr>
      </w:pPr>
    </w:p>
    <w:p w14:paraId="240C5C15">
      <w:pPr>
        <w:pStyle w:val="18"/>
        <w:ind w:left="0" w:leftChars="0" w:right="1470"/>
        <w:jc w:val="left"/>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注：此格式仅供参考，具体以开标系统生成的开标（唱标）一览表为准。</w:t>
      </w:r>
    </w:p>
    <w:p w14:paraId="459EB389">
      <w:pPr>
        <w:rPr>
          <w:rFonts w:hint="eastAsia" w:ascii="宋体" w:hAnsi="宋体" w:cs="宋体"/>
          <w:color w:val="000000" w:themeColor="text1"/>
          <w14:textFill>
            <w14:solidFill>
              <w14:schemeClr w14:val="tx1"/>
            </w14:solidFill>
          </w14:textFill>
        </w:rPr>
      </w:pPr>
    </w:p>
    <w:p w14:paraId="0E403EEA">
      <w:pPr>
        <w:pStyle w:val="24"/>
        <w:rPr>
          <w:rFonts w:hint="eastAsia" w:ascii="宋体" w:hAnsi="宋体" w:cs="宋体"/>
          <w:color w:val="000000" w:themeColor="text1"/>
          <w14:textFill>
            <w14:solidFill>
              <w14:schemeClr w14:val="tx1"/>
            </w14:solidFill>
          </w14:textFill>
        </w:rPr>
      </w:pPr>
    </w:p>
    <w:p w14:paraId="634747A6">
      <w:pPr>
        <w:pStyle w:val="24"/>
        <w:rPr>
          <w:rFonts w:hint="eastAsia" w:ascii="宋体" w:hAnsi="宋体" w:cs="宋体"/>
          <w:color w:val="000000" w:themeColor="text1"/>
          <w14:textFill>
            <w14:solidFill>
              <w14:schemeClr w14:val="tx1"/>
            </w14:solidFill>
          </w14:textFill>
        </w:rPr>
      </w:pPr>
    </w:p>
    <w:p w14:paraId="457E15E6">
      <w:pPr>
        <w:spacing w:line="620" w:lineRule="exact"/>
        <w:ind w:firstLine="420" w:firstLineChars="200"/>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招标人代表：</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记录人：</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监标人：</w:t>
      </w:r>
      <w:r>
        <w:rPr>
          <w:rFonts w:hint="eastAsia" w:ascii="宋体" w:hAnsi="宋体" w:cs="宋体"/>
          <w:strike/>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p>
    <w:p w14:paraId="275515DF">
      <w:pPr>
        <w:spacing w:line="6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p>
    <w:p w14:paraId="65AC3F20">
      <w:pPr>
        <w:spacing w:line="620" w:lineRule="exact"/>
        <w:jc w:val="right"/>
        <w:rPr>
          <w:rFonts w:hint="eastAsia" w:ascii="宋体" w:hAnsi="宋体" w:cs="宋体"/>
          <w:color w:val="000000" w:themeColor="text1"/>
          <w:szCs w:val="21"/>
          <w14:textFill>
            <w14:solidFill>
              <w14:schemeClr w14:val="tx1"/>
            </w14:solidFill>
          </w14:textFill>
        </w:rPr>
      </w:pPr>
    </w:p>
    <w:p w14:paraId="4B292B9A">
      <w:pPr>
        <w:spacing w:line="620" w:lineRule="exact"/>
        <w:ind w:firstLine="420" w:firstLineChars="200"/>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  期：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年</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月</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日</w:t>
      </w:r>
    </w:p>
    <w:p w14:paraId="37795261">
      <w:pPr>
        <w:rPr>
          <w:rFonts w:hint="eastAsia" w:ascii="宋体" w:hAnsi="宋体" w:cs="宋体"/>
          <w:color w:val="000000" w:themeColor="text1"/>
          <w14:textFill>
            <w14:solidFill>
              <w14:schemeClr w14:val="tx1"/>
            </w14:solidFill>
          </w14:textFill>
        </w:rPr>
      </w:pPr>
    </w:p>
    <w:p w14:paraId="36C3A7E3">
      <w:pPr>
        <w:rPr>
          <w:rFonts w:hint="eastAsia" w:ascii="宋体" w:hAnsi="宋体" w:cs="宋体"/>
          <w:color w:val="000000" w:themeColor="text1"/>
          <w14:textFill>
            <w14:solidFill>
              <w14:schemeClr w14:val="tx1"/>
            </w14:solidFill>
          </w14:textFill>
        </w:rPr>
      </w:pPr>
    </w:p>
    <w:p w14:paraId="2E1375BF">
      <w:pPr>
        <w:pStyle w:val="4"/>
        <w:rPr>
          <w:rFonts w:hint="eastAsia" w:ascii="宋体" w:eastAsia="宋体" w:cs="宋体"/>
          <w:color w:val="000000" w:themeColor="text1"/>
          <w14:textFill>
            <w14:solidFill>
              <w14:schemeClr w14:val="tx1"/>
            </w14:solidFill>
          </w14:textFill>
        </w:rPr>
      </w:pPr>
      <w:bookmarkStart w:id="683" w:name="_Toc14408"/>
      <w:bookmarkStart w:id="684" w:name="_Toc46412445"/>
      <w:bookmarkStart w:id="685" w:name="_Toc48853115"/>
      <w:bookmarkStart w:id="686" w:name="_Toc48853323"/>
      <w:bookmarkStart w:id="687" w:name="_Toc25029"/>
      <w:bookmarkStart w:id="688" w:name="_Toc46412107"/>
      <w:r>
        <w:rPr>
          <w:rFonts w:hint="eastAsia" w:ascii="宋体" w:eastAsia="宋体" w:cs="宋体"/>
          <w:color w:val="000000" w:themeColor="text1"/>
          <w14:textFill>
            <w14:solidFill>
              <w14:schemeClr w14:val="tx1"/>
            </w14:solidFill>
          </w14:textFill>
        </w:rPr>
        <w:t>附件二：问题澄清通知</w:t>
      </w:r>
      <w:bookmarkEnd w:id="678"/>
      <w:bookmarkEnd w:id="679"/>
      <w:bookmarkEnd w:id="680"/>
      <w:bookmarkEnd w:id="681"/>
      <w:bookmarkEnd w:id="682"/>
      <w:bookmarkEnd w:id="683"/>
      <w:bookmarkEnd w:id="684"/>
      <w:bookmarkEnd w:id="685"/>
      <w:bookmarkEnd w:id="686"/>
      <w:bookmarkEnd w:id="687"/>
      <w:bookmarkEnd w:id="688"/>
    </w:p>
    <w:p w14:paraId="51249283">
      <w:pPr>
        <w:spacing w:line="440" w:lineRule="exact"/>
        <w:jc w:val="center"/>
        <w:rPr>
          <w:rFonts w:hint="eastAsia" w:ascii="宋体" w:hAnsi="宋体" w:cs="宋体"/>
          <w:color w:val="000000" w:themeColor="text1"/>
          <w:szCs w:val="21"/>
          <w14:textFill>
            <w14:solidFill>
              <w14:schemeClr w14:val="tx1"/>
            </w14:solidFill>
          </w14:textFill>
        </w:rPr>
      </w:pPr>
    </w:p>
    <w:p w14:paraId="16457F79">
      <w:pPr>
        <w:spacing w:line="440" w:lineRule="exact"/>
        <w:jc w:val="cente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问题澄清通知</w:t>
      </w:r>
    </w:p>
    <w:p w14:paraId="1170FF88">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编号：</w:t>
      </w:r>
    </w:p>
    <w:p w14:paraId="65D1719B">
      <w:pPr>
        <w:spacing w:line="440" w:lineRule="exact"/>
        <w:rPr>
          <w:rFonts w:hint="eastAsia" w:ascii="宋体" w:hAnsi="宋体" w:cs="宋体"/>
          <w:color w:val="000000" w:themeColor="text1"/>
          <w:szCs w:val="21"/>
          <w14:textFill>
            <w14:solidFill>
              <w14:schemeClr w14:val="tx1"/>
            </w14:solidFill>
          </w14:textFill>
        </w:rPr>
      </w:pPr>
    </w:p>
    <w:p w14:paraId="680C8B5B">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（投标人名称）：</w:t>
      </w:r>
    </w:p>
    <w:p w14:paraId="4C54B4D3">
      <w:pPr>
        <w:spacing w:line="440" w:lineRule="exact"/>
        <w:rPr>
          <w:rFonts w:hint="eastAsia" w:ascii="宋体" w:hAnsi="宋体" w:cs="宋体"/>
          <w:color w:val="000000" w:themeColor="text1"/>
          <w:szCs w:val="21"/>
          <w14:textFill>
            <w14:solidFill>
              <w14:schemeClr w14:val="tx1"/>
            </w14:solidFill>
          </w14:textFill>
        </w:rPr>
      </w:pPr>
    </w:p>
    <w:p w14:paraId="4755B519">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lang w:eastAsia="zh-CN"/>
          <w14:textFill>
            <w14:solidFill>
              <w14:schemeClr w14:val="tx1"/>
            </w14:solidFill>
          </w14:textFill>
        </w:rPr>
        <w:t>（项目名称）</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招标的评标委员会，对你方的投标文件进行了仔细的审查，现需你方对下列问题以书面形式予以澄清：</w:t>
      </w:r>
    </w:p>
    <w:p w14:paraId="1869929F">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p w14:paraId="44B365A1">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1.</w:t>
      </w:r>
    </w:p>
    <w:p w14:paraId="5468CA89">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2.</w:t>
      </w:r>
    </w:p>
    <w:p w14:paraId="7A9B4F7D">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   </w:t>
      </w:r>
    </w:p>
    <w:p w14:paraId="1BCD4AB4">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p w14:paraId="6E8863E6">
      <w:pPr>
        <w:spacing w:line="440" w:lineRule="exact"/>
        <w:ind w:firstLine="549"/>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请将上述问题的澄清于</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日</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时前递交至</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（详细地址）或传真至</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（传真号码）。采用传真方式的，应在</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日</w:t>
      </w:r>
    </w:p>
    <w:p w14:paraId="151D9629">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时前将原件递交至</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（详细地址）。</w:t>
      </w:r>
    </w:p>
    <w:p w14:paraId="20E551BB">
      <w:pPr>
        <w:spacing w:line="440" w:lineRule="exact"/>
        <w:rPr>
          <w:rFonts w:hint="eastAsia" w:ascii="宋体" w:hAnsi="宋体" w:cs="宋体"/>
          <w:color w:val="000000" w:themeColor="text1"/>
          <w:szCs w:val="21"/>
          <w14:textFill>
            <w14:solidFill>
              <w14:schemeClr w14:val="tx1"/>
            </w14:solidFill>
          </w14:textFill>
        </w:rPr>
      </w:pPr>
    </w:p>
    <w:p w14:paraId="43A6BDBB">
      <w:pPr>
        <w:spacing w:line="440" w:lineRule="exact"/>
        <w:rPr>
          <w:rFonts w:hint="eastAsia" w:ascii="宋体" w:hAnsi="宋体" w:cs="宋体"/>
          <w:color w:val="000000" w:themeColor="text1"/>
          <w:szCs w:val="21"/>
          <w14:textFill>
            <w14:solidFill>
              <w14:schemeClr w14:val="tx1"/>
            </w14:solidFill>
          </w14:textFill>
        </w:rPr>
      </w:pPr>
    </w:p>
    <w:p w14:paraId="776B44A7">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评标委员会授权的招标人或招标代理机构：</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（签字）</w:t>
      </w:r>
    </w:p>
    <w:p w14:paraId="2462E3CA">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p>
    <w:p w14:paraId="06C88ECD">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日  期：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年</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月</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日</w:t>
      </w:r>
    </w:p>
    <w:p w14:paraId="332BAF95">
      <w:pPr>
        <w:spacing w:line="400" w:lineRule="exact"/>
        <w:rPr>
          <w:rFonts w:hint="eastAsia" w:ascii="宋体" w:hAnsi="宋体" w:cs="宋体"/>
          <w:color w:val="000000" w:themeColor="text1"/>
          <w14:textFill>
            <w14:solidFill>
              <w14:schemeClr w14:val="tx1"/>
            </w14:solidFill>
          </w14:textFill>
        </w:rPr>
      </w:pPr>
    </w:p>
    <w:p w14:paraId="1A061B56">
      <w:pPr>
        <w:spacing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p>
    <w:p w14:paraId="4BCDF524">
      <w:pPr>
        <w:pStyle w:val="4"/>
        <w:rPr>
          <w:rFonts w:hint="eastAsia" w:ascii="宋体" w:eastAsia="宋体" w:cs="宋体"/>
          <w:color w:val="000000" w:themeColor="text1"/>
          <w14:textFill>
            <w14:solidFill>
              <w14:schemeClr w14:val="tx1"/>
            </w14:solidFill>
          </w14:textFill>
        </w:rPr>
      </w:pPr>
      <w:bookmarkStart w:id="689" w:name="_Toc247527608"/>
      <w:bookmarkStart w:id="690" w:name="_Toc2933"/>
      <w:bookmarkStart w:id="691" w:name="_Toc46412108"/>
      <w:bookmarkStart w:id="692" w:name="_Toc152045583"/>
      <w:bookmarkStart w:id="693" w:name="_Toc152042360"/>
      <w:bookmarkStart w:id="694" w:name="_Toc48853116"/>
      <w:bookmarkStart w:id="695" w:name="_Toc144974550"/>
      <w:bookmarkStart w:id="696" w:name="_Toc46412446"/>
      <w:bookmarkStart w:id="697" w:name="_Toc48853324"/>
      <w:bookmarkStart w:id="698" w:name="_Toc22504"/>
      <w:bookmarkStart w:id="699" w:name="_Toc247514007"/>
      <w:r>
        <w:rPr>
          <w:rFonts w:hint="eastAsia" w:ascii="宋体" w:eastAsia="宋体" w:cs="宋体"/>
          <w:color w:val="000000" w:themeColor="text1"/>
          <w14:textFill>
            <w14:solidFill>
              <w14:schemeClr w14:val="tx1"/>
            </w14:solidFill>
          </w14:textFill>
        </w:rPr>
        <w:t>附件三：问题的澄清</w:t>
      </w:r>
      <w:bookmarkEnd w:id="689"/>
      <w:bookmarkEnd w:id="690"/>
      <w:bookmarkEnd w:id="691"/>
      <w:bookmarkEnd w:id="692"/>
      <w:bookmarkEnd w:id="693"/>
      <w:bookmarkEnd w:id="694"/>
      <w:bookmarkEnd w:id="695"/>
      <w:bookmarkEnd w:id="696"/>
      <w:bookmarkEnd w:id="697"/>
      <w:bookmarkEnd w:id="698"/>
      <w:bookmarkEnd w:id="699"/>
    </w:p>
    <w:p w14:paraId="29EA22CE">
      <w:pPr>
        <w:spacing w:line="400" w:lineRule="exact"/>
        <w:jc w:val="center"/>
        <w:rPr>
          <w:rFonts w:hint="eastAsia" w:ascii="宋体" w:hAnsi="宋体" w:cs="宋体"/>
          <w:color w:val="000000" w:themeColor="text1"/>
          <w:sz w:val="28"/>
          <w:szCs w:val="28"/>
          <w14:textFill>
            <w14:solidFill>
              <w14:schemeClr w14:val="tx1"/>
            </w14:solidFill>
          </w14:textFill>
        </w:rPr>
      </w:pPr>
    </w:p>
    <w:p w14:paraId="25D54EFE">
      <w:pPr>
        <w:spacing w:line="400" w:lineRule="exact"/>
        <w:jc w:val="cente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问题的澄清</w:t>
      </w:r>
    </w:p>
    <w:p w14:paraId="5E446749">
      <w:pPr>
        <w:spacing w:line="400" w:lineRule="exact"/>
        <w:ind w:firstLine="3465" w:firstLineChars="165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编号： </w:t>
      </w:r>
    </w:p>
    <w:p w14:paraId="46153B56">
      <w:pPr>
        <w:spacing w:line="400" w:lineRule="exact"/>
        <w:rPr>
          <w:rFonts w:hint="eastAsia" w:ascii="宋体" w:hAnsi="宋体" w:cs="宋体"/>
          <w:color w:val="000000" w:themeColor="text1"/>
          <w:szCs w:val="21"/>
          <w14:textFill>
            <w14:solidFill>
              <w14:schemeClr w14:val="tx1"/>
            </w14:solidFill>
          </w14:textFill>
        </w:rPr>
      </w:pPr>
    </w:p>
    <w:p w14:paraId="1C684D17">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u w:val="single"/>
          <w:lang w:eastAsia="zh-CN"/>
          <w14:textFill>
            <w14:solidFill>
              <w14:schemeClr w14:val="tx1"/>
            </w14:solidFill>
          </w14:textFill>
        </w:rPr>
        <w:t>（项目名称）</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招标评标委员会：</w:t>
      </w:r>
    </w:p>
    <w:p w14:paraId="30CB24AD">
      <w:pPr>
        <w:spacing w:line="440" w:lineRule="exact"/>
        <w:rPr>
          <w:rFonts w:hint="eastAsia" w:ascii="宋体" w:hAnsi="宋体" w:cs="宋体"/>
          <w:color w:val="000000" w:themeColor="text1"/>
          <w:szCs w:val="21"/>
          <w14:textFill>
            <w14:solidFill>
              <w14:schemeClr w14:val="tx1"/>
            </w14:solidFill>
          </w14:textFill>
        </w:rPr>
      </w:pPr>
    </w:p>
    <w:p w14:paraId="60EA9A7B">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问题澄清通知（编号：</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）已收悉，现澄清如下：</w:t>
      </w:r>
    </w:p>
    <w:p w14:paraId="7E1C8BA0">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1.</w:t>
      </w:r>
    </w:p>
    <w:p w14:paraId="652B178A">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2.</w:t>
      </w:r>
    </w:p>
    <w:p w14:paraId="7304C180">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p>
    <w:p w14:paraId="10BE3C91">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p>
    <w:p w14:paraId="111B1BF6">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p>
    <w:p w14:paraId="63386B3A">
      <w:pPr>
        <w:spacing w:line="440" w:lineRule="exact"/>
        <w:rPr>
          <w:rFonts w:hint="eastAsia" w:ascii="宋体" w:hAnsi="宋体" w:cs="宋体"/>
          <w:color w:val="000000" w:themeColor="text1"/>
          <w:szCs w:val="21"/>
          <w14:textFill>
            <w14:solidFill>
              <w14:schemeClr w14:val="tx1"/>
            </w14:solidFill>
          </w14:textFill>
        </w:rPr>
      </w:pPr>
    </w:p>
    <w:p w14:paraId="2FFE93E4">
      <w:pPr>
        <w:spacing w:line="440" w:lineRule="exact"/>
        <w:rPr>
          <w:rFonts w:hint="eastAsia" w:ascii="宋体" w:hAnsi="宋体" w:cs="宋体"/>
          <w:color w:val="000000" w:themeColor="text1"/>
          <w:szCs w:val="21"/>
          <w14:textFill>
            <w14:solidFill>
              <w14:schemeClr w14:val="tx1"/>
            </w14:solidFill>
          </w14:textFill>
        </w:rPr>
      </w:pPr>
    </w:p>
    <w:p w14:paraId="5B677E3B">
      <w:pPr>
        <w:spacing w:line="440" w:lineRule="exact"/>
        <w:rPr>
          <w:rFonts w:hint="eastAsia" w:ascii="宋体" w:hAnsi="宋体" w:cs="宋体"/>
          <w:color w:val="000000" w:themeColor="text1"/>
          <w:szCs w:val="21"/>
          <w14:textFill>
            <w14:solidFill>
              <w14:schemeClr w14:val="tx1"/>
            </w14:solidFill>
          </w14:textFill>
        </w:rPr>
      </w:pPr>
    </w:p>
    <w:p w14:paraId="5AC439D6">
      <w:pPr>
        <w:spacing w:line="440" w:lineRule="exact"/>
        <w:rPr>
          <w:rFonts w:hint="eastAsia" w:ascii="宋体" w:hAnsi="宋体" w:cs="宋体"/>
          <w:color w:val="000000" w:themeColor="text1"/>
          <w:szCs w:val="21"/>
          <w14:textFill>
            <w14:solidFill>
              <w14:schemeClr w14:val="tx1"/>
            </w14:solidFill>
          </w14:textFill>
        </w:rPr>
      </w:pPr>
    </w:p>
    <w:p w14:paraId="0D8DF9B5">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投标人：</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（盖单位章）</w:t>
      </w:r>
    </w:p>
    <w:p w14:paraId="5F6FD0C5">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p w14:paraId="1460600F">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法定代表人或其委托代理人：</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（签字）</w:t>
      </w:r>
    </w:p>
    <w:p w14:paraId="737EA0F2">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p w14:paraId="33CEC26F">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日  期：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年</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月</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日</w:t>
      </w:r>
    </w:p>
    <w:p w14:paraId="7C2F525A">
      <w:pPr>
        <w:spacing w:line="400" w:lineRule="exact"/>
        <w:rPr>
          <w:rFonts w:hint="eastAsia" w:ascii="宋体" w:hAnsi="宋体" w:cs="宋体"/>
          <w:color w:val="000000" w:themeColor="text1"/>
          <w14:textFill>
            <w14:solidFill>
              <w14:schemeClr w14:val="tx1"/>
            </w14:solidFill>
          </w14:textFill>
        </w:rPr>
      </w:pPr>
    </w:p>
    <w:p w14:paraId="6C10D869">
      <w:pPr>
        <w:spacing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p>
    <w:p w14:paraId="7D9FCDC0">
      <w:pPr>
        <w:pStyle w:val="4"/>
        <w:rPr>
          <w:rFonts w:hint="eastAsia" w:ascii="宋体" w:eastAsia="宋体" w:cs="宋体"/>
          <w:color w:val="000000" w:themeColor="text1"/>
          <w14:textFill>
            <w14:solidFill>
              <w14:schemeClr w14:val="tx1"/>
            </w14:solidFill>
          </w14:textFill>
        </w:rPr>
      </w:pPr>
      <w:bookmarkStart w:id="700" w:name="_Toc152045584"/>
      <w:bookmarkStart w:id="701" w:name="_Toc46412447"/>
      <w:bookmarkStart w:id="702" w:name="_Toc32556"/>
      <w:bookmarkStart w:id="703" w:name="_Toc247527609"/>
      <w:bookmarkStart w:id="704" w:name="_Toc247514008"/>
      <w:bookmarkStart w:id="705" w:name="_Toc46412109"/>
      <w:bookmarkStart w:id="706" w:name="_Toc144974551"/>
      <w:bookmarkStart w:id="707" w:name="_Toc48853117"/>
      <w:bookmarkStart w:id="708" w:name="_Toc48853325"/>
      <w:bookmarkStart w:id="709" w:name="_Toc6639"/>
      <w:bookmarkStart w:id="710" w:name="_Toc152042361"/>
      <w:r>
        <w:rPr>
          <w:rFonts w:hint="eastAsia" w:ascii="宋体" w:eastAsia="宋体" w:cs="宋体"/>
          <w:color w:val="000000" w:themeColor="text1"/>
          <w14:textFill>
            <w14:solidFill>
              <w14:schemeClr w14:val="tx1"/>
            </w14:solidFill>
          </w14:textFill>
        </w:rPr>
        <w:t>附件四：中标通知书</w:t>
      </w:r>
      <w:bookmarkEnd w:id="700"/>
      <w:bookmarkEnd w:id="701"/>
      <w:bookmarkEnd w:id="702"/>
      <w:bookmarkEnd w:id="703"/>
      <w:bookmarkEnd w:id="704"/>
      <w:bookmarkEnd w:id="705"/>
      <w:bookmarkEnd w:id="706"/>
      <w:bookmarkEnd w:id="707"/>
      <w:bookmarkEnd w:id="708"/>
      <w:bookmarkEnd w:id="709"/>
      <w:bookmarkEnd w:id="710"/>
    </w:p>
    <w:p w14:paraId="07B96EB8">
      <w:pPr>
        <w:spacing w:line="400" w:lineRule="exact"/>
        <w:rPr>
          <w:rFonts w:hint="eastAsia" w:ascii="宋体" w:hAnsi="宋体" w:cs="宋体"/>
          <w:color w:val="000000" w:themeColor="text1"/>
          <w14:textFill>
            <w14:solidFill>
              <w14:schemeClr w14:val="tx1"/>
            </w14:solidFill>
          </w14:textFill>
        </w:rPr>
      </w:pPr>
    </w:p>
    <w:p w14:paraId="429D1682">
      <w:pPr>
        <w:spacing w:line="400" w:lineRule="exact"/>
        <w:jc w:val="cente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中标通知书</w:t>
      </w:r>
    </w:p>
    <w:p w14:paraId="3E81C622">
      <w:pPr>
        <w:spacing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w:t>
      </w:r>
    </w:p>
    <w:p w14:paraId="11671819">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（中标人名称）：</w:t>
      </w:r>
    </w:p>
    <w:p w14:paraId="0D27489A">
      <w:pPr>
        <w:spacing w:line="440" w:lineRule="exact"/>
        <w:rPr>
          <w:rFonts w:hint="eastAsia" w:ascii="宋体" w:hAnsi="宋体" w:cs="宋体"/>
          <w:color w:val="000000" w:themeColor="text1"/>
          <w:szCs w:val="21"/>
          <w14:textFill>
            <w14:solidFill>
              <w14:schemeClr w14:val="tx1"/>
            </w14:solidFill>
          </w14:textFill>
        </w:rPr>
      </w:pPr>
    </w:p>
    <w:p w14:paraId="0D217C0D">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你方于</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（投标日期）所递交的</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lang w:eastAsia="zh-CN"/>
          <w14:textFill>
            <w14:solidFill>
              <w14:schemeClr w14:val="tx1"/>
            </w14:solidFill>
          </w14:textFill>
        </w:rPr>
        <w:t>（项目名称）</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招标的投标文件已被我方接受，被确定为中标人。</w:t>
      </w:r>
    </w:p>
    <w:p w14:paraId="735EC770">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中标价：</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元。</w:t>
      </w:r>
    </w:p>
    <w:p w14:paraId="3BD784A7">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工期：</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日历天。</w:t>
      </w:r>
    </w:p>
    <w:p w14:paraId="516FAAAB">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质量标准：</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w:t>
      </w:r>
    </w:p>
    <w:p w14:paraId="64CC48C1">
      <w:pPr>
        <w:spacing w:line="440" w:lineRule="exact"/>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项目总负责人（项目经理）</w:t>
      </w:r>
      <w:r>
        <w:rPr>
          <w:rFonts w:hint="eastAsia" w:ascii="宋体" w:hAnsi="宋体" w:cs="宋体"/>
          <w:color w:val="000000" w:themeColor="text1"/>
          <w:szCs w:val="21"/>
          <w14:textFill>
            <w14:solidFill>
              <w14:schemeClr w14:val="tx1"/>
            </w14:solidFill>
          </w14:textFill>
        </w:rPr>
        <w:t>：</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（姓名）。</w:t>
      </w:r>
    </w:p>
    <w:p w14:paraId="4D90953F">
      <w:pPr>
        <w:spacing w:line="440" w:lineRule="exact"/>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勘察负责人：</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姓名）。</w:t>
      </w:r>
    </w:p>
    <w:p w14:paraId="46D69078">
      <w:pPr>
        <w:spacing w:line="440" w:lineRule="exact"/>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设计负责人：</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姓名）。</w:t>
      </w:r>
    </w:p>
    <w:p w14:paraId="6E521E97">
      <w:pPr>
        <w:spacing w:line="440" w:lineRule="exact"/>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施工负责人：</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（姓名）。</w:t>
      </w:r>
    </w:p>
    <w:p w14:paraId="2B40CA75">
      <w:pPr>
        <w:spacing w:line="440" w:lineRule="exact"/>
        <w:ind w:firstLine="420"/>
        <w:rPr>
          <w:rFonts w:hint="eastAsia" w:ascii="宋体" w:hAnsi="宋体" w:cs="宋体"/>
          <w:color w:val="000000"/>
          <w:szCs w:val="21"/>
          <w:highlight w:val="none"/>
        </w:rPr>
      </w:pPr>
      <w:r>
        <w:rPr>
          <w:rFonts w:hint="eastAsia" w:ascii="宋体" w:hAnsi="宋体" w:cs="宋体"/>
          <w:color w:val="000000"/>
          <w:szCs w:val="21"/>
          <w:highlight w:val="none"/>
          <w:lang w:val="en-US" w:eastAsia="zh-CN"/>
        </w:rPr>
        <w:t>设备</w:t>
      </w:r>
      <w:r>
        <w:rPr>
          <w:rFonts w:hint="eastAsia" w:ascii="宋体" w:hAnsi="宋体" w:cs="宋体"/>
          <w:color w:val="000000"/>
          <w:szCs w:val="21"/>
          <w:highlight w:val="none"/>
        </w:rPr>
        <w:t>负责人：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（姓名）。</w:t>
      </w:r>
    </w:p>
    <w:p w14:paraId="03CB595C">
      <w:pPr>
        <w:spacing w:line="440" w:lineRule="exact"/>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szCs w:val="21"/>
          <w:highlight w:val="none"/>
          <w:lang w:val="en-US" w:eastAsia="zh-CN"/>
        </w:rPr>
        <w:t>新能源</w:t>
      </w:r>
      <w:r>
        <w:rPr>
          <w:rFonts w:hint="eastAsia" w:ascii="宋体" w:hAnsi="宋体" w:cs="宋体"/>
          <w:color w:val="000000"/>
          <w:szCs w:val="21"/>
          <w:highlight w:val="none"/>
        </w:rPr>
        <w:t>负责人：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（姓名）。</w:t>
      </w:r>
    </w:p>
    <w:p w14:paraId="1A3EF945">
      <w:pPr>
        <w:spacing w:line="440" w:lineRule="exact"/>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请你方在接到本通知书后的</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日内到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（指定地点）与我方签订</w:t>
      </w:r>
      <w:r>
        <w:rPr>
          <w:rFonts w:hint="eastAsia" w:ascii="宋体" w:hAnsi="宋体" w:cs="宋体"/>
          <w:color w:val="000000" w:themeColor="text1"/>
          <w:szCs w:val="21"/>
          <w:lang w:eastAsia="zh-CN"/>
          <w14:textFill>
            <w14:solidFill>
              <w14:schemeClr w14:val="tx1"/>
            </w14:solidFill>
          </w14:textFill>
        </w:rPr>
        <w:t>勘察设计施工总承包</w:t>
      </w:r>
      <w:r>
        <w:rPr>
          <w:rFonts w:hint="eastAsia" w:ascii="宋体" w:hAnsi="宋体" w:cs="宋体"/>
          <w:color w:val="000000" w:themeColor="text1"/>
          <w:szCs w:val="21"/>
          <w14:textFill>
            <w14:solidFill>
              <w14:schemeClr w14:val="tx1"/>
            </w14:solidFill>
          </w14:textFill>
        </w:rPr>
        <w:t>合同，在此之前按招标文件第二章“投标人须知”第7.4款规定向我方提交履约担保。</w:t>
      </w:r>
    </w:p>
    <w:p w14:paraId="658EDF3B">
      <w:pPr>
        <w:spacing w:line="440" w:lineRule="exact"/>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随附的澄清、说明、补正事项纪要，是本中标通知书的组成部分。</w:t>
      </w:r>
    </w:p>
    <w:p w14:paraId="48C03292">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特此通知。</w:t>
      </w:r>
    </w:p>
    <w:p w14:paraId="6A362277">
      <w:pPr>
        <w:spacing w:line="440" w:lineRule="exact"/>
        <w:ind w:firstLine="42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附：澄清、说明、补正事项纪要</w:t>
      </w:r>
    </w:p>
    <w:p w14:paraId="11662B93">
      <w:pPr>
        <w:spacing w:line="440" w:lineRule="exact"/>
        <w:rPr>
          <w:rFonts w:hint="eastAsia" w:ascii="宋体" w:hAnsi="宋体" w:cs="宋体"/>
          <w:color w:val="000000" w:themeColor="text1"/>
          <w:szCs w:val="21"/>
          <w14:textFill>
            <w14:solidFill>
              <w14:schemeClr w14:val="tx1"/>
            </w14:solidFill>
          </w14:textFill>
        </w:rPr>
      </w:pPr>
    </w:p>
    <w:p w14:paraId="51357059">
      <w:pPr>
        <w:spacing w:line="440" w:lineRule="exact"/>
        <w:rPr>
          <w:rFonts w:hint="eastAsia" w:ascii="宋体" w:hAnsi="宋体" w:cs="宋体"/>
          <w:color w:val="000000" w:themeColor="text1"/>
          <w:szCs w:val="21"/>
          <w14:textFill>
            <w14:solidFill>
              <w14:schemeClr w14:val="tx1"/>
            </w14:solidFill>
          </w14:textFill>
        </w:rPr>
      </w:pPr>
    </w:p>
    <w:p w14:paraId="18BFE7F5">
      <w:pPr>
        <w:spacing w:line="480" w:lineRule="auto"/>
        <w:ind w:firstLine="3238" w:firstLineChars="1542"/>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招标人：</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（盖单位章）            </w:t>
      </w:r>
    </w:p>
    <w:p w14:paraId="52BA223C">
      <w:pPr>
        <w:spacing w:line="480" w:lineRule="auto"/>
        <w:ind w:firstLine="3238" w:firstLineChars="1542"/>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法定代表人：</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（签字或盖章）</w:t>
      </w:r>
    </w:p>
    <w:p w14:paraId="4F58E8CA">
      <w:pPr>
        <w:spacing w:line="48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日  期：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年</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月</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日</w:t>
      </w:r>
    </w:p>
    <w:p w14:paraId="5D7A1B07">
      <w:pPr>
        <w:spacing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p>
    <w:p w14:paraId="70ED8559">
      <w:pPr>
        <w:pStyle w:val="4"/>
        <w:rPr>
          <w:rFonts w:hint="eastAsia" w:ascii="宋体" w:eastAsia="宋体" w:cs="宋体"/>
          <w:color w:val="000000" w:themeColor="text1"/>
          <w14:textFill>
            <w14:solidFill>
              <w14:schemeClr w14:val="tx1"/>
            </w14:solidFill>
          </w14:textFill>
        </w:rPr>
      </w:pPr>
      <w:bookmarkStart w:id="711" w:name="_Toc152045585"/>
      <w:bookmarkStart w:id="712" w:name="_Toc48853118"/>
      <w:bookmarkStart w:id="713" w:name="_Toc22664"/>
      <w:bookmarkStart w:id="714" w:name="_Toc247527610"/>
      <w:bookmarkStart w:id="715" w:name="_Toc152042362"/>
      <w:bookmarkStart w:id="716" w:name="_Toc48853326"/>
      <w:bookmarkStart w:id="717" w:name="_Toc46412448"/>
      <w:bookmarkStart w:id="718" w:name="_Toc6126"/>
      <w:bookmarkStart w:id="719" w:name="_Toc247514009"/>
      <w:bookmarkStart w:id="720" w:name="_Toc144974552"/>
      <w:bookmarkStart w:id="721" w:name="_Toc46412110"/>
      <w:r>
        <w:rPr>
          <w:rFonts w:hint="eastAsia" w:ascii="宋体" w:eastAsia="宋体" w:cs="宋体"/>
          <w:color w:val="000000" w:themeColor="text1"/>
          <w14:textFill>
            <w14:solidFill>
              <w14:schemeClr w14:val="tx1"/>
            </w14:solidFill>
          </w14:textFill>
        </w:rPr>
        <w:t>附件五：中标结果通知书</w:t>
      </w:r>
      <w:bookmarkEnd w:id="711"/>
      <w:bookmarkEnd w:id="712"/>
      <w:bookmarkEnd w:id="713"/>
      <w:bookmarkEnd w:id="714"/>
      <w:bookmarkEnd w:id="715"/>
      <w:bookmarkEnd w:id="716"/>
      <w:bookmarkEnd w:id="717"/>
      <w:bookmarkEnd w:id="718"/>
      <w:bookmarkEnd w:id="719"/>
      <w:bookmarkEnd w:id="720"/>
      <w:bookmarkEnd w:id="721"/>
    </w:p>
    <w:p w14:paraId="46B0899C">
      <w:pPr>
        <w:spacing w:line="400" w:lineRule="exact"/>
        <w:rPr>
          <w:rFonts w:hint="eastAsia" w:ascii="宋体" w:hAnsi="宋体" w:cs="宋体"/>
          <w:color w:val="000000" w:themeColor="text1"/>
          <w14:textFill>
            <w14:solidFill>
              <w14:schemeClr w14:val="tx1"/>
            </w14:solidFill>
          </w14:textFill>
        </w:rPr>
      </w:pPr>
    </w:p>
    <w:p w14:paraId="658A4087">
      <w:pPr>
        <w:spacing w:line="400" w:lineRule="exact"/>
        <w:jc w:val="cente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中标结果通知书</w:t>
      </w:r>
    </w:p>
    <w:p w14:paraId="3E58083D">
      <w:pPr>
        <w:spacing w:line="400" w:lineRule="exact"/>
        <w:rPr>
          <w:rFonts w:hint="eastAsia" w:ascii="宋体" w:hAnsi="宋体" w:cs="宋体"/>
          <w:color w:val="000000" w:themeColor="text1"/>
          <w14:textFill>
            <w14:solidFill>
              <w14:schemeClr w14:val="tx1"/>
            </w14:solidFill>
          </w14:textFill>
        </w:rPr>
      </w:pPr>
    </w:p>
    <w:p w14:paraId="35836952">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（未中标人名称）：</w:t>
      </w:r>
    </w:p>
    <w:p w14:paraId="0CEAF88F">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p>
    <w:p w14:paraId="5562D383">
      <w:pPr>
        <w:spacing w:line="440" w:lineRule="exact"/>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我方已接受</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（中标人名称）于</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（投标日期）所递交的</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lang w:eastAsia="zh-CN"/>
          <w14:textFill>
            <w14:solidFill>
              <w14:schemeClr w14:val="tx1"/>
            </w14:solidFill>
          </w14:textFill>
        </w:rPr>
        <w:t>（项目名称）</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招标的投标文件，确定</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（中标人名称）为中标人。</w:t>
      </w:r>
    </w:p>
    <w:p w14:paraId="5CEC7108">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感谢你单位对我们工作的大力支持！</w:t>
      </w:r>
    </w:p>
    <w:p w14:paraId="0943E312">
      <w:pPr>
        <w:spacing w:line="440" w:lineRule="exact"/>
        <w:rPr>
          <w:rFonts w:hint="eastAsia" w:ascii="宋体" w:hAnsi="宋体" w:cs="宋体"/>
          <w:color w:val="000000" w:themeColor="text1"/>
          <w:szCs w:val="21"/>
          <w14:textFill>
            <w14:solidFill>
              <w14:schemeClr w14:val="tx1"/>
            </w14:solidFill>
          </w14:textFill>
        </w:rPr>
      </w:pPr>
    </w:p>
    <w:p w14:paraId="6699DC25">
      <w:pPr>
        <w:spacing w:line="440" w:lineRule="exact"/>
        <w:rPr>
          <w:rFonts w:hint="eastAsia" w:ascii="宋体" w:hAnsi="宋体" w:cs="宋体"/>
          <w:color w:val="000000" w:themeColor="text1"/>
          <w:szCs w:val="21"/>
          <w14:textFill>
            <w14:solidFill>
              <w14:schemeClr w14:val="tx1"/>
            </w14:solidFill>
          </w14:textFill>
        </w:rPr>
      </w:pPr>
    </w:p>
    <w:p w14:paraId="76B2A8AE">
      <w:pPr>
        <w:spacing w:line="440" w:lineRule="exact"/>
        <w:rPr>
          <w:rFonts w:hint="eastAsia" w:ascii="宋体" w:hAnsi="宋体" w:cs="宋体"/>
          <w:color w:val="000000" w:themeColor="text1"/>
          <w:szCs w:val="21"/>
          <w14:textFill>
            <w14:solidFill>
              <w14:schemeClr w14:val="tx1"/>
            </w14:solidFill>
          </w14:textFill>
        </w:rPr>
      </w:pPr>
    </w:p>
    <w:p w14:paraId="549A6FC3">
      <w:pPr>
        <w:pStyle w:val="16"/>
        <w:rPr>
          <w:rFonts w:hint="eastAsia" w:ascii="宋体" w:hAnsi="宋体" w:cs="宋体"/>
          <w:color w:val="000000" w:themeColor="text1"/>
          <w:szCs w:val="21"/>
          <w14:textFill>
            <w14:solidFill>
              <w14:schemeClr w14:val="tx1"/>
            </w14:solidFill>
          </w14:textFill>
        </w:rPr>
      </w:pPr>
    </w:p>
    <w:p w14:paraId="1269C436">
      <w:pPr>
        <w:rPr>
          <w:rFonts w:hint="eastAsia" w:ascii="宋体" w:hAnsi="宋体" w:cs="宋体"/>
          <w:color w:val="000000" w:themeColor="text1"/>
          <w:szCs w:val="21"/>
          <w14:textFill>
            <w14:solidFill>
              <w14:schemeClr w14:val="tx1"/>
            </w14:solidFill>
          </w14:textFill>
        </w:rPr>
      </w:pPr>
    </w:p>
    <w:p w14:paraId="65F004C9">
      <w:pPr>
        <w:pStyle w:val="16"/>
        <w:rPr>
          <w:rFonts w:hint="eastAsia" w:ascii="宋体" w:hAnsi="宋体" w:cs="宋体"/>
          <w:color w:val="000000" w:themeColor="text1"/>
          <w14:textFill>
            <w14:solidFill>
              <w14:schemeClr w14:val="tx1"/>
            </w14:solidFill>
          </w14:textFill>
        </w:rPr>
      </w:pPr>
    </w:p>
    <w:p w14:paraId="3E15B49E">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招标人：</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（盖单位章）</w:t>
      </w:r>
    </w:p>
    <w:p w14:paraId="14AE768D">
      <w:pPr>
        <w:spacing w:line="440" w:lineRule="exact"/>
        <w:rPr>
          <w:rFonts w:hint="eastAsia" w:ascii="宋体" w:hAnsi="宋体" w:cs="宋体"/>
          <w:color w:val="000000" w:themeColor="text1"/>
          <w:szCs w:val="21"/>
          <w14:textFill>
            <w14:solidFill>
              <w14:schemeClr w14:val="tx1"/>
            </w14:solidFill>
          </w14:textFill>
        </w:rPr>
      </w:pPr>
    </w:p>
    <w:p w14:paraId="08A2C8BA">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法定代表人：</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（签字或盖章）</w:t>
      </w:r>
    </w:p>
    <w:p w14:paraId="5D21C77B">
      <w:pPr>
        <w:spacing w:line="440" w:lineRule="exact"/>
        <w:rPr>
          <w:rFonts w:hint="eastAsia" w:ascii="宋体" w:hAnsi="宋体" w:cs="宋体"/>
          <w:color w:val="000000" w:themeColor="text1"/>
          <w:szCs w:val="21"/>
          <w14:textFill>
            <w14:solidFill>
              <w14:schemeClr w14:val="tx1"/>
            </w14:solidFill>
          </w14:textFill>
        </w:rPr>
      </w:pPr>
    </w:p>
    <w:p w14:paraId="38F5C2B7">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日  期：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年</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月</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日</w:t>
      </w:r>
    </w:p>
    <w:p w14:paraId="63FCFB03">
      <w:pPr>
        <w:spacing w:line="400" w:lineRule="exact"/>
        <w:rPr>
          <w:rFonts w:hint="eastAsia" w:ascii="宋体" w:hAnsi="宋体" w:cs="宋体"/>
          <w:color w:val="000000" w:themeColor="text1"/>
          <w14:textFill>
            <w14:solidFill>
              <w14:schemeClr w14:val="tx1"/>
            </w14:solidFill>
          </w14:textFill>
        </w:rPr>
      </w:pPr>
    </w:p>
    <w:p w14:paraId="7BEF28C3">
      <w:pPr>
        <w:spacing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p>
    <w:p w14:paraId="20E10666">
      <w:pPr>
        <w:pStyle w:val="4"/>
        <w:rPr>
          <w:rFonts w:hint="eastAsia" w:ascii="宋体" w:eastAsia="宋体" w:cs="宋体"/>
          <w:color w:val="000000" w:themeColor="text1"/>
          <w14:textFill>
            <w14:solidFill>
              <w14:schemeClr w14:val="tx1"/>
            </w14:solidFill>
          </w14:textFill>
        </w:rPr>
      </w:pPr>
      <w:bookmarkStart w:id="722" w:name="_Toc152045586"/>
      <w:bookmarkStart w:id="723" w:name="_Toc48853327"/>
      <w:bookmarkStart w:id="724" w:name="_Toc46412111"/>
      <w:bookmarkStart w:id="725" w:name="_Toc48853119"/>
      <w:bookmarkStart w:id="726" w:name="_Toc7518"/>
      <w:bookmarkStart w:id="727" w:name="_Toc46412449"/>
      <w:bookmarkStart w:id="728" w:name="_Toc247514010"/>
      <w:bookmarkStart w:id="729" w:name="_Toc23148"/>
      <w:bookmarkStart w:id="730" w:name="_Toc247527611"/>
      <w:bookmarkStart w:id="731" w:name="_Toc152042363"/>
      <w:bookmarkStart w:id="732" w:name="_Toc144974553"/>
      <w:r>
        <w:rPr>
          <w:rFonts w:hint="eastAsia" w:ascii="宋体" w:eastAsia="宋体" w:cs="宋体"/>
          <w:color w:val="000000" w:themeColor="text1"/>
          <w14:textFill>
            <w14:solidFill>
              <w14:schemeClr w14:val="tx1"/>
            </w14:solidFill>
          </w14:textFill>
        </w:rPr>
        <w:t>附件六：确认通知</w:t>
      </w:r>
      <w:bookmarkEnd w:id="722"/>
      <w:bookmarkEnd w:id="723"/>
      <w:bookmarkEnd w:id="724"/>
      <w:bookmarkEnd w:id="725"/>
      <w:bookmarkEnd w:id="726"/>
      <w:bookmarkEnd w:id="727"/>
      <w:bookmarkEnd w:id="728"/>
      <w:bookmarkEnd w:id="729"/>
      <w:bookmarkEnd w:id="730"/>
      <w:bookmarkEnd w:id="731"/>
      <w:bookmarkEnd w:id="732"/>
    </w:p>
    <w:p w14:paraId="24D6CB33">
      <w:pPr>
        <w:spacing w:line="400" w:lineRule="exact"/>
        <w:rPr>
          <w:rFonts w:hint="eastAsia" w:ascii="宋体" w:hAnsi="宋体" w:cs="宋体"/>
          <w:color w:val="000000" w:themeColor="text1"/>
          <w14:textFill>
            <w14:solidFill>
              <w14:schemeClr w14:val="tx1"/>
            </w14:solidFill>
          </w14:textFill>
        </w:rPr>
      </w:pPr>
    </w:p>
    <w:p w14:paraId="178469C9">
      <w:pPr>
        <w:spacing w:line="400" w:lineRule="exact"/>
        <w:jc w:val="cente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确认通知</w:t>
      </w:r>
    </w:p>
    <w:p w14:paraId="34B2CC83">
      <w:pPr>
        <w:spacing w:line="400" w:lineRule="exact"/>
        <w:rPr>
          <w:rFonts w:hint="eastAsia" w:ascii="宋体" w:hAnsi="宋体" w:cs="宋体"/>
          <w:color w:val="000000" w:themeColor="text1"/>
          <w14:textFill>
            <w14:solidFill>
              <w14:schemeClr w14:val="tx1"/>
            </w14:solidFill>
          </w14:textFill>
        </w:rPr>
      </w:pPr>
    </w:p>
    <w:p w14:paraId="19AE6776">
      <w:pPr>
        <w:spacing w:line="440" w:lineRule="exact"/>
        <w:ind w:firstLine="42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（招标人名称）：</w:t>
      </w:r>
    </w:p>
    <w:p w14:paraId="37FD52AE">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p w14:paraId="06429418">
      <w:pPr>
        <w:spacing w:line="440" w:lineRule="exact"/>
        <w:ind w:firstLine="840" w:firstLineChars="4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你方于</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年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日发出的</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lang w:eastAsia="zh-CN"/>
          <w14:textFill>
            <w14:solidFill>
              <w14:schemeClr w14:val="tx1"/>
            </w14:solidFill>
          </w14:textFill>
        </w:rPr>
        <w:t>（项目名称）</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关于</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的通知，我方已于</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日收到。</w:t>
      </w:r>
    </w:p>
    <w:p w14:paraId="4E29081D">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特此确认。</w:t>
      </w:r>
    </w:p>
    <w:p w14:paraId="43DCDCC0">
      <w:pPr>
        <w:spacing w:line="440" w:lineRule="exact"/>
        <w:rPr>
          <w:rFonts w:hint="eastAsia" w:ascii="宋体" w:hAnsi="宋体" w:cs="宋体"/>
          <w:color w:val="000000" w:themeColor="text1"/>
          <w:szCs w:val="21"/>
          <w14:textFill>
            <w14:solidFill>
              <w14:schemeClr w14:val="tx1"/>
            </w14:solidFill>
          </w14:textFill>
        </w:rPr>
      </w:pPr>
    </w:p>
    <w:p w14:paraId="7E33D13B">
      <w:pPr>
        <w:spacing w:line="440" w:lineRule="exact"/>
        <w:rPr>
          <w:rFonts w:hint="eastAsia" w:ascii="宋体" w:hAnsi="宋体" w:cs="宋体"/>
          <w:color w:val="000000" w:themeColor="text1"/>
          <w:szCs w:val="21"/>
          <w14:textFill>
            <w14:solidFill>
              <w14:schemeClr w14:val="tx1"/>
            </w14:solidFill>
          </w14:textFill>
        </w:rPr>
      </w:pPr>
    </w:p>
    <w:p w14:paraId="2F607330">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投标人：</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（盖单位章）</w:t>
      </w:r>
    </w:p>
    <w:p w14:paraId="2C539425">
      <w:pPr>
        <w:spacing w:line="440" w:lineRule="exact"/>
        <w:rPr>
          <w:rFonts w:hint="eastAsia" w:ascii="宋体" w:hAnsi="宋体" w:cs="宋体"/>
          <w:color w:val="000000" w:themeColor="text1"/>
          <w:szCs w:val="21"/>
          <w14:textFill>
            <w14:solidFill>
              <w14:schemeClr w14:val="tx1"/>
            </w14:solidFill>
          </w14:textFill>
        </w:rPr>
      </w:pPr>
    </w:p>
    <w:p w14:paraId="28C8AB14">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日  期：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年</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月</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日</w:t>
      </w:r>
    </w:p>
    <w:p w14:paraId="36B1F4A8">
      <w:pPr>
        <w:spacing w:line="2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p>
    <w:p w14:paraId="112873BC">
      <w:pPr>
        <w:pStyle w:val="2"/>
        <w:spacing w:before="0" w:after="0" w:line="240" w:lineRule="auto"/>
        <w:ind w:firstLine="420"/>
        <w:jc w:val="center"/>
        <w:rPr>
          <w:rFonts w:hint="eastAsia" w:ascii="宋体" w:hAnsi="宋体" w:cs="宋体"/>
          <w:color w:val="000000" w:themeColor="text1"/>
          <w:sz w:val="42"/>
          <w14:textFill>
            <w14:solidFill>
              <w14:schemeClr w14:val="tx1"/>
            </w14:solidFill>
          </w14:textFill>
        </w:rPr>
      </w:pPr>
      <w:bookmarkStart w:id="733" w:name="_Toc23476"/>
      <w:bookmarkStart w:id="734" w:name="_Toc152042375"/>
      <w:bookmarkStart w:id="735" w:name="_Toc247527623"/>
      <w:bookmarkStart w:id="736" w:name="_Toc144974565"/>
      <w:bookmarkStart w:id="737" w:name="_Toc152045598"/>
      <w:bookmarkStart w:id="738" w:name="_Toc247514022"/>
      <w:r>
        <w:rPr>
          <w:rFonts w:hint="eastAsia" w:ascii="宋体" w:hAnsi="宋体" w:cs="宋体"/>
          <w:color w:val="000000" w:themeColor="text1"/>
          <w:sz w:val="42"/>
          <w14:textFill>
            <w14:solidFill>
              <w14:schemeClr w14:val="tx1"/>
            </w14:solidFill>
          </w14:textFill>
        </w:rPr>
        <w:t>第三章 评标办法（综合评估法）</w:t>
      </w:r>
      <w:bookmarkEnd w:id="733"/>
      <w:bookmarkEnd w:id="734"/>
      <w:bookmarkEnd w:id="735"/>
      <w:bookmarkEnd w:id="736"/>
      <w:bookmarkEnd w:id="737"/>
      <w:bookmarkEnd w:id="738"/>
    </w:p>
    <w:p w14:paraId="071D55B5">
      <w:pPr>
        <w:pStyle w:val="3"/>
        <w:spacing w:before="0" w:after="0" w:line="0" w:lineRule="atLeast"/>
        <w:jc w:val="center"/>
        <w:rPr>
          <w:rFonts w:hint="eastAsia" w:ascii="宋体" w:hAnsi="宋体" w:eastAsia="宋体" w:cs="宋体"/>
          <w:color w:val="000000" w:themeColor="text1"/>
          <w:sz w:val="28"/>
          <w14:textFill>
            <w14:solidFill>
              <w14:schemeClr w14:val="tx1"/>
            </w14:solidFill>
          </w14:textFill>
        </w:rPr>
      </w:pPr>
      <w:bookmarkStart w:id="739" w:name="_Toc247514023"/>
      <w:bookmarkStart w:id="740" w:name="_Toc2503"/>
      <w:bookmarkStart w:id="741" w:name="_Toc144974566"/>
      <w:bookmarkStart w:id="742" w:name="_Toc3571"/>
      <w:bookmarkStart w:id="743" w:name="_Toc152045599"/>
      <w:bookmarkStart w:id="744" w:name="_Toc247527624"/>
      <w:bookmarkStart w:id="745" w:name="_Toc152042376"/>
      <w:r>
        <w:rPr>
          <w:rFonts w:hint="eastAsia" w:ascii="宋体" w:hAnsi="宋体" w:eastAsia="宋体" w:cs="宋体"/>
          <w:color w:val="000000" w:themeColor="text1"/>
          <w:sz w:val="28"/>
          <w14:textFill>
            <w14:solidFill>
              <w14:schemeClr w14:val="tx1"/>
            </w14:solidFill>
          </w14:textFill>
        </w:rPr>
        <w:t>评标办法前附表</w:t>
      </w:r>
      <w:bookmarkEnd w:id="739"/>
      <w:bookmarkEnd w:id="740"/>
      <w:bookmarkEnd w:id="741"/>
      <w:bookmarkEnd w:id="742"/>
      <w:bookmarkEnd w:id="743"/>
      <w:bookmarkEnd w:id="744"/>
      <w:bookmarkEnd w:id="745"/>
      <w:bookmarkStart w:id="746" w:name="_Toc152045600"/>
      <w:bookmarkStart w:id="747" w:name="_Toc247527625"/>
      <w:bookmarkStart w:id="748" w:name="_Toc144974567"/>
      <w:bookmarkStart w:id="749" w:name="_Toc247514024"/>
      <w:bookmarkStart w:id="750" w:name="_Toc152042377"/>
    </w:p>
    <w:tbl>
      <w:tblPr>
        <w:tblStyle w:val="41"/>
        <w:tblW w:w="9740" w:type="dxa"/>
        <w:tblInd w:w="-36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70"/>
        <w:gridCol w:w="1088"/>
        <w:gridCol w:w="2455"/>
        <w:gridCol w:w="5327"/>
      </w:tblGrid>
      <w:tr w14:paraId="20D55D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6" w:hRule="atLeast"/>
        </w:trPr>
        <w:tc>
          <w:tcPr>
            <w:tcW w:w="1958" w:type="dxa"/>
            <w:gridSpan w:val="2"/>
            <w:tcBorders>
              <w:top w:val="single" w:color="auto" w:sz="4" w:space="0"/>
              <w:bottom w:val="single" w:color="auto" w:sz="4" w:space="0"/>
              <w:right w:val="single" w:color="auto" w:sz="4" w:space="0"/>
            </w:tcBorders>
            <w:vAlign w:val="center"/>
          </w:tcPr>
          <w:p w14:paraId="1EBED776">
            <w:pPr>
              <w:spacing w:line="440" w:lineRule="exact"/>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条款号</w:t>
            </w:r>
          </w:p>
        </w:tc>
        <w:tc>
          <w:tcPr>
            <w:tcW w:w="2455" w:type="dxa"/>
            <w:tcBorders>
              <w:top w:val="single" w:color="auto" w:sz="4" w:space="0"/>
              <w:left w:val="single" w:color="auto" w:sz="4" w:space="0"/>
              <w:bottom w:val="single" w:color="auto" w:sz="4" w:space="0"/>
              <w:right w:val="single" w:color="auto" w:sz="4" w:space="0"/>
            </w:tcBorders>
            <w:vAlign w:val="center"/>
          </w:tcPr>
          <w:p w14:paraId="264D4045">
            <w:pPr>
              <w:spacing w:line="440" w:lineRule="exact"/>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评审因素</w:t>
            </w:r>
          </w:p>
        </w:tc>
        <w:tc>
          <w:tcPr>
            <w:tcW w:w="5327" w:type="dxa"/>
            <w:tcBorders>
              <w:top w:val="single" w:color="auto" w:sz="4" w:space="0"/>
              <w:left w:val="single" w:color="auto" w:sz="4" w:space="0"/>
              <w:bottom w:val="single" w:color="auto" w:sz="4" w:space="0"/>
              <w:right w:val="single" w:color="auto" w:sz="4" w:space="0"/>
            </w:tcBorders>
            <w:vAlign w:val="center"/>
          </w:tcPr>
          <w:p w14:paraId="32E26C79">
            <w:pPr>
              <w:spacing w:line="440" w:lineRule="exact"/>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评审标准</w:t>
            </w:r>
          </w:p>
        </w:tc>
      </w:tr>
      <w:tr w14:paraId="4EF96D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1" w:hRule="atLeast"/>
        </w:trPr>
        <w:tc>
          <w:tcPr>
            <w:tcW w:w="870" w:type="dxa"/>
            <w:vMerge w:val="restart"/>
            <w:tcBorders>
              <w:top w:val="single" w:color="auto" w:sz="4" w:space="0"/>
              <w:bottom w:val="single" w:color="auto" w:sz="4" w:space="0"/>
              <w:right w:val="single" w:color="auto" w:sz="4" w:space="0"/>
            </w:tcBorders>
            <w:vAlign w:val="center"/>
          </w:tcPr>
          <w:p w14:paraId="5F29DA35">
            <w:pPr>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2.1.1</w:t>
            </w:r>
          </w:p>
        </w:tc>
        <w:tc>
          <w:tcPr>
            <w:tcW w:w="1088" w:type="dxa"/>
            <w:vMerge w:val="restart"/>
            <w:tcBorders>
              <w:top w:val="single" w:color="auto" w:sz="4" w:space="0"/>
              <w:bottom w:val="single" w:color="auto" w:sz="4" w:space="0"/>
              <w:right w:val="single" w:color="auto" w:sz="4" w:space="0"/>
            </w:tcBorders>
            <w:vAlign w:val="center"/>
          </w:tcPr>
          <w:p w14:paraId="7178DCA1">
            <w:pPr>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形式评审标准</w:t>
            </w:r>
          </w:p>
        </w:tc>
        <w:tc>
          <w:tcPr>
            <w:tcW w:w="2455" w:type="dxa"/>
            <w:tcBorders>
              <w:top w:val="single" w:color="auto" w:sz="4" w:space="0"/>
              <w:left w:val="single" w:color="auto" w:sz="4" w:space="0"/>
              <w:bottom w:val="single" w:color="auto" w:sz="4" w:space="0"/>
              <w:right w:val="single" w:color="auto" w:sz="4" w:space="0"/>
            </w:tcBorders>
            <w:vAlign w:val="center"/>
          </w:tcPr>
          <w:p w14:paraId="1D2EE1F1">
            <w:pPr>
              <w:spacing w:line="40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投标人名称</w:t>
            </w:r>
          </w:p>
        </w:tc>
        <w:tc>
          <w:tcPr>
            <w:tcW w:w="5327" w:type="dxa"/>
            <w:tcBorders>
              <w:top w:val="single" w:color="auto" w:sz="4" w:space="0"/>
              <w:left w:val="single" w:color="auto" w:sz="4" w:space="0"/>
              <w:bottom w:val="single" w:color="auto" w:sz="4" w:space="0"/>
              <w:right w:val="single" w:color="auto" w:sz="4" w:space="0"/>
            </w:tcBorders>
            <w:vAlign w:val="center"/>
          </w:tcPr>
          <w:p w14:paraId="7F86B334">
            <w:pP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与营业执照、资质证书一致</w:t>
            </w:r>
          </w:p>
        </w:tc>
      </w:tr>
      <w:tr w14:paraId="76ACFF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870" w:type="dxa"/>
            <w:vMerge w:val="continue"/>
            <w:tcBorders>
              <w:top w:val="nil"/>
              <w:bottom w:val="single" w:color="auto" w:sz="4" w:space="0"/>
              <w:right w:val="single" w:color="auto" w:sz="4" w:space="0"/>
            </w:tcBorders>
            <w:vAlign w:val="center"/>
          </w:tcPr>
          <w:p w14:paraId="15CE0DA8">
            <w:pPr>
              <w:spacing w:line="440" w:lineRule="exact"/>
              <w:jc w:val="center"/>
              <w:rPr>
                <w:rFonts w:hint="eastAsia" w:ascii="宋体" w:hAnsi="宋体" w:cs="宋体"/>
                <w:color w:val="000000" w:themeColor="text1"/>
                <w:szCs w:val="21"/>
                <w14:textFill>
                  <w14:solidFill>
                    <w14:schemeClr w14:val="tx1"/>
                  </w14:solidFill>
                </w14:textFill>
              </w:rPr>
            </w:pPr>
          </w:p>
        </w:tc>
        <w:tc>
          <w:tcPr>
            <w:tcW w:w="1088" w:type="dxa"/>
            <w:vMerge w:val="continue"/>
            <w:tcBorders>
              <w:top w:val="nil"/>
              <w:bottom w:val="single" w:color="auto" w:sz="4" w:space="0"/>
              <w:right w:val="single" w:color="auto" w:sz="4" w:space="0"/>
            </w:tcBorders>
            <w:vAlign w:val="center"/>
          </w:tcPr>
          <w:p w14:paraId="7F594C9B">
            <w:pPr>
              <w:spacing w:line="440" w:lineRule="exact"/>
              <w:jc w:val="center"/>
              <w:rPr>
                <w:rFonts w:hint="eastAsia" w:ascii="宋体" w:hAnsi="宋体" w:cs="宋体"/>
                <w:color w:val="000000" w:themeColor="text1"/>
                <w:szCs w:val="21"/>
                <w14:textFill>
                  <w14:solidFill>
                    <w14:schemeClr w14:val="tx1"/>
                  </w14:solidFill>
                </w14:textFill>
              </w:rPr>
            </w:pPr>
          </w:p>
        </w:tc>
        <w:tc>
          <w:tcPr>
            <w:tcW w:w="2455" w:type="dxa"/>
            <w:tcBorders>
              <w:top w:val="single" w:color="auto" w:sz="4" w:space="0"/>
              <w:left w:val="single" w:color="auto" w:sz="4" w:space="0"/>
              <w:bottom w:val="single" w:color="auto" w:sz="4" w:space="0"/>
              <w:right w:val="single" w:color="auto" w:sz="4" w:space="0"/>
            </w:tcBorders>
            <w:vAlign w:val="center"/>
          </w:tcPr>
          <w:p w14:paraId="2C4CA516">
            <w:pPr>
              <w:spacing w:line="40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投标函签字盖章</w:t>
            </w:r>
          </w:p>
        </w:tc>
        <w:tc>
          <w:tcPr>
            <w:tcW w:w="5327" w:type="dxa"/>
            <w:tcBorders>
              <w:top w:val="single" w:color="auto" w:sz="4" w:space="0"/>
              <w:left w:val="single" w:color="auto" w:sz="4" w:space="0"/>
              <w:bottom w:val="single" w:color="auto" w:sz="4" w:space="0"/>
              <w:right w:val="single" w:color="auto" w:sz="4" w:space="0"/>
            </w:tcBorders>
            <w:vAlign w:val="center"/>
          </w:tcPr>
          <w:p w14:paraId="08C1B0A0">
            <w:pP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有法定代表人或其委托代理人签字或加盖单位公章</w:t>
            </w:r>
          </w:p>
        </w:tc>
      </w:tr>
      <w:tr w14:paraId="2C667A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1" w:hRule="atLeast"/>
        </w:trPr>
        <w:tc>
          <w:tcPr>
            <w:tcW w:w="870" w:type="dxa"/>
            <w:vMerge w:val="continue"/>
            <w:tcBorders>
              <w:top w:val="nil"/>
              <w:bottom w:val="single" w:color="auto" w:sz="4" w:space="0"/>
              <w:right w:val="single" w:color="auto" w:sz="4" w:space="0"/>
            </w:tcBorders>
            <w:vAlign w:val="center"/>
          </w:tcPr>
          <w:p w14:paraId="3F2402E3">
            <w:pPr>
              <w:spacing w:line="440" w:lineRule="exact"/>
              <w:jc w:val="center"/>
              <w:rPr>
                <w:rFonts w:hint="eastAsia" w:ascii="宋体" w:hAnsi="宋体" w:cs="宋体"/>
                <w:color w:val="000000" w:themeColor="text1"/>
                <w:szCs w:val="21"/>
                <w14:textFill>
                  <w14:solidFill>
                    <w14:schemeClr w14:val="tx1"/>
                  </w14:solidFill>
                </w14:textFill>
              </w:rPr>
            </w:pPr>
          </w:p>
        </w:tc>
        <w:tc>
          <w:tcPr>
            <w:tcW w:w="1088" w:type="dxa"/>
            <w:vMerge w:val="continue"/>
            <w:tcBorders>
              <w:top w:val="nil"/>
              <w:bottom w:val="single" w:color="auto" w:sz="4" w:space="0"/>
              <w:right w:val="single" w:color="auto" w:sz="4" w:space="0"/>
            </w:tcBorders>
            <w:vAlign w:val="center"/>
          </w:tcPr>
          <w:p w14:paraId="64229164">
            <w:pPr>
              <w:spacing w:line="440" w:lineRule="exact"/>
              <w:jc w:val="center"/>
              <w:rPr>
                <w:rFonts w:hint="eastAsia" w:ascii="宋体" w:hAnsi="宋体" w:cs="宋体"/>
                <w:color w:val="000000" w:themeColor="text1"/>
                <w:szCs w:val="21"/>
                <w14:textFill>
                  <w14:solidFill>
                    <w14:schemeClr w14:val="tx1"/>
                  </w14:solidFill>
                </w14:textFill>
              </w:rPr>
            </w:pPr>
          </w:p>
        </w:tc>
        <w:tc>
          <w:tcPr>
            <w:tcW w:w="2455" w:type="dxa"/>
            <w:tcBorders>
              <w:top w:val="single" w:color="auto" w:sz="4" w:space="0"/>
              <w:left w:val="single" w:color="auto" w:sz="4" w:space="0"/>
              <w:bottom w:val="single" w:color="auto" w:sz="4" w:space="0"/>
              <w:right w:val="single" w:color="auto" w:sz="4" w:space="0"/>
            </w:tcBorders>
            <w:vAlign w:val="center"/>
          </w:tcPr>
          <w:p w14:paraId="7AE62925">
            <w:pPr>
              <w:spacing w:line="400" w:lineRule="exact"/>
              <w:jc w:val="center"/>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投标文件格式</w:t>
            </w:r>
            <w:r>
              <w:rPr>
                <w:rFonts w:hint="eastAsia" w:ascii="宋体" w:hAnsi="宋体" w:cs="宋体"/>
                <w:color w:val="000000" w:themeColor="text1"/>
                <w:szCs w:val="21"/>
                <w:lang w:val="en-US" w:eastAsia="zh-CN"/>
                <w14:textFill>
                  <w14:solidFill>
                    <w14:schemeClr w14:val="tx1"/>
                  </w14:solidFill>
                </w14:textFill>
              </w:rPr>
              <w:t>及页数编制要求</w:t>
            </w:r>
          </w:p>
        </w:tc>
        <w:tc>
          <w:tcPr>
            <w:tcW w:w="5327" w:type="dxa"/>
            <w:tcBorders>
              <w:top w:val="single" w:color="auto" w:sz="4" w:space="0"/>
              <w:left w:val="single" w:color="auto" w:sz="4" w:space="0"/>
              <w:bottom w:val="single" w:color="auto" w:sz="4" w:space="0"/>
              <w:right w:val="single" w:color="auto" w:sz="4" w:space="0"/>
            </w:tcBorders>
            <w:vAlign w:val="center"/>
          </w:tcPr>
          <w:p w14:paraId="37E2244A">
            <w:pP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符合第七章“投标文件格式”的要求</w:t>
            </w:r>
          </w:p>
        </w:tc>
      </w:tr>
      <w:tr w14:paraId="7CD648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1" w:hRule="atLeast"/>
        </w:trPr>
        <w:tc>
          <w:tcPr>
            <w:tcW w:w="870" w:type="dxa"/>
            <w:vMerge w:val="continue"/>
            <w:tcBorders>
              <w:top w:val="nil"/>
              <w:bottom w:val="single" w:color="auto" w:sz="4" w:space="0"/>
              <w:right w:val="single" w:color="auto" w:sz="4" w:space="0"/>
            </w:tcBorders>
            <w:vAlign w:val="center"/>
          </w:tcPr>
          <w:p w14:paraId="1431701D">
            <w:pPr>
              <w:spacing w:line="440" w:lineRule="exact"/>
              <w:jc w:val="center"/>
              <w:rPr>
                <w:rFonts w:hint="eastAsia" w:ascii="宋体" w:hAnsi="宋体" w:cs="宋体"/>
                <w:color w:val="000000" w:themeColor="text1"/>
                <w:szCs w:val="21"/>
                <w14:textFill>
                  <w14:solidFill>
                    <w14:schemeClr w14:val="tx1"/>
                  </w14:solidFill>
                </w14:textFill>
              </w:rPr>
            </w:pPr>
          </w:p>
        </w:tc>
        <w:tc>
          <w:tcPr>
            <w:tcW w:w="1088" w:type="dxa"/>
            <w:vMerge w:val="continue"/>
            <w:tcBorders>
              <w:top w:val="nil"/>
              <w:bottom w:val="single" w:color="auto" w:sz="4" w:space="0"/>
              <w:right w:val="single" w:color="auto" w:sz="4" w:space="0"/>
            </w:tcBorders>
            <w:vAlign w:val="center"/>
          </w:tcPr>
          <w:p w14:paraId="77BD73D0">
            <w:pPr>
              <w:spacing w:line="440" w:lineRule="exact"/>
              <w:jc w:val="center"/>
              <w:rPr>
                <w:rFonts w:hint="eastAsia" w:ascii="宋体" w:hAnsi="宋体" w:cs="宋体"/>
                <w:color w:val="000000" w:themeColor="text1"/>
                <w:szCs w:val="21"/>
                <w14:textFill>
                  <w14:solidFill>
                    <w14:schemeClr w14:val="tx1"/>
                  </w14:solidFill>
                </w14:textFill>
              </w:rPr>
            </w:pPr>
          </w:p>
        </w:tc>
        <w:tc>
          <w:tcPr>
            <w:tcW w:w="2455" w:type="dxa"/>
            <w:tcBorders>
              <w:top w:val="single" w:color="auto" w:sz="4" w:space="0"/>
              <w:left w:val="single" w:color="auto" w:sz="4" w:space="0"/>
              <w:bottom w:val="single" w:color="auto" w:sz="4" w:space="0"/>
              <w:right w:val="single" w:color="auto" w:sz="4" w:space="0"/>
            </w:tcBorders>
            <w:vAlign w:val="center"/>
          </w:tcPr>
          <w:p w14:paraId="4726ADAA">
            <w:pPr>
              <w:spacing w:line="40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联合体投标人</w:t>
            </w:r>
          </w:p>
        </w:tc>
        <w:tc>
          <w:tcPr>
            <w:tcW w:w="5327" w:type="dxa"/>
            <w:tcBorders>
              <w:top w:val="single" w:color="auto" w:sz="4" w:space="0"/>
              <w:left w:val="single" w:color="auto" w:sz="4" w:space="0"/>
              <w:bottom w:val="single" w:color="auto" w:sz="4" w:space="0"/>
              <w:right w:val="single" w:color="auto" w:sz="4" w:space="0"/>
            </w:tcBorders>
            <w:vAlign w:val="center"/>
          </w:tcPr>
          <w:p w14:paraId="47F5A46F">
            <w:pP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提交联合体协议书，并明确联合体牵头人</w:t>
            </w:r>
          </w:p>
        </w:tc>
      </w:tr>
      <w:tr w14:paraId="63D76E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1" w:hRule="atLeast"/>
        </w:trPr>
        <w:tc>
          <w:tcPr>
            <w:tcW w:w="870" w:type="dxa"/>
            <w:vMerge w:val="continue"/>
            <w:tcBorders>
              <w:top w:val="nil"/>
              <w:bottom w:val="single" w:color="auto" w:sz="4" w:space="0"/>
              <w:right w:val="single" w:color="auto" w:sz="4" w:space="0"/>
            </w:tcBorders>
            <w:vAlign w:val="center"/>
          </w:tcPr>
          <w:p w14:paraId="732ABE8B">
            <w:pPr>
              <w:spacing w:line="440" w:lineRule="exact"/>
              <w:jc w:val="center"/>
              <w:rPr>
                <w:rFonts w:hint="eastAsia" w:ascii="宋体" w:hAnsi="宋体" w:cs="宋体"/>
                <w:color w:val="000000" w:themeColor="text1"/>
                <w:szCs w:val="21"/>
                <w14:textFill>
                  <w14:solidFill>
                    <w14:schemeClr w14:val="tx1"/>
                  </w14:solidFill>
                </w14:textFill>
              </w:rPr>
            </w:pPr>
          </w:p>
        </w:tc>
        <w:tc>
          <w:tcPr>
            <w:tcW w:w="1088" w:type="dxa"/>
            <w:vMerge w:val="continue"/>
            <w:tcBorders>
              <w:top w:val="nil"/>
              <w:bottom w:val="single" w:color="auto" w:sz="4" w:space="0"/>
              <w:right w:val="single" w:color="auto" w:sz="4" w:space="0"/>
            </w:tcBorders>
            <w:vAlign w:val="center"/>
          </w:tcPr>
          <w:p w14:paraId="2BCED29F">
            <w:pPr>
              <w:spacing w:line="440" w:lineRule="exact"/>
              <w:jc w:val="center"/>
              <w:rPr>
                <w:rFonts w:hint="eastAsia" w:ascii="宋体" w:hAnsi="宋体" w:cs="宋体"/>
                <w:color w:val="000000" w:themeColor="text1"/>
                <w:szCs w:val="21"/>
                <w14:textFill>
                  <w14:solidFill>
                    <w14:schemeClr w14:val="tx1"/>
                  </w14:solidFill>
                </w14:textFill>
              </w:rPr>
            </w:pPr>
          </w:p>
        </w:tc>
        <w:tc>
          <w:tcPr>
            <w:tcW w:w="2455" w:type="dxa"/>
            <w:tcBorders>
              <w:top w:val="single" w:color="auto" w:sz="4" w:space="0"/>
              <w:left w:val="single" w:color="auto" w:sz="4" w:space="0"/>
              <w:bottom w:val="single" w:color="auto" w:sz="4" w:space="0"/>
              <w:right w:val="single" w:color="auto" w:sz="4" w:space="0"/>
            </w:tcBorders>
            <w:vAlign w:val="center"/>
          </w:tcPr>
          <w:p w14:paraId="6C313FEA">
            <w:pPr>
              <w:spacing w:line="40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报价唯一</w:t>
            </w:r>
          </w:p>
        </w:tc>
        <w:tc>
          <w:tcPr>
            <w:tcW w:w="5327" w:type="dxa"/>
            <w:tcBorders>
              <w:top w:val="single" w:color="auto" w:sz="4" w:space="0"/>
              <w:left w:val="single" w:color="auto" w:sz="4" w:space="0"/>
              <w:bottom w:val="single" w:color="auto" w:sz="4" w:space="0"/>
              <w:right w:val="single" w:color="auto" w:sz="4" w:space="0"/>
            </w:tcBorders>
            <w:vAlign w:val="center"/>
          </w:tcPr>
          <w:p w14:paraId="040F23D7">
            <w:pPr>
              <w:spacing w:line="40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w w:val="80"/>
                <w:sz w:val="20"/>
                <w:szCs w:val="20"/>
                <w14:textFill>
                  <w14:solidFill>
                    <w14:schemeClr w14:val="tx1"/>
                  </w14:solidFill>
                </w14:textFill>
              </w:rPr>
              <w:t>只能有一个有效报价（勘察费、设计费、施工费分别只有一个报价）</w:t>
            </w:r>
          </w:p>
        </w:tc>
      </w:tr>
      <w:tr w14:paraId="76219C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1" w:hRule="atLeast"/>
        </w:trPr>
        <w:tc>
          <w:tcPr>
            <w:tcW w:w="870" w:type="dxa"/>
            <w:vMerge w:val="restart"/>
            <w:tcBorders>
              <w:top w:val="single" w:color="auto" w:sz="4" w:space="0"/>
              <w:right w:val="single" w:color="auto" w:sz="4" w:space="0"/>
            </w:tcBorders>
            <w:vAlign w:val="center"/>
          </w:tcPr>
          <w:p w14:paraId="3BF9B132">
            <w:pPr>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2.1.2</w:t>
            </w:r>
          </w:p>
        </w:tc>
        <w:tc>
          <w:tcPr>
            <w:tcW w:w="1088" w:type="dxa"/>
            <w:vMerge w:val="restart"/>
            <w:tcBorders>
              <w:top w:val="single" w:color="auto" w:sz="4" w:space="0"/>
              <w:right w:val="single" w:color="auto" w:sz="4" w:space="0"/>
            </w:tcBorders>
            <w:vAlign w:val="center"/>
          </w:tcPr>
          <w:p w14:paraId="5BDE6057">
            <w:pPr>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资格评审标准</w:t>
            </w:r>
          </w:p>
        </w:tc>
        <w:tc>
          <w:tcPr>
            <w:tcW w:w="2455" w:type="dxa"/>
            <w:tcBorders>
              <w:top w:val="single" w:color="auto" w:sz="4" w:space="0"/>
              <w:left w:val="single" w:color="auto" w:sz="4" w:space="0"/>
              <w:bottom w:val="single" w:color="auto" w:sz="4" w:space="0"/>
              <w:right w:val="single" w:color="auto" w:sz="4" w:space="0"/>
            </w:tcBorders>
            <w:vAlign w:val="center"/>
          </w:tcPr>
          <w:p w14:paraId="583BB98C">
            <w:pPr>
              <w:spacing w:line="40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营业执照</w:t>
            </w:r>
          </w:p>
        </w:tc>
        <w:tc>
          <w:tcPr>
            <w:tcW w:w="5327" w:type="dxa"/>
            <w:tcBorders>
              <w:top w:val="single" w:color="auto" w:sz="4" w:space="0"/>
              <w:left w:val="single" w:color="auto" w:sz="4" w:space="0"/>
              <w:bottom w:val="single" w:color="auto" w:sz="4" w:space="0"/>
              <w:right w:val="single" w:color="auto" w:sz="4" w:space="0"/>
            </w:tcBorders>
            <w:vAlign w:val="center"/>
          </w:tcPr>
          <w:p w14:paraId="056942C0">
            <w:pP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具备有效的营业执照</w:t>
            </w:r>
          </w:p>
        </w:tc>
      </w:tr>
      <w:tr w14:paraId="4A1107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1" w:hRule="atLeast"/>
        </w:trPr>
        <w:tc>
          <w:tcPr>
            <w:tcW w:w="870" w:type="dxa"/>
            <w:vMerge w:val="continue"/>
            <w:tcBorders>
              <w:right w:val="single" w:color="auto" w:sz="4" w:space="0"/>
            </w:tcBorders>
            <w:vAlign w:val="center"/>
          </w:tcPr>
          <w:p w14:paraId="46A44FAF">
            <w:pPr>
              <w:spacing w:line="440" w:lineRule="exact"/>
              <w:jc w:val="center"/>
              <w:rPr>
                <w:rFonts w:hint="eastAsia" w:ascii="宋体" w:hAnsi="宋体" w:cs="宋体"/>
                <w:color w:val="000000" w:themeColor="text1"/>
                <w:szCs w:val="21"/>
                <w14:textFill>
                  <w14:solidFill>
                    <w14:schemeClr w14:val="tx1"/>
                  </w14:solidFill>
                </w14:textFill>
              </w:rPr>
            </w:pPr>
          </w:p>
        </w:tc>
        <w:tc>
          <w:tcPr>
            <w:tcW w:w="1088" w:type="dxa"/>
            <w:vMerge w:val="continue"/>
            <w:tcBorders>
              <w:right w:val="single" w:color="auto" w:sz="4" w:space="0"/>
            </w:tcBorders>
            <w:vAlign w:val="center"/>
          </w:tcPr>
          <w:p w14:paraId="73985003">
            <w:pPr>
              <w:spacing w:line="440" w:lineRule="exact"/>
              <w:jc w:val="center"/>
              <w:rPr>
                <w:rFonts w:hint="eastAsia" w:ascii="宋体" w:hAnsi="宋体" w:cs="宋体"/>
                <w:color w:val="000000" w:themeColor="text1"/>
                <w:szCs w:val="21"/>
                <w14:textFill>
                  <w14:solidFill>
                    <w14:schemeClr w14:val="tx1"/>
                  </w14:solidFill>
                </w14:textFill>
              </w:rPr>
            </w:pPr>
          </w:p>
        </w:tc>
        <w:tc>
          <w:tcPr>
            <w:tcW w:w="2455" w:type="dxa"/>
            <w:tcBorders>
              <w:top w:val="single" w:color="auto" w:sz="4" w:space="0"/>
              <w:left w:val="single" w:color="auto" w:sz="4" w:space="0"/>
              <w:bottom w:val="single" w:color="auto" w:sz="4" w:space="0"/>
              <w:right w:val="single" w:color="auto" w:sz="4" w:space="0"/>
            </w:tcBorders>
            <w:vAlign w:val="center"/>
          </w:tcPr>
          <w:p w14:paraId="680A3645">
            <w:pPr>
              <w:spacing w:line="40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资质要求</w:t>
            </w:r>
          </w:p>
        </w:tc>
        <w:tc>
          <w:tcPr>
            <w:tcW w:w="5327" w:type="dxa"/>
            <w:tcBorders>
              <w:top w:val="single" w:color="auto" w:sz="4" w:space="0"/>
              <w:left w:val="single" w:color="auto" w:sz="4" w:space="0"/>
              <w:bottom w:val="single" w:color="auto" w:sz="4" w:space="0"/>
              <w:right w:val="single" w:color="auto" w:sz="4" w:space="0"/>
            </w:tcBorders>
            <w:vAlign w:val="center"/>
          </w:tcPr>
          <w:p w14:paraId="7F93CDD7">
            <w:pP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符合第二章“投标人须知”第1.4.1项规定</w:t>
            </w:r>
          </w:p>
        </w:tc>
      </w:tr>
      <w:tr w14:paraId="4B301C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1" w:hRule="atLeast"/>
        </w:trPr>
        <w:tc>
          <w:tcPr>
            <w:tcW w:w="870" w:type="dxa"/>
            <w:vMerge w:val="continue"/>
            <w:tcBorders>
              <w:right w:val="single" w:color="auto" w:sz="4" w:space="0"/>
            </w:tcBorders>
            <w:vAlign w:val="center"/>
          </w:tcPr>
          <w:p w14:paraId="61610027">
            <w:pPr>
              <w:spacing w:line="440" w:lineRule="exact"/>
              <w:jc w:val="center"/>
              <w:rPr>
                <w:rFonts w:hint="eastAsia" w:ascii="宋体" w:hAnsi="宋体" w:cs="宋体"/>
                <w:color w:val="000000" w:themeColor="text1"/>
                <w:szCs w:val="21"/>
                <w14:textFill>
                  <w14:solidFill>
                    <w14:schemeClr w14:val="tx1"/>
                  </w14:solidFill>
                </w14:textFill>
              </w:rPr>
            </w:pPr>
          </w:p>
        </w:tc>
        <w:tc>
          <w:tcPr>
            <w:tcW w:w="1088" w:type="dxa"/>
            <w:vMerge w:val="continue"/>
            <w:tcBorders>
              <w:right w:val="single" w:color="auto" w:sz="4" w:space="0"/>
            </w:tcBorders>
            <w:vAlign w:val="center"/>
          </w:tcPr>
          <w:p w14:paraId="6C801ABD">
            <w:pPr>
              <w:spacing w:line="440" w:lineRule="exact"/>
              <w:jc w:val="center"/>
              <w:rPr>
                <w:rFonts w:hint="eastAsia" w:ascii="宋体" w:hAnsi="宋体" w:cs="宋体"/>
                <w:color w:val="000000" w:themeColor="text1"/>
                <w:szCs w:val="21"/>
                <w14:textFill>
                  <w14:solidFill>
                    <w14:schemeClr w14:val="tx1"/>
                  </w14:solidFill>
                </w14:textFill>
              </w:rPr>
            </w:pPr>
          </w:p>
        </w:tc>
        <w:tc>
          <w:tcPr>
            <w:tcW w:w="2455" w:type="dxa"/>
            <w:tcBorders>
              <w:top w:val="single" w:color="auto" w:sz="4" w:space="0"/>
              <w:left w:val="single" w:color="auto" w:sz="4" w:space="0"/>
              <w:bottom w:val="single" w:color="auto" w:sz="4" w:space="0"/>
              <w:right w:val="single" w:color="auto" w:sz="4" w:space="0"/>
            </w:tcBorders>
            <w:vAlign w:val="center"/>
          </w:tcPr>
          <w:p w14:paraId="1B69CB28">
            <w:pPr>
              <w:spacing w:line="40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企业能力</w:t>
            </w:r>
          </w:p>
        </w:tc>
        <w:tc>
          <w:tcPr>
            <w:tcW w:w="5327" w:type="dxa"/>
            <w:tcBorders>
              <w:top w:val="single" w:color="auto" w:sz="4" w:space="0"/>
              <w:left w:val="single" w:color="auto" w:sz="4" w:space="0"/>
              <w:bottom w:val="single" w:color="auto" w:sz="4" w:space="0"/>
              <w:right w:val="single" w:color="auto" w:sz="4" w:space="0"/>
            </w:tcBorders>
            <w:vAlign w:val="center"/>
          </w:tcPr>
          <w:p w14:paraId="3740ADE0">
            <w:pP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符合第二章“投标人须知”第1.4.1项规定</w:t>
            </w:r>
          </w:p>
        </w:tc>
      </w:tr>
      <w:tr w14:paraId="1F799E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1" w:hRule="atLeast"/>
        </w:trPr>
        <w:tc>
          <w:tcPr>
            <w:tcW w:w="870" w:type="dxa"/>
            <w:vMerge w:val="continue"/>
            <w:tcBorders>
              <w:right w:val="single" w:color="auto" w:sz="4" w:space="0"/>
            </w:tcBorders>
            <w:vAlign w:val="center"/>
          </w:tcPr>
          <w:p w14:paraId="5B835C96">
            <w:pPr>
              <w:spacing w:line="440" w:lineRule="exact"/>
              <w:jc w:val="center"/>
              <w:rPr>
                <w:rFonts w:hint="eastAsia" w:ascii="宋体" w:hAnsi="宋体" w:cs="宋体"/>
                <w:color w:val="000000" w:themeColor="text1"/>
                <w:szCs w:val="21"/>
                <w14:textFill>
                  <w14:solidFill>
                    <w14:schemeClr w14:val="tx1"/>
                  </w14:solidFill>
                </w14:textFill>
              </w:rPr>
            </w:pPr>
          </w:p>
        </w:tc>
        <w:tc>
          <w:tcPr>
            <w:tcW w:w="1088" w:type="dxa"/>
            <w:vMerge w:val="continue"/>
            <w:tcBorders>
              <w:right w:val="single" w:color="auto" w:sz="4" w:space="0"/>
            </w:tcBorders>
            <w:vAlign w:val="center"/>
          </w:tcPr>
          <w:p w14:paraId="4E94CC40">
            <w:pPr>
              <w:spacing w:line="440" w:lineRule="exact"/>
              <w:jc w:val="center"/>
              <w:rPr>
                <w:rFonts w:hint="eastAsia" w:ascii="宋体" w:hAnsi="宋体" w:cs="宋体"/>
                <w:color w:val="000000" w:themeColor="text1"/>
                <w:szCs w:val="21"/>
                <w14:textFill>
                  <w14:solidFill>
                    <w14:schemeClr w14:val="tx1"/>
                  </w14:solidFill>
                </w14:textFill>
              </w:rPr>
            </w:pPr>
          </w:p>
        </w:tc>
        <w:tc>
          <w:tcPr>
            <w:tcW w:w="2455" w:type="dxa"/>
            <w:tcBorders>
              <w:top w:val="single" w:color="auto" w:sz="4" w:space="0"/>
              <w:left w:val="single" w:color="auto" w:sz="4" w:space="0"/>
              <w:bottom w:val="single" w:color="auto" w:sz="4" w:space="0"/>
              <w:right w:val="single" w:color="auto" w:sz="4" w:space="0"/>
            </w:tcBorders>
            <w:vAlign w:val="center"/>
          </w:tcPr>
          <w:p w14:paraId="08200C22">
            <w:pPr>
              <w:spacing w:line="40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财务状况</w:t>
            </w:r>
          </w:p>
        </w:tc>
        <w:tc>
          <w:tcPr>
            <w:tcW w:w="5327" w:type="dxa"/>
            <w:tcBorders>
              <w:top w:val="single" w:color="auto" w:sz="4" w:space="0"/>
              <w:left w:val="single" w:color="auto" w:sz="4" w:space="0"/>
              <w:bottom w:val="single" w:color="auto" w:sz="4" w:space="0"/>
              <w:right w:val="single" w:color="auto" w:sz="4" w:space="0"/>
            </w:tcBorders>
            <w:vAlign w:val="center"/>
          </w:tcPr>
          <w:p w14:paraId="5837B756">
            <w:pP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符合第二章“投标人须知”第1.4.1项规定</w:t>
            </w:r>
          </w:p>
        </w:tc>
      </w:tr>
      <w:tr w14:paraId="1D3821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1" w:hRule="atLeast"/>
        </w:trPr>
        <w:tc>
          <w:tcPr>
            <w:tcW w:w="870" w:type="dxa"/>
            <w:vMerge w:val="continue"/>
            <w:tcBorders>
              <w:right w:val="single" w:color="auto" w:sz="4" w:space="0"/>
            </w:tcBorders>
            <w:vAlign w:val="center"/>
          </w:tcPr>
          <w:p w14:paraId="09C814EB">
            <w:pPr>
              <w:spacing w:line="440" w:lineRule="exact"/>
              <w:jc w:val="center"/>
              <w:rPr>
                <w:rFonts w:hint="eastAsia" w:ascii="宋体" w:hAnsi="宋体" w:cs="宋体"/>
                <w:color w:val="000000" w:themeColor="text1"/>
                <w:szCs w:val="21"/>
                <w14:textFill>
                  <w14:solidFill>
                    <w14:schemeClr w14:val="tx1"/>
                  </w14:solidFill>
                </w14:textFill>
              </w:rPr>
            </w:pPr>
          </w:p>
        </w:tc>
        <w:tc>
          <w:tcPr>
            <w:tcW w:w="1088" w:type="dxa"/>
            <w:vMerge w:val="continue"/>
            <w:tcBorders>
              <w:right w:val="single" w:color="auto" w:sz="4" w:space="0"/>
            </w:tcBorders>
            <w:vAlign w:val="center"/>
          </w:tcPr>
          <w:p w14:paraId="446E2CAC">
            <w:pPr>
              <w:spacing w:line="440" w:lineRule="exact"/>
              <w:jc w:val="center"/>
              <w:rPr>
                <w:rFonts w:hint="eastAsia" w:ascii="宋体" w:hAnsi="宋体" w:cs="宋体"/>
                <w:color w:val="000000" w:themeColor="text1"/>
                <w:szCs w:val="21"/>
                <w14:textFill>
                  <w14:solidFill>
                    <w14:schemeClr w14:val="tx1"/>
                  </w14:solidFill>
                </w14:textFill>
              </w:rPr>
            </w:pPr>
          </w:p>
        </w:tc>
        <w:tc>
          <w:tcPr>
            <w:tcW w:w="2455" w:type="dxa"/>
            <w:tcBorders>
              <w:top w:val="single" w:color="auto" w:sz="4" w:space="0"/>
              <w:left w:val="single" w:color="auto" w:sz="4" w:space="0"/>
              <w:bottom w:val="single" w:color="auto" w:sz="4" w:space="0"/>
              <w:right w:val="single" w:color="auto" w:sz="4" w:space="0"/>
            </w:tcBorders>
            <w:vAlign w:val="center"/>
          </w:tcPr>
          <w:p w14:paraId="45248293">
            <w:pPr>
              <w:spacing w:line="40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信誉</w:t>
            </w:r>
          </w:p>
        </w:tc>
        <w:tc>
          <w:tcPr>
            <w:tcW w:w="5327" w:type="dxa"/>
            <w:tcBorders>
              <w:top w:val="single" w:color="auto" w:sz="4" w:space="0"/>
              <w:left w:val="single" w:color="auto" w:sz="4" w:space="0"/>
              <w:bottom w:val="single" w:color="auto" w:sz="4" w:space="0"/>
              <w:right w:val="single" w:color="auto" w:sz="4" w:space="0"/>
            </w:tcBorders>
            <w:vAlign w:val="center"/>
          </w:tcPr>
          <w:p w14:paraId="288A3083">
            <w:pP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符合第二章“投标人须知”第1.4.1项规定</w:t>
            </w:r>
          </w:p>
        </w:tc>
      </w:tr>
      <w:tr w14:paraId="69A656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1" w:hRule="atLeast"/>
        </w:trPr>
        <w:tc>
          <w:tcPr>
            <w:tcW w:w="870" w:type="dxa"/>
            <w:vMerge w:val="continue"/>
            <w:tcBorders>
              <w:right w:val="single" w:color="auto" w:sz="4" w:space="0"/>
            </w:tcBorders>
            <w:vAlign w:val="center"/>
          </w:tcPr>
          <w:p w14:paraId="6E961395">
            <w:pPr>
              <w:spacing w:line="440" w:lineRule="exact"/>
              <w:jc w:val="center"/>
              <w:rPr>
                <w:rFonts w:hint="eastAsia" w:ascii="宋体" w:hAnsi="宋体" w:cs="宋体"/>
                <w:color w:val="000000" w:themeColor="text1"/>
                <w:szCs w:val="21"/>
                <w14:textFill>
                  <w14:solidFill>
                    <w14:schemeClr w14:val="tx1"/>
                  </w14:solidFill>
                </w14:textFill>
              </w:rPr>
            </w:pPr>
          </w:p>
        </w:tc>
        <w:tc>
          <w:tcPr>
            <w:tcW w:w="1088" w:type="dxa"/>
            <w:vMerge w:val="continue"/>
            <w:tcBorders>
              <w:right w:val="single" w:color="auto" w:sz="4" w:space="0"/>
            </w:tcBorders>
            <w:vAlign w:val="center"/>
          </w:tcPr>
          <w:p w14:paraId="7F82CFE2">
            <w:pPr>
              <w:spacing w:line="440" w:lineRule="exact"/>
              <w:jc w:val="center"/>
              <w:rPr>
                <w:rFonts w:hint="eastAsia" w:ascii="宋体" w:hAnsi="宋体" w:cs="宋体"/>
                <w:color w:val="000000" w:themeColor="text1"/>
                <w:szCs w:val="21"/>
                <w14:textFill>
                  <w14:solidFill>
                    <w14:schemeClr w14:val="tx1"/>
                  </w14:solidFill>
                </w14:textFill>
              </w:rPr>
            </w:pPr>
          </w:p>
        </w:tc>
        <w:tc>
          <w:tcPr>
            <w:tcW w:w="2455" w:type="dxa"/>
            <w:tcBorders>
              <w:top w:val="single" w:color="auto" w:sz="4" w:space="0"/>
              <w:left w:val="single" w:color="auto" w:sz="4" w:space="0"/>
              <w:bottom w:val="single" w:color="auto" w:sz="4" w:space="0"/>
              <w:right w:val="single" w:color="auto" w:sz="4" w:space="0"/>
            </w:tcBorders>
            <w:vAlign w:val="center"/>
          </w:tcPr>
          <w:p w14:paraId="459EE3D5">
            <w:pPr>
              <w:spacing w:line="40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项目经理 </w:t>
            </w:r>
          </w:p>
        </w:tc>
        <w:tc>
          <w:tcPr>
            <w:tcW w:w="5327" w:type="dxa"/>
            <w:tcBorders>
              <w:top w:val="single" w:color="auto" w:sz="4" w:space="0"/>
              <w:left w:val="single" w:color="auto" w:sz="4" w:space="0"/>
              <w:bottom w:val="single" w:color="auto" w:sz="4" w:space="0"/>
              <w:right w:val="single" w:color="auto" w:sz="4" w:space="0"/>
            </w:tcBorders>
            <w:vAlign w:val="center"/>
          </w:tcPr>
          <w:p w14:paraId="419695C3">
            <w:pP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符合第二章“投标人须知”第1.4.1项规定</w:t>
            </w:r>
          </w:p>
        </w:tc>
      </w:tr>
      <w:tr w14:paraId="6A0966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1" w:hRule="atLeast"/>
        </w:trPr>
        <w:tc>
          <w:tcPr>
            <w:tcW w:w="870" w:type="dxa"/>
            <w:vMerge w:val="continue"/>
            <w:tcBorders>
              <w:right w:val="single" w:color="auto" w:sz="4" w:space="0"/>
            </w:tcBorders>
            <w:vAlign w:val="center"/>
          </w:tcPr>
          <w:p w14:paraId="57982F3B">
            <w:pPr>
              <w:spacing w:line="440" w:lineRule="exact"/>
              <w:jc w:val="center"/>
              <w:rPr>
                <w:rFonts w:hint="eastAsia" w:ascii="宋体" w:hAnsi="宋体" w:cs="宋体"/>
                <w:color w:val="000000" w:themeColor="text1"/>
                <w:szCs w:val="21"/>
                <w14:textFill>
                  <w14:solidFill>
                    <w14:schemeClr w14:val="tx1"/>
                  </w14:solidFill>
                </w14:textFill>
              </w:rPr>
            </w:pPr>
          </w:p>
        </w:tc>
        <w:tc>
          <w:tcPr>
            <w:tcW w:w="1088" w:type="dxa"/>
            <w:vMerge w:val="continue"/>
            <w:tcBorders>
              <w:right w:val="single" w:color="auto" w:sz="4" w:space="0"/>
            </w:tcBorders>
            <w:vAlign w:val="center"/>
          </w:tcPr>
          <w:p w14:paraId="332CD673">
            <w:pPr>
              <w:spacing w:line="440" w:lineRule="exact"/>
              <w:jc w:val="center"/>
              <w:rPr>
                <w:rFonts w:hint="eastAsia" w:ascii="宋体" w:hAnsi="宋体" w:cs="宋体"/>
                <w:color w:val="000000" w:themeColor="text1"/>
                <w:szCs w:val="21"/>
                <w14:textFill>
                  <w14:solidFill>
                    <w14:schemeClr w14:val="tx1"/>
                  </w14:solidFill>
                </w14:textFill>
              </w:rPr>
            </w:pPr>
          </w:p>
        </w:tc>
        <w:tc>
          <w:tcPr>
            <w:tcW w:w="2455" w:type="dxa"/>
            <w:tcBorders>
              <w:top w:val="single" w:color="auto" w:sz="4" w:space="0"/>
              <w:left w:val="single" w:color="auto" w:sz="4" w:space="0"/>
              <w:bottom w:val="single" w:color="auto" w:sz="4" w:space="0"/>
              <w:right w:val="single" w:color="auto" w:sz="4" w:space="0"/>
            </w:tcBorders>
            <w:vAlign w:val="center"/>
          </w:tcPr>
          <w:p w14:paraId="177805BF">
            <w:pPr>
              <w:spacing w:line="40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勘察负责人</w:t>
            </w:r>
          </w:p>
        </w:tc>
        <w:tc>
          <w:tcPr>
            <w:tcW w:w="5327" w:type="dxa"/>
            <w:tcBorders>
              <w:top w:val="single" w:color="auto" w:sz="4" w:space="0"/>
              <w:left w:val="single" w:color="auto" w:sz="4" w:space="0"/>
              <w:bottom w:val="single" w:color="auto" w:sz="4" w:space="0"/>
              <w:right w:val="single" w:color="auto" w:sz="4" w:space="0"/>
            </w:tcBorders>
            <w:vAlign w:val="center"/>
          </w:tcPr>
          <w:p w14:paraId="2C473D65">
            <w:pP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符合第二章“投标人须知”第1.4.1项规定</w:t>
            </w:r>
          </w:p>
        </w:tc>
      </w:tr>
      <w:tr w14:paraId="7CAC56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1" w:hRule="atLeast"/>
        </w:trPr>
        <w:tc>
          <w:tcPr>
            <w:tcW w:w="870" w:type="dxa"/>
            <w:vMerge w:val="continue"/>
            <w:tcBorders>
              <w:right w:val="single" w:color="auto" w:sz="4" w:space="0"/>
            </w:tcBorders>
            <w:vAlign w:val="center"/>
          </w:tcPr>
          <w:p w14:paraId="7323695C">
            <w:pPr>
              <w:spacing w:line="440" w:lineRule="exact"/>
              <w:jc w:val="center"/>
              <w:rPr>
                <w:rFonts w:hint="eastAsia" w:ascii="宋体" w:hAnsi="宋体" w:cs="宋体"/>
                <w:color w:val="000000" w:themeColor="text1"/>
                <w:szCs w:val="21"/>
                <w14:textFill>
                  <w14:solidFill>
                    <w14:schemeClr w14:val="tx1"/>
                  </w14:solidFill>
                </w14:textFill>
              </w:rPr>
            </w:pPr>
          </w:p>
        </w:tc>
        <w:tc>
          <w:tcPr>
            <w:tcW w:w="1088" w:type="dxa"/>
            <w:vMerge w:val="continue"/>
            <w:tcBorders>
              <w:right w:val="single" w:color="auto" w:sz="4" w:space="0"/>
            </w:tcBorders>
            <w:vAlign w:val="center"/>
          </w:tcPr>
          <w:p w14:paraId="431A6E7E">
            <w:pPr>
              <w:spacing w:line="440" w:lineRule="exact"/>
              <w:jc w:val="center"/>
              <w:rPr>
                <w:rFonts w:hint="eastAsia" w:ascii="宋体" w:hAnsi="宋体" w:cs="宋体"/>
                <w:color w:val="000000" w:themeColor="text1"/>
                <w:szCs w:val="21"/>
                <w14:textFill>
                  <w14:solidFill>
                    <w14:schemeClr w14:val="tx1"/>
                  </w14:solidFill>
                </w14:textFill>
              </w:rPr>
            </w:pPr>
          </w:p>
        </w:tc>
        <w:tc>
          <w:tcPr>
            <w:tcW w:w="2455" w:type="dxa"/>
            <w:tcBorders>
              <w:top w:val="single" w:color="auto" w:sz="4" w:space="0"/>
              <w:left w:val="single" w:color="auto" w:sz="4" w:space="0"/>
              <w:bottom w:val="single" w:color="auto" w:sz="4" w:space="0"/>
              <w:right w:val="single" w:color="auto" w:sz="4" w:space="0"/>
            </w:tcBorders>
            <w:vAlign w:val="center"/>
          </w:tcPr>
          <w:p w14:paraId="372B0A26">
            <w:pPr>
              <w:spacing w:line="40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设计负责人</w:t>
            </w:r>
          </w:p>
        </w:tc>
        <w:tc>
          <w:tcPr>
            <w:tcW w:w="5327" w:type="dxa"/>
            <w:tcBorders>
              <w:top w:val="single" w:color="auto" w:sz="4" w:space="0"/>
              <w:left w:val="single" w:color="auto" w:sz="4" w:space="0"/>
              <w:bottom w:val="single" w:color="auto" w:sz="4" w:space="0"/>
              <w:right w:val="single" w:color="auto" w:sz="4" w:space="0"/>
            </w:tcBorders>
            <w:vAlign w:val="center"/>
          </w:tcPr>
          <w:p w14:paraId="102033B3">
            <w:pP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符合第二章“投标人须知”第1.4.1项规定</w:t>
            </w:r>
          </w:p>
        </w:tc>
      </w:tr>
      <w:tr w14:paraId="0105AB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1" w:hRule="atLeast"/>
        </w:trPr>
        <w:tc>
          <w:tcPr>
            <w:tcW w:w="870" w:type="dxa"/>
            <w:vMerge w:val="continue"/>
            <w:tcBorders>
              <w:right w:val="single" w:color="auto" w:sz="4" w:space="0"/>
            </w:tcBorders>
            <w:vAlign w:val="center"/>
          </w:tcPr>
          <w:p w14:paraId="06707CAB">
            <w:pPr>
              <w:spacing w:line="440" w:lineRule="exact"/>
              <w:jc w:val="center"/>
              <w:rPr>
                <w:rFonts w:hint="eastAsia" w:ascii="宋体" w:hAnsi="宋体" w:cs="宋体"/>
                <w:color w:val="000000" w:themeColor="text1"/>
                <w:szCs w:val="21"/>
                <w14:textFill>
                  <w14:solidFill>
                    <w14:schemeClr w14:val="tx1"/>
                  </w14:solidFill>
                </w14:textFill>
              </w:rPr>
            </w:pPr>
          </w:p>
        </w:tc>
        <w:tc>
          <w:tcPr>
            <w:tcW w:w="1088" w:type="dxa"/>
            <w:vMerge w:val="continue"/>
            <w:tcBorders>
              <w:right w:val="single" w:color="auto" w:sz="4" w:space="0"/>
            </w:tcBorders>
            <w:vAlign w:val="center"/>
          </w:tcPr>
          <w:p w14:paraId="66CA9E6E">
            <w:pPr>
              <w:spacing w:line="440" w:lineRule="exact"/>
              <w:jc w:val="center"/>
              <w:rPr>
                <w:rFonts w:hint="eastAsia" w:ascii="宋体" w:hAnsi="宋体" w:cs="宋体"/>
                <w:color w:val="000000" w:themeColor="text1"/>
                <w:szCs w:val="21"/>
                <w14:textFill>
                  <w14:solidFill>
                    <w14:schemeClr w14:val="tx1"/>
                  </w14:solidFill>
                </w14:textFill>
              </w:rPr>
            </w:pPr>
          </w:p>
        </w:tc>
        <w:tc>
          <w:tcPr>
            <w:tcW w:w="2455" w:type="dxa"/>
            <w:tcBorders>
              <w:top w:val="single" w:color="auto" w:sz="4" w:space="0"/>
              <w:left w:val="single" w:color="auto" w:sz="4" w:space="0"/>
              <w:bottom w:val="single" w:color="auto" w:sz="4" w:space="0"/>
              <w:right w:val="single" w:color="auto" w:sz="4" w:space="0"/>
            </w:tcBorders>
            <w:vAlign w:val="center"/>
          </w:tcPr>
          <w:p w14:paraId="4A4622CC">
            <w:pPr>
              <w:spacing w:line="40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施工负责人</w:t>
            </w:r>
          </w:p>
        </w:tc>
        <w:tc>
          <w:tcPr>
            <w:tcW w:w="5327" w:type="dxa"/>
            <w:tcBorders>
              <w:top w:val="single" w:color="auto" w:sz="4" w:space="0"/>
              <w:left w:val="single" w:color="auto" w:sz="4" w:space="0"/>
              <w:bottom w:val="single" w:color="auto" w:sz="4" w:space="0"/>
              <w:right w:val="single" w:color="auto" w:sz="4" w:space="0"/>
            </w:tcBorders>
            <w:vAlign w:val="center"/>
          </w:tcPr>
          <w:p w14:paraId="7E323982">
            <w:pP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符合第二章“投标人须知”第1.4.1项规定</w:t>
            </w:r>
          </w:p>
        </w:tc>
      </w:tr>
      <w:tr w14:paraId="4C1541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1" w:hRule="atLeast"/>
        </w:trPr>
        <w:tc>
          <w:tcPr>
            <w:tcW w:w="870" w:type="dxa"/>
            <w:vMerge w:val="continue"/>
            <w:tcBorders>
              <w:right w:val="single" w:color="auto" w:sz="4" w:space="0"/>
            </w:tcBorders>
            <w:vAlign w:val="center"/>
          </w:tcPr>
          <w:p w14:paraId="477B4012">
            <w:pPr>
              <w:spacing w:line="440" w:lineRule="exact"/>
              <w:jc w:val="center"/>
              <w:rPr>
                <w:rFonts w:hint="eastAsia" w:ascii="宋体" w:hAnsi="宋体" w:cs="宋体"/>
                <w:color w:val="000000" w:themeColor="text1"/>
                <w:szCs w:val="21"/>
                <w14:textFill>
                  <w14:solidFill>
                    <w14:schemeClr w14:val="tx1"/>
                  </w14:solidFill>
                </w14:textFill>
              </w:rPr>
            </w:pPr>
          </w:p>
        </w:tc>
        <w:tc>
          <w:tcPr>
            <w:tcW w:w="1088" w:type="dxa"/>
            <w:vMerge w:val="continue"/>
            <w:tcBorders>
              <w:right w:val="single" w:color="auto" w:sz="4" w:space="0"/>
            </w:tcBorders>
            <w:vAlign w:val="center"/>
          </w:tcPr>
          <w:p w14:paraId="10DAA870">
            <w:pPr>
              <w:spacing w:line="440" w:lineRule="exact"/>
              <w:jc w:val="center"/>
              <w:rPr>
                <w:rFonts w:hint="eastAsia" w:ascii="宋体" w:hAnsi="宋体" w:cs="宋体"/>
                <w:color w:val="000000" w:themeColor="text1"/>
                <w:szCs w:val="21"/>
                <w14:textFill>
                  <w14:solidFill>
                    <w14:schemeClr w14:val="tx1"/>
                  </w14:solidFill>
                </w14:textFill>
              </w:rPr>
            </w:pPr>
          </w:p>
        </w:tc>
        <w:tc>
          <w:tcPr>
            <w:tcW w:w="2455" w:type="dxa"/>
            <w:tcBorders>
              <w:top w:val="single" w:color="auto" w:sz="4" w:space="0"/>
              <w:left w:val="single" w:color="auto" w:sz="4" w:space="0"/>
              <w:bottom w:val="single" w:color="auto" w:sz="4" w:space="0"/>
              <w:right w:val="single" w:color="auto" w:sz="4" w:space="0"/>
            </w:tcBorders>
            <w:vAlign w:val="center"/>
          </w:tcPr>
          <w:p w14:paraId="2C4226F5">
            <w:pPr>
              <w:spacing w:line="40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其他人员要求</w:t>
            </w:r>
          </w:p>
        </w:tc>
        <w:tc>
          <w:tcPr>
            <w:tcW w:w="5327" w:type="dxa"/>
            <w:tcBorders>
              <w:top w:val="single" w:color="auto" w:sz="4" w:space="0"/>
              <w:left w:val="single" w:color="auto" w:sz="4" w:space="0"/>
              <w:bottom w:val="single" w:color="auto" w:sz="4" w:space="0"/>
              <w:right w:val="single" w:color="auto" w:sz="4" w:space="0"/>
            </w:tcBorders>
            <w:vAlign w:val="center"/>
          </w:tcPr>
          <w:p w14:paraId="4D3278F0">
            <w:pP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符合第二章“投标人须知”第1.4.1项规定</w:t>
            </w:r>
          </w:p>
        </w:tc>
      </w:tr>
      <w:tr w14:paraId="36FA60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1" w:hRule="atLeast"/>
        </w:trPr>
        <w:tc>
          <w:tcPr>
            <w:tcW w:w="870" w:type="dxa"/>
            <w:vMerge w:val="continue"/>
            <w:tcBorders>
              <w:right w:val="single" w:color="auto" w:sz="4" w:space="0"/>
            </w:tcBorders>
            <w:vAlign w:val="center"/>
          </w:tcPr>
          <w:p w14:paraId="716BF219">
            <w:pPr>
              <w:spacing w:line="440" w:lineRule="exact"/>
              <w:jc w:val="center"/>
              <w:rPr>
                <w:rFonts w:hint="eastAsia" w:ascii="宋体" w:hAnsi="宋体" w:cs="宋体"/>
                <w:color w:val="000000" w:themeColor="text1"/>
                <w:szCs w:val="21"/>
                <w14:textFill>
                  <w14:solidFill>
                    <w14:schemeClr w14:val="tx1"/>
                  </w14:solidFill>
                </w14:textFill>
              </w:rPr>
            </w:pPr>
          </w:p>
        </w:tc>
        <w:tc>
          <w:tcPr>
            <w:tcW w:w="1088" w:type="dxa"/>
            <w:vMerge w:val="continue"/>
            <w:tcBorders>
              <w:right w:val="single" w:color="auto" w:sz="4" w:space="0"/>
            </w:tcBorders>
            <w:vAlign w:val="center"/>
          </w:tcPr>
          <w:p w14:paraId="7AD45752">
            <w:pPr>
              <w:spacing w:line="440" w:lineRule="exact"/>
              <w:jc w:val="center"/>
              <w:rPr>
                <w:rFonts w:hint="eastAsia" w:ascii="宋体" w:hAnsi="宋体" w:cs="宋体"/>
                <w:color w:val="000000" w:themeColor="text1"/>
                <w:szCs w:val="21"/>
                <w14:textFill>
                  <w14:solidFill>
                    <w14:schemeClr w14:val="tx1"/>
                  </w14:solidFill>
                </w14:textFill>
              </w:rPr>
            </w:pPr>
          </w:p>
        </w:tc>
        <w:tc>
          <w:tcPr>
            <w:tcW w:w="2455" w:type="dxa"/>
            <w:tcBorders>
              <w:top w:val="single" w:color="auto" w:sz="4" w:space="0"/>
              <w:left w:val="single" w:color="auto" w:sz="4" w:space="0"/>
              <w:bottom w:val="single" w:color="auto" w:sz="4" w:space="0"/>
              <w:right w:val="single" w:color="auto" w:sz="4" w:space="0"/>
            </w:tcBorders>
            <w:vAlign w:val="center"/>
          </w:tcPr>
          <w:p w14:paraId="65E0EB1B">
            <w:pPr>
              <w:spacing w:line="40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其他要求</w:t>
            </w:r>
          </w:p>
        </w:tc>
        <w:tc>
          <w:tcPr>
            <w:tcW w:w="5327" w:type="dxa"/>
            <w:tcBorders>
              <w:top w:val="single" w:color="auto" w:sz="4" w:space="0"/>
              <w:left w:val="single" w:color="auto" w:sz="4" w:space="0"/>
              <w:bottom w:val="single" w:color="auto" w:sz="4" w:space="0"/>
              <w:right w:val="single" w:color="auto" w:sz="4" w:space="0"/>
            </w:tcBorders>
            <w:vAlign w:val="center"/>
          </w:tcPr>
          <w:p w14:paraId="311980D5">
            <w:pP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符合第二章“投标人须知”第1.4.1项规定</w:t>
            </w:r>
          </w:p>
        </w:tc>
      </w:tr>
      <w:tr w14:paraId="358C6D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870" w:type="dxa"/>
            <w:vMerge w:val="continue"/>
            <w:tcBorders>
              <w:right w:val="single" w:color="auto" w:sz="4" w:space="0"/>
            </w:tcBorders>
            <w:vAlign w:val="center"/>
          </w:tcPr>
          <w:p w14:paraId="1CD00A9D">
            <w:pPr>
              <w:spacing w:line="440" w:lineRule="exact"/>
              <w:jc w:val="center"/>
              <w:rPr>
                <w:rFonts w:hint="eastAsia" w:ascii="宋体" w:hAnsi="宋体" w:cs="宋体"/>
                <w:color w:val="000000" w:themeColor="text1"/>
                <w:szCs w:val="21"/>
                <w14:textFill>
                  <w14:solidFill>
                    <w14:schemeClr w14:val="tx1"/>
                  </w14:solidFill>
                </w14:textFill>
              </w:rPr>
            </w:pPr>
          </w:p>
        </w:tc>
        <w:tc>
          <w:tcPr>
            <w:tcW w:w="1088" w:type="dxa"/>
            <w:vMerge w:val="continue"/>
            <w:tcBorders>
              <w:right w:val="single" w:color="auto" w:sz="4" w:space="0"/>
            </w:tcBorders>
            <w:vAlign w:val="center"/>
          </w:tcPr>
          <w:p w14:paraId="3376C43D">
            <w:pPr>
              <w:spacing w:line="440" w:lineRule="exact"/>
              <w:jc w:val="center"/>
              <w:rPr>
                <w:rFonts w:hint="eastAsia" w:ascii="宋体" w:hAnsi="宋体" w:cs="宋体"/>
                <w:color w:val="000000" w:themeColor="text1"/>
                <w:szCs w:val="21"/>
                <w14:textFill>
                  <w14:solidFill>
                    <w14:schemeClr w14:val="tx1"/>
                  </w14:solidFill>
                </w14:textFill>
              </w:rPr>
            </w:pPr>
          </w:p>
        </w:tc>
        <w:tc>
          <w:tcPr>
            <w:tcW w:w="2455" w:type="dxa"/>
            <w:tcBorders>
              <w:top w:val="single" w:color="auto" w:sz="4" w:space="0"/>
              <w:left w:val="single" w:color="auto" w:sz="4" w:space="0"/>
              <w:bottom w:val="single" w:color="auto" w:sz="4" w:space="0"/>
              <w:right w:val="single" w:color="auto" w:sz="4" w:space="0"/>
            </w:tcBorders>
            <w:vAlign w:val="center"/>
          </w:tcPr>
          <w:p w14:paraId="1583CC21">
            <w:pPr>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联合体投标人</w:t>
            </w:r>
          </w:p>
        </w:tc>
        <w:tc>
          <w:tcPr>
            <w:tcW w:w="5327" w:type="dxa"/>
            <w:tcBorders>
              <w:top w:val="single" w:color="auto" w:sz="4" w:space="0"/>
              <w:left w:val="single" w:color="auto" w:sz="4" w:space="0"/>
              <w:bottom w:val="single" w:color="auto" w:sz="4" w:space="0"/>
              <w:right w:val="single" w:color="auto" w:sz="4" w:space="0"/>
            </w:tcBorders>
            <w:vAlign w:val="center"/>
          </w:tcPr>
          <w:p w14:paraId="48577378">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符合第二章“投标人须知”第1.4.2项规定</w:t>
            </w:r>
          </w:p>
        </w:tc>
      </w:tr>
      <w:tr w14:paraId="4AC229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870" w:type="dxa"/>
            <w:vMerge w:val="restart"/>
            <w:tcBorders>
              <w:top w:val="single" w:color="auto" w:sz="4" w:space="0"/>
              <w:right w:val="single" w:color="auto" w:sz="4" w:space="0"/>
            </w:tcBorders>
            <w:vAlign w:val="center"/>
          </w:tcPr>
          <w:p w14:paraId="277DACC1">
            <w:pPr>
              <w:spacing w:line="440" w:lineRule="exact"/>
              <w:jc w:val="center"/>
              <w:rPr>
                <w:rFonts w:hint="eastAsia" w:ascii="宋体" w:hAnsi="宋体" w:cs="宋体"/>
                <w:color w:val="000000" w:themeColor="text1"/>
                <w:szCs w:val="21"/>
                <w14:textFill>
                  <w14:solidFill>
                    <w14:schemeClr w14:val="tx1"/>
                  </w14:solidFill>
                </w14:textFill>
              </w:rPr>
            </w:pPr>
          </w:p>
          <w:p w14:paraId="4A1D65B6">
            <w:pPr>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2.1.3</w:t>
            </w:r>
          </w:p>
        </w:tc>
        <w:tc>
          <w:tcPr>
            <w:tcW w:w="1088" w:type="dxa"/>
            <w:vMerge w:val="restart"/>
            <w:tcBorders>
              <w:top w:val="single" w:color="auto" w:sz="4" w:space="0"/>
              <w:right w:val="single" w:color="auto" w:sz="4" w:space="0"/>
            </w:tcBorders>
            <w:vAlign w:val="center"/>
          </w:tcPr>
          <w:p w14:paraId="7AD08B63">
            <w:pPr>
              <w:spacing w:line="440" w:lineRule="exact"/>
              <w:jc w:val="center"/>
              <w:rPr>
                <w:rFonts w:hint="eastAsia" w:ascii="宋体" w:hAnsi="宋体" w:cs="宋体"/>
                <w:color w:val="000000" w:themeColor="text1"/>
                <w:szCs w:val="21"/>
                <w14:textFill>
                  <w14:solidFill>
                    <w14:schemeClr w14:val="tx1"/>
                  </w14:solidFill>
                </w14:textFill>
              </w:rPr>
            </w:pPr>
          </w:p>
          <w:p w14:paraId="66EE02F5">
            <w:pPr>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响应性评审标准</w:t>
            </w:r>
          </w:p>
        </w:tc>
        <w:tc>
          <w:tcPr>
            <w:tcW w:w="2455" w:type="dxa"/>
            <w:tcBorders>
              <w:top w:val="single" w:color="auto" w:sz="4" w:space="0"/>
              <w:left w:val="single" w:color="auto" w:sz="4" w:space="0"/>
              <w:bottom w:val="single" w:color="auto" w:sz="4" w:space="0"/>
              <w:right w:val="single" w:color="auto" w:sz="4" w:space="0"/>
            </w:tcBorders>
            <w:vAlign w:val="center"/>
          </w:tcPr>
          <w:p w14:paraId="453A5996">
            <w:pPr>
              <w:spacing w:line="40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投标报价</w:t>
            </w:r>
          </w:p>
        </w:tc>
        <w:tc>
          <w:tcPr>
            <w:tcW w:w="5327" w:type="dxa"/>
            <w:tcBorders>
              <w:top w:val="single" w:color="auto" w:sz="4" w:space="0"/>
              <w:left w:val="single" w:color="auto" w:sz="4" w:space="0"/>
              <w:bottom w:val="single" w:color="auto" w:sz="4" w:space="0"/>
              <w:right w:val="single" w:color="auto" w:sz="4" w:space="0"/>
            </w:tcBorders>
            <w:vAlign w:val="center"/>
          </w:tcPr>
          <w:p w14:paraId="1E1C3490">
            <w:pP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符合第二章“投标人须知”第3.2.2项规定</w:t>
            </w:r>
          </w:p>
        </w:tc>
      </w:tr>
      <w:tr w14:paraId="47CECE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870" w:type="dxa"/>
            <w:vMerge w:val="continue"/>
            <w:tcBorders>
              <w:top w:val="single" w:color="auto" w:sz="4" w:space="0"/>
              <w:right w:val="single" w:color="auto" w:sz="4" w:space="0"/>
            </w:tcBorders>
            <w:vAlign w:val="center"/>
          </w:tcPr>
          <w:p w14:paraId="1EDECC58">
            <w:pPr>
              <w:spacing w:line="440" w:lineRule="exact"/>
              <w:jc w:val="center"/>
              <w:rPr>
                <w:rFonts w:hint="eastAsia" w:ascii="宋体" w:hAnsi="宋体" w:cs="宋体"/>
                <w:color w:val="000000" w:themeColor="text1"/>
                <w:szCs w:val="21"/>
                <w14:textFill>
                  <w14:solidFill>
                    <w14:schemeClr w14:val="tx1"/>
                  </w14:solidFill>
                </w14:textFill>
              </w:rPr>
            </w:pPr>
          </w:p>
        </w:tc>
        <w:tc>
          <w:tcPr>
            <w:tcW w:w="1088" w:type="dxa"/>
            <w:vMerge w:val="continue"/>
            <w:tcBorders>
              <w:top w:val="single" w:color="auto" w:sz="4" w:space="0"/>
              <w:right w:val="single" w:color="auto" w:sz="4" w:space="0"/>
            </w:tcBorders>
            <w:vAlign w:val="center"/>
          </w:tcPr>
          <w:p w14:paraId="13619D89">
            <w:pPr>
              <w:spacing w:line="440" w:lineRule="exact"/>
              <w:jc w:val="center"/>
              <w:rPr>
                <w:rFonts w:hint="eastAsia" w:ascii="宋体" w:hAnsi="宋体" w:cs="宋体"/>
                <w:color w:val="000000" w:themeColor="text1"/>
                <w:szCs w:val="21"/>
                <w14:textFill>
                  <w14:solidFill>
                    <w14:schemeClr w14:val="tx1"/>
                  </w14:solidFill>
                </w14:textFill>
              </w:rPr>
            </w:pPr>
          </w:p>
        </w:tc>
        <w:tc>
          <w:tcPr>
            <w:tcW w:w="2455" w:type="dxa"/>
            <w:tcBorders>
              <w:top w:val="single" w:color="auto" w:sz="4" w:space="0"/>
              <w:left w:val="single" w:color="auto" w:sz="4" w:space="0"/>
              <w:bottom w:val="single" w:color="auto" w:sz="4" w:space="0"/>
              <w:right w:val="single" w:color="auto" w:sz="4" w:space="0"/>
            </w:tcBorders>
            <w:vAlign w:val="center"/>
          </w:tcPr>
          <w:p w14:paraId="24EBACBF">
            <w:pPr>
              <w:spacing w:line="40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投标内容</w:t>
            </w:r>
          </w:p>
        </w:tc>
        <w:tc>
          <w:tcPr>
            <w:tcW w:w="5327" w:type="dxa"/>
            <w:tcBorders>
              <w:top w:val="single" w:color="auto" w:sz="4" w:space="0"/>
              <w:left w:val="single" w:color="auto" w:sz="4" w:space="0"/>
              <w:bottom w:val="single" w:color="auto" w:sz="4" w:space="0"/>
              <w:right w:val="single" w:color="auto" w:sz="4" w:space="0"/>
            </w:tcBorders>
            <w:vAlign w:val="center"/>
          </w:tcPr>
          <w:p w14:paraId="44E87C4F">
            <w:pP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符合第二章“投标人须知”第1.3.1项规定</w:t>
            </w:r>
          </w:p>
        </w:tc>
      </w:tr>
      <w:tr w14:paraId="03C4A4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870" w:type="dxa"/>
            <w:vMerge w:val="continue"/>
            <w:tcBorders>
              <w:right w:val="single" w:color="auto" w:sz="4" w:space="0"/>
            </w:tcBorders>
            <w:vAlign w:val="center"/>
          </w:tcPr>
          <w:p w14:paraId="3F90F8A1">
            <w:pPr>
              <w:spacing w:line="440" w:lineRule="exact"/>
              <w:jc w:val="center"/>
              <w:rPr>
                <w:rFonts w:hint="eastAsia" w:ascii="宋体" w:hAnsi="宋体" w:cs="宋体"/>
                <w:color w:val="000000" w:themeColor="text1"/>
                <w:szCs w:val="21"/>
                <w14:textFill>
                  <w14:solidFill>
                    <w14:schemeClr w14:val="tx1"/>
                  </w14:solidFill>
                </w14:textFill>
              </w:rPr>
            </w:pPr>
          </w:p>
        </w:tc>
        <w:tc>
          <w:tcPr>
            <w:tcW w:w="1088" w:type="dxa"/>
            <w:vMerge w:val="continue"/>
            <w:tcBorders>
              <w:right w:val="single" w:color="auto" w:sz="4" w:space="0"/>
            </w:tcBorders>
            <w:vAlign w:val="center"/>
          </w:tcPr>
          <w:p w14:paraId="07F5762A">
            <w:pPr>
              <w:spacing w:line="440" w:lineRule="exact"/>
              <w:jc w:val="center"/>
              <w:rPr>
                <w:rFonts w:hint="eastAsia" w:ascii="宋体" w:hAnsi="宋体" w:cs="宋体"/>
                <w:color w:val="000000" w:themeColor="text1"/>
                <w:szCs w:val="21"/>
                <w14:textFill>
                  <w14:solidFill>
                    <w14:schemeClr w14:val="tx1"/>
                  </w14:solidFill>
                </w14:textFill>
              </w:rPr>
            </w:pPr>
          </w:p>
        </w:tc>
        <w:tc>
          <w:tcPr>
            <w:tcW w:w="2455" w:type="dxa"/>
            <w:tcBorders>
              <w:top w:val="single" w:color="auto" w:sz="4" w:space="0"/>
              <w:left w:val="single" w:color="auto" w:sz="4" w:space="0"/>
              <w:bottom w:val="single" w:color="auto" w:sz="4" w:space="0"/>
              <w:right w:val="single" w:color="auto" w:sz="4" w:space="0"/>
            </w:tcBorders>
            <w:vAlign w:val="center"/>
          </w:tcPr>
          <w:p w14:paraId="75ED20C5">
            <w:pPr>
              <w:spacing w:line="40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工期</w:t>
            </w:r>
          </w:p>
        </w:tc>
        <w:tc>
          <w:tcPr>
            <w:tcW w:w="5327" w:type="dxa"/>
            <w:tcBorders>
              <w:top w:val="single" w:color="auto" w:sz="4" w:space="0"/>
              <w:left w:val="single" w:color="auto" w:sz="4" w:space="0"/>
              <w:bottom w:val="single" w:color="auto" w:sz="4" w:space="0"/>
              <w:right w:val="single" w:color="auto" w:sz="4" w:space="0"/>
            </w:tcBorders>
            <w:vAlign w:val="center"/>
          </w:tcPr>
          <w:p w14:paraId="2CC314A7">
            <w:pP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符合第二章“投标人须知”第1.3.2项规定</w:t>
            </w:r>
          </w:p>
        </w:tc>
      </w:tr>
      <w:tr w14:paraId="6CF3A5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870" w:type="dxa"/>
            <w:vMerge w:val="continue"/>
            <w:tcBorders>
              <w:right w:val="single" w:color="auto" w:sz="4" w:space="0"/>
            </w:tcBorders>
            <w:vAlign w:val="center"/>
          </w:tcPr>
          <w:p w14:paraId="6D29FFAA">
            <w:pPr>
              <w:spacing w:line="440" w:lineRule="exact"/>
              <w:jc w:val="center"/>
              <w:rPr>
                <w:rFonts w:hint="eastAsia" w:ascii="宋体" w:hAnsi="宋体" w:cs="宋体"/>
                <w:color w:val="000000" w:themeColor="text1"/>
                <w:szCs w:val="21"/>
                <w14:textFill>
                  <w14:solidFill>
                    <w14:schemeClr w14:val="tx1"/>
                  </w14:solidFill>
                </w14:textFill>
              </w:rPr>
            </w:pPr>
          </w:p>
        </w:tc>
        <w:tc>
          <w:tcPr>
            <w:tcW w:w="1088" w:type="dxa"/>
            <w:vMerge w:val="continue"/>
            <w:tcBorders>
              <w:right w:val="single" w:color="auto" w:sz="4" w:space="0"/>
            </w:tcBorders>
            <w:vAlign w:val="center"/>
          </w:tcPr>
          <w:p w14:paraId="53249E3E">
            <w:pPr>
              <w:spacing w:line="440" w:lineRule="exact"/>
              <w:jc w:val="center"/>
              <w:rPr>
                <w:rFonts w:hint="eastAsia" w:ascii="宋体" w:hAnsi="宋体" w:cs="宋体"/>
                <w:color w:val="000000" w:themeColor="text1"/>
                <w:szCs w:val="21"/>
                <w14:textFill>
                  <w14:solidFill>
                    <w14:schemeClr w14:val="tx1"/>
                  </w14:solidFill>
                </w14:textFill>
              </w:rPr>
            </w:pPr>
          </w:p>
        </w:tc>
        <w:tc>
          <w:tcPr>
            <w:tcW w:w="2455" w:type="dxa"/>
            <w:tcBorders>
              <w:top w:val="single" w:color="auto" w:sz="4" w:space="0"/>
              <w:left w:val="single" w:color="auto" w:sz="4" w:space="0"/>
              <w:bottom w:val="single" w:color="auto" w:sz="4" w:space="0"/>
              <w:right w:val="single" w:color="auto" w:sz="4" w:space="0"/>
            </w:tcBorders>
            <w:vAlign w:val="center"/>
          </w:tcPr>
          <w:p w14:paraId="0E4B0D41">
            <w:pPr>
              <w:spacing w:line="40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质量标准</w:t>
            </w:r>
          </w:p>
        </w:tc>
        <w:tc>
          <w:tcPr>
            <w:tcW w:w="5327" w:type="dxa"/>
            <w:tcBorders>
              <w:top w:val="single" w:color="auto" w:sz="4" w:space="0"/>
              <w:left w:val="single" w:color="auto" w:sz="4" w:space="0"/>
              <w:bottom w:val="single" w:color="auto" w:sz="4" w:space="0"/>
              <w:right w:val="single" w:color="auto" w:sz="4" w:space="0"/>
            </w:tcBorders>
            <w:vAlign w:val="center"/>
          </w:tcPr>
          <w:p w14:paraId="4A94425A">
            <w:pP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符合第二章“投标人须知”第1.3.3项规定</w:t>
            </w:r>
          </w:p>
        </w:tc>
      </w:tr>
      <w:tr w14:paraId="27B064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870" w:type="dxa"/>
            <w:vMerge w:val="continue"/>
            <w:tcBorders>
              <w:right w:val="single" w:color="auto" w:sz="4" w:space="0"/>
            </w:tcBorders>
            <w:vAlign w:val="center"/>
          </w:tcPr>
          <w:p w14:paraId="24A2BDE8">
            <w:pPr>
              <w:spacing w:line="440" w:lineRule="exact"/>
              <w:jc w:val="center"/>
              <w:rPr>
                <w:rFonts w:hint="eastAsia" w:ascii="宋体" w:hAnsi="宋体" w:cs="宋体"/>
                <w:color w:val="000000" w:themeColor="text1"/>
                <w:szCs w:val="21"/>
                <w14:textFill>
                  <w14:solidFill>
                    <w14:schemeClr w14:val="tx1"/>
                  </w14:solidFill>
                </w14:textFill>
              </w:rPr>
            </w:pPr>
          </w:p>
        </w:tc>
        <w:tc>
          <w:tcPr>
            <w:tcW w:w="1088" w:type="dxa"/>
            <w:vMerge w:val="continue"/>
            <w:tcBorders>
              <w:right w:val="single" w:color="auto" w:sz="4" w:space="0"/>
            </w:tcBorders>
            <w:vAlign w:val="center"/>
          </w:tcPr>
          <w:p w14:paraId="0D6F2ABE">
            <w:pPr>
              <w:spacing w:line="440" w:lineRule="exact"/>
              <w:jc w:val="center"/>
              <w:rPr>
                <w:rFonts w:hint="eastAsia" w:ascii="宋体" w:hAnsi="宋体" w:cs="宋体"/>
                <w:color w:val="000000" w:themeColor="text1"/>
                <w:szCs w:val="21"/>
                <w14:textFill>
                  <w14:solidFill>
                    <w14:schemeClr w14:val="tx1"/>
                  </w14:solidFill>
                </w14:textFill>
              </w:rPr>
            </w:pPr>
          </w:p>
        </w:tc>
        <w:tc>
          <w:tcPr>
            <w:tcW w:w="2455" w:type="dxa"/>
            <w:tcBorders>
              <w:top w:val="single" w:color="auto" w:sz="4" w:space="0"/>
              <w:left w:val="single" w:color="auto" w:sz="4" w:space="0"/>
              <w:bottom w:val="single" w:color="auto" w:sz="4" w:space="0"/>
              <w:right w:val="single" w:color="auto" w:sz="4" w:space="0"/>
            </w:tcBorders>
            <w:vAlign w:val="center"/>
          </w:tcPr>
          <w:p w14:paraId="0EFCDCEF">
            <w:pPr>
              <w:spacing w:line="40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投标有效期</w:t>
            </w:r>
          </w:p>
        </w:tc>
        <w:tc>
          <w:tcPr>
            <w:tcW w:w="5327" w:type="dxa"/>
            <w:tcBorders>
              <w:top w:val="single" w:color="auto" w:sz="4" w:space="0"/>
              <w:left w:val="single" w:color="auto" w:sz="4" w:space="0"/>
              <w:bottom w:val="single" w:color="auto" w:sz="4" w:space="0"/>
              <w:right w:val="single" w:color="auto" w:sz="4" w:space="0"/>
            </w:tcBorders>
            <w:vAlign w:val="center"/>
          </w:tcPr>
          <w:p w14:paraId="17606ED7">
            <w:pP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符合第二章“投标人须知”第3.3.1项规定</w:t>
            </w:r>
          </w:p>
        </w:tc>
      </w:tr>
      <w:tr w14:paraId="7F9EFA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870" w:type="dxa"/>
            <w:vMerge w:val="continue"/>
            <w:tcBorders>
              <w:right w:val="single" w:color="auto" w:sz="4" w:space="0"/>
            </w:tcBorders>
            <w:vAlign w:val="center"/>
          </w:tcPr>
          <w:p w14:paraId="1036BE79">
            <w:pPr>
              <w:spacing w:line="440" w:lineRule="exact"/>
              <w:jc w:val="center"/>
              <w:rPr>
                <w:rFonts w:hint="eastAsia" w:ascii="宋体" w:hAnsi="宋体" w:cs="宋体"/>
                <w:color w:val="000000" w:themeColor="text1"/>
                <w:szCs w:val="21"/>
                <w14:textFill>
                  <w14:solidFill>
                    <w14:schemeClr w14:val="tx1"/>
                  </w14:solidFill>
                </w14:textFill>
              </w:rPr>
            </w:pPr>
          </w:p>
        </w:tc>
        <w:tc>
          <w:tcPr>
            <w:tcW w:w="1088" w:type="dxa"/>
            <w:vMerge w:val="continue"/>
            <w:tcBorders>
              <w:right w:val="single" w:color="auto" w:sz="4" w:space="0"/>
            </w:tcBorders>
            <w:vAlign w:val="center"/>
          </w:tcPr>
          <w:p w14:paraId="6F002026">
            <w:pPr>
              <w:spacing w:line="440" w:lineRule="exact"/>
              <w:jc w:val="center"/>
              <w:rPr>
                <w:rFonts w:hint="eastAsia" w:ascii="宋体" w:hAnsi="宋体" w:cs="宋体"/>
                <w:color w:val="000000" w:themeColor="text1"/>
                <w:szCs w:val="21"/>
                <w14:textFill>
                  <w14:solidFill>
                    <w14:schemeClr w14:val="tx1"/>
                  </w14:solidFill>
                </w14:textFill>
              </w:rPr>
            </w:pPr>
          </w:p>
        </w:tc>
        <w:tc>
          <w:tcPr>
            <w:tcW w:w="2455" w:type="dxa"/>
            <w:tcBorders>
              <w:top w:val="single" w:color="auto" w:sz="4" w:space="0"/>
              <w:left w:val="single" w:color="auto" w:sz="4" w:space="0"/>
              <w:bottom w:val="single" w:color="auto" w:sz="4" w:space="0"/>
              <w:right w:val="single" w:color="auto" w:sz="4" w:space="0"/>
            </w:tcBorders>
            <w:vAlign w:val="center"/>
          </w:tcPr>
          <w:p w14:paraId="08B56A36">
            <w:pPr>
              <w:spacing w:line="40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投标保证金</w:t>
            </w:r>
          </w:p>
        </w:tc>
        <w:tc>
          <w:tcPr>
            <w:tcW w:w="5327" w:type="dxa"/>
            <w:tcBorders>
              <w:top w:val="single" w:color="auto" w:sz="4" w:space="0"/>
              <w:left w:val="single" w:color="auto" w:sz="4" w:space="0"/>
              <w:bottom w:val="single" w:color="auto" w:sz="4" w:space="0"/>
              <w:right w:val="single" w:color="auto" w:sz="4" w:space="0"/>
            </w:tcBorders>
            <w:vAlign w:val="center"/>
          </w:tcPr>
          <w:p w14:paraId="01B3B7DC">
            <w:pP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符合第二章“投标人须知”第3.4款规定</w:t>
            </w:r>
          </w:p>
        </w:tc>
      </w:tr>
      <w:tr w14:paraId="073E90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2" w:hRule="atLeast"/>
        </w:trPr>
        <w:tc>
          <w:tcPr>
            <w:tcW w:w="870" w:type="dxa"/>
            <w:vMerge w:val="continue"/>
            <w:tcBorders>
              <w:right w:val="single" w:color="auto" w:sz="4" w:space="0"/>
            </w:tcBorders>
            <w:vAlign w:val="center"/>
          </w:tcPr>
          <w:p w14:paraId="7B752BE0">
            <w:pPr>
              <w:spacing w:line="440" w:lineRule="exact"/>
              <w:jc w:val="center"/>
              <w:rPr>
                <w:rFonts w:hint="eastAsia" w:ascii="宋体" w:hAnsi="宋体" w:cs="宋体"/>
                <w:color w:val="000000" w:themeColor="text1"/>
                <w:szCs w:val="21"/>
                <w14:textFill>
                  <w14:solidFill>
                    <w14:schemeClr w14:val="tx1"/>
                  </w14:solidFill>
                </w14:textFill>
              </w:rPr>
            </w:pPr>
          </w:p>
        </w:tc>
        <w:tc>
          <w:tcPr>
            <w:tcW w:w="1088" w:type="dxa"/>
            <w:vMerge w:val="continue"/>
            <w:tcBorders>
              <w:right w:val="single" w:color="auto" w:sz="4" w:space="0"/>
            </w:tcBorders>
            <w:vAlign w:val="center"/>
          </w:tcPr>
          <w:p w14:paraId="0B522AE9">
            <w:pPr>
              <w:spacing w:line="440" w:lineRule="exact"/>
              <w:jc w:val="center"/>
              <w:rPr>
                <w:rFonts w:hint="eastAsia" w:ascii="宋体" w:hAnsi="宋体" w:cs="宋体"/>
                <w:color w:val="000000" w:themeColor="text1"/>
                <w:szCs w:val="21"/>
                <w14:textFill>
                  <w14:solidFill>
                    <w14:schemeClr w14:val="tx1"/>
                  </w14:solidFill>
                </w14:textFill>
              </w:rPr>
            </w:pPr>
          </w:p>
        </w:tc>
        <w:tc>
          <w:tcPr>
            <w:tcW w:w="2455" w:type="dxa"/>
            <w:tcBorders>
              <w:top w:val="single" w:color="auto" w:sz="4" w:space="0"/>
              <w:left w:val="single" w:color="auto" w:sz="4" w:space="0"/>
              <w:bottom w:val="single" w:color="auto" w:sz="4" w:space="0"/>
              <w:right w:val="single" w:color="auto" w:sz="4" w:space="0"/>
            </w:tcBorders>
            <w:vAlign w:val="center"/>
          </w:tcPr>
          <w:p w14:paraId="666870A8">
            <w:pPr>
              <w:spacing w:line="40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权利义务</w:t>
            </w:r>
          </w:p>
        </w:tc>
        <w:tc>
          <w:tcPr>
            <w:tcW w:w="5327" w:type="dxa"/>
            <w:tcBorders>
              <w:top w:val="single" w:color="auto" w:sz="4" w:space="0"/>
              <w:left w:val="single" w:color="auto" w:sz="4" w:space="0"/>
              <w:bottom w:val="single" w:color="auto" w:sz="4" w:space="0"/>
              <w:right w:val="single" w:color="auto" w:sz="4" w:space="0"/>
            </w:tcBorders>
            <w:vAlign w:val="center"/>
          </w:tcPr>
          <w:p w14:paraId="7E3D2D33">
            <w:pP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符合第四章“合同条款及格式”规定的权利义务</w:t>
            </w:r>
          </w:p>
        </w:tc>
      </w:tr>
      <w:tr w14:paraId="60DBDD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870" w:type="dxa"/>
            <w:vMerge w:val="continue"/>
            <w:tcBorders>
              <w:right w:val="single" w:color="auto" w:sz="4" w:space="0"/>
            </w:tcBorders>
            <w:vAlign w:val="center"/>
          </w:tcPr>
          <w:p w14:paraId="6BA1198E">
            <w:pPr>
              <w:spacing w:line="440" w:lineRule="exact"/>
              <w:jc w:val="center"/>
              <w:rPr>
                <w:rFonts w:hint="eastAsia" w:ascii="宋体" w:hAnsi="宋体" w:cs="宋体"/>
                <w:color w:val="000000" w:themeColor="text1"/>
                <w:szCs w:val="21"/>
                <w14:textFill>
                  <w14:solidFill>
                    <w14:schemeClr w14:val="tx1"/>
                  </w14:solidFill>
                </w14:textFill>
              </w:rPr>
            </w:pPr>
          </w:p>
        </w:tc>
        <w:tc>
          <w:tcPr>
            <w:tcW w:w="1088" w:type="dxa"/>
            <w:vMerge w:val="continue"/>
            <w:tcBorders>
              <w:right w:val="single" w:color="auto" w:sz="4" w:space="0"/>
            </w:tcBorders>
            <w:vAlign w:val="center"/>
          </w:tcPr>
          <w:p w14:paraId="666B9405">
            <w:pPr>
              <w:spacing w:line="440" w:lineRule="exact"/>
              <w:jc w:val="center"/>
              <w:rPr>
                <w:rFonts w:hint="eastAsia" w:ascii="宋体" w:hAnsi="宋体" w:cs="宋体"/>
                <w:color w:val="000000" w:themeColor="text1"/>
                <w:szCs w:val="21"/>
                <w14:textFill>
                  <w14:solidFill>
                    <w14:schemeClr w14:val="tx1"/>
                  </w14:solidFill>
                </w14:textFill>
              </w:rPr>
            </w:pPr>
          </w:p>
        </w:tc>
        <w:tc>
          <w:tcPr>
            <w:tcW w:w="2455" w:type="dxa"/>
            <w:tcBorders>
              <w:top w:val="single" w:color="auto" w:sz="4" w:space="0"/>
              <w:left w:val="single" w:color="auto" w:sz="4" w:space="0"/>
              <w:bottom w:val="single" w:color="auto" w:sz="4" w:space="0"/>
              <w:right w:val="single" w:color="auto" w:sz="4" w:space="0"/>
            </w:tcBorders>
            <w:vAlign w:val="center"/>
          </w:tcPr>
          <w:p w14:paraId="45833198">
            <w:pPr>
              <w:spacing w:line="40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承包人建议</w:t>
            </w:r>
          </w:p>
        </w:tc>
        <w:tc>
          <w:tcPr>
            <w:tcW w:w="5327" w:type="dxa"/>
            <w:tcBorders>
              <w:top w:val="single" w:color="auto" w:sz="4" w:space="0"/>
              <w:left w:val="single" w:color="auto" w:sz="4" w:space="0"/>
              <w:bottom w:val="single" w:color="auto" w:sz="4" w:space="0"/>
              <w:right w:val="single" w:color="auto" w:sz="4" w:space="0"/>
            </w:tcBorders>
            <w:vAlign w:val="center"/>
          </w:tcPr>
          <w:p w14:paraId="2B87102C">
            <w:pP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符合第五章“发包人要求”的规定</w:t>
            </w:r>
          </w:p>
        </w:tc>
      </w:tr>
      <w:tr w14:paraId="185B2D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870" w:type="dxa"/>
            <w:vMerge w:val="continue"/>
            <w:tcBorders>
              <w:bottom w:val="single" w:color="auto" w:sz="4" w:space="0"/>
              <w:right w:val="single" w:color="auto" w:sz="4" w:space="0"/>
            </w:tcBorders>
            <w:vAlign w:val="center"/>
          </w:tcPr>
          <w:p w14:paraId="166827F1">
            <w:pPr>
              <w:spacing w:line="440" w:lineRule="exact"/>
              <w:rPr>
                <w:rFonts w:hint="eastAsia" w:ascii="宋体" w:hAnsi="宋体" w:cs="宋体"/>
                <w:color w:val="000000" w:themeColor="text1"/>
                <w:szCs w:val="21"/>
                <w14:textFill>
                  <w14:solidFill>
                    <w14:schemeClr w14:val="tx1"/>
                  </w14:solidFill>
                </w14:textFill>
              </w:rPr>
            </w:pPr>
          </w:p>
        </w:tc>
        <w:tc>
          <w:tcPr>
            <w:tcW w:w="1088" w:type="dxa"/>
            <w:vMerge w:val="continue"/>
            <w:tcBorders>
              <w:bottom w:val="single" w:color="auto" w:sz="4" w:space="0"/>
              <w:right w:val="single" w:color="auto" w:sz="4" w:space="0"/>
            </w:tcBorders>
            <w:vAlign w:val="center"/>
          </w:tcPr>
          <w:p w14:paraId="42CDB890">
            <w:pPr>
              <w:spacing w:line="440" w:lineRule="exact"/>
              <w:jc w:val="center"/>
              <w:rPr>
                <w:rFonts w:hint="eastAsia" w:ascii="宋体" w:hAnsi="宋体" w:cs="宋体"/>
                <w:color w:val="000000" w:themeColor="text1"/>
                <w:szCs w:val="21"/>
                <w14:textFill>
                  <w14:solidFill>
                    <w14:schemeClr w14:val="tx1"/>
                  </w14:solidFill>
                </w14:textFill>
              </w:rPr>
            </w:pPr>
          </w:p>
        </w:tc>
        <w:tc>
          <w:tcPr>
            <w:tcW w:w="2455" w:type="dxa"/>
            <w:tcBorders>
              <w:top w:val="single" w:color="auto" w:sz="4" w:space="0"/>
              <w:left w:val="single" w:color="auto" w:sz="4" w:space="0"/>
              <w:bottom w:val="single" w:color="auto" w:sz="4" w:space="0"/>
              <w:right w:val="single" w:color="auto" w:sz="4" w:space="0"/>
            </w:tcBorders>
            <w:vAlign w:val="center"/>
          </w:tcPr>
          <w:p w14:paraId="6ABCF0A2">
            <w:pPr>
              <w:spacing w:line="40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其他</w:t>
            </w:r>
          </w:p>
        </w:tc>
        <w:tc>
          <w:tcPr>
            <w:tcW w:w="5327" w:type="dxa"/>
            <w:tcBorders>
              <w:top w:val="single" w:color="auto" w:sz="4" w:space="0"/>
              <w:left w:val="single" w:color="auto" w:sz="4" w:space="0"/>
              <w:bottom w:val="single" w:color="auto" w:sz="4" w:space="0"/>
              <w:right w:val="single" w:color="auto" w:sz="4" w:space="0"/>
            </w:tcBorders>
            <w:vAlign w:val="center"/>
          </w:tcPr>
          <w:p w14:paraId="4543D0E4">
            <w:pP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符合招标文件中规定的其他实质性要求的</w:t>
            </w:r>
          </w:p>
        </w:tc>
      </w:tr>
    </w:tbl>
    <w:tbl>
      <w:tblPr>
        <w:tblStyle w:val="41"/>
        <w:tblpPr w:leftFromText="180" w:rightFromText="180" w:vertAnchor="text" w:horzAnchor="page" w:tblpX="1287" w:tblpY="882"/>
        <w:tblOverlap w:val="never"/>
        <w:tblW w:w="1007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00"/>
        <w:gridCol w:w="1124"/>
        <w:gridCol w:w="2255"/>
        <w:gridCol w:w="5799"/>
      </w:tblGrid>
      <w:tr w14:paraId="4955DC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24" w:type="dxa"/>
            <w:gridSpan w:val="2"/>
            <w:tcBorders>
              <w:bottom w:val="single" w:color="auto" w:sz="4" w:space="0"/>
              <w:right w:val="single" w:color="auto" w:sz="4" w:space="0"/>
            </w:tcBorders>
            <w:vAlign w:val="center"/>
          </w:tcPr>
          <w:p w14:paraId="082DBCCF">
            <w:pPr>
              <w:spacing w:line="440" w:lineRule="exact"/>
              <w:jc w:val="center"/>
              <w:rPr>
                <w:b/>
                <w:color w:val="000000" w:themeColor="text1"/>
                <w:szCs w:val="21"/>
                <w14:textFill>
                  <w14:solidFill>
                    <w14:schemeClr w14:val="tx1"/>
                  </w14:solidFill>
                </w14:textFill>
              </w:rPr>
            </w:pPr>
            <w:bookmarkStart w:id="751" w:name="_Toc48853330"/>
            <w:bookmarkStart w:id="752" w:name="_Toc46412452"/>
            <w:bookmarkStart w:id="753" w:name="_Toc48853122"/>
            <w:bookmarkStart w:id="754" w:name="_Toc46412114"/>
            <w:bookmarkStart w:id="755" w:name="_Toc20093"/>
            <w:r>
              <w:rPr>
                <w:b/>
                <w:color w:val="000000" w:themeColor="text1"/>
                <w:szCs w:val="21"/>
                <w14:textFill>
                  <w14:solidFill>
                    <w14:schemeClr w14:val="tx1"/>
                  </w14:solidFill>
                </w14:textFill>
              </w:rPr>
              <w:t>条款号</w:t>
            </w:r>
          </w:p>
        </w:tc>
        <w:tc>
          <w:tcPr>
            <w:tcW w:w="2255" w:type="dxa"/>
            <w:tcBorders>
              <w:top w:val="single" w:color="auto" w:sz="4" w:space="0"/>
              <w:left w:val="single" w:color="auto" w:sz="4" w:space="0"/>
              <w:bottom w:val="single" w:color="auto" w:sz="4" w:space="0"/>
              <w:right w:val="single" w:color="auto" w:sz="4" w:space="0"/>
            </w:tcBorders>
            <w:vAlign w:val="center"/>
          </w:tcPr>
          <w:p w14:paraId="4411A787">
            <w:pPr>
              <w:spacing w:line="440" w:lineRule="exact"/>
              <w:jc w:val="center"/>
              <w:rPr>
                <w:b/>
                <w:color w:val="000000" w:themeColor="text1"/>
                <w:szCs w:val="21"/>
                <w14:textFill>
                  <w14:solidFill>
                    <w14:schemeClr w14:val="tx1"/>
                  </w14:solidFill>
                </w14:textFill>
              </w:rPr>
            </w:pPr>
            <w:r>
              <w:rPr>
                <w:b/>
                <w:color w:val="000000" w:themeColor="text1"/>
                <w:szCs w:val="21"/>
                <w14:textFill>
                  <w14:solidFill>
                    <w14:schemeClr w14:val="tx1"/>
                  </w14:solidFill>
                </w14:textFill>
              </w:rPr>
              <w:t>条款内容</w:t>
            </w:r>
          </w:p>
        </w:tc>
        <w:tc>
          <w:tcPr>
            <w:tcW w:w="5799" w:type="dxa"/>
            <w:tcBorders>
              <w:top w:val="single" w:color="auto" w:sz="4" w:space="0"/>
              <w:left w:val="single" w:color="auto" w:sz="4" w:space="0"/>
              <w:bottom w:val="single" w:color="auto" w:sz="4" w:space="0"/>
              <w:right w:val="single" w:color="auto" w:sz="4" w:space="0"/>
            </w:tcBorders>
            <w:vAlign w:val="center"/>
          </w:tcPr>
          <w:p w14:paraId="47CC84FC">
            <w:pPr>
              <w:spacing w:line="440" w:lineRule="exact"/>
              <w:jc w:val="center"/>
              <w:rPr>
                <w:b/>
                <w:color w:val="000000" w:themeColor="text1"/>
                <w:szCs w:val="21"/>
                <w14:textFill>
                  <w14:solidFill>
                    <w14:schemeClr w14:val="tx1"/>
                  </w14:solidFill>
                </w14:textFill>
              </w:rPr>
            </w:pPr>
            <w:r>
              <w:rPr>
                <w:b/>
                <w:color w:val="000000" w:themeColor="text1"/>
                <w:szCs w:val="21"/>
                <w14:textFill>
                  <w14:solidFill>
                    <w14:schemeClr w14:val="tx1"/>
                  </w14:solidFill>
                </w14:textFill>
              </w:rPr>
              <w:t>编列内容</w:t>
            </w:r>
          </w:p>
        </w:tc>
      </w:tr>
      <w:tr w14:paraId="7C30FC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24" w:type="dxa"/>
            <w:gridSpan w:val="2"/>
            <w:tcBorders>
              <w:bottom w:val="single" w:color="auto" w:sz="4" w:space="0"/>
              <w:right w:val="single" w:color="auto" w:sz="4" w:space="0"/>
            </w:tcBorders>
            <w:vAlign w:val="center"/>
          </w:tcPr>
          <w:p w14:paraId="1C39CC97">
            <w:pPr>
              <w:spacing w:line="300" w:lineRule="exact"/>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2.2.1</w:t>
            </w:r>
          </w:p>
        </w:tc>
        <w:tc>
          <w:tcPr>
            <w:tcW w:w="2255" w:type="dxa"/>
            <w:tcBorders>
              <w:top w:val="single" w:color="auto" w:sz="4" w:space="0"/>
              <w:left w:val="single" w:color="auto" w:sz="4" w:space="0"/>
              <w:bottom w:val="single" w:color="auto" w:sz="4" w:space="0"/>
              <w:right w:val="single" w:color="auto" w:sz="4" w:space="0"/>
            </w:tcBorders>
            <w:vAlign w:val="center"/>
          </w:tcPr>
          <w:p w14:paraId="1293D41B">
            <w:pPr>
              <w:spacing w:line="300" w:lineRule="exact"/>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分值构成</w:t>
            </w:r>
          </w:p>
          <w:p w14:paraId="68D5E19D">
            <w:pPr>
              <w:spacing w:line="300" w:lineRule="exact"/>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（总分100分）</w:t>
            </w:r>
          </w:p>
        </w:tc>
        <w:tc>
          <w:tcPr>
            <w:tcW w:w="5799" w:type="dxa"/>
            <w:tcBorders>
              <w:top w:val="single" w:color="auto" w:sz="4" w:space="0"/>
              <w:left w:val="single" w:color="auto" w:sz="4" w:space="0"/>
              <w:bottom w:val="single" w:color="auto" w:sz="4" w:space="0"/>
              <w:right w:val="single" w:color="auto" w:sz="4" w:space="0"/>
            </w:tcBorders>
            <w:vAlign w:val="center"/>
          </w:tcPr>
          <w:p w14:paraId="7B37395E">
            <w:pP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承包人建议书：</w:t>
            </w:r>
            <w:r>
              <w:rPr>
                <w:color w:val="000000" w:themeColor="text1"/>
                <w:szCs w:val="21"/>
                <w:u w:val="single"/>
                <w14:textFill>
                  <w14:solidFill>
                    <w14:schemeClr w14:val="tx1"/>
                  </w14:solidFill>
                </w14:textFill>
              </w:rPr>
              <w:t xml:space="preserve"> </w:t>
            </w:r>
            <w:r>
              <w:rPr>
                <w:rFonts w:hint="eastAsia"/>
                <w:color w:val="000000" w:themeColor="text1"/>
                <w:szCs w:val="21"/>
                <w:u w:val="single"/>
                <w:lang w:val="en-US" w:eastAsia="zh-CN"/>
                <w14:textFill>
                  <w14:solidFill>
                    <w14:schemeClr w14:val="tx1"/>
                  </w14:solidFill>
                </w14:textFill>
              </w:rPr>
              <w:t>25</w:t>
            </w:r>
            <w:r>
              <w:rPr>
                <w:color w:val="000000" w:themeColor="text1"/>
                <w:szCs w:val="21"/>
                <w14:textFill>
                  <w14:solidFill>
                    <w14:schemeClr w14:val="tx1"/>
                  </w14:solidFill>
                </w14:textFill>
              </w:rPr>
              <w:t>分</w:t>
            </w:r>
          </w:p>
          <w:p w14:paraId="031C2DE0">
            <w:pPr>
              <w:spacing w:line="300" w:lineRule="exact"/>
              <w:rPr>
                <w:rFonts w:hint="default" w:eastAsia="宋体"/>
                <w:color w:val="000000" w:themeColor="text1"/>
                <w:szCs w:val="21"/>
                <w:u w:val="single"/>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承包人设备实施方案：</w:t>
            </w:r>
            <w:r>
              <w:rPr>
                <w:rFonts w:hint="eastAsia"/>
                <w:color w:val="000000" w:themeColor="text1"/>
                <w:szCs w:val="21"/>
                <w:u w:val="single"/>
                <w:lang w:val="en-US" w:eastAsia="zh-CN"/>
                <w14:textFill>
                  <w14:solidFill>
                    <w14:schemeClr w14:val="tx1"/>
                  </w14:solidFill>
                </w14:textFill>
              </w:rPr>
              <w:t>35分</w:t>
            </w:r>
          </w:p>
          <w:p w14:paraId="079356B2">
            <w:pP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承包人</w:t>
            </w:r>
            <w:r>
              <w:rPr>
                <w:rFonts w:hint="eastAsia"/>
                <w:color w:val="000000" w:themeColor="text1"/>
                <w:szCs w:val="21"/>
                <w:lang w:val="en-US" w:eastAsia="zh-CN"/>
                <w14:textFill>
                  <w14:solidFill>
                    <w14:schemeClr w14:val="tx1"/>
                  </w14:solidFill>
                </w14:textFill>
              </w:rPr>
              <w:t>建筑安装</w:t>
            </w:r>
            <w:r>
              <w:rPr>
                <w:color w:val="000000" w:themeColor="text1"/>
                <w:szCs w:val="21"/>
                <w14:textFill>
                  <w14:solidFill>
                    <w14:schemeClr w14:val="tx1"/>
                  </w14:solidFill>
                </w14:textFill>
              </w:rPr>
              <w:t>实施方案：</w:t>
            </w:r>
            <w:r>
              <w:rPr>
                <w:color w:val="000000" w:themeColor="text1"/>
                <w:szCs w:val="21"/>
                <w:u w:val="single"/>
                <w14:textFill>
                  <w14:solidFill>
                    <w14:schemeClr w14:val="tx1"/>
                  </w14:solidFill>
                </w14:textFill>
              </w:rPr>
              <w:t xml:space="preserve"> </w:t>
            </w:r>
            <w:r>
              <w:rPr>
                <w:rFonts w:hint="eastAsia"/>
                <w:color w:val="000000" w:themeColor="text1"/>
                <w:szCs w:val="21"/>
                <w:u w:val="single"/>
                <w:lang w:val="en-US" w:eastAsia="zh-CN"/>
                <w14:textFill>
                  <w14:solidFill>
                    <w14:schemeClr w14:val="tx1"/>
                  </w14:solidFill>
                </w14:textFill>
              </w:rPr>
              <w:t>25</w:t>
            </w:r>
            <w:r>
              <w:rPr>
                <w:color w:val="000000" w:themeColor="text1"/>
                <w:szCs w:val="21"/>
                <w14:textFill>
                  <w14:solidFill>
                    <w14:schemeClr w14:val="tx1"/>
                  </w14:solidFill>
                </w14:textFill>
              </w:rPr>
              <w:t>分</w:t>
            </w:r>
          </w:p>
          <w:p w14:paraId="485A37F4">
            <w:pP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投标报价：</w:t>
            </w:r>
            <w:r>
              <w:rPr>
                <w:color w:val="000000" w:themeColor="text1"/>
                <w:szCs w:val="21"/>
                <w:u w:val="single"/>
                <w14:textFill>
                  <w14:solidFill>
                    <w14:schemeClr w14:val="tx1"/>
                  </w14:solidFill>
                </w14:textFill>
              </w:rPr>
              <w:t xml:space="preserve"> 15 </w:t>
            </w:r>
            <w:r>
              <w:rPr>
                <w:color w:val="000000" w:themeColor="text1"/>
                <w:szCs w:val="21"/>
                <w14:textFill>
                  <w14:solidFill>
                    <w14:schemeClr w14:val="tx1"/>
                  </w14:solidFill>
                </w14:textFill>
              </w:rPr>
              <w:t>分</w:t>
            </w:r>
          </w:p>
        </w:tc>
      </w:tr>
      <w:tr w14:paraId="00362F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24" w:type="dxa"/>
            <w:gridSpan w:val="2"/>
            <w:tcBorders>
              <w:top w:val="single" w:color="auto" w:sz="4" w:space="0"/>
              <w:bottom w:val="single" w:color="auto" w:sz="4" w:space="0"/>
              <w:right w:val="single" w:color="auto" w:sz="4" w:space="0"/>
            </w:tcBorders>
            <w:vAlign w:val="center"/>
          </w:tcPr>
          <w:p w14:paraId="222C8CC5">
            <w:pPr>
              <w:spacing w:line="300" w:lineRule="exact"/>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2.2.2</w:t>
            </w:r>
          </w:p>
        </w:tc>
        <w:tc>
          <w:tcPr>
            <w:tcW w:w="2255" w:type="dxa"/>
            <w:tcBorders>
              <w:top w:val="single" w:color="auto" w:sz="4" w:space="0"/>
              <w:left w:val="single" w:color="auto" w:sz="4" w:space="0"/>
              <w:bottom w:val="single" w:color="auto" w:sz="4" w:space="0"/>
              <w:right w:val="single" w:color="auto" w:sz="4" w:space="0"/>
            </w:tcBorders>
            <w:vAlign w:val="center"/>
          </w:tcPr>
          <w:p w14:paraId="32849F86">
            <w:pPr>
              <w:spacing w:line="300" w:lineRule="exact"/>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评标基准价计算方法</w:t>
            </w:r>
          </w:p>
        </w:tc>
        <w:tc>
          <w:tcPr>
            <w:tcW w:w="5799" w:type="dxa"/>
            <w:tcBorders>
              <w:top w:val="single" w:color="auto" w:sz="4" w:space="0"/>
              <w:left w:val="single" w:color="auto" w:sz="4" w:space="0"/>
              <w:bottom w:val="single" w:color="auto" w:sz="4" w:space="0"/>
              <w:right w:val="single" w:color="auto" w:sz="4" w:space="0"/>
            </w:tcBorders>
            <w:vAlign w:val="center"/>
          </w:tcPr>
          <w:p w14:paraId="24EA3075">
            <w:pPr>
              <w:tabs>
                <w:tab w:val="center" w:pos="4153"/>
                <w:tab w:val="right" w:pos="8306"/>
              </w:tabs>
              <w:snapToGrid w:val="0"/>
              <w:spacing w:before="48" w:beforeLines="20" w:line="0" w:lineRule="atLeast"/>
              <w:rPr>
                <w:color w:val="000000" w:themeColor="text1"/>
                <w:szCs w:val="21"/>
                <w14:textFill>
                  <w14:solidFill>
                    <w14:schemeClr w14:val="tx1"/>
                  </w14:solidFill>
                </w14:textFill>
              </w:rPr>
            </w:pPr>
            <w:r>
              <w:rPr>
                <w:color w:val="000000" w:themeColor="text1"/>
                <w:szCs w:val="21"/>
                <w14:textFill>
                  <w14:solidFill>
                    <w14:schemeClr w14:val="tx1"/>
                  </w14:solidFill>
                </w14:textFill>
              </w:rPr>
              <w:t>在有效投标报价（即评审合格的投标人报价）的基础上确定评标基准价，其计算方法如下：</w:t>
            </w:r>
          </w:p>
          <w:p w14:paraId="15B0E434">
            <w:pPr>
              <w:tabs>
                <w:tab w:val="center" w:pos="4153"/>
                <w:tab w:val="right" w:pos="8306"/>
              </w:tabs>
              <w:snapToGrid w:val="0"/>
              <w:spacing w:before="48" w:beforeLines="20"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经评审合格且通过算术修正后的有效投标报价计算出的算术平均值（即：当n&gt;5时，去掉一个最高报价和一个最低报价后的算术平均值；当n≤5时，为所有有效投标报价的算术平均值。其中：n为有效投标报价数量；最高报价和最低报价不参与平均值计算时，不影响其报价评分有效性）。</w:t>
            </w:r>
          </w:p>
        </w:tc>
      </w:tr>
      <w:tr w14:paraId="18C1D6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24" w:type="dxa"/>
            <w:gridSpan w:val="2"/>
            <w:tcBorders>
              <w:top w:val="nil"/>
              <w:bottom w:val="single" w:color="auto" w:sz="4" w:space="0"/>
              <w:right w:val="single" w:color="auto" w:sz="4" w:space="0"/>
            </w:tcBorders>
            <w:vAlign w:val="center"/>
          </w:tcPr>
          <w:p w14:paraId="6C94FCFC">
            <w:pPr>
              <w:spacing w:line="440" w:lineRule="exact"/>
              <w:jc w:val="center"/>
              <w:rPr>
                <w:color w:val="000000" w:themeColor="text1"/>
                <w:szCs w:val="21"/>
                <w14:textFill>
                  <w14:solidFill>
                    <w14:schemeClr w14:val="tx1"/>
                  </w14:solidFill>
                </w14:textFill>
              </w:rPr>
            </w:pPr>
            <w:r>
              <w:rPr>
                <w:b/>
                <w:color w:val="000000" w:themeColor="text1"/>
                <w:szCs w:val="21"/>
                <w14:textFill>
                  <w14:solidFill>
                    <w14:schemeClr w14:val="tx1"/>
                  </w14:solidFill>
                </w14:textFill>
              </w:rPr>
              <w:t>条款号</w:t>
            </w:r>
          </w:p>
        </w:tc>
        <w:tc>
          <w:tcPr>
            <w:tcW w:w="2255" w:type="dxa"/>
            <w:tcBorders>
              <w:top w:val="single" w:color="auto" w:sz="4" w:space="0"/>
              <w:left w:val="single" w:color="auto" w:sz="4" w:space="0"/>
              <w:bottom w:val="single" w:color="auto" w:sz="4" w:space="0"/>
              <w:right w:val="single" w:color="auto" w:sz="4" w:space="0"/>
            </w:tcBorders>
            <w:vAlign w:val="center"/>
          </w:tcPr>
          <w:p w14:paraId="5C25459D">
            <w:pPr>
              <w:spacing w:line="440" w:lineRule="exact"/>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评分因素（偏差率）</w:t>
            </w:r>
          </w:p>
        </w:tc>
        <w:tc>
          <w:tcPr>
            <w:tcW w:w="5799" w:type="dxa"/>
            <w:tcBorders>
              <w:top w:val="single" w:color="auto" w:sz="4" w:space="0"/>
              <w:left w:val="single" w:color="auto" w:sz="4" w:space="0"/>
              <w:bottom w:val="single" w:color="auto" w:sz="4" w:space="0"/>
              <w:right w:val="single" w:color="auto" w:sz="4" w:space="0"/>
            </w:tcBorders>
            <w:vAlign w:val="center"/>
          </w:tcPr>
          <w:p w14:paraId="47BE9EC2">
            <w:pPr>
              <w:spacing w:line="440" w:lineRule="exact"/>
              <w:jc w:val="center"/>
              <w:rPr>
                <w:color w:val="000000" w:themeColor="text1"/>
                <w:szCs w:val="21"/>
                <w14:textFill>
                  <w14:solidFill>
                    <w14:schemeClr w14:val="tx1"/>
                  </w14:solidFill>
                </w14:textFill>
              </w:rPr>
            </w:pPr>
            <w:r>
              <w:rPr>
                <w:b/>
                <w:color w:val="000000" w:themeColor="text1"/>
                <w:szCs w:val="21"/>
                <w14:textFill>
                  <w14:solidFill>
                    <w14:schemeClr w14:val="tx1"/>
                  </w14:solidFill>
                </w14:textFill>
              </w:rPr>
              <w:t>评分标准</w:t>
            </w:r>
          </w:p>
        </w:tc>
      </w:tr>
      <w:tr w14:paraId="59134B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54" w:hRule="atLeast"/>
        </w:trPr>
        <w:tc>
          <w:tcPr>
            <w:tcW w:w="900" w:type="dxa"/>
            <w:vMerge w:val="restart"/>
            <w:tcBorders>
              <w:right w:val="single" w:color="auto" w:sz="4" w:space="0"/>
            </w:tcBorders>
            <w:vAlign w:val="center"/>
          </w:tcPr>
          <w:p w14:paraId="45F2FC5E">
            <w:pPr>
              <w:spacing w:line="440" w:lineRule="exact"/>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2.2.3（1）</w:t>
            </w:r>
          </w:p>
        </w:tc>
        <w:tc>
          <w:tcPr>
            <w:tcW w:w="1124" w:type="dxa"/>
            <w:vMerge w:val="restart"/>
            <w:tcBorders>
              <w:right w:val="single" w:color="auto" w:sz="4" w:space="0"/>
            </w:tcBorders>
            <w:vAlign w:val="center"/>
          </w:tcPr>
          <w:p w14:paraId="7971728F">
            <w:pPr>
              <w:spacing w:line="440" w:lineRule="exact"/>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承包人</w:t>
            </w:r>
          </w:p>
          <w:p w14:paraId="36691949">
            <w:pPr>
              <w:spacing w:line="440" w:lineRule="exact"/>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建议书</w:t>
            </w:r>
          </w:p>
          <w:p w14:paraId="537475F4">
            <w:pPr>
              <w:spacing w:line="440" w:lineRule="exact"/>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评分标准</w:t>
            </w:r>
          </w:p>
          <w:p w14:paraId="2C8405B6">
            <w:pPr>
              <w:spacing w:line="440" w:lineRule="exact"/>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w:t>
            </w:r>
            <w:r>
              <w:rPr>
                <w:rFonts w:hint="eastAsia"/>
                <w:color w:val="000000" w:themeColor="text1"/>
                <w:szCs w:val="21"/>
                <w:lang w:val="en-US" w:eastAsia="zh-CN"/>
                <w14:textFill>
                  <w14:solidFill>
                    <w14:schemeClr w14:val="tx1"/>
                  </w14:solidFill>
                </w14:textFill>
              </w:rPr>
              <w:t>25</w:t>
            </w:r>
            <w:r>
              <w:rPr>
                <w:color w:val="000000" w:themeColor="text1"/>
                <w:szCs w:val="21"/>
                <w14:textFill>
                  <w14:solidFill>
                    <w14:schemeClr w14:val="tx1"/>
                  </w14:solidFill>
                </w14:textFill>
              </w:rPr>
              <w:t>分）</w:t>
            </w:r>
          </w:p>
        </w:tc>
        <w:tc>
          <w:tcPr>
            <w:tcW w:w="2255" w:type="dxa"/>
            <w:tcBorders>
              <w:top w:val="single" w:color="auto" w:sz="4" w:space="0"/>
              <w:left w:val="single" w:color="auto" w:sz="4" w:space="0"/>
              <w:bottom w:val="single" w:color="auto" w:sz="4" w:space="0"/>
              <w:right w:val="single" w:color="auto" w:sz="4" w:space="0"/>
            </w:tcBorders>
            <w:vAlign w:val="center"/>
          </w:tcPr>
          <w:p w14:paraId="0A5C6252">
            <w:pPr>
              <w:tabs>
                <w:tab w:val="center" w:pos="4153"/>
                <w:tab w:val="right" w:pos="8306"/>
              </w:tabs>
              <w:snapToGrid w:val="0"/>
              <w:spacing w:before="48" w:beforeLines="20"/>
              <w:jc w:val="center"/>
              <w:rPr>
                <w:color w:val="000000" w:themeColor="text1"/>
                <w14:textFill>
                  <w14:solidFill>
                    <w14:schemeClr w14:val="tx1"/>
                  </w14:solidFill>
                </w14:textFill>
              </w:rPr>
            </w:pPr>
            <w:r>
              <w:rPr>
                <w:color w:val="000000" w:themeColor="text1"/>
                <w14:textFill>
                  <w14:solidFill>
                    <w14:schemeClr w14:val="tx1"/>
                  </w14:solidFill>
                </w14:textFill>
              </w:rPr>
              <w:t>勘察方法、技术手段</w:t>
            </w:r>
          </w:p>
          <w:p w14:paraId="2F9487CE">
            <w:pPr>
              <w:tabs>
                <w:tab w:val="center" w:pos="4153"/>
                <w:tab w:val="right" w:pos="8306"/>
              </w:tabs>
              <w:snapToGrid w:val="0"/>
              <w:spacing w:before="48" w:beforeLines="20"/>
              <w:jc w:val="center"/>
              <w:rPr>
                <w:color w:val="000000" w:themeColor="text1"/>
                <w:szCs w:val="21"/>
                <w14:textFill>
                  <w14:solidFill>
                    <w14:schemeClr w14:val="tx1"/>
                  </w14:solidFill>
                </w14:textFill>
              </w:rPr>
            </w:pPr>
            <w:r>
              <w:rPr>
                <w:color w:val="000000" w:themeColor="text1"/>
                <w14:textFill>
                  <w14:solidFill>
                    <w14:schemeClr w14:val="tx1"/>
                  </w14:solidFill>
                </w14:textFill>
              </w:rPr>
              <w:t>（</w:t>
            </w:r>
            <w:r>
              <w:rPr>
                <w:rFonts w:hint="eastAsia"/>
                <w:color w:val="000000" w:themeColor="text1"/>
                <w:lang w:val="en-US" w:eastAsia="zh-CN"/>
                <w14:textFill>
                  <w14:solidFill>
                    <w14:schemeClr w14:val="tx1"/>
                  </w14:solidFill>
                </w14:textFill>
              </w:rPr>
              <w:t>5</w:t>
            </w:r>
            <w:r>
              <w:rPr>
                <w:color w:val="000000" w:themeColor="text1"/>
                <w14:textFill>
                  <w14:solidFill>
                    <w14:schemeClr w14:val="tx1"/>
                  </w14:solidFill>
                </w14:textFill>
              </w:rPr>
              <w:t>分）</w:t>
            </w:r>
          </w:p>
        </w:tc>
        <w:tc>
          <w:tcPr>
            <w:tcW w:w="5799" w:type="dxa"/>
            <w:tcBorders>
              <w:top w:val="single" w:color="auto" w:sz="4" w:space="0"/>
              <w:left w:val="single" w:color="auto" w:sz="4" w:space="0"/>
              <w:bottom w:val="single" w:color="auto" w:sz="4" w:space="0"/>
              <w:right w:val="single" w:color="auto" w:sz="4" w:space="0"/>
            </w:tcBorders>
          </w:tcPr>
          <w:p w14:paraId="034C7814">
            <w:pPr>
              <w:tabs>
                <w:tab w:val="center" w:pos="4153"/>
                <w:tab w:val="right" w:pos="8306"/>
              </w:tabs>
              <w:snapToGrid w:val="0"/>
              <w:spacing w:before="48" w:beforeLines="20" w:line="340" w:lineRule="exact"/>
              <w:rPr>
                <w:rFonts w:hint="eastAsia" w:eastAsia="宋体"/>
                <w:color w:val="000000" w:themeColor="text1"/>
                <w:lang w:eastAsia="zh-CN"/>
                <w14:textFill>
                  <w14:solidFill>
                    <w14:schemeClr w14:val="tx1"/>
                  </w14:solidFill>
                </w14:textFill>
              </w:rPr>
            </w:pPr>
            <w:r>
              <w:rPr>
                <w:color w:val="000000" w:themeColor="text1"/>
                <w14:textFill>
                  <w14:solidFill>
                    <w14:schemeClr w14:val="tx1"/>
                  </w14:solidFill>
                </w14:textFill>
              </w:rPr>
              <w:t>（1）勘察方法齐全、技术手段合理得当，有针对性的得</w:t>
            </w:r>
            <w:r>
              <w:rPr>
                <w:rFonts w:hint="eastAsia"/>
                <w:color w:val="000000" w:themeColor="text1"/>
                <w:lang w:val="en-US" w:eastAsia="zh-CN"/>
                <w14:textFill>
                  <w14:solidFill>
                    <w14:schemeClr w14:val="tx1"/>
                  </w14:solidFill>
                </w14:textFill>
              </w:rPr>
              <w:t>3-5</w:t>
            </w:r>
            <w:r>
              <w:rPr>
                <w:color w:val="000000" w:themeColor="text1"/>
                <w14:textFill>
                  <w14:solidFill>
                    <w14:schemeClr w14:val="tx1"/>
                  </w14:solidFill>
                </w14:textFill>
              </w:rPr>
              <w:t>分</w:t>
            </w:r>
            <w:r>
              <w:rPr>
                <w:rFonts w:hint="eastAsia"/>
                <w:color w:val="000000" w:themeColor="text1"/>
                <w:lang w:eastAsia="zh-CN"/>
                <w14:textFill>
                  <w14:solidFill>
                    <w14:schemeClr w14:val="tx1"/>
                  </w14:solidFill>
                </w14:textFill>
              </w:rPr>
              <w:t>；</w:t>
            </w:r>
          </w:p>
          <w:p w14:paraId="6FDFED81">
            <w:pPr>
              <w:tabs>
                <w:tab w:val="center" w:pos="4153"/>
                <w:tab w:val="right" w:pos="8306"/>
              </w:tabs>
              <w:snapToGrid w:val="0"/>
              <w:spacing w:before="48" w:beforeLines="20" w:line="340" w:lineRule="exact"/>
              <w:rPr>
                <w:rFonts w:hint="eastAsia" w:eastAsia="宋体"/>
                <w:color w:val="000000" w:themeColor="text1"/>
                <w:lang w:eastAsia="zh-CN"/>
                <w14:textFill>
                  <w14:solidFill>
                    <w14:schemeClr w14:val="tx1"/>
                  </w14:solidFill>
                </w14:textFill>
              </w:rPr>
            </w:pPr>
            <w:r>
              <w:rPr>
                <w:color w:val="000000" w:themeColor="text1"/>
                <w14:textFill>
                  <w14:solidFill>
                    <w14:schemeClr w14:val="tx1"/>
                  </w14:solidFill>
                </w14:textFill>
              </w:rPr>
              <w:t>（2）勘察方法得当、技术手段基本合理，有一定针对性的得</w:t>
            </w:r>
            <w:r>
              <w:rPr>
                <w:rFonts w:hint="eastAsia"/>
                <w:color w:val="000000" w:themeColor="text1"/>
                <w:lang w:val="en-US" w:eastAsia="zh-CN"/>
                <w14:textFill>
                  <w14:solidFill>
                    <w14:schemeClr w14:val="tx1"/>
                  </w14:solidFill>
                </w14:textFill>
              </w:rPr>
              <w:t>1-2</w:t>
            </w:r>
            <w:r>
              <w:rPr>
                <w:color w:val="000000" w:themeColor="text1"/>
                <w14:textFill>
                  <w14:solidFill>
                    <w14:schemeClr w14:val="tx1"/>
                  </w14:solidFill>
                </w14:textFill>
              </w:rPr>
              <w:t>分</w:t>
            </w:r>
            <w:r>
              <w:rPr>
                <w:rFonts w:hint="eastAsia"/>
                <w:color w:val="000000" w:themeColor="text1"/>
                <w:lang w:eastAsia="zh-CN"/>
                <w14:textFill>
                  <w14:solidFill>
                    <w14:schemeClr w14:val="tx1"/>
                  </w14:solidFill>
                </w14:textFill>
              </w:rPr>
              <w:t>；</w:t>
            </w:r>
          </w:p>
          <w:p w14:paraId="074C4EFA">
            <w:pPr>
              <w:tabs>
                <w:tab w:val="center" w:pos="4153"/>
                <w:tab w:val="right" w:pos="8306"/>
              </w:tabs>
              <w:snapToGrid w:val="0"/>
              <w:spacing w:before="48" w:beforeLines="20" w:line="340" w:lineRule="exact"/>
              <w:rPr>
                <w:color w:val="000000" w:themeColor="text1"/>
                <w14:textFill>
                  <w14:solidFill>
                    <w14:schemeClr w14:val="tx1"/>
                  </w14:solidFill>
                </w14:textFill>
              </w:rPr>
            </w:pPr>
            <w:r>
              <w:rPr>
                <w:color w:val="000000" w:themeColor="text1"/>
                <w14:textFill>
                  <w14:solidFill>
                    <w14:schemeClr w14:val="tx1"/>
                  </w14:solidFill>
                </w14:textFill>
              </w:rPr>
              <w:t>（3）勘察方法、技术手段有所欠缺的得</w:t>
            </w:r>
            <w:r>
              <w:rPr>
                <w:rFonts w:hint="eastAsia"/>
                <w:color w:val="000000" w:themeColor="text1"/>
                <w:lang w:val="en-US" w:eastAsia="zh-CN"/>
                <w14:textFill>
                  <w14:solidFill>
                    <w14:schemeClr w14:val="tx1"/>
                  </w14:solidFill>
                </w14:textFill>
              </w:rPr>
              <w:t>0-0.5</w:t>
            </w:r>
            <w:r>
              <w:rPr>
                <w:color w:val="000000" w:themeColor="text1"/>
                <w14:textFill>
                  <w14:solidFill>
                    <w14:schemeClr w14:val="tx1"/>
                  </w14:solidFill>
                </w14:textFill>
              </w:rPr>
              <w:t>分。</w:t>
            </w:r>
          </w:p>
        </w:tc>
      </w:tr>
      <w:tr w14:paraId="6A461A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vAlign w:val="center"/>
          </w:tcPr>
          <w:p w14:paraId="0DF33C9E">
            <w:pPr>
              <w:spacing w:line="440" w:lineRule="exact"/>
              <w:jc w:val="center"/>
              <w:rPr>
                <w:color w:val="000000" w:themeColor="text1"/>
                <w:szCs w:val="21"/>
                <w14:textFill>
                  <w14:solidFill>
                    <w14:schemeClr w14:val="tx1"/>
                  </w14:solidFill>
                </w14:textFill>
              </w:rPr>
            </w:pPr>
          </w:p>
        </w:tc>
        <w:tc>
          <w:tcPr>
            <w:tcW w:w="1124" w:type="dxa"/>
            <w:vMerge w:val="continue"/>
            <w:tcBorders>
              <w:right w:val="single" w:color="auto" w:sz="4" w:space="0"/>
            </w:tcBorders>
            <w:vAlign w:val="center"/>
          </w:tcPr>
          <w:p w14:paraId="3F5542CC">
            <w:pPr>
              <w:spacing w:line="440" w:lineRule="exact"/>
              <w:jc w:val="center"/>
              <w:rPr>
                <w:color w:val="000000" w:themeColor="text1"/>
                <w:szCs w:val="21"/>
                <w14:textFill>
                  <w14:solidFill>
                    <w14:schemeClr w14:val="tx1"/>
                  </w14:solidFill>
                </w14:textFill>
              </w:rPr>
            </w:pPr>
          </w:p>
        </w:tc>
        <w:tc>
          <w:tcPr>
            <w:tcW w:w="2255" w:type="dxa"/>
            <w:tcBorders>
              <w:top w:val="single" w:color="auto" w:sz="4" w:space="0"/>
              <w:left w:val="single" w:color="auto" w:sz="4" w:space="0"/>
              <w:bottom w:val="single" w:color="auto" w:sz="4" w:space="0"/>
              <w:right w:val="single" w:color="auto" w:sz="4" w:space="0"/>
            </w:tcBorders>
            <w:vAlign w:val="center"/>
          </w:tcPr>
          <w:p w14:paraId="75AD1034">
            <w:pPr>
              <w:tabs>
                <w:tab w:val="center" w:pos="4153"/>
                <w:tab w:val="right" w:pos="8306"/>
              </w:tabs>
              <w:snapToGrid w:val="0"/>
              <w:spacing w:before="48" w:beforeLines="2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设计建议书</w:t>
            </w:r>
            <w:r>
              <w:rPr>
                <w:rFonts w:hint="eastAsia"/>
                <w:color w:val="000000" w:themeColor="text1"/>
                <w:szCs w:val="21"/>
                <w:lang w:val="en-US" w:eastAsia="zh-CN"/>
                <w14:textFill>
                  <w14:solidFill>
                    <w14:schemeClr w14:val="tx1"/>
                  </w14:solidFill>
                </w14:textFill>
              </w:rPr>
              <w:t xml:space="preserve"> </w:t>
            </w:r>
            <w:r>
              <w:rPr>
                <w:color w:val="000000" w:themeColor="text1"/>
                <w:szCs w:val="21"/>
                <w14:textFill>
                  <w14:solidFill>
                    <w14:schemeClr w14:val="tx1"/>
                  </w14:solidFill>
                </w14:textFill>
              </w:rPr>
              <w:t>（</w:t>
            </w:r>
            <w:r>
              <w:rPr>
                <w:rFonts w:hint="eastAsia"/>
                <w:color w:val="000000" w:themeColor="text1"/>
                <w:szCs w:val="21"/>
                <w:lang w:val="en-US" w:eastAsia="zh-CN"/>
                <w14:textFill>
                  <w14:solidFill>
                    <w14:schemeClr w14:val="tx1"/>
                  </w14:solidFill>
                </w14:textFill>
              </w:rPr>
              <w:t>5</w:t>
            </w:r>
            <w:r>
              <w:rPr>
                <w:color w:val="000000" w:themeColor="text1"/>
                <w:szCs w:val="21"/>
                <w14:textFill>
                  <w14:solidFill>
                    <w14:schemeClr w14:val="tx1"/>
                  </w14:solidFill>
                </w14:textFill>
              </w:rPr>
              <w:t>分）</w:t>
            </w:r>
          </w:p>
        </w:tc>
        <w:tc>
          <w:tcPr>
            <w:tcW w:w="5799" w:type="dxa"/>
            <w:tcBorders>
              <w:top w:val="single" w:color="auto" w:sz="4" w:space="0"/>
              <w:left w:val="single" w:color="auto" w:sz="4" w:space="0"/>
              <w:bottom w:val="single" w:color="auto" w:sz="4" w:space="0"/>
              <w:right w:val="single" w:color="auto" w:sz="4" w:space="0"/>
            </w:tcBorders>
            <w:vAlign w:val="center"/>
          </w:tcPr>
          <w:p w14:paraId="0D598340">
            <w:pPr>
              <w:numPr>
                <w:ilvl w:val="0"/>
                <w:numId w:val="5"/>
              </w:numPr>
              <w:tabs>
                <w:tab w:val="center" w:pos="4153"/>
                <w:tab w:val="right" w:pos="8306"/>
              </w:tabs>
              <w:snapToGrid w:val="0"/>
              <w:spacing w:before="48" w:beforeLines="20" w:line="340" w:lineRule="exact"/>
              <w:rPr>
                <w:color w:val="000000" w:themeColor="text1"/>
                <w14:textFill>
                  <w14:solidFill>
                    <w14:schemeClr w14:val="tx1"/>
                  </w14:solidFill>
                </w14:textFill>
              </w:rPr>
            </w:pPr>
            <w:r>
              <w:rPr>
                <w:color w:val="000000" w:themeColor="text1"/>
                <w14:textFill>
                  <w14:solidFill>
                    <w14:schemeClr w14:val="tx1"/>
                  </w14:solidFill>
                </w14:textFill>
              </w:rPr>
              <w:t>总体设计思路清晰，重点突出、系统性较强，考虑全面，科学且切实可行的得</w:t>
            </w:r>
            <w:r>
              <w:rPr>
                <w:rFonts w:hint="eastAsia"/>
                <w:color w:val="000000" w:themeColor="text1"/>
                <w:lang w:val="en-US" w:eastAsia="zh-CN"/>
                <w14:textFill>
                  <w14:solidFill>
                    <w14:schemeClr w14:val="tx1"/>
                  </w14:solidFill>
                </w14:textFill>
              </w:rPr>
              <w:t>3-5</w:t>
            </w:r>
            <w:r>
              <w:rPr>
                <w:color w:val="000000" w:themeColor="text1"/>
                <w14:textFill>
                  <w14:solidFill>
                    <w14:schemeClr w14:val="tx1"/>
                  </w14:solidFill>
                </w14:textFill>
              </w:rPr>
              <w:t>分；</w:t>
            </w:r>
          </w:p>
          <w:p w14:paraId="544337F7">
            <w:pPr>
              <w:numPr>
                <w:ilvl w:val="0"/>
                <w:numId w:val="5"/>
              </w:numPr>
              <w:tabs>
                <w:tab w:val="center" w:pos="4153"/>
                <w:tab w:val="right" w:pos="8306"/>
              </w:tabs>
              <w:snapToGrid w:val="0"/>
              <w:spacing w:before="48" w:beforeLines="20" w:line="340" w:lineRule="exact"/>
              <w:ind w:left="0" w:leftChars="0" w:firstLine="0" w:firstLineChars="0"/>
              <w:rPr>
                <w:color w:val="000000" w:themeColor="text1"/>
                <w14:textFill>
                  <w14:solidFill>
                    <w14:schemeClr w14:val="tx1"/>
                  </w14:solidFill>
                </w14:textFill>
              </w:rPr>
            </w:pPr>
            <w:r>
              <w:rPr>
                <w:color w:val="000000" w:themeColor="text1"/>
                <w14:textFill>
                  <w14:solidFill>
                    <w14:schemeClr w14:val="tx1"/>
                  </w14:solidFill>
                </w14:textFill>
              </w:rPr>
              <w:t>总体设计思路一般，重点基本把握，系统性稍差，考虑存在一定的瑕疵的得</w:t>
            </w:r>
            <w:r>
              <w:rPr>
                <w:rFonts w:hint="eastAsia"/>
                <w:color w:val="000000" w:themeColor="text1"/>
                <w:lang w:val="en-US" w:eastAsia="zh-CN"/>
                <w14:textFill>
                  <w14:solidFill>
                    <w14:schemeClr w14:val="tx1"/>
                  </w14:solidFill>
                </w14:textFill>
              </w:rPr>
              <w:t>1-2</w:t>
            </w:r>
            <w:r>
              <w:rPr>
                <w:color w:val="000000" w:themeColor="text1"/>
                <w14:textFill>
                  <w14:solidFill>
                    <w14:schemeClr w14:val="tx1"/>
                  </w14:solidFill>
                </w14:textFill>
              </w:rPr>
              <w:t>分；</w:t>
            </w:r>
          </w:p>
          <w:p w14:paraId="5D4F5664">
            <w:pPr>
              <w:numPr>
                <w:ilvl w:val="0"/>
                <w:numId w:val="0"/>
              </w:numPr>
              <w:tabs>
                <w:tab w:val="center" w:pos="4153"/>
                <w:tab w:val="right" w:pos="8306"/>
              </w:tabs>
              <w:snapToGrid w:val="0"/>
              <w:spacing w:before="48" w:beforeLines="20" w:line="340" w:lineRule="exact"/>
              <w:ind w:leftChars="0"/>
              <w:rPr>
                <w:color w:val="000000" w:themeColor="text1"/>
                <w:szCs w:val="21"/>
                <w14:textFill>
                  <w14:solidFill>
                    <w14:schemeClr w14:val="tx1"/>
                  </w14:solidFill>
                </w14:textFill>
              </w:rPr>
            </w:pP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3</w:t>
            </w:r>
            <w:r>
              <w:rPr>
                <w:rFonts w:hint="eastAsia"/>
                <w:color w:val="000000" w:themeColor="text1"/>
                <w:lang w:eastAsia="zh-CN"/>
                <w14:textFill>
                  <w14:solidFill>
                    <w14:schemeClr w14:val="tx1"/>
                  </w14:solidFill>
                </w14:textFill>
              </w:rPr>
              <w:t>）</w:t>
            </w:r>
            <w:r>
              <w:rPr>
                <w:color w:val="000000" w:themeColor="text1"/>
                <w14:textFill>
                  <w14:solidFill>
                    <w14:schemeClr w14:val="tx1"/>
                  </w14:solidFill>
                </w14:textFill>
              </w:rPr>
              <w:t>总体设计思路不清晰，系统性差，存在较大的瑕疵的得</w:t>
            </w:r>
            <w:r>
              <w:rPr>
                <w:rFonts w:hint="eastAsia"/>
                <w:color w:val="000000" w:themeColor="text1"/>
                <w:lang w:val="en-US" w:eastAsia="zh-CN"/>
                <w14:textFill>
                  <w14:solidFill>
                    <w14:schemeClr w14:val="tx1"/>
                  </w14:solidFill>
                </w14:textFill>
              </w:rPr>
              <w:t>0-0.5</w:t>
            </w:r>
            <w:r>
              <w:rPr>
                <w:color w:val="000000" w:themeColor="text1"/>
                <w14:textFill>
                  <w14:solidFill>
                    <w14:schemeClr w14:val="tx1"/>
                  </w14:solidFill>
                </w14:textFill>
              </w:rPr>
              <w:t>分。</w:t>
            </w:r>
          </w:p>
        </w:tc>
      </w:tr>
      <w:tr w14:paraId="4E56F5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48" w:hRule="atLeast"/>
        </w:trPr>
        <w:tc>
          <w:tcPr>
            <w:tcW w:w="900" w:type="dxa"/>
            <w:vMerge w:val="continue"/>
            <w:tcBorders>
              <w:right w:val="single" w:color="auto" w:sz="4" w:space="0"/>
            </w:tcBorders>
          </w:tcPr>
          <w:p w14:paraId="3C9C9DD0">
            <w:pPr>
              <w:spacing w:line="440" w:lineRule="exact"/>
              <w:jc w:val="center"/>
              <w:rPr>
                <w:color w:val="000000" w:themeColor="text1"/>
                <w:szCs w:val="21"/>
                <w14:textFill>
                  <w14:solidFill>
                    <w14:schemeClr w14:val="tx1"/>
                  </w14:solidFill>
                </w14:textFill>
              </w:rPr>
            </w:pPr>
          </w:p>
        </w:tc>
        <w:tc>
          <w:tcPr>
            <w:tcW w:w="1124" w:type="dxa"/>
            <w:vMerge w:val="continue"/>
            <w:tcBorders>
              <w:right w:val="single" w:color="auto" w:sz="4" w:space="0"/>
            </w:tcBorders>
          </w:tcPr>
          <w:p w14:paraId="6C92BB5B">
            <w:pPr>
              <w:spacing w:line="440" w:lineRule="exact"/>
              <w:jc w:val="center"/>
              <w:rPr>
                <w:color w:val="000000" w:themeColor="text1"/>
                <w:szCs w:val="21"/>
                <w14:textFill>
                  <w14:solidFill>
                    <w14:schemeClr w14:val="tx1"/>
                  </w14:solidFill>
                </w14:textFill>
              </w:rPr>
            </w:pPr>
          </w:p>
        </w:tc>
        <w:tc>
          <w:tcPr>
            <w:tcW w:w="2255" w:type="dxa"/>
            <w:tcBorders>
              <w:top w:val="single" w:color="auto" w:sz="4" w:space="0"/>
              <w:left w:val="single" w:color="auto" w:sz="4" w:space="0"/>
              <w:bottom w:val="single" w:color="auto" w:sz="4" w:space="0"/>
              <w:right w:val="single" w:color="auto" w:sz="4" w:space="0"/>
            </w:tcBorders>
            <w:vAlign w:val="center"/>
          </w:tcPr>
          <w:p w14:paraId="7E00B838">
            <w:pPr>
              <w:tabs>
                <w:tab w:val="center" w:pos="4153"/>
                <w:tab w:val="right" w:pos="8306"/>
              </w:tabs>
              <w:snapToGrid w:val="0"/>
              <w:spacing w:before="48" w:beforeLines="2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设计详细说明</w:t>
            </w:r>
          </w:p>
          <w:p w14:paraId="0359CAAD">
            <w:pPr>
              <w:tabs>
                <w:tab w:val="center" w:pos="4153"/>
                <w:tab w:val="right" w:pos="8306"/>
              </w:tabs>
              <w:snapToGrid w:val="0"/>
              <w:spacing w:before="48" w:beforeLines="20"/>
              <w:jc w:val="center"/>
              <w:rPr>
                <w:b/>
                <w:color w:val="000000" w:themeColor="text1"/>
                <w:szCs w:val="21"/>
                <w14:textFill>
                  <w14:solidFill>
                    <w14:schemeClr w14:val="tx1"/>
                  </w14:solidFill>
                </w14:textFill>
              </w:rPr>
            </w:pPr>
            <w:r>
              <w:rPr>
                <w:color w:val="000000" w:themeColor="text1"/>
                <w:szCs w:val="21"/>
                <w14:textFill>
                  <w14:solidFill>
                    <w14:schemeClr w14:val="tx1"/>
                  </w14:solidFill>
                </w14:textFill>
              </w:rPr>
              <w:t>（</w:t>
            </w:r>
            <w:r>
              <w:rPr>
                <w:rFonts w:hint="eastAsia"/>
                <w:color w:val="000000" w:themeColor="text1"/>
                <w:szCs w:val="21"/>
                <w:lang w:val="en-US" w:eastAsia="zh-CN"/>
                <w14:textFill>
                  <w14:solidFill>
                    <w14:schemeClr w14:val="tx1"/>
                  </w14:solidFill>
                </w14:textFill>
              </w:rPr>
              <w:t>5</w:t>
            </w:r>
            <w:r>
              <w:rPr>
                <w:color w:val="000000" w:themeColor="text1"/>
                <w:szCs w:val="21"/>
                <w14:textFill>
                  <w14:solidFill>
                    <w14:schemeClr w14:val="tx1"/>
                  </w14:solidFill>
                </w14:textFill>
              </w:rPr>
              <w:t>分）</w:t>
            </w:r>
          </w:p>
        </w:tc>
        <w:tc>
          <w:tcPr>
            <w:tcW w:w="5799" w:type="dxa"/>
            <w:tcBorders>
              <w:top w:val="single" w:color="auto" w:sz="4" w:space="0"/>
              <w:left w:val="single" w:color="auto" w:sz="4" w:space="0"/>
              <w:bottom w:val="single" w:color="auto" w:sz="4" w:space="0"/>
              <w:right w:val="single" w:color="auto" w:sz="4" w:space="0"/>
            </w:tcBorders>
            <w:vAlign w:val="center"/>
          </w:tcPr>
          <w:p w14:paraId="7D7A1E51">
            <w:pPr>
              <w:numPr>
                <w:ilvl w:val="0"/>
                <w:numId w:val="6"/>
              </w:numPr>
              <w:tabs>
                <w:tab w:val="center" w:pos="4153"/>
                <w:tab w:val="right" w:pos="8306"/>
              </w:tabs>
              <w:snapToGrid w:val="0"/>
              <w:spacing w:before="48" w:beforeLines="20" w:line="34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对本工程目标、内容等方面以及对本工程设计工作的重点和难点的认识和理解充分透彻，设计思路清晰，有较强针对性的设计方案，得</w:t>
            </w:r>
            <w:r>
              <w:rPr>
                <w:rFonts w:hint="eastAsia"/>
                <w:color w:val="000000" w:themeColor="text1"/>
                <w:szCs w:val="21"/>
                <w:lang w:val="en-US" w:eastAsia="zh-CN"/>
                <w14:textFill>
                  <w14:solidFill>
                    <w14:schemeClr w14:val="tx1"/>
                  </w14:solidFill>
                </w14:textFill>
              </w:rPr>
              <w:t>3-5</w:t>
            </w:r>
            <w:r>
              <w:rPr>
                <w:color w:val="000000" w:themeColor="text1"/>
                <w:szCs w:val="21"/>
                <w14:textFill>
                  <w14:solidFill>
                    <w14:schemeClr w14:val="tx1"/>
                  </w14:solidFill>
                </w14:textFill>
              </w:rPr>
              <w:t>分；</w:t>
            </w:r>
          </w:p>
          <w:p w14:paraId="44AD9243">
            <w:pPr>
              <w:numPr>
                <w:ilvl w:val="0"/>
                <w:numId w:val="6"/>
              </w:numPr>
              <w:tabs>
                <w:tab w:val="center" w:pos="4153"/>
                <w:tab w:val="right" w:pos="8306"/>
              </w:tabs>
              <w:snapToGrid w:val="0"/>
              <w:spacing w:before="48" w:beforeLines="20" w:line="34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对本工程目标、内容等方面以及对本工程设计工作的重点和难点的基本认识和理解，设计思路基本清晰，设计方案能基本满足本工程需要，得</w:t>
            </w:r>
            <w:r>
              <w:rPr>
                <w:rFonts w:hint="eastAsia"/>
                <w:color w:val="000000" w:themeColor="text1"/>
                <w:szCs w:val="21"/>
                <w:lang w:val="en-US" w:eastAsia="zh-CN"/>
                <w14:textFill>
                  <w14:solidFill>
                    <w14:schemeClr w14:val="tx1"/>
                  </w14:solidFill>
                </w14:textFill>
              </w:rPr>
              <w:t>1-2</w:t>
            </w:r>
            <w:r>
              <w:rPr>
                <w:color w:val="000000" w:themeColor="text1"/>
                <w:szCs w:val="21"/>
                <w14:textFill>
                  <w14:solidFill>
                    <w14:schemeClr w14:val="tx1"/>
                  </w14:solidFill>
                </w14:textFill>
              </w:rPr>
              <w:t>分；</w:t>
            </w:r>
          </w:p>
          <w:p w14:paraId="4BEBF346">
            <w:pPr>
              <w:numPr>
                <w:ilvl w:val="0"/>
                <w:numId w:val="6"/>
              </w:numPr>
              <w:tabs>
                <w:tab w:val="center" w:pos="4153"/>
                <w:tab w:val="right" w:pos="8306"/>
              </w:tabs>
              <w:snapToGrid w:val="0"/>
              <w:spacing w:before="48" w:beforeLines="20" w:line="34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对本工程目标、内容等方面以及对本工程设计工作的重点和难点的认识和理解较差，具有一定的设计思路，有设计方案但针对性一般，得</w:t>
            </w:r>
            <w:r>
              <w:rPr>
                <w:rFonts w:hint="eastAsia"/>
                <w:color w:val="000000" w:themeColor="text1"/>
                <w:szCs w:val="21"/>
                <w:lang w:val="en-US" w:eastAsia="zh-CN"/>
                <w14:textFill>
                  <w14:solidFill>
                    <w14:schemeClr w14:val="tx1"/>
                  </w14:solidFill>
                </w14:textFill>
              </w:rPr>
              <w:t>0-0.5</w:t>
            </w:r>
            <w:r>
              <w:rPr>
                <w:color w:val="000000" w:themeColor="text1"/>
                <w:szCs w:val="21"/>
                <w14:textFill>
                  <w14:solidFill>
                    <w14:schemeClr w14:val="tx1"/>
                  </w14:solidFill>
                </w14:textFill>
              </w:rPr>
              <w:t>分。</w:t>
            </w:r>
          </w:p>
        </w:tc>
      </w:tr>
      <w:tr w14:paraId="6E4C37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tcPr>
          <w:p w14:paraId="35F5A598">
            <w:pPr>
              <w:spacing w:line="440" w:lineRule="exact"/>
              <w:jc w:val="center"/>
              <w:rPr>
                <w:color w:val="000000" w:themeColor="text1"/>
                <w:szCs w:val="21"/>
                <w14:textFill>
                  <w14:solidFill>
                    <w14:schemeClr w14:val="tx1"/>
                  </w14:solidFill>
                </w14:textFill>
              </w:rPr>
            </w:pPr>
          </w:p>
        </w:tc>
        <w:tc>
          <w:tcPr>
            <w:tcW w:w="1124" w:type="dxa"/>
            <w:vMerge w:val="continue"/>
            <w:tcBorders>
              <w:right w:val="single" w:color="auto" w:sz="4" w:space="0"/>
            </w:tcBorders>
          </w:tcPr>
          <w:p w14:paraId="5DC386CE">
            <w:pPr>
              <w:spacing w:line="440" w:lineRule="exact"/>
              <w:jc w:val="center"/>
              <w:rPr>
                <w:color w:val="000000" w:themeColor="text1"/>
                <w:szCs w:val="21"/>
                <w14:textFill>
                  <w14:solidFill>
                    <w14:schemeClr w14:val="tx1"/>
                  </w14:solidFill>
                </w14:textFill>
              </w:rPr>
            </w:pPr>
          </w:p>
        </w:tc>
        <w:tc>
          <w:tcPr>
            <w:tcW w:w="2255" w:type="dxa"/>
            <w:tcBorders>
              <w:top w:val="single" w:color="auto" w:sz="4" w:space="0"/>
              <w:left w:val="single" w:color="auto" w:sz="4" w:space="0"/>
              <w:bottom w:val="single" w:color="auto" w:sz="4" w:space="0"/>
              <w:right w:val="single" w:color="auto" w:sz="4" w:space="0"/>
            </w:tcBorders>
            <w:vAlign w:val="center"/>
          </w:tcPr>
          <w:p w14:paraId="60D8DC39">
            <w:pPr>
              <w:tabs>
                <w:tab w:val="center" w:pos="4153"/>
                <w:tab w:val="right" w:pos="8306"/>
              </w:tabs>
              <w:snapToGrid w:val="0"/>
              <w:spacing w:before="48" w:beforeLines="2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设计人员配备（</w:t>
            </w:r>
            <w:r>
              <w:rPr>
                <w:rFonts w:hint="eastAsia"/>
                <w:color w:val="000000" w:themeColor="text1"/>
                <w:szCs w:val="21"/>
                <w:lang w:val="en-US" w:eastAsia="zh-CN"/>
                <w14:textFill>
                  <w14:solidFill>
                    <w14:schemeClr w14:val="tx1"/>
                  </w14:solidFill>
                </w14:textFill>
              </w:rPr>
              <w:t>5</w:t>
            </w:r>
            <w:r>
              <w:rPr>
                <w:color w:val="000000" w:themeColor="text1"/>
                <w:szCs w:val="21"/>
                <w14:textFill>
                  <w14:solidFill>
                    <w14:schemeClr w14:val="tx1"/>
                  </w14:solidFill>
                </w14:textFill>
              </w:rPr>
              <w:t>分）</w:t>
            </w:r>
          </w:p>
        </w:tc>
        <w:tc>
          <w:tcPr>
            <w:tcW w:w="5799" w:type="dxa"/>
            <w:tcBorders>
              <w:top w:val="single" w:color="auto" w:sz="4" w:space="0"/>
              <w:left w:val="single" w:color="auto" w:sz="4" w:space="0"/>
              <w:bottom w:val="single" w:color="auto" w:sz="4" w:space="0"/>
              <w:right w:val="single" w:color="auto" w:sz="4" w:space="0"/>
            </w:tcBorders>
            <w:vAlign w:val="center"/>
          </w:tcPr>
          <w:p w14:paraId="4760F832">
            <w:pPr>
              <w:rPr>
                <w:color w:val="000000" w:themeColor="text1"/>
                <w14:textFill>
                  <w14:solidFill>
                    <w14:schemeClr w14:val="tx1"/>
                  </w14:solidFill>
                </w14:textFill>
              </w:rPr>
            </w:pPr>
            <w:r>
              <w:rPr>
                <w:color w:val="000000" w:themeColor="text1"/>
                <w14:textFill>
                  <w14:solidFill>
                    <w14:schemeClr w14:val="tx1"/>
                  </w14:solidFill>
                </w14:textFill>
              </w:rPr>
              <w:t>（1）拟派设计人员配备优于项目要求，且专业性强，配置合理齐全，针对性强，得</w:t>
            </w:r>
            <w:r>
              <w:rPr>
                <w:rFonts w:hint="eastAsia"/>
                <w:color w:val="000000" w:themeColor="text1"/>
                <w:lang w:val="en-US" w:eastAsia="zh-CN"/>
                <w14:textFill>
                  <w14:solidFill>
                    <w14:schemeClr w14:val="tx1"/>
                  </w14:solidFill>
                </w14:textFill>
              </w:rPr>
              <w:t>3-5</w:t>
            </w:r>
            <w:r>
              <w:rPr>
                <w:color w:val="000000" w:themeColor="text1"/>
                <w14:textFill>
                  <w14:solidFill>
                    <w14:schemeClr w14:val="tx1"/>
                  </w14:solidFill>
                </w14:textFill>
              </w:rPr>
              <w:t>分；</w:t>
            </w:r>
          </w:p>
          <w:p w14:paraId="24A3F24C">
            <w:pPr>
              <w:rPr>
                <w:color w:val="000000" w:themeColor="text1"/>
                <w14:textFill>
                  <w14:solidFill>
                    <w14:schemeClr w14:val="tx1"/>
                  </w14:solidFill>
                </w14:textFill>
              </w:rPr>
            </w:pPr>
            <w:r>
              <w:rPr>
                <w:color w:val="000000" w:themeColor="text1"/>
                <w14:textFill>
                  <w14:solidFill>
                    <w14:schemeClr w14:val="tx1"/>
                  </w14:solidFill>
                </w14:textFill>
              </w:rPr>
              <w:t>（2）拟派设计人员配备满足或优于项目要求，但专业性一般，针对性一般得</w:t>
            </w:r>
            <w:r>
              <w:rPr>
                <w:rFonts w:hint="eastAsia"/>
                <w:color w:val="000000" w:themeColor="text1"/>
                <w:lang w:val="en-US" w:eastAsia="zh-CN"/>
                <w14:textFill>
                  <w14:solidFill>
                    <w14:schemeClr w14:val="tx1"/>
                  </w14:solidFill>
                </w14:textFill>
              </w:rPr>
              <w:t>1-2</w:t>
            </w:r>
            <w:r>
              <w:rPr>
                <w:color w:val="000000" w:themeColor="text1"/>
                <w14:textFill>
                  <w14:solidFill>
                    <w14:schemeClr w14:val="tx1"/>
                  </w14:solidFill>
                </w14:textFill>
              </w:rPr>
              <w:t>分；</w:t>
            </w:r>
          </w:p>
          <w:p w14:paraId="327F5C99">
            <w:pPr>
              <w:rPr>
                <w:color w:val="000000" w:themeColor="text1"/>
                <w14:textFill>
                  <w14:solidFill>
                    <w14:schemeClr w14:val="tx1"/>
                  </w14:solidFill>
                </w14:textFill>
              </w:rPr>
            </w:pPr>
            <w:r>
              <w:rPr>
                <w:color w:val="000000" w:themeColor="text1"/>
                <w14:textFill>
                  <w14:solidFill>
                    <w14:schemeClr w14:val="tx1"/>
                  </w14:solidFill>
                </w14:textFill>
              </w:rPr>
              <w:t>（3）拟派设计人员配备满足项目要求，但专业性较差，没有针对性得</w:t>
            </w:r>
            <w:r>
              <w:rPr>
                <w:rFonts w:hint="eastAsia"/>
                <w:color w:val="000000" w:themeColor="text1"/>
                <w:lang w:val="en-US" w:eastAsia="zh-CN"/>
                <w14:textFill>
                  <w14:solidFill>
                    <w14:schemeClr w14:val="tx1"/>
                  </w14:solidFill>
                </w14:textFill>
              </w:rPr>
              <w:t>0.5</w:t>
            </w:r>
            <w:r>
              <w:rPr>
                <w:color w:val="000000" w:themeColor="text1"/>
                <w14:textFill>
                  <w14:solidFill>
                    <w14:schemeClr w14:val="tx1"/>
                  </w14:solidFill>
                </w14:textFill>
              </w:rPr>
              <w:t>分；</w:t>
            </w:r>
          </w:p>
          <w:p w14:paraId="12C3F6A8">
            <w:pPr>
              <w:tabs>
                <w:tab w:val="center" w:pos="4153"/>
                <w:tab w:val="right" w:pos="8306"/>
              </w:tabs>
              <w:snapToGrid w:val="0"/>
              <w:spacing w:before="48" w:beforeLines="20" w:line="300" w:lineRule="exact"/>
              <w:rPr>
                <w:color w:val="000000" w:themeColor="text1"/>
                <w:szCs w:val="21"/>
                <w14:textFill>
                  <w14:solidFill>
                    <w14:schemeClr w14:val="tx1"/>
                  </w14:solidFill>
                </w14:textFill>
              </w:rPr>
            </w:pPr>
            <w:r>
              <w:rPr>
                <w:color w:val="000000" w:themeColor="text1"/>
                <w14:textFill>
                  <w14:solidFill>
                    <w14:schemeClr w14:val="tx1"/>
                  </w14:solidFill>
                </w14:textFill>
              </w:rPr>
              <w:t>（4）拟派设计人员配备不满足项目要求的或未提供本项内容的不得分。</w:t>
            </w:r>
          </w:p>
        </w:tc>
      </w:tr>
      <w:tr w14:paraId="1E769B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45" w:hRule="atLeast"/>
        </w:trPr>
        <w:tc>
          <w:tcPr>
            <w:tcW w:w="900" w:type="dxa"/>
            <w:vMerge w:val="continue"/>
            <w:tcBorders>
              <w:bottom w:val="single" w:color="auto" w:sz="4" w:space="0"/>
              <w:right w:val="single" w:color="auto" w:sz="4" w:space="0"/>
            </w:tcBorders>
          </w:tcPr>
          <w:p w14:paraId="55001DC3">
            <w:pPr>
              <w:spacing w:line="440" w:lineRule="exact"/>
              <w:jc w:val="center"/>
              <w:rPr>
                <w:color w:val="000000" w:themeColor="text1"/>
                <w:szCs w:val="21"/>
                <w14:textFill>
                  <w14:solidFill>
                    <w14:schemeClr w14:val="tx1"/>
                  </w14:solidFill>
                </w14:textFill>
              </w:rPr>
            </w:pPr>
          </w:p>
        </w:tc>
        <w:tc>
          <w:tcPr>
            <w:tcW w:w="1124" w:type="dxa"/>
            <w:vMerge w:val="continue"/>
            <w:tcBorders>
              <w:bottom w:val="single" w:color="auto" w:sz="4" w:space="0"/>
              <w:right w:val="single" w:color="auto" w:sz="4" w:space="0"/>
            </w:tcBorders>
          </w:tcPr>
          <w:p w14:paraId="05AEC869">
            <w:pPr>
              <w:spacing w:line="440" w:lineRule="exact"/>
              <w:jc w:val="center"/>
              <w:rPr>
                <w:color w:val="000000" w:themeColor="text1"/>
                <w:szCs w:val="21"/>
                <w14:textFill>
                  <w14:solidFill>
                    <w14:schemeClr w14:val="tx1"/>
                  </w14:solidFill>
                </w14:textFill>
              </w:rPr>
            </w:pPr>
          </w:p>
        </w:tc>
        <w:tc>
          <w:tcPr>
            <w:tcW w:w="2255" w:type="dxa"/>
            <w:tcBorders>
              <w:top w:val="single" w:color="auto" w:sz="4" w:space="0"/>
              <w:left w:val="single" w:color="auto" w:sz="4" w:space="0"/>
              <w:bottom w:val="single" w:color="auto" w:sz="4" w:space="0"/>
              <w:right w:val="single" w:color="auto" w:sz="4" w:space="0"/>
            </w:tcBorders>
            <w:vAlign w:val="center"/>
          </w:tcPr>
          <w:p w14:paraId="719EF3FF">
            <w:pPr>
              <w:tabs>
                <w:tab w:val="center" w:pos="4153"/>
                <w:tab w:val="right" w:pos="8306"/>
              </w:tabs>
              <w:snapToGrid w:val="0"/>
              <w:spacing w:before="48" w:beforeLines="20"/>
              <w:rPr>
                <w:b/>
                <w:color w:val="000000" w:themeColor="text1"/>
                <w:szCs w:val="21"/>
                <w14:textFill>
                  <w14:solidFill>
                    <w14:schemeClr w14:val="tx1"/>
                  </w14:solidFill>
                </w14:textFill>
              </w:rPr>
            </w:pPr>
            <w:r>
              <w:rPr>
                <w:color w:val="000000" w:themeColor="text1"/>
                <w:szCs w:val="21"/>
                <w14:textFill>
                  <w14:solidFill>
                    <w14:schemeClr w14:val="tx1"/>
                  </w14:solidFill>
                </w14:textFill>
              </w:rPr>
              <w:t>设计组织方案（</w:t>
            </w:r>
            <w:r>
              <w:rPr>
                <w:rFonts w:hint="eastAsia"/>
                <w:color w:val="000000" w:themeColor="text1"/>
                <w:szCs w:val="21"/>
                <w:lang w:val="en-US" w:eastAsia="zh-CN"/>
                <w14:textFill>
                  <w14:solidFill>
                    <w14:schemeClr w14:val="tx1"/>
                  </w14:solidFill>
                </w14:textFill>
              </w:rPr>
              <w:t>5</w:t>
            </w:r>
            <w:r>
              <w:rPr>
                <w:color w:val="000000" w:themeColor="text1"/>
                <w:szCs w:val="21"/>
                <w14:textFill>
                  <w14:solidFill>
                    <w14:schemeClr w14:val="tx1"/>
                  </w14:solidFill>
                </w14:textFill>
              </w:rPr>
              <w:t>分）</w:t>
            </w:r>
          </w:p>
        </w:tc>
        <w:tc>
          <w:tcPr>
            <w:tcW w:w="5799" w:type="dxa"/>
            <w:tcBorders>
              <w:top w:val="single" w:color="auto" w:sz="4" w:space="0"/>
              <w:left w:val="single" w:color="auto" w:sz="4" w:space="0"/>
              <w:bottom w:val="single" w:color="auto" w:sz="4" w:space="0"/>
              <w:right w:val="single" w:color="auto" w:sz="4" w:space="0"/>
            </w:tcBorders>
            <w:vAlign w:val="center"/>
          </w:tcPr>
          <w:p w14:paraId="78787627">
            <w:pPr>
              <w:numPr>
                <w:ilvl w:val="0"/>
                <w:numId w:val="7"/>
              </w:numPr>
              <w:tabs>
                <w:tab w:val="center" w:pos="4153"/>
                <w:tab w:val="right" w:pos="8306"/>
              </w:tabs>
              <w:snapToGrid w:val="0"/>
              <w:spacing w:before="48" w:beforeLines="20" w:line="34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从设计工期、设计过程质量控制体系、后续服务等方面进行说明，重点突出、方案考虑全面，科学且切实可行的得</w:t>
            </w:r>
            <w:r>
              <w:rPr>
                <w:rFonts w:hint="eastAsia"/>
                <w:color w:val="000000" w:themeColor="text1"/>
                <w:szCs w:val="21"/>
                <w:lang w:val="en-US" w:eastAsia="zh-CN"/>
                <w14:textFill>
                  <w14:solidFill>
                    <w14:schemeClr w14:val="tx1"/>
                  </w14:solidFill>
                </w14:textFill>
              </w:rPr>
              <w:t>3-5</w:t>
            </w:r>
            <w:r>
              <w:rPr>
                <w:color w:val="000000" w:themeColor="text1"/>
                <w:szCs w:val="21"/>
                <w14:textFill>
                  <w14:solidFill>
                    <w14:schemeClr w14:val="tx1"/>
                  </w14:solidFill>
                </w14:textFill>
              </w:rPr>
              <w:t>分；</w:t>
            </w:r>
          </w:p>
          <w:p w14:paraId="23BAD41F">
            <w:pPr>
              <w:numPr>
                <w:ilvl w:val="0"/>
                <w:numId w:val="7"/>
              </w:numPr>
              <w:tabs>
                <w:tab w:val="center" w:pos="4153"/>
                <w:tab w:val="right" w:pos="8306"/>
              </w:tabs>
              <w:snapToGrid w:val="0"/>
              <w:spacing w:before="48" w:beforeLines="20" w:line="34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重点基本把握，方案考虑存在一定的瑕疵的得</w:t>
            </w:r>
            <w:r>
              <w:rPr>
                <w:rFonts w:hint="eastAsia"/>
                <w:color w:val="000000" w:themeColor="text1"/>
                <w:szCs w:val="21"/>
                <w:lang w:val="en-US" w:eastAsia="zh-CN"/>
                <w14:textFill>
                  <w14:solidFill>
                    <w14:schemeClr w14:val="tx1"/>
                  </w14:solidFill>
                </w14:textFill>
              </w:rPr>
              <w:t>1-2</w:t>
            </w:r>
            <w:r>
              <w:rPr>
                <w:color w:val="000000" w:themeColor="text1"/>
                <w:szCs w:val="21"/>
                <w14:textFill>
                  <w14:solidFill>
                    <w14:schemeClr w14:val="tx1"/>
                  </w14:solidFill>
                </w14:textFill>
              </w:rPr>
              <w:t>分；</w:t>
            </w:r>
          </w:p>
          <w:p w14:paraId="63897884">
            <w:pPr>
              <w:numPr>
                <w:ilvl w:val="0"/>
                <w:numId w:val="7"/>
              </w:numPr>
              <w:tabs>
                <w:tab w:val="center" w:pos="4153"/>
                <w:tab w:val="right" w:pos="8306"/>
              </w:tabs>
              <w:snapToGrid w:val="0"/>
              <w:spacing w:before="48" w:beforeLines="20" w:line="34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方案不具体，较差的得</w:t>
            </w:r>
            <w:r>
              <w:rPr>
                <w:rFonts w:hint="eastAsia"/>
                <w:color w:val="000000" w:themeColor="text1"/>
                <w:szCs w:val="21"/>
                <w:lang w:val="en-US" w:eastAsia="zh-CN"/>
                <w14:textFill>
                  <w14:solidFill>
                    <w14:schemeClr w14:val="tx1"/>
                  </w14:solidFill>
                </w14:textFill>
              </w:rPr>
              <w:t>0-0.5</w:t>
            </w:r>
            <w:r>
              <w:rPr>
                <w:color w:val="000000" w:themeColor="text1"/>
                <w:szCs w:val="21"/>
                <w14:textFill>
                  <w14:solidFill>
                    <w14:schemeClr w14:val="tx1"/>
                  </w14:solidFill>
                </w14:textFill>
              </w:rPr>
              <w:t>分。</w:t>
            </w:r>
          </w:p>
        </w:tc>
      </w:tr>
      <w:tr w14:paraId="3FDA60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7" w:hRule="atLeast"/>
        </w:trPr>
        <w:tc>
          <w:tcPr>
            <w:tcW w:w="900" w:type="dxa"/>
            <w:vMerge w:val="restart"/>
            <w:tcBorders>
              <w:right w:val="single" w:color="auto" w:sz="4" w:space="0"/>
            </w:tcBorders>
          </w:tcPr>
          <w:p w14:paraId="5FEFFC90">
            <w:pPr>
              <w:spacing w:line="440" w:lineRule="exact"/>
              <w:jc w:val="center"/>
              <w:rPr>
                <w:rFonts w:hint="eastAsia"/>
                <w:color w:val="000000" w:themeColor="text1"/>
                <w:szCs w:val="21"/>
                <w:lang w:val="en-US" w:eastAsia="zh-CN"/>
                <w14:textFill>
                  <w14:solidFill>
                    <w14:schemeClr w14:val="tx1"/>
                  </w14:solidFill>
                </w14:textFill>
              </w:rPr>
            </w:pPr>
          </w:p>
          <w:p w14:paraId="477BEA8B">
            <w:pPr>
              <w:spacing w:line="440" w:lineRule="exact"/>
              <w:jc w:val="center"/>
              <w:rPr>
                <w:rFonts w:hint="eastAsia"/>
                <w:color w:val="000000" w:themeColor="text1"/>
                <w:szCs w:val="21"/>
                <w:lang w:val="en-US" w:eastAsia="zh-CN"/>
                <w14:textFill>
                  <w14:solidFill>
                    <w14:schemeClr w14:val="tx1"/>
                  </w14:solidFill>
                </w14:textFill>
              </w:rPr>
            </w:pPr>
          </w:p>
          <w:p w14:paraId="6A90DE15">
            <w:pPr>
              <w:spacing w:line="440" w:lineRule="exact"/>
              <w:jc w:val="center"/>
              <w:rPr>
                <w:rFonts w:hint="eastAsia"/>
                <w:color w:val="000000" w:themeColor="text1"/>
                <w:szCs w:val="21"/>
                <w:lang w:val="en-US" w:eastAsia="zh-CN"/>
                <w14:textFill>
                  <w14:solidFill>
                    <w14:schemeClr w14:val="tx1"/>
                  </w14:solidFill>
                </w14:textFill>
              </w:rPr>
            </w:pPr>
          </w:p>
          <w:p w14:paraId="4FC1771C">
            <w:pPr>
              <w:spacing w:line="440" w:lineRule="exact"/>
              <w:ind w:firstLine="210" w:firstLineChars="100"/>
              <w:jc w:val="both"/>
              <w:rPr>
                <w:rFonts w:hint="eastAsia"/>
                <w:color w:val="000000" w:themeColor="text1"/>
                <w:szCs w:val="21"/>
                <w:lang w:val="en-US" w:eastAsia="zh-CN"/>
                <w14:textFill>
                  <w14:solidFill>
                    <w14:schemeClr w14:val="tx1"/>
                  </w14:solidFill>
                </w14:textFill>
              </w:rPr>
            </w:pPr>
          </w:p>
          <w:p w14:paraId="10762AF6">
            <w:pPr>
              <w:spacing w:line="440" w:lineRule="exact"/>
              <w:ind w:firstLine="210" w:firstLineChars="100"/>
              <w:jc w:val="both"/>
              <w:rPr>
                <w:rFonts w:hint="eastAsia"/>
                <w:color w:val="000000" w:themeColor="text1"/>
                <w:szCs w:val="21"/>
                <w:lang w:val="en-US" w:eastAsia="zh-CN"/>
                <w14:textFill>
                  <w14:solidFill>
                    <w14:schemeClr w14:val="tx1"/>
                  </w14:solidFill>
                </w14:textFill>
              </w:rPr>
            </w:pPr>
          </w:p>
          <w:p w14:paraId="6CF3E959">
            <w:pPr>
              <w:spacing w:line="440" w:lineRule="exact"/>
              <w:ind w:firstLine="210" w:firstLineChars="100"/>
              <w:jc w:val="both"/>
              <w:rPr>
                <w:rFonts w:hint="eastAsia"/>
                <w:color w:val="000000" w:themeColor="text1"/>
                <w:szCs w:val="21"/>
                <w:lang w:val="en-US" w:eastAsia="zh-CN"/>
                <w14:textFill>
                  <w14:solidFill>
                    <w14:schemeClr w14:val="tx1"/>
                  </w14:solidFill>
                </w14:textFill>
              </w:rPr>
            </w:pPr>
          </w:p>
          <w:p w14:paraId="7E66622B">
            <w:pPr>
              <w:spacing w:line="440" w:lineRule="exact"/>
              <w:ind w:firstLine="210" w:firstLineChars="100"/>
              <w:jc w:val="both"/>
              <w:rPr>
                <w:rFonts w:hint="eastAsia"/>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2.2.3</w:t>
            </w:r>
          </w:p>
          <w:p w14:paraId="18B60C5F">
            <w:pPr>
              <w:spacing w:line="440" w:lineRule="exact"/>
              <w:jc w:val="center"/>
              <w:rPr>
                <w:rFonts w:hint="default"/>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（2）</w:t>
            </w:r>
          </w:p>
        </w:tc>
        <w:tc>
          <w:tcPr>
            <w:tcW w:w="1124" w:type="dxa"/>
            <w:vMerge w:val="restart"/>
            <w:tcBorders>
              <w:right w:val="single" w:color="auto" w:sz="4" w:space="0"/>
            </w:tcBorders>
          </w:tcPr>
          <w:p w14:paraId="2ED9E99F">
            <w:pPr>
              <w:spacing w:line="440" w:lineRule="exact"/>
              <w:jc w:val="center"/>
              <w:rPr>
                <w:rFonts w:hint="eastAsia"/>
                <w:color w:val="000000" w:themeColor="text1"/>
                <w:szCs w:val="21"/>
                <w:lang w:val="en-US" w:eastAsia="zh-CN"/>
                <w14:textFill>
                  <w14:solidFill>
                    <w14:schemeClr w14:val="tx1"/>
                  </w14:solidFill>
                </w14:textFill>
              </w:rPr>
            </w:pPr>
          </w:p>
          <w:p w14:paraId="5E71E706">
            <w:pPr>
              <w:spacing w:line="440" w:lineRule="exact"/>
              <w:jc w:val="center"/>
              <w:rPr>
                <w:rFonts w:hint="eastAsia"/>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 xml:space="preserve">  </w:t>
            </w:r>
          </w:p>
          <w:p w14:paraId="2C01ADB4">
            <w:pPr>
              <w:spacing w:line="440" w:lineRule="exact"/>
              <w:jc w:val="center"/>
              <w:rPr>
                <w:color w:val="000000" w:themeColor="text1"/>
                <w:szCs w:val="21"/>
                <w14:textFill>
                  <w14:solidFill>
                    <w14:schemeClr w14:val="tx1"/>
                  </w14:solidFill>
                </w14:textFill>
              </w:rPr>
            </w:pPr>
          </w:p>
          <w:p w14:paraId="5A919B04">
            <w:pPr>
              <w:spacing w:line="440" w:lineRule="exact"/>
              <w:jc w:val="center"/>
              <w:rPr>
                <w:color w:val="000000" w:themeColor="text1"/>
                <w:szCs w:val="21"/>
                <w14:textFill>
                  <w14:solidFill>
                    <w14:schemeClr w14:val="tx1"/>
                  </w14:solidFill>
                </w14:textFill>
              </w:rPr>
            </w:pPr>
          </w:p>
          <w:p w14:paraId="1205CB53">
            <w:pPr>
              <w:spacing w:line="440" w:lineRule="exact"/>
              <w:jc w:val="center"/>
              <w:rPr>
                <w:color w:val="000000" w:themeColor="text1"/>
                <w:szCs w:val="21"/>
                <w14:textFill>
                  <w14:solidFill>
                    <w14:schemeClr w14:val="tx1"/>
                  </w14:solidFill>
                </w14:textFill>
              </w:rPr>
            </w:pPr>
          </w:p>
          <w:p w14:paraId="2D43C7D4">
            <w:pPr>
              <w:spacing w:line="440" w:lineRule="exact"/>
              <w:jc w:val="center"/>
              <w:rPr>
                <w:rFonts w:hint="eastAsia"/>
                <w:color w:val="000000" w:themeColor="text1"/>
                <w:szCs w:val="21"/>
                <w:lang w:val="en-US" w:eastAsia="zh-CN"/>
                <w14:textFill>
                  <w14:solidFill>
                    <w14:schemeClr w14:val="tx1"/>
                  </w14:solidFill>
                </w14:textFill>
              </w:rPr>
            </w:pPr>
            <w:r>
              <w:rPr>
                <w:color w:val="000000" w:themeColor="text1"/>
                <w:szCs w:val="21"/>
                <w14:textFill>
                  <w14:solidFill>
                    <w14:schemeClr w14:val="tx1"/>
                  </w14:solidFill>
                </w14:textFill>
              </w:rPr>
              <w:t>承包人</w:t>
            </w:r>
            <w:r>
              <w:rPr>
                <w:rFonts w:hint="eastAsia"/>
                <w:color w:val="000000" w:themeColor="text1"/>
                <w:szCs w:val="21"/>
                <w:lang w:val="en-US" w:eastAsia="zh-CN"/>
                <w14:textFill>
                  <w14:solidFill>
                    <w14:schemeClr w14:val="tx1"/>
                  </w14:solidFill>
                </w14:textFill>
              </w:rPr>
              <w:t xml:space="preserve"> </w:t>
            </w:r>
          </w:p>
          <w:p w14:paraId="7421465C">
            <w:pPr>
              <w:spacing w:line="440" w:lineRule="exact"/>
              <w:jc w:val="both"/>
              <w:rPr>
                <w:rFonts w:hint="default"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设备方案评分标准</w:t>
            </w:r>
            <w:r>
              <w:rPr>
                <w:b w:val="0"/>
                <w:bCs w:val="0"/>
                <w:color w:val="000000" w:themeColor="text1"/>
                <w14:textFill>
                  <w14:solidFill>
                    <w14:schemeClr w14:val="tx1"/>
                  </w14:solidFill>
                </w14:textFill>
              </w:rPr>
              <w:t>（</w:t>
            </w:r>
            <w:r>
              <w:rPr>
                <w:rFonts w:hint="eastAsia"/>
                <w:b w:val="0"/>
                <w:bCs w:val="0"/>
                <w:color w:val="000000" w:themeColor="text1"/>
                <w:lang w:val="en-US" w:eastAsia="zh-CN"/>
                <w14:textFill>
                  <w14:solidFill>
                    <w14:schemeClr w14:val="tx1"/>
                  </w14:solidFill>
                </w14:textFill>
              </w:rPr>
              <w:t>35</w:t>
            </w:r>
            <w:r>
              <w:rPr>
                <w:b w:val="0"/>
                <w:bCs w:val="0"/>
                <w:color w:val="000000" w:themeColor="text1"/>
                <w14:textFill>
                  <w14:solidFill>
                    <w14:schemeClr w14:val="tx1"/>
                  </w14:solidFill>
                </w14:textFill>
              </w:rPr>
              <w:t>分）</w:t>
            </w:r>
          </w:p>
        </w:tc>
        <w:tc>
          <w:tcPr>
            <w:tcW w:w="2255" w:type="dxa"/>
            <w:vMerge w:val="restart"/>
            <w:tcBorders>
              <w:top w:val="single" w:color="auto" w:sz="4" w:space="0"/>
              <w:left w:val="single" w:color="auto" w:sz="4" w:space="0"/>
              <w:right w:val="single" w:color="auto" w:sz="4" w:space="0"/>
            </w:tcBorders>
            <w:vAlign w:val="center"/>
          </w:tcPr>
          <w:p w14:paraId="0DF02943">
            <w:pPr>
              <w:tabs>
                <w:tab w:val="center" w:pos="4153"/>
                <w:tab w:val="right" w:pos="8306"/>
              </w:tabs>
              <w:snapToGrid w:val="0"/>
              <w:spacing w:before="48" w:beforeLines="20"/>
              <w:rPr>
                <w:color w:val="000000" w:themeColor="text1"/>
                <w:szCs w:val="21"/>
                <w:highlight w:val="none"/>
                <w14:textFill>
                  <w14:solidFill>
                    <w14:schemeClr w14:val="tx1"/>
                  </w14:solidFill>
                </w14:textFill>
              </w:rPr>
            </w:pPr>
            <w:r>
              <w:rPr>
                <w:rFonts w:hint="eastAsia"/>
                <w:b w:val="0"/>
                <w:bCs w:val="0"/>
                <w:color w:val="000000" w:themeColor="text1"/>
                <w:highlight w:val="none"/>
                <w:lang w:val="en-US" w:eastAsia="zh-CN"/>
                <w14:textFill>
                  <w14:solidFill>
                    <w14:schemeClr w14:val="tx1"/>
                  </w14:solidFill>
                </w14:textFill>
              </w:rPr>
              <w:t>设备实施方案</w:t>
            </w:r>
            <w:r>
              <w:rPr>
                <w:b w:val="0"/>
                <w:bCs w:val="0"/>
                <w:color w:val="000000" w:themeColor="text1"/>
                <w:highlight w:val="none"/>
                <w14:textFill>
                  <w14:solidFill>
                    <w14:schemeClr w14:val="tx1"/>
                  </w14:solidFill>
                </w14:textFill>
              </w:rPr>
              <w:t>（</w:t>
            </w:r>
            <w:r>
              <w:rPr>
                <w:rFonts w:hint="eastAsia"/>
                <w:b w:val="0"/>
                <w:bCs w:val="0"/>
                <w:color w:val="000000" w:themeColor="text1"/>
                <w:highlight w:val="none"/>
                <w:lang w:val="en-US" w:eastAsia="zh-CN"/>
                <w14:textFill>
                  <w14:solidFill>
                    <w14:schemeClr w14:val="tx1"/>
                  </w14:solidFill>
                </w14:textFill>
              </w:rPr>
              <w:t>35</w:t>
            </w:r>
            <w:r>
              <w:rPr>
                <w:b w:val="0"/>
                <w:bCs w:val="0"/>
                <w:color w:val="000000" w:themeColor="text1"/>
                <w:highlight w:val="none"/>
                <w14:textFill>
                  <w14:solidFill>
                    <w14:schemeClr w14:val="tx1"/>
                  </w14:solidFill>
                </w14:textFill>
              </w:rPr>
              <w:t>分）</w:t>
            </w:r>
          </w:p>
        </w:tc>
        <w:tc>
          <w:tcPr>
            <w:tcW w:w="5799" w:type="dxa"/>
            <w:tcBorders>
              <w:top w:val="single" w:color="auto" w:sz="4" w:space="0"/>
              <w:left w:val="single" w:color="auto" w:sz="4" w:space="0"/>
              <w:bottom w:val="single" w:color="auto" w:sz="4" w:space="0"/>
              <w:right w:val="single" w:color="auto" w:sz="4" w:space="0"/>
            </w:tcBorders>
            <w:shd w:val="clear" w:color="auto" w:fill="auto"/>
            <w:vAlign w:val="top"/>
          </w:tcPr>
          <w:p w14:paraId="663DFF23">
            <w:pPr>
              <w:tabs>
                <w:tab w:val="center" w:pos="4153"/>
                <w:tab w:val="right" w:pos="8306"/>
              </w:tabs>
              <w:snapToGrid w:val="0"/>
              <w:spacing w:before="48" w:beforeLines="20" w:line="340" w:lineRule="exact"/>
              <w:rPr>
                <w:rFonts w:hint="eastAsia" w:ascii="Times New Roman" w:hAnsi="Times New Roman" w:eastAsia="宋体" w:cs="Times New Roman"/>
                <w:b w:val="0"/>
                <w:bCs w:val="0"/>
                <w:color w:val="000000" w:themeColor="text1"/>
                <w:kern w:val="2"/>
                <w:sz w:val="21"/>
                <w:szCs w:val="24"/>
                <w:highlight w:val="none"/>
                <w:lang w:val="en-US" w:eastAsia="zh-CN" w:bidi="ar-SA"/>
                <w14:textFill>
                  <w14:solidFill>
                    <w14:schemeClr w14:val="tx1"/>
                  </w14:solidFill>
                </w14:textFill>
              </w:rPr>
            </w:pPr>
            <w:r>
              <w:rPr>
                <w:rFonts w:hint="eastAsia"/>
                <w:b w:val="0"/>
                <w:bCs w:val="0"/>
                <w:color w:val="000000" w:themeColor="text1"/>
                <w:highlight w:val="none"/>
                <w:lang w:val="en-US" w:eastAsia="zh-CN"/>
                <w14:textFill>
                  <w14:solidFill>
                    <w14:schemeClr w14:val="tx1"/>
                  </w14:solidFill>
                </w14:textFill>
              </w:rPr>
              <w:t>从</w:t>
            </w:r>
            <w:r>
              <w:rPr>
                <w:rFonts w:hint="eastAsia"/>
                <w:b w:val="0"/>
                <w:bCs w:val="0"/>
                <w:color w:val="000000" w:themeColor="text1"/>
                <w:highlight w:val="none"/>
                <w14:textFill>
                  <w14:solidFill>
                    <w14:schemeClr w14:val="tx1"/>
                  </w14:solidFill>
                </w14:textFill>
              </w:rPr>
              <w:t>零碳定位的创新技术点</w:t>
            </w:r>
            <w:r>
              <w:rPr>
                <w:rFonts w:hint="eastAsia"/>
                <w:b w:val="0"/>
                <w:bCs w:val="0"/>
                <w:color w:val="000000" w:themeColor="text1"/>
                <w:highlight w:val="none"/>
                <w:lang w:eastAsia="zh-CN"/>
                <w14:textFill>
                  <w14:solidFill>
                    <w14:schemeClr w14:val="tx1"/>
                  </w14:solidFill>
                </w14:textFill>
              </w:rPr>
              <w:t>、</w:t>
            </w:r>
            <w:r>
              <w:rPr>
                <w:rFonts w:hint="eastAsia"/>
                <w:b w:val="0"/>
                <w:bCs w:val="0"/>
                <w:color w:val="000000" w:themeColor="text1"/>
                <w:highlight w:val="none"/>
                <w14:textFill>
                  <w14:solidFill>
                    <w14:schemeClr w14:val="tx1"/>
                  </w14:solidFill>
                </w14:textFill>
              </w:rPr>
              <w:t>有效降低制冷系统运行成本，软件平台（数智化）的功能性</w:t>
            </w:r>
            <w:r>
              <w:rPr>
                <w:rFonts w:hint="eastAsia"/>
                <w:b w:val="0"/>
                <w:bCs w:val="0"/>
                <w:color w:val="000000" w:themeColor="text1"/>
                <w:highlight w:val="none"/>
                <w:lang w:eastAsia="zh-CN"/>
                <w14:textFill>
                  <w14:solidFill>
                    <w14:schemeClr w14:val="tx1"/>
                  </w14:solidFill>
                </w14:textFill>
              </w:rPr>
              <w:t>、</w:t>
            </w:r>
            <w:r>
              <w:rPr>
                <w:rFonts w:hint="eastAsia"/>
                <w:b w:val="0"/>
                <w:bCs w:val="0"/>
                <w:color w:val="000000" w:themeColor="text1"/>
                <w:highlight w:val="none"/>
                <w14:textFill>
                  <w14:solidFill>
                    <w14:schemeClr w14:val="tx1"/>
                  </w14:solidFill>
                </w14:textFill>
              </w:rPr>
              <w:t>生产工艺及设备选配是否满足项目所在地主产区果品的加工工艺</w:t>
            </w:r>
            <w:r>
              <w:rPr>
                <w:rFonts w:hint="eastAsia"/>
                <w:b w:val="0"/>
                <w:bCs w:val="0"/>
                <w:color w:val="000000" w:themeColor="text1"/>
                <w:highlight w:val="none"/>
                <w:lang w:val="en-US" w:eastAsia="zh-CN"/>
                <w14:textFill>
                  <w14:solidFill>
                    <w14:schemeClr w14:val="tx1"/>
                  </w14:solidFill>
                </w14:textFill>
              </w:rPr>
              <w:t>等方面进行说明，</w:t>
            </w:r>
            <w:r>
              <w:rPr>
                <w:color w:val="000000" w:themeColor="text1"/>
                <w:szCs w:val="21"/>
                <w:highlight w:val="none"/>
                <w14:textFill>
                  <w14:solidFill>
                    <w14:schemeClr w14:val="tx1"/>
                  </w14:solidFill>
                </w14:textFill>
              </w:rPr>
              <w:t>重点突出、方案考虑全面，科学且切实可行的得</w:t>
            </w:r>
            <w:r>
              <w:rPr>
                <w:rFonts w:hint="eastAsia"/>
                <w:color w:val="000000" w:themeColor="text1"/>
                <w:szCs w:val="21"/>
                <w:highlight w:val="none"/>
                <w:lang w:val="en-US" w:eastAsia="zh-CN"/>
                <w14:textFill>
                  <w14:solidFill>
                    <w14:schemeClr w14:val="tx1"/>
                  </w14:solidFill>
                </w14:textFill>
              </w:rPr>
              <w:t>3</w:t>
            </w:r>
            <w:r>
              <w:rPr>
                <w:color w:val="000000" w:themeColor="text1"/>
                <w:highlight w:val="none"/>
                <w14:textFill>
                  <w14:solidFill>
                    <w14:schemeClr w14:val="tx1"/>
                  </w14:solidFill>
                </w14:textFill>
              </w:rPr>
              <w:t>-</w:t>
            </w:r>
            <w:r>
              <w:rPr>
                <w:rFonts w:hint="eastAsia"/>
                <w:color w:val="000000" w:themeColor="text1"/>
                <w:szCs w:val="21"/>
                <w:highlight w:val="none"/>
                <w:lang w:val="en-US" w:eastAsia="zh-CN"/>
                <w14:textFill>
                  <w14:solidFill>
                    <w14:schemeClr w14:val="tx1"/>
                  </w14:solidFill>
                </w14:textFill>
              </w:rPr>
              <w:t>5</w:t>
            </w:r>
            <w:r>
              <w:rPr>
                <w:color w:val="000000" w:themeColor="text1"/>
                <w:szCs w:val="21"/>
                <w:highlight w:val="none"/>
                <w14:textFill>
                  <w14:solidFill>
                    <w14:schemeClr w14:val="tx1"/>
                  </w14:solidFill>
                </w14:textFill>
              </w:rPr>
              <w:t>分；重点基本把握，方案考虑存在一定的瑕疵的得</w:t>
            </w:r>
            <w:r>
              <w:rPr>
                <w:rFonts w:hint="eastAsia"/>
                <w:color w:val="000000" w:themeColor="text1"/>
                <w:szCs w:val="21"/>
                <w:highlight w:val="none"/>
                <w:lang w:val="en-US" w:eastAsia="zh-CN"/>
                <w14:textFill>
                  <w14:solidFill>
                    <w14:schemeClr w14:val="tx1"/>
                  </w14:solidFill>
                </w14:textFill>
              </w:rPr>
              <w:t>1</w:t>
            </w:r>
            <w:r>
              <w:rPr>
                <w:color w:val="000000" w:themeColor="text1"/>
                <w:highlight w:val="none"/>
                <w14:textFill>
                  <w14:solidFill>
                    <w14:schemeClr w14:val="tx1"/>
                  </w14:solidFill>
                </w14:textFill>
              </w:rPr>
              <w:t>-</w:t>
            </w:r>
            <w:r>
              <w:rPr>
                <w:rFonts w:hint="eastAsia"/>
                <w:color w:val="000000" w:themeColor="text1"/>
                <w:szCs w:val="21"/>
                <w:highlight w:val="none"/>
                <w:lang w:val="en-US" w:eastAsia="zh-CN"/>
                <w14:textFill>
                  <w14:solidFill>
                    <w14:schemeClr w14:val="tx1"/>
                  </w14:solidFill>
                </w14:textFill>
              </w:rPr>
              <w:t>2</w:t>
            </w:r>
            <w:r>
              <w:rPr>
                <w:color w:val="000000" w:themeColor="text1"/>
                <w:szCs w:val="21"/>
                <w:highlight w:val="none"/>
                <w14:textFill>
                  <w14:solidFill>
                    <w14:schemeClr w14:val="tx1"/>
                  </w14:solidFill>
                </w14:textFill>
              </w:rPr>
              <w:t>分；方案不具体，较差的得0</w:t>
            </w:r>
            <w:r>
              <w:rPr>
                <w:color w:val="000000" w:themeColor="text1"/>
                <w:highlight w:val="none"/>
                <w14:textFill>
                  <w14:solidFill>
                    <w14:schemeClr w14:val="tx1"/>
                  </w14:solidFill>
                </w14:textFill>
              </w:rPr>
              <w:t>-</w:t>
            </w:r>
            <w:r>
              <w:rPr>
                <w:rFonts w:hint="eastAsia"/>
                <w:color w:val="000000" w:themeColor="text1"/>
                <w:szCs w:val="21"/>
                <w:highlight w:val="none"/>
                <w:lang w:val="en-US" w:eastAsia="zh-CN"/>
                <w14:textFill>
                  <w14:solidFill>
                    <w14:schemeClr w14:val="tx1"/>
                  </w14:solidFill>
                </w14:textFill>
              </w:rPr>
              <w:t>0.5</w:t>
            </w:r>
            <w:r>
              <w:rPr>
                <w:color w:val="000000" w:themeColor="text1"/>
                <w:szCs w:val="21"/>
                <w:highlight w:val="none"/>
                <w14:textFill>
                  <w14:solidFill>
                    <w14:schemeClr w14:val="tx1"/>
                  </w14:solidFill>
                </w14:textFill>
              </w:rPr>
              <w:t>分。</w:t>
            </w:r>
          </w:p>
        </w:tc>
      </w:tr>
      <w:tr w14:paraId="2A8D52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7" w:hRule="atLeast"/>
        </w:trPr>
        <w:tc>
          <w:tcPr>
            <w:tcW w:w="900" w:type="dxa"/>
            <w:vMerge w:val="continue"/>
            <w:tcBorders>
              <w:right w:val="single" w:color="auto" w:sz="4" w:space="0"/>
            </w:tcBorders>
          </w:tcPr>
          <w:p w14:paraId="47D59618">
            <w:pPr>
              <w:spacing w:line="440" w:lineRule="exact"/>
              <w:jc w:val="center"/>
              <w:rPr>
                <w:rFonts w:hint="eastAsia"/>
                <w:color w:val="000000" w:themeColor="text1"/>
                <w:szCs w:val="21"/>
                <w:lang w:val="en-US" w:eastAsia="zh-CN"/>
                <w14:textFill>
                  <w14:solidFill>
                    <w14:schemeClr w14:val="tx1"/>
                  </w14:solidFill>
                </w14:textFill>
              </w:rPr>
            </w:pPr>
          </w:p>
        </w:tc>
        <w:tc>
          <w:tcPr>
            <w:tcW w:w="1124" w:type="dxa"/>
            <w:vMerge w:val="continue"/>
            <w:tcBorders>
              <w:right w:val="single" w:color="auto" w:sz="4" w:space="0"/>
            </w:tcBorders>
          </w:tcPr>
          <w:p w14:paraId="481C55CD">
            <w:pPr>
              <w:spacing w:line="440" w:lineRule="exact"/>
              <w:jc w:val="both"/>
              <w:rPr>
                <w:rFonts w:hint="eastAsia"/>
                <w:color w:val="000000" w:themeColor="text1"/>
                <w:szCs w:val="21"/>
                <w:lang w:val="en-US" w:eastAsia="zh-CN"/>
                <w14:textFill>
                  <w14:solidFill>
                    <w14:schemeClr w14:val="tx1"/>
                  </w14:solidFill>
                </w14:textFill>
              </w:rPr>
            </w:pPr>
          </w:p>
        </w:tc>
        <w:tc>
          <w:tcPr>
            <w:tcW w:w="2255" w:type="dxa"/>
            <w:vMerge w:val="continue"/>
            <w:tcBorders>
              <w:left w:val="single" w:color="auto" w:sz="4" w:space="0"/>
              <w:right w:val="single" w:color="auto" w:sz="4" w:space="0"/>
            </w:tcBorders>
            <w:vAlign w:val="center"/>
          </w:tcPr>
          <w:p w14:paraId="23D2EA2D">
            <w:pPr>
              <w:tabs>
                <w:tab w:val="center" w:pos="4153"/>
                <w:tab w:val="right" w:pos="8306"/>
              </w:tabs>
              <w:snapToGrid w:val="0"/>
              <w:spacing w:before="48" w:beforeLines="20"/>
              <w:rPr>
                <w:rFonts w:hint="eastAsia"/>
                <w:b w:val="0"/>
                <w:bCs w:val="0"/>
                <w:color w:val="000000" w:themeColor="text1"/>
                <w:highlight w:val="yellow"/>
                <w:lang w:val="en-US" w:eastAsia="zh-CN"/>
                <w14:textFill>
                  <w14:solidFill>
                    <w14:schemeClr w14:val="tx1"/>
                  </w14:solidFill>
                </w14:textFill>
              </w:rPr>
            </w:pPr>
          </w:p>
        </w:tc>
        <w:tc>
          <w:tcPr>
            <w:tcW w:w="5799" w:type="dxa"/>
            <w:tcBorders>
              <w:top w:val="single" w:color="auto" w:sz="4" w:space="0"/>
              <w:left w:val="single" w:color="auto" w:sz="4" w:space="0"/>
              <w:bottom w:val="single" w:color="auto" w:sz="4" w:space="0"/>
              <w:right w:val="single" w:color="auto" w:sz="4" w:space="0"/>
            </w:tcBorders>
            <w:shd w:val="clear" w:color="auto" w:fill="auto"/>
            <w:vAlign w:val="top"/>
          </w:tcPr>
          <w:p w14:paraId="207596E2">
            <w:pPr>
              <w:tabs>
                <w:tab w:val="center" w:pos="4153"/>
                <w:tab w:val="right" w:pos="8306"/>
              </w:tabs>
              <w:snapToGrid w:val="0"/>
              <w:spacing w:before="48" w:beforeLines="20" w:line="340" w:lineRule="exact"/>
              <w:rPr>
                <w:rFonts w:hint="eastAsia"/>
                <w:b w:val="0"/>
                <w:bCs w:val="0"/>
                <w:color w:val="000000" w:themeColor="text1"/>
                <w:highlight w:val="none"/>
                <w:lang w:val="en-US" w:eastAsia="zh-CN"/>
                <w14:textFill>
                  <w14:solidFill>
                    <w14:schemeClr w14:val="tx1"/>
                  </w14:solidFill>
                </w14:textFill>
              </w:rPr>
            </w:pPr>
            <w:r>
              <w:rPr>
                <w:rFonts w:hint="eastAsia"/>
                <w:b w:val="0"/>
                <w:bCs w:val="0"/>
                <w:color w:val="000000"/>
                <w:highlight w:val="none"/>
                <w:lang w:val="en-US" w:eastAsia="zh-CN"/>
              </w:rPr>
              <w:t>投标方案具备零碳定位的创新技术点及项目节能及零评定中的价值点。方案</w:t>
            </w:r>
            <w:r>
              <w:rPr>
                <w:color w:val="000000" w:themeColor="text1"/>
                <w:szCs w:val="21"/>
                <w:highlight w:val="none"/>
                <w14:textFill>
                  <w14:solidFill>
                    <w14:schemeClr w14:val="tx1"/>
                  </w14:solidFill>
                </w14:textFill>
              </w:rPr>
              <w:t>优得</w:t>
            </w:r>
            <w:r>
              <w:rPr>
                <w:rFonts w:hint="eastAsia"/>
                <w:color w:val="000000" w:themeColor="text1"/>
                <w:szCs w:val="21"/>
                <w:highlight w:val="none"/>
                <w:lang w:val="en-US" w:eastAsia="zh-CN"/>
                <w14:textFill>
                  <w14:solidFill>
                    <w14:schemeClr w14:val="tx1"/>
                  </w14:solidFill>
                </w14:textFill>
              </w:rPr>
              <w:t>3-5</w:t>
            </w:r>
            <w:r>
              <w:rPr>
                <w:color w:val="000000" w:themeColor="text1"/>
                <w:szCs w:val="21"/>
                <w:highlight w:val="none"/>
                <w14:textFill>
                  <w14:solidFill>
                    <w14:schemeClr w14:val="tx1"/>
                  </w14:solidFill>
                </w14:textFill>
              </w:rPr>
              <w:t>分；良得</w:t>
            </w:r>
            <w:r>
              <w:rPr>
                <w:rFonts w:hint="eastAsia"/>
                <w:color w:val="000000" w:themeColor="text1"/>
                <w:szCs w:val="21"/>
                <w:highlight w:val="none"/>
                <w:lang w:val="en-US" w:eastAsia="zh-CN"/>
                <w14:textFill>
                  <w14:solidFill>
                    <w14:schemeClr w14:val="tx1"/>
                  </w14:solidFill>
                </w14:textFill>
              </w:rPr>
              <w:t>1-2</w:t>
            </w:r>
            <w:r>
              <w:rPr>
                <w:color w:val="000000" w:themeColor="text1"/>
                <w:szCs w:val="21"/>
                <w:highlight w:val="none"/>
                <w14:textFill>
                  <w14:solidFill>
                    <w14:schemeClr w14:val="tx1"/>
                  </w14:solidFill>
                </w14:textFill>
              </w:rPr>
              <w:t>分</w:t>
            </w:r>
            <w:r>
              <w:rPr>
                <w:rFonts w:hint="eastAsia"/>
                <w:b w:val="0"/>
                <w:bCs w:val="0"/>
                <w:color w:val="000000"/>
                <w:highlight w:val="none"/>
                <w:lang w:val="en-US" w:eastAsia="zh-CN"/>
              </w:rPr>
              <w:t>。</w:t>
            </w:r>
          </w:p>
        </w:tc>
      </w:tr>
      <w:tr w14:paraId="011B7F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7" w:hRule="atLeast"/>
        </w:trPr>
        <w:tc>
          <w:tcPr>
            <w:tcW w:w="900" w:type="dxa"/>
            <w:vMerge w:val="continue"/>
            <w:tcBorders>
              <w:right w:val="single" w:color="auto" w:sz="4" w:space="0"/>
            </w:tcBorders>
          </w:tcPr>
          <w:p w14:paraId="1EEF97B4">
            <w:pPr>
              <w:spacing w:line="440" w:lineRule="exact"/>
              <w:jc w:val="center"/>
              <w:rPr>
                <w:rFonts w:hint="eastAsia"/>
                <w:color w:val="000000" w:themeColor="text1"/>
                <w:szCs w:val="21"/>
                <w:lang w:val="en-US" w:eastAsia="zh-CN"/>
                <w14:textFill>
                  <w14:solidFill>
                    <w14:schemeClr w14:val="tx1"/>
                  </w14:solidFill>
                </w14:textFill>
              </w:rPr>
            </w:pPr>
          </w:p>
        </w:tc>
        <w:tc>
          <w:tcPr>
            <w:tcW w:w="1124" w:type="dxa"/>
            <w:vMerge w:val="continue"/>
            <w:tcBorders>
              <w:right w:val="single" w:color="auto" w:sz="4" w:space="0"/>
            </w:tcBorders>
          </w:tcPr>
          <w:p w14:paraId="739B8507">
            <w:pPr>
              <w:spacing w:line="440" w:lineRule="exact"/>
              <w:jc w:val="both"/>
              <w:rPr>
                <w:rFonts w:hint="eastAsia"/>
                <w:color w:val="000000" w:themeColor="text1"/>
                <w:szCs w:val="21"/>
                <w:lang w:val="en-US" w:eastAsia="zh-CN"/>
                <w14:textFill>
                  <w14:solidFill>
                    <w14:schemeClr w14:val="tx1"/>
                  </w14:solidFill>
                </w14:textFill>
              </w:rPr>
            </w:pPr>
          </w:p>
        </w:tc>
        <w:tc>
          <w:tcPr>
            <w:tcW w:w="2255" w:type="dxa"/>
            <w:vMerge w:val="continue"/>
            <w:tcBorders>
              <w:left w:val="single" w:color="auto" w:sz="4" w:space="0"/>
              <w:right w:val="single" w:color="auto" w:sz="4" w:space="0"/>
            </w:tcBorders>
            <w:vAlign w:val="center"/>
          </w:tcPr>
          <w:p w14:paraId="24123999">
            <w:pPr>
              <w:tabs>
                <w:tab w:val="center" w:pos="4153"/>
                <w:tab w:val="right" w:pos="8306"/>
              </w:tabs>
              <w:snapToGrid w:val="0"/>
              <w:spacing w:before="48" w:beforeLines="20"/>
              <w:rPr>
                <w:rFonts w:hint="eastAsia"/>
                <w:b w:val="0"/>
                <w:bCs w:val="0"/>
                <w:color w:val="000000" w:themeColor="text1"/>
                <w:highlight w:val="yellow"/>
                <w:lang w:val="en-US" w:eastAsia="zh-CN"/>
                <w14:textFill>
                  <w14:solidFill>
                    <w14:schemeClr w14:val="tx1"/>
                  </w14:solidFill>
                </w14:textFill>
              </w:rPr>
            </w:pPr>
          </w:p>
        </w:tc>
        <w:tc>
          <w:tcPr>
            <w:tcW w:w="5799" w:type="dxa"/>
            <w:tcBorders>
              <w:top w:val="single" w:color="auto" w:sz="4" w:space="0"/>
              <w:left w:val="single" w:color="auto" w:sz="4" w:space="0"/>
              <w:bottom w:val="single" w:color="auto" w:sz="4" w:space="0"/>
              <w:right w:val="single" w:color="auto" w:sz="4" w:space="0"/>
            </w:tcBorders>
            <w:shd w:val="clear" w:color="auto" w:fill="auto"/>
            <w:vAlign w:val="top"/>
          </w:tcPr>
          <w:p w14:paraId="25FEE3AE">
            <w:pPr>
              <w:tabs>
                <w:tab w:val="center" w:pos="4153"/>
                <w:tab w:val="right" w:pos="8306"/>
              </w:tabs>
              <w:snapToGrid w:val="0"/>
              <w:spacing w:before="48" w:beforeLines="20" w:line="340" w:lineRule="exact"/>
              <w:rPr>
                <w:rFonts w:hint="eastAsia"/>
                <w:b w:val="0"/>
                <w:bCs w:val="0"/>
                <w:color w:val="000000" w:themeColor="text1"/>
                <w:highlight w:val="none"/>
                <w:lang w:val="en-US" w:eastAsia="zh-CN"/>
                <w14:textFill>
                  <w14:solidFill>
                    <w14:schemeClr w14:val="tx1"/>
                  </w14:solidFill>
                </w14:textFill>
              </w:rPr>
            </w:pPr>
            <w:r>
              <w:rPr>
                <w:rFonts w:hint="eastAsia"/>
                <w:b w:val="0"/>
                <w:bCs w:val="0"/>
                <w:color w:val="000000" w:themeColor="text1"/>
                <w:highlight w:val="none"/>
                <w:lang w:val="en-US" w:eastAsia="zh-CN"/>
                <w14:textFill>
                  <w14:solidFill>
                    <w14:schemeClr w14:val="tx1"/>
                  </w14:solidFill>
                </w14:textFill>
              </w:rPr>
              <w:t>加湿方案符合要求，具有湿度均恒性、节能性、稳定性设计。方案</w:t>
            </w:r>
            <w:r>
              <w:rPr>
                <w:color w:val="000000" w:themeColor="text1"/>
                <w:szCs w:val="21"/>
                <w:highlight w:val="none"/>
                <w14:textFill>
                  <w14:solidFill>
                    <w14:schemeClr w14:val="tx1"/>
                  </w14:solidFill>
                </w14:textFill>
              </w:rPr>
              <w:t>优得</w:t>
            </w:r>
            <w:r>
              <w:rPr>
                <w:rFonts w:hint="eastAsia"/>
                <w:color w:val="000000" w:themeColor="text1"/>
                <w:szCs w:val="21"/>
                <w:highlight w:val="none"/>
                <w:lang w:val="en-US" w:eastAsia="zh-CN"/>
                <w14:textFill>
                  <w14:solidFill>
                    <w14:schemeClr w14:val="tx1"/>
                  </w14:solidFill>
                </w14:textFill>
              </w:rPr>
              <w:t>3-5</w:t>
            </w:r>
            <w:r>
              <w:rPr>
                <w:color w:val="000000" w:themeColor="text1"/>
                <w:szCs w:val="21"/>
                <w:highlight w:val="none"/>
                <w14:textFill>
                  <w14:solidFill>
                    <w14:schemeClr w14:val="tx1"/>
                  </w14:solidFill>
                </w14:textFill>
              </w:rPr>
              <w:t>分；良得</w:t>
            </w:r>
            <w:r>
              <w:rPr>
                <w:rFonts w:hint="eastAsia"/>
                <w:color w:val="000000" w:themeColor="text1"/>
                <w:szCs w:val="21"/>
                <w:highlight w:val="none"/>
                <w:lang w:val="en-US" w:eastAsia="zh-CN"/>
                <w14:textFill>
                  <w14:solidFill>
                    <w14:schemeClr w14:val="tx1"/>
                  </w14:solidFill>
                </w14:textFill>
              </w:rPr>
              <w:t>1-2</w:t>
            </w:r>
            <w:r>
              <w:rPr>
                <w:color w:val="000000" w:themeColor="text1"/>
                <w:szCs w:val="21"/>
                <w:highlight w:val="none"/>
                <w14:textFill>
                  <w14:solidFill>
                    <w14:schemeClr w14:val="tx1"/>
                  </w14:solidFill>
                </w14:textFill>
              </w:rPr>
              <w:t>分</w:t>
            </w:r>
            <w:r>
              <w:rPr>
                <w:rFonts w:hint="eastAsia"/>
                <w:b w:val="0"/>
                <w:bCs w:val="0"/>
                <w:color w:val="000000" w:themeColor="text1"/>
                <w:highlight w:val="none"/>
                <w:lang w:val="en-US" w:eastAsia="zh-CN"/>
                <w14:textFill>
                  <w14:solidFill>
                    <w14:schemeClr w14:val="tx1"/>
                  </w14:solidFill>
                </w14:textFill>
              </w:rPr>
              <w:t>。</w:t>
            </w:r>
          </w:p>
        </w:tc>
      </w:tr>
      <w:tr w14:paraId="4A4419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00" w:type="dxa"/>
            <w:vMerge w:val="continue"/>
            <w:tcBorders>
              <w:right w:val="single" w:color="auto" w:sz="4" w:space="0"/>
            </w:tcBorders>
          </w:tcPr>
          <w:p w14:paraId="660E3238">
            <w:pPr>
              <w:spacing w:line="440" w:lineRule="exact"/>
              <w:jc w:val="center"/>
              <w:rPr>
                <w:rFonts w:hint="eastAsia"/>
                <w:color w:val="000000" w:themeColor="text1"/>
                <w:szCs w:val="21"/>
                <w:lang w:val="en-US" w:eastAsia="zh-CN"/>
                <w14:textFill>
                  <w14:solidFill>
                    <w14:schemeClr w14:val="tx1"/>
                  </w14:solidFill>
                </w14:textFill>
              </w:rPr>
            </w:pPr>
          </w:p>
        </w:tc>
        <w:tc>
          <w:tcPr>
            <w:tcW w:w="1124" w:type="dxa"/>
            <w:vMerge w:val="continue"/>
            <w:tcBorders>
              <w:right w:val="single" w:color="auto" w:sz="4" w:space="0"/>
            </w:tcBorders>
          </w:tcPr>
          <w:p w14:paraId="2F51020C">
            <w:pPr>
              <w:spacing w:line="440" w:lineRule="exact"/>
              <w:jc w:val="both"/>
              <w:rPr>
                <w:rFonts w:hint="eastAsia"/>
                <w:color w:val="000000" w:themeColor="text1"/>
                <w:szCs w:val="21"/>
                <w:lang w:val="en-US" w:eastAsia="zh-CN"/>
                <w14:textFill>
                  <w14:solidFill>
                    <w14:schemeClr w14:val="tx1"/>
                  </w14:solidFill>
                </w14:textFill>
              </w:rPr>
            </w:pPr>
          </w:p>
        </w:tc>
        <w:tc>
          <w:tcPr>
            <w:tcW w:w="2255" w:type="dxa"/>
            <w:vMerge w:val="continue"/>
            <w:tcBorders>
              <w:left w:val="single" w:color="auto" w:sz="4" w:space="0"/>
              <w:right w:val="single" w:color="auto" w:sz="4" w:space="0"/>
            </w:tcBorders>
            <w:vAlign w:val="center"/>
          </w:tcPr>
          <w:p w14:paraId="1C8D145F">
            <w:pPr>
              <w:tabs>
                <w:tab w:val="center" w:pos="4153"/>
                <w:tab w:val="right" w:pos="8306"/>
              </w:tabs>
              <w:snapToGrid w:val="0"/>
              <w:spacing w:before="48" w:beforeLines="20"/>
              <w:rPr>
                <w:rFonts w:hint="eastAsia"/>
                <w:b w:val="0"/>
                <w:bCs w:val="0"/>
                <w:color w:val="000000" w:themeColor="text1"/>
                <w:highlight w:val="yellow"/>
                <w:lang w:val="en-US" w:eastAsia="zh-CN"/>
                <w14:textFill>
                  <w14:solidFill>
                    <w14:schemeClr w14:val="tx1"/>
                  </w14:solidFill>
                </w14:textFill>
              </w:rPr>
            </w:pPr>
          </w:p>
        </w:tc>
        <w:tc>
          <w:tcPr>
            <w:tcW w:w="5799" w:type="dxa"/>
            <w:tcBorders>
              <w:top w:val="single" w:color="auto" w:sz="4" w:space="0"/>
              <w:left w:val="single" w:color="auto" w:sz="4" w:space="0"/>
              <w:bottom w:val="single" w:color="auto" w:sz="4" w:space="0"/>
              <w:right w:val="single" w:color="auto" w:sz="4" w:space="0"/>
            </w:tcBorders>
            <w:shd w:val="clear" w:color="auto" w:fill="auto"/>
            <w:vAlign w:val="top"/>
          </w:tcPr>
          <w:p w14:paraId="0A4E5FE5">
            <w:pPr>
              <w:tabs>
                <w:tab w:val="center" w:pos="4153"/>
                <w:tab w:val="right" w:pos="8306"/>
              </w:tabs>
              <w:snapToGrid w:val="0"/>
              <w:spacing w:before="48" w:beforeLines="20" w:line="340" w:lineRule="exact"/>
              <w:rPr>
                <w:rFonts w:hint="eastAsia"/>
                <w:b w:val="0"/>
                <w:bCs w:val="0"/>
                <w:color w:val="000000" w:themeColor="text1"/>
                <w:highlight w:val="none"/>
                <w:lang w:val="en-US" w:eastAsia="zh-CN"/>
                <w14:textFill>
                  <w14:solidFill>
                    <w14:schemeClr w14:val="tx1"/>
                  </w14:solidFill>
                </w14:textFill>
              </w:rPr>
            </w:pPr>
            <w:r>
              <w:rPr>
                <w:rFonts w:hint="eastAsia"/>
                <w:b w:val="0"/>
                <w:bCs w:val="0"/>
                <w:color w:val="000000"/>
                <w:highlight w:val="none"/>
                <w:lang w:val="en-US" w:eastAsia="zh-CN"/>
              </w:rPr>
              <w:t>气体调节及控制方式科学合理。</w:t>
            </w:r>
            <w:r>
              <w:rPr>
                <w:rFonts w:hint="eastAsia"/>
                <w:b w:val="0"/>
                <w:bCs w:val="0"/>
                <w:color w:val="000000" w:themeColor="text1"/>
                <w:highlight w:val="none"/>
                <w:lang w:val="en-US" w:eastAsia="zh-CN"/>
                <w14:textFill>
                  <w14:solidFill>
                    <w14:schemeClr w14:val="tx1"/>
                  </w14:solidFill>
                </w14:textFill>
              </w:rPr>
              <w:t>方案</w:t>
            </w:r>
            <w:r>
              <w:rPr>
                <w:color w:val="000000" w:themeColor="text1"/>
                <w:szCs w:val="21"/>
                <w:highlight w:val="none"/>
                <w14:textFill>
                  <w14:solidFill>
                    <w14:schemeClr w14:val="tx1"/>
                  </w14:solidFill>
                </w14:textFill>
              </w:rPr>
              <w:t>优得</w:t>
            </w:r>
            <w:r>
              <w:rPr>
                <w:rFonts w:hint="eastAsia"/>
                <w:color w:val="000000" w:themeColor="text1"/>
                <w:szCs w:val="21"/>
                <w:highlight w:val="none"/>
                <w:lang w:val="en-US" w:eastAsia="zh-CN"/>
                <w14:textFill>
                  <w14:solidFill>
                    <w14:schemeClr w14:val="tx1"/>
                  </w14:solidFill>
                </w14:textFill>
              </w:rPr>
              <w:t>3-5</w:t>
            </w:r>
            <w:r>
              <w:rPr>
                <w:color w:val="000000" w:themeColor="text1"/>
                <w:szCs w:val="21"/>
                <w:highlight w:val="none"/>
                <w14:textFill>
                  <w14:solidFill>
                    <w14:schemeClr w14:val="tx1"/>
                  </w14:solidFill>
                </w14:textFill>
              </w:rPr>
              <w:t>分；良得</w:t>
            </w:r>
            <w:r>
              <w:rPr>
                <w:rFonts w:hint="eastAsia"/>
                <w:color w:val="000000" w:themeColor="text1"/>
                <w:szCs w:val="21"/>
                <w:highlight w:val="none"/>
                <w:lang w:val="en-US" w:eastAsia="zh-CN"/>
                <w14:textFill>
                  <w14:solidFill>
                    <w14:schemeClr w14:val="tx1"/>
                  </w14:solidFill>
                </w14:textFill>
              </w:rPr>
              <w:t>1-2</w:t>
            </w:r>
            <w:r>
              <w:rPr>
                <w:color w:val="000000" w:themeColor="text1"/>
                <w:szCs w:val="21"/>
                <w:highlight w:val="none"/>
                <w14:textFill>
                  <w14:solidFill>
                    <w14:schemeClr w14:val="tx1"/>
                  </w14:solidFill>
                </w14:textFill>
              </w:rPr>
              <w:t>分</w:t>
            </w:r>
            <w:r>
              <w:rPr>
                <w:rFonts w:hint="eastAsia"/>
                <w:b w:val="0"/>
                <w:bCs w:val="0"/>
                <w:color w:val="000000" w:themeColor="text1"/>
                <w:highlight w:val="none"/>
                <w:lang w:val="en-US" w:eastAsia="zh-CN"/>
                <w14:textFill>
                  <w14:solidFill>
                    <w14:schemeClr w14:val="tx1"/>
                  </w14:solidFill>
                </w14:textFill>
              </w:rPr>
              <w:t>。</w:t>
            </w:r>
          </w:p>
        </w:tc>
      </w:tr>
      <w:tr w14:paraId="551425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7" w:hRule="atLeast"/>
        </w:trPr>
        <w:tc>
          <w:tcPr>
            <w:tcW w:w="900" w:type="dxa"/>
            <w:vMerge w:val="continue"/>
            <w:tcBorders>
              <w:right w:val="single" w:color="auto" w:sz="4" w:space="0"/>
            </w:tcBorders>
          </w:tcPr>
          <w:p w14:paraId="140FBD8E">
            <w:pPr>
              <w:spacing w:line="440" w:lineRule="exact"/>
              <w:jc w:val="center"/>
              <w:rPr>
                <w:rFonts w:hint="eastAsia"/>
                <w:color w:val="000000" w:themeColor="text1"/>
                <w:szCs w:val="21"/>
                <w:lang w:val="en-US" w:eastAsia="zh-CN"/>
                <w14:textFill>
                  <w14:solidFill>
                    <w14:schemeClr w14:val="tx1"/>
                  </w14:solidFill>
                </w14:textFill>
              </w:rPr>
            </w:pPr>
          </w:p>
        </w:tc>
        <w:tc>
          <w:tcPr>
            <w:tcW w:w="1124" w:type="dxa"/>
            <w:vMerge w:val="continue"/>
            <w:tcBorders>
              <w:right w:val="single" w:color="auto" w:sz="4" w:space="0"/>
            </w:tcBorders>
          </w:tcPr>
          <w:p w14:paraId="24D4EE2A">
            <w:pPr>
              <w:spacing w:line="440" w:lineRule="exact"/>
              <w:jc w:val="both"/>
              <w:rPr>
                <w:rFonts w:hint="eastAsia"/>
                <w:color w:val="000000" w:themeColor="text1"/>
                <w:szCs w:val="21"/>
                <w:lang w:val="en-US" w:eastAsia="zh-CN"/>
                <w14:textFill>
                  <w14:solidFill>
                    <w14:schemeClr w14:val="tx1"/>
                  </w14:solidFill>
                </w14:textFill>
              </w:rPr>
            </w:pPr>
          </w:p>
        </w:tc>
        <w:tc>
          <w:tcPr>
            <w:tcW w:w="2255" w:type="dxa"/>
            <w:vMerge w:val="continue"/>
            <w:tcBorders>
              <w:left w:val="single" w:color="auto" w:sz="4" w:space="0"/>
              <w:right w:val="single" w:color="auto" w:sz="4" w:space="0"/>
            </w:tcBorders>
            <w:vAlign w:val="center"/>
          </w:tcPr>
          <w:p w14:paraId="554CCC16">
            <w:pPr>
              <w:tabs>
                <w:tab w:val="center" w:pos="4153"/>
                <w:tab w:val="right" w:pos="8306"/>
              </w:tabs>
              <w:snapToGrid w:val="0"/>
              <w:spacing w:before="48" w:beforeLines="20"/>
              <w:rPr>
                <w:rFonts w:hint="eastAsia"/>
                <w:b w:val="0"/>
                <w:bCs w:val="0"/>
                <w:color w:val="000000" w:themeColor="text1"/>
                <w:highlight w:val="yellow"/>
                <w:lang w:val="en-US" w:eastAsia="zh-CN"/>
                <w14:textFill>
                  <w14:solidFill>
                    <w14:schemeClr w14:val="tx1"/>
                  </w14:solidFill>
                </w14:textFill>
              </w:rPr>
            </w:pPr>
          </w:p>
        </w:tc>
        <w:tc>
          <w:tcPr>
            <w:tcW w:w="5799" w:type="dxa"/>
            <w:tcBorders>
              <w:top w:val="single" w:color="auto" w:sz="4" w:space="0"/>
              <w:left w:val="single" w:color="auto" w:sz="4" w:space="0"/>
              <w:bottom w:val="single" w:color="auto" w:sz="4" w:space="0"/>
              <w:right w:val="single" w:color="auto" w:sz="4" w:space="0"/>
            </w:tcBorders>
            <w:shd w:val="clear" w:color="auto" w:fill="auto"/>
            <w:vAlign w:val="top"/>
          </w:tcPr>
          <w:p w14:paraId="4EB6E68F">
            <w:pPr>
              <w:tabs>
                <w:tab w:val="center" w:pos="4153"/>
                <w:tab w:val="right" w:pos="8306"/>
              </w:tabs>
              <w:snapToGrid w:val="0"/>
              <w:spacing w:before="48" w:beforeLines="20" w:line="340" w:lineRule="exact"/>
              <w:rPr>
                <w:rFonts w:hint="eastAsia"/>
                <w:b w:val="0"/>
                <w:bCs w:val="0"/>
                <w:color w:val="000000" w:themeColor="text1"/>
                <w:highlight w:val="none"/>
                <w:lang w:val="en-US" w:eastAsia="zh-CN"/>
                <w14:textFill>
                  <w14:solidFill>
                    <w14:schemeClr w14:val="tx1"/>
                  </w14:solidFill>
                </w14:textFill>
              </w:rPr>
            </w:pPr>
            <w:r>
              <w:rPr>
                <w:rFonts w:hint="eastAsia"/>
                <w:b w:val="0"/>
                <w:bCs w:val="0"/>
                <w:color w:val="000000"/>
                <w:highlight w:val="none"/>
                <w:lang w:val="en-US" w:eastAsia="zh-CN"/>
              </w:rPr>
              <w:t>针对其投标产品提供详细介绍，包括但不限于质量标准、性能表现、技术参数、性能保证、可靠性分析、品牌响应等内容，根据其投标产品情况进行综合评分。</w:t>
            </w:r>
            <w:r>
              <w:rPr>
                <w:color w:val="000000" w:themeColor="text1"/>
                <w:szCs w:val="21"/>
                <w:highlight w:val="none"/>
                <w14:textFill>
                  <w14:solidFill>
                    <w14:schemeClr w14:val="tx1"/>
                  </w14:solidFill>
                </w14:textFill>
              </w:rPr>
              <w:t>优得</w:t>
            </w:r>
            <w:r>
              <w:rPr>
                <w:rFonts w:hint="eastAsia"/>
                <w:color w:val="000000" w:themeColor="text1"/>
                <w:szCs w:val="21"/>
                <w:highlight w:val="none"/>
                <w:lang w:val="en-US" w:eastAsia="zh-CN"/>
                <w14:textFill>
                  <w14:solidFill>
                    <w14:schemeClr w14:val="tx1"/>
                  </w14:solidFill>
                </w14:textFill>
              </w:rPr>
              <w:t>3-5</w:t>
            </w:r>
            <w:r>
              <w:rPr>
                <w:color w:val="000000" w:themeColor="text1"/>
                <w:szCs w:val="21"/>
                <w:highlight w:val="none"/>
                <w14:textFill>
                  <w14:solidFill>
                    <w14:schemeClr w14:val="tx1"/>
                  </w14:solidFill>
                </w14:textFill>
              </w:rPr>
              <w:t>分；良得</w:t>
            </w:r>
            <w:r>
              <w:rPr>
                <w:rFonts w:hint="eastAsia"/>
                <w:color w:val="000000" w:themeColor="text1"/>
                <w:szCs w:val="21"/>
                <w:highlight w:val="none"/>
                <w:lang w:val="en-US" w:eastAsia="zh-CN"/>
                <w14:textFill>
                  <w14:solidFill>
                    <w14:schemeClr w14:val="tx1"/>
                  </w14:solidFill>
                </w14:textFill>
              </w:rPr>
              <w:t>1-2</w:t>
            </w:r>
            <w:r>
              <w:rPr>
                <w:color w:val="000000" w:themeColor="text1"/>
                <w:szCs w:val="21"/>
                <w:highlight w:val="none"/>
                <w14:textFill>
                  <w14:solidFill>
                    <w14:schemeClr w14:val="tx1"/>
                  </w14:solidFill>
                </w14:textFill>
              </w:rPr>
              <w:t>分</w:t>
            </w:r>
            <w:r>
              <w:rPr>
                <w:rFonts w:hint="eastAsia"/>
                <w:b w:val="0"/>
                <w:bCs w:val="0"/>
                <w:color w:val="000000"/>
                <w:highlight w:val="none"/>
                <w:lang w:val="en-US" w:eastAsia="zh-CN"/>
              </w:rPr>
              <w:t>。</w:t>
            </w:r>
          </w:p>
        </w:tc>
      </w:tr>
      <w:tr w14:paraId="2CCB2E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7" w:hRule="atLeast"/>
        </w:trPr>
        <w:tc>
          <w:tcPr>
            <w:tcW w:w="900" w:type="dxa"/>
            <w:vMerge w:val="continue"/>
            <w:tcBorders>
              <w:right w:val="single" w:color="auto" w:sz="4" w:space="0"/>
            </w:tcBorders>
          </w:tcPr>
          <w:p w14:paraId="6CC13E6D">
            <w:pPr>
              <w:spacing w:line="440" w:lineRule="exact"/>
              <w:jc w:val="center"/>
              <w:rPr>
                <w:rFonts w:hint="eastAsia"/>
                <w:color w:val="000000" w:themeColor="text1"/>
                <w:szCs w:val="21"/>
                <w:lang w:val="en-US" w:eastAsia="zh-CN"/>
                <w14:textFill>
                  <w14:solidFill>
                    <w14:schemeClr w14:val="tx1"/>
                  </w14:solidFill>
                </w14:textFill>
              </w:rPr>
            </w:pPr>
          </w:p>
        </w:tc>
        <w:tc>
          <w:tcPr>
            <w:tcW w:w="1124" w:type="dxa"/>
            <w:vMerge w:val="continue"/>
            <w:tcBorders>
              <w:right w:val="single" w:color="auto" w:sz="4" w:space="0"/>
            </w:tcBorders>
          </w:tcPr>
          <w:p w14:paraId="3838775F">
            <w:pPr>
              <w:spacing w:line="440" w:lineRule="exact"/>
              <w:jc w:val="both"/>
              <w:rPr>
                <w:rFonts w:hint="eastAsia"/>
                <w:color w:val="000000" w:themeColor="text1"/>
                <w:szCs w:val="21"/>
                <w:lang w:val="en-US" w:eastAsia="zh-CN"/>
                <w14:textFill>
                  <w14:solidFill>
                    <w14:schemeClr w14:val="tx1"/>
                  </w14:solidFill>
                </w14:textFill>
              </w:rPr>
            </w:pPr>
          </w:p>
        </w:tc>
        <w:tc>
          <w:tcPr>
            <w:tcW w:w="2255" w:type="dxa"/>
            <w:vMerge w:val="continue"/>
            <w:tcBorders>
              <w:left w:val="single" w:color="auto" w:sz="4" w:space="0"/>
              <w:right w:val="single" w:color="auto" w:sz="4" w:space="0"/>
            </w:tcBorders>
            <w:vAlign w:val="center"/>
          </w:tcPr>
          <w:p w14:paraId="52EBFAD7">
            <w:pPr>
              <w:tabs>
                <w:tab w:val="center" w:pos="4153"/>
                <w:tab w:val="right" w:pos="8306"/>
              </w:tabs>
              <w:snapToGrid w:val="0"/>
              <w:spacing w:before="48" w:beforeLines="20"/>
              <w:rPr>
                <w:rFonts w:hint="eastAsia"/>
                <w:b w:val="0"/>
                <w:bCs w:val="0"/>
                <w:color w:val="000000" w:themeColor="text1"/>
                <w:highlight w:val="yellow"/>
                <w:lang w:val="en-US" w:eastAsia="zh-CN"/>
                <w14:textFill>
                  <w14:solidFill>
                    <w14:schemeClr w14:val="tx1"/>
                  </w14:solidFill>
                </w14:textFill>
              </w:rPr>
            </w:pPr>
          </w:p>
        </w:tc>
        <w:tc>
          <w:tcPr>
            <w:tcW w:w="5799" w:type="dxa"/>
            <w:tcBorders>
              <w:top w:val="single" w:color="auto" w:sz="4" w:space="0"/>
              <w:left w:val="single" w:color="auto" w:sz="4" w:space="0"/>
              <w:bottom w:val="single" w:color="auto" w:sz="4" w:space="0"/>
              <w:right w:val="single" w:color="auto" w:sz="4" w:space="0"/>
            </w:tcBorders>
            <w:shd w:val="clear" w:color="auto" w:fill="auto"/>
            <w:vAlign w:val="top"/>
          </w:tcPr>
          <w:p w14:paraId="3C6E1A69">
            <w:pPr>
              <w:tabs>
                <w:tab w:val="center" w:pos="4153"/>
                <w:tab w:val="right" w:pos="8306"/>
              </w:tabs>
              <w:snapToGrid w:val="0"/>
              <w:spacing w:before="48" w:beforeLines="20" w:line="340" w:lineRule="exact"/>
              <w:rPr>
                <w:rFonts w:hint="eastAsia"/>
                <w:b w:val="0"/>
                <w:bCs w:val="0"/>
                <w:color w:val="000000" w:themeColor="text1"/>
                <w:highlight w:val="none"/>
                <w:lang w:val="en-US" w:eastAsia="zh-CN"/>
                <w14:textFill>
                  <w14:solidFill>
                    <w14:schemeClr w14:val="tx1"/>
                  </w14:solidFill>
                </w14:textFill>
              </w:rPr>
            </w:pPr>
            <w:r>
              <w:rPr>
                <w:rFonts w:hint="eastAsia"/>
                <w:b w:val="0"/>
                <w:bCs w:val="0"/>
                <w:color w:val="000000"/>
                <w:highlight w:val="none"/>
                <w:lang w:val="en-US" w:eastAsia="zh-CN"/>
              </w:rPr>
              <w:t>软件平台（数智化）的功能性齐全，智能控制程度科学。</w:t>
            </w:r>
            <w:r>
              <w:rPr>
                <w:color w:val="000000" w:themeColor="text1"/>
                <w:szCs w:val="21"/>
                <w:highlight w:val="none"/>
                <w14:textFill>
                  <w14:solidFill>
                    <w14:schemeClr w14:val="tx1"/>
                  </w14:solidFill>
                </w14:textFill>
              </w:rPr>
              <w:t>优得</w:t>
            </w:r>
            <w:r>
              <w:rPr>
                <w:rFonts w:hint="eastAsia"/>
                <w:color w:val="000000" w:themeColor="text1"/>
                <w:szCs w:val="21"/>
                <w:highlight w:val="none"/>
                <w:lang w:val="en-US" w:eastAsia="zh-CN"/>
                <w14:textFill>
                  <w14:solidFill>
                    <w14:schemeClr w14:val="tx1"/>
                  </w14:solidFill>
                </w14:textFill>
              </w:rPr>
              <w:t>3-5</w:t>
            </w:r>
            <w:r>
              <w:rPr>
                <w:color w:val="000000" w:themeColor="text1"/>
                <w:szCs w:val="21"/>
                <w:highlight w:val="none"/>
                <w14:textFill>
                  <w14:solidFill>
                    <w14:schemeClr w14:val="tx1"/>
                  </w14:solidFill>
                </w14:textFill>
              </w:rPr>
              <w:t>分；良得</w:t>
            </w:r>
            <w:r>
              <w:rPr>
                <w:rFonts w:hint="eastAsia"/>
                <w:color w:val="000000" w:themeColor="text1"/>
                <w:szCs w:val="21"/>
                <w:highlight w:val="none"/>
                <w:lang w:val="en-US" w:eastAsia="zh-CN"/>
                <w14:textFill>
                  <w14:solidFill>
                    <w14:schemeClr w14:val="tx1"/>
                  </w14:solidFill>
                </w14:textFill>
              </w:rPr>
              <w:t>1-2</w:t>
            </w:r>
            <w:r>
              <w:rPr>
                <w:color w:val="000000" w:themeColor="text1"/>
                <w:szCs w:val="21"/>
                <w:highlight w:val="none"/>
                <w14:textFill>
                  <w14:solidFill>
                    <w14:schemeClr w14:val="tx1"/>
                  </w14:solidFill>
                </w14:textFill>
              </w:rPr>
              <w:t>分</w:t>
            </w:r>
            <w:r>
              <w:rPr>
                <w:rFonts w:hint="eastAsia"/>
                <w:b w:val="0"/>
                <w:bCs w:val="0"/>
                <w:color w:val="000000" w:themeColor="text1"/>
                <w:highlight w:val="none"/>
                <w:lang w:val="en-US" w:eastAsia="zh-CN"/>
                <w14:textFill>
                  <w14:solidFill>
                    <w14:schemeClr w14:val="tx1"/>
                  </w14:solidFill>
                </w14:textFill>
              </w:rPr>
              <w:t>。</w:t>
            </w:r>
          </w:p>
        </w:tc>
      </w:tr>
      <w:tr w14:paraId="68AE3A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7" w:hRule="atLeast"/>
        </w:trPr>
        <w:tc>
          <w:tcPr>
            <w:tcW w:w="900" w:type="dxa"/>
            <w:vMerge w:val="continue"/>
            <w:tcBorders>
              <w:right w:val="single" w:color="auto" w:sz="4" w:space="0"/>
            </w:tcBorders>
          </w:tcPr>
          <w:p w14:paraId="28766CE3">
            <w:pPr>
              <w:spacing w:line="440" w:lineRule="exact"/>
              <w:jc w:val="center"/>
              <w:rPr>
                <w:rFonts w:hint="eastAsia"/>
                <w:color w:val="000000" w:themeColor="text1"/>
                <w:szCs w:val="21"/>
                <w:lang w:val="en-US" w:eastAsia="zh-CN"/>
                <w14:textFill>
                  <w14:solidFill>
                    <w14:schemeClr w14:val="tx1"/>
                  </w14:solidFill>
                </w14:textFill>
              </w:rPr>
            </w:pPr>
          </w:p>
        </w:tc>
        <w:tc>
          <w:tcPr>
            <w:tcW w:w="1124" w:type="dxa"/>
            <w:vMerge w:val="continue"/>
            <w:tcBorders>
              <w:right w:val="single" w:color="auto" w:sz="4" w:space="0"/>
            </w:tcBorders>
          </w:tcPr>
          <w:p w14:paraId="1E9A5CB1">
            <w:pPr>
              <w:spacing w:line="440" w:lineRule="exact"/>
              <w:jc w:val="both"/>
              <w:rPr>
                <w:rFonts w:hint="eastAsia"/>
                <w:color w:val="000000" w:themeColor="text1"/>
                <w:szCs w:val="21"/>
                <w:lang w:val="en-US" w:eastAsia="zh-CN"/>
                <w14:textFill>
                  <w14:solidFill>
                    <w14:schemeClr w14:val="tx1"/>
                  </w14:solidFill>
                </w14:textFill>
              </w:rPr>
            </w:pPr>
          </w:p>
        </w:tc>
        <w:tc>
          <w:tcPr>
            <w:tcW w:w="2255" w:type="dxa"/>
            <w:vMerge w:val="continue"/>
            <w:tcBorders>
              <w:left w:val="single" w:color="auto" w:sz="4" w:space="0"/>
              <w:right w:val="single" w:color="auto" w:sz="4" w:space="0"/>
            </w:tcBorders>
            <w:vAlign w:val="center"/>
          </w:tcPr>
          <w:p w14:paraId="50BC6FD0">
            <w:pPr>
              <w:tabs>
                <w:tab w:val="center" w:pos="4153"/>
                <w:tab w:val="right" w:pos="8306"/>
              </w:tabs>
              <w:snapToGrid w:val="0"/>
              <w:spacing w:before="48" w:beforeLines="20"/>
              <w:rPr>
                <w:rFonts w:hint="eastAsia"/>
                <w:b w:val="0"/>
                <w:bCs w:val="0"/>
                <w:color w:val="000000" w:themeColor="text1"/>
                <w:highlight w:val="yellow"/>
                <w:lang w:val="en-US" w:eastAsia="zh-CN"/>
                <w14:textFill>
                  <w14:solidFill>
                    <w14:schemeClr w14:val="tx1"/>
                  </w14:solidFill>
                </w14:textFill>
              </w:rPr>
            </w:pPr>
          </w:p>
        </w:tc>
        <w:tc>
          <w:tcPr>
            <w:tcW w:w="5799" w:type="dxa"/>
            <w:tcBorders>
              <w:top w:val="single" w:color="auto" w:sz="4" w:space="0"/>
              <w:left w:val="single" w:color="auto" w:sz="4" w:space="0"/>
              <w:bottom w:val="single" w:color="auto" w:sz="4" w:space="0"/>
              <w:right w:val="single" w:color="auto" w:sz="4" w:space="0"/>
            </w:tcBorders>
            <w:shd w:val="clear" w:color="auto" w:fill="auto"/>
            <w:vAlign w:val="top"/>
          </w:tcPr>
          <w:p w14:paraId="29201DC4">
            <w:pPr>
              <w:tabs>
                <w:tab w:val="center" w:pos="4153"/>
                <w:tab w:val="right" w:pos="8306"/>
              </w:tabs>
              <w:snapToGrid w:val="0"/>
              <w:spacing w:before="48" w:beforeLines="20" w:line="340" w:lineRule="exact"/>
              <w:rPr>
                <w:rFonts w:hint="eastAsia"/>
                <w:b w:val="0"/>
                <w:bCs w:val="0"/>
                <w:color w:val="000000" w:themeColor="text1"/>
                <w:highlight w:val="none"/>
                <w:lang w:val="en-US" w:eastAsia="zh-CN"/>
                <w14:textFill>
                  <w14:solidFill>
                    <w14:schemeClr w14:val="tx1"/>
                  </w14:solidFill>
                </w14:textFill>
              </w:rPr>
            </w:pPr>
            <w:r>
              <w:rPr>
                <w:rFonts w:hint="eastAsia"/>
                <w:b w:val="0"/>
                <w:bCs w:val="0"/>
                <w:color w:val="000000"/>
                <w:highlight w:val="none"/>
                <w:lang w:val="en-US" w:eastAsia="zh-CN"/>
              </w:rPr>
              <w:t>生产工艺及设备选配是否满足项目所在地主产区果品的加工工艺。</w:t>
            </w:r>
            <w:r>
              <w:rPr>
                <w:color w:val="000000" w:themeColor="text1"/>
                <w:szCs w:val="21"/>
                <w:highlight w:val="none"/>
                <w14:textFill>
                  <w14:solidFill>
                    <w14:schemeClr w14:val="tx1"/>
                  </w14:solidFill>
                </w14:textFill>
              </w:rPr>
              <w:t>优得</w:t>
            </w:r>
            <w:r>
              <w:rPr>
                <w:rFonts w:hint="eastAsia"/>
                <w:color w:val="000000" w:themeColor="text1"/>
                <w:szCs w:val="21"/>
                <w:highlight w:val="none"/>
                <w:lang w:val="en-US" w:eastAsia="zh-CN"/>
                <w14:textFill>
                  <w14:solidFill>
                    <w14:schemeClr w14:val="tx1"/>
                  </w14:solidFill>
                </w14:textFill>
              </w:rPr>
              <w:t>3-5</w:t>
            </w:r>
            <w:r>
              <w:rPr>
                <w:color w:val="000000" w:themeColor="text1"/>
                <w:szCs w:val="21"/>
                <w:highlight w:val="none"/>
                <w14:textFill>
                  <w14:solidFill>
                    <w14:schemeClr w14:val="tx1"/>
                  </w14:solidFill>
                </w14:textFill>
              </w:rPr>
              <w:t>分；良得</w:t>
            </w:r>
            <w:r>
              <w:rPr>
                <w:rFonts w:hint="eastAsia"/>
                <w:color w:val="000000" w:themeColor="text1"/>
                <w:szCs w:val="21"/>
                <w:highlight w:val="none"/>
                <w:lang w:val="en-US" w:eastAsia="zh-CN"/>
                <w14:textFill>
                  <w14:solidFill>
                    <w14:schemeClr w14:val="tx1"/>
                  </w14:solidFill>
                </w14:textFill>
              </w:rPr>
              <w:t>1-2</w:t>
            </w:r>
            <w:r>
              <w:rPr>
                <w:color w:val="000000" w:themeColor="text1"/>
                <w:szCs w:val="21"/>
                <w:highlight w:val="none"/>
                <w14:textFill>
                  <w14:solidFill>
                    <w14:schemeClr w14:val="tx1"/>
                  </w14:solidFill>
                </w14:textFill>
              </w:rPr>
              <w:t>分</w:t>
            </w:r>
            <w:r>
              <w:rPr>
                <w:rFonts w:hint="eastAsia"/>
                <w:b w:val="0"/>
                <w:bCs w:val="0"/>
                <w:color w:val="000000"/>
                <w:highlight w:val="none"/>
                <w:lang w:val="en-US" w:eastAsia="zh-CN"/>
              </w:rPr>
              <w:t>。</w:t>
            </w:r>
          </w:p>
        </w:tc>
      </w:tr>
      <w:tr w14:paraId="6FAC5D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59" w:hRule="atLeast"/>
        </w:trPr>
        <w:tc>
          <w:tcPr>
            <w:tcW w:w="900" w:type="dxa"/>
            <w:vMerge w:val="restart"/>
            <w:tcBorders>
              <w:top w:val="single" w:color="auto" w:sz="4" w:space="0"/>
              <w:right w:val="single" w:color="auto" w:sz="4" w:space="0"/>
            </w:tcBorders>
            <w:vAlign w:val="center"/>
          </w:tcPr>
          <w:p w14:paraId="3E5ABF79">
            <w:pPr>
              <w:spacing w:line="440" w:lineRule="exact"/>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2.2.3（</w:t>
            </w:r>
            <w:r>
              <w:rPr>
                <w:rFonts w:hint="eastAsia"/>
                <w:color w:val="000000" w:themeColor="text1"/>
                <w:szCs w:val="21"/>
                <w:lang w:val="en-US" w:eastAsia="zh-CN"/>
                <w14:textFill>
                  <w14:solidFill>
                    <w14:schemeClr w14:val="tx1"/>
                  </w14:solidFill>
                </w14:textFill>
              </w:rPr>
              <w:t>3</w:t>
            </w:r>
            <w:r>
              <w:rPr>
                <w:color w:val="000000" w:themeColor="text1"/>
                <w:szCs w:val="21"/>
                <w14:textFill>
                  <w14:solidFill>
                    <w14:schemeClr w14:val="tx1"/>
                  </w14:solidFill>
                </w14:textFill>
              </w:rPr>
              <w:t>）</w:t>
            </w:r>
          </w:p>
        </w:tc>
        <w:tc>
          <w:tcPr>
            <w:tcW w:w="1124" w:type="dxa"/>
            <w:vMerge w:val="restart"/>
            <w:tcBorders>
              <w:top w:val="single" w:color="auto" w:sz="4" w:space="0"/>
              <w:right w:val="single" w:color="auto" w:sz="4" w:space="0"/>
            </w:tcBorders>
            <w:vAlign w:val="center"/>
          </w:tcPr>
          <w:p w14:paraId="1FD73E18">
            <w:pPr>
              <w:spacing w:line="440" w:lineRule="exact"/>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承包人</w:t>
            </w:r>
            <w:r>
              <w:rPr>
                <w:rFonts w:hint="eastAsia"/>
                <w:color w:val="000000" w:themeColor="text1"/>
                <w:szCs w:val="21"/>
                <w:lang w:val="en-US" w:eastAsia="zh-CN"/>
                <w14:textFill>
                  <w14:solidFill>
                    <w14:schemeClr w14:val="tx1"/>
                  </w14:solidFill>
                </w14:textFill>
              </w:rPr>
              <w:t>建筑安装工程</w:t>
            </w:r>
            <w:r>
              <w:rPr>
                <w:color w:val="000000" w:themeColor="text1"/>
                <w:szCs w:val="21"/>
                <w14:textFill>
                  <w14:solidFill>
                    <w14:schemeClr w14:val="tx1"/>
                  </w14:solidFill>
                </w14:textFill>
              </w:rPr>
              <w:t>实施方案评分标准（</w:t>
            </w:r>
            <w:r>
              <w:rPr>
                <w:rFonts w:hint="eastAsia"/>
                <w:color w:val="000000" w:themeColor="text1"/>
                <w:szCs w:val="21"/>
                <w:lang w:val="en-US" w:eastAsia="zh-CN"/>
                <w14:textFill>
                  <w14:solidFill>
                    <w14:schemeClr w14:val="tx1"/>
                  </w14:solidFill>
                </w14:textFill>
              </w:rPr>
              <w:t>25</w:t>
            </w:r>
            <w:r>
              <w:rPr>
                <w:color w:val="000000" w:themeColor="text1"/>
                <w:szCs w:val="21"/>
                <w14:textFill>
                  <w14:solidFill>
                    <w14:schemeClr w14:val="tx1"/>
                  </w14:solidFill>
                </w14:textFill>
              </w:rPr>
              <w:t>分）</w:t>
            </w:r>
          </w:p>
        </w:tc>
        <w:tc>
          <w:tcPr>
            <w:tcW w:w="2255" w:type="dxa"/>
            <w:tcBorders>
              <w:top w:val="single" w:color="auto" w:sz="4" w:space="0"/>
              <w:left w:val="single" w:color="auto" w:sz="4" w:space="0"/>
              <w:bottom w:val="single" w:color="auto" w:sz="4" w:space="0"/>
              <w:right w:val="single" w:color="auto" w:sz="4" w:space="0"/>
            </w:tcBorders>
            <w:vAlign w:val="center"/>
          </w:tcPr>
          <w:p w14:paraId="2AFF1E4C">
            <w:pPr>
              <w:spacing w:line="440" w:lineRule="exact"/>
              <w:jc w:val="center"/>
              <w:rPr>
                <w:rFonts w:hint="eastAsia"/>
                <w:color w:val="000000"/>
                <w:szCs w:val="21"/>
                <w:highlight w:val="none"/>
                <w:lang w:val="en-US" w:eastAsia="zh-CN"/>
              </w:rPr>
            </w:pPr>
            <w:r>
              <w:rPr>
                <w:rFonts w:hint="eastAsia"/>
                <w:color w:val="000000"/>
                <w:szCs w:val="21"/>
                <w:highlight w:val="none"/>
                <w:lang w:val="en-US" w:eastAsia="zh-CN"/>
              </w:rPr>
              <w:t>碳管理系统方案</w:t>
            </w:r>
          </w:p>
          <w:p w14:paraId="47AF7B10">
            <w:pPr>
              <w:spacing w:line="440" w:lineRule="exact"/>
              <w:jc w:val="center"/>
              <w:rPr>
                <w:color w:val="000000" w:themeColor="text1"/>
                <w:szCs w:val="21"/>
                <w14:textFill>
                  <w14:solidFill>
                    <w14:schemeClr w14:val="tx1"/>
                  </w14:solidFill>
                </w14:textFill>
              </w:rPr>
            </w:pPr>
            <w:r>
              <w:rPr>
                <w:rFonts w:hint="eastAsia"/>
                <w:color w:val="000000"/>
                <w:szCs w:val="21"/>
                <w:highlight w:val="none"/>
                <w:lang w:val="en-US" w:eastAsia="zh-CN"/>
              </w:rPr>
              <w:t>（10分）</w:t>
            </w:r>
          </w:p>
        </w:tc>
        <w:tc>
          <w:tcPr>
            <w:tcW w:w="5799" w:type="dxa"/>
            <w:tcBorders>
              <w:top w:val="single" w:color="auto" w:sz="4" w:space="0"/>
              <w:left w:val="single" w:color="auto" w:sz="4" w:space="0"/>
              <w:bottom w:val="single" w:color="auto" w:sz="4" w:space="0"/>
              <w:right w:val="single" w:color="auto" w:sz="4" w:space="0"/>
            </w:tcBorders>
            <w:vAlign w:val="center"/>
          </w:tcPr>
          <w:p w14:paraId="28E4AF6B">
            <w:pPr>
              <w:spacing w:line="340" w:lineRule="exact"/>
              <w:ind w:left="-2" w:leftChars="-1"/>
              <w:jc w:val="left"/>
              <w:rPr>
                <w:color w:val="000000" w:themeColor="text1"/>
                <w:szCs w:val="21"/>
                <w14:textFill>
                  <w14:solidFill>
                    <w14:schemeClr w14:val="tx1"/>
                  </w14:solidFill>
                </w14:textFill>
              </w:rPr>
            </w:pPr>
            <w:r>
              <w:rPr>
                <w:rFonts w:hint="default" w:eastAsia="宋体"/>
                <w:b w:val="0"/>
                <w:bCs w:val="0"/>
                <w:color w:val="000000"/>
                <w:highlight w:val="none"/>
                <w:lang w:val="en-US" w:eastAsia="zh-CN"/>
              </w:rPr>
              <w:t>从智慧能源管理系统设计方案，包括但不限于碳管理，EM</w:t>
            </w:r>
            <w:r>
              <w:rPr>
                <w:rFonts w:hint="eastAsia"/>
                <w:b w:val="0"/>
                <w:bCs w:val="0"/>
                <w:color w:val="000000"/>
                <w:highlight w:val="none"/>
                <w:lang w:val="en-US" w:eastAsia="zh-CN"/>
              </w:rPr>
              <w:t>S</w:t>
            </w:r>
            <w:r>
              <w:rPr>
                <w:rFonts w:hint="default" w:eastAsia="宋体"/>
                <w:b w:val="0"/>
                <w:bCs w:val="0"/>
                <w:color w:val="000000"/>
                <w:highlight w:val="none"/>
                <w:lang w:val="en-US" w:eastAsia="zh-CN"/>
              </w:rPr>
              <w:t>管理系统，园区能源系统全流程数字化管控方案，软硬件平台建设等进行说明。重点突出、方案考虑全面，科学且切实可行的得</w:t>
            </w:r>
            <w:r>
              <w:rPr>
                <w:rFonts w:hint="eastAsia"/>
                <w:b w:val="0"/>
                <w:bCs w:val="0"/>
                <w:color w:val="000000"/>
                <w:highlight w:val="none"/>
                <w:lang w:val="en-US" w:eastAsia="zh-CN"/>
              </w:rPr>
              <w:t>6</w:t>
            </w:r>
            <w:r>
              <w:rPr>
                <w:rFonts w:hint="default" w:eastAsia="宋体"/>
                <w:b w:val="0"/>
                <w:bCs w:val="0"/>
                <w:color w:val="000000"/>
                <w:highlight w:val="none"/>
                <w:lang w:val="en-US" w:eastAsia="zh-CN"/>
              </w:rPr>
              <w:t>-</w:t>
            </w:r>
            <w:r>
              <w:rPr>
                <w:rFonts w:hint="eastAsia"/>
                <w:b w:val="0"/>
                <w:bCs w:val="0"/>
                <w:color w:val="000000"/>
                <w:highlight w:val="none"/>
                <w:lang w:val="en-US" w:eastAsia="zh-CN"/>
              </w:rPr>
              <w:t>10</w:t>
            </w:r>
            <w:r>
              <w:rPr>
                <w:rFonts w:hint="default" w:eastAsia="宋体"/>
                <w:b w:val="0"/>
                <w:bCs w:val="0"/>
                <w:color w:val="000000"/>
                <w:highlight w:val="none"/>
                <w:lang w:val="en-US" w:eastAsia="zh-CN"/>
              </w:rPr>
              <w:t>分；重点基本把握，方案考虑存在一定的瑕疵的得</w:t>
            </w:r>
            <w:r>
              <w:rPr>
                <w:rFonts w:hint="eastAsia"/>
                <w:b w:val="0"/>
                <w:bCs w:val="0"/>
                <w:color w:val="000000"/>
                <w:highlight w:val="none"/>
                <w:lang w:val="en-US" w:eastAsia="zh-CN"/>
              </w:rPr>
              <w:t>3</w:t>
            </w:r>
            <w:r>
              <w:rPr>
                <w:rFonts w:hint="default" w:eastAsia="宋体"/>
                <w:b w:val="0"/>
                <w:bCs w:val="0"/>
                <w:color w:val="000000"/>
                <w:highlight w:val="none"/>
                <w:lang w:val="en-US" w:eastAsia="zh-CN"/>
              </w:rPr>
              <w:t>-</w:t>
            </w:r>
            <w:r>
              <w:rPr>
                <w:rFonts w:hint="eastAsia"/>
                <w:b w:val="0"/>
                <w:bCs w:val="0"/>
                <w:color w:val="000000"/>
                <w:highlight w:val="none"/>
                <w:lang w:val="en-US" w:eastAsia="zh-CN"/>
              </w:rPr>
              <w:t>5</w:t>
            </w:r>
            <w:r>
              <w:rPr>
                <w:rFonts w:hint="default" w:eastAsia="宋体"/>
                <w:b w:val="0"/>
                <w:bCs w:val="0"/>
                <w:color w:val="000000"/>
                <w:highlight w:val="none"/>
                <w:lang w:val="en-US" w:eastAsia="zh-CN"/>
              </w:rPr>
              <w:t>分；方案不具体，较差的得1-</w:t>
            </w:r>
            <w:r>
              <w:rPr>
                <w:rFonts w:hint="eastAsia"/>
                <w:b w:val="0"/>
                <w:bCs w:val="0"/>
                <w:color w:val="000000"/>
                <w:highlight w:val="none"/>
                <w:lang w:val="en-US" w:eastAsia="zh-CN"/>
              </w:rPr>
              <w:t>2</w:t>
            </w:r>
            <w:r>
              <w:rPr>
                <w:rFonts w:hint="default" w:eastAsia="宋体"/>
                <w:b w:val="0"/>
                <w:bCs w:val="0"/>
                <w:color w:val="000000"/>
                <w:highlight w:val="none"/>
                <w:lang w:val="en-US" w:eastAsia="zh-CN"/>
              </w:rPr>
              <w:t>分</w:t>
            </w:r>
            <w:r>
              <w:rPr>
                <w:rFonts w:hint="eastAsia"/>
                <w:b w:val="0"/>
                <w:bCs w:val="0"/>
                <w:color w:val="000000"/>
                <w:highlight w:val="none"/>
                <w:lang w:val="en-US" w:eastAsia="zh-CN"/>
              </w:rPr>
              <w:t>。</w:t>
            </w:r>
          </w:p>
        </w:tc>
      </w:tr>
      <w:tr w14:paraId="318B9C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3" w:hRule="atLeast"/>
        </w:trPr>
        <w:tc>
          <w:tcPr>
            <w:tcW w:w="900" w:type="dxa"/>
            <w:vMerge w:val="continue"/>
            <w:tcBorders>
              <w:right w:val="single" w:color="auto" w:sz="4" w:space="0"/>
            </w:tcBorders>
            <w:vAlign w:val="center"/>
          </w:tcPr>
          <w:p w14:paraId="786A5E6C">
            <w:pPr>
              <w:spacing w:line="440" w:lineRule="exact"/>
              <w:jc w:val="center"/>
              <w:rPr>
                <w:color w:val="000000" w:themeColor="text1"/>
                <w:szCs w:val="21"/>
                <w14:textFill>
                  <w14:solidFill>
                    <w14:schemeClr w14:val="tx1"/>
                  </w14:solidFill>
                </w14:textFill>
              </w:rPr>
            </w:pPr>
          </w:p>
        </w:tc>
        <w:tc>
          <w:tcPr>
            <w:tcW w:w="1124" w:type="dxa"/>
            <w:vMerge w:val="continue"/>
            <w:tcBorders>
              <w:right w:val="single" w:color="auto" w:sz="4" w:space="0"/>
            </w:tcBorders>
            <w:vAlign w:val="center"/>
          </w:tcPr>
          <w:p w14:paraId="7CED1D7B">
            <w:pPr>
              <w:spacing w:line="440" w:lineRule="exact"/>
              <w:jc w:val="center"/>
              <w:rPr>
                <w:color w:val="000000" w:themeColor="text1"/>
                <w:szCs w:val="21"/>
                <w14:textFill>
                  <w14:solidFill>
                    <w14:schemeClr w14:val="tx1"/>
                  </w14:solidFill>
                </w14:textFill>
              </w:rPr>
            </w:pPr>
          </w:p>
        </w:tc>
        <w:tc>
          <w:tcPr>
            <w:tcW w:w="2255" w:type="dxa"/>
            <w:tcBorders>
              <w:top w:val="single" w:color="auto" w:sz="4" w:space="0"/>
              <w:left w:val="single" w:color="auto" w:sz="4" w:space="0"/>
              <w:bottom w:val="single" w:color="auto" w:sz="4" w:space="0"/>
              <w:right w:val="single" w:color="auto" w:sz="4" w:space="0"/>
            </w:tcBorders>
            <w:shd w:val="clear" w:color="auto" w:fill="auto"/>
            <w:vAlign w:val="center"/>
          </w:tcPr>
          <w:p w14:paraId="0C44D044">
            <w:pPr>
              <w:spacing w:line="440" w:lineRule="exact"/>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总体实施方案（</w:t>
            </w:r>
            <w:r>
              <w:rPr>
                <w:rFonts w:hint="eastAsia"/>
                <w:color w:val="000000" w:themeColor="text1"/>
                <w:szCs w:val="21"/>
                <w:lang w:val="en-US" w:eastAsia="zh-CN"/>
                <w14:textFill>
                  <w14:solidFill>
                    <w14:schemeClr w14:val="tx1"/>
                  </w14:solidFill>
                </w14:textFill>
              </w:rPr>
              <w:t>5</w:t>
            </w:r>
            <w:r>
              <w:rPr>
                <w:color w:val="000000" w:themeColor="text1"/>
                <w:szCs w:val="21"/>
                <w14:textFill>
                  <w14:solidFill>
                    <w14:schemeClr w14:val="tx1"/>
                  </w14:solidFill>
                </w14:textFill>
              </w:rPr>
              <w:t>分）</w:t>
            </w:r>
          </w:p>
          <w:p w14:paraId="25A208F8">
            <w:pPr>
              <w:tabs>
                <w:tab w:val="center" w:pos="4153"/>
                <w:tab w:val="right" w:pos="8306"/>
              </w:tabs>
              <w:snapToGrid w:val="0"/>
              <w:spacing w:before="48" w:beforeLines="20"/>
              <w:rPr>
                <w:rFonts w:hint="eastAsia" w:ascii="Times New Roman" w:hAnsi="Times New Roman" w:eastAsia="宋体" w:cs="Times New Roman"/>
                <w:b w:val="0"/>
                <w:bCs w:val="0"/>
                <w:color w:val="000000"/>
                <w:kern w:val="2"/>
                <w:sz w:val="21"/>
                <w:szCs w:val="24"/>
                <w:highlight w:val="none"/>
                <w:lang w:val="en-US" w:eastAsia="zh-CN" w:bidi="ar-SA"/>
              </w:rPr>
            </w:pPr>
          </w:p>
        </w:tc>
        <w:tc>
          <w:tcPr>
            <w:tcW w:w="5799" w:type="dxa"/>
            <w:tcBorders>
              <w:top w:val="single" w:color="auto" w:sz="4" w:space="0"/>
              <w:left w:val="single" w:color="auto" w:sz="4" w:space="0"/>
              <w:bottom w:val="single" w:color="auto" w:sz="4" w:space="0"/>
              <w:right w:val="single" w:color="auto" w:sz="4" w:space="0"/>
            </w:tcBorders>
            <w:shd w:val="clear" w:color="auto" w:fill="auto"/>
            <w:vAlign w:val="top"/>
          </w:tcPr>
          <w:p w14:paraId="247799C9">
            <w:pPr>
              <w:tabs>
                <w:tab w:val="center" w:pos="4153"/>
                <w:tab w:val="right" w:pos="8306"/>
              </w:tabs>
              <w:snapToGrid w:val="0"/>
              <w:spacing w:before="48" w:beforeLines="20" w:line="340" w:lineRule="exact"/>
              <w:rPr>
                <w:rFonts w:hint="eastAsia" w:ascii="Times New Roman" w:hAnsi="Times New Roman" w:eastAsia="宋体" w:cs="Times New Roman"/>
                <w:b w:val="0"/>
                <w:bCs w:val="0"/>
                <w:color w:val="000000"/>
                <w:kern w:val="2"/>
                <w:sz w:val="21"/>
                <w:szCs w:val="24"/>
                <w:highlight w:val="none"/>
                <w:lang w:val="en-US" w:eastAsia="zh-CN" w:bidi="ar-SA"/>
              </w:rPr>
            </w:pPr>
            <w:r>
              <w:rPr>
                <w:rFonts w:hint="eastAsia"/>
                <w:color w:val="000000" w:themeColor="text1"/>
                <w:szCs w:val="21"/>
                <w:lang w:val="en-US" w:eastAsia="zh-CN"/>
                <w14:textFill>
                  <w14:solidFill>
                    <w14:schemeClr w14:val="tx1"/>
                  </w14:solidFill>
                </w14:textFill>
              </w:rPr>
              <w:t>（1）实施方案紧扣项目特点，对EPC工程总承包模式理解深刻，设计、采购、施工一体化融合思路清晰。总体目标明确、措施系统，对项目重难点分析精准，应对策略具有前瞻性和创新性（如应用BIM等信息化技术进行全过程管理）的得3-5分；</w:t>
            </w:r>
            <w:r>
              <w:rPr>
                <w:rFonts w:hint="eastAsia"/>
                <w:color w:val="000000" w:themeColor="text1"/>
                <w:szCs w:val="21"/>
                <w:lang w:val="en-US" w:eastAsia="zh-CN"/>
                <w14:textFill>
                  <w14:solidFill>
                    <w14:schemeClr w14:val="tx1"/>
                  </w14:solidFill>
                </w14:textFill>
              </w:rPr>
              <w:br w:type="textWrapping"/>
            </w:r>
            <w:r>
              <w:rPr>
                <w:rFonts w:hint="eastAsia"/>
                <w:color w:val="000000" w:themeColor="text1"/>
                <w:szCs w:val="21"/>
                <w:lang w:val="en-US" w:eastAsia="zh-CN"/>
                <w14:textFill>
                  <w14:solidFill>
                    <w14:schemeClr w14:val="tx1"/>
                  </w14:solidFill>
                </w14:textFill>
              </w:rPr>
              <w:t>（2）实施方案基本完整，符合项目实际，具备一体化管理意识，但思路和策略的深度、创新性一般得1-2分；</w:t>
            </w:r>
            <w:r>
              <w:rPr>
                <w:rFonts w:hint="eastAsia"/>
                <w:color w:val="000000" w:themeColor="text1"/>
                <w:szCs w:val="21"/>
                <w:lang w:val="en-US" w:eastAsia="zh-CN"/>
                <w14:textFill>
                  <w14:solidFill>
                    <w14:schemeClr w14:val="tx1"/>
                  </w14:solidFill>
                </w14:textFill>
              </w:rPr>
              <w:br w:type="textWrapping"/>
            </w:r>
            <w:r>
              <w:rPr>
                <w:rFonts w:hint="eastAsia"/>
                <w:color w:val="000000" w:themeColor="text1"/>
                <w:szCs w:val="21"/>
                <w:lang w:val="en-US" w:eastAsia="zh-CN"/>
                <w14:textFill>
                  <w14:solidFill>
                    <w14:schemeClr w14:val="tx1"/>
                  </w14:solidFill>
                </w14:textFill>
              </w:rPr>
              <w:t>（3）方案内容空泛，与项目实际结合不紧，未能体现EPC管理特点的得0.5分；</w:t>
            </w:r>
            <w:r>
              <w:rPr>
                <w:rFonts w:hint="eastAsia"/>
                <w:color w:val="000000" w:themeColor="text1"/>
                <w:szCs w:val="21"/>
                <w:lang w:val="en-US" w:eastAsia="zh-CN"/>
                <w14:textFill>
                  <w14:solidFill>
                    <w14:schemeClr w14:val="tx1"/>
                  </w14:solidFill>
                </w14:textFill>
              </w:rPr>
              <w:br w:type="textWrapping"/>
            </w:r>
            <w:r>
              <w:rPr>
                <w:rFonts w:hint="eastAsia"/>
                <w:color w:val="000000" w:themeColor="text1"/>
                <w:szCs w:val="21"/>
                <w:lang w:val="en-US" w:eastAsia="zh-CN"/>
                <w14:textFill>
                  <w14:solidFill>
                    <w14:schemeClr w14:val="tx1"/>
                  </w14:solidFill>
                </w14:textFill>
              </w:rPr>
              <w:t>注：无总体实施方案得0分。</w:t>
            </w:r>
          </w:p>
        </w:tc>
      </w:tr>
      <w:tr w14:paraId="23C936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07" w:hRule="atLeast"/>
        </w:trPr>
        <w:tc>
          <w:tcPr>
            <w:tcW w:w="900" w:type="dxa"/>
            <w:vMerge w:val="continue"/>
            <w:tcBorders>
              <w:right w:val="single" w:color="auto" w:sz="4" w:space="0"/>
            </w:tcBorders>
            <w:vAlign w:val="center"/>
          </w:tcPr>
          <w:p w14:paraId="4F9218BD">
            <w:pPr>
              <w:spacing w:line="440" w:lineRule="exact"/>
              <w:jc w:val="center"/>
              <w:rPr>
                <w:color w:val="000000" w:themeColor="text1"/>
                <w:szCs w:val="21"/>
                <w14:textFill>
                  <w14:solidFill>
                    <w14:schemeClr w14:val="tx1"/>
                  </w14:solidFill>
                </w14:textFill>
              </w:rPr>
            </w:pPr>
          </w:p>
        </w:tc>
        <w:tc>
          <w:tcPr>
            <w:tcW w:w="1124" w:type="dxa"/>
            <w:vMerge w:val="continue"/>
            <w:tcBorders>
              <w:right w:val="single" w:color="auto" w:sz="4" w:space="0"/>
            </w:tcBorders>
            <w:vAlign w:val="center"/>
          </w:tcPr>
          <w:p w14:paraId="0F413844">
            <w:pPr>
              <w:spacing w:line="440" w:lineRule="exact"/>
              <w:jc w:val="center"/>
              <w:rPr>
                <w:color w:val="000000" w:themeColor="text1"/>
                <w:szCs w:val="21"/>
                <w14:textFill>
                  <w14:solidFill>
                    <w14:schemeClr w14:val="tx1"/>
                  </w14:solidFill>
                </w14:textFill>
              </w:rPr>
            </w:pPr>
          </w:p>
        </w:tc>
        <w:tc>
          <w:tcPr>
            <w:tcW w:w="2255" w:type="dxa"/>
            <w:tcBorders>
              <w:top w:val="single" w:color="auto" w:sz="4" w:space="0"/>
              <w:left w:val="single" w:color="auto" w:sz="4" w:space="0"/>
              <w:right w:val="single" w:color="auto" w:sz="4" w:space="0"/>
            </w:tcBorders>
            <w:vAlign w:val="center"/>
          </w:tcPr>
          <w:p w14:paraId="056D9358">
            <w:pPr>
              <w:spacing w:line="500" w:lineRule="exact"/>
              <w:jc w:val="center"/>
              <w:rPr>
                <w:rFonts w:hint="default"/>
                <w:color w:val="000000" w:themeColor="text1"/>
                <w:szCs w:val="21"/>
                <w:highlight w:val="none"/>
                <w:lang w:val="en-US" w:eastAsia="zh-CN"/>
                <w14:textFill>
                  <w14:solidFill>
                    <w14:schemeClr w14:val="tx1"/>
                  </w14:solidFill>
                </w14:textFill>
              </w:rPr>
            </w:pPr>
            <w:r>
              <w:rPr>
                <w:color w:val="000000" w:themeColor="text1"/>
                <w:szCs w:val="21"/>
                <w:highlight w:val="none"/>
                <w14:textFill>
                  <w14:solidFill>
                    <w14:schemeClr w14:val="tx1"/>
                  </w14:solidFill>
                </w14:textFill>
              </w:rPr>
              <w:t>项目</w:t>
            </w:r>
            <w:r>
              <w:rPr>
                <w:rFonts w:hint="eastAsia"/>
                <w:color w:val="000000" w:themeColor="text1"/>
                <w:szCs w:val="21"/>
                <w:highlight w:val="none"/>
                <w:lang w:val="en-US" w:eastAsia="zh-CN"/>
                <w14:textFill>
                  <w14:solidFill>
                    <w14:schemeClr w14:val="tx1"/>
                  </w14:solidFill>
                </w14:textFill>
              </w:rPr>
              <w:t>施工方案与技术措施</w:t>
            </w:r>
          </w:p>
          <w:p w14:paraId="66A5D0E5">
            <w:pPr>
              <w:spacing w:line="500" w:lineRule="exact"/>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w:t>
            </w:r>
            <w:r>
              <w:rPr>
                <w:rFonts w:hint="eastAsia"/>
                <w:color w:val="000000" w:themeColor="text1"/>
                <w:szCs w:val="21"/>
                <w:highlight w:val="none"/>
                <w:lang w:val="en-US" w:eastAsia="zh-CN"/>
                <w14:textFill>
                  <w14:solidFill>
                    <w14:schemeClr w14:val="tx1"/>
                  </w14:solidFill>
                </w14:textFill>
              </w:rPr>
              <w:t>3</w:t>
            </w:r>
            <w:r>
              <w:rPr>
                <w:color w:val="000000" w:themeColor="text1"/>
                <w:szCs w:val="21"/>
                <w:highlight w:val="none"/>
                <w14:textFill>
                  <w14:solidFill>
                    <w14:schemeClr w14:val="tx1"/>
                  </w14:solidFill>
                </w14:textFill>
              </w:rPr>
              <w:t>分）</w:t>
            </w:r>
          </w:p>
        </w:tc>
        <w:tc>
          <w:tcPr>
            <w:tcW w:w="5799" w:type="dxa"/>
            <w:tcBorders>
              <w:top w:val="single" w:color="auto" w:sz="4" w:space="0"/>
              <w:left w:val="single" w:color="auto" w:sz="4" w:space="0"/>
              <w:right w:val="single" w:color="auto" w:sz="4" w:space="0"/>
            </w:tcBorders>
            <w:vAlign w:val="center"/>
          </w:tcPr>
          <w:p w14:paraId="21B834A1">
            <w:pPr>
              <w:spacing w:line="340" w:lineRule="exact"/>
              <w:ind w:left="-2" w:leftChars="-1"/>
              <w:jc w:val="left"/>
              <w:rPr>
                <w:color w:val="000000" w:themeColor="text1"/>
                <w:szCs w:val="21"/>
                <w:highlight w:val="none"/>
                <w14:textFill>
                  <w14:solidFill>
                    <w14:schemeClr w14:val="tx1"/>
                  </w14:solidFill>
                </w14:textFill>
              </w:rPr>
            </w:pPr>
            <w:r>
              <w:rPr>
                <w:rFonts w:hint="eastAsia"/>
                <w:color w:val="000000"/>
                <w:szCs w:val="21"/>
                <w:highlight w:val="none"/>
                <w:lang w:val="en-US" w:eastAsia="zh-CN"/>
              </w:rPr>
              <w:t>（1）对工程重难点、特点分析透彻。施工部署科学，平面规划合理。关键技术方案先进、可靠、经济，针对性强，可实施性高。安全、质量、环保等技术保障措施具体得力的得2-3分；</w:t>
            </w:r>
            <w:r>
              <w:rPr>
                <w:rFonts w:hint="eastAsia"/>
                <w:color w:val="000000"/>
                <w:szCs w:val="21"/>
                <w:highlight w:val="none"/>
                <w:lang w:val="en-US" w:eastAsia="zh-CN"/>
              </w:rPr>
              <w:br w:type="textWrapping"/>
            </w:r>
            <w:r>
              <w:rPr>
                <w:rFonts w:hint="eastAsia"/>
                <w:color w:val="000000"/>
                <w:szCs w:val="21"/>
                <w:highlight w:val="none"/>
                <w:lang w:val="en-US" w:eastAsia="zh-CN"/>
              </w:rPr>
              <w:t>（2）分析较为全面，施工方案与技术措施基本可行，能满足常规施工需求的得1分；</w:t>
            </w:r>
            <w:r>
              <w:rPr>
                <w:rFonts w:hint="eastAsia"/>
                <w:color w:val="000000"/>
                <w:szCs w:val="21"/>
                <w:highlight w:val="none"/>
                <w:lang w:val="en-US" w:eastAsia="zh-CN"/>
              </w:rPr>
              <w:br w:type="textWrapping"/>
            </w:r>
            <w:r>
              <w:rPr>
                <w:rFonts w:hint="eastAsia"/>
                <w:color w:val="000000"/>
                <w:szCs w:val="21"/>
                <w:highlight w:val="none"/>
                <w:lang w:val="en-US" w:eastAsia="zh-CN"/>
              </w:rPr>
              <w:t>（3）分析不足，方案存在明显缺陷或可实施性差，技术措施不具体的得0.5分；</w:t>
            </w:r>
            <w:r>
              <w:rPr>
                <w:rFonts w:hint="eastAsia"/>
                <w:color w:val="000000"/>
                <w:szCs w:val="21"/>
                <w:highlight w:val="none"/>
                <w:lang w:val="en-US" w:eastAsia="zh-CN"/>
              </w:rPr>
              <w:br w:type="textWrapping"/>
            </w:r>
            <w:r>
              <w:rPr>
                <w:rFonts w:hint="eastAsia"/>
                <w:color w:val="000000"/>
                <w:szCs w:val="21"/>
                <w:highlight w:val="none"/>
                <w:lang w:val="en-US" w:eastAsia="zh-CN"/>
              </w:rPr>
              <w:t>注：无施工方案与技术措施得0分。</w:t>
            </w:r>
          </w:p>
        </w:tc>
      </w:tr>
      <w:tr w14:paraId="154151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39" w:hRule="atLeast"/>
        </w:trPr>
        <w:tc>
          <w:tcPr>
            <w:tcW w:w="900" w:type="dxa"/>
            <w:vMerge w:val="continue"/>
            <w:tcBorders>
              <w:right w:val="single" w:color="auto" w:sz="4" w:space="0"/>
            </w:tcBorders>
            <w:vAlign w:val="center"/>
          </w:tcPr>
          <w:p w14:paraId="6F49ECDE">
            <w:pPr>
              <w:spacing w:line="440" w:lineRule="exact"/>
              <w:jc w:val="center"/>
              <w:rPr>
                <w:color w:val="000000" w:themeColor="text1"/>
                <w:szCs w:val="21"/>
                <w14:textFill>
                  <w14:solidFill>
                    <w14:schemeClr w14:val="tx1"/>
                  </w14:solidFill>
                </w14:textFill>
              </w:rPr>
            </w:pPr>
          </w:p>
        </w:tc>
        <w:tc>
          <w:tcPr>
            <w:tcW w:w="1124" w:type="dxa"/>
            <w:vMerge w:val="continue"/>
            <w:tcBorders>
              <w:right w:val="single" w:color="auto" w:sz="4" w:space="0"/>
            </w:tcBorders>
            <w:vAlign w:val="center"/>
          </w:tcPr>
          <w:p w14:paraId="7D391F1F">
            <w:pPr>
              <w:spacing w:line="440" w:lineRule="exact"/>
              <w:jc w:val="center"/>
              <w:rPr>
                <w:color w:val="000000" w:themeColor="text1"/>
                <w:szCs w:val="21"/>
                <w14:textFill>
                  <w14:solidFill>
                    <w14:schemeClr w14:val="tx1"/>
                  </w14:solidFill>
                </w14:textFill>
              </w:rPr>
            </w:pPr>
          </w:p>
        </w:tc>
        <w:tc>
          <w:tcPr>
            <w:tcW w:w="2255" w:type="dxa"/>
            <w:tcBorders>
              <w:top w:val="single" w:color="auto" w:sz="4" w:space="0"/>
              <w:left w:val="single" w:color="auto" w:sz="4" w:space="0"/>
              <w:right w:val="single" w:color="auto" w:sz="4" w:space="0"/>
            </w:tcBorders>
            <w:vAlign w:val="center"/>
          </w:tcPr>
          <w:p w14:paraId="23E95C0D">
            <w:pPr>
              <w:spacing w:line="500" w:lineRule="exact"/>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项目管理要点</w:t>
            </w:r>
          </w:p>
          <w:p w14:paraId="2B2D336D">
            <w:pPr>
              <w:spacing w:line="500" w:lineRule="exact"/>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w:t>
            </w:r>
            <w:r>
              <w:rPr>
                <w:rFonts w:hint="eastAsia"/>
                <w:color w:val="000000" w:themeColor="text1"/>
                <w:szCs w:val="21"/>
                <w:highlight w:val="none"/>
                <w:lang w:val="en-US" w:eastAsia="zh-CN"/>
                <w14:textFill>
                  <w14:solidFill>
                    <w14:schemeClr w14:val="tx1"/>
                  </w14:solidFill>
                </w14:textFill>
              </w:rPr>
              <w:t>2</w:t>
            </w:r>
            <w:r>
              <w:rPr>
                <w:color w:val="000000" w:themeColor="text1"/>
                <w:szCs w:val="21"/>
                <w:highlight w:val="none"/>
                <w14:textFill>
                  <w14:solidFill>
                    <w14:schemeClr w14:val="tx1"/>
                  </w14:solidFill>
                </w14:textFill>
              </w:rPr>
              <w:t>分）</w:t>
            </w:r>
          </w:p>
        </w:tc>
        <w:tc>
          <w:tcPr>
            <w:tcW w:w="5799" w:type="dxa"/>
            <w:tcBorders>
              <w:top w:val="single" w:color="auto" w:sz="4" w:space="0"/>
              <w:left w:val="single" w:color="auto" w:sz="4" w:space="0"/>
              <w:right w:val="single" w:color="auto" w:sz="4" w:space="0"/>
            </w:tcBorders>
            <w:vAlign w:val="center"/>
          </w:tcPr>
          <w:p w14:paraId="6969FFA9">
            <w:pPr>
              <w:spacing w:line="340" w:lineRule="exact"/>
              <w:ind w:left="-2" w:leftChars="-1"/>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针对项目（1）资源管理、（2）质量控制</w:t>
            </w:r>
            <w:r>
              <w:rPr>
                <w:rFonts w:hint="eastAsia"/>
                <w:color w:val="000000" w:themeColor="text1"/>
                <w:szCs w:val="21"/>
                <w:highlight w:val="none"/>
                <w:lang w:val="en-US" w:eastAsia="zh-CN"/>
                <w14:textFill>
                  <w14:solidFill>
                    <w14:schemeClr w14:val="tx1"/>
                  </w14:solidFill>
                </w14:textFill>
              </w:rPr>
              <w:t>及措施</w:t>
            </w:r>
            <w:r>
              <w:rPr>
                <w:color w:val="000000" w:themeColor="text1"/>
                <w:szCs w:val="21"/>
                <w:highlight w:val="none"/>
                <w14:textFill>
                  <w14:solidFill>
                    <w14:schemeClr w14:val="tx1"/>
                  </w14:solidFill>
                </w14:textFill>
              </w:rPr>
              <w:t>、（3）进度</w:t>
            </w:r>
            <w:r>
              <w:rPr>
                <w:rFonts w:hint="eastAsia"/>
                <w:color w:val="000000" w:themeColor="text1"/>
                <w:szCs w:val="21"/>
                <w:highlight w:val="none"/>
                <w:lang w:val="en-US" w:eastAsia="zh-CN"/>
                <w14:textFill>
                  <w14:solidFill>
                    <w14:schemeClr w14:val="tx1"/>
                  </w14:solidFill>
                </w14:textFill>
              </w:rPr>
              <w:t>计划及工期保证措施</w:t>
            </w:r>
            <w:r>
              <w:rPr>
                <w:color w:val="000000" w:themeColor="text1"/>
                <w:szCs w:val="21"/>
                <w:highlight w:val="none"/>
                <w14:textFill>
                  <w14:solidFill>
                    <w14:schemeClr w14:val="tx1"/>
                  </w14:solidFill>
                </w14:textFill>
              </w:rPr>
              <w:t>、（4）费用估算及投资控制、（5）风险管理、（6）安全、环境及</w:t>
            </w:r>
            <w:r>
              <w:rPr>
                <w:rFonts w:hint="eastAsia"/>
                <w:color w:val="000000" w:themeColor="text1"/>
                <w:szCs w:val="21"/>
                <w:highlight w:val="none"/>
                <w:lang w:val="en-US" w:eastAsia="zh-CN"/>
                <w14:textFill>
                  <w14:solidFill>
                    <w14:schemeClr w14:val="tx1"/>
                  </w14:solidFill>
                </w14:textFill>
              </w:rPr>
              <w:t>文明施工保障措施</w:t>
            </w:r>
            <w:r>
              <w:rPr>
                <w:color w:val="000000" w:themeColor="text1"/>
                <w:szCs w:val="21"/>
                <w:highlight w:val="none"/>
                <w14:textFill>
                  <w14:solidFill>
                    <w14:schemeClr w14:val="tx1"/>
                  </w14:solidFill>
                </w14:textFill>
              </w:rPr>
              <w:t>、（7）合同、协调及报告管理7个方面进行阐述，具有针对性，措施具体、方法合理可行，优得</w:t>
            </w:r>
            <w:r>
              <w:rPr>
                <w:rFonts w:hint="eastAsia"/>
                <w:color w:val="000000" w:themeColor="text1"/>
                <w:szCs w:val="21"/>
                <w:highlight w:val="none"/>
                <w:lang w:val="en-US" w:eastAsia="zh-CN"/>
                <w14:textFill>
                  <w14:solidFill>
                    <w14:schemeClr w14:val="tx1"/>
                  </w14:solidFill>
                </w14:textFill>
              </w:rPr>
              <w:t>1-2</w:t>
            </w:r>
            <w:r>
              <w:rPr>
                <w:color w:val="000000" w:themeColor="text1"/>
                <w:szCs w:val="21"/>
                <w:highlight w:val="none"/>
                <w14:textFill>
                  <w14:solidFill>
                    <w14:schemeClr w14:val="tx1"/>
                  </w14:solidFill>
                </w14:textFill>
              </w:rPr>
              <w:t>分；良得</w:t>
            </w:r>
            <w:r>
              <w:rPr>
                <w:rFonts w:hint="eastAsia"/>
                <w:color w:val="000000" w:themeColor="text1"/>
                <w:szCs w:val="21"/>
                <w:highlight w:val="none"/>
                <w:lang w:val="en-US" w:eastAsia="zh-CN"/>
                <w14:textFill>
                  <w14:solidFill>
                    <w14:schemeClr w14:val="tx1"/>
                  </w14:solidFill>
                </w14:textFill>
              </w:rPr>
              <w:t>0.5</w:t>
            </w:r>
            <w:r>
              <w:rPr>
                <w:color w:val="000000" w:themeColor="text1"/>
                <w:szCs w:val="21"/>
                <w:highlight w:val="none"/>
                <w14:textFill>
                  <w14:solidFill>
                    <w14:schemeClr w14:val="tx1"/>
                  </w14:solidFill>
                </w14:textFill>
              </w:rPr>
              <w:t>分。</w:t>
            </w:r>
          </w:p>
        </w:tc>
      </w:tr>
      <w:tr w14:paraId="5E420F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39" w:hRule="atLeast"/>
        </w:trPr>
        <w:tc>
          <w:tcPr>
            <w:tcW w:w="900" w:type="dxa"/>
            <w:vMerge w:val="continue"/>
            <w:tcBorders>
              <w:right w:val="single" w:color="auto" w:sz="4" w:space="0"/>
            </w:tcBorders>
            <w:vAlign w:val="center"/>
          </w:tcPr>
          <w:p w14:paraId="431D841D">
            <w:pPr>
              <w:spacing w:line="440" w:lineRule="exact"/>
              <w:jc w:val="center"/>
              <w:rPr>
                <w:color w:val="000000" w:themeColor="text1"/>
                <w:szCs w:val="21"/>
                <w14:textFill>
                  <w14:solidFill>
                    <w14:schemeClr w14:val="tx1"/>
                  </w14:solidFill>
                </w14:textFill>
              </w:rPr>
            </w:pPr>
          </w:p>
        </w:tc>
        <w:tc>
          <w:tcPr>
            <w:tcW w:w="1124" w:type="dxa"/>
            <w:vMerge w:val="continue"/>
            <w:tcBorders>
              <w:right w:val="single" w:color="auto" w:sz="4" w:space="0"/>
            </w:tcBorders>
            <w:vAlign w:val="center"/>
          </w:tcPr>
          <w:p w14:paraId="178F241F">
            <w:pPr>
              <w:spacing w:line="440" w:lineRule="exact"/>
              <w:jc w:val="center"/>
              <w:rPr>
                <w:color w:val="000000" w:themeColor="text1"/>
                <w:szCs w:val="21"/>
                <w14:textFill>
                  <w14:solidFill>
                    <w14:schemeClr w14:val="tx1"/>
                  </w14:solidFill>
                </w14:textFill>
              </w:rPr>
            </w:pPr>
          </w:p>
        </w:tc>
        <w:tc>
          <w:tcPr>
            <w:tcW w:w="2255" w:type="dxa"/>
            <w:tcBorders>
              <w:top w:val="single" w:color="auto" w:sz="4" w:space="0"/>
              <w:left w:val="single" w:color="auto" w:sz="4" w:space="0"/>
              <w:right w:val="single" w:color="auto" w:sz="4" w:space="0"/>
            </w:tcBorders>
            <w:vAlign w:val="center"/>
          </w:tcPr>
          <w:p w14:paraId="2861F0DC">
            <w:pPr>
              <w:spacing w:line="500" w:lineRule="exact"/>
              <w:jc w:val="center"/>
              <w:rPr>
                <w:rFonts w:hint="default"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项目管理机构及人员配置（5分）</w:t>
            </w:r>
          </w:p>
        </w:tc>
        <w:tc>
          <w:tcPr>
            <w:tcW w:w="5799" w:type="dxa"/>
            <w:tcBorders>
              <w:top w:val="single" w:color="auto" w:sz="4" w:space="0"/>
              <w:left w:val="single" w:color="auto" w:sz="4" w:space="0"/>
              <w:right w:val="single" w:color="auto" w:sz="4" w:space="0"/>
            </w:tcBorders>
            <w:vAlign w:val="center"/>
          </w:tcPr>
          <w:p w14:paraId="79859160">
            <w:pPr>
              <w:spacing w:line="340" w:lineRule="exact"/>
              <w:ind w:left="-2" w:leftChars="-1"/>
              <w:jc w:val="left"/>
              <w:rPr>
                <w:color w:val="000000" w:themeColor="text1"/>
                <w:szCs w:val="21"/>
                <w:highlight w:val="none"/>
                <w14:textFill>
                  <w14:solidFill>
                    <w14:schemeClr w14:val="tx1"/>
                  </w14:solidFill>
                </w14:textFill>
              </w:rPr>
            </w:pPr>
            <w:r>
              <w:rPr>
                <w:rFonts w:hint="eastAsia"/>
                <w:color w:val="000000"/>
                <w:szCs w:val="21"/>
                <w:highlight w:val="none"/>
                <w:lang w:val="en-US" w:eastAsia="zh-CN"/>
              </w:rPr>
              <w:t>（1）项目管理组织机构图清晰，岗位职责明确。拟派项目经理及主要技术、经济、管理人员（如设计负责人、施工负责人、采购经理、质量安全主管）资历深厚、业绩突出，专业配置完全覆盖并符合项目需求，团队实力强的得3-5分；</w:t>
            </w:r>
            <w:r>
              <w:rPr>
                <w:rFonts w:hint="eastAsia"/>
                <w:color w:val="000000"/>
                <w:szCs w:val="21"/>
                <w:highlight w:val="none"/>
                <w:lang w:val="en-US" w:eastAsia="zh-CN"/>
              </w:rPr>
              <w:br w:type="textWrapping"/>
            </w:r>
            <w:r>
              <w:rPr>
                <w:rFonts w:hint="eastAsia"/>
                <w:color w:val="000000"/>
                <w:szCs w:val="21"/>
                <w:highlight w:val="none"/>
                <w:lang w:val="en-US" w:eastAsia="zh-CN"/>
              </w:rPr>
              <w:t>（2）机构设置及人员配置基本合理，主要人员资格满足要求，但经验或专业配置的优化程度一般的得1-2分。</w:t>
            </w:r>
            <w:r>
              <w:rPr>
                <w:rFonts w:hint="eastAsia"/>
                <w:color w:val="000000"/>
                <w:szCs w:val="21"/>
                <w:highlight w:val="none"/>
                <w:lang w:val="en-US" w:eastAsia="zh-CN"/>
              </w:rPr>
              <w:br w:type="textWrapping"/>
            </w:r>
            <w:r>
              <w:rPr>
                <w:rFonts w:hint="eastAsia"/>
                <w:color w:val="000000"/>
                <w:szCs w:val="21"/>
                <w:highlight w:val="none"/>
                <w:lang w:val="en-US" w:eastAsia="zh-CN"/>
              </w:rPr>
              <w:t>（3）机构设置不合理或关键岗位人员资质、经验不满足项目管理需要的得0分。</w:t>
            </w:r>
          </w:p>
        </w:tc>
      </w:tr>
      <w:tr w14:paraId="704A291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873" w:hRule="atLeast"/>
        </w:trPr>
        <w:tc>
          <w:tcPr>
            <w:tcW w:w="900" w:type="dxa"/>
            <w:tcBorders>
              <w:top w:val="single" w:color="auto" w:sz="4" w:space="0"/>
              <w:left w:val="single" w:color="auto" w:sz="4" w:space="0"/>
              <w:bottom w:val="single" w:color="auto" w:sz="4" w:space="0"/>
              <w:right w:val="single" w:color="auto" w:sz="4" w:space="0"/>
            </w:tcBorders>
            <w:vAlign w:val="center"/>
          </w:tcPr>
          <w:p w14:paraId="617393D2">
            <w:pPr>
              <w:spacing w:line="440" w:lineRule="exact"/>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2.2.3（</w:t>
            </w:r>
            <w:r>
              <w:rPr>
                <w:rFonts w:hint="eastAsia"/>
                <w:color w:val="000000" w:themeColor="text1"/>
                <w:szCs w:val="21"/>
                <w:lang w:val="en-US" w:eastAsia="zh-CN"/>
                <w14:textFill>
                  <w14:solidFill>
                    <w14:schemeClr w14:val="tx1"/>
                  </w14:solidFill>
                </w14:textFill>
              </w:rPr>
              <w:t>4</w:t>
            </w:r>
            <w:r>
              <w:rPr>
                <w:color w:val="000000" w:themeColor="text1"/>
                <w:szCs w:val="21"/>
                <w14:textFill>
                  <w14:solidFill>
                    <w14:schemeClr w14:val="tx1"/>
                  </w14:solidFill>
                </w14:textFill>
              </w:rPr>
              <w:t>）</w:t>
            </w:r>
          </w:p>
        </w:tc>
        <w:tc>
          <w:tcPr>
            <w:tcW w:w="1124" w:type="dxa"/>
            <w:tcBorders>
              <w:top w:val="single" w:color="auto" w:sz="4" w:space="0"/>
              <w:left w:val="single" w:color="auto" w:sz="4" w:space="0"/>
              <w:bottom w:val="single" w:color="auto" w:sz="4" w:space="0"/>
              <w:right w:val="single" w:color="auto" w:sz="4" w:space="0"/>
            </w:tcBorders>
            <w:vAlign w:val="center"/>
          </w:tcPr>
          <w:p w14:paraId="763CC293">
            <w:pPr>
              <w:spacing w:line="440" w:lineRule="exact"/>
              <w:jc w:val="center"/>
              <w:rPr>
                <w:color w:val="000000" w:themeColor="text1"/>
                <w14:textFill>
                  <w14:solidFill>
                    <w14:schemeClr w14:val="tx1"/>
                  </w14:solidFill>
                </w14:textFill>
              </w:rPr>
            </w:pPr>
            <w:r>
              <w:rPr>
                <w:color w:val="000000" w:themeColor="text1"/>
                <w14:textFill>
                  <w14:solidFill>
                    <w14:schemeClr w14:val="tx1"/>
                  </w14:solidFill>
                </w14:textFill>
              </w:rPr>
              <w:t>投标报价评分标准（15分）</w:t>
            </w:r>
          </w:p>
        </w:tc>
        <w:tc>
          <w:tcPr>
            <w:tcW w:w="8054" w:type="dxa"/>
            <w:gridSpan w:val="2"/>
            <w:tcBorders>
              <w:top w:val="single" w:color="auto" w:sz="4" w:space="0"/>
              <w:left w:val="single" w:color="auto" w:sz="4" w:space="0"/>
              <w:bottom w:val="single" w:color="auto" w:sz="4" w:space="0"/>
              <w:right w:val="single" w:color="auto" w:sz="4" w:space="0"/>
            </w:tcBorders>
            <w:vAlign w:val="center"/>
          </w:tcPr>
          <w:p w14:paraId="420E391F">
            <w:pPr>
              <w:spacing w:line="300" w:lineRule="exact"/>
              <w:rPr>
                <w:color w:val="000000" w:themeColor="text1"/>
                <w14:textFill>
                  <w14:solidFill>
                    <w14:schemeClr w14:val="tx1"/>
                  </w14:solidFill>
                </w14:textFill>
              </w:rPr>
            </w:pPr>
            <w:r>
              <w:rPr>
                <w:color w:val="000000" w:themeColor="text1"/>
                <w14:textFill>
                  <w14:solidFill>
                    <w14:schemeClr w14:val="tx1"/>
                  </w14:solidFill>
                </w14:textFill>
              </w:rPr>
              <w:t>①勘察报价（满分：5分）</w:t>
            </w:r>
          </w:p>
          <w:p w14:paraId="526596D0">
            <w:pPr>
              <w:spacing w:line="300" w:lineRule="exact"/>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（1）勘察费投标报价参照国家发改委《关于进一步放开建设项目专业服务价格的通知》（发改价格</w:t>
            </w:r>
            <w:r>
              <w:rPr>
                <w:color w:val="000000" w:themeColor="text1"/>
                <w:szCs w:val="21"/>
                <w14:textFill>
                  <w14:solidFill>
                    <w14:schemeClr w14:val="tx1"/>
                  </w14:solidFill>
                </w14:textFill>
              </w:rPr>
              <w:t>〔2015〕</w:t>
            </w:r>
            <w:r>
              <w:rPr>
                <w:color w:val="000000" w:themeColor="text1"/>
                <w14:textFill>
                  <w14:solidFill>
                    <w14:schemeClr w14:val="tx1"/>
                  </w14:solidFill>
                </w14:textFill>
              </w:rPr>
              <w:t>299号）的规定，结合市场情况合理报价，应综合考虑项目实施过程中产生的一切费用及各种可能产生风险进行报价，以勘察费招标控制价为</w:t>
            </w:r>
            <w:r>
              <w:rPr>
                <w:rFonts w:hint="eastAsia"/>
                <w:color w:val="000000" w:themeColor="text1"/>
                <w:lang w:eastAsia="zh-CN"/>
                <w14:textFill>
                  <w14:solidFill>
                    <w14:schemeClr w14:val="tx1"/>
                  </w14:solidFill>
                </w14:textFill>
              </w:rPr>
              <w:t>计费基数</w:t>
            </w:r>
            <w:r>
              <w:rPr>
                <w:color w:val="000000" w:themeColor="text1"/>
                <w14:textFill>
                  <w14:solidFill>
                    <w14:schemeClr w14:val="tx1"/>
                  </w14:solidFill>
                </w14:textFill>
              </w:rPr>
              <w:t>，按</w:t>
            </w:r>
            <w:r>
              <w:rPr>
                <w:rFonts w:hint="eastAsia"/>
                <w:color w:val="000000" w:themeColor="text1"/>
                <w:lang w:val="en-US" w:eastAsia="zh-CN"/>
                <w14:textFill>
                  <w14:solidFill>
                    <w14:schemeClr w14:val="tx1"/>
                  </w14:solidFill>
                </w14:textFill>
              </w:rPr>
              <w:t>下浮</w:t>
            </w:r>
            <w:r>
              <w:rPr>
                <w:color w:val="000000" w:themeColor="text1"/>
                <w14:textFill>
                  <w14:solidFill>
                    <w14:schemeClr w14:val="tx1"/>
                  </w14:solidFill>
                </w14:textFill>
              </w:rPr>
              <w:t>率的方式进行报价。在勘察过程中无论出现何种情况，进尺米价格均不予调整。</w:t>
            </w:r>
          </w:p>
          <w:p w14:paraId="13667093">
            <w:pPr>
              <w:spacing w:line="300" w:lineRule="exact"/>
              <w:ind w:firstLine="420" w:firstLineChars="200"/>
              <w:rPr>
                <w:color w:val="000000" w:themeColor="text1"/>
                <w:szCs w:val="21"/>
                <w14:textFill>
                  <w14:solidFill>
                    <w14:schemeClr w14:val="tx1"/>
                  </w14:solidFill>
                </w14:textFill>
              </w:rPr>
            </w:pPr>
            <w:r>
              <w:rPr>
                <w:color w:val="000000" w:themeColor="text1"/>
                <w:szCs w:val="21"/>
                <w14:textFill>
                  <w14:solidFill>
                    <w14:schemeClr w14:val="tx1"/>
                  </w14:solidFill>
                </w14:textFill>
              </w:rPr>
              <w:t>（2）勘察费结算价=勘察实际完成工程量×[勘察费招标控制价×（1－勘察费</w:t>
            </w:r>
            <w:r>
              <w:rPr>
                <w:rFonts w:hint="eastAsia"/>
                <w:color w:val="000000" w:themeColor="text1"/>
                <w:szCs w:val="21"/>
                <w:lang w:val="en-US" w:eastAsia="zh-CN"/>
                <w14:textFill>
                  <w14:solidFill>
                    <w14:schemeClr w14:val="tx1"/>
                  </w14:solidFill>
                </w14:textFill>
              </w:rPr>
              <w:t>优惠</w:t>
            </w:r>
            <w:r>
              <w:rPr>
                <w:color w:val="000000" w:themeColor="text1"/>
                <w:szCs w:val="21"/>
                <w14:textFill>
                  <w14:solidFill>
                    <w14:schemeClr w14:val="tx1"/>
                  </w14:solidFill>
                </w14:textFill>
              </w:rPr>
              <w:t>率）]。</w:t>
            </w:r>
          </w:p>
          <w:p w14:paraId="5478AD20">
            <w:pPr>
              <w:spacing w:line="300" w:lineRule="exact"/>
              <w:ind w:firstLine="420" w:firstLineChars="200"/>
              <w:rPr>
                <w:color w:val="000000" w:themeColor="text1"/>
                <w:szCs w:val="21"/>
                <w14:textFill>
                  <w14:solidFill>
                    <w14:schemeClr w14:val="tx1"/>
                  </w14:solidFill>
                </w14:textFill>
              </w:rPr>
            </w:pPr>
            <w:r>
              <w:rPr>
                <w:color w:val="000000" w:themeColor="text1"/>
                <w14:textFill>
                  <w14:solidFill>
                    <w14:schemeClr w14:val="tx1"/>
                  </w14:solidFill>
                </w14:textFill>
              </w:rPr>
              <w:t>（3）计分原则为：投标人依据项目实际情况结合市场行情进行报价，投标人的勘察费投标报价在</w:t>
            </w:r>
            <w:r>
              <w:rPr>
                <w:color w:val="000000" w:themeColor="text1"/>
                <w:szCs w:val="21"/>
                <w14:textFill>
                  <w14:solidFill>
                    <w14:schemeClr w14:val="tx1"/>
                  </w14:solidFill>
                </w14:textFill>
              </w:rPr>
              <w:t>勘察费招标控制价的基础上，每</w:t>
            </w:r>
            <w:r>
              <w:rPr>
                <w:rFonts w:hint="eastAsia"/>
                <w:color w:val="000000" w:themeColor="text1"/>
                <w:szCs w:val="21"/>
                <w:lang w:val="en-US" w:eastAsia="zh-CN"/>
                <w14:textFill>
                  <w14:solidFill>
                    <w14:schemeClr w14:val="tx1"/>
                  </w14:solidFill>
                </w14:textFill>
              </w:rPr>
              <w:t>优惠</w:t>
            </w:r>
            <w:r>
              <w:rPr>
                <w:color w:val="000000" w:themeColor="text1"/>
                <w:szCs w:val="21"/>
                <w14:textFill>
                  <w14:solidFill>
                    <w14:schemeClr w14:val="tx1"/>
                  </w14:solidFill>
                </w14:textFill>
              </w:rPr>
              <w:t>1%得0.</w:t>
            </w:r>
            <w:r>
              <w:rPr>
                <w:rFonts w:hint="eastAsia"/>
                <w:color w:val="000000" w:themeColor="text1"/>
                <w:szCs w:val="21"/>
                <w:lang w:val="en-US" w:eastAsia="zh-CN"/>
                <w14:textFill>
                  <w14:solidFill>
                    <w14:schemeClr w14:val="tx1"/>
                  </w14:solidFill>
                </w14:textFill>
              </w:rPr>
              <w:t>2</w:t>
            </w:r>
            <w:r>
              <w:rPr>
                <w:color w:val="000000" w:themeColor="text1"/>
                <w:szCs w:val="21"/>
                <w14:textFill>
                  <w14:solidFill>
                    <w14:schemeClr w14:val="tx1"/>
                  </w14:solidFill>
                </w14:textFill>
              </w:rPr>
              <w:t>分（</w:t>
            </w:r>
            <w:r>
              <w:rPr>
                <w:color w:val="000000" w:themeColor="text1"/>
                <w14:textFill>
                  <w14:solidFill>
                    <w14:schemeClr w14:val="tx1"/>
                  </w14:solidFill>
                </w14:textFill>
              </w:rPr>
              <w:t>分值中间值用插入法，小数点后保留两位，小数点后第三位“四舍五入”），本项满分5分。</w:t>
            </w:r>
          </w:p>
          <w:p w14:paraId="63F44E05">
            <w:pPr>
              <w:spacing w:line="300" w:lineRule="exact"/>
              <w:rPr>
                <w:color w:val="000000" w:themeColor="text1"/>
                <w14:textFill>
                  <w14:solidFill>
                    <w14:schemeClr w14:val="tx1"/>
                  </w14:solidFill>
                </w14:textFill>
              </w:rPr>
            </w:pPr>
            <w:r>
              <w:rPr>
                <w:color w:val="000000" w:themeColor="text1"/>
                <w14:textFill>
                  <w14:solidFill>
                    <w14:schemeClr w14:val="tx1"/>
                  </w14:solidFill>
                </w14:textFill>
              </w:rPr>
              <w:t>②设计费报价（满分：5分）</w:t>
            </w:r>
          </w:p>
          <w:p w14:paraId="79257E5D">
            <w:pPr>
              <w:numPr>
                <w:ilvl w:val="0"/>
                <w:numId w:val="8"/>
              </w:numPr>
              <w:spacing w:line="300" w:lineRule="exact"/>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设计投标报价根据国家发展改革委《关于进一步放开建设项目专业服务价格的通知》（发改价格〔2015〕299号）的规定，结合市场情况合理报价，应综合考虑项目实施过程中产生的一切费用及各种可能产生的风险，以本项目</w:t>
            </w:r>
            <w:r>
              <w:rPr>
                <w:rFonts w:hint="eastAsia"/>
                <w:color w:val="000000" w:themeColor="text1"/>
                <w:szCs w:val="21"/>
                <w:lang w:val="en-US" w:eastAsia="zh-CN"/>
                <w14:textFill>
                  <w14:solidFill>
                    <w14:schemeClr w14:val="tx1"/>
                  </w14:solidFill>
                </w14:textFill>
              </w:rPr>
              <w:t>建筑安装工程费</w:t>
            </w:r>
            <w:r>
              <w:rPr>
                <w:rFonts w:hint="eastAsia"/>
                <w:color w:val="000000" w:themeColor="text1"/>
                <w:szCs w:val="21"/>
                <w14:textFill>
                  <w14:solidFill>
                    <w14:schemeClr w14:val="tx1"/>
                  </w14:solidFill>
                </w14:textFill>
              </w:rPr>
              <w:t>为设计费</w:t>
            </w:r>
            <w:r>
              <w:rPr>
                <w:rFonts w:hint="eastAsia"/>
                <w:color w:val="000000" w:themeColor="text1"/>
                <w:szCs w:val="21"/>
                <w:lang w:eastAsia="zh-CN"/>
                <w14:textFill>
                  <w14:solidFill>
                    <w14:schemeClr w14:val="tx1"/>
                  </w14:solidFill>
                </w14:textFill>
              </w:rPr>
              <w:t>计费基数</w:t>
            </w:r>
            <w:r>
              <w:rPr>
                <w:rFonts w:hint="eastAsia"/>
                <w:color w:val="000000" w:themeColor="text1"/>
                <w:szCs w:val="21"/>
                <w14:textFill>
                  <w14:solidFill>
                    <w14:schemeClr w14:val="tx1"/>
                  </w14:solidFill>
                </w14:textFill>
              </w:rPr>
              <w:t>，按优惠率的方式进行报价。该报价在设计、施工过程中无论出现何种情况，均不予调整。</w:t>
            </w:r>
          </w:p>
          <w:p w14:paraId="0572F9F5">
            <w:pPr>
              <w:spacing w:line="320" w:lineRule="exact"/>
              <w:ind w:firstLine="420" w:firstLineChars="200"/>
              <w:rPr>
                <w:rFonts w:hint="eastAsia"/>
                <w:color w:val="000000" w:themeColor="text1"/>
                <w:szCs w:val="21"/>
                <w:highlight w:val="none"/>
                <w14:textFill>
                  <w14:solidFill>
                    <w14:schemeClr w14:val="tx1"/>
                  </w14:solidFill>
                </w14:textFill>
              </w:rPr>
            </w:pPr>
            <w:r>
              <w:rPr>
                <w:rFonts w:hint="eastAsia"/>
                <w:color w:val="000000"/>
                <w:highlight w:val="none"/>
              </w:rPr>
              <w:t>（2）计分原则为：投标人依据项目实际情况结合市场行情进行报价，投标人的设计费投标报价在设计费招标控制价的基础上，每</w:t>
            </w:r>
            <w:r>
              <w:rPr>
                <w:rFonts w:hint="eastAsia"/>
                <w:color w:val="000000"/>
                <w:highlight w:val="none"/>
                <w:lang w:val="en-US" w:eastAsia="zh-CN"/>
              </w:rPr>
              <w:t>多优惠</w:t>
            </w:r>
            <w:r>
              <w:rPr>
                <w:rFonts w:hint="eastAsia"/>
                <w:color w:val="000000"/>
                <w:highlight w:val="none"/>
              </w:rPr>
              <w:t>1%得0.</w:t>
            </w:r>
            <w:r>
              <w:rPr>
                <w:rFonts w:hint="eastAsia"/>
                <w:color w:val="000000"/>
                <w:highlight w:val="none"/>
                <w:lang w:val="en-US" w:eastAsia="zh-CN"/>
              </w:rPr>
              <w:t>2</w:t>
            </w:r>
            <w:r>
              <w:rPr>
                <w:rFonts w:hint="eastAsia"/>
                <w:color w:val="000000"/>
                <w:highlight w:val="none"/>
              </w:rPr>
              <w:t>分（分值中间值用插入法，小数点后保留两位，小数点后第三位“四舍五入”），本项满分5分。</w:t>
            </w:r>
          </w:p>
          <w:p w14:paraId="16B3DE68">
            <w:pPr>
              <w:spacing w:line="320" w:lineRule="exact"/>
              <w:ind w:firstLine="420" w:firstLineChars="200"/>
              <w:rPr>
                <w:color w:val="000000" w:themeColor="text1"/>
                <w:szCs w:val="21"/>
                <w:highlight w:val="none"/>
                <w14:textFill>
                  <w14:solidFill>
                    <w14:schemeClr w14:val="tx1"/>
                  </w14:solidFill>
                </w14:textFill>
              </w:rPr>
            </w:pPr>
            <w:r>
              <w:rPr>
                <w:rFonts w:hint="eastAsia" w:ascii="宋体" w:hAnsi="宋体" w:cs="宋体"/>
                <w:color w:val="000000"/>
                <w:szCs w:val="21"/>
                <w:highlight w:val="none"/>
                <w:lang w:val="en-US" w:eastAsia="zh-CN"/>
              </w:rPr>
              <w:t>设计费结算价</w:t>
            </w:r>
            <w:r>
              <w:rPr>
                <w:rFonts w:hint="eastAsia" w:ascii="宋体" w:hAnsi="宋体" w:cs="宋体"/>
                <w:color w:val="000000"/>
                <w:szCs w:val="21"/>
                <w:highlight w:val="none"/>
              </w:rPr>
              <w:t>以经审定的建筑安装工程费为计费额，及</w:t>
            </w:r>
            <w:r>
              <w:rPr>
                <w:rFonts w:hint="eastAsia" w:ascii="宋体" w:hAnsi="宋体" w:cs="宋体"/>
                <w:color w:val="000000"/>
                <w:szCs w:val="21"/>
                <w:highlight w:val="none"/>
                <w:lang w:val="en-US" w:eastAsia="zh-CN"/>
              </w:rPr>
              <w:t>投标人</w:t>
            </w:r>
            <w:r>
              <w:rPr>
                <w:rFonts w:hint="eastAsia" w:ascii="宋体" w:hAnsi="宋体" w:cs="宋体"/>
                <w:color w:val="000000"/>
                <w:szCs w:val="21"/>
                <w:highlight w:val="none"/>
              </w:rPr>
              <w:t>所报的下浮比例进行结算。</w:t>
            </w:r>
          </w:p>
          <w:p w14:paraId="727520D4">
            <w:pPr>
              <w:spacing w:line="300" w:lineRule="exact"/>
              <w:rPr>
                <w:color w:val="000000" w:themeColor="text1"/>
                <w14:textFill>
                  <w14:solidFill>
                    <w14:schemeClr w14:val="tx1"/>
                  </w14:solidFill>
                </w14:textFill>
              </w:rPr>
            </w:pPr>
            <w:r>
              <w:rPr>
                <w:color w:val="000000" w:themeColor="text1"/>
                <w14:textFill>
                  <w14:solidFill>
                    <w14:schemeClr w14:val="tx1"/>
                  </w14:solidFill>
                </w14:textFill>
              </w:rPr>
              <w:t>③建筑安装工程费报价（满分：5分）</w:t>
            </w:r>
          </w:p>
          <w:p w14:paraId="40AD6D52">
            <w:pPr>
              <w:spacing w:line="300" w:lineRule="exact"/>
              <w:rPr>
                <w:color w:val="000000" w:themeColor="text1"/>
                <w14:textFill>
                  <w14:solidFill>
                    <w14:schemeClr w14:val="tx1"/>
                  </w14:solidFill>
                </w14:textFill>
              </w:rPr>
            </w:pPr>
            <w:r>
              <w:rPr>
                <w:color w:val="000000" w:themeColor="text1"/>
                <w14:textFill>
                  <w14:solidFill>
                    <w14:schemeClr w14:val="tx1"/>
                  </w14:solidFill>
                </w14:textFill>
              </w:rPr>
              <w:t>　　（1）各投标人以建筑安装工程费结算</w:t>
            </w:r>
            <w:r>
              <w:rPr>
                <w:rFonts w:hint="eastAsia"/>
                <w:color w:val="000000" w:themeColor="text1"/>
                <w:lang w:val="en-US" w:eastAsia="zh-CN"/>
                <w14:textFill>
                  <w14:solidFill>
                    <w14:schemeClr w14:val="tx1"/>
                  </w14:solidFill>
                </w14:textFill>
              </w:rPr>
              <w:t>下浮</w:t>
            </w:r>
            <w:r>
              <w:rPr>
                <w:color w:val="000000" w:themeColor="text1"/>
                <w14:textFill>
                  <w14:solidFill>
                    <w14:schemeClr w14:val="tx1"/>
                  </w14:solidFill>
                </w14:textFill>
              </w:rPr>
              <w:t>率（%）进行报价。</w:t>
            </w:r>
          </w:p>
          <w:p w14:paraId="6B7323E4">
            <w:pPr>
              <w:spacing w:line="3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    （2）</w:t>
            </w:r>
            <w:r>
              <w:rPr>
                <w:bCs/>
                <w:color w:val="000000" w:themeColor="text1"/>
                <w:szCs w:val="21"/>
                <w14:textFill>
                  <w14:solidFill>
                    <w14:schemeClr w14:val="tx1"/>
                  </w14:solidFill>
                </w14:textFill>
              </w:rPr>
              <w:t>建筑安装工程费</w:t>
            </w:r>
            <w:r>
              <w:rPr>
                <w:color w:val="000000" w:themeColor="text1"/>
                <w14:textFill>
                  <w14:solidFill>
                    <w14:schemeClr w14:val="tx1"/>
                  </w14:solidFill>
                </w14:textFill>
              </w:rPr>
              <w:t>结算优惠率与</w:t>
            </w:r>
            <w:r>
              <w:rPr>
                <w:bCs/>
                <w:color w:val="000000" w:themeColor="text1"/>
                <w:szCs w:val="21"/>
                <w14:textFill>
                  <w14:solidFill>
                    <w14:schemeClr w14:val="tx1"/>
                  </w14:solidFill>
                </w14:textFill>
              </w:rPr>
              <w:t>建筑安装工程费</w:t>
            </w:r>
            <w:r>
              <w:rPr>
                <w:color w:val="000000" w:themeColor="text1"/>
                <w14:textFill>
                  <w14:solidFill>
                    <w14:schemeClr w14:val="tx1"/>
                  </w14:solidFill>
                </w14:textFill>
              </w:rPr>
              <w:t>结算</w:t>
            </w:r>
            <w:r>
              <w:rPr>
                <w:rFonts w:hint="eastAsia"/>
                <w:color w:val="000000" w:themeColor="text1"/>
                <w:lang w:val="en-US" w:eastAsia="zh-CN"/>
                <w14:textFill>
                  <w14:solidFill>
                    <w14:schemeClr w14:val="tx1"/>
                  </w14:solidFill>
                </w14:textFill>
              </w:rPr>
              <w:t>下浮</w:t>
            </w:r>
            <w:r>
              <w:rPr>
                <w:color w:val="000000" w:themeColor="text1"/>
                <w14:textFill>
                  <w14:solidFill>
                    <w14:schemeClr w14:val="tx1"/>
                  </w14:solidFill>
                </w14:textFill>
              </w:rPr>
              <w:t>率评标基准价相等得满分5分，每高于或者低于评标基准价1%扣0.</w:t>
            </w:r>
            <w:r>
              <w:rPr>
                <w:rFonts w:hint="eastAsia"/>
                <w:color w:val="000000" w:themeColor="text1"/>
                <w:lang w:val="en-US" w:eastAsia="zh-CN"/>
                <w14:textFill>
                  <w14:solidFill>
                    <w14:schemeClr w14:val="tx1"/>
                  </w14:solidFill>
                </w14:textFill>
              </w:rPr>
              <w:t>1</w:t>
            </w:r>
            <w:r>
              <w:rPr>
                <w:color w:val="000000" w:themeColor="text1"/>
                <w14:textFill>
                  <w14:solidFill>
                    <w14:schemeClr w14:val="tx1"/>
                  </w14:solidFill>
                </w14:textFill>
              </w:rPr>
              <w:t>分，分值扣完为止（若不足1%，可用插入法计算，小数点后保留两位，小数点后第三位“四舍五入”，计算公式=5分－丨投标报价－评标基准价丨×0.</w:t>
            </w:r>
            <w:r>
              <w:rPr>
                <w:rFonts w:hint="eastAsia"/>
                <w:color w:val="000000" w:themeColor="text1"/>
                <w:lang w:val="en-US" w:eastAsia="zh-CN"/>
                <w14:textFill>
                  <w14:solidFill>
                    <w14:schemeClr w14:val="tx1"/>
                  </w14:solidFill>
                </w14:textFill>
              </w:rPr>
              <w:t>1</w:t>
            </w:r>
            <w:r>
              <w:rPr>
                <w:color w:val="000000" w:themeColor="text1"/>
                <w14:textFill>
                  <w14:solidFill>
                    <w14:schemeClr w14:val="tx1"/>
                  </w14:solidFill>
                </w14:textFill>
              </w:rPr>
              <w:t>分。）</w:t>
            </w:r>
          </w:p>
        </w:tc>
      </w:tr>
      <w:tr w14:paraId="126902C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281" w:hRule="atLeast"/>
        </w:trPr>
        <w:tc>
          <w:tcPr>
            <w:tcW w:w="10078" w:type="dxa"/>
            <w:gridSpan w:val="4"/>
            <w:tcBorders>
              <w:top w:val="single" w:color="auto" w:sz="4" w:space="0"/>
              <w:left w:val="single" w:color="auto" w:sz="4" w:space="0"/>
              <w:bottom w:val="single" w:color="auto" w:sz="4" w:space="0"/>
              <w:right w:val="single" w:color="auto" w:sz="4" w:space="0"/>
            </w:tcBorders>
            <w:vAlign w:val="center"/>
          </w:tcPr>
          <w:p w14:paraId="4B4AF564">
            <w:pPr>
              <w:adjustRightInd w:val="0"/>
              <w:snapToGrid w:val="0"/>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统计分数原则：</w:t>
            </w:r>
            <w:r>
              <w:rPr>
                <w:color w:val="000000" w:themeColor="text1"/>
                <w:szCs w:val="21"/>
                <w14:textFill>
                  <w14:solidFill>
                    <w14:schemeClr w14:val="tx1"/>
                  </w14:solidFill>
                </w14:textFill>
              </w:rPr>
              <w:t>评标委员会各评委分别独立打分后计算各投标人评审得分，</w:t>
            </w:r>
            <w:r>
              <w:rPr>
                <w:bCs/>
                <w:color w:val="000000" w:themeColor="text1"/>
                <w:szCs w:val="21"/>
                <w14:textFill>
                  <w14:solidFill>
                    <w14:schemeClr w14:val="tx1"/>
                  </w14:solidFill>
                </w14:textFill>
              </w:rPr>
              <w:t>评标委员会全体成员的评分计算出算术平均值，为投标人评审因素最后得分，小数点后保留两位，小数点后第三位“四舍五入”。</w:t>
            </w:r>
          </w:p>
        </w:tc>
      </w:tr>
    </w:tbl>
    <w:p w14:paraId="70684E26">
      <w:pPr>
        <w:rPr>
          <w:rFonts w:hint="eastAsia" w:ascii="宋体" w:hAnsi="宋体" w:cs="宋体"/>
          <w:color w:val="000000" w:themeColor="text1"/>
          <w14:textFill>
            <w14:solidFill>
              <w14:schemeClr w14:val="tx1"/>
            </w14:solidFill>
          </w14:textFill>
        </w:rPr>
      </w:pPr>
    </w:p>
    <w:p w14:paraId="2867D56B">
      <w:pPr>
        <w:pStyle w:val="3"/>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r>
      <w:bookmarkEnd w:id="746"/>
      <w:bookmarkEnd w:id="747"/>
      <w:bookmarkEnd w:id="748"/>
      <w:bookmarkEnd w:id="749"/>
      <w:bookmarkEnd w:id="750"/>
      <w:bookmarkEnd w:id="751"/>
      <w:bookmarkEnd w:id="752"/>
      <w:bookmarkEnd w:id="753"/>
      <w:bookmarkEnd w:id="754"/>
      <w:bookmarkEnd w:id="755"/>
      <w:bookmarkStart w:id="756" w:name="_Toc27507"/>
      <w:bookmarkStart w:id="757" w:name="_Toc25566"/>
      <w:r>
        <w:rPr>
          <w:rFonts w:hint="eastAsia" w:ascii="宋体" w:hAnsi="宋体" w:eastAsia="宋体" w:cs="宋体"/>
          <w:color w:val="000000" w:themeColor="text1"/>
          <w14:textFill>
            <w14:solidFill>
              <w14:schemeClr w14:val="tx1"/>
            </w14:solidFill>
          </w14:textFill>
        </w:rPr>
        <w:t>1. 评标方法</w:t>
      </w:r>
      <w:bookmarkEnd w:id="756"/>
      <w:bookmarkEnd w:id="757"/>
    </w:p>
    <w:p w14:paraId="1952F129">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本次评标采用综合评估法。评标委员会对满足招标文件实质性要求的投标文件，按照本章第2.2款规定的评分标准进行打分，并按得分由高到低顺序推荐中标候选人，或根据招标人授权直接确定中标人，但投标报价低于其成本的除外。综合评分相等时，以投标报价低的优先；投标报价也相等的，由招标人或者经招标人授权评标委员会自行确定。</w:t>
      </w:r>
    </w:p>
    <w:p w14:paraId="35E4F2FA">
      <w:pPr>
        <w:pStyle w:val="3"/>
        <w:spacing w:line="400" w:lineRule="exact"/>
        <w:rPr>
          <w:rFonts w:hint="eastAsia" w:ascii="宋体" w:hAnsi="宋体" w:eastAsia="宋体" w:cs="宋体"/>
          <w:color w:val="000000" w:themeColor="text1"/>
          <w14:textFill>
            <w14:solidFill>
              <w14:schemeClr w14:val="tx1"/>
            </w14:solidFill>
          </w14:textFill>
        </w:rPr>
      </w:pPr>
      <w:bookmarkStart w:id="758" w:name="_Toc152042378"/>
      <w:bookmarkStart w:id="759" w:name="_Toc247514025"/>
      <w:bookmarkStart w:id="760" w:name="_Toc5712"/>
      <w:bookmarkStart w:id="761" w:name="_Toc144974568"/>
      <w:bookmarkStart w:id="762" w:name="_Toc15677"/>
      <w:bookmarkStart w:id="763" w:name="_Toc16083"/>
      <w:bookmarkStart w:id="764" w:name="_Toc54189859"/>
      <w:bookmarkStart w:id="765" w:name="_Toc152045601"/>
      <w:bookmarkStart w:id="766" w:name="_Toc247527626"/>
      <w:r>
        <w:rPr>
          <w:rFonts w:hint="eastAsia" w:ascii="宋体" w:hAnsi="宋体" w:eastAsia="宋体" w:cs="宋体"/>
          <w:color w:val="000000" w:themeColor="text1"/>
          <w14:textFill>
            <w14:solidFill>
              <w14:schemeClr w14:val="tx1"/>
            </w14:solidFill>
          </w14:textFill>
        </w:rPr>
        <w:t>2. 评审标准</w:t>
      </w:r>
      <w:bookmarkEnd w:id="758"/>
      <w:bookmarkEnd w:id="759"/>
      <w:bookmarkEnd w:id="760"/>
      <w:bookmarkEnd w:id="761"/>
      <w:bookmarkEnd w:id="762"/>
      <w:bookmarkEnd w:id="763"/>
      <w:bookmarkEnd w:id="764"/>
      <w:bookmarkEnd w:id="765"/>
      <w:bookmarkEnd w:id="766"/>
    </w:p>
    <w:p w14:paraId="64F94206">
      <w:pPr>
        <w:pStyle w:val="4"/>
        <w:spacing w:line="400" w:lineRule="exact"/>
        <w:rPr>
          <w:rFonts w:hint="eastAsia" w:ascii="宋体" w:eastAsia="宋体" w:cs="宋体"/>
          <w:color w:val="000000" w:themeColor="text1"/>
          <w14:textFill>
            <w14:solidFill>
              <w14:schemeClr w14:val="tx1"/>
            </w14:solidFill>
          </w14:textFill>
        </w:rPr>
      </w:pPr>
      <w:bookmarkStart w:id="767" w:name="_Toc21760"/>
      <w:bookmarkStart w:id="768" w:name="_Toc144974569"/>
      <w:bookmarkStart w:id="769" w:name="_Toc152045602"/>
      <w:bookmarkStart w:id="770" w:name="_Toc17075"/>
      <w:bookmarkStart w:id="771" w:name="_Toc247514026"/>
      <w:bookmarkStart w:id="772" w:name="_Toc247527627"/>
      <w:bookmarkStart w:id="773" w:name="_Toc28613"/>
      <w:bookmarkStart w:id="774" w:name="_Toc54189860"/>
      <w:bookmarkStart w:id="775" w:name="_Toc152042379"/>
      <w:r>
        <w:rPr>
          <w:rFonts w:hint="eastAsia" w:ascii="宋体" w:eastAsia="宋体" w:cs="宋体"/>
          <w:color w:val="000000" w:themeColor="text1"/>
          <w14:textFill>
            <w14:solidFill>
              <w14:schemeClr w14:val="tx1"/>
            </w14:solidFill>
          </w14:textFill>
        </w:rPr>
        <w:t>2.1 初步评审标准</w:t>
      </w:r>
      <w:bookmarkEnd w:id="767"/>
      <w:bookmarkEnd w:id="768"/>
      <w:bookmarkEnd w:id="769"/>
      <w:bookmarkEnd w:id="770"/>
      <w:bookmarkEnd w:id="771"/>
      <w:bookmarkEnd w:id="772"/>
      <w:bookmarkEnd w:id="773"/>
      <w:bookmarkEnd w:id="774"/>
      <w:bookmarkEnd w:id="775"/>
    </w:p>
    <w:p w14:paraId="77F8E443">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2.1.1 形式评审标准：见评标办法前附表。</w:t>
      </w:r>
    </w:p>
    <w:p w14:paraId="72E82361">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2.1.2 资格评审标准：见评标办法前附表。</w:t>
      </w:r>
    </w:p>
    <w:p w14:paraId="04842CDF">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2.1.3 响应性评审标准：见评标办法前附表。</w:t>
      </w:r>
    </w:p>
    <w:p w14:paraId="58C0664F">
      <w:pPr>
        <w:pStyle w:val="4"/>
        <w:spacing w:line="400" w:lineRule="exact"/>
        <w:rPr>
          <w:rFonts w:hint="eastAsia" w:ascii="宋体" w:eastAsia="宋体" w:cs="宋体"/>
          <w:color w:val="000000" w:themeColor="text1"/>
          <w14:textFill>
            <w14:solidFill>
              <w14:schemeClr w14:val="tx1"/>
            </w14:solidFill>
          </w14:textFill>
        </w:rPr>
      </w:pPr>
      <w:bookmarkStart w:id="776" w:name="_Toc152042380"/>
      <w:bookmarkStart w:id="777" w:name="_Toc54189861"/>
      <w:bookmarkStart w:id="778" w:name="_Toc247527628"/>
      <w:bookmarkStart w:id="779" w:name="_Toc14793"/>
      <w:bookmarkStart w:id="780" w:name="_Toc32688"/>
      <w:bookmarkStart w:id="781" w:name="_Toc20398"/>
      <w:bookmarkStart w:id="782" w:name="_Toc247514027"/>
      <w:bookmarkStart w:id="783" w:name="_Toc144974570"/>
      <w:bookmarkStart w:id="784" w:name="_Toc152045603"/>
      <w:r>
        <w:rPr>
          <w:rFonts w:hint="eastAsia" w:ascii="宋体" w:eastAsia="宋体" w:cs="宋体"/>
          <w:color w:val="000000" w:themeColor="text1"/>
          <w14:textFill>
            <w14:solidFill>
              <w14:schemeClr w14:val="tx1"/>
            </w14:solidFill>
          </w14:textFill>
        </w:rPr>
        <w:t>2.2 分值构成与评分标准</w:t>
      </w:r>
      <w:bookmarkEnd w:id="776"/>
      <w:bookmarkEnd w:id="777"/>
      <w:bookmarkEnd w:id="778"/>
      <w:bookmarkEnd w:id="779"/>
      <w:bookmarkEnd w:id="780"/>
      <w:bookmarkEnd w:id="781"/>
      <w:bookmarkEnd w:id="782"/>
      <w:bookmarkEnd w:id="783"/>
      <w:bookmarkEnd w:id="784"/>
    </w:p>
    <w:p w14:paraId="23C2BDEB">
      <w:pPr>
        <w:spacing w:line="400" w:lineRule="exact"/>
        <w:ind w:firstLine="420" w:firstLineChars="200"/>
        <w:rPr>
          <w:rFonts w:hint="eastAsia" w:ascii="宋体" w:hAnsi="宋体" w:cs="宋体"/>
          <w:color w:val="000000" w:themeColor="text1"/>
          <w14:textFill>
            <w14:solidFill>
              <w14:schemeClr w14:val="tx1"/>
            </w14:solidFill>
          </w14:textFill>
        </w:rPr>
      </w:pPr>
      <w:bookmarkStart w:id="785" w:name="_Toc144974571"/>
      <w:bookmarkStart w:id="786" w:name="_Toc247514028"/>
      <w:bookmarkStart w:id="787" w:name="_Toc27346"/>
      <w:bookmarkStart w:id="788" w:name="_Toc152045604"/>
      <w:bookmarkStart w:id="789" w:name="_Toc152042381"/>
      <w:bookmarkStart w:id="790" w:name="_Toc247527629"/>
      <w:r>
        <w:rPr>
          <w:rFonts w:hint="eastAsia" w:ascii="宋体" w:hAnsi="宋体" w:cs="宋体"/>
          <w:color w:val="000000" w:themeColor="text1"/>
          <w14:textFill>
            <w14:solidFill>
              <w14:schemeClr w14:val="tx1"/>
            </w14:solidFill>
          </w14:textFill>
        </w:rPr>
        <w:t>2.2.1 分值构成</w:t>
      </w:r>
    </w:p>
    <w:p w14:paraId="4C451059">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（1）技术部分：见评标办法前附表；</w:t>
      </w:r>
    </w:p>
    <w:p w14:paraId="4FF5C019">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（2）投标报价：见评标办法前附表；</w:t>
      </w:r>
    </w:p>
    <w:p w14:paraId="0A093D8A">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2.2.2 评标基准价计算</w:t>
      </w:r>
    </w:p>
    <w:p w14:paraId="42898418">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评标基准价计算方法：见评标办法前附表。</w:t>
      </w:r>
    </w:p>
    <w:p w14:paraId="6D093887">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2.2.3评分标准</w:t>
      </w:r>
    </w:p>
    <w:p w14:paraId="06ADDB7F">
      <w:pPr>
        <w:spacing w:line="400" w:lineRule="exact"/>
        <w:ind w:firstLine="420" w:firstLineChars="200"/>
        <w:rPr>
          <w:rFonts w:hint="eastAsia" w:ascii="宋体" w:hAnsi="宋体" w:cs="宋体"/>
          <w:color w:val="000000" w:themeColor="text1"/>
          <w14:textFill>
            <w14:solidFill>
              <w14:schemeClr w14:val="tx1"/>
            </w14:solidFill>
          </w14:textFill>
        </w:rPr>
      </w:pPr>
      <w:bookmarkStart w:id="791" w:name="_Toc54189862"/>
      <w:r>
        <w:rPr>
          <w:rFonts w:hint="eastAsia" w:ascii="宋体" w:hAnsi="宋体" w:cs="宋体"/>
          <w:color w:val="000000" w:themeColor="text1"/>
          <w14:textFill>
            <w14:solidFill>
              <w14:schemeClr w14:val="tx1"/>
            </w14:solidFill>
          </w14:textFill>
        </w:rPr>
        <w:t>（1）承包人建议书评分标准：见评标办法前附表；</w:t>
      </w:r>
    </w:p>
    <w:p w14:paraId="023EA574">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（2）承包人</w:t>
      </w:r>
      <w:r>
        <w:rPr>
          <w:rFonts w:hint="eastAsia" w:ascii="宋体" w:hAnsi="宋体" w:cs="宋体"/>
          <w:color w:val="000000" w:themeColor="text1"/>
          <w:lang w:val="en-US" w:eastAsia="zh-CN"/>
          <w14:textFill>
            <w14:solidFill>
              <w14:schemeClr w14:val="tx1"/>
            </w14:solidFill>
          </w14:textFill>
        </w:rPr>
        <w:t>建筑安装工程</w:t>
      </w:r>
      <w:r>
        <w:rPr>
          <w:rFonts w:hint="eastAsia" w:ascii="宋体" w:hAnsi="宋体" w:cs="宋体"/>
          <w:color w:val="000000" w:themeColor="text1"/>
          <w14:textFill>
            <w14:solidFill>
              <w14:schemeClr w14:val="tx1"/>
            </w14:solidFill>
          </w14:textFill>
        </w:rPr>
        <w:t>实施方案评分标准：见评标办法前附表；</w:t>
      </w:r>
    </w:p>
    <w:p w14:paraId="3DF8E557">
      <w:pPr>
        <w:spacing w:line="400" w:lineRule="exact"/>
        <w:ind w:firstLine="420" w:firstLineChars="200"/>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cs="宋体"/>
          <w:color w:val="000000" w:themeColor="text1"/>
          <w:lang w:eastAsia="zh-CN"/>
          <w14:textFill>
            <w14:solidFill>
              <w14:schemeClr w14:val="tx1"/>
            </w14:solidFill>
          </w14:textFill>
        </w:rPr>
        <w:t>（</w:t>
      </w:r>
      <w:r>
        <w:rPr>
          <w:rFonts w:hint="eastAsia" w:ascii="宋体" w:hAnsi="宋体" w:cs="宋体"/>
          <w:color w:val="000000" w:themeColor="text1"/>
          <w:lang w:val="en-US" w:eastAsia="zh-CN"/>
          <w14:textFill>
            <w14:solidFill>
              <w14:schemeClr w14:val="tx1"/>
            </w14:solidFill>
          </w14:textFill>
        </w:rPr>
        <w:t>3</w:t>
      </w:r>
      <w:r>
        <w:rPr>
          <w:rFonts w:hint="eastAsia" w:ascii="宋体" w:hAnsi="宋体" w:cs="宋体"/>
          <w:color w:val="000000" w:themeColor="text1"/>
          <w:lang w:eastAsia="zh-CN"/>
          <w14:textFill>
            <w14:solidFill>
              <w14:schemeClr w14:val="tx1"/>
            </w14:solidFill>
          </w14:textFill>
        </w:rPr>
        <w:t>）</w:t>
      </w:r>
      <w:r>
        <w:rPr>
          <w:rFonts w:hint="eastAsia" w:ascii="宋体" w:hAnsi="宋体" w:cs="宋体"/>
          <w:color w:val="000000" w:themeColor="text1"/>
          <w:lang w:val="en-US" w:eastAsia="zh-CN"/>
          <w14:textFill>
            <w14:solidFill>
              <w14:schemeClr w14:val="tx1"/>
            </w14:solidFill>
          </w14:textFill>
        </w:rPr>
        <w:t>承包人设备实施方案评分标准：见评标办法前附表；</w:t>
      </w:r>
    </w:p>
    <w:p w14:paraId="7B0B0BC6">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w:t>
      </w:r>
      <w:r>
        <w:rPr>
          <w:rFonts w:hint="eastAsia" w:ascii="宋体" w:hAnsi="宋体" w:cs="宋体"/>
          <w:color w:val="000000" w:themeColor="text1"/>
          <w:lang w:val="en-US" w:eastAsia="zh-CN"/>
          <w14:textFill>
            <w14:solidFill>
              <w14:schemeClr w14:val="tx1"/>
            </w14:solidFill>
          </w14:textFill>
        </w:rPr>
        <w:t>4</w:t>
      </w:r>
      <w:r>
        <w:rPr>
          <w:rFonts w:hint="eastAsia" w:ascii="宋体" w:hAnsi="宋体" w:cs="宋体"/>
          <w:color w:val="000000" w:themeColor="text1"/>
          <w14:textFill>
            <w14:solidFill>
              <w14:schemeClr w14:val="tx1"/>
            </w14:solidFill>
          </w14:textFill>
        </w:rPr>
        <w:t>）投标报价：见评标办法前附表；</w:t>
      </w:r>
    </w:p>
    <w:p w14:paraId="6C12974F">
      <w:pPr>
        <w:pStyle w:val="3"/>
        <w:spacing w:line="400" w:lineRule="exact"/>
        <w:rPr>
          <w:rFonts w:hint="eastAsia" w:ascii="宋体" w:hAnsi="宋体" w:eastAsia="宋体" w:cs="宋体"/>
          <w:color w:val="000000" w:themeColor="text1"/>
          <w14:textFill>
            <w14:solidFill>
              <w14:schemeClr w14:val="tx1"/>
            </w14:solidFill>
          </w14:textFill>
        </w:rPr>
      </w:pPr>
      <w:bookmarkStart w:id="792" w:name="_Toc28454"/>
      <w:bookmarkStart w:id="793" w:name="_Toc19667"/>
      <w:r>
        <w:rPr>
          <w:rFonts w:hint="eastAsia" w:ascii="宋体" w:hAnsi="宋体" w:eastAsia="宋体" w:cs="宋体"/>
          <w:color w:val="000000" w:themeColor="text1"/>
          <w14:textFill>
            <w14:solidFill>
              <w14:schemeClr w14:val="tx1"/>
            </w14:solidFill>
          </w14:textFill>
        </w:rPr>
        <w:t>3. 评标程序</w:t>
      </w:r>
      <w:bookmarkEnd w:id="785"/>
      <w:bookmarkEnd w:id="786"/>
      <w:bookmarkEnd w:id="787"/>
      <w:bookmarkEnd w:id="788"/>
      <w:bookmarkEnd w:id="789"/>
      <w:bookmarkEnd w:id="790"/>
      <w:bookmarkEnd w:id="791"/>
      <w:bookmarkEnd w:id="792"/>
      <w:bookmarkEnd w:id="793"/>
    </w:p>
    <w:p w14:paraId="217233AE">
      <w:pPr>
        <w:pStyle w:val="4"/>
        <w:spacing w:line="400" w:lineRule="exact"/>
        <w:rPr>
          <w:rFonts w:hint="eastAsia" w:ascii="宋体" w:eastAsia="宋体" w:cs="宋体"/>
          <w:color w:val="000000" w:themeColor="text1"/>
          <w14:textFill>
            <w14:solidFill>
              <w14:schemeClr w14:val="tx1"/>
            </w14:solidFill>
          </w14:textFill>
        </w:rPr>
      </w:pPr>
      <w:bookmarkStart w:id="794" w:name="_Toc152042382"/>
      <w:bookmarkStart w:id="795" w:name="_Toc54189863"/>
      <w:bookmarkStart w:id="796" w:name="_Toc152045605"/>
      <w:bookmarkStart w:id="797" w:name="_Toc25742"/>
      <w:bookmarkStart w:id="798" w:name="_Toc247514029"/>
      <w:bookmarkStart w:id="799" w:name="_Toc247527630"/>
      <w:bookmarkStart w:id="800" w:name="_Toc19670"/>
      <w:bookmarkStart w:id="801" w:name="_Toc144974572"/>
      <w:bookmarkStart w:id="802" w:name="_Toc9135"/>
      <w:r>
        <w:rPr>
          <w:rFonts w:hint="eastAsia" w:ascii="宋体" w:eastAsia="宋体" w:cs="宋体"/>
          <w:color w:val="000000" w:themeColor="text1"/>
          <w14:textFill>
            <w14:solidFill>
              <w14:schemeClr w14:val="tx1"/>
            </w14:solidFill>
          </w14:textFill>
        </w:rPr>
        <w:t>3.1 初步评审</w:t>
      </w:r>
      <w:bookmarkEnd w:id="794"/>
      <w:bookmarkEnd w:id="795"/>
      <w:bookmarkEnd w:id="796"/>
      <w:bookmarkEnd w:id="797"/>
      <w:bookmarkEnd w:id="798"/>
      <w:bookmarkEnd w:id="799"/>
      <w:bookmarkEnd w:id="800"/>
      <w:bookmarkEnd w:id="801"/>
      <w:bookmarkEnd w:id="802"/>
    </w:p>
    <w:p w14:paraId="148F2057">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3.1.1 评标委员会可以要求投标人提交第二章“投标人须知”第3.5.1项至第3.5.5项规定的有关证明和证件的原件，以便核验。评标委员会依据本章第2.1款规定的标准对投标文件进行初步评审。有一项不符合评审标准的，评标委员会应当否决其投标。（适用于未进行资格预审的）</w:t>
      </w:r>
    </w:p>
    <w:p w14:paraId="2FE4D388">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3.1.2 投标人有以下情形之一的，评标委员会应当否决其投标：</w:t>
      </w:r>
    </w:p>
    <w:p w14:paraId="4674D9E3">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（1）第二章“投标人须知”第1.4.3项、第1.4.4项规定的任何一种情形的；</w:t>
      </w:r>
    </w:p>
    <w:p w14:paraId="0A9BE828">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（2）串通投标或弄虚作假或有其他违法行为的；</w:t>
      </w:r>
    </w:p>
    <w:p w14:paraId="0811AC67">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（3）不按评标委员会要求澄清、说明或补正的。</w:t>
      </w:r>
    </w:p>
    <w:p w14:paraId="067407B5">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3.1.3 投标报价有算术错误的，评标委员会按以下原则对投标报价进行修正，修正的价格经投标人书面确认后具有约束力。投标人不接受修正价格的，评标委员会应当否决其投标。</w:t>
      </w:r>
    </w:p>
    <w:p w14:paraId="574C1AFE">
      <w:pPr>
        <w:spacing w:line="400" w:lineRule="exact"/>
        <w:ind w:firstLine="420" w:firstLineChars="200"/>
        <w:rPr>
          <w:rFonts w:hint="eastAsia" w:ascii="宋体" w:hAnsi="宋体" w:cs="宋体"/>
          <w:color w:val="000000" w:themeColor="text1"/>
          <w14:textFill>
            <w14:solidFill>
              <w14:schemeClr w14:val="tx1"/>
            </w14:solidFill>
          </w14:textFill>
        </w:rPr>
      </w:pPr>
      <w:bookmarkStart w:id="803" w:name="_Toc152042383"/>
      <w:r>
        <w:rPr>
          <w:rFonts w:hint="eastAsia" w:ascii="宋体" w:hAnsi="宋体" w:cs="宋体"/>
          <w:color w:val="000000" w:themeColor="text1"/>
          <w14:textFill>
            <w14:solidFill>
              <w14:schemeClr w14:val="tx1"/>
            </w14:solidFill>
          </w14:textFill>
        </w:rPr>
        <w:t>（1）投标文件中的大写金额与小写金额不一致的，以大写金额为准；</w:t>
      </w:r>
      <w:bookmarkEnd w:id="803"/>
    </w:p>
    <w:p w14:paraId="5EF1BACC">
      <w:pPr>
        <w:spacing w:line="360" w:lineRule="auto"/>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（2）总价金额与依据单价计算出的结果不一致的，以单价金额为准修正总价，但单价金额小数点有明显错误的除外。</w:t>
      </w:r>
    </w:p>
    <w:p w14:paraId="5F861B21">
      <w:pPr>
        <w:spacing w:line="360" w:lineRule="auto"/>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3.1.4</w:t>
      </w:r>
      <w:r>
        <w:rPr>
          <w:rFonts w:hint="eastAsia" w:ascii="宋体" w:hAnsi="宋体" w:cs="宋体"/>
          <w:color w:val="000000" w:themeColor="text1"/>
          <w:szCs w:val="21"/>
          <w14:textFill>
            <w14:solidFill>
              <w14:schemeClr w14:val="tx1"/>
            </w14:solidFill>
          </w14:textFill>
        </w:rPr>
        <w:t>初步评审后，若有效投标不足三家，且经评标委员会评审认为投标仍具有竞争力时，评标委员会可以继续评审并推荐中标候选人；若因有效投标不足三家，且经评标委员会评审认为投标明显缺乏竞争时，评标委员会可以否决所有投标。</w:t>
      </w:r>
    </w:p>
    <w:p w14:paraId="04B96669">
      <w:pPr>
        <w:pStyle w:val="4"/>
        <w:spacing w:line="400" w:lineRule="exact"/>
        <w:rPr>
          <w:rFonts w:hint="eastAsia" w:ascii="宋体" w:eastAsia="宋体" w:cs="宋体"/>
          <w:color w:val="000000" w:themeColor="text1"/>
          <w14:textFill>
            <w14:solidFill>
              <w14:schemeClr w14:val="tx1"/>
            </w14:solidFill>
          </w14:textFill>
        </w:rPr>
      </w:pPr>
      <w:bookmarkStart w:id="804" w:name="_Toc144974573"/>
      <w:bookmarkStart w:id="805" w:name="_Toc8607"/>
      <w:bookmarkStart w:id="806" w:name="_Toc12958"/>
      <w:bookmarkStart w:id="807" w:name="_Toc54189864"/>
      <w:bookmarkStart w:id="808" w:name="_Toc152042384"/>
      <w:bookmarkStart w:id="809" w:name="_Toc152045606"/>
      <w:bookmarkStart w:id="810" w:name="_Toc247527631"/>
      <w:bookmarkStart w:id="811" w:name="_Toc247514030"/>
      <w:bookmarkStart w:id="812" w:name="_Toc21101"/>
      <w:r>
        <w:rPr>
          <w:rFonts w:hint="eastAsia" w:ascii="宋体" w:eastAsia="宋体" w:cs="宋体"/>
          <w:color w:val="000000" w:themeColor="text1"/>
          <w14:textFill>
            <w14:solidFill>
              <w14:schemeClr w14:val="tx1"/>
            </w14:solidFill>
          </w14:textFill>
        </w:rPr>
        <w:t>3.2 详细评审</w:t>
      </w:r>
      <w:bookmarkEnd w:id="804"/>
      <w:bookmarkEnd w:id="805"/>
      <w:bookmarkEnd w:id="806"/>
      <w:bookmarkEnd w:id="807"/>
      <w:bookmarkEnd w:id="808"/>
      <w:bookmarkEnd w:id="809"/>
      <w:bookmarkEnd w:id="810"/>
      <w:bookmarkEnd w:id="811"/>
      <w:bookmarkEnd w:id="812"/>
    </w:p>
    <w:p w14:paraId="613EC623">
      <w:pPr>
        <w:spacing w:line="400" w:lineRule="exact"/>
        <w:ind w:firstLine="420" w:firstLineChars="200"/>
        <w:rPr>
          <w:rFonts w:hint="eastAsia" w:ascii="宋体" w:hAnsi="宋体" w:cs="宋体"/>
          <w:color w:val="000000" w:themeColor="text1"/>
          <w14:textFill>
            <w14:solidFill>
              <w14:schemeClr w14:val="tx1"/>
            </w14:solidFill>
          </w14:textFill>
        </w:rPr>
      </w:pPr>
      <w:bookmarkStart w:id="813" w:name="_Toc144974575"/>
      <w:bookmarkStart w:id="814" w:name="_Toc247527632"/>
      <w:bookmarkStart w:id="815" w:name="_Toc152042385"/>
      <w:bookmarkStart w:id="816" w:name="_Toc6281"/>
      <w:bookmarkStart w:id="817" w:name="_Toc152045607"/>
      <w:bookmarkStart w:id="818" w:name="_Toc247514031"/>
      <w:r>
        <w:rPr>
          <w:rFonts w:hint="eastAsia" w:ascii="宋体" w:hAnsi="宋体" w:cs="宋体"/>
          <w:color w:val="000000" w:themeColor="text1"/>
          <w14:textFill>
            <w14:solidFill>
              <w14:schemeClr w14:val="tx1"/>
            </w14:solidFill>
          </w14:textFill>
        </w:rPr>
        <w:t>3.2.1 评标委员会按本章第2.2款规定的量化因素和分值进行打分，并计算出综合评估得分。评标办法前附表对承包人建议书中的设计文件评审有特殊规定的，从其规定。</w:t>
      </w:r>
    </w:p>
    <w:p w14:paraId="30EEF6D8">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（1）按本章第2.2.3（1）目规定的评审因素和分值对承包人建议书计算出得分A；</w:t>
      </w:r>
    </w:p>
    <w:p w14:paraId="59662D64">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（2）按本章第2.2.3（2）目规定的评审因素和分值对承包人</w:t>
      </w:r>
      <w:r>
        <w:rPr>
          <w:rFonts w:hint="eastAsia" w:ascii="宋体" w:hAnsi="宋体" w:cs="宋体"/>
          <w:color w:val="000000" w:themeColor="text1"/>
          <w:lang w:val="en-US" w:eastAsia="zh-CN"/>
          <w14:textFill>
            <w14:solidFill>
              <w14:schemeClr w14:val="tx1"/>
            </w14:solidFill>
          </w14:textFill>
        </w:rPr>
        <w:t>设备实施方案</w:t>
      </w:r>
      <w:r>
        <w:rPr>
          <w:rFonts w:hint="eastAsia" w:ascii="宋体" w:hAnsi="宋体" w:cs="宋体"/>
          <w:color w:val="000000" w:themeColor="text1"/>
          <w14:textFill>
            <w14:solidFill>
              <w14:schemeClr w14:val="tx1"/>
            </w14:solidFill>
          </w14:textFill>
        </w:rPr>
        <w:t>计算出得分B；</w:t>
      </w:r>
    </w:p>
    <w:p w14:paraId="57F847F6">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（3）按本章第2.2.3（3）目规定的评审因素和分值对承包人</w:t>
      </w:r>
      <w:r>
        <w:rPr>
          <w:rFonts w:hint="eastAsia" w:ascii="宋体" w:hAnsi="宋体" w:cs="宋体"/>
          <w:color w:val="000000" w:themeColor="text1"/>
          <w:lang w:val="en-US" w:eastAsia="zh-CN"/>
          <w14:textFill>
            <w14:solidFill>
              <w14:schemeClr w14:val="tx1"/>
            </w14:solidFill>
          </w14:textFill>
        </w:rPr>
        <w:t>建筑安装工程</w:t>
      </w:r>
      <w:r>
        <w:rPr>
          <w:rFonts w:hint="eastAsia" w:ascii="宋体" w:hAnsi="宋体" w:cs="宋体"/>
          <w:color w:val="000000" w:themeColor="text1"/>
          <w14:textFill>
            <w14:solidFill>
              <w14:schemeClr w14:val="tx1"/>
            </w14:solidFill>
          </w14:textFill>
        </w:rPr>
        <w:t>实施计算出得分C；</w:t>
      </w:r>
    </w:p>
    <w:p w14:paraId="4C6A6EBA">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w:t>
      </w:r>
      <w:r>
        <w:rPr>
          <w:rFonts w:hint="eastAsia" w:ascii="宋体" w:hAnsi="宋体" w:cs="宋体"/>
          <w:color w:val="000000" w:themeColor="text1"/>
          <w:lang w:val="en-US" w:eastAsia="zh-CN"/>
          <w14:textFill>
            <w14:solidFill>
              <w14:schemeClr w14:val="tx1"/>
            </w14:solidFill>
          </w14:textFill>
        </w:rPr>
        <w:t>4</w:t>
      </w:r>
      <w:r>
        <w:rPr>
          <w:rFonts w:hint="eastAsia" w:ascii="宋体" w:hAnsi="宋体" w:cs="宋体"/>
          <w:color w:val="000000" w:themeColor="text1"/>
          <w14:textFill>
            <w14:solidFill>
              <w14:schemeClr w14:val="tx1"/>
            </w14:solidFill>
          </w14:textFill>
        </w:rPr>
        <w:t>）按本章第2.2.3（</w:t>
      </w:r>
      <w:r>
        <w:rPr>
          <w:rFonts w:hint="eastAsia" w:ascii="宋体" w:hAnsi="宋体" w:cs="宋体"/>
          <w:color w:val="000000" w:themeColor="text1"/>
          <w:lang w:val="en-US" w:eastAsia="zh-CN"/>
          <w14:textFill>
            <w14:solidFill>
              <w14:schemeClr w14:val="tx1"/>
            </w14:solidFill>
          </w14:textFill>
        </w:rPr>
        <w:t>4</w:t>
      </w:r>
      <w:r>
        <w:rPr>
          <w:rFonts w:hint="eastAsia" w:ascii="宋体" w:hAnsi="宋体" w:cs="宋体"/>
          <w:color w:val="000000" w:themeColor="text1"/>
          <w14:textFill>
            <w14:solidFill>
              <w14:schemeClr w14:val="tx1"/>
            </w14:solidFill>
          </w14:textFill>
        </w:rPr>
        <w:t>）目规定的评审因素和分值对承包人投标报价计算出得分</w:t>
      </w:r>
      <w:r>
        <w:rPr>
          <w:rFonts w:hint="eastAsia" w:ascii="宋体" w:hAnsi="宋体" w:cs="宋体"/>
          <w:color w:val="000000" w:themeColor="text1"/>
          <w:lang w:val="en-US" w:eastAsia="zh-CN"/>
          <w14:textFill>
            <w14:solidFill>
              <w14:schemeClr w14:val="tx1"/>
            </w14:solidFill>
          </w14:textFill>
        </w:rPr>
        <w:t>D</w:t>
      </w:r>
      <w:r>
        <w:rPr>
          <w:rFonts w:hint="eastAsia" w:ascii="宋体" w:hAnsi="宋体" w:cs="宋体"/>
          <w:color w:val="000000" w:themeColor="text1"/>
          <w14:textFill>
            <w14:solidFill>
              <w14:schemeClr w14:val="tx1"/>
            </w14:solidFill>
          </w14:textFill>
        </w:rPr>
        <w:t>；</w:t>
      </w:r>
    </w:p>
    <w:p w14:paraId="3105FB8E">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3.2.2 评分分值计算保留小数点后两位，小数点后第三位“四舍五入”。</w:t>
      </w:r>
    </w:p>
    <w:p w14:paraId="5252ED18">
      <w:pPr>
        <w:spacing w:line="400" w:lineRule="exact"/>
        <w:ind w:firstLine="420" w:firstLineChars="200"/>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cs="宋体"/>
          <w:color w:val="000000" w:themeColor="text1"/>
          <w14:textFill>
            <w14:solidFill>
              <w14:schemeClr w14:val="tx1"/>
            </w14:solidFill>
          </w14:textFill>
        </w:rPr>
        <w:t>3.2.3 投标人得分=A+B+C</w:t>
      </w:r>
      <w:r>
        <w:rPr>
          <w:rFonts w:hint="eastAsia" w:ascii="宋体" w:hAnsi="宋体" w:cs="宋体"/>
          <w:color w:val="000000" w:themeColor="text1"/>
          <w:lang w:val="en-US" w:eastAsia="zh-CN"/>
          <w14:textFill>
            <w14:solidFill>
              <w14:schemeClr w14:val="tx1"/>
            </w14:solidFill>
          </w14:textFill>
        </w:rPr>
        <w:t>+D</w:t>
      </w:r>
    </w:p>
    <w:p w14:paraId="20B886CA">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3.2.4 评标委员会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评标委员会应当认定该投标人以低于成本报价竞标，应当否决其投标。</w:t>
      </w:r>
    </w:p>
    <w:p w14:paraId="764B8EBA">
      <w:pPr>
        <w:pStyle w:val="4"/>
        <w:spacing w:line="400" w:lineRule="exact"/>
        <w:rPr>
          <w:rFonts w:hint="eastAsia" w:ascii="宋体" w:eastAsia="宋体" w:cs="宋体"/>
          <w:color w:val="000000" w:themeColor="text1"/>
          <w14:textFill>
            <w14:solidFill>
              <w14:schemeClr w14:val="tx1"/>
            </w14:solidFill>
          </w14:textFill>
        </w:rPr>
      </w:pPr>
      <w:bookmarkStart w:id="819" w:name="_Toc11490"/>
      <w:bookmarkStart w:id="820" w:name="_Toc16637"/>
      <w:bookmarkStart w:id="821" w:name="_Toc54189865"/>
      <w:r>
        <w:rPr>
          <w:rFonts w:hint="eastAsia" w:ascii="宋体" w:eastAsia="宋体" w:cs="宋体"/>
          <w:color w:val="000000" w:themeColor="text1"/>
          <w14:textFill>
            <w14:solidFill>
              <w14:schemeClr w14:val="tx1"/>
            </w14:solidFill>
          </w14:textFill>
        </w:rPr>
        <w:t>3.3 投标文件的澄清</w:t>
      </w:r>
      <w:bookmarkEnd w:id="813"/>
      <w:r>
        <w:rPr>
          <w:rFonts w:hint="eastAsia" w:ascii="宋体" w:eastAsia="宋体" w:cs="宋体"/>
          <w:color w:val="000000" w:themeColor="text1"/>
          <w14:textFill>
            <w14:solidFill>
              <w14:schemeClr w14:val="tx1"/>
            </w14:solidFill>
          </w14:textFill>
        </w:rPr>
        <w:t>和补正</w:t>
      </w:r>
      <w:bookmarkEnd w:id="814"/>
      <w:bookmarkEnd w:id="815"/>
      <w:bookmarkEnd w:id="816"/>
      <w:bookmarkEnd w:id="817"/>
      <w:bookmarkEnd w:id="818"/>
      <w:bookmarkEnd w:id="819"/>
      <w:bookmarkEnd w:id="820"/>
      <w:bookmarkEnd w:id="821"/>
    </w:p>
    <w:p w14:paraId="24CE126F">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3.3.1 在评标过程中，评标委员会可以书面形式要求投标人对所提交投标文件中不明确的内容进行书面澄清或说明，或者对细微偏差进行补正。评标委员会不接受投标人主动提出的澄清、说明或补正。</w:t>
      </w:r>
    </w:p>
    <w:p w14:paraId="141188E6">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3.3.2 澄清、说明和补正不得改变投标文件的实质性内容。投标人的书面澄清、说明和补正属于投标文件的组成部分。</w:t>
      </w:r>
    </w:p>
    <w:p w14:paraId="3FC48DCB">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3.3.3 评标委员会对投标人提交的澄清、说明或补正有疑问的，可以要求投标人进一步澄清、说明或补正，直至满足评标委员会的要求。</w:t>
      </w:r>
    </w:p>
    <w:p w14:paraId="4EB69608">
      <w:pPr>
        <w:pStyle w:val="4"/>
        <w:spacing w:line="400" w:lineRule="exact"/>
        <w:rPr>
          <w:rFonts w:hint="eastAsia" w:ascii="宋体" w:eastAsia="宋体" w:cs="宋体"/>
          <w:color w:val="000000" w:themeColor="text1"/>
          <w14:textFill>
            <w14:solidFill>
              <w14:schemeClr w14:val="tx1"/>
            </w14:solidFill>
          </w14:textFill>
        </w:rPr>
      </w:pPr>
      <w:bookmarkStart w:id="822" w:name="_Toc247527633"/>
      <w:bookmarkStart w:id="823" w:name="_Toc17229"/>
      <w:bookmarkStart w:id="824" w:name="_Toc54189866"/>
      <w:bookmarkStart w:id="825" w:name="_Toc17995"/>
      <w:bookmarkStart w:id="826" w:name="_Toc144974576"/>
      <w:bookmarkStart w:id="827" w:name="_Toc152045608"/>
      <w:bookmarkStart w:id="828" w:name="_Toc152042386"/>
      <w:bookmarkStart w:id="829" w:name="_Toc247514032"/>
      <w:bookmarkStart w:id="830" w:name="_Toc25254"/>
      <w:r>
        <w:rPr>
          <w:rFonts w:hint="eastAsia" w:ascii="宋体" w:eastAsia="宋体" w:cs="宋体"/>
          <w:color w:val="000000" w:themeColor="text1"/>
          <w14:textFill>
            <w14:solidFill>
              <w14:schemeClr w14:val="tx1"/>
            </w14:solidFill>
          </w14:textFill>
        </w:rPr>
        <w:t>3.4 评标结果</w:t>
      </w:r>
      <w:bookmarkEnd w:id="822"/>
      <w:bookmarkEnd w:id="823"/>
      <w:bookmarkEnd w:id="824"/>
      <w:bookmarkEnd w:id="825"/>
      <w:bookmarkEnd w:id="826"/>
      <w:bookmarkEnd w:id="827"/>
      <w:bookmarkEnd w:id="828"/>
      <w:bookmarkEnd w:id="829"/>
      <w:bookmarkEnd w:id="830"/>
    </w:p>
    <w:p w14:paraId="7534BB59">
      <w:pPr>
        <w:spacing w:line="40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3.4.1 除第二章“投标人须知”前附表授权直接确定中标人外，评标委员会按照得分由高到低的顺序推荐中标候选人。</w:t>
      </w:r>
    </w:p>
    <w:p w14:paraId="31FF6D79">
      <w:pPr>
        <w:spacing w:line="38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3.4.2 评标委员会完成评标后，应当向招标人提交书面评标报告。</w:t>
      </w:r>
    </w:p>
    <w:p w14:paraId="48CA384A">
      <w:pPr>
        <w:spacing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p>
    <w:p w14:paraId="7646541A">
      <w:pPr>
        <w:pStyle w:val="2"/>
        <w:spacing w:before="0" w:after="200" w:line="240" w:lineRule="auto"/>
        <w:jc w:val="center"/>
        <w:rPr>
          <w:rFonts w:hint="eastAsia" w:ascii="宋体" w:hAnsi="宋体" w:cs="宋体"/>
          <w:color w:val="000000" w:themeColor="text1"/>
          <w:sz w:val="42"/>
          <w14:textFill>
            <w14:solidFill>
              <w14:schemeClr w14:val="tx1"/>
            </w14:solidFill>
          </w14:textFill>
        </w:rPr>
      </w:pPr>
      <w:bookmarkStart w:id="831" w:name="_Toc144974577"/>
      <w:bookmarkStart w:id="832" w:name="_Toc101"/>
      <w:bookmarkStart w:id="833" w:name="_Toc152042387"/>
      <w:bookmarkStart w:id="834" w:name="_Toc247527634"/>
      <w:bookmarkStart w:id="835" w:name="_Toc247514033"/>
      <w:bookmarkStart w:id="836" w:name="_Toc152045609"/>
      <w:r>
        <w:rPr>
          <w:rFonts w:hint="eastAsia" w:ascii="宋体" w:hAnsi="宋体" w:cs="宋体"/>
          <w:color w:val="000000" w:themeColor="text1"/>
          <w:sz w:val="42"/>
          <w14:textFill>
            <w14:solidFill>
              <w14:schemeClr w14:val="tx1"/>
            </w14:solidFill>
          </w14:textFill>
        </w:rPr>
        <w:t>第四章 合同条款及格式</w:t>
      </w:r>
      <w:bookmarkEnd w:id="831"/>
      <w:bookmarkEnd w:id="832"/>
      <w:bookmarkEnd w:id="833"/>
      <w:bookmarkEnd w:id="834"/>
      <w:bookmarkEnd w:id="835"/>
      <w:bookmarkEnd w:id="836"/>
      <w:bookmarkStart w:id="837" w:name="_Toc152045610"/>
      <w:bookmarkStart w:id="838" w:name="_Toc152042388"/>
      <w:bookmarkStart w:id="839" w:name="_Toc247514034"/>
      <w:bookmarkStart w:id="840" w:name="_Toc247527635"/>
      <w:bookmarkStart w:id="841" w:name="_Toc184635097"/>
      <w:bookmarkStart w:id="842" w:name="_Toc144974578"/>
    </w:p>
    <w:bookmarkEnd w:id="837"/>
    <w:bookmarkEnd w:id="838"/>
    <w:bookmarkEnd w:id="839"/>
    <w:bookmarkEnd w:id="840"/>
    <w:bookmarkEnd w:id="841"/>
    <w:bookmarkEnd w:id="842"/>
    <w:p w14:paraId="677974AD">
      <w:pPr>
        <w:rPr>
          <w:rFonts w:hint="eastAsia" w:ascii="宋体" w:hAnsi="宋体" w:cs="宋体"/>
          <w:color w:val="000000" w:themeColor="text1"/>
          <w14:textFill>
            <w14:solidFill>
              <w14:schemeClr w14:val="tx1"/>
            </w14:solidFill>
          </w14:textFill>
        </w:rPr>
      </w:pPr>
    </w:p>
    <w:p w14:paraId="61BEF32B">
      <w:pPr>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GF-2020-0216</w:t>
      </w:r>
    </w:p>
    <w:p w14:paraId="538FB976">
      <w:pPr>
        <w:rPr>
          <w:rFonts w:hint="eastAsia" w:ascii="宋体" w:hAnsi="宋体" w:cs="宋体"/>
          <w:color w:val="000000" w:themeColor="text1"/>
          <w14:textFill>
            <w14:solidFill>
              <w14:schemeClr w14:val="tx1"/>
            </w14:solidFill>
          </w14:textFill>
        </w:rPr>
      </w:pPr>
    </w:p>
    <w:p w14:paraId="46BBB365">
      <w:pPr>
        <w:rPr>
          <w:rFonts w:hint="eastAsia" w:ascii="宋体" w:hAnsi="宋体" w:cs="宋体"/>
          <w:color w:val="000000" w:themeColor="text1"/>
          <w14:textFill>
            <w14:solidFill>
              <w14:schemeClr w14:val="tx1"/>
            </w14:solidFill>
          </w14:textFill>
        </w:rPr>
      </w:pPr>
    </w:p>
    <w:p w14:paraId="3775386E">
      <w:pPr>
        <w:rPr>
          <w:rFonts w:hint="eastAsia" w:ascii="宋体" w:hAnsi="宋体" w:cs="宋体"/>
          <w:color w:val="000000" w:themeColor="text1"/>
          <w14:textFill>
            <w14:solidFill>
              <w14:schemeClr w14:val="tx1"/>
            </w14:solidFill>
          </w14:textFill>
        </w:rPr>
      </w:pPr>
    </w:p>
    <w:p w14:paraId="2B566AC6">
      <w:pPr>
        <w:rPr>
          <w:rFonts w:hint="eastAsia" w:ascii="宋体" w:hAnsi="宋体" w:cs="宋体"/>
          <w:color w:val="000000" w:themeColor="text1"/>
          <w14:textFill>
            <w14:solidFill>
              <w14:schemeClr w14:val="tx1"/>
            </w14:solidFill>
          </w14:textFill>
        </w:rPr>
      </w:pPr>
    </w:p>
    <w:p w14:paraId="6C5EB0F9">
      <w:pPr>
        <w:rPr>
          <w:rFonts w:hint="eastAsia" w:ascii="宋体" w:hAnsi="宋体" w:cs="宋体"/>
          <w:color w:val="000000" w:themeColor="text1"/>
          <w14:textFill>
            <w14:solidFill>
              <w14:schemeClr w14:val="tx1"/>
            </w14:solidFill>
          </w14:textFill>
        </w:rPr>
      </w:pPr>
    </w:p>
    <w:p w14:paraId="73802F5B">
      <w:pPr>
        <w:pStyle w:val="131"/>
        <w:spacing w:after="120"/>
        <w:rPr>
          <w:rFonts w:hint="eastAsia" w:ascii="宋体" w:hAnsi="宋体" w:eastAsia="宋体" w:cs="宋体"/>
          <w:b w:val="0"/>
          <w:bCs/>
          <w:color w:val="000000" w:themeColor="text1"/>
          <w:sz w:val="52"/>
          <w:szCs w:val="52"/>
          <w14:textFill>
            <w14:solidFill>
              <w14:schemeClr w14:val="tx1"/>
            </w14:solidFill>
          </w14:textFill>
        </w:rPr>
      </w:pPr>
      <w:r>
        <w:rPr>
          <w:rFonts w:hint="eastAsia" w:ascii="宋体" w:hAnsi="宋体" w:eastAsia="宋体" w:cs="宋体"/>
          <w:b w:val="0"/>
          <w:bCs/>
          <w:color w:val="000000" w:themeColor="text1"/>
          <w:sz w:val="72"/>
          <w:szCs w:val="72"/>
          <w14:textFill>
            <w14:solidFill>
              <w14:schemeClr w14:val="tx1"/>
            </w14:solidFill>
          </w14:textFill>
        </w:rPr>
        <w:t>建设项目工程总承包合同</w:t>
      </w:r>
    </w:p>
    <w:p w14:paraId="48688492">
      <w:pPr>
        <w:pStyle w:val="131"/>
        <w:spacing w:after="120"/>
        <w:rPr>
          <w:rFonts w:hint="eastAsia" w:ascii="宋体" w:hAnsi="宋体" w:eastAsia="宋体" w:cs="宋体"/>
          <w:b w:val="0"/>
          <w:bCs/>
          <w:color w:val="000000" w:themeColor="text1"/>
          <w:sz w:val="52"/>
          <w:szCs w:val="52"/>
          <w14:textFill>
            <w14:solidFill>
              <w14:schemeClr w14:val="tx1"/>
            </w14:solidFill>
          </w14:textFill>
        </w:rPr>
      </w:pPr>
      <w:r>
        <w:rPr>
          <w:rFonts w:hint="eastAsia" w:ascii="宋体" w:hAnsi="宋体" w:eastAsia="宋体" w:cs="宋体"/>
          <w:b w:val="0"/>
          <w:bCs/>
          <w:color w:val="000000" w:themeColor="text1"/>
          <w:sz w:val="52"/>
          <w:szCs w:val="52"/>
          <w14:textFill>
            <w14:solidFill>
              <w14:schemeClr w14:val="tx1"/>
            </w14:solidFill>
          </w14:textFill>
        </w:rPr>
        <w:t>（示范文本）</w:t>
      </w:r>
    </w:p>
    <w:p w14:paraId="0C593A6E">
      <w:pPr>
        <w:pStyle w:val="131"/>
        <w:spacing w:after="120"/>
        <w:rPr>
          <w:rFonts w:hint="eastAsia" w:ascii="宋体" w:hAnsi="宋体" w:eastAsia="宋体" w:cs="宋体"/>
          <w:color w:val="000000" w:themeColor="text1"/>
          <w:sz w:val="40"/>
          <w:szCs w:val="40"/>
          <w14:textFill>
            <w14:solidFill>
              <w14:schemeClr w14:val="tx1"/>
            </w14:solidFill>
          </w14:textFill>
        </w:rPr>
      </w:pPr>
    </w:p>
    <w:p w14:paraId="3AF47F5B">
      <w:pPr>
        <w:pStyle w:val="131"/>
        <w:spacing w:after="120"/>
        <w:rPr>
          <w:rFonts w:hint="eastAsia" w:ascii="宋体" w:hAnsi="宋体" w:eastAsia="宋体" w:cs="宋体"/>
          <w:color w:val="000000" w:themeColor="text1"/>
          <w:sz w:val="40"/>
          <w:szCs w:val="40"/>
          <w14:textFill>
            <w14:solidFill>
              <w14:schemeClr w14:val="tx1"/>
            </w14:solidFill>
          </w14:textFill>
        </w:rPr>
      </w:pPr>
    </w:p>
    <w:p w14:paraId="6C83F4EF">
      <w:pPr>
        <w:rPr>
          <w:rFonts w:hint="eastAsia" w:ascii="宋体" w:hAnsi="宋体" w:cs="宋体"/>
          <w:color w:val="000000" w:themeColor="text1"/>
          <w14:textFill>
            <w14:solidFill>
              <w14:schemeClr w14:val="tx1"/>
            </w14:solidFill>
          </w14:textFill>
        </w:rPr>
      </w:pPr>
    </w:p>
    <w:p w14:paraId="4436E6CF">
      <w:pPr>
        <w:pStyle w:val="131"/>
        <w:spacing w:after="120"/>
        <w:rPr>
          <w:rFonts w:hint="eastAsia" w:ascii="宋体" w:hAnsi="宋体" w:eastAsia="宋体" w:cs="宋体"/>
          <w:color w:val="000000" w:themeColor="text1"/>
          <w:sz w:val="40"/>
          <w:szCs w:val="40"/>
          <w14:textFill>
            <w14:solidFill>
              <w14:schemeClr w14:val="tx1"/>
            </w14:solidFill>
          </w14:textFill>
        </w:rPr>
      </w:pPr>
    </w:p>
    <w:p w14:paraId="5BA12C23">
      <w:pPr>
        <w:rPr>
          <w:rFonts w:hint="eastAsia" w:ascii="宋体" w:hAnsi="宋体" w:cs="宋体"/>
          <w:color w:val="000000" w:themeColor="text1"/>
          <w:lang w:val="zh-CN"/>
          <w14:textFill>
            <w14:solidFill>
              <w14:schemeClr w14:val="tx1"/>
            </w14:solidFill>
          </w14:textFill>
        </w:rPr>
      </w:pPr>
    </w:p>
    <w:p w14:paraId="6148E859">
      <w:pPr>
        <w:rPr>
          <w:rFonts w:hint="eastAsia" w:ascii="宋体" w:hAnsi="宋体" w:cs="宋体"/>
          <w:color w:val="000000" w:themeColor="text1"/>
          <w:lang w:val="zh-CN"/>
          <w14:textFill>
            <w14:solidFill>
              <w14:schemeClr w14:val="tx1"/>
            </w14:solidFill>
          </w14:textFill>
        </w:rPr>
      </w:pPr>
    </w:p>
    <w:p w14:paraId="4C603DE2">
      <w:pPr>
        <w:rPr>
          <w:rFonts w:hint="eastAsia" w:ascii="宋体" w:hAnsi="宋体" w:cs="宋体"/>
          <w:color w:val="000000" w:themeColor="text1"/>
          <w14:textFill>
            <w14:solidFill>
              <w14:schemeClr w14:val="tx1"/>
            </w14:solidFill>
          </w14:textFill>
        </w:rPr>
      </w:pPr>
    </w:p>
    <w:p w14:paraId="22BAFAEF">
      <w:pPr>
        <w:pStyle w:val="131"/>
        <w:spacing w:after="120"/>
        <w:rPr>
          <w:rFonts w:hint="eastAsia" w:ascii="宋体" w:hAnsi="宋体" w:eastAsia="宋体" w:cs="宋体"/>
          <w:color w:val="000000" w:themeColor="text1"/>
          <w:sz w:val="32"/>
          <w:szCs w:val="32"/>
          <w14:textFill>
            <w14:solidFill>
              <w14:schemeClr w14:val="tx1"/>
            </w14:solidFill>
          </w14:textFill>
        </w:rPr>
      </w:pPr>
    </w:p>
    <w:p w14:paraId="255643B5">
      <w:pPr>
        <w:rPr>
          <w:rFonts w:hint="eastAsia" w:ascii="宋体" w:hAnsi="宋体" w:cs="宋体"/>
          <w:color w:val="000000" w:themeColor="text1"/>
          <w:lang w:val="zh-CN"/>
          <w14:textFill>
            <w14:solidFill>
              <w14:schemeClr w14:val="tx1"/>
            </w14:solidFill>
          </w14:textFill>
        </w:rPr>
      </w:pPr>
    </w:p>
    <w:p w14:paraId="40B87EE8">
      <w:pPr>
        <w:rPr>
          <w:rFonts w:hint="eastAsia" w:ascii="宋体" w:hAnsi="宋体" w:cs="宋体"/>
          <w:color w:val="000000" w:themeColor="text1"/>
          <w:lang w:val="zh-CN"/>
          <w14:textFill>
            <w14:solidFill>
              <w14:schemeClr w14:val="tx1"/>
            </w14:solidFill>
          </w14:textFill>
        </w:rPr>
      </w:pPr>
    </w:p>
    <w:p w14:paraId="22158F0B">
      <w:pPr>
        <w:rPr>
          <w:rFonts w:hint="eastAsia" w:ascii="宋体" w:hAnsi="宋体" w:cs="宋体"/>
          <w:color w:val="000000" w:themeColor="text1"/>
          <w:lang w:val="zh-CN"/>
          <w14:textFill>
            <w14:solidFill>
              <w14:schemeClr w14:val="tx1"/>
            </w14:solidFill>
          </w14:textFill>
        </w:rPr>
      </w:pPr>
    </w:p>
    <w:p w14:paraId="3525EE32">
      <w:pPr>
        <w:rPr>
          <w:rFonts w:hint="eastAsia" w:ascii="宋体" w:hAnsi="宋体" w:cs="宋体"/>
          <w:color w:val="000000" w:themeColor="text1"/>
          <w:lang w:val="zh-CN"/>
          <w14:textFill>
            <w14:solidFill>
              <w14:schemeClr w14:val="tx1"/>
            </w14:solidFill>
          </w14:textFill>
        </w:rPr>
      </w:pPr>
    </w:p>
    <w:p w14:paraId="53A19D31">
      <w:pPr>
        <w:rPr>
          <w:rFonts w:hint="eastAsia" w:ascii="宋体" w:hAnsi="宋体" w:cs="宋体"/>
          <w:color w:val="000000" w:themeColor="text1"/>
          <w:lang w:val="zh-CN"/>
          <w14:textFill>
            <w14:solidFill>
              <w14:schemeClr w14:val="tx1"/>
            </w14:solidFill>
          </w14:textFill>
        </w:rPr>
      </w:pPr>
    </w:p>
    <w:p w14:paraId="0A53AE09">
      <w:pPr>
        <w:rPr>
          <w:rFonts w:hint="eastAsia" w:ascii="宋体" w:hAnsi="宋体" w:cs="宋体"/>
          <w:color w:val="000000" w:themeColor="text1"/>
          <w:lang w:val="zh-CN"/>
          <w14:textFill>
            <w14:solidFill>
              <w14:schemeClr w14:val="tx1"/>
            </w14:solidFill>
          </w14:textFill>
        </w:rPr>
      </w:pPr>
    </w:p>
    <w:p w14:paraId="66D5260F">
      <w:pPr>
        <w:rPr>
          <w:rFonts w:hint="eastAsia" w:ascii="宋体" w:hAnsi="宋体" w:cs="宋体"/>
          <w:color w:val="000000" w:themeColor="text1"/>
          <w:lang w:val="zh-CN"/>
          <w14:textFill>
            <w14:solidFill>
              <w14:schemeClr w14:val="tx1"/>
            </w14:solidFill>
          </w14:textFill>
        </w:rPr>
      </w:pPr>
    </w:p>
    <w:p w14:paraId="11E2A9F1">
      <w:pPr>
        <w:rPr>
          <w:rFonts w:hint="eastAsia" w:ascii="宋体" w:hAnsi="宋体" w:cs="宋体"/>
          <w:color w:val="000000" w:themeColor="text1"/>
          <w:lang w:val="zh-CN"/>
          <w14:textFill>
            <w14:solidFill>
              <w14:schemeClr w14:val="tx1"/>
            </w14:solidFill>
          </w14:textFill>
        </w:rPr>
      </w:pPr>
    </w:p>
    <w:p w14:paraId="02C8B0CC">
      <w:pPr>
        <w:rPr>
          <w:rFonts w:hint="eastAsia" w:ascii="宋体" w:hAnsi="宋体" w:cs="宋体"/>
          <w:color w:val="000000" w:themeColor="text1"/>
          <w:lang w:val="zh-CN"/>
          <w14:textFill>
            <w14:solidFill>
              <w14:schemeClr w14:val="tx1"/>
            </w14:solidFill>
          </w14:textFill>
        </w:rPr>
      </w:pPr>
    </w:p>
    <w:p w14:paraId="73BA6EBA">
      <w:pPr>
        <w:rPr>
          <w:rFonts w:hint="eastAsia" w:ascii="宋体" w:hAnsi="宋体" w:cs="宋体"/>
          <w:color w:val="000000" w:themeColor="text1"/>
          <w:lang w:val="zh-CN"/>
          <w14:textFill>
            <w14:solidFill>
              <w14:schemeClr w14:val="tx1"/>
            </w14:solidFill>
          </w14:textFill>
        </w:rPr>
      </w:pPr>
    </w:p>
    <w:p w14:paraId="2CAA09D1">
      <w:pPr>
        <w:ind w:right="2182" w:rightChars="1039"/>
        <w:jc w:val="distribute"/>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4513580</wp:posOffset>
                </wp:positionH>
                <wp:positionV relativeFrom="paragraph">
                  <wp:posOffset>99695</wp:posOffset>
                </wp:positionV>
                <wp:extent cx="754380" cy="1772285"/>
                <wp:effectExtent l="0" t="0" r="7620" b="5715"/>
                <wp:wrapNone/>
                <wp:docPr id="2" name="文本框 2"/>
                <wp:cNvGraphicFramePr/>
                <a:graphic xmlns:a="http://schemas.openxmlformats.org/drawingml/2006/main">
                  <a:graphicData uri="http://schemas.microsoft.com/office/word/2010/wordprocessingShape">
                    <wps:wsp>
                      <wps:cNvSpPr txBox="1"/>
                      <wps:spPr>
                        <a:xfrm>
                          <a:off x="0" y="0"/>
                          <a:ext cx="754380" cy="1772285"/>
                        </a:xfrm>
                        <a:prstGeom prst="rect">
                          <a:avLst/>
                        </a:prstGeom>
                        <a:solidFill>
                          <a:srgbClr val="FFFFFF"/>
                        </a:solidFill>
                        <a:ln>
                          <a:noFill/>
                        </a:ln>
                      </wps:spPr>
                      <wps:txbx>
                        <w:txbxContent>
                          <w:p w14:paraId="5B2CFAE2">
                            <w:pPr>
                              <w:jc w:val="center"/>
                              <w:rPr>
                                <w:b/>
                                <w:bCs/>
                                <w:sz w:val="32"/>
                                <w:szCs w:val="32"/>
                              </w:rPr>
                            </w:pPr>
                            <w:r>
                              <w:rPr>
                                <w:rFonts w:hint="eastAsia"/>
                                <w:b/>
                                <w:bCs/>
                                <w:sz w:val="32"/>
                                <w:szCs w:val="32"/>
                              </w:rPr>
                              <w:t>制定</w:t>
                            </w:r>
                          </w:p>
                        </w:txbxContent>
                      </wps:txbx>
                      <wps:bodyPr wrap="square" upright="1">
                        <a:spAutoFit/>
                      </wps:bodyPr>
                    </wps:wsp>
                  </a:graphicData>
                </a:graphic>
                <wp14:sizeRelH relativeFrom="page">
                  <wp14:pctWidth>0</wp14:pctWidth>
                </wp14:sizeRelH>
                <wp14:sizeRelV relativeFrom="margin">
                  <wp14:pctHeight>20000</wp14:pctHeight>
                </wp14:sizeRelV>
              </wp:anchor>
            </w:drawing>
          </mc:Choice>
          <mc:Fallback>
            <w:pict>
              <v:shape id="_x0000_s1026" o:spid="_x0000_s1026" o:spt="202" type="#_x0000_t202" style="position:absolute;left:0pt;margin-left:355.4pt;margin-top:7.85pt;height:139.55pt;width:59.4pt;z-index:251660288;mso-width-relative:page;mso-height-relative:margin;mso-height-percent:200;" fillcolor="#FFFFFF" filled="t" stroked="f" coordsize="21600,21600" o:gfxdata="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UtuDg2QAAAAoBAAAPAAAAAAAAAAEA&#10;IAAAACIAAABkcnMvZG93bnJldi54bWxQSwECFAAUAAAACACHTuJAhnqsr9UBAACfAwAADgAAAAAA&#10;AAABACAAAAAoAQAAZHJzL2Uyb0RvYy54bWxQSwUGAAAAAAYABgBZAQAAbwUAAAAA&#10;">
                <v:fill on="t" focussize="0,0"/>
                <v:stroke on="f"/>
                <v:imagedata o:title=""/>
                <o:lock v:ext="edit" aspectratio="f"/>
                <v:textbox style="mso-fit-shape-to-text:t;">
                  <w:txbxContent>
                    <w:p w14:paraId="5B2CFAE2">
                      <w:pPr>
                        <w:jc w:val="center"/>
                        <w:rPr>
                          <w:b/>
                          <w:bCs/>
                          <w:sz w:val="32"/>
                          <w:szCs w:val="32"/>
                        </w:rPr>
                      </w:pPr>
                      <w:r>
                        <w:rPr>
                          <w:rFonts w:hint="eastAsia"/>
                          <w:b/>
                          <w:bCs/>
                          <w:sz w:val="32"/>
                          <w:szCs w:val="32"/>
                        </w:rPr>
                        <w:t>制定</w:t>
                      </w:r>
                    </w:p>
                  </w:txbxContent>
                </v:textbox>
              </v:shape>
            </w:pict>
          </mc:Fallback>
        </mc:AlternateContent>
      </w:r>
      <w:r>
        <w:rPr>
          <w:rFonts w:hint="eastAsia" w:ascii="宋体" w:hAnsi="宋体" w:cs="宋体"/>
          <w:b/>
          <w:color w:val="000000" w:themeColor="text1"/>
          <w:sz w:val="32"/>
          <w:szCs w:val="28"/>
          <w14:textFill>
            <w14:solidFill>
              <w14:schemeClr w14:val="tx1"/>
            </w14:solidFill>
          </w14:textFill>
        </w:rPr>
        <w:t xml:space="preserve">     </w:t>
      </w:r>
      <w:r>
        <w:rPr>
          <w:rFonts w:hint="eastAsia" w:ascii="宋体" w:hAnsi="宋体" w:cs="宋体"/>
          <w:b/>
          <w:bCs/>
          <w:color w:val="000000" w:themeColor="text1"/>
          <w:sz w:val="32"/>
          <w:szCs w:val="32"/>
          <w14:textFill>
            <w14:solidFill>
              <w14:schemeClr w14:val="tx1"/>
            </w14:solidFill>
          </w14:textFill>
        </w:rPr>
        <w:t>中华人民共和国住房和城乡建设部</w:t>
      </w:r>
    </w:p>
    <w:p w14:paraId="4021FB82">
      <w:pPr>
        <w:ind w:right="2182" w:rightChars="1039"/>
        <w:jc w:val="distribute"/>
        <w:rPr>
          <w:rFonts w:hint="eastAsia" w:ascii="宋体" w:hAnsi="宋体" w:cs="宋体"/>
          <w:color w:val="000000" w:themeColor="text1"/>
          <w:sz w:val="30"/>
          <w:szCs w:val="30"/>
          <w14:textFill>
            <w14:solidFill>
              <w14:schemeClr w14:val="tx1"/>
            </w14:solidFill>
          </w14:textFill>
        </w:rPr>
        <w:sectPr>
          <w:footerReference r:id="rId7" w:type="first"/>
          <w:footerReference r:id="rId6" w:type="default"/>
          <w:type w:val="continuous"/>
          <w:pgSz w:w="11906" w:h="16838"/>
          <w:pgMar w:top="1440" w:right="866" w:bottom="1440" w:left="1800" w:header="720" w:footer="998" w:gutter="0"/>
          <w:pgNumType w:fmt="decimal"/>
          <w:cols w:space="720" w:num="1"/>
          <w:titlePg/>
          <w:docGrid w:linePitch="326" w:charSpace="0"/>
        </w:sectPr>
      </w:pPr>
      <w:r>
        <w:rPr>
          <w:rFonts w:hint="eastAsia" w:ascii="宋体" w:hAnsi="宋体" w:cs="宋体"/>
          <w:b/>
          <w:color w:val="000000" w:themeColor="text1"/>
          <w:sz w:val="32"/>
          <w:szCs w:val="28"/>
          <w14:textFill>
            <w14:solidFill>
              <w14:schemeClr w14:val="tx1"/>
            </w14:solidFill>
          </w14:textFill>
        </w:rPr>
        <w:t xml:space="preserve">     国家</w:t>
      </w:r>
      <w:r>
        <w:rPr>
          <w:rFonts w:hint="eastAsia" w:ascii="宋体" w:hAnsi="宋体" w:cs="宋体"/>
          <w:b/>
          <w:bCs/>
          <w:color w:val="000000" w:themeColor="text1"/>
          <w:sz w:val="32"/>
          <w:szCs w:val="32"/>
          <w14:textFill>
            <w14:solidFill>
              <w14:schemeClr w14:val="tx1"/>
            </w14:solidFill>
          </w14:textFill>
        </w:rPr>
        <w:t>市场监</w:t>
      </w:r>
      <w:r>
        <w:rPr>
          <w:rFonts w:hint="eastAsia" w:ascii="宋体" w:hAnsi="宋体" w:cs="宋体"/>
          <w:b/>
          <w:color w:val="000000" w:themeColor="text1"/>
          <w:sz w:val="32"/>
          <w:szCs w:val="28"/>
          <w14:textFill>
            <w14:solidFill>
              <w14:schemeClr w14:val="tx1"/>
            </w14:solidFill>
          </w14:textFill>
        </w:rPr>
        <w:t>督</w:t>
      </w:r>
      <w:r>
        <w:rPr>
          <w:rFonts w:hint="eastAsia" w:ascii="宋体" w:hAnsi="宋体" w:cs="宋体"/>
          <w:b/>
          <w:bCs/>
          <w:color w:val="000000" w:themeColor="text1"/>
          <w:sz w:val="32"/>
          <w:szCs w:val="32"/>
          <w14:textFill>
            <w14:solidFill>
              <w14:schemeClr w14:val="tx1"/>
            </w14:solidFill>
          </w14:textFill>
        </w:rPr>
        <w:t>管理总局</w:t>
      </w:r>
    </w:p>
    <w:p w14:paraId="7369EB90">
      <w:pPr>
        <w:pStyle w:val="111"/>
        <w:spacing w:before="0" w:after="50" w:line="360" w:lineRule="auto"/>
        <w:jc w:val="center"/>
        <w:rPr>
          <w:rFonts w:hint="eastAsia" w:ascii="宋体" w:hAnsi="宋体" w:cs="宋体"/>
          <w:b/>
          <w:bCs/>
          <w:color w:val="000000" w:themeColor="text1"/>
          <w:kern w:val="44"/>
          <w:sz w:val="44"/>
          <w:szCs w:val="44"/>
          <w:lang w:val="zh-CN"/>
          <w14:textFill>
            <w14:solidFill>
              <w14:schemeClr w14:val="tx1"/>
            </w14:solidFill>
          </w14:textFill>
        </w:rPr>
      </w:pPr>
      <w:r>
        <w:rPr>
          <w:rFonts w:hint="eastAsia" w:ascii="宋体" w:hAnsi="宋体" w:cs="宋体"/>
          <w:b/>
          <w:bCs/>
          <w:color w:val="000000" w:themeColor="text1"/>
          <w:kern w:val="44"/>
          <w:sz w:val="44"/>
          <w:szCs w:val="44"/>
          <w:lang w:val="zh-CN"/>
          <w14:textFill>
            <w14:solidFill>
              <w14:schemeClr w14:val="tx1"/>
            </w14:solidFill>
          </w14:textFill>
        </w:rPr>
        <w:t>目  录</w:t>
      </w:r>
    </w:p>
    <w:p w14:paraId="63B0730D">
      <w:pPr>
        <w:pStyle w:val="28"/>
        <w:tabs>
          <w:tab w:val="right" w:leader="dot" w:pos="8296"/>
        </w:tabs>
        <w:ind w:firstLine="560"/>
        <w:rPr>
          <w:rFonts w:hint="eastAsia" w:ascii="宋体" w:hAnsi="宋体" w:cs="宋体"/>
          <w:b w:val="0"/>
          <w:bCs w:val="0"/>
          <w:color w:val="000000" w:themeColor="text1"/>
          <w:sz w:val="22"/>
          <w:szCs w:val="24"/>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fldChar w:fldCharType="begin"/>
      </w:r>
      <w:r>
        <w:rPr>
          <w:rFonts w:hint="eastAsia" w:ascii="宋体" w:hAnsi="宋体" w:cs="宋体"/>
          <w:color w:val="000000" w:themeColor="text1"/>
          <w:sz w:val="28"/>
          <w:szCs w:val="28"/>
          <w14:textFill>
            <w14:solidFill>
              <w14:schemeClr w14:val="tx1"/>
            </w14:solidFill>
          </w14:textFill>
        </w:rPr>
        <w:instrText xml:space="preserve"> TOC \o "1-3" \u </w:instrText>
      </w:r>
      <w:r>
        <w:rPr>
          <w:rFonts w:hint="eastAsia" w:ascii="宋体" w:hAnsi="宋体" w:cs="宋体"/>
          <w:color w:val="000000" w:themeColor="text1"/>
          <w:sz w:val="28"/>
          <w:szCs w:val="28"/>
          <w14:textFill>
            <w14:solidFill>
              <w14:schemeClr w14:val="tx1"/>
            </w14:solidFill>
          </w14:textFill>
        </w:rPr>
        <w:fldChar w:fldCharType="separate"/>
      </w:r>
      <w:r>
        <w:rPr>
          <w:rFonts w:hint="eastAsia" w:ascii="宋体" w:hAnsi="宋体" w:cs="宋体"/>
          <w:b w:val="0"/>
          <w:bCs w:val="0"/>
          <w:color w:val="000000" w:themeColor="text1"/>
          <w:sz w:val="28"/>
          <w:szCs w:val="21"/>
          <w14:textFill>
            <w14:solidFill>
              <w14:schemeClr w14:val="tx1"/>
            </w14:solidFill>
          </w14:textFill>
        </w:rPr>
        <w:t>第一部分 合同协议书</w:t>
      </w:r>
      <w:r>
        <w:rPr>
          <w:rFonts w:hint="eastAsia" w:ascii="宋体" w:hAnsi="宋体" w:cs="宋体"/>
          <w:b w:val="0"/>
          <w:bCs w:val="0"/>
          <w:color w:val="000000" w:themeColor="text1"/>
          <w:sz w:val="28"/>
          <w:szCs w:val="21"/>
          <w14:textFill>
            <w14:solidFill>
              <w14:schemeClr w14:val="tx1"/>
            </w14:solidFill>
          </w14:textFill>
        </w:rPr>
        <w:tab/>
      </w:r>
    </w:p>
    <w:p w14:paraId="1AE12229">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一、工程概况</w:t>
      </w:r>
      <w:r>
        <w:rPr>
          <w:rFonts w:hint="eastAsia" w:ascii="宋体" w:hAnsi="宋体" w:cs="宋体"/>
          <w:color w:val="000000" w:themeColor="text1"/>
          <w14:textFill>
            <w14:solidFill>
              <w14:schemeClr w14:val="tx1"/>
            </w14:solidFill>
          </w14:textFill>
        </w:rPr>
        <w:tab/>
      </w:r>
    </w:p>
    <w:p w14:paraId="3688B731">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二、合同工期</w:t>
      </w:r>
      <w:r>
        <w:rPr>
          <w:rFonts w:hint="eastAsia" w:ascii="宋体" w:hAnsi="宋体" w:cs="宋体"/>
          <w:color w:val="000000" w:themeColor="text1"/>
          <w14:textFill>
            <w14:solidFill>
              <w14:schemeClr w14:val="tx1"/>
            </w14:solidFill>
          </w14:textFill>
        </w:rPr>
        <w:tab/>
      </w:r>
    </w:p>
    <w:p w14:paraId="58CCA234">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三、质量标准</w:t>
      </w:r>
      <w:r>
        <w:rPr>
          <w:rFonts w:hint="eastAsia" w:ascii="宋体" w:hAnsi="宋体" w:cs="宋体"/>
          <w:color w:val="000000" w:themeColor="text1"/>
          <w14:textFill>
            <w14:solidFill>
              <w14:schemeClr w14:val="tx1"/>
            </w14:solidFill>
          </w14:textFill>
        </w:rPr>
        <w:tab/>
      </w:r>
    </w:p>
    <w:p w14:paraId="0AE67F05">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四、签约合同价与合同价格形式</w:t>
      </w:r>
      <w:r>
        <w:rPr>
          <w:rFonts w:hint="eastAsia" w:ascii="宋体" w:hAnsi="宋体" w:cs="宋体"/>
          <w:color w:val="000000" w:themeColor="text1"/>
          <w14:textFill>
            <w14:solidFill>
              <w14:schemeClr w14:val="tx1"/>
            </w14:solidFill>
          </w14:textFill>
        </w:rPr>
        <w:tab/>
      </w:r>
    </w:p>
    <w:p w14:paraId="4E7C2203">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五、工程总承包项目经理</w:t>
      </w:r>
      <w:r>
        <w:rPr>
          <w:rFonts w:hint="eastAsia" w:ascii="宋体" w:hAnsi="宋体" w:cs="宋体"/>
          <w:color w:val="000000" w:themeColor="text1"/>
          <w14:textFill>
            <w14:solidFill>
              <w14:schemeClr w14:val="tx1"/>
            </w14:solidFill>
          </w14:textFill>
        </w:rPr>
        <w:tab/>
      </w:r>
    </w:p>
    <w:p w14:paraId="31E98D5C">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六、合同文件构成</w:t>
      </w:r>
      <w:r>
        <w:rPr>
          <w:rFonts w:hint="eastAsia" w:ascii="宋体" w:hAnsi="宋体" w:cs="宋体"/>
          <w:color w:val="000000" w:themeColor="text1"/>
          <w14:textFill>
            <w14:solidFill>
              <w14:schemeClr w14:val="tx1"/>
            </w14:solidFill>
          </w14:textFill>
        </w:rPr>
        <w:tab/>
      </w:r>
    </w:p>
    <w:p w14:paraId="7FC9592C">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七、承诺</w:t>
      </w:r>
      <w:r>
        <w:rPr>
          <w:rFonts w:hint="eastAsia" w:ascii="宋体" w:hAnsi="宋体" w:cs="宋体"/>
          <w:color w:val="000000" w:themeColor="text1"/>
          <w14:textFill>
            <w14:solidFill>
              <w14:schemeClr w14:val="tx1"/>
            </w14:solidFill>
          </w14:textFill>
        </w:rPr>
        <w:tab/>
      </w:r>
    </w:p>
    <w:p w14:paraId="01A087BA">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八、订立时间</w:t>
      </w:r>
      <w:r>
        <w:rPr>
          <w:rFonts w:hint="eastAsia" w:ascii="宋体" w:hAnsi="宋体" w:cs="宋体"/>
          <w:color w:val="000000" w:themeColor="text1"/>
          <w14:textFill>
            <w14:solidFill>
              <w14:schemeClr w14:val="tx1"/>
            </w14:solidFill>
          </w14:textFill>
        </w:rPr>
        <w:tab/>
      </w:r>
    </w:p>
    <w:p w14:paraId="13AA8C0F">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九、订立地点</w:t>
      </w:r>
      <w:r>
        <w:rPr>
          <w:rFonts w:hint="eastAsia" w:ascii="宋体" w:hAnsi="宋体" w:cs="宋体"/>
          <w:color w:val="000000" w:themeColor="text1"/>
          <w14:textFill>
            <w14:solidFill>
              <w14:schemeClr w14:val="tx1"/>
            </w14:solidFill>
          </w14:textFill>
        </w:rPr>
        <w:tab/>
      </w:r>
    </w:p>
    <w:p w14:paraId="2E14FBB6">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十、合同生效</w:t>
      </w:r>
      <w:r>
        <w:rPr>
          <w:rFonts w:hint="eastAsia" w:ascii="宋体" w:hAnsi="宋体" w:cs="宋体"/>
          <w:color w:val="000000" w:themeColor="text1"/>
          <w14:textFill>
            <w14:solidFill>
              <w14:schemeClr w14:val="tx1"/>
            </w14:solidFill>
          </w14:textFill>
        </w:rPr>
        <w:tab/>
      </w:r>
    </w:p>
    <w:p w14:paraId="46DA6441">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十一、合同份数</w:t>
      </w:r>
      <w:r>
        <w:rPr>
          <w:rFonts w:hint="eastAsia" w:ascii="宋体" w:hAnsi="宋体" w:cs="宋体"/>
          <w:color w:val="000000" w:themeColor="text1"/>
          <w14:textFill>
            <w14:solidFill>
              <w14:schemeClr w14:val="tx1"/>
            </w14:solidFill>
          </w14:textFill>
        </w:rPr>
        <w:tab/>
      </w:r>
    </w:p>
    <w:p w14:paraId="02E31D78">
      <w:pPr>
        <w:pStyle w:val="28"/>
        <w:tabs>
          <w:tab w:val="right" w:leader="dot" w:pos="8296"/>
        </w:tabs>
        <w:ind w:firstLine="562"/>
        <w:rPr>
          <w:rFonts w:hint="eastAsia" w:ascii="宋体" w:hAnsi="宋体" w:cs="宋体"/>
          <w:b w:val="0"/>
          <w:bCs w:val="0"/>
          <w:color w:val="000000" w:themeColor="text1"/>
          <w:sz w:val="22"/>
          <w:szCs w:val="24"/>
          <w14:textFill>
            <w14:solidFill>
              <w14:schemeClr w14:val="tx1"/>
            </w14:solidFill>
          </w14:textFill>
        </w:rPr>
      </w:pPr>
      <w:r>
        <w:rPr>
          <w:rFonts w:hint="eastAsia" w:ascii="宋体" w:hAnsi="宋体" w:cs="宋体"/>
          <w:b w:val="0"/>
          <w:bCs w:val="0"/>
          <w:color w:val="000000" w:themeColor="text1"/>
          <w:sz w:val="28"/>
          <w:szCs w:val="21"/>
          <w14:textFill>
            <w14:solidFill>
              <w14:schemeClr w14:val="tx1"/>
            </w14:solidFill>
          </w14:textFill>
        </w:rPr>
        <w:t>第二部分 通用合同条件</w:t>
      </w:r>
      <w:r>
        <w:rPr>
          <w:rFonts w:hint="eastAsia" w:ascii="宋体" w:hAnsi="宋体" w:cs="宋体"/>
          <w:b w:val="0"/>
          <w:bCs w:val="0"/>
          <w:color w:val="000000" w:themeColor="text1"/>
          <w:sz w:val="28"/>
          <w:szCs w:val="21"/>
          <w14:textFill>
            <w14:solidFill>
              <w14:schemeClr w14:val="tx1"/>
            </w14:solidFill>
          </w14:textFill>
        </w:rPr>
        <w:tab/>
      </w:r>
    </w:p>
    <w:p w14:paraId="5A4683CC">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第1条 一般约定</w:t>
      </w:r>
      <w:r>
        <w:rPr>
          <w:rFonts w:hint="eastAsia" w:ascii="宋体" w:hAnsi="宋体" w:cs="宋体"/>
          <w:color w:val="000000" w:themeColor="text1"/>
          <w14:textFill>
            <w14:solidFill>
              <w14:schemeClr w14:val="tx1"/>
            </w14:solidFill>
          </w14:textFill>
        </w:rPr>
        <w:tab/>
      </w:r>
    </w:p>
    <w:p w14:paraId="5C272F50">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1.1 词语定义和解释</w:t>
      </w:r>
      <w:r>
        <w:rPr>
          <w:rFonts w:hint="eastAsia" w:ascii="宋体" w:hAnsi="宋体" w:cs="宋体"/>
          <w:color w:val="000000" w:themeColor="text1"/>
          <w14:textFill>
            <w14:solidFill>
              <w14:schemeClr w14:val="tx1"/>
            </w14:solidFill>
          </w14:textFill>
        </w:rPr>
        <w:tab/>
      </w:r>
    </w:p>
    <w:p w14:paraId="7B7EF7EF">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1.2 语言文字</w:t>
      </w:r>
      <w:r>
        <w:rPr>
          <w:rFonts w:hint="eastAsia" w:ascii="宋体" w:hAnsi="宋体" w:cs="宋体"/>
          <w:color w:val="000000" w:themeColor="text1"/>
          <w14:textFill>
            <w14:solidFill>
              <w14:schemeClr w14:val="tx1"/>
            </w14:solidFill>
          </w14:textFill>
        </w:rPr>
        <w:tab/>
      </w:r>
    </w:p>
    <w:p w14:paraId="19075FBD">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1.3 法律</w:t>
      </w:r>
      <w:r>
        <w:rPr>
          <w:rFonts w:hint="eastAsia" w:ascii="宋体" w:hAnsi="宋体" w:cs="宋体"/>
          <w:color w:val="000000" w:themeColor="text1"/>
          <w14:textFill>
            <w14:solidFill>
              <w14:schemeClr w14:val="tx1"/>
            </w14:solidFill>
          </w14:textFill>
        </w:rPr>
        <w:tab/>
      </w:r>
    </w:p>
    <w:p w14:paraId="15DCD5F7">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1.4 标准和规范</w:t>
      </w:r>
      <w:r>
        <w:rPr>
          <w:rFonts w:hint="eastAsia" w:ascii="宋体" w:hAnsi="宋体" w:cs="宋体"/>
          <w:color w:val="000000" w:themeColor="text1"/>
          <w14:textFill>
            <w14:solidFill>
              <w14:schemeClr w14:val="tx1"/>
            </w14:solidFill>
          </w14:textFill>
        </w:rPr>
        <w:tab/>
      </w:r>
    </w:p>
    <w:p w14:paraId="1CE56DC8">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1.5 合同文件的优先顺序</w:t>
      </w:r>
      <w:r>
        <w:rPr>
          <w:rFonts w:hint="eastAsia" w:ascii="宋体" w:hAnsi="宋体" w:cs="宋体"/>
          <w:color w:val="000000" w:themeColor="text1"/>
          <w14:textFill>
            <w14:solidFill>
              <w14:schemeClr w14:val="tx1"/>
            </w14:solidFill>
          </w14:textFill>
        </w:rPr>
        <w:tab/>
      </w:r>
    </w:p>
    <w:p w14:paraId="246632B2">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1.6 文件的提供和照管</w:t>
      </w:r>
      <w:r>
        <w:rPr>
          <w:rFonts w:hint="eastAsia" w:ascii="宋体" w:hAnsi="宋体" w:cs="宋体"/>
          <w:color w:val="000000" w:themeColor="text1"/>
          <w14:textFill>
            <w14:solidFill>
              <w14:schemeClr w14:val="tx1"/>
            </w14:solidFill>
          </w14:textFill>
        </w:rPr>
        <w:tab/>
      </w:r>
    </w:p>
    <w:p w14:paraId="1120D4A0">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1.7 联络</w:t>
      </w:r>
      <w:r>
        <w:rPr>
          <w:rFonts w:hint="eastAsia" w:ascii="宋体" w:hAnsi="宋体" w:cs="宋体"/>
          <w:color w:val="000000" w:themeColor="text1"/>
          <w14:textFill>
            <w14:solidFill>
              <w14:schemeClr w14:val="tx1"/>
            </w14:solidFill>
          </w14:textFill>
        </w:rPr>
        <w:tab/>
      </w:r>
    </w:p>
    <w:p w14:paraId="3173B11D">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1.8 严禁贿赂</w:t>
      </w:r>
      <w:r>
        <w:rPr>
          <w:rFonts w:hint="eastAsia" w:ascii="宋体" w:hAnsi="宋体" w:cs="宋体"/>
          <w:color w:val="000000" w:themeColor="text1"/>
          <w14:textFill>
            <w14:solidFill>
              <w14:schemeClr w14:val="tx1"/>
            </w14:solidFill>
          </w14:textFill>
        </w:rPr>
        <w:tab/>
      </w:r>
    </w:p>
    <w:p w14:paraId="0F438B9A">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1.9 化石、文物</w:t>
      </w:r>
      <w:r>
        <w:rPr>
          <w:rFonts w:hint="eastAsia" w:ascii="宋体" w:hAnsi="宋体" w:cs="宋体"/>
          <w:color w:val="000000" w:themeColor="text1"/>
          <w14:textFill>
            <w14:solidFill>
              <w14:schemeClr w14:val="tx1"/>
            </w14:solidFill>
          </w14:textFill>
        </w:rPr>
        <w:tab/>
      </w:r>
    </w:p>
    <w:p w14:paraId="3F75F7B5">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1.10 知识产权</w:t>
      </w:r>
      <w:r>
        <w:rPr>
          <w:rFonts w:hint="eastAsia" w:ascii="宋体" w:hAnsi="宋体" w:cs="宋体"/>
          <w:color w:val="000000" w:themeColor="text1"/>
          <w14:textFill>
            <w14:solidFill>
              <w14:schemeClr w14:val="tx1"/>
            </w14:solidFill>
          </w14:textFill>
        </w:rPr>
        <w:tab/>
      </w:r>
    </w:p>
    <w:p w14:paraId="3F205219">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1.11 保密</w:t>
      </w:r>
      <w:r>
        <w:rPr>
          <w:rFonts w:hint="eastAsia" w:ascii="宋体" w:hAnsi="宋体" w:cs="宋体"/>
          <w:color w:val="000000" w:themeColor="text1"/>
          <w14:textFill>
            <w14:solidFill>
              <w14:schemeClr w14:val="tx1"/>
            </w14:solidFill>
          </w14:textFill>
        </w:rPr>
        <w:tab/>
      </w:r>
    </w:p>
    <w:p w14:paraId="77519641">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1.12 《发包人要求》和基础资料中的错误</w:t>
      </w:r>
      <w:r>
        <w:rPr>
          <w:rFonts w:hint="eastAsia" w:ascii="宋体" w:hAnsi="宋体" w:cs="宋体"/>
          <w:color w:val="000000" w:themeColor="text1"/>
          <w14:textFill>
            <w14:solidFill>
              <w14:schemeClr w14:val="tx1"/>
            </w14:solidFill>
          </w14:textFill>
        </w:rPr>
        <w:tab/>
      </w:r>
    </w:p>
    <w:p w14:paraId="7EBCC532">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1.13 责任限制</w:t>
      </w:r>
      <w:r>
        <w:rPr>
          <w:rFonts w:hint="eastAsia" w:ascii="宋体" w:hAnsi="宋体" w:cs="宋体"/>
          <w:color w:val="000000" w:themeColor="text1"/>
          <w14:textFill>
            <w14:solidFill>
              <w14:schemeClr w14:val="tx1"/>
            </w14:solidFill>
          </w14:textFill>
        </w:rPr>
        <w:tab/>
      </w:r>
    </w:p>
    <w:p w14:paraId="1303A160">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1.14 建筑信息模型技术的应用</w:t>
      </w:r>
      <w:r>
        <w:rPr>
          <w:rFonts w:hint="eastAsia" w:ascii="宋体" w:hAnsi="宋体" w:cs="宋体"/>
          <w:color w:val="000000" w:themeColor="text1"/>
          <w14:textFill>
            <w14:solidFill>
              <w14:schemeClr w14:val="tx1"/>
            </w14:solidFill>
          </w14:textFill>
        </w:rPr>
        <w:tab/>
      </w:r>
    </w:p>
    <w:p w14:paraId="52F085A3">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第2条 发包人</w:t>
      </w:r>
      <w:r>
        <w:rPr>
          <w:rFonts w:hint="eastAsia" w:ascii="宋体" w:hAnsi="宋体" w:cs="宋体"/>
          <w:color w:val="000000" w:themeColor="text1"/>
          <w14:textFill>
            <w14:solidFill>
              <w14:schemeClr w14:val="tx1"/>
            </w14:solidFill>
          </w14:textFill>
        </w:rPr>
        <w:tab/>
      </w:r>
    </w:p>
    <w:p w14:paraId="7EE4064B">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2.1 遵守法律</w:t>
      </w:r>
      <w:r>
        <w:rPr>
          <w:rFonts w:hint="eastAsia" w:ascii="宋体" w:hAnsi="宋体" w:cs="宋体"/>
          <w:color w:val="000000" w:themeColor="text1"/>
          <w14:textFill>
            <w14:solidFill>
              <w14:schemeClr w14:val="tx1"/>
            </w14:solidFill>
          </w14:textFill>
        </w:rPr>
        <w:tab/>
      </w:r>
    </w:p>
    <w:p w14:paraId="3C5EA8AC">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2.2 提供施工现场和工作条件</w:t>
      </w:r>
      <w:r>
        <w:rPr>
          <w:rFonts w:hint="eastAsia" w:ascii="宋体" w:hAnsi="宋体" w:cs="宋体"/>
          <w:color w:val="000000" w:themeColor="text1"/>
          <w14:textFill>
            <w14:solidFill>
              <w14:schemeClr w14:val="tx1"/>
            </w14:solidFill>
          </w14:textFill>
        </w:rPr>
        <w:tab/>
      </w:r>
    </w:p>
    <w:p w14:paraId="514252BD">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2.3 提供基础资料</w:t>
      </w:r>
      <w:r>
        <w:rPr>
          <w:rFonts w:hint="eastAsia" w:ascii="宋体" w:hAnsi="宋体" w:cs="宋体"/>
          <w:color w:val="000000" w:themeColor="text1"/>
          <w14:textFill>
            <w14:solidFill>
              <w14:schemeClr w14:val="tx1"/>
            </w14:solidFill>
          </w14:textFill>
        </w:rPr>
        <w:tab/>
      </w:r>
    </w:p>
    <w:p w14:paraId="1BBD61D0">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2.4 办理许可和批准</w:t>
      </w:r>
      <w:r>
        <w:rPr>
          <w:rFonts w:hint="eastAsia" w:ascii="宋体" w:hAnsi="宋体" w:cs="宋体"/>
          <w:color w:val="000000" w:themeColor="text1"/>
          <w14:textFill>
            <w14:solidFill>
              <w14:schemeClr w14:val="tx1"/>
            </w14:solidFill>
          </w14:textFill>
        </w:rPr>
        <w:tab/>
      </w:r>
    </w:p>
    <w:p w14:paraId="5F4D7D8C">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2.5 支付合同价款</w:t>
      </w:r>
      <w:r>
        <w:rPr>
          <w:rFonts w:hint="eastAsia" w:ascii="宋体" w:hAnsi="宋体" w:cs="宋体"/>
          <w:color w:val="000000" w:themeColor="text1"/>
          <w14:textFill>
            <w14:solidFill>
              <w14:schemeClr w14:val="tx1"/>
            </w14:solidFill>
          </w14:textFill>
        </w:rPr>
        <w:tab/>
      </w:r>
    </w:p>
    <w:p w14:paraId="52BB08C2">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2.6 现场管理配合</w:t>
      </w:r>
      <w:r>
        <w:rPr>
          <w:rFonts w:hint="eastAsia" w:ascii="宋体" w:hAnsi="宋体" w:cs="宋体"/>
          <w:color w:val="000000" w:themeColor="text1"/>
          <w14:textFill>
            <w14:solidFill>
              <w14:schemeClr w14:val="tx1"/>
            </w14:solidFill>
          </w14:textFill>
        </w:rPr>
        <w:tab/>
      </w:r>
    </w:p>
    <w:p w14:paraId="724DEEFD">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2.7 其他义务</w:t>
      </w:r>
      <w:r>
        <w:rPr>
          <w:rFonts w:hint="eastAsia" w:ascii="宋体" w:hAnsi="宋体" w:cs="宋体"/>
          <w:color w:val="000000" w:themeColor="text1"/>
          <w14:textFill>
            <w14:solidFill>
              <w14:schemeClr w14:val="tx1"/>
            </w14:solidFill>
          </w14:textFill>
        </w:rPr>
        <w:tab/>
      </w:r>
    </w:p>
    <w:p w14:paraId="128B88CA">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第3条 发包人的管理</w:t>
      </w:r>
      <w:r>
        <w:rPr>
          <w:rFonts w:hint="eastAsia" w:ascii="宋体" w:hAnsi="宋体" w:cs="宋体"/>
          <w:color w:val="000000" w:themeColor="text1"/>
          <w14:textFill>
            <w14:solidFill>
              <w14:schemeClr w14:val="tx1"/>
            </w14:solidFill>
          </w14:textFill>
        </w:rPr>
        <w:tab/>
      </w:r>
    </w:p>
    <w:p w14:paraId="1BB9E975">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3.1 发包人代表</w:t>
      </w:r>
      <w:r>
        <w:rPr>
          <w:rFonts w:hint="eastAsia" w:ascii="宋体" w:hAnsi="宋体" w:cs="宋体"/>
          <w:color w:val="000000" w:themeColor="text1"/>
          <w14:textFill>
            <w14:solidFill>
              <w14:schemeClr w14:val="tx1"/>
            </w14:solidFill>
          </w14:textFill>
        </w:rPr>
        <w:tab/>
      </w:r>
    </w:p>
    <w:p w14:paraId="41AB20CD">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3.2 发包人人员</w:t>
      </w:r>
      <w:r>
        <w:rPr>
          <w:rFonts w:hint="eastAsia" w:ascii="宋体" w:hAnsi="宋体" w:cs="宋体"/>
          <w:color w:val="000000" w:themeColor="text1"/>
          <w14:textFill>
            <w14:solidFill>
              <w14:schemeClr w14:val="tx1"/>
            </w14:solidFill>
          </w14:textFill>
        </w:rPr>
        <w:tab/>
      </w:r>
    </w:p>
    <w:p w14:paraId="0F4C0E9E">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3.3 工程师</w:t>
      </w:r>
      <w:r>
        <w:rPr>
          <w:rFonts w:hint="eastAsia" w:ascii="宋体" w:hAnsi="宋体" w:cs="宋体"/>
          <w:color w:val="000000" w:themeColor="text1"/>
          <w14:textFill>
            <w14:solidFill>
              <w14:schemeClr w14:val="tx1"/>
            </w14:solidFill>
          </w14:textFill>
        </w:rPr>
        <w:tab/>
      </w:r>
    </w:p>
    <w:p w14:paraId="36B24F82">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3.4 任命和授权</w:t>
      </w:r>
      <w:r>
        <w:rPr>
          <w:rFonts w:hint="eastAsia" w:ascii="宋体" w:hAnsi="宋体" w:cs="宋体"/>
          <w:color w:val="000000" w:themeColor="text1"/>
          <w14:textFill>
            <w14:solidFill>
              <w14:schemeClr w14:val="tx1"/>
            </w14:solidFill>
          </w14:textFill>
        </w:rPr>
        <w:tab/>
      </w:r>
    </w:p>
    <w:p w14:paraId="451E672D">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3.5 指示</w:t>
      </w:r>
      <w:r>
        <w:rPr>
          <w:rFonts w:hint="eastAsia" w:ascii="宋体" w:hAnsi="宋体" w:cs="宋体"/>
          <w:color w:val="000000" w:themeColor="text1"/>
          <w14:textFill>
            <w14:solidFill>
              <w14:schemeClr w14:val="tx1"/>
            </w14:solidFill>
          </w14:textFill>
        </w:rPr>
        <w:tab/>
      </w:r>
    </w:p>
    <w:p w14:paraId="208DAB3C">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3.6 商定或确定</w:t>
      </w:r>
      <w:r>
        <w:rPr>
          <w:rFonts w:hint="eastAsia" w:ascii="宋体" w:hAnsi="宋体" w:cs="宋体"/>
          <w:color w:val="000000" w:themeColor="text1"/>
          <w14:textFill>
            <w14:solidFill>
              <w14:schemeClr w14:val="tx1"/>
            </w14:solidFill>
          </w14:textFill>
        </w:rPr>
        <w:tab/>
      </w:r>
    </w:p>
    <w:p w14:paraId="4788F9DB">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3.7 会议</w:t>
      </w:r>
      <w:r>
        <w:rPr>
          <w:rFonts w:hint="eastAsia" w:ascii="宋体" w:hAnsi="宋体" w:cs="宋体"/>
          <w:color w:val="000000" w:themeColor="text1"/>
          <w14:textFill>
            <w14:solidFill>
              <w14:schemeClr w14:val="tx1"/>
            </w14:solidFill>
          </w14:textFill>
        </w:rPr>
        <w:tab/>
      </w:r>
    </w:p>
    <w:p w14:paraId="124B630A">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第4条 承包人</w:t>
      </w:r>
      <w:r>
        <w:rPr>
          <w:rFonts w:hint="eastAsia" w:ascii="宋体" w:hAnsi="宋体" w:cs="宋体"/>
          <w:color w:val="000000" w:themeColor="text1"/>
          <w14:textFill>
            <w14:solidFill>
              <w14:schemeClr w14:val="tx1"/>
            </w14:solidFill>
          </w14:textFill>
        </w:rPr>
        <w:tab/>
      </w:r>
    </w:p>
    <w:p w14:paraId="7C94F717">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4.1 承包人的一般义务</w:t>
      </w:r>
      <w:r>
        <w:rPr>
          <w:rFonts w:hint="eastAsia" w:ascii="宋体" w:hAnsi="宋体" w:cs="宋体"/>
          <w:color w:val="000000" w:themeColor="text1"/>
          <w14:textFill>
            <w14:solidFill>
              <w14:schemeClr w14:val="tx1"/>
            </w14:solidFill>
          </w14:textFill>
        </w:rPr>
        <w:tab/>
      </w:r>
    </w:p>
    <w:p w14:paraId="26D1E26D">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4.2 履约担保</w:t>
      </w:r>
      <w:r>
        <w:rPr>
          <w:rFonts w:hint="eastAsia" w:ascii="宋体" w:hAnsi="宋体" w:cs="宋体"/>
          <w:color w:val="000000" w:themeColor="text1"/>
          <w14:textFill>
            <w14:solidFill>
              <w14:schemeClr w14:val="tx1"/>
            </w14:solidFill>
          </w14:textFill>
        </w:rPr>
        <w:tab/>
      </w:r>
    </w:p>
    <w:p w14:paraId="0F4E136E">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4.3 工程总承包项目经理</w:t>
      </w:r>
      <w:r>
        <w:rPr>
          <w:rFonts w:hint="eastAsia" w:ascii="宋体" w:hAnsi="宋体" w:cs="宋体"/>
          <w:color w:val="000000" w:themeColor="text1"/>
          <w14:textFill>
            <w14:solidFill>
              <w14:schemeClr w14:val="tx1"/>
            </w14:solidFill>
          </w14:textFill>
        </w:rPr>
        <w:tab/>
      </w:r>
    </w:p>
    <w:p w14:paraId="1E0F5E39">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4.4 承包人人员</w:t>
      </w:r>
      <w:r>
        <w:rPr>
          <w:rFonts w:hint="eastAsia" w:ascii="宋体" w:hAnsi="宋体" w:cs="宋体"/>
          <w:color w:val="000000" w:themeColor="text1"/>
          <w14:textFill>
            <w14:solidFill>
              <w14:schemeClr w14:val="tx1"/>
            </w14:solidFill>
          </w14:textFill>
        </w:rPr>
        <w:tab/>
      </w:r>
    </w:p>
    <w:p w14:paraId="31A59657">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4.5 分包</w:t>
      </w:r>
      <w:r>
        <w:rPr>
          <w:rFonts w:hint="eastAsia" w:ascii="宋体" w:hAnsi="宋体" w:cs="宋体"/>
          <w:color w:val="000000" w:themeColor="text1"/>
          <w14:textFill>
            <w14:solidFill>
              <w14:schemeClr w14:val="tx1"/>
            </w14:solidFill>
          </w14:textFill>
        </w:rPr>
        <w:tab/>
      </w:r>
    </w:p>
    <w:p w14:paraId="60B6E8DB">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4.6 联合体</w:t>
      </w:r>
      <w:r>
        <w:rPr>
          <w:rFonts w:hint="eastAsia" w:ascii="宋体" w:hAnsi="宋体" w:cs="宋体"/>
          <w:color w:val="000000" w:themeColor="text1"/>
          <w14:textFill>
            <w14:solidFill>
              <w14:schemeClr w14:val="tx1"/>
            </w14:solidFill>
          </w14:textFill>
        </w:rPr>
        <w:tab/>
      </w:r>
    </w:p>
    <w:p w14:paraId="6670EFD8">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4.7 承包人现场查勘</w:t>
      </w:r>
      <w:r>
        <w:rPr>
          <w:rFonts w:hint="eastAsia" w:ascii="宋体" w:hAnsi="宋体" w:cs="宋体"/>
          <w:color w:val="000000" w:themeColor="text1"/>
          <w14:textFill>
            <w14:solidFill>
              <w14:schemeClr w14:val="tx1"/>
            </w14:solidFill>
          </w14:textFill>
        </w:rPr>
        <w:tab/>
      </w:r>
    </w:p>
    <w:p w14:paraId="72755C26">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4.8 不可预见的困难</w:t>
      </w:r>
      <w:r>
        <w:rPr>
          <w:rFonts w:hint="eastAsia" w:ascii="宋体" w:hAnsi="宋体" w:cs="宋体"/>
          <w:color w:val="000000" w:themeColor="text1"/>
          <w14:textFill>
            <w14:solidFill>
              <w14:schemeClr w14:val="tx1"/>
            </w14:solidFill>
          </w14:textFill>
        </w:rPr>
        <w:tab/>
      </w:r>
    </w:p>
    <w:p w14:paraId="36CDE4D0">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4.9 工程质量管理</w:t>
      </w:r>
      <w:r>
        <w:rPr>
          <w:rFonts w:hint="eastAsia" w:ascii="宋体" w:hAnsi="宋体" w:cs="宋体"/>
          <w:color w:val="000000" w:themeColor="text1"/>
          <w14:textFill>
            <w14:solidFill>
              <w14:schemeClr w14:val="tx1"/>
            </w14:solidFill>
          </w14:textFill>
        </w:rPr>
        <w:tab/>
      </w:r>
    </w:p>
    <w:p w14:paraId="537A561B">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第5条 设计</w:t>
      </w:r>
      <w:r>
        <w:rPr>
          <w:rFonts w:hint="eastAsia" w:ascii="宋体" w:hAnsi="宋体" w:cs="宋体"/>
          <w:color w:val="000000" w:themeColor="text1"/>
          <w14:textFill>
            <w14:solidFill>
              <w14:schemeClr w14:val="tx1"/>
            </w14:solidFill>
          </w14:textFill>
        </w:rPr>
        <w:tab/>
      </w:r>
    </w:p>
    <w:p w14:paraId="49D8FED8">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5.1 承包人的设计义务</w:t>
      </w:r>
      <w:r>
        <w:rPr>
          <w:rFonts w:hint="eastAsia" w:ascii="宋体" w:hAnsi="宋体" w:cs="宋体"/>
          <w:color w:val="000000" w:themeColor="text1"/>
          <w14:textFill>
            <w14:solidFill>
              <w14:schemeClr w14:val="tx1"/>
            </w14:solidFill>
          </w14:textFill>
        </w:rPr>
        <w:tab/>
      </w:r>
    </w:p>
    <w:p w14:paraId="35D329C9">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5.2 承包人文件审查</w:t>
      </w:r>
      <w:r>
        <w:rPr>
          <w:rFonts w:hint="eastAsia" w:ascii="宋体" w:hAnsi="宋体" w:cs="宋体"/>
          <w:color w:val="000000" w:themeColor="text1"/>
          <w14:textFill>
            <w14:solidFill>
              <w14:schemeClr w14:val="tx1"/>
            </w14:solidFill>
          </w14:textFill>
        </w:rPr>
        <w:tab/>
      </w:r>
    </w:p>
    <w:p w14:paraId="28493F80">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5.3 培训</w:t>
      </w:r>
      <w:r>
        <w:rPr>
          <w:rFonts w:hint="eastAsia" w:ascii="宋体" w:hAnsi="宋体" w:cs="宋体"/>
          <w:color w:val="000000" w:themeColor="text1"/>
          <w14:textFill>
            <w14:solidFill>
              <w14:schemeClr w14:val="tx1"/>
            </w14:solidFill>
          </w14:textFill>
        </w:rPr>
        <w:tab/>
      </w:r>
    </w:p>
    <w:p w14:paraId="0487D5DE">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5.4 竣工文件</w:t>
      </w:r>
      <w:r>
        <w:rPr>
          <w:rFonts w:hint="eastAsia" w:ascii="宋体" w:hAnsi="宋体" w:cs="宋体"/>
          <w:color w:val="000000" w:themeColor="text1"/>
          <w14:textFill>
            <w14:solidFill>
              <w14:schemeClr w14:val="tx1"/>
            </w14:solidFill>
          </w14:textFill>
        </w:rPr>
        <w:tab/>
      </w:r>
    </w:p>
    <w:p w14:paraId="78C71CE0">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5.5 操作和维修手册</w:t>
      </w:r>
      <w:r>
        <w:rPr>
          <w:rFonts w:hint="eastAsia" w:ascii="宋体" w:hAnsi="宋体" w:cs="宋体"/>
          <w:color w:val="000000" w:themeColor="text1"/>
          <w14:textFill>
            <w14:solidFill>
              <w14:schemeClr w14:val="tx1"/>
            </w14:solidFill>
          </w14:textFill>
        </w:rPr>
        <w:tab/>
      </w:r>
    </w:p>
    <w:p w14:paraId="5B3DE8E2">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5.6 承包人文件错误</w:t>
      </w:r>
      <w:r>
        <w:rPr>
          <w:rFonts w:hint="eastAsia" w:ascii="宋体" w:hAnsi="宋体" w:cs="宋体"/>
          <w:color w:val="000000" w:themeColor="text1"/>
          <w14:textFill>
            <w14:solidFill>
              <w14:schemeClr w14:val="tx1"/>
            </w14:solidFill>
          </w14:textFill>
        </w:rPr>
        <w:tab/>
      </w:r>
    </w:p>
    <w:p w14:paraId="267B8E49">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第6条 材料、工程设备</w:t>
      </w:r>
      <w:r>
        <w:rPr>
          <w:rFonts w:hint="eastAsia" w:ascii="宋体" w:hAnsi="宋体" w:cs="宋体"/>
          <w:color w:val="000000" w:themeColor="text1"/>
          <w14:textFill>
            <w14:solidFill>
              <w14:schemeClr w14:val="tx1"/>
            </w14:solidFill>
          </w14:textFill>
        </w:rPr>
        <w:tab/>
      </w:r>
    </w:p>
    <w:p w14:paraId="6116915D">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6.1 实施方法</w:t>
      </w:r>
      <w:r>
        <w:rPr>
          <w:rFonts w:hint="eastAsia" w:ascii="宋体" w:hAnsi="宋体" w:cs="宋体"/>
          <w:color w:val="000000" w:themeColor="text1"/>
          <w14:textFill>
            <w14:solidFill>
              <w14:schemeClr w14:val="tx1"/>
            </w14:solidFill>
          </w14:textFill>
        </w:rPr>
        <w:tab/>
      </w:r>
    </w:p>
    <w:p w14:paraId="6240687A">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6.2 材料和工程设备</w:t>
      </w:r>
      <w:r>
        <w:rPr>
          <w:rFonts w:hint="eastAsia" w:ascii="宋体" w:hAnsi="宋体" w:cs="宋体"/>
          <w:color w:val="000000" w:themeColor="text1"/>
          <w14:textFill>
            <w14:solidFill>
              <w14:schemeClr w14:val="tx1"/>
            </w14:solidFill>
          </w14:textFill>
        </w:rPr>
        <w:tab/>
      </w:r>
    </w:p>
    <w:p w14:paraId="760059B3">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6.3 样品</w:t>
      </w:r>
      <w:r>
        <w:rPr>
          <w:rFonts w:hint="eastAsia" w:ascii="宋体" w:hAnsi="宋体" w:cs="宋体"/>
          <w:color w:val="000000" w:themeColor="text1"/>
          <w14:textFill>
            <w14:solidFill>
              <w14:schemeClr w14:val="tx1"/>
            </w14:solidFill>
          </w14:textFill>
        </w:rPr>
        <w:tab/>
      </w:r>
    </w:p>
    <w:p w14:paraId="7ED30D21">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6.4 质量检查</w:t>
      </w:r>
      <w:r>
        <w:rPr>
          <w:rFonts w:hint="eastAsia" w:ascii="宋体" w:hAnsi="宋体" w:cs="宋体"/>
          <w:color w:val="000000" w:themeColor="text1"/>
          <w14:textFill>
            <w14:solidFill>
              <w14:schemeClr w14:val="tx1"/>
            </w14:solidFill>
          </w14:textFill>
        </w:rPr>
        <w:tab/>
      </w:r>
    </w:p>
    <w:p w14:paraId="50385D14">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6.5 由承包人试验和检验</w:t>
      </w:r>
      <w:r>
        <w:rPr>
          <w:rFonts w:hint="eastAsia" w:ascii="宋体" w:hAnsi="宋体" w:cs="宋体"/>
          <w:color w:val="000000" w:themeColor="text1"/>
          <w14:textFill>
            <w14:solidFill>
              <w14:schemeClr w14:val="tx1"/>
            </w14:solidFill>
          </w14:textFill>
        </w:rPr>
        <w:tab/>
      </w:r>
    </w:p>
    <w:p w14:paraId="21A12838">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6.6 缺陷和修补</w:t>
      </w:r>
      <w:r>
        <w:rPr>
          <w:rFonts w:hint="eastAsia" w:ascii="宋体" w:hAnsi="宋体" w:cs="宋体"/>
          <w:color w:val="000000" w:themeColor="text1"/>
          <w14:textFill>
            <w14:solidFill>
              <w14:schemeClr w14:val="tx1"/>
            </w14:solidFill>
          </w14:textFill>
        </w:rPr>
        <w:tab/>
      </w:r>
    </w:p>
    <w:p w14:paraId="4C460F5F">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第7条 施工</w:t>
      </w:r>
      <w:r>
        <w:rPr>
          <w:rFonts w:hint="eastAsia" w:ascii="宋体" w:hAnsi="宋体" w:cs="宋体"/>
          <w:color w:val="000000" w:themeColor="text1"/>
          <w14:textFill>
            <w14:solidFill>
              <w14:schemeClr w14:val="tx1"/>
            </w14:solidFill>
          </w14:textFill>
        </w:rPr>
        <w:tab/>
      </w:r>
    </w:p>
    <w:p w14:paraId="1385D393">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7.1 交通运输</w:t>
      </w:r>
      <w:r>
        <w:rPr>
          <w:rFonts w:hint="eastAsia" w:ascii="宋体" w:hAnsi="宋体" w:cs="宋体"/>
          <w:color w:val="000000" w:themeColor="text1"/>
          <w14:textFill>
            <w14:solidFill>
              <w14:schemeClr w14:val="tx1"/>
            </w14:solidFill>
          </w14:textFill>
        </w:rPr>
        <w:tab/>
      </w:r>
    </w:p>
    <w:p w14:paraId="4946C976">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7.2 施工设备和临时设施</w:t>
      </w:r>
      <w:r>
        <w:rPr>
          <w:rFonts w:hint="eastAsia" w:ascii="宋体" w:hAnsi="宋体" w:cs="宋体"/>
          <w:color w:val="000000" w:themeColor="text1"/>
          <w14:textFill>
            <w14:solidFill>
              <w14:schemeClr w14:val="tx1"/>
            </w14:solidFill>
          </w14:textFill>
        </w:rPr>
        <w:tab/>
      </w:r>
    </w:p>
    <w:p w14:paraId="3C7DB53C">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7.3 现场合作</w:t>
      </w:r>
      <w:r>
        <w:rPr>
          <w:rFonts w:hint="eastAsia" w:ascii="宋体" w:hAnsi="宋体" w:cs="宋体"/>
          <w:color w:val="000000" w:themeColor="text1"/>
          <w14:textFill>
            <w14:solidFill>
              <w14:schemeClr w14:val="tx1"/>
            </w14:solidFill>
          </w14:textFill>
        </w:rPr>
        <w:tab/>
      </w:r>
    </w:p>
    <w:p w14:paraId="1C39C294">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7.4 测量放线</w:t>
      </w:r>
      <w:r>
        <w:rPr>
          <w:rFonts w:hint="eastAsia" w:ascii="宋体" w:hAnsi="宋体" w:cs="宋体"/>
          <w:color w:val="000000" w:themeColor="text1"/>
          <w14:textFill>
            <w14:solidFill>
              <w14:schemeClr w14:val="tx1"/>
            </w14:solidFill>
          </w14:textFill>
        </w:rPr>
        <w:tab/>
      </w:r>
    </w:p>
    <w:p w14:paraId="2BB61436">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7.5 现场劳动用工</w:t>
      </w:r>
      <w:r>
        <w:rPr>
          <w:rFonts w:hint="eastAsia" w:ascii="宋体" w:hAnsi="宋体" w:cs="宋体"/>
          <w:color w:val="000000" w:themeColor="text1"/>
          <w14:textFill>
            <w14:solidFill>
              <w14:schemeClr w14:val="tx1"/>
            </w14:solidFill>
          </w14:textFill>
        </w:rPr>
        <w:tab/>
      </w:r>
    </w:p>
    <w:p w14:paraId="233F8586">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7.6 安全文明施工</w:t>
      </w:r>
      <w:r>
        <w:rPr>
          <w:rFonts w:hint="eastAsia" w:ascii="宋体" w:hAnsi="宋体" w:cs="宋体"/>
          <w:color w:val="000000" w:themeColor="text1"/>
          <w14:textFill>
            <w14:solidFill>
              <w14:schemeClr w14:val="tx1"/>
            </w14:solidFill>
          </w14:textFill>
        </w:rPr>
        <w:tab/>
      </w:r>
    </w:p>
    <w:p w14:paraId="087E8B2E">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7.7 职业健康</w:t>
      </w:r>
      <w:r>
        <w:rPr>
          <w:rFonts w:hint="eastAsia" w:ascii="宋体" w:hAnsi="宋体" w:cs="宋体"/>
          <w:color w:val="000000" w:themeColor="text1"/>
          <w14:textFill>
            <w14:solidFill>
              <w14:schemeClr w14:val="tx1"/>
            </w14:solidFill>
          </w14:textFill>
        </w:rPr>
        <w:tab/>
      </w:r>
    </w:p>
    <w:p w14:paraId="19265C76">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7.8 环境保护</w:t>
      </w:r>
      <w:r>
        <w:rPr>
          <w:rFonts w:hint="eastAsia" w:ascii="宋体" w:hAnsi="宋体" w:cs="宋体"/>
          <w:color w:val="000000" w:themeColor="text1"/>
          <w14:textFill>
            <w14:solidFill>
              <w14:schemeClr w14:val="tx1"/>
            </w14:solidFill>
          </w14:textFill>
        </w:rPr>
        <w:tab/>
      </w:r>
    </w:p>
    <w:p w14:paraId="1572E4B2">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7.9 临时性公用设施</w:t>
      </w:r>
      <w:r>
        <w:rPr>
          <w:rFonts w:hint="eastAsia" w:ascii="宋体" w:hAnsi="宋体" w:cs="宋体"/>
          <w:color w:val="000000" w:themeColor="text1"/>
          <w14:textFill>
            <w14:solidFill>
              <w14:schemeClr w14:val="tx1"/>
            </w14:solidFill>
          </w14:textFill>
        </w:rPr>
        <w:tab/>
      </w:r>
    </w:p>
    <w:p w14:paraId="0B435DB8">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7.10 现场安保</w:t>
      </w:r>
      <w:r>
        <w:rPr>
          <w:rFonts w:hint="eastAsia" w:ascii="宋体" w:hAnsi="宋体" w:cs="宋体"/>
          <w:color w:val="000000" w:themeColor="text1"/>
          <w14:textFill>
            <w14:solidFill>
              <w14:schemeClr w14:val="tx1"/>
            </w14:solidFill>
          </w14:textFill>
        </w:rPr>
        <w:tab/>
      </w:r>
    </w:p>
    <w:p w14:paraId="29CE79C2">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7.11 工程照管</w:t>
      </w:r>
      <w:r>
        <w:rPr>
          <w:rFonts w:hint="eastAsia" w:ascii="宋体" w:hAnsi="宋体" w:cs="宋体"/>
          <w:color w:val="000000" w:themeColor="text1"/>
          <w14:textFill>
            <w14:solidFill>
              <w14:schemeClr w14:val="tx1"/>
            </w14:solidFill>
          </w14:textFill>
        </w:rPr>
        <w:tab/>
      </w:r>
    </w:p>
    <w:p w14:paraId="2F33E144">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第8条 工期和进度</w:t>
      </w:r>
      <w:r>
        <w:rPr>
          <w:rFonts w:hint="eastAsia" w:ascii="宋体" w:hAnsi="宋体" w:cs="宋体"/>
          <w:color w:val="000000" w:themeColor="text1"/>
          <w14:textFill>
            <w14:solidFill>
              <w14:schemeClr w14:val="tx1"/>
            </w14:solidFill>
          </w14:textFill>
        </w:rPr>
        <w:tab/>
      </w:r>
    </w:p>
    <w:p w14:paraId="79843B3B">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8.1 开始工作</w:t>
      </w:r>
      <w:r>
        <w:rPr>
          <w:rFonts w:hint="eastAsia" w:ascii="宋体" w:hAnsi="宋体" w:cs="宋体"/>
          <w:color w:val="000000" w:themeColor="text1"/>
          <w14:textFill>
            <w14:solidFill>
              <w14:schemeClr w14:val="tx1"/>
            </w14:solidFill>
          </w14:textFill>
        </w:rPr>
        <w:tab/>
      </w:r>
    </w:p>
    <w:p w14:paraId="5620C488">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8.2 竣工日期</w:t>
      </w:r>
      <w:r>
        <w:rPr>
          <w:rFonts w:hint="eastAsia" w:ascii="宋体" w:hAnsi="宋体" w:cs="宋体"/>
          <w:color w:val="000000" w:themeColor="text1"/>
          <w14:textFill>
            <w14:solidFill>
              <w14:schemeClr w14:val="tx1"/>
            </w14:solidFill>
          </w14:textFill>
        </w:rPr>
        <w:tab/>
      </w:r>
    </w:p>
    <w:p w14:paraId="08892D09">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8.3 项目实施计划</w:t>
      </w:r>
      <w:r>
        <w:rPr>
          <w:rFonts w:hint="eastAsia" w:ascii="宋体" w:hAnsi="宋体" w:cs="宋体"/>
          <w:color w:val="000000" w:themeColor="text1"/>
          <w14:textFill>
            <w14:solidFill>
              <w14:schemeClr w14:val="tx1"/>
            </w14:solidFill>
          </w14:textFill>
        </w:rPr>
        <w:tab/>
      </w:r>
    </w:p>
    <w:p w14:paraId="7CC7D007">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8.4 项目进度计划</w:t>
      </w:r>
      <w:r>
        <w:rPr>
          <w:rFonts w:hint="eastAsia" w:ascii="宋体" w:hAnsi="宋体" w:cs="宋体"/>
          <w:color w:val="000000" w:themeColor="text1"/>
          <w14:textFill>
            <w14:solidFill>
              <w14:schemeClr w14:val="tx1"/>
            </w14:solidFill>
          </w14:textFill>
        </w:rPr>
        <w:tab/>
      </w:r>
    </w:p>
    <w:p w14:paraId="4E53E1AF">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8.5 进度报告</w:t>
      </w:r>
      <w:r>
        <w:rPr>
          <w:rFonts w:hint="eastAsia" w:ascii="宋体" w:hAnsi="宋体" w:cs="宋体"/>
          <w:color w:val="000000" w:themeColor="text1"/>
          <w14:textFill>
            <w14:solidFill>
              <w14:schemeClr w14:val="tx1"/>
            </w14:solidFill>
          </w14:textFill>
        </w:rPr>
        <w:tab/>
      </w:r>
    </w:p>
    <w:p w14:paraId="3A03E48B">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8.6 提前预警</w:t>
      </w:r>
      <w:r>
        <w:rPr>
          <w:rFonts w:hint="eastAsia" w:ascii="宋体" w:hAnsi="宋体" w:cs="宋体"/>
          <w:color w:val="000000" w:themeColor="text1"/>
          <w14:textFill>
            <w14:solidFill>
              <w14:schemeClr w14:val="tx1"/>
            </w14:solidFill>
          </w14:textFill>
        </w:rPr>
        <w:tab/>
      </w:r>
    </w:p>
    <w:p w14:paraId="7D4BF148">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8.7 工期延误</w:t>
      </w:r>
      <w:r>
        <w:rPr>
          <w:rFonts w:hint="eastAsia" w:ascii="宋体" w:hAnsi="宋体" w:cs="宋体"/>
          <w:color w:val="000000" w:themeColor="text1"/>
          <w14:textFill>
            <w14:solidFill>
              <w14:schemeClr w14:val="tx1"/>
            </w14:solidFill>
          </w14:textFill>
        </w:rPr>
        <w:tab/>
      </w:r>
    </w:p>
    <w:p w14:paraId="0DA1D287">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8.8 工期提前</w:t>
      </w:r>
      <w:r>
        <w:rPr>
          <w:rFonts w:hint="eastAsia" w:ascii="宋体" w:hAnsi="宋体" w:cs="宋体"/>
          <w:color w:val="000000" w:themeColor="text1"/>
          <w14:textFill>
            <w14:solidFill>
              <w14:schemeClr w14:val="tx1"/>
            </w14:solidFill>
          </w14:textFill>
        </w:rPr>
        <w:tab/>
      </w:r>
    </w:p>
    <w:p w14:paraId="4724BB74">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8.9 暂停工作</w:t>
      </w:r>
      <w:r>
        <w:rPr>
          <w:rFonts w:hint="eastAsia" w:ascii="宋体" w:hAnsi="宋体" w:cs="宋体"/>
          <w:color w:val="000000" w:themeColor="text1"/>
          <w14:textFill>
            <w14:solidFill>
              <w14:schemeClr w14:val="tx1"/>
            </w14:solidFill>
          </w14:textFill>
        </w:rPr>
        <w:tab/>
      </w:r>
    </w:p>
    <w:p w14:paraId="439D73D2">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8.10 复工</w:t>
      </w:r>
      <w:r>
        <w:rPr>
          <w:rFonts w:hint="eastAsia" w:ascii="宋体" w:hAnsi="宋体" w:cs="宋体"/>
          <w:color w:val="000000" w:themeColor="text1"/>
          <w14:textFill>
            <w14:solidFill>
              <w14:schemeClr w14:val="tx1"/>
            </w14:solidFill>
          </w14:textFill>
        </w:rPr>
        <w:tab/>
      </w:r>
    </w:p>
    <w:p w14:paraId="5700245B">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第9条 竣工试验</w:t>
      </w:r>
      <w:r>
        <w:rPr>
          <w:rFonts w:hint="eastAsia" w:ascii="宋体" w:hAnsi="宋体" w:cs="宋体"/>
          <w:color w:val="000000" w:themeColor="text1"/>
          <w14:textFill>
            <w14:solidFill>
              <w14:schemeClr w14:val="tx1"/>
            </w14:solidFill>
          </w14:textFill>
        </w:rPr>
        <w:tab/>
      </w:r>
    </w:p>
    <w:p w14:paraId="29F47B4C">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9.1 竣工试验的义务</w:t>
      </w:r>
      <w:r>
        <w:rPr>
          <w:rFonts w:hint="eastAsia" w:ascii="宋体" w:hAnsi="宋体" w:cs="宋体"/>
          <w:color w:val="000000" w:themeColor="text1"/>
          <w14:textFill>
            <w14:solidFill>
              <w14:schemeClr w14:val="tx1"/>
            </w14:solidFill>
          </w14:textFill>
        </w:rPr>
        <w:tab/>
      </w:r>
    </w:p>
    <w:p w14:paraId="3520E6C0">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9.2 延误的试验</w:t>
      </w:r>
      <w:r>
        <w:rPr>
          <w:rFonts w:hint="eastAsia" w:ascii="宋体" w:hAnsi="宋体" w:cs="宋体"/>
          <w:color w:val="000000" w:themeColor="text1"/>
          <w14:textFill>
            <w14:solidFill>
              <w14:schemeClr w14:val="tx1"/>
            </w14:solidFill>
          </w14:textFill>
        </w:rPr>
        <w:tab/>
      </w:r>
    </w:p>
    <w:p w14:paraId="77A58706">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9.3 重新试验</w:t>
      </w:r>
      <w:r>
        <w:rPr>
          <w:rFonts w:hint="eastAsia" w:ascii="宋体" w:hAnsi="宋体" w:cs="宋体"/>
          <w:color w:val="000000" w:themeColor="text1"/>
          <w14:textFill>
            <w14:solidFill>
              <w14:schemeClr w14:val="tx1"/>
            </w14:solidFill>
          </w14:textFill>
        </w:rPr>
        <w:tab/>
      </w:r>
    </w:p>
    <w:p w14:paraId="2BB374C0">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9.4 未能通过竣工试验</w:t>
      </w:r>
      <w:r>
        <w:rPr>
          <w:rFonts w:hint="eastAsia" w:ascii="宋体" w:hAnsi="宋体" w:cs="宋体"/>
          <w:color w:val="000000" w:themeColor="text1"/>
          <w14:textFill>
            <w14:solidFill>
              <w14:schemeClr w14:val="tx1"/>
            </w14:solidFill>
          </w14:textFill>
        </w:rPr>
        <w:tab/>
      </w:r>
    </w:p>
    <w:p w14:paraId="0810860F">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第10条 验收和工程接收</w:t>
      </w:r>
      <w:r>
        <w:rPr>
          <w:rFonts w:hint="eastAsia" w:ascii="宋体" w:hAnsi="宋体" w:cs="宋体"/>
          <w:color w:val="000000" w:themeColor="text1"/>
          <w14:textFill>
            <w14:solidFill>
              <w14:schemeClr w14:val="tx1"/>
            </w14:solidFill>
          </w14:textFill>
        </w:rPr>
        <w:tab/>
      </w:r>
    </w:p>
    <w:p w14:paraId="4EBC8062">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10.1 竣工验收</w:t>
      </w:r>
      <w:r>
        <w:rPr>
          <w:rFonts w:hint="eastAsia" w:ascii="宋体" w:hAnsi="宋体" w:cs="宋体"/>
          <w:color w:val="000000" w:themeColor="text1"/>
          <w14:textFill>
            <w14:solidFill>
              <w14:schemeClr w14:val="tx1"/>
            </w14:solidFill>
          </w14:textFill>
        </w:rPr>
        <w:tab/>
      </w:r>
    </w:p>
    <w:p w14:paraId="1AE0D917">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10.2 单位/区段工程的验收</w:t>
      </w:r>
      <w:r>
        <w:rPr>
          <w:rFonts w:hint="eastAsia" w:ascii="宋体" w:hAnsi="宋体" w:cs="宋体"/>
          <w:color w:val="000000" w:themeColor="text1"/>
          <w14:textFill>
            <w14:solidFill>
              <w14:schemeClr w14:val="tx1"/>
            </w14:solidFill>
          </w14:textFill>
        </w:rPr>
        <w:tab/>
      </w:r>
    </w:p>
    <w:p w14:paraId="737E0ABD">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10.3 工程的接收</w:t>
      </w:r>
      <w:r>
        <w:rPr>
          <w:rFonts w:hint="eastAsia" w:ascii="宋体" w:hAnsi="宋体" w:cs="宋体"/>
          <w:color w:val="000000" w:themeColor="text1"/>
          <w14:textFill>
            <w14:solidFill>
              <w14:schemeClr w14:val="tx1"/>
            </w14:solidFill>
          </w14:textFill>
        </w:rPr>
        <w:tab/>
      </w:r>
    </w:p>
    <w:p w14:paraId="6FF7D5E4">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10.4 接收证书</w:t>
      </w:r>
      <w:r>
        <w:rPr>
          <w:rFonts w:hint="eastAsia" w:ascii="宋体" w:hAnsi="宋体" w:cs="宋体"/>
          <w:color w:val="000000" w:themeColor="text1"/>
          <w14:textFill>
            <w14:solidFill>
              <w14:schemeClr w14:val="tx1"/>
            </w14:solidFill>
          </w14:textFill>
        </w:rPr>
        <w:tab/>
      </w:r>
    </w:p>
    <w:p w14:paraId="384E4F86">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10.5 竣工退场</w:t>
      </w:r>
      <w:r>
        <w:rPr>
          <w:rFonts w:hint="eastAsia" w:ascii="宋体" w:hAnsi="宋体" w:cs="宋体"/>
          <w:color w:val="000000" w:themeColor="text1"/>
          <w14:textFill>
            <w14:solidFill>
              <w14:schemeClr w14:val="tx1"/>
            </w14:solidFill>
          </w14:textFill>
        </w:rPr>
        <w:tab/>
      </w:r>
    </w:p>
    <w:p w14:paraId="0A098AE7">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第11条 缺陷责任与保修</w:t>
      </w:r>
      <w:r>
        <w:rPr>
          <w:rFonts w:hint="eastAsia" w:ascii="宋体" w:hAnsi="宋体" w:cs="宋体"/>
          <w:color w:val="000000" w:themeColor="text1"/>
          <w14:textFill>
            <w14:solidFill>
              <w14:schemeClr w14:val="tx1"/>
            </w14:solidFill>
          </w14:textFill>
        </w:rPr>
        <w:tab/>
      </w:r>
    </w:p>
    <w:p w14:paraId="3F4209AF">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11.1 工程保修的原则</w:t>
      </w:r>
      <w:r>
        <w:rPr>
          <w:rFonts w:hint="eastAsia" w:ascii="宋体" w:hAnsi="宋体" w:cs="宋体"/>
          <w:color w:val="000000" w:themeColor="text1"/>
          <w14:textFill>
            <w14:solidFill>
              <w14:schemeClr w14:val="tx1"/>
            </w14:solidFill>
          </w14:textFill>
        </w:rPr>
        <w:tab/>
      </w:r>
    </w:p>
    <w:p w14:paraId="066CC948">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11.2 缺陷责任期</w:t>
      </w:r>
      <w:r>
        <w:rPr>
          <w:rFonts w:hint="eastAsia" w:ascii="宋体" w:hAnsi="宋体" w:cs="宋体"/>
          <w:color w:val="000000" w:themeColor="text1"/>
          <w14:textFill>
            <w14:solidFill>
              <w14:schemeClr w14:val="tx1"/>
            </w14:solidFill>
          </w14:textFill>
        </w:rPr>
        <w:tab/>
      </w:r>
    </w:p>
    <w:p w14:paraId="534596F6">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11.3 缺陷调查</w:t>
      </w:r>
      <w:r>
        <w:rPr>
          <w:rFonts w:hint="eastAsia" w:ascii="宋体" w:hAnsi="宋体" w:cs="宋体"/>
          <w:color w:val="000000" w:themeColor="text1"/>
          <w14:textFill>
            <w14:solidFill>
              <w14:schemeClr w14:val="tx1"/>
            </w14:solidFill>
          </w14:textFill>
        </w:rPr>
        <w:tab/>
      </w:r>
    </w:p>
    <w:p w14:paraId="657C2DC4">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11.4 缺陷修复后的进一步试验</w:t>
      </w:r>
      <w:r>
        <w:rPr>
          <w:rFonts w:hint="eastAsia" w:ascii="宋体" w:hAnsi="宋体" w:cs="宋体"/>
          <w:color w:val="000000" w:themeColor="text1"/>
          <w14:textFill>
            <w14:solidFill>
              <w14:schemeClr w14:val="tx1"/>
            </w14:solidFill>
          </w14:textFill>
        </w:rPr>
        <w:tab/>
      </w:r>
    </w:p>
    <w:p w14:paraId="1203614F">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11.5 承包人出入权</w:t>
      </w:r>
      <w:r>
        <w:rPr>
          <w:rFonts w:hint="eastAsia" w:ascii="宋体" w:hAnsi="宋体" w:cs="宋体"/>
          <w:color w:val="000000" w:themeColor="text1"/>
          <w14:textFill>
            <w14:solidFill>
              <w14:schemeClr w14:val="tx1"/>
            </w14:solidFill>
          </w14:textFill>
        </w:rPr>
        <w:tab/>
      </w:r>
    </w:p>
    <w:p w14:paraId="6D76300A">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11.6 缺陷责任期终止证书</w:t>
      </w:r>
      <w:r>
        <w:rPr>
          <w:rFonts w:hint="eastAsia" w:ascii="宋体" w:hAnsi="宋体" w:cs="宋体"/>
          <w:color w:val="000000" w:themeColor="text1"/>
          <w14:textFill>
            <w14:solidFill>
              <w14:schemeClr w14:val="tx1"/>
            </w14:solidFill>
          </w14:textFill>
        </w:rPr>
        <w:tab/>
      </w:r>
    </w:p>
    <w:p w14:paraId="447DFF65">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11.7 保修责任</w:t>
      </w:r>
      <w:r>
        <w:rPr>
          <w:rFonts w:hint="eastAsia" w:ascii="宋体" w:hAnsi="宋体" w:cs="宋体"/>
          <w:color w:val="000000" w:themeColor="text1"/>
          <w14:textFill>
            <w14:solidFill>
              <w14:schemeClr w14:val="tx1"/>
            </w14:solidFill>
          </w14:textFill>
        </w:rPr>
        <w:tab/>
      </w:r>
    </w:p>
    <w:p w14:paraId="07D5B1A6">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第12条 竣工后试验</w:t>
      </w:r>
      <w:r>
        <w:rPr>
          <w:rFonts w:hint="eastAsia" w:ascii="宋体" w:hAnsi="宋体" w:cs="宋体"/>
          <w:color w:val="000000" w:themeColor="text1"/>
          <w14:textFill>
            <w14:solidFill>
              <w14:schemeClr w14:val="tx1"/>
            </w14:solidFill>
          </w14:textFill>
        </w:rPr>
        <w:tab/>
      </w:r>
    </w:p>
    <w:p w14:paraId="0948BAD1">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12.1 竣工后试验的程序</w:t>
      </w:r>
      <w:r>
        <w:rPr>
          <w:rFonts w:hint="eastAsia" w:ascii="宋体" w:hAnsi="宋体" w:cs="宋体"/>
          <w:color w:val="000000" w:themeColor="text1"/>
          <w14:textFill>
            <w14:solidFill>
              <w14:schemeClr w14:val="tx1"/>
            </w14:solidFill>
          </w14:textFill>
        </w:rPr>
        <w:tab/>
      </w:r>
    </w:p>
    <w:p w14:paraId="6EACD569">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12.2 延误的试验</w:t>
      </w:r>
      <w:r>
        <w:rPr>
          <w:rFonts w:hint="eastAsia" w:ascii="宋体" w:hAnsi="宋体" w:cs="宋体"/>
          <w:color w:val="000000" w:themeColor="text1"/>
          <w14:textFill>
            <w14:solidFill>
              <w14:schemeClr w14:val="tx1"/>
            </w14:solidFill>
          </w14:textFill>
        </w:rPr>
        <w:tab/>
      </w:r>
    </w:p>
    <w:p w14:paraId="6AC12C7F">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12.3 重新试验</w:t>
      </w:r>
      <w:r>
        <w:rPr>
          <w:rFonts w:hint="eastAsia" w:ascii="宋体" w:hAnsi="宋体" w:cs="宋体"/>
          <w:color w:val="000000" w:themeColor="text1"/>
          <w14:textFill>
            <w14:solidFill>
              <w14:schemeClr w14:val="tx1"/>
            </w14:solidFill>
          </w14:textFill>
        </w:rPr>
        <w:tab/>
      </w:r>
    </w:p>
    <w:p w14:paraId="7972CD87">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12.4 未能通过竣工后试验</w:t>
      </w:r>
      <w:r>
        <w:rPr>
          <w:rFonts w:hint="eastAsia" w:ascii="宋体" w:hAnsi="宋体" w:cs="宋体"/>
          <w:color w:val="000000" w:themeColor="text1"/>
          <w14:textFill>
            <w14:solidFill>
              <w14:schemeClr w14:val="tx1"/>
            </w14:solidFill>
          </w14:textFill>
        </w:rPr>
        <w:tab/>
      </w:r>
    </w:p>
    <w:p w14:paraId="3C264A6A">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第13条 变更与调整</w:t>
      </w:r>
      <w:r>
        <w:rPr>
          <w:rFonts w:hint="eastAsia" w:ascii="宋体" w:hAnsi="宋体" w:cs="宋体"/>
          <w:color w:val="000000" w:themeColor="text1"/>
          <w14:textFill>
            <w14:solidFill>
              <w14:schemeClr w14:val="tx1"/>
            </w14:solidFill>
          </w14:textFill>
        </w:rPr>
        <w:tab/>
      </w:r>
    </w:p>
    <w:p w14:paraId="5266A34D">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13.1 发包人变更权</w:t>
      </w:r>
      <w:r>
        <w:rPr>
          <w:rFonts w:hint="eastAsia" w:ascii="宋体" w:hAnsi="宋体" w:cs="宋体"/>
          <w:color w:val="000000" w:themeColor="text1"/>
          <w14:textFill>
            <w14:solidFill>
              <w14:schemeClr w14:val="tx1"/>
            </w14:solidFill>
          </w14:textFill>
        </w:rPr>
        <w:tab/>
      </w:r>
    </w:p>
    <w:p w14:paraId="0BBA9D3A">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13.2 承包人的合理化建议</w:t>
      </w:r>
      <w:r>
        <w:rPr>
          <w:rFonts w:hint="eastAsia" w:ascii="宋体" w:hAnsi="宋体" w:cs="宋体"/>
          <w:color w:val="000000" w:themeColor="text1"/>
          <w14:textFill>
            <w14:solidFill>
              <w14:schemeClr w14:val="tx1"/>
            </w14:solidFill>
          </w14:textFill>
        </w:rPr>
        <w:tab/>
      </w:r>
    </w:p>
    <w:p w14:paraId="709A299D">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13.3 变更程序</w:t>
      </w:r>
      <w:r>
        <w:rPr>
          <w:rFonts w:hint="eastAsia" w:ascii="宋体" w:hAnsi="宋体" w:cs="宋体"/>
          <w:color w:val="000000" w:themeColor="text1"/>
          <w14:textFill>
            <w14:solidFill>
              <w14:schemeClr w14:val="tx1"/>
            </w14:solidFill>
          </w14:textFill>
        </w:rPr>
        <w:tab/>
      </w:r>
    </w:p>
    <w:p w14:paraId="00B919A1">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13.4 暂估价</w:t>
      </w:r>
      <w:r>
        <w:rPr>
          <w:rFonts w:hint="eastAsia" w:ascii="宋体" w:hAnsi="宋体" w:cs="宋体"/>
          <w:color w:val="000000" w:themeColor="text1"/>
          <w14:textFill>
            <w14:solidFill>
              <w14:schemeClr w14:val="tx1"/>
            </w14:solidFill>
          </w14:textFill>
        </w:rPr>
        <w:tab/>
      </w:r>
    </w:p>
    <w:p w14:paraId="014A814A">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13.5 暂列金额</w:t>
      </w:r>
      <w:r>
        <w:rPr>
          <w:rFonts w:hint="eastAsia" w:ascii="宋体" w:hAnsi="宋体" w:cs="宋体"/>
          <w:color w:val="000000" w:themeColor="text1"/>
          <w14:textFill>
            <w14:solidFill>
              <w14:schemeClr w14:val="tx1"/>
            </w14:solidFill>
          </w14:textFill>
        </w:rPr>
        <w:tab/>
      </w:r>
    </w:p>
    <w:p w14:paraId="42D0E027">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13.6 计日工</w:t>
      </w:r>
      <w:r>
        <w:rPr>
          <w:rFonts w:hint="eastAsia" w:ascii="宋体" w:hAnsi="宋体" w:cs="宋体"/>
          <w:color w:val="000000" w:themeColor="text1"/>
          <w14:textFill>
            <w14:solidFill>
              <w14:schemeClr w14:val="tx1"/>
            </w14:solidFill>
          </w14:textFill>
        </w:rPr>
        <w:tab/>
      </w:r>
    </w:p>
    <w:p w14:paraId="3534EDD9">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13.7 法律变化引起的调整</w:t>
      </w:r>
      <w:r>
        <w:rPr>
          <w:rFonts w:hint="eastAsia" w:ascii="宋体" w:hAnsi="宋体" w:cs="宋体"/>
          <w:color w:val="000000" w:themeColor="text1"/>
          <w14:textFill>
            <w14:solidFill>
              <w14:schemeClr w14:val="tx1"/>
            </w14:solidFill>
          </w14:textFill>
        </w:rPr>
        <w:tab/>
      </w:r>
    </w:p>
    <w:p w14:paraId="6B9082F8">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13.8 市场价格波动引起的调整</w:t>
      </w:r>
      <w:r>
        <w:rPr>
          <w:rFonts w:hint="eastAsia" w:ascii="宋体" w:hAnsi="宋体" w:cs="宋体"/>
          <w:color w:val="000000" w:themeColor="text1"/>
          <w14:textFill>
            <w14:solidFill>
              <w14:schemeClr w14:val="tx1"/>
            </w14:solidFill>
          </w14:textFill>
        </w:rPr>
        <w:tab/>
      </w:r>
    </w:p>
    <w:p w14:paraId="39E2E2EB">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第14条 合同价格与支付</w:t>
      </w:r>
      <w:r>
        <w:rPr>
          <w:rFonts w:hint="eastAsia" w:ascii="宋体" w:hAnsi="宋体" w:cs="宋体"/>
          <w:color w:val="000000" w:themeColor="text1"/>
          <w14:textFill>
            <w14:solidFill>
              <w14:schemeClr w14:val="tx1"/>
            </w14:solidFill>
          </w14:textFill>
        </w:rPr>
        <w:tab/>
      </w:r>
    </w:p>
    <w:p w14:paraId="28318AE9">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14.1 合同价格形式</w:t>
      </w:r>
      <w:r>
        <w:rPr>
          <w:rFonts w:hint="eastAsia" w:ascii="宋体" w:hAnsi="宋体" w:cs="宋体"/>
          <w:color w:val="000000" w:themeColor="text1"/>
          <w14:textFill>
            <w14:solidFill>
              <w14:schemeClr w14:val="tx1"/>
            </w14:solidFill>
          </w14:textFill>
        </w:rPr>
        <w:tab/>
      </w:r>
    </w:p>
    <w:p w14:paraId="3EBE7908">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14.2 预付款</w:t>
      </w:r>
      <w:r>
        <w:rPr>
          <w:rFonts w:hint="eastAsia" w:ascii="宋体" w:hAnsi="宋体" w:cs="宋体"/>
          <w:color w:val="000000" w:themeColor="text1"/>
          <w14:textFill>
            <w14:solidFill>
              <w14:schemeClr w14:val="tx1"/>
            </w14:solidFill>
          </w14:textFill>
        </w:rPr>
        <w:tab/>
      </w:r>
    </w:p>
    <w:p w14:paraId="29F0641F">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14.3 工程进度款</w:t>
      </w:r>
      <w:r>
        <w:rPr>
          <w:rFonts w:hint="eastAsia" w:ascii="宋体" w:hAnsi="宋体" w:cs="宋体"/>
          <w:color w:val="000000" w:themeColor="text1"/>
          <w14:textFill>
            <w14:solidFill>
              <w14:schemeClr w14:val="tx1"/>
            </w14:solidFill>
          </w14:textFill>
        </w:rPr>
        <w:tab/>
      </w:r>
    </w:p>
    <w:p w14:paraId="5F5E1AE7">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14.4 付款计划表</w:t>
      </w:r>
      <w:r>
        <w:rPr>
          <w:rFonts w:hint="eastAsia" w:ascii="宋体" w:hAnsi="宋体" w:cs="宋体"/>
          <w:color w:val="000000" w:themeColor="text1"/>
          <w14:textFill>
            <w14:solidFill>
              <w14:schemeClr w14:val="tx1"/>
            </w14:solidFill>
          </w14:textFill>
        </w:rPr>
        <w:tab/>
      </w:r>
    </w:p>
    <w:p w14:paraId="0593215F">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14.5 竣工结算</w:t>
      </w:r>
      <w:r>
        <w:rPr>
          <w:rFonts w:hint="eastAsia" w:ascii="宋体" w:hAnsi="宋体" w:cs="宋体"/>
          <w:color w:val="000000" w:themeColor="text1"/>
          <w14:textFill>
            <w14:solidFill>
              <w14:schemeClr w14:val="tx1"/>
            </w14:solidFill>
          </w14:textFill>
        </w:rPr>
        <w:tab/>
      </w:r>
    </w:p>
    <w:p w14:paraId="0A96CAC7">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14.6 质量保证金</w:t>
      </w:r>
      <w:r>
        <w:rPr>
          <w:rFonts w:hint="eastAsia" w:ascii="宋体" w:hAnsi="宋体" w:cs="宋体"/>
          <w:color w:val="000000" w:themeColor="text1"/>
          <w14:textFill>
            <w14:solidFill>
              <w14:schemeClr w14:val="tx1"/>
            </w14:solidFill>
          </w14:textFill>
        </w:rPr>
        <w:tab/>
      </w:r>
    </w:p>
    <w:p w14:paraId="0D7A02B4">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14.7 最终结清</w:t>
      </w:r>
      <w:r>
        <w:rPr>
          <w:rFonts w:hint="eastAsia" w:ascii="宋体" w:hAnsi="宋体" w:cs="宋体"/>
          <w:color w:val="000000" w:themeColor="text1"/>
          <w14:textFill>
            <w14:solidFill>
              <w14:schemeClr w14:val="tx1"/>
            </w14:solidFill>
          </w14:textFill>
        </w:rPr>
        <w:tab/>
      </w:r>
    </w:p>
    <w:p w14:paraId="6CFF4DC9">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第15条 违约</w:t>
      </w:r>
      <w:r>
        <w:rPr>
          <w:rFonts w:hint="eastAsia" w:ascii="宋体" w:hAnsi="宋体" w:cs="宋体"/>
          <w:color w:val="000000" w:themeColor="text1"/>
          <w14:textFill>
            <w14:solidFill>
              <w14:schemeClr w14:val="tx1"/>
            </w14:solidFill>
          </w14:textFill>
        </w:rPr>
        <w:tab/>
      </w:r>
    </w:p>
    <w:p w14:paraId="33471602">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15.1 发包人违约</w:t>
      </w:r>
      <w:r>
        <w:rPr>
          <w:rFonts w:hint="eastAsia" w:ascii="宋体" w:hAnsi="宋体" w:cs="宋体"/>
          <w:color w:val="000000" w:themeColor="text1"/>
          <w14:textFill>
            <w14:solidFill>
              <w14:schemeClr w14:val="tx1"/>
            </w14:solidFill>
          </w14:textFill>
        </w:rPr>
        <w:tab/>
      </w:r>
    </w:p>
    <w:p w14:paraId="61DABF91">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15.2 承包人违约</w:t>
      </w:r>
      <w:r>
        <w:rPr>
          <w:rFonts w:hint="eastAsia" w:ascii="宋体" w:hAnsi="宋体" w:cs="宋体"/>
          <w:color w:val="000000" w:themeColor="text1"/>
          <w14:textFill>
            <w14:solidFill>
              <w14:schemeClr w14:val="tx1"/>
            </w14:solidFill>
          </w14:textFill>
        </w:rPr>
        <w:tab/>
      </w:r>
    </w:p>
    <w:p w14:paraId="625F2156">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15.3 第三人造成的违约</w:t>
      </w:r>
      <w:r>
        <w:rPr>
          <w:rFonts w:hint="eastAsia" w:ascii="宋体" w:hAnsi="宋体" w:cs="宋体"/>
          <w:color w:val="000000" w:themeColor="text1"/>
          <w14:textFill>
            <w14:solidFill>
              <w14:schemeClr w14:val="tx1"/>
            </w14:solidFill>
          </w14:textFill>
        </w:rPr>
        <w:tab/>
      </w:r>
    </w:p>
    <w:p w14:paraId="7EBAB49D">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第16条 合同解除</w:t>
      </w:r>
      <w:r>
        <w:rPr>
          <w:rFonts w:hint="eastAsia" w:ascii="宋体" w:hAnsi="宋体" w:cs="宋体"/>
          <w:color w:val="000000" w:themeColor="text1"/>
          <w14:textFill>
            <w14:solidFill>
              <w14:schemeClr w14:val="tx1"/>
            </w14:solidFill>
          </w14:textFill>
        </w:rPr>
        <w:tab/>
      </w:r>
    </w:p>
    <w:p w14:paraId="31223A8C">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16.1 由发包人解除合同</w:t>
      </w:r>
      <w:r>
        <w:rPr>
          <w:rFonts w:hint="eastAsia" w:ascii="宋体" w:hAnsi="宋体" w:cs="宋体"/>
          <w:color w:val="000000" w:themeColor="text1"/>
          <w14:textFill>
            <w14:solidFill>
              <w14:schemeClr w14:val="tx1"/>
            </w14:solidFill>
          </w14:textFill>
        </w:rPr>
        <w:tab/>
      </w:r>
    </w:p>
    <w:p w14:paraId="0231E7E6">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16.2 由承包人解除合同</w:t>
      </w:r>
      <w:r>
        <w:rPr>
          <w:rFonts w:hint="eastAsia" w:ascii="宋体" w:hAnsi="宋体" w:cs="宋体"/>
          <w:color w:val="000000" w:themeColor="text1"/>
          <w14:textFill>
            <w14:solidFill>
              <w14:schemeClr w14:val="tx1"/>
            </w14:solidFill>
          </w14:textFill>
        </w:rPr>
        <w:tab/>
      </w:r>
    </w:p>
    <w:p w14:paraId="5974CCA5">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16.3 合同解除后的事项</w:t>
      </w:r>
      <w:r>
        <w:rPr>
          <w:rFonts w:hint="eastAsia" w:ascii="宋体" w:hAnsi="宋体" w:cs="宋体"/>
          <w:color w:val="000000" w:themeColor="text1"/>
          <w14:textFill>
            <w14:solidFill>
              <w14:schemeClr w14:val="tx1"/>
            </w14:solidFill>
          </w14:textFill>
        </w:rPr>
        <w:tab/>
      </w:r>
    </w:p>
    <w:p w14:paraId="6F8FC9FD">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第17条 不可抗力</w:t>
      </w:r>
      <w:r>
        <w:rPr>
          <w:rFonts w:hint="eastAsia" w:ascii="宋体" w:hAnsi="宋体" w:cs="宋体"/>
          <w:color w:val="000000" w:themeColor="text1"/>
          <w14:textFill>
            <w14:solidFill>
              <w14:schemeClr w14:val="tx1"/>
            </w14:solidFill>
          </w14:textFill>
        </w:rPr>
        <w:tab/>
      </w:r>
    </w:p>
    <w:p w14:paraId="6E20F9FC">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17.1 不可抗力的定义</w:t>
      </w:r>
      <w:r>
        <w:rPr>
          <w:rFonts w:hint="eastAsia" w:ascii="宋体" w:hAnsi="宋体" w:cs="宋体"/>
          <w:color w:val="000000" w:themeColor="text1"/>
          <w14:textFill>
            <w14:solidFill>
              <w14:schemeClr w14:val="tx1"/>
            </w14:solidFill>
          </w14:textFill>
        </w:rPr>
        <w:tab/>
      </w:r>
    </w:p>
    <w:p w14:paraId="689D3438">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17.2 不可抗力的通知</w:t>
      </w:r>
      <w:r>
        <w:rPr>
          <w:rFonts w:hint="eastAsia" w:ascii="宋体" w:hAnsi="宋体" w:cs="宋体"/>
          <w:color w:val="000000" w:themeColor="text1"/>
          <w14:textFill>
            <w14:solidFill>
              <w14:schemeClr w14:val="tx1"/>
            </w14:solidFill>
          </w14:textFill>
        </w:rPr>
        <w:tab/>
      </w:r>
    </w:p>
    <w:p w14:paraId="2D7E7B02">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17.3 将损失减至最小的义务</w:t>
      </w:r>
      <w:r>
        <w:rPr>
          <w:rFonts w:hint="eastAsia" w:ascii="宋体" w:hAnsi="宋体" w:cs="宋体"/>
          <w:color w:val="000000" w:themeColor="text1"/>
          <w14:textFill>
            <w14:solidFill>
              <w14:schemeClr w14:val="tx1"/>
            </w14:solidFill>
          </w14:textFill>
        </w:rPr>
        <w:tab/>
      </w:r>
    </w:p>
    <w:p w14:paraId="2748094F">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17.4 不可抗力后果的承担</w:t>
      </w:r>
      <w:r>
        <w:rPr>
          <w:rFonts w:hint="eastAsia" w:ascii="宋体" w:hAnsi="宋体" w:cs="宋体"/>
          <w:color w:val="000000" w:themeColor="text1"/>
          <w14:textFill>
            <w14:solidFill>
              <w14:schemeClr w14:val="tx1"/>
            </w14:solidFill>
          </w14:textFill>
        </w:rPr>
        <w:tab/>
      </w:r>
    </w:p>
    <w:p w14:paraId="7C9487AE">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17.5 不可抗力影响分包人</w:t>
      </w:r>
      <w:r>
        <w:rPr>
          <w:rFonts w:hint="eastAsia" w:ascii="宋体" w:hAnsi="宋体" w:cs="宋体"/>
          <w:color w:val="000000" w:themeColor="text1"/>
          <w14:textFill>
            <w14:solidFill>
              <w14:schemeClr w14:val="tx1"/>
            </w14:solidFill>
          </w14:textFill>
        </w:rPr>
        <w:tab/>
      </w:r>
    </w:p>
    <w:p w14:paraId="7F588A07">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17.6 因不可抗力解除合同</w:t>
      </w:r>
      <w:r>
        <w:rPr>
          <w:rFonts w:hint="eastAsia" w:ascii="宋体" w:hAnsi="宋体" w:cs="宋体"/>
          <w:color w:val="000000" w:themeColor="text1"/>
          <w14:textFill>
            <w14:solidFill>
              <w14:schemeClr w14:val="tx1"/>
            </w14:solidFill>
          </w14:textFill>
        </w:rPr>
        <w:tab/>
      </w:r>
    </w:p>
    <w:p w14:paraId="6F67280E">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第18条 保险</w:t>
      </w:r>
      <w:r>
        <w:rPr>
          <w:rFonts w:hint="eastAsia" w:ascii="宋体" w:hAnsi="宋体" w:cs="宋体"/>
          <w:color w:val="000000" w:themeColor="text1"/>
          <w14:textFill>
            <w14:solidFill>
              <w14:schemeClr w14:val="tx1"/>
            </w14:solidFill>
          </w14:textFill>
        </w:rPr>
        <w:tab/>
      </w:r>
    </w:p>
    <w:p w14:paraId="752CF22B">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18.1 设计和工程保险</w:t>
      </w:r>
      <w:r>
        <w:rPr>
          <w:rFonts w:hint="eastAsia" w:ascii="宋体" w:hAnsi="宋体" w:cs="宋体"/>
          <w:color w:val="000000" w:themeColor="text1"/>
          <w14:textFill>
            <w14:solidFill>
              <w14:schemeClr w14:val="tx1"/>
            </w14:solidFill>
          </w14:textFill>
        </w:rPr>
        <w:tab/>
      </w:r>
    </w:p>
    <w:p w14:paraId="154D9205">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18.2 工伤和意外伤害保险</w:t>
      </w:r>
      <w:r>
        <w:rPr>
          <w:rFonts w:hint="eastAsia" w:ascii="宋体" w:hAnsi="宋体" w:cs="宋体"/>
          <w:color w:val="000000" w:themeColor="text1"/>
          <w14:textFill>
            <w14:solidFill>
              <w14:schemeClr w14:val="tx1"/>
            </w14:solidFill>
          </w14:textFill>
        </w:rPr>
        <w:tab/>
      </w:r>
    </w:p>
    <w:p w14:paraId="37D8DDAF">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18.3 货物保险</w:t>
      </w:r>
      <w:r>
        <w:rPr>
          <w:rFonts w:hint="eastAsia" w:ascii="宋体" w:hAnsi="宋体" w:cs="宋体"/>
          <w:color w:val="000000" w:themeColor="text1"/>
          <w14:textFill>
            <w14:solidFill>
              <w14:schemeClr w14:val="tx1"/>
            </w14:solidFill>
          </w14:textFill>
        </w:rPr>
        <w:tab/>
      </w:r>
    </w:p>
    <w:p w14:paraId="2E63CA49">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18.4 其他保险</w:t>
      </w:r>
      <w:r>
        <w:rPr>
          <w:rFonts w:hint="eastAsia" w:ascii="宋体" w:hAnsi="宋体" w:cs="宋体"/>
          <w:color w:val="000000" w:themeColor="text1"/>
          <w14:textFill>
            <w14:solidFill>
              <w14:schemeClr w14:val="tx1"/>
            </w14:solidFill>
          </w14:textFill>
        </w:rPr>
        <w:tab/>
      </w:r>
    </w:p>
    <w:p w14:paraId="0F366AEB">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18.5 对各项保险的一般要求</w:t>
      </w:r>
      <w:r>
        <w:rPr>
          <w:rFonts w:hint="eastAsia" w:ascii="宋体" w:hAnsi="宋体" w:cs="宋体"/>
          <w:color w:val="000000" w:themeColor="text1"/>
          <w14:textFill>
            <w14:solidFill>
              <w14:schemeClr w14:val="tx1"/>
            </w14:solidFill>
          </w14:textFill>
        </w:rPr>
        <w:tab/>
      </w:r>
    </w:p>
    <w:p w14:paraId="059F5FF5">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第19条 索赔</w:t>
      </w:r>
      <w:r>
        <w:rPr>
          <w:rFonts w:hint="eastAsia" w:ascii="宋体" w:hAnsi="宋体" w:cs="宋体"/>
          <w:color w:val="000000" w:themeColor="text1"/>
          <w14:textFill>
            <w14:solidFill>
              <w14:schemeClr w14:val="tx1"/>
            </w14:solidFill>
          </w14:textFill>
        </w:rPr>
        <w:tab/>
      </w:r>
    </w:p>
    <w:p w14:paraId="503FEE4A">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19.1 索赔的提出</w:t>
      </w:r>
      <w:r>
        <w:rPr>
          <w:rFonts w:hint="eastAsia" w:ascii="宋体" w:hAnsi="宋体" w:cs="宋体"/>
          <w:color w:val="000000" w:themeColor="text1"/>
          <w14:textFill>
            <w14:solidFill>
              <w14:schemeClr w14:val="tx1"/>
            </w14:solidFill>
          </w14:textFill>
        </w:rPr>
        <w:tab/>
      </w:r>
    </w:p>
    <w:p w14:paraId="50E4D090">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19.2 承包人索赔的处理程序</w:t>
      </w:r>
      <w:r>
        <w:rPr>
          <w:rFonts w:hint="eastAsia" w:ascii="宋体" w:hAnsi="宋体" w:cs="宋体"/>
          <w:color w:val="000000" w:themeColor="text1"/>
          <w14:textFill>
            <w14:solidFill>
              <w14:schemeClr w14:val="tx1"/>
            </w14:solidFill>
          </w14:textFill>
        </w:rPr>
        <w:tab/>
      </w:r>
    </w:p>
    <w:p w14:paraId="13B93396">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19.3 发包人索赔的处理程序</w:t>
      </w:r>
      <w:r>
        <w:rPr>
          <w:rFonts w:hint="eastAsia" w:ascii="宋体" w:hAnsi="宋体" w:cs="宋体"/>
          <w:color w:val="000000" w:themeColor="text1"/>
          <w14:textFill>
            <w14:solidFill>
              <w14:schemeClr w14:val="tx1"/>
            </w14:solidFill>
          </w14:textFill>
        </w:rPr>
        <w:tab/>
      </w:r>
    </w:p>
    <w:p w14:paraId="1C462A88">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19.4 提出索赔的期限</w:t>
      </w:r>
      <w:r>
        <w:rPr>
          <w:rFonts w:hint="eastAsia" w:ascii="宋体" w:hAnsi="宋体" w:cs="宋体"/>
          <w:color w:val="000000" w:themeColor="text1"/>
          <w14:textFill>
            <w14:solidFill>
              <w14:schemeClr w14:val="tx1"/>
            </w14:solidFill>
          </w14:textFill>
        </w:rPr>
        <w:tab/>
      </w:r>
    </w:p>
    <w:p w14:paraId="5BC8AF50">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第20条 争议解决</w:t>
      </w:r>
      <w:r>
        <w:rPr>
          <w:rFonts w:hint="eastAsia" w:ascii="宋体" w:hAnsi="宋体" w:cs="宋体"/>
          <w:color w:val="000000" w:themeColor="text1"/>
          <w14:textFill>
            <w14:solidFill>
              <w14:schemeClr w14:val="tx1"/>
            </w14:solidFill>
          </w14:textFill>
        </w:rPr>
        <w:tab/>
      </w:r>
    </w:p>
    <w:p w14:paraId="51F478BF">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20.1 和解</w:t>
      </w:r>
      <w:r>
        <w:rPr>
          <w:rFonts w:hint="eastAsia" w:ascii="宋体" w:hAnsi="宋体" w:cs="宋体"/>
          <w:color w:val="000000" w:themeColor="text1"/>
          <w14:textFill>
            <w14:solidFill>
              <w14:schemeClr w14:val="tx1"/>
            </w14:solidFill>
          </w14:textFill>
        </w:rPr>
        <w:tab/>
      </w:r>
    </w:p>
    <w:p w14:paraId="6BD56873">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20.2 调解</w:t>
      </w:r>
      <w:r>
        <w:rPr>
          <w:rFonts w:hint="eastAsia" w:ascii="宋体" w:hAnsi="宋体" w:cs="宋体"/>
          <w:color w:val="000000" w:themeColor="text1"/>
          <w14:textFill>
            <w14:solidFill>
              <w14:schemeClr w14:val="tx1"/>
            </w14:solidFill>
          </w14:textFill>
        </w:rPr>
        <w:tab/>
      </w:r>
    </w:p>
    <w:p w14:paraId="6F1A5B5E">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20.3 争议评审</w:t>
      </w:r>
      <w:r>
        <w:rPr>
          <w:rFonts w:hint="eastAsia" w:ascii="宋体" w:hAnsi="宋体" w:cs="宋体"/>
          <w:color w:val="000000" w:themeColor="text1"/>
          <w14:textFill>
            <w14:solidFill>
              <w14:schemeClr w14:val="tx1"/>
            </w14:solidFill>
          </w14:textFill>
        </w:rPr>
        <w:tab/>
      </w:r>
    </w:p>
    <w:p w14:paraId="2D36FFFE">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20.4 仲裁或诉讼</w:t>
      </w:r>
      <w:r>
        <w:rPr>
          <w:rFonts w:hint="eastAsia" w:ascii="宋体" w:hAnsi="宋体" w:cs="宋体"/>
          <w:color w:val="000000" w:themeColor="text1"/>
          <w14:textFill>
            <w14:solidFill>
              <w14:schemeClr w14:val="tx1"/>
            </w14:solidFill>
          </w14:textFill>
        </w:rPr>
        <w:tab/>
      </w:r>
    </w:p>
    <w:p w14:paraId="3EEAC38D">
      <w:pPr>
        <w:pStyle w:val="20"/>
        <w:tabs>
          <w:tab w:val="right" w:leader="dot" w:pos="8296"/>
        </w:tabs>
        <w:ind w:left="96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20.5 争议解决条款效力</w:t>
      </w:r>
      <w:r>
        <w:rPr>
          <w:rFonts w:hint="eastAsia" w:ascii="宋体" w:hAnsi="宋体" w:cs="宋体"/>
          <w:color w:val="000000" w:themeColor="text1"/>
          <w14:textFill>
            <w14:solidFill>
              <w14:schemeClr w14:val="tx1"/>
            </w14:solidFill>
          </w14:textFill>
        </w:rPr>
        <w:tab/>
      </w:r>
    </w:p>
    <w:p w14:paraId="26A4E9AD">
      <w:pPr>
        <w:pStyle w:val="28"/>
        <w:tabs>
          <w:tab w:val="right" w:leader="dot" w:pos="8296"/>
        </w:tabs>
        <w:ind w:firstLine="562"/>
        <w:rPr>
          <w:rFonts w:hint="eastAsia" w:ascii="宋体" w:hAnsi="宋体" w:cs="宋体"/>
          <w:b w:val="0"/>
          <w:bCs w:val="0"/>
          <w:color w:val="000000" w:themeColor="text1"/>
          <w:sz w:val="22"/>
          <w:szCs w:val="24"/>
          <w14:textFill>
            <w14:solidFill>
              <w14:schemeClr w14:val="tx1"/>
            </w14:solidFill>
          </w14:textFill>
        </w:rPr>
      </w:pPr>
      <w:r>
        <w:rPr>
          <w:rFonts w:hint="eastAsia" w:ascii="宋体" w:hAnsi="宋体" w:cs="宋体"/>
          <w:b w:val="0"/>
          <w:bCs w:val="0"/>
          <w:color w:val="000000" w:themeColor="text1"/>
          <w:sz w:val="28"/>
          <w:szCs w:val="21"/>
          <w14:textFill>
            <w14:solidFill>
              <w14:schemeClr w14:val="tx1"/>
            </w14:solidFill>
          </w14:textFill>
        </w:rPr>
        <w:t>第三部分 专用合同条件</w:t>
      </w:r>
      <w:r>
        <w:rPr>
          <w:rFonts w:hint="eastAsia" w:ascii="宋体" w:hAnsi="宋体" w:cs="宋体"/>
          <w:b w:val="0"/>
          <w:bCs w:val="0"/>
          <w:color w:val="000000" w:themeColor="text1"/>
          <w:sz w:val="28"/>
          <w:szCs w:val="21"/>
          <w14:textFill>
            <w14:solidFill>
              <w14:schemeClr w14:val="tx1"/>
            </w14:solidFill>
          </w14:textFill>
        </w:rPr>
        <w:tab/>
      </w:r>
    </w:p>
    <w:p w14:paraId="64FE3E23">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第1条 一般约定</w:t>
      </w:r>
      <w:r>
        <w:rPr>
          <w:rFonts w:hint="eastAsia" w:ascii="宋体" w:hAnsi="宋体" w:cs="宋体"/>
          <w:color w:val="000000" w:themeColor="text1"/>
          <w14:textFill>
            <w14:solidFill>
              <w14:schemeClr w14:val="tx1"/>
            </w14:solidFill>
          </w14:textFill>
        </w:rPr>
        <w:tab/>
      </w:r>
    </w:p>
    <w:p w14:paraId="6E0C8925">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第2条 发包人</w:t>
      </w:r>
      <w:r>
        <w:rPr>
          <w:rFonts w:hint="eastAsia" w:ascii="宋体" w:hAnsi="宋体" w:cs="宋体"/>
          <w:color w:val="000000" w:themeColor="text1"/>
          <w14:textFill>
            <w14:solidFill>
              <w14:schemeClr w14:val="tx1"/>
            </w14:solidFill>
          </w14:textFill>
        </w:rPr>
        <w:tab/>
      </w:r>
    </w:p>
    <w:p w14:paraId="5049DD2B">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第3条 发包人的管理</w:t>
      </w:r>
      <w:r>
        <w:rPr>
          <w:rFonts w:hint="eastAsia" w:ascii="宋体" w:hAnsi="宋体" w:cs="宋体"/>
          <w:color w:val="000000" w:themeColor="text1"/>
          <w14:textFill>
            <w14:solidFill>
              <w14:schemeClr w14:val="tx1"/>
            </w14:solidFill>
          </w14:textFill>
        </w:rPr>
        <w:tab/>
      </w:r>
    </w:p>
    <w:p w14:paraId="0BEA0D4A">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第4条 承包人</w:t>
      </w:r>
      <w:r>
        <w:rPr>
          <w:rFonts w:hint="eastAsia" w:ascii="宋体" w:hAnsi="宋体" w:cs="宋体"/>
          <w:color w:val="000000" w:themeColor="text1"/>
          <w14:textFill>
            <w14:solidFill>
              <w14:schemeClr w14:val="tx1"/>
            </w14:solidFill>
          </w14:textFill>
        </w:rPr>
        <w:tab/>
      </w:r>
    </w:p>
    <w:p w14:paraId="553C0B94">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第5条 设计</w:t>
      </w:r>
      <w:r>
        <w:rPr>
          <w:rFonts w:hint="eastAsia" w:ascii="宋体" w:hAnsi="宋体" w:cs="宋体"/>
          <w:color w:val="000000" w:themeColor="text1"/>
          <w14:textFill>
            <w14:solidFill>
              <w14:schemeClr w14:val="tx1"/>
            </w14:solidFill>
          </w14:textFill>
        </w:rPr>
        <w:tab/>
      </w:r>
    </w:p>
    <w:p w14:paraId="2DBB919E">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第6条 材料、工程设备</w:t>
      </w:r>
      <w:r>
        <w:rPr>
          <w:rFonts w:hint="eastAsia" w:ascii="宋体" w:hAnsi="宋体" w:cs="宋体"/>
          <w:color w:val="000000" w:themeColor="text1"/>
          <w14:textFill>
            <w14:solidFill>
              <w14:schemeClr w14:val="tx1"/>
            </w14:solidFill>
          </w14:textFill>
        </w:rPr>
        <w:tab/>
      </w:r>
    </w:p>
    <w:p w14:paraId="46AA308C">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color w:val="000000" w:themeColor="text1"/>
          <w14:textFill>
            <w14:solidFill>
              <w14:schemeClr w14:val="tx1"/>
            </w14:solidFill>
          </w14:textFill>
        </w:rPr>
        <w:t>第7条 施工</w:t>
      </w:r>
      <w:r>
        <w:rPr>
          <w:rFonts w:hint="eastAsia" w:ascii="宋体" w:hAnsi="宋体" w:cs="宋体"/>
          <w:color w:val="000000" w:themeColor="text1"/>
          <w14:textFill>
            <w14:solidFill>
              <w14:schemeClr w14:val="tx1"/>
            </w14:solidFill>
          </w14:textFill>
        </w:rPr>
        <w:tab/>
      </w:r>
    </w:p>
    <w:p w14:paraId="49E74263">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第8条 工期和进度</w:t>
      </w:r>
      <w:r>
        <w:rPr>
          <w:rFonts w:hint="eastAsia" w:ascii="宋体" w:hAnsi="宋体" w:cs="宋体"/>
          <w:color w:val="000000" w:themeColor="text1"/>
          <w14:textFill>
            <w14:solidFill>
              <w14:schemeClr w14:val="tx1"/>
            </w14:solidFill>
          </w14:textFill>
        </w:rPr>
        <w:tab/>
      </w:r>
    </w:p>
    <w:p w14:paraId="6240F291">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第9条 竣工试验</w:t>
      </w:r>
      <w:r>
        <w:rPr>
          <w:rFonts w:hint="eastAsia" w:ascii="宋体" w:hAnsi="宋体" w:cs="宋体"/>
          <w:color w:val="000000" w:themeColor="text1"/>
          <w14:textFill>
            <w14:solidFill>
              <w14:schemeClr w14:val="tx1"/>
            </w14:solidFill>
          </w14:textFill>
        </w:rPr>
        <w:tab/>
      </w:r>
    </w:p>
    <w:p w14:paraId="697C6416">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第10条 验收和工程接收</w:t>
      </w:r>
      <w:r>
        <w:rPr>
          <w:rFonts w:hint="eastAsia" w:ascii="宋体" w:hAnsi="宋体" w:cs="宋体"/>
          <w:color w:val="000000" w:themeColor="text1"/>
          <w14:textFill>
            <w14:solidFill>
              <w14:schemeClr w14:val="tx1"/>
            </w14:solidFill>
          </w14:textFill>
        </w:rPr>
        <w:tab/>
      </w:r>
    </w:p>
    <w:p w14:paraId="5F04C5E7">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第11条 缺陷责任与保修</w:t>
      </w:r>
      <w:r>
        <w:rPr>
          <w:rFonts w:hint="eastAsia" w:ascii="宋体" w:hAnsi="宋体" w:cs="宋体"/>
          <w:color w:val="000000" w:themeColor="text1"/>
          <w14:textFill>
            <w14:solidFill>
              <w14:schemeClr w14:val="tx1"/>
            </w14:solidFill>
          </w14:textFill>
        </w:rPr>
        <w:tab/>
      </w:r>
    </w:p>
    <w:p w14:paraId="0C017965">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第12条 竣工后试验</w:t>
      </w:r>
      <w:r>
        <w:rPr>
          <w:rFonts w:hint="eastAsia" w:ascii="宋体" w:hAnsi="宋体" w:cs="宋体"/>
          <w:color w:val="000000" w:themeColor="text1"/>
          <w14:textFill>
            <w14:solidFill>
              <w14:schemeClr w14:val="tx1"/>
            </w14:solidFill>
          </w14:textFill>
        </w:rPr>
        <w:tab/>
      </w:r>
    </w:p>
    <w:p w14:paraId="7E40D475">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第13条 变更与调整</w:t>
      </w:r>
      <w:r>
        <w:rPr>
          <w:rFonts w:hint="eastAsia" w:ascii="宋体" w:hAnsi="宋体" w:cs="宋体"/>
          <w:color w:val="000000" w:themeColor="text1"/>
          <w14:textFill>
            <w14:solidFill>
              <w14:schemeClr w14:val="tx1"/>
            </w14:solidFill>
          </w14:textFill>
        </w:rPr>
        <w:tab/>
      </w:r>
    </w:p>
    <w:p w14:paraId="52F695B9">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第14条 合同价格与支付</w:t>
      </w:r>
      <w:r>
        <w:rPr>
          <w:rFonts w:hint="eastAsia" w:ascii="宋体" w:hAnsi="宋体" w:cs="宋体"/>
          <w:color w:val="000000" w:themeColor="text1"/>
          <w14:textFill>
            <w14:solidFill>
              <w14:schemeClr w14:val="tx1"/>
            </w14:solidFill>
          </w14:textFill>
        </w:rPr>
        <w:tab/>
      </w:r>
    </w:p>
    <w:p w14:paraId="46ABC7F5">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第15条 违约</w:t>
      </w:r>
      <w:r>
        <w:rPr>
          <w:rFonts w:hint="eastAsia" w:ascii="宋体" w:hAnsi="宋体" w:cs="宋体"/>
          <w:color w:val="000000" w:themeColor="text1"/>
          <w14:textFill>
            <w14:solidFill>
              <w14:schemeClr w14:val="tx1"/>
            </w14:solidFill>
          </w14:textFill>
        </w:rPr>
        <w:tab/>
      </w:r>
    </w:p>
    <w:p w14:paraId="329A28AE">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第16条 合同解除</w:t>
      </w:r>
      <w:r>
        <w:rPr>
          <w:rFonts w:hint="eastAsia" w:ascii="宋体" w:hAnsi="宋体" w:cs="宋体"/>
          <w:color w:val="000000" w:themeColor="text1"/>
          <w14:textFill>
            <w14:solidFill>
              <w14:schemeClr w14:val="tx1"/>
            </w14:solidFill>
          </w14:textFill>
        </w:rPr>
        <w:tab/>
      </w:r>
    </w:p>
    <w:p w14:paraId="6D524224">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第17条 不可抗力</w:t>
      </w:r>
      <w:r>
        <w:rPr>
          <w:rFonts w:hint="eastAsia" w:ascii="宋体" w:hAnsi="宋体" w:cs="宋体"/>
          <w:color w:val="000000" w:themeColor="text1"/>
          <w14:textFill>
            <w14:solidFill>
              <w14:schemeClr w14:val="tx1"/>
            </w14:solidFill>
          </w14:textFill>
        </w:rPr>
        <w:tab/>
      </w:r>
    </w:p>
    <w:p w14:paraId="64DB4F92">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第18条 保险</w:t>
      </w:r>
      <w:r>
        <w:rPr>
          <w:rFonts w:hint="eastAsia" w:ascii="宋体" w:hAnsi="宋体" w:cs="宋体"/>
          <w:color w:val="000000" w:themeColor="text1"/>
          <w14:textFill>
            <w14:solidFill>
              <w14:schemeClr w14:val="tx1"/>
            </w14:solidFill>
          </w14:textFill>
        </w:rPr>
        <w:tab/>
      </w:r>
    </w:p>
    <w:p w14:paraId="22EC5601">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bCs/>
          <w:color w:val="000000" w:themeColor="text1"/>
          <w14:textFill>
            <w14:solidFill>
              <w14:schemeClr w14:val="tx1"/>
            </w14:solidFill>
          </w14:textFill>
        </w:rPr>
        <w:t>第20条 争议解决</w:t>
      </w:r>
      <w:r>
        <w:rPr>
          <w:rFonts w:hint="eastAsia" w:ascii="宋体" w:hAnsi="宋体" w:cs="宋体"/>
          <w:color w:val="000000" w:themeColor="text1"/>
          <w14:textFill>
            <w14:solidFill>
              <w14:schemeClr w14:val="tx1"/>
            </w14:solidFill>
          </w14:textFill>
        </w:rPr>
        <w:tab/>
      </w:r>
    </w:p>
    <w:p w14:paraId="65DF9D67">
      <w:pPr>
        <w:pStyle w:val="28"/>
        <w:tabs>
          <w:tab w:val="right" w:leader="dot" w:pos="8296"/>
        </w:tabs>
        <w:rPr>
          <w:rFonts w:hint="eastAsia" w:ascii="宋体" w:hAnsi="宋体" w:cs="宋体"/>
          <w:color w:val="000000" w:themeColor="text1"/>
          <w:sz w:val="21"/>
          <w:szCs w:val="22"/>
          <w14:textFill>
            <w14:solidFill>
              <w14:schemeClr w14:val="tx1"/>
            </w14:solidFill>
          </w14:textFill>
        </w:rPr>
      </w:pPr>
      <w:r>
        <w:rPr>
          <w:rFonts w:hint="eastAsia" w:ascii="宋体" w:hAnsi="宋体" w:cs="宋体"/>
          <w:color w:val="000000" w:themeColor="text1"/>
          <w14:textFill>
            <w14:solidFill>
              <w14:schemeClr w14:val="tx1"/>
            </w14:solidFill>
          </w14:textFill>
        </w:rPr>
        <w:t>专用合同条件附件</w:t>
      </w:r>
      <w:r>
        <w:rPr>
          <w:rFonts w:hint="eastAsia" w:ascii="宋体" w:hAnsi="宋体" w:cs="宋体"/>
          <w:color w:val="000000" w:themeColor="text1"/>
          <w14:textFill>
            <w14:solidFill>
              <w14:schemeClr w14:val="tx1"/>
            </w14:solidFill>
          </w14:textFill>
        </w:rPr>
        <w:tab/>
      </w:r>
    </w:p>
    <w:p w14:paraId="0EC4A573">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color w:val="000000" w:themeColor="text1"/>
          <w14:textFill>
            <w14:solidFill>
              <w14:schemeClr w14:val="tx1"/>
            </w14:solidFill>
          </w14:textFill>
        </w:rPr>
        <w:t>附件1 《发包人要求》</w:t>
      </w:r>
      <w:r>
        <w:rPr>
          <w:rFonts w:hint="eastAsia" w:ascii="宋体" w:hAnsi="宋体" w:cs="宋体"/>
          <w:color w:val="000000" w:themeColor="text1"/>
          <w14:textFill>
            <w14:solidFill>
              <w14:schemeClr w14:val="tx1"/>
            </w14:solidFill>
          </w14:textFill>
        </w:rPr>
        <w:tab/>
      </w:r>
    </w:p>
    <w:p w14:paraId="47AB1F3D">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color w:val="000000" w:themeColor="text1"/>
          <w14:textFill>
            <w14:solidFill>
              <w14:schemeClr w14:val="tx1"/>
            </w14:solidFill>
          </w14:textFill>
        </w:rPr>
        <w:t>附件2 发包人供应材料设备一览表</w:t>
      </w:r>
      <w:r>
        <w:rPr>
          <w:rFonts w:hint="eastAsia" w:ascii="宋体" w:hAnsi="宋体" w:cs="宋体"/>
          <w:color w:val="000000" w:themeColor="text1"/>
          <w14:textFill>
            <w14:solidFill>
              <w14:schemeClr w14:val="tx1"/>
            </w14:solidFill>
          </w14:textFill>
        </w:rPr>
        <w:tab/>
      </w:r>
    </w:p>
    <w:p w14:paraId="6F515AA8">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color w:val="000000" w:themeColor="text1"/>
          <w14:textFill>
            <w14:solidFill>
              <w14:schemeClr w14:val="tx1"/>
            </w14:solidFill>
          </w14:textFill>
        </w:rPr>
        <w:t>附件3 工程质量保修书</w:t>
      </w:r>
      <w:r>
        <w:rPr>
          <w:rFonts w:hint="eastAsia" w:ascii="宋体" w:hAnsi="宋体" w:cs="宋体"/>
          <w:color w:val="000000" w:themeColor="text1"/>
          <w14:textFill>
            <w14:solidFill>
              <w14:schemeClr w14:val="tx1"/>
            </w14:solidFill>
          </w14:textFill>
        </w:rPr>
        <w:tab/>
      </w:r>
    </w:p>
    <w:p w14:paraId="7B09D47E">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color w:val="000000" w:themeColor="text1"/>
          <w14:textFill>
            <w14:solidFill>
              <w14:schemeClr w14:val="tx1"/>
            </w14:solidFill>
          </w14:textFill>
        </w:rPr>
        <w:t>附件4 主要建设工程文件目录</w:t>
      </w:r>
      <w:r>
        <w:rPr>
          <w:rFonts w:hint="eastAsia" w:ascii="宋体" w:hAnsi="宋体" w:cs="宋体"/>
          <w:color w:val="000000" w:themeColor="text1"/>
          <w14:textFill>
            <w14:solidFill>
              <w14:schemeClr w14:val="tx1"/>
            </w14:solidFill>
          </w14:textFill>
        </w:rPr>
        <w:tab/>
      </w:r>
    </w:p>
    <w:p w14:paraId="70F1B490">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color w:val="000000" w:themeColor="text1"/>
          <w14:textFill>
            <w14:solidFill>
              <w14:schemeClr w14:val="tx1"/>
            </w14:solidFill>
          </w14:textFill>
        </w:rPr>
        <w:t>附件5 承包人主要管理人员表</w:t>
      </w:r>
      <w:r>
        <w:rPr>
          <w:rFonts w:hint="eastAsia" w:ascii="宋体" w:hAnsi="宋体" w:cs="宋体"/>
          <w:color w:val="000000" w:themeColor="text1"/>
          <w14:textFill>
            <w14:solidFill>
              <w14:schemeClr w14:val="tx1"/>
            </w14:solidFill>
          </w14:textFill>
        </w:rPr>
        <w:tab/>
      </w:r>
    </w:p>
    <w:p w14:paraId="41144625">
      <w:pPr>
        <w:pStyle w:val="32"/>
        <w:tabs>
          <w:tab w:val="right" w:leader="dot" w:pos="8296"/>
        </w:tabs>
        <w:ind w:left="480"/>
        <w:rPr>
          <w:rFonts w:hint="eastAsia" w:ascii="宋体" w:hAnsi="宋体" w:cs="宋体"/>
          <w:color w:val="000000" w:themeColor="text1"/>
          <w:sz w:val="21"/>
          <w:szCs w:val="22"/>
          <w14:textFill>
            <w14:solidFill>
              <w14:schemeClr w14:val="tx1"/>
            </w14:solidFill>
          </w14:textFill>
        </w:rPr>
      </w:pPr>
      <w:r>
        <w:rPr>
          <w:rFonts w:hint="eastAsia" w:ascii="宋体" w:hAnsi="宋体" w:cs="宋体"/>
          <w:color w:val="000000" w:themeColor="text1"/>
          <w14:textFill>
            <w14:solidFill>
              <w14:schemeClr w14:val="tx1"/>
            </w14:solidFill>
          </w14:textFill>
        </w:rPr>
        <w:t>附件6 价格指数权重表</w:t>
      </w:r>
      <w:r>
        <w:rPr>
          <w:rFonts w:hint="eastAsia" w:ascii="宋体" w:hAnsi="宋体" w:cs="宋体"/>
          <w:color w:val="000000" w:themeColor="text1"/>
          <w14:textFill>
            <w14:solidFill>
              <w14:schemeClr w14:val="tx1"/>
            </w14:solidFill>
          </w14:textFill>
        </w:rPr>
        <w:tab/>
      </w:r>
    </w:p>
    <w:p w14:paraId="43FD4090">
      <w:pPr>
        <w:ind w:firstLine="560"/>
        <w:rPr>
          <w:rFonts w:hint="eastAsia" w:ascii="宋体" w:hAnsi="宋体" w:cs="宋体"/>
          <w:color w:val="000000" w:themeColor="text1"/>
          <w14:textFill>
            <w14:solidFill>
              <w14:schemeClr w14:val="tx1"/>
            </w14:solidFill>
          </w14:textFill>
        </w:rPr>
        <w:sectPr>
          <w:footerReference r:id="rId8" w:type="default"/>
          <w:type w:val="continuous"/>
          <w:pgSz w:w="11906" w:h="16838"/>
          <w:pgMar w:top="1440" w:right="1797" w:bottom="1440" w:left="1797" w:header="720" w:footer="998" w:gutter="0"/>
          <w:pgNumType w:fmt="decimal"/>
          <w:cols w:space="720" w:num="1"/>
          <w:titlePg/>
          <w:docGrid w:linePitch="326" w:charSpace="0"/>
        </w:sectPr>
      </w:pPr>
      <w:r>
        <w:rPr>
          <w:rFonts w:hint="eastAsia" w:ascii="宋体" w:hAnsi="宋体" w:cs="宋体"/>
          <w:color w:val="000000" w:themeColor="text1"/>
          <w:sz w:val="28"/>
          <w:szCs w:val="28"/>
          <w14:textFill>
            <w14:solidFill>
              <w14:schemeClr w14:val="tx1"/>
            </w14:solidFill>
          </w14:textFill>
        </w:rPr>
        <w:fldChar w:fldCharType="end"/>
      </w:r>
    </w:p>
    <w:p w14:paraId="78B8E999">
      <w:pPr>
        <w:rPr>
          <w:rFonts w:hint="eastAsia" w:ascii="宋体" w:hAnsi="宋体" w:cs="宋体"/>
          <w:color w:val="000000" w:themeColor="text1"/>
          <w14:textFill>
            <w14:solidFill>
              <w14:schemeClr w14:val="tx1"/>
            </w14:solidFill>
          </w14:textFill>
        </w:rPr>
        <w:sectPr>
          <w:pgSz w:w="11906" w:h="16838"/>
          <w:pgMar w:top="1440" w:right="1800" w:bottom="1440" w:left="1800" w:header="720" w:footer="998" w:gutter="0"/>
          <w:pgNumType w:fmt="decimal"/>
          <w:cols w:space="720" w:num="2"/>
        </w:sectPr>
      </w:pPr>
    </w:p>
    <w:p w14:paraId="7824BAA6">
      <w:pPr>
        <w:pStyle w:val="2"/>
        <w:spacing w:before="0" w:after="200" w:line="500" w:lineRule="exact"/>
        <w:jc w:val="center"/>
        <w:rPr>
          <w:rFonts w:hint="eastAsia" w:ascii="宋体" w:hAnsi="宋体" w:cs="宋体"/>
          <w:color w:val="000000" w:themeColor="text1"/>
          <w:sz w:val="42"/>
          <w14:textFill>
            <w14:solidFill>
              <w14:schemeClr w14:val="tx1"/>
            </w14:solidFill>
          </w14:textFill>
        </w:rPr>
      </w:pPr>
      <w:bookmarkStart w:id="843" w:name="_Toc100907309"/>
      <w:bookmarkStart w:id="844" w:name="_Toc100906983"/>
      <w:bookmarkStart w:id="845" w:name="_Toc32367"/>
      <w:r>
        <w:rPr>
          <w:rFonts w:hint="eastAsia" w:ascii="宋体" w:hAnsi="宋体" w:cs="宋体"/>
          <w:color w:val="000000" w:themeColor="text1"/>
          <w:sz w:val="42"/>
          <w14:textFill>
            <w14:solidFill>
              <w14:schemeClr w14:val="tx1"/>
            </w14:solidFill>
          </w14:textFill>
        </w:rPr>
        <w:t>第一部分 合同协议书</w:t>
      </w:r>
      <w:bookmarkEnd w:id="843"/>
      <w:bookmarkEnd w:id="844"/>
      <w:bookmarkEnd w:id="845"/>
    </w:p>
    <w:p w14:paraId="2805D745">
      <w:pPr>
        <w:ind w:firstLine="600"/>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发包人（全称）：</w:t>
      </w:r>
      <w:r>
        <w:rPr>
          <w:rFonts w:hint="eastAsia" w:ascii="宋体" w:hAnsi="宋体" w:cs="宋体"/>
          <w:color w:val="000000" w:themeColor="text1"/>
          <w:szCs w:val="21"/>
          <w:lang w:eastAsia="zh-CN"/>
          <w14:textFill>
            <w14:solidFill>
              <w14:schemeClr w14:val="tx1"/>
            </w14:solidFill>
          </w14:textFill>
        </w:rPr>
        <w:t>中能国和（云南）控股有限公司</w:t>
      </w:r>
      <w:r>
        <w:rPr>
          <w:rFonts w:hint="eastAsia" w:ascii="宋体" w:hAnsi="宋体" w:cs="宋体"/>
          <w:color w:val="000000" w:themeColor="text1"/>
          <w:szCs w:val="21"/>
          <w:u w:val="single"/>
          <w14:textFill>
            <w14:solidFill>
              <w14:schemeClr w14:val="tx1"/>
            </w14:solidFill>
          </w14:textFill>
        </w:rPr>
        <w:t xml:space="preserve">                                    </w:t>
      </w:r>
    </w:p>
    <w:p w14:paraId="389B0C29">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承包人（全称）：</w:t>
      </w:r>
      <w:r>
        <w:rPr>
          <w:rFonts w:hint="eastAsia" w:ascii="宋体" w:hAnsi="宋体" w:cs="宋体"/>
          <w:color w:val="000000" w:themeColor="text1"/>
          <w:szCs w:val="21"/>
          <w:u w:val="single"/>
          <w14:textFill>
            <w14:solidFill>
              <w14:schemeClr w14:val="tx1"/>
            </w14:solidFill>
          </w14:textFill>
        </w:rPr>
        <w:t xml:space="preserve">                                    </w:t>
      </w:r>
    </w:p>
    <w:p w14:paraId="146E3938">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根据《中华人民共和国民法典</w:t>
      </w:r>
      <w:r>
        <w:rPr>
          <w:rFonts w:hint="eastAsia" w:ascii="宋体" w:hAnsi="宋体" w:cs="宋体"/>
          <w:color w:val="000000" w:themeColor="text1"/>
          <w:szCs w:val="21"/>
          <w:lang w:eastAsia="zh-CN"/>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中华人民共和国建筑法》及有关法律规定，遵循平等、自愿、公平和诚实信用的原则，双方就</w:t>
      </w:r>
      <w:r>
        <w:rPr>
          <w:rFonts w:hint="eastAsia" w:ascii="宋体" w:hAnsi="宋体" w:cs="宋体"/>
          <w:color w:val="000000" w:themeColor="text1"/>
          <w:szCs w:val="21"/>
          <w:u w:val="single"/>
          <w:lang w:eastAsia="zh-CN"/>
          <w14:textFill>
            <w14:solidFill>
              <w14:schemeClr w14:val="tx1"/>
            </w14:solidFill>
          </w14:textFill>
        </w:rPr>
        <w:t>蒙自（新亚太）零碳智慧冷链物流产业园区项目</w:t>
      </w:r>
      <w:r>
        <w:rPr>
          <w:rFonts w:hint="eastAsia" w:ascii="宋体" w:hAnsi="宋体" w:cs="宋体"/>
          <w:color w:val="000000" w:themeColor="text1"/>
          <w:szCs w:val="21"/>
          <w14:textFill>
            <w14:solidFill>
              <w14:schemeClr w14:val="tx1"/>
            </w14:solidFill>
          </w14:textFill>
        </w:rPr>
        <w:t>的工程总承包及有关事项协商一致，共同达成如下协议：</w:t>
      </w:r>
    </w:p>
    <w:p w14:paraId="469D295A">
      <w:pPr>
        <w:pStyle w:val="134"/>
        <w:numPr>
          <w:ilvl w:val="0"/>
          <w:numId w:val="0"/>
        </w:numPr>
        <w:wordWrap/>
        <w:topLinePunct w:val="0"/>
        <w:spacing w:after="120"/>
        <w:rPr>
          <w:rFonts w:hint="eastAsia" w:cs="宋体"/>
          <w:b w:val="0"/>
          <w:bCs/>
          <w:color w:val="000000" w:themeColor="text1"/>
          <w:sz w:val="21"/>
          <w:szCs w:val="21"/>
          <w14:textFill>
            <w14:solidFill>
              <w14:schemeClr w14:val="tx1"/>
            </w14:solidFill>
          </w14:textFill>
        </w:rPr>
      </w:pPr>
      <w:bookmarkStart w:id="846" w:name="_Toc100906984"/>
      <w:bookmarkStart w:id="847" w:name="_Toc23940"/>
      <w:bookmarkStart w:id="848" w:name="_Toc100907310"/>
      <w:r>
        <w:rPr>
          <w:rFonts w:hint="eastAsia" w:cs="宋体"/>
          <w:b w:val="0"/>
          <w:bCs/>
          <w:color w:val="000000" w:themeColor="text1"/>
          <w:sz w:val="21"/>
          <w:szCs w:val="21"/>
          <w14:textFill>
            <w14:solidFill>
              <w14:schemeClr w14:val="tx1"/>
            </w14:solidFill>
          </w14:textFill>
        </w:rPr>
        <w:t>一、工程概况</w:t>
      </w:r>
      <w:bookmarkEnd w:id="846"/>
      <w:bookmarkEnd w:id="847"/>
      <w:bookmarkEnd w:id="848"/>
    </w:p>
    <w:p w14:paraId="27C3A4C5">
      <w:pPr>
        <w:ind w:firstLine="600"/>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1. 工程名称：</w:t>
      </w:r>
      <w:r>
        <w:rPr>
          <w:rFonts w:hint="eastAsia" w:ascii="宋体" w:hAnsi="宋体" w:cs="宋体"/>
          <w:color w:val="000000" w:themeColor="text1"/>
          <w:szCs w:val="21"/>
          <w:u w:val="single"/>
          <w:lang w:eastAsia="zh-CN"/>
          <w14:textFill>
            <w14:solidFill>
              <w14:schemeClr w14:val="tx1"/>
            </w14:solidFill>
          </w14:textFill>
        </w:rPr>
        <w:t>蒙自（新亚太）零碳智慧冷链物流产业园区项目</w:t>
      </w:r>
      <w:r>
        <w:rPr>
          <w:rFonts w:hint="eastAsia" w:ascii="宋体" w:hAnsi="宋体" w:cs="宋体"/>
          <w:color w:val="000000" w:themeColor="text1"/>
          <w:szCs w:val="21"/>
          <w:u w:val="single"/>
          <w14:textFill>
            <w14:solidFill>
              <w14:schemeClr w14:val="tx1"/>
            </w14:solidFill>
          </w14:textFill>
        </w:rPr>
        <w:t>。</w:t>
      </w:r>
    </w:p>
    <w:p w14:paraId="08DE4437">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 工程地点：</w:t>
      </w:r>
      <w:r>
        <w:rPr>
          <w:rFonts w:hint="eastAsia" w:ascii="宋体" w:hAnsi="宋体" w:eastAsia="宋体" w:cs="宋体"/>
          <w:color w:val="000000" w:themeColor="text1"/>
          <w:kern w:val="2"/>
          <w:sz w:val="21"/>
          <w:szCs w:val="21"/>
          <w:u w:val="single"/>
          <w:lang w:val="en-US" w:eastAsia="zh-CN" w:bidi="ar-SA"/>
          <w14:textFill>
            <w14:solidFill>
              <w14:schemeClr w14:val="tx1"/>
            </w14:solidFill>
          </w14:textFill>
        </w:rPr>
        <w:t>红河州蒙自市雨过铺街道田心村云南新亚太物流港</w:t>
      </w:r>
      <w:r>
        <w:rPr>
          <w:rFonts w:hint="eastAsia" w:ascii="宋体" w:hAnsi="宋体" w:cs="宋体"/>
          <w:color w:val="000000" w:themeColor="text1"/>
          <w:szCs w:val="21"/>
          <w:u w:val="single"/>
          <w14:textFill>
            <w14:solidFill>
              <w14:schemeClr w14:val="tx1"/>
            </w14:solidFill>
          </w14:textFill>
        </w:rPr>
        <w:t>。</w:t>
      </w:r>
    </w:p>
    <w:p w14:paraId="2A360B48">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 工程审批、核准或备案文号：</w:t>
      </w:r>
      <w:r>
        <w:rPr>
          <w:rFonts w:hint="eastAsia" w:ascii="宋体" w:hAnsi="宋体" w:cs="宋体"/>
          <w:color w:val="000000" w:themeColor="text1"/>
          <w:u w:val="none"/>
          <w:lang w:val="en-US" w:eastAsia="zh-CN"/>
          <w14:textFill>
            <w14:solidFill>
              <w14:schemeClr w14:val="tx1"/>
            </w14:solidFill>
          </w14:textFill>
        </w:rPr>
        <w:t>备案号为</w:t>
      </w:r>
      <w:r>
        <w:rPr>
          <w:rFonts w:hint="eastAsia" w:ascii="宋体" w:hAnsi="宋体" w:cs="宋体"/>
          <w:color w:val="000000" w:themeColor="text1"/>
          <w:u w:val="single"/>
          <w:lang w:val="en-US" w:eastAsia="zh-CN"/>
          <w14:textFill>
            <w14:solidFill>
              <w14:schemeClr w14:val="tx1"/>
            </w14:solidFill>
          </w14:textFill>
        </w:rPr>
        <w:t>2512-532599-89-01-732461</w:t>
      </w:r>
      <w:r>
        <w:rPr>
          <w:rFonts w:hint="eastAsia" w:ascii="宋体" w:hAnsi="宋体" w:cs="宋体"/>
          <w:color w:val="000000" w:themeColor="text1"/>
          <w:szCs w:val="21"/>
          <w14:textFill>
            <w14:solidFill>
              <w14:schemeClr w14:val="tx1"/>
            </w14:solidFill>
          </w14:textFill>
        </w:rPr>
        <w:t>。</w:t>
      </w:r>
    </w:p>
    <w:p w14:paraId="6ECA6BDE">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 资金来源：</w:t>
      </w:r>
      <w:r>
        <w:rPr>
          <w:rFonts w:hint="eastAsia" w:ascii="宋体" w:hAnsi="宋体" w:cs="宋体"/>
          <w:color w:val="000000" w:themeColor="text1"/>
          <w:szCs w:val="21"/>
          <w:u w:val="single"/>
          <w:lang w:val="en-US" w:eastAsia="zh-CN"/>
          <w14:textFill>
            <w14:solidFill>
              <w14:schemeClr w14:val="tx1"/>
            </w14:solidFill>
          </w14:textFill>
        </w:rPr>
        <w:t>自有资金及其他</w:t>
      </w:r>
      <w:r>
        <w:rPr>
          <w:rFonts w:hint="eastAsia" w:ascii="宋体" w:hAnsi="宋体" w:cs="宋体"/>
          <w:color w:val="000000" w:themeColor="text1"/>
          <w:szCs w:val="21"/>
          <w14:textFill>
            <w14:solidFill>
              <w14:schemeClr w14:val="tx1"/>
            </w14:solidFill>
          </w14:textFill>
        </w:rPr>
        <w:t>。</w:t>
      </w:r>
    </w:p>
    <w:p w14:paraId="72328D84">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 工程内容及规模：</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w:t>
      </w:r>
    </w:p>
    <w:p w14:paraId="4A73BA3B">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 工程承包范围：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w:t>
      </w:r>
    </w:p>
    <w:p w14:paraId="528182EC">
      <w:pPr>
        <w:pStyle w:val="134"/>
        <w:numPr>
          <w:ilvl w:val="0"/>
          <w:numId w:val="0"/>
        </w:numPr>
        <w:wordWrap/>
        <w:topLinePunct w:val="0"/>
        <w:spacing w:after="120"/>
        <w:rPr>
          <w:rFonts w:hint="eastAsia" w:cs="宋体"/>
          <w:b w:val="0"/>
          <w:bCs/>
          <w:color w:val="000000" w:themeColor="text1"/>
          <w:sz w:val="21"/>
          <w:szCs w:val="21"/>
          <w14:textFill>
            <w14:solidFill>
              <w14:schemeClr w14:val="tx1"/>
            </w14:solidFill>
          </w14:textFill>
        </w:rPr>
      </w:pPr>
      <w:bookmarkStart w:id="849" w:name="_Toc100907311"/>
      <w:bookmarkStart w:id="850" w:name="_Toc21304"/>
      <w:bookmarkStart w:id="851" w:name="_Toc100906985"/>
      <w:r>
        <w:rPr>
          <w:rFonts w:hint="eastAsia" w:cs="宋体"/>
          <w:b w:val="0"/>
          <w:bCs/>
          <w:color w:val="000000" w:themeColor="text1"/>
          <w:sz w:val="21"/>
          <w:szCs w:val="21"/>
          <w14:textFill>
            <w14:solidFill>
              <w14:schemeClr w14:val="tx1"/>
            </w14:solidFill>
          </w14:textFill>
        </w:rPr>
        <w:t>二、合同工期</w:t>
      </w:r>
      <w:bookmarkEnd w:id="849"/>
      <w:bookmarkEnd w:id="850"/>
      <w:bookmarkEnd w:id="851"/>
    </w:p>
    <w:p w14:paraId="465B6570">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计划开始工作日期：</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日。</w:t>
      </w:r>
    </w:p>
    <w:p w14:paraId="1DC044D9">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计划开始现场施工日期：</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日。</w:t>
      </w:r>
    </w:p>
    <w:p w14:paraId="2D4A6199">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计划竣工日期：</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日。</w:t>
      </w:r>
    </w:p>
    <w:p w14:paraId="5E7E45AE">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工期总日历天数：总工期</w:t>
      </w:r>
      <w:r>
        <w:rPr>
          <w:rFonts w:hint="eastAsia" w:ascii="宋体" w:hAnsi="宋体" w:cs="宋体"/>
          <w:color w:val="000000" w:themeColor="text1"/>
          <w:szCs w:val="21"/>
          <w:lang w:val="en-US" w:eastAsia="zh-CN"/>
          <w14:textFill>
            <w14:solidFill>
              <w14:schemeClr w14:val="tx1"/>
            </w14:solidFill>
          </w14:textFill>
        </w:rPr>
        <w:t>24</w:t>
      </w:r>
      <w:r>
        <w:rPr>
          <w:rFonts w:hint="eastAsia" w:ascii="宋体" w:hAnsi="宋体" w:cs="宋体"/>
          <w:color w:val="000000" w:themeColor="text1"/>
          <w:szCs w:val="21"/>
          <w14:textFill>
            <w14:solidFill>
              <w14:schemeClr w14:val="tx1"/>
            </w14:solidFill>
          </w14:textFill>
        </w:rPr>
        <w:t>个月，其中勘察周期</w:t>
      </w:r>
      <w:r>
        <w:rPr>
          <w:rFonts w:hint="eastAsia" w:ascii="宋体" w:hAnsi="宋体" w:cs="宋体"/>
          <w:color w:val="000000" w:themeColor="text1"/>
          <w:szCs w:val="21"/>
          <w:lang w:val="en-US" w:eastAsia="zh-CN"/>
          <w14:textFill>
            <w14:solidFill>
              <w14:schemeClr w14:val="tx1"/>
            </w14:solidFill>
          </w14:textFill>
        </w:rPr>
        <w:t>20</w:t>
      </w:r>
      <w:r>
        <w:rPr>
          <w:rFonts w:hint="eastAsia" w:ascii="宋体" w:hAnsi="宋体" w:cs="宋体"/>
          <w:color w:val="000000" w:themeColor="text1"/>
          <w:szCs w:val="21"/>
          <w14:textFill>
            <w14:solidFill>
              <w14:schemeClr w14:val="tx1"/>
            </w14:solidFill>
          </w14:textFill>
        </w:rPr>
        <w:t>日历天，设计周期</w:t>
      </w:r>
      <w:r>
        <w:rPr>
          <w:rFonts w:hint="eastAsia" w:ascii="宋体" w:hAnsi="宋体" w:cs="宋体"/>
          <w:color w:val="000000" w:themeColor="text1"/>
          <w:szCs w:val="21"/>
          <w:lang w:val="en-US" w:eastAsia="zh-CN"/>
          <w14:textFill>
            <w14:solidFill>
              <w14:schemeClr w14:val="tx1"/>
            </w14:solidFill>
          </w14:textFill>
        </w:rPr>
        <w:t>9</w:t>
      </w:r>
      <w:r>
        <w:rPr>
          <w:rFonts w:hint="eastAsia" w:ascii="宋体" w:hAnsi="宋体" w:cs="宋体"/>
          <w:color w:val="000000" w:themeColor="text1"/>
          <w:szCs w:val="21"/>
          <w14:textFill>
            <w14:solidFill>
              <w14:schemeClr w14:val="tx1"/>
            </w14:solidFill>
          </w14:textFill>
        </w:rPr>
        <w:t>0日历天（含初步设计</w:t>
      </w:r>
      <w:r>
        <w:rPr>
          <w:rFonts w:hint="eastAsia" w:ascii="宋体" w:hAnsi="宋体" w:cs="宋体"/>
          <w:color w:val="000000" w:themeColor="text1"/>
          <w:szCs w:val="21"/>
          <w:lang w:val="en-US" w:eastAsia="zh-CN"/>
          <w14:textFill>
            <w14:solidFill>
              <w14:schemeClr w14:val="tx1"/>
            </w14:solidFill>
          </w14:textFill>
        </w:rPr>
        <w:t>3</w:t>
      </w:r>
      <w:r>
        <w:rPr>
          <w:rFonts w:hint="eastAsia" w:ascii="宋体" w:hAnsi="宋体" w:cs="宋体"/>
          <w:color w:val="000000" w:themeColor="text1"/>
          <w:szCs w:val="21"/>
          <w14:textFill>
            <w14:solidFill>
              <w14:schemeClr w14:val="tx1"/>
            </w14:solidFill>
          </w14:textFill>
        </w:rPr>
        <w:t>0日历天，施工图设计</w:t>
      </w:r>
      <w:r>
        <w:rPr>
          <w:rFonts w:hint="eastAsia" w:ascii="宋体" w:hAnsi="宋体" w:cs="宋体"/>
          <w:color w:val="000000" w:themeColor="text1"/>
          <w:szCs w:val="21"/>
          <w:lang w:val="en-US" w:eastAsia="zh-CN"/>
          <w14:textFill>
            <w14:solidFill>
              <w14:schemeClr w14:val="tx1"/>
            </w14:solidFill>
          </w14:textFill>
        </w:rPr>
        <w:t>6</w:t>
      </w:r>
      <w:r>
        <w:rPr>
          <w:rFonts w:hint="eastAsia" w:ascii="宋体" w:hAnsi="宋体" w:cs="宋体"/>
          <w:color w:val="000000" w:themeColor="text1"/>
          <w:szCs w:val="21"/>
          <w14:textFill>
            <w14:solidFill>
              <w14:schemeClr w14:val="tx1"/>
            </w14:solidFill>
          </w14:textFill>
        </w:rPr>
        <w:t>0日历天）。</w:t>
      </w:r>
    </w:p>
    <w:p w14:paraId="5169C85A">
      <w:pPr>
        <w:pStyle w:val="134"/>
        <w:numPr>
          <w:ilvl w:val="0"/>
          <w:numId w:val="0"/>
        </w:numPr>
        <w:wordWrap/>
        <w:topLinePunct w:val="0"/>
        <w:spacing w:after="120"/>
        <w:rPr>
          <w:rFonts w:hint="eastAsia" w:cs="宋体"/>
          <w:b w:val="0"/>
          <w:bCs/>
          <w:color w:val="000000" w:themeColor="text1"/>
          <w:sz w:val="21"/>
          <w:szCs w:val="21"/>
          <w14:textFill>
            <w14:solidFill>
              <w14:schemeClr w14:val="tx1"/>
            </w14:solidFill>
          </w14:textFill>
        </w:rPr>
      </w:pPr>
      <w:bookmarkStart w:id="852" w:name="_Toc100907312"/>
      <w:bookmarkStart w:id="853" w:name="_Toc1711"/>
      <w:bookmarkStart w:id="854" w:name="_Toc100906986"/>
      <w:r>
        <w:rPr>
          <w:rFonts w:hint="eastAsia" w:cs="宋体"/>
          <w:b w:val="0"/>
          <w:bCs/>
          <w:color w:val="000000" w:themeColor="text1"/>
          <w:sz w:val="21"/>
          <w:szCs w:val="21"/>
          <w14:textFill>
            <w14:solidFill>
              <w14:schemeClr w14:val="tx1"/>
            </w14:solidFill>
          </w14:textFill>
        </w:rPr>
        <w:t>三、质量标准</w:t>
      </w:r>
      <w:bookmarkEnd w:id="852"/>
      <w:bookmarkEnd w:id="853"/>
      <w:bookmarkEnd w:id="854"/>
    </w:p>
    <w:p w14:paraId="215AB4A2">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工程勘察质量标准：</w:t>
      </w:r>
      <w:r>
        <w:rPr>
          <w:rFonts w:hint="eastAsia" w:ascii="宋体" w:hAnsi="宋体" w:cs="宋体"/>
          <w:color w:val="000000" w:themeColor="text1"/>
          <w:szCs w:val="21"/>
          <w:u w:val="single"/>
          <w14:textFill>
            <w14:solidFill>
              <w14:schemeClr w14:val="tx1"/>
            </w14:solidFill>
          </w14:textFill>
        </w:rPr>
        <w:t>符合《岩土工程勘察规范》规定的质量验收标准，并满足设计及审查要求，通过有关部门的审查。</w:t>
      </w:r>
    </w:p>
    <w:p w14:paraId="288EC786">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工程设计质量标准：</w:t>
      </w:r>
      <w:r>
        <w:rPr>
          <w:rFonts w:hint="eastAsia" w:ascii="宋体" w:hAnsi="宋体" w:cs="宋体"/>
          <w:color w:val="000000" w:themeColor="text1"/>
          <w:szCs w:val="21"/>
          <w:u w:val="single"/>
          <w14:textFill>
            <w14:solidFill>
              <w14:schemeClr w14:val="tx1"/>
            </w14:solidFill>
          </w14:textFill>
        </w:rPr>
        <w:t xml:space="preserve">符合国家、行业及地方现行的相关标准及规范，设计成果通过有关部门的审查。 </w:t>
      </w:r>
    </w:p>
    <w:p w14:paraId="47EDBE41">
      <w:pPr>
        <w:ind w:firstLine="600"/>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工程施工质量标准：</w:t>
      </w:r>
      <w:r>
        <w:rPr>
          <w:rFonts w:hint="eastAsia" w:ascii="宋体" w:hAnsi="宋体" w:cs="宋体"/>
          <w:color w:val="000000" w:themeColor="text1"/>
          <w:szCs w:val="21"/>
          <w:u w:val="single"/>
          <w14:textFill>
            <w14:solidFill>
              <w14:schemeClr w14:val="tx1"/>
            </w14:solidFill>
          </w14:textFill>
        </w:rPr>
        <w:t>应符合现行的国家、地方相关质量标准和技术规范，并执行《建设项目工程总承包管理规范》（GB/T50358-2017）、《建筑工程施工质量统一验收标准》（GB50300-2013）要求，并确保一次性验收合格。</w:t>
      </w:r>
    </w:p>
    <w:p w14:paraId="3ABDA137">
      <w:pPr>
        <w:ind w:firstLine="600"/>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u w:val="single"/>
          <w:lang w:val="en-US" w:eastAsia="zh-CN"/>
          <w14:textFill>
            <w14:solidFill>
              <w14:schemeClr w14:val="tx1"/>
            </w14:solidFill>
          </w14:textFill>
        </w:rPr>
        <w:t>设备质量标准：</w:t>
      </w:r>
      <w:r>
        <w:rPr>
          <w:rFonts w:hint="eastAsia" w:ascii="宋体" w:hAnsi="宋体" w:cs="宋体"/>
          <w:color w:val="000000" w:themeColor="text1"/>
          <w:szCs w:val="21"/>
          <w:u w:val="single"/>
          <w14:textFill>
            <w14:solidFill>
              <w14:schemeClr w14:val="tx1"/>
            </w14:solidFill>
          </w14:textFill>
        </w:rPr>
        <w:t>应格符合国家、行业及云南省现行相关产品质量标准、技术规范及安全认证要求（如 CE、CCC 等强制性认证）；设备性能参数需全面满足项目设计文件、招标文件及合同约定的技术指标，且设备出厂前须经制造商全性能检测合格并提供完整检测报告；设备到场后需通过建设单位、监理单位、施工单位联合开箱检验，安装调试后应达到设计运行效率，确保通过竣工验收及相关主管部门的专项检测备案，质保期内满足正常运行及维护要求。</w:t>
      </w:r>
    </w:p>
    <w:p w14:paraId="2AF3B158">
      <w:pPr>
        <w:pStyle w:val="134"/>
        <w:numPr>
          <w:ilvl w:val="0"/>
          <w:numId w:val="0"/>
        </w:numPr>
        <w:wordWrap/>
        <w:topLinePunct w:val="0"/>
        <w:spacing w:after="120"/>
        <w:rPr>
          <w:rFonts w:hint="eastAsia" w:cs="宋体"/>
          <w:b w:val="0"/>
          <w:bCs/>
          <w:color w:val="000000" w:themeColor="text1"/>
          <w:sz w:val="21"/>
          <w:szCs w:val="21"/>
          <w:highlight w:val="none"/>
          <w14:textFill>
            <w14:solidFill>
              <w14:schemeClr w14:val="tx1"/>
            </w14:solidFill>
          </w14:textFill>
        </w:rPr>
      </w:pPr>
      <w:bookmarkStart w:id="855" w:name="_Toc100906987"/>
      <w:bookmarkStart w:id="856" w:name="_Toc100907313"/>
      <w:bookmarkStart w:id="857" w:name="_Toc1604"/>
      <w:r>
        <w:rPr>
          <w:rFonts w:hint="eastAsia" w:cs="宋体"/>
          <w:b w:val="0"/>
          <w:bCs/>
          <w:color w:val="000000" w:themeColor="text1"/>
          <w:sz w:val="21"/>
          <w:szCs w:val="21"/>
          <w:highlight w:val="none"/>
          <w14:textFill>
            <w14:solidFill>
              <w14:schemeClr w14:val="tx1"/>
            </w14:solidFill>
          </w14:textFill>
        </w:rPr>
        <w:t>四、签约合同价与合同价格形式</w:t>
      </w:r>
      <w:bookmarkEnd w:id="855"/>
      <w:bookmarkEnd w:id="856"/>
      <w:bookmarkEnd w:id="857"/>
    </w:p>
    <w:p w14:paraId="3B244569">
      <w:pPr>
        <w:ind w:firstLine="600"/>
        <w:rPr>
          <w:rFonts w:hint="eastAsia" w:ascii="宋体" w:hAnsi="宋体" w:cs="宋体"/>
          <w:color w:val="000000"/>
          <w:szCs w:val="21"/>
          <w:highlight w:val="none"/>
        </w:rPr>
      </w:pPr>
      <w:r>
        <w:rPr>
          <w:rFonts w:hint="eastAsia" w:ascii="宋体" w:hAnsi="宋体" w:cs="宋体"/>
          <w:color w:val="000000"/>
          <w:szCs w:val="21"/>
          <w:highlight w:val="none"/>
        </w:rPr>
        <w:t>1. 签约合同价（含税）为：</w:t>
      </w:r>
    </w:p>
    <w:p w14:paraId="17A93384">
      <w:pPr>
        <w:ind w:firstLine="600"/>
        <w:rPr>
          <w:rFonts w:hint="eastAsia" w:ascii="宋体" w:hAnsi="宋体" w:cs="宋体"/>
          <w:color w:val="000000"/>
          <w:szCs w:val="21"/>
          <w:highlight w:val="none"/>
        </w:rPr>
      </w:pPr>
      <w:r>
        <w:rPr>
          <w:rFonts w:hint="eastAsia" w:ascii="宋体" w:hAnsi="宋体" w:cs="宋体"/>
          <w:color w:val="000000"/>
          <w:szCs w:val="21"/>
          <w:highlight w:val="none"/>
        </w:rPr>
        <w:t xml:space="preserve">暂估价为：人民币（大写)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元）。</w:t>
      </w:r>
    </w:p>
    <w:p w14:paraId="4108D140">
      <w:pPr>
        <w:ind w:firstLine="600"/>
        <w:rPr>
          <w:rFonts w:hint="eastAsia" w:ascii="宋体" w:hAnsi="宋体" w:cs="宋体"/>
          <w:color w:val="000000"/>
          <w:szCs w:val="21"/>
          <w:highlight w:val="none"/>
        </w:rPr>
      </w:pPr>
      <w:r>
        <w:rPr>
          <w:rFonts w:hint="eastAsia" w:ascii="宋体" w:hAnsi="宋体" w:cs="宋体"/>
          <w:color w:val="000000"/>
          <w:szCs w:val="21"/>
          <w:highlight w:val="none"/>
        </w:rPr>
        <w:t xml:space="preserve">具体构成详见价格清单。其中： </w:t>
      </w:r>
    </w:p>
    <w:p w14:paraId="024F37FD">
      <w:pPr>
        <w:ind w:firstLine="600"/>
        <w:rPr>
          <w:rFonts w:hint="eastAsia" w:ascii="宋体" w:hAnsi="宋体" w:cs="宋体"/>
          <w:color w:val="000000"/>
          <w:szCs w:val="21"/>
          <w:highlight w:val="none"/>
        </w:rPr>
      </w:pPr>
      <w:r>
        <w:rPr>
          <w:rFonts w:hint="eastAsia" w:ascii="宋体" w:hAnsi="宋体" w:cs="宋体"/>
          <w:color w:val="000000"/>
          <w:szCs w:val="21"/>
          <w:highlight w:val="none"/>
        </w:rPr>
        <w:t>（1）勘察费（含税）：</w:t>
      </w:r>
    </w:p>
    <w:p w14:paraId="5A29F172">
      <w:pPr>
        <w:ind w:firstLine="600"/>
        <w:rPr>
          <w:rFonts w:hint="eastAsia" w:ascii="宋体" w:hAnsi="宋体" w:cs="宋体"/>
          <w:color w:val="000000"/>
          <w:szCs w:val="21"/>
          <w:highlight w:val="none"/>
        </w:rPr>
      </w:pPr>
      <w:r>
        <w:rPr>
          <w:rFonts w:hint="eastAsia" w:ascii="宋体" w:hAnsi="宋体" w:cs="宋体"/>
          <w:color w:val="000000"/>
          <w:szCs w:val="21"/>
          <w:highlight w:val="none"/>
        </w:rPr>
        <w:t>暂估价为：人民币（大写)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元），最终费用按实际完成工作量以</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元/进尺米结算；适用税率：</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%，税金为人民币（大写)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 </w:t>
      </w:r>
    </w:p>
    <w:p w14:paraId="7074C620">
      <w:pPr>
        <w:ind w:firstLine="600"/>
        <w:rPr>
          <w:rFonts w:hint="eastAsia" w:ascii="宋体" w:hAnsi="宋体" w:cs="宋体"/>
          <w:color w:val="000000"/>
          <w:szCs w:val="21"/>
          <w:highlight w:val="none"/>
        </w:rPr>
      </w:pPr>
      <w:r>
        <w:rPr>
          <w:rFonts w:hint="eastAsia" w:ascii="宋体" w:hAnsi="宋体" w:cs="宋体"/>
          <w:color w:val="000000"/>
          <w:szCs w:val="21"/>
          <w:highlight w:val="none"/>
        </w:rPr>
        <w:t>（2） 设计费（含税）：</w:t>
      </w:r>
    </w:p>
    <w:p w14:paraId="7D2F5E6D">
      <w:pPr>
        <w:ind w:firstLine="600"/>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元）；适用税率：</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%，税金为人民币（大写)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 </w:t>
      </w:r>
    </w:p>
    <w:p w14:paraId="2088407E">
      <w:pPr>
        <w:ind w:firstLine="600"/>
        <w:rPr>
          <w:rFonts w:hint="eastAsia" w:ascii="宋体" w:hAnsi="宋体" w:cs="宋体"/>
          <w:color w:val="000000"/>
          <w:szCs w:val="21"/>
          <w:highlight w:val="none"/>
        </w:rPr>
      </w:pPr>
      <w:r>
        <w:rPr>
          <w:rFonts w:hint="eastAsia" w:ascii="宋体" w:hAnsi="宋体" w:cs="宋体"/>
          <w:color w:val="000000"/>
          <w:szCs w:val="21"/>
          <w:highlight w:val="none"/>
        </w:rPr>
        <w:t>（3） 设备购置</w:t>
      </w:r>
      <w:r>
        <w:rPr>
          <w:rFonts w:hint="eastAsia" w:ascii="宋体" w:hAnsi="宋体" w:cs="宋体"/>
          <w:color w:val="000000"/>
          <w:szCs w:val="21"/>
          <w:highlight w:val="none"/>
          <w:lang w:val="en-US" w:eastAsia="zh-CN"/>
        </w:rPr>
        <w:t>及安装</w:t>
      </w:r>
      <w:r>
        <w:rPr>
          <w:rFonts w:hint="eastAsia" w:ascii="宋体" w:hAnsi="宋体" w:cs="宋体"/>
          <w:color w:val="000000"/>
          <w:szCs w:val="21"/>
          <w:highlight w:val="none"/>
        </w:rPr>
        <w:t>费（含税）：</w:t>
      </w:r>
    </w:p>
    <w:p w14:paraId="55047DFB">
      <w:pPr>
        <w:ind w:firstLine="600"/>
        <w:rPr>
          <w:rFonts w:hint="eastAsia" w:ascii="宋体" w:hAnsi="宋体" w:cs="宋体"/>
          <w:color w:val="000000"/>
          <w:szCs w:val="21"/>
          <w:highlight w:val="none"/>
        </w:rPr>
      </w:pPr>
      <w:r>
        <w:rPr>
          <w:rFonts w:hint="eastAsia" w:ascii="宋体" w:hAnsi="宋体" w:cs="宋体"/>
          <w:color w:val="000000"/>
          <w:szCs w:val="21"/>
          <w:highlight w:val="none"/>
        </w:rPr>
        <w:t xml:space="preserve">暂估价为：人民币（大写)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元）；</w:t>
      </w:r>
      <w:r>
        <w:rPr>
          <w:rFonts w:hint="eastAsia" w:ascii="宋体" w:hAnsi="宋体" w:cs="宋体"/>
          <w:color w:val="000000"/>
          <w:szCs w:val="21"/>
          <w:highlight w:val="none"/>
          <w:lang w:val="en-US" w:eastAsia="zh-CN"/>
        </w:rPr>
        <w:t>其中设备购置</w:t>
      </w:r>
      <w:r>
        <w:rPr>
          <w:rFonts w:hint="eastAsia" w:ascii="宋体" w:hAnsi="宋体" w:cs="宋体"/>
          <w:color w:val="000000"/>
          <w:szCs w:val="21"/>
          <w:highlight w:val="none"/>
        </w:rPr>
        <w:t>适用税率：</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%，税金为人民币（大写)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元）</w:t>
      </w:r>
      <w:r>
        <w:rPr>
          <w:rFonts w:hint="eastAsia" w:ascii="宋体" w:hAnsi="宋体" w:cs="宋体"/>
          <w:color w:val="000000"/>
          <w:szCs w:val="21"/>
          <w:highlight w:val="none"/>
          <w:lang w:eastAsia="zh-CN"/>
        </w:rPr>
        <w:t>，</w:t>
      </w:r>
      <w:r>
        <w:rPr>
          <w:rFonts w:hint="eastAsia" w:ascii="宋体" w:hAnsi="宋体" w:cs="宋体"/>
          <w:color w:val="000000"/>
          <w:szCs w:val="21"/>
          <w:highlight w:val="none"/>
          <w:lang w:val="en-US" w:eastAsia="zh-CN"/>
        </w:rPr>
        <w:t>设备安装</w:t>
      </w:r>
      <w:r>
        <w:rPr>
          <w:rFonts w:hint="eastAsia" w:ascii="宋体" w:hAnsi="宋体" w:cs="宋体"/>
          <w:color w:val="000000"/>
          <w:szCs w:val="21"/>
          <w:highlight w:val="none"/>
        </w:rPr>
        <w:t>适用税率：</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%，税金为人民币（大写)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元）；</w:t>
      </w:r>
    </w:p>
    <w:p w14:paraId="7F311425">
      <w:pPr>
        <w:ind w:firstLine="6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 </w:t>
      </w:r>
      <w:r>
        <w:rPr>
          <w:rFonts w:hint="eastAsia" w:ascii="宋体" w:hAnsi="宋体" w:cs="宋体"/>
          <w:color w:val="000000" w:themeColor="text1"/>
          <w:szCs w:val="21"/>
          <w:highlight w:val="none"/>
          <w:lang w:val="en-US" w:eastAsia="zh-CN"/>
          <w14:textFill>
            <w14:solidFill>
              <w14:schemeClr w14:val="tx1"/>
            </w14:solidFill>
          </w14:textFill>
        </w:rPr>
        <w:t>新能源项目</w:t>
      </w:r>
      <w:r>
        <w:rPr>
          <w:rFonts w:hint="eastAsia" w:ascii="宋体" w:hAnsi="宋体" w:cs="宋体"/>
          <w:color w:val="000000" w:themeColor="text1"/>
          <w:szCs w:val="21"/>
          <w:highlight w:val="none"/>
          <w14:textFill>
            <w14:solidFill>
              <w14:schemeClr w14:val="tx1"/>
            </w14:solidFill>
          </w14:textFill>
        </w:rPr>
        <w:t>工程费（含税）：</w:t>
      </w:r>
    </w:p>
    <w:p w14:paraId="561587F4">
      <w:pPr>
        <w:ind w:firstLine="6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暂估价为：人民币（大写)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元）；适用税率：</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%，税金为人民币（大写)</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元）；</w:t>
      </w:r>
    </w:p>
    <w:p w14:paraId="2414006F">
      <w:pPr>
        <w:ind w:firstLine="6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 建筑安装工程费（含税）：</w:t>
      </w:r>
    </w:p>
    <w:p w14:paraId="5A703773">
      <w:pPr>
        <w:ind w:firstLine="6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暂估价为：人民币（大写)</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元）；适用税率：</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%，税金为人民币（大写)</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元）； </w:t>
      </w:r>
    </w:p>
    <w:p w14:paraId="51EBF7C8">
      <w:pPr>
        <w:ind w:firstLine="6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 暂列金额（含税）：</w:t>
      </w:r>
    </w:p>
    <w:p w14:paraId="6BA394C7">
      <w:pPr>
        <w:ind w:firstLine="6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人民币（大写)</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元）。</w:t>
      </w:r>
    </w:p>
    <w:p w14:paraId="424F06C5">
      <w:pPr>
        <w:ind w:firstLine="6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 双方约定的其他费用（含税）：</w:t>
      </w:r>
    </w:p>
    <w:p w14:paraId="4B4055EA">
      <w:pPr>
        <w:ind w:firstLine="6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人民币（大写)</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元）；适用税率：</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%，税金为人民币（大写)</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元）。</w:t>
      </w:r>
    </w:p>
    <w:p w14:paraId="783D8D09">
      <w:pPr>
        <w:ind w:firstLine="6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合同价格形式：</w:t>
      </w:r>
    </w:p>
    <w:p w14:paraId="5E0541FD">
      <w:pPr>
        <w:ind w:firstLine="6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合同价格形式为</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单价合同 </w:t>
      </w:r>
      <w:r>
        <w:rPr>
          <w:rFonts w:hint="eastAsia" w:ascii="宋体" w:hAnsi="宋体" w:cs="宋体"/>
          <w:color w:val="000000" w:themeColor="text1"/>
          <w:szCs w:val="21"/>
          <w:highlight w:val="none"/>
          <w14:textFill>
            <w14:solidFill>
              <w14:schemeClr w14:val="tx1"/>
            </w14:solidFill>
          </w14:textFill>
        </w:rPr>
        <w:t>，除根据合同约定的在工程实施过程中需进行增减的款项外，合同价格不予调整，但合同当事人另有约定的除外。</w:t>
      </w:r>
    </w:p>
    <w:p w14:paraId="6D68B18D">
      <w:pPr>
        <w:kinsoku w:val="0"/>
        <w:ind w:left="263" w:leftChars="125" w:firstLine="210" w:firstLineChars="1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合同当事人对合同价格形式的其他约定：</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p>
    <w:p w14:paraId="71A9A3C3">
      <w:pPr>
        <w:pStyle w:val="134"/>
        <w:numPr>
          <w:ilvl w:val="0"/>
          <w:numId w:val="0"/>
        </w:numPr>
        <w:wordWrap/>
        <w:topLinePunct w:val="0"/>
        <w:spacing w:after="120"/>
        <w:rPr>
          <w:rFonts w:hint="eastAsia" w:cs="宋体"/>
          <w:b w:val="0"/>
          <w:bCs/>
          <w:color w:val="000000" w:themeColor="text1"/>
          <w:sz w:val="21"/>
          <w:szCs w:val="21"/>
          <w:highlight w:val="none"/>
          <w14:textFill>
            <w14:solidFill>
              <w14:schemeClr w14:val="tx1"/>
            </w14:solidFill>
          </w14:textFill>
        </w:rPr>
      </w:pPr>
      <w:bookmarkStart w:id="858" w:name="_Toc100907314"/>
      <w:bookmarkStart w:id="859" w:name="_Toc29321"/>
      <w:bookmarkStart w:id="860" w:name="_Toc100906988"/>
      <w:r>
        <w:rPr>
          <w:rFonts w:hint="eastAsia" w:cs="宋体"/>
          <w:b w:val="0"/>
          <w:bCs/>
          <w:color w:val="000000" w:themeColor="text1"/>
          <w:sz w:val="21"/>
          <w:szCs w:val="21"/>
          <w:highlight w:val="none"/>
          <w14:textFill>
            <w14:solidFill>
              <w14:schemeClr w14:val="tx1"/>
            </w14:solidFill>
          </w14:textFill>
        </w:rPr>
        <w:t>五、工程总承包项目经理</w:t>
      </w:r>
      <w:bookmarkEnd w:id="858"/>
      <w:bookmarkEnd w:id="859"/>
      <w:bookmarkEnd w:id="860"/>
    </w:p>
    <w:p w14:paraId="45795118">
      <w:pPr>
        <w:ind w:firstLine="600"/>
        <w:rPr>
          <w:rFonts w:hint="eastAsia" w:ascii="宋体" w:hAnsi="宋体" w:cs="宋体"/>
          <w:bCs/>
          <w:color w:val="000000" w:themeColor="text1"/>
          <w:kern w:val="44"/>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工程总承包项目经理：</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kern w:val="44"/>
          <w:szCs w:val="21"/>
          <w:highlight w:val="none"/>
          <w14:textFill>
            <w14:solidFill>
              <w14:schemeClr w14:val="tx1"/>
            </w14:solidFill>
          </w14:textFill>
        </w:rPr>
        <w:t xml:space="preserve"> </w:t>
      </w:r>
    </w:p>
    <w:p w14:paraId="5EB1A5E7">
      <w:pPr>
        <w:ind w:firstLine="600"/>
        <w:rPr>
          <w:rFonts w:hint="eastAsia" w:ascii="宋体" w:hAnsi="宋体" w:cs="宋体"/>
          <w:bCs/>
          <w:color w:val="000000" w:themeColor="text1"/>
          <w:kern w:val="44"/>
          <w:szCs w:val="21"/>
          <w:highlight w:val="none"/>
          <w14:textFill>
            <w14:solidFill>
              <w14:schemeClr w14:val="tx1"/>
            </w14:solidFill>
          </w14:textFill>
        </w:rPr>
      </w:pPr>
      <w:r>
        <w:rPr>
          <w:rFonts w:hint="eastAsia" w:ascii="宋体" w:hAnsi="宋体" w:cs="宋体"/>
          <w:bCs/>
          <w:color w:val="000000" w:themeColor="text1"/>
          <w:kern w:val="44"/>
          <w:szCs w:val="21"/>
          <w:highlight w:val="none"/>
          <w:u w:val="none"/>
          <w14:textFill>
            <w14:solidFill>
              <w14:schemeClr w14:val="tx1"/>
            </w14:solidFill>
          </w14:textFill>
        </w:rPr>
        <w:t>身份证号</w:t>
      </w:r>
      <w:r>
        <w:rPr>
          <w:rFonts w:hint="eastAsia" w:ascii="宋体" w:hAnsi="宋体" w:cs="宋体"/>
          <w:bCs/>
          <w:color w:val="000000" w:themeColor="text1"/>
          <w:kern w:val="44"/>
          <w:szCs w:val="21"/>
          <w:highlight w:val="none"/>
          <w:lang w:eastAsia="zh-CN"/>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bCs/>
          <w:color w:val="000000" w:themeColor="text1"/>
          <w:kern w:val="44"/>
          <w:szCs w:val="21"/>
          <w:highlight w:val="none"/>
          <w14:textFill>
            <w14:solidFill>
              <w14:schemeClr w14:val="tx1"/>
            </w14:solidFill>
          </w14:textFill>
        </w:rPr>
        <w:t xml:space="preserve">                 </w:t>
      </w:r>
    </w:p>
    <w:p w14:paraId="0FF9A63B">
      <w:pPr>
        <w:ind w:firstLine="6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kern w:val="44"/>
          <w:szCs w:val="21"/>
          <w:highlight w:val="none"/>
          <w:lang w:val="en-US" w:eastAsia="zh-CN"/>
          <w14:textFill>
            <w14:solidFill>
              <w14:schemeClr w14:val="tx1"/>
            </w14:solidFill>
          </w14:textFill>
        </w:rPr>
        <w:t>注册</w:t>
      </w:r>
      <w:r>
        <w:rPr>
          <w:rFonts w:hint="eastAsia" w:ascii="宋体" w:hAnsi="宋体" w:cs="宋体"/>
          <w:bCs/>
          <w:color w:val="000000" w:themeColor="text1"/>
          <w:kern w:val="44"/>
          <w:szCs w:val="21"/>
          <w:highlight w:val="none"/>
          <w:u w:val="none"/>
          <w14:textFill>
            <w14:solidFill>
              <w14:schemeClr w14:val="tx1"/>
            </w14:solidFill>
          </w14:textFill>
        </w:rPr>
        <w:t>证书</w:t>
      </w:r>
      <w:r>
        <w:rPr>
          <w:rFonts w:hint="eastAsia" w:ascii="宋体" w:hAnsi="宋体" w:cs="宋体"/>
          <w:bCs/>
          <w:color w:val="000000" w:themeColor="text1"/>
          <w:kern w:val="44"/>
          <w:szCs w:val="21"/>
          <w:highlight w:val="none"/>
          <w:u w:val="none"/>
          <w:lang w:val="en-US" w:eastAsia="zh-CN"/>
          <w14:textFill>
            <w14:solidFill>
              <w14:schemeClr w14:val="tx1"/>
            </w14:solidFill>
          </w14:textFill>
        </w:rPr>
        <w:t>名称</w:t>
      </w:r>
      <w:r>
        <w:rPr>
          <w:rFonts w:hint="eastAsia" w:ascii="宋体" w:hAnsi="宋体" w:cs="宋体"/>
          <w:bCs/>
          <w:color w:val="000000" w:themeColor="text1"/>
          <w:kern w:val="44"/>
          <w:szCs w:val="21"/>
          <w:highlight w:val="none"/>
          <w:u w:val="none"/>
          <w14:textFill>
            <w14:solidFill>
              <w14:schemeClr w14:val="tx1"/>
            </w14:solidFill>
          </w14:textFill>
        </w:rPr>
        <w:t>及编号</w:t>
      </w:r>
      <w:r>
        <w:rPr>
          <w:rFonts w:hint="eastAsia" w:ascii="宋体" w:hAnsi="宋体" w:cs="宋体"/>
          <w:bCs/>
          <w:color w:val="000000" w:themeColor="text1"/>
          <w:kern w:val="44"/>
          <w:szCs w:val="21"/>
          <w:highlight w:val="none"/>
          <w:lang w:eastAsia="zh-CN"/>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p>
    <w:p w14:paraId="719D5FDA">
      <w:pPr>
        <w:pStyle w:val="134"/>
        <w:numPr>
          <w:ilvl w:val="0"/>
          <w:numId w:val="0"/>
        </w:numPr>
        <w:wordWrap/>
        <w:topLinePunct w:val="0"/>
        <w:spacing w:after="120"/>
        <w:rPr>
          <w:rFonts w:hint="eastAsia" w:cs="宋体"/>
          <w:b w:val="0"/>
          <w:bCs/>
          <w:color w:val="000000" w:themeColor="text1"/>
          <w:sz w:val="21"/>
          <w:szCs w:val="21"/>
          <w:highlight w:val="none"/>
          <w14:textFill>
            <w14:solidFill>
              <w14:schemeClr w14:val="tx1"/>
            </w14:solidFill>
          </w14:textFill>
        </w:rPr>
      </w:pPr>
      <w:bookmarkStart w:id="861" w:name="_Toc100907315"/>
      <w:bookmarkStart w:id="862" w:name="_Toc100906989"/>
      <w:bookmarkStart w:id="863" w:name="_Toc480"/>
      <w:r>
        <w:rPr>
          <w:rFonts w:hint="eastAsia" w:cs="宋体"/>
          <w:b w:val="0"/>
          <w:bCs/>
          <w:color w:val="000000" w:themeColor="text1"/>
          <w:sz w:val="21"/>
          <w:szCs w:val="21"/>
          <w:highlight w:val="none"/>
          <w14:textFill>
            <w14:solidFill>
              <w14:schemeClr w14:val="tx1"/>
            </w14:solidFill>
          </w14:textFill>
        </w:rPr>
        <w:t>六、合同文件构成</w:t>
      </w:r>
      <w:bookmarkEnd w:id="861"/>
      <w:bookmarkEnd w:id="862"/>
      <w:bookmarkEnd w:id="863"/>
    </w:p>
    <w:p w14:paraId="52B2EAFF">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本协议书与下列文件一起构成合同文件： </w:t>
      </w:r>
    </w:p>
    <w:p w14:paraId="7B4AC857">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 中标通知书（如果有）；</w:t>
      </w:r>
    </w:p>
    <w:p w14:paraId="675B7C45">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 投标函及投标函附录（如果有）；</w:t>
      </w:r>
    </w:p>
    <w:p w14:paraId="686E7BA5">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 专用合同条件及《发包人要求》等附件；</w:t>
      </w:r>
    </w:p>
    <w:p w14:paraId="4F6F40D4">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 通用合同条件；</w:t>
      </w:r>
    </w:p>
    <w:p w14:paraId="44A5DA93">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 承包人建议书； </w:t>
      </w:r>
    </w:p>
    <w:p w14:paraId="0B215871">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 价格清单；</w:t>
      </w:r>
    </w:p>
    <w:p w14:paraId="3AECC4AC">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 双方约定的其他合同文件。</w:t>
      </w:r>
    </w:p>
    <w:p w14:paraId="171F8CB6">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上述各项合同文件包括双方就该项合同文件所作出的补充和修改，属于同一类内容的合同文件应以最新签署的为准。专用合同条件及其附件须经合同当事人签字或盖章。</w:t>
      </w:r>
    </w:p>
    <w:p w14:paraId="381EFDBB">
      <w:pPr>
        <w:pStyle w:val="134"/>
        <w:numPr>
          <w:ilvl w:val="0"/>
          <w:numId w:val="0"/>
        </w:numPr>
        <w:wordWrap/>
        <w:topLinePunct w:val="0"/>
        <w:spacing w:after="120"/>
        <w:rPr>
          <w:rFonts w:hint="eastAsia" w:cs="宋体"/>
          <w:b w:val="0"/>
          <w:bCs/>
          <w:color w:val="000000" w:themeColor="text1"/>
          <w:sz w:val="21"/>
          <w:szCs w:val="21"/>
          <w14:textFill>
            <w14:solidFill>
              <w14:schemeClr w14:val="tx1"/>
            </w14:solidFill>
          </w14:textFill>
        </w:rPr>
      </w:pPr>
      <w:bookmarkStart w:id="864" w:name="_Toc100906990"/>
      <w:bookmarkStart w:id="865" w:name="_Toc100907316"/>
      <w:bookmarkStart w:id="866" w:name="_Toc22490"/>
      <w:r>
        <w:rPr>
          <w:rFonts w:hint="eastAsia" w:cs="宋体"/>
          <w:b w:val="0"/>
          <w:bCs/>
          <w:color w:val="000000" w:themeColor="text1"/>
          <w:sz w:val="21"/>
          <w:szCs w:val="21"/>
          <w14:textFill>
            <w14:solidFill>
              <w14:schemeClr w14:val="tx1"/>
            </w14:solidFill>
          </w14:textFill>
        </w:rPr>
        <w:t>七、承诺</w:t>
      </w:r>
      <w:bookmarkEnd w:id="864"/>
      <w:bookmarkEnd w:id="865"/>
      <w:bookmarkEnd w:id="866"/>
    </w:p>
    <w:p w14:paraId="068FE91B">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 发包人承诺按照法律规定履行项目审批手续、筹集工程建设资金并按照合同约定的期限和方式支付合同价款。</w:t>
      </w:r>
    </w:p>
    <w:p w14:paraId="3AA70860">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 承包人承诺按照法律规定及合同约定组织完成工程的设计、采购和施工等工作，确保工程质量和安全，不进行转包及违法分包，并在缺陷责任期及保修期内承担相应的工程维修责任。</w:t>
      </w:r>
    </w:p>
    <w:p w14:paraId="379EF6B5">
      <w:pPr>
        <w:ind w:firstLine="6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14:textFill>
            <w14:solidFill>
              <w14:schemeClr w14:val="tx1"/>
            </w14:solidFill>
          </w14:textFill>
        </w:rPr>
        <w:t>3. 若为联合体中标，联合体各方应共同与发包人签订合同协议书。联合体各方应共同履行合同，相互承担连带责任。联合体协议经发包人确认后作为合同附件。在履行合同过</w:t>
      </w:r>
      <w:r>
        <w:rPr>
          <w:rFonts w:hint="eastAsia" w:ascii="宋体" w:hAnsi="宋体" w:cs="宋体"/>
          <w:color w:val="000000" w:themeColor="text1"/>
          <w:szCs w:val="21"/>
          <w:highlight w:val="none"/>
          <w14:textFill>
            <w14:solidFill>
              <w14:schemeClr w14:val="tx1"/>
            </w14:solidFill>
          </w14:textFill>
        </w:rPr>
        <w:t>程中，未经发包人同意，不得修改联合体协议。联合体牵头人负责与发包人和监理人联系，并接受指示，负责组织联合体各成员全面履行合同。</w:t>
      </w:r>
    </w:p>
    <w:p w14:paraId="49BE151D">
      <w:pPr>
        <w:ind w:firstLine="600"/>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4.招标人向中标人支付预付款后，由中标人支付招标代理机构，若中标单位为联合体的，联合体各单位根据各自实施范围内的中标金额按比例分摊招标代理服务费。</w:t>
      </w:r>
    </w:p>
    <w:p w14:paraId="55E03CD0">
      <w:pPr>
        <w:ind w:firstLine="600"/>
        <w:rPr>
          <w:rFonts w:hint="default" w:ascii="宋体" w:hAnsi="宋体" w:eastAsia="宋体" w:cs="宋体"/>
          <w:color w:val="000000" w:themeColor="text1"/>
          <w:szCs w:val="21"/>
          <w:highlight w:val="none"/>
          <w:lang w:val="en-US" w:eastAsia="zh-CN"/>
          <w14:textFill>
            <w14:solidFill>
              <w14:schemeClr w14:val="tx1"/>
            </w14:solidFill>
          </w14:textFill>
        </w:rPr>
      </w:pPr>
    </w:p>
    <w:p w14:paraId="2BA24A1E">
      <w:pPr>
        <w:pStyle w:val="134"/>
        <w:numPr>
          <w:ilvl w:val="0"/>
          <w:numId w:val="0"/>
        </w:numPr>
        <w:wordWrap/>
        <w:topLinePunct w:val="0"/>
        <w:spacing w:after="120"/>
        <w:rPr>
          <w:rFonts w:hint="eastAsia" w:cs="宋体"/>
          <w:b w:val="0"/>
          <w:bCs/>
          <w:color w:val="000000" w:themeColor="text1"/>
          <w:sz w:val="21"/>
          <w:szCs w:val="21"/>
          <w14:textFill>
            <w14:solidFill>
              <w14:schemeClr w14:val="tx1"/>
            </w14:solidFill>
          </w14:textFill>
        </w:rPr>
      </w:pPr>
      <w:bookmarkStart w:id="867" w:name="_Toc100907317"/>
      <w:bookmarkStart w:id="868" w:name="_Toc100906991"/>
      <w:bookmarkStart w:id="869" w:name="_Toc2204"/>
      <w:r>
        <w:rPr>
          <w:rFonts w:hint="eastAsia" w:cs="宋体"/>
          <w:b w:val="0"/>
          <w:bCs/>
          <w:color w:val="000000" w:themeColor="text1"/>
          <w:sz w:val="21"/>
          <w:szCs w:val="21"/>
          <w14:textFill>
            <w14:solidFill>
              <w14:schemeClr w14:val="tx1"/>
            </w14:solidFill>
          </w14:textFill>
        </w:rPr>
        <w:t>八、订立时间</w:t>
      </w:r>
      <w:bookmarkEnd w:id="867"/>
      <w:bookmarkEnd w:id="868"/>
      <w:bookmarkEnd w:id="869"/>
    </w:p>
    <w:p w14:paraId="77A9A3DC">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本合同于</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日订立。</w:t>
      </w:r>
    </w:p>
    <w:p w14:paraId="3F376E61">
      <w:pPr>
        <w:pStyle w:val="134"/>
        <w:numPr>
          <w:ilvl w:val="0"/>
          <w:numId w:val="0"/>
        </w:numPr>
        <w:wordWrap/>
        <w:topLinePunct w:val="0"/>
        <w:spacing w:after="120"/>
        <w:rPr>
          <w:rFonts w:hint="eastAsia" w:cs="宋体"/>
          <w:b w:val="0"/>
          <w:bCs/>
          <w:color w:val="000000" w:themeColor="text1"/>
          <w:sz w:val="21"/>
          <w:szCs w:val="21"/>
          <w14:textFill>
            <w14:solidFill>
              <w14:schemeClr w14:val="tx1"/>
            </w14:solidFill>
          </w14:textFill>
        </w:rPr>
      </w:pPr>
      <w:bookmarkStart w:id="870" w:name="_Toc100907318"/>
      <w:bookmarkStart w:id="871" w:name="_Toc100906992"/>
      <w:bookmarkStart w:id="872" w:name="_Toc25141"/>
      <w:r>
        <w:rPr>
          <w:rFonts w:hint="eastAsia" w:cs="宋体"/>
          <w:b w:val="0"/>
          <w:bCs/>
          <w:color w:val="000000" w:themeColor="text1"/>
          <w:sz w:val="21"/>
          <w:szCs w:val="21"/>
          <w14:textFill>
            <w14:solidFill>
              <w14:schemeClr w14:val="tx1"/>
            </w14:solidFill>
          </w14:textFill>
        </w:rPr>
        <w:t>九、订立地点</w:t>
      </w:r>
      <w:bookmarkEnd w:id="870"/>
      <w:bookmarkEnd w:id="871"/>
      <w:bookmarkEnd w:id="872"/>
    </w:p>
    <w:p w14:paraId="57684BF5">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本合同在</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订立。</w:t>
      </w:r>
    </w:p>
    <w:p w14:paraId="1C453384">
      <w:pPr>
        <w:pStyle w:val="134"/>
        <w:numPr>
          <w:ilvl w:val="0"/>
          <w:numId w:val="0"/>
        </w:numPr>
        <w:wordWrap/>
        <w:topLinePunct w:val="0"/>
        <w:spacing w:after="120"/>
        <w:rPr>
          <w:rFonts w:hint="eastAsia" w:cs="宋体"/>
          <w:b w:val="0"/>
          <w:bCs/>
          <w:color w:val="000000" w:themeColor="text1"/>
          <w:sz w:val="21"/>
          <w:szCs w:val="21"/>
          <w14:textFill>
            <w14:solidFill>
              <w14:schemeClr w14:val="tx1"/>
            </w14:solidFill>
          </w14:textFill>
        </w:rPr>
      </w:pPr>
      <w:bookmarkStart w:id="873" w:name="_Toc17915"/>
      <w:bookmarkStart w:id="874" w:name="_Toc100907319"/>
      <w:bookmarkStart w:id="875" w:name="_Toc100906993"/>
      <w:r>
        <w:rPr>
          <w:rFonts w:hint="eastAsia" w:cs="宋体"/>
          <w:b w:val="0"/>
          <w:bCs/>
          <w:color w:val="000000" w:themeColor="text1"/>
          <w:sz w:val="21"/>
          <w:szCs w:val="21"/>
          <w14:textFill>
            <w14:solidFill>
              <w14:schemeClr w14:val="tx1"/>
            </w14:solidFill>
          </w14:textFill>
        </w:rPr>
        <w:t>十、合同生效</w:t>
      </w:r>
      <w:bookmarkEnd w:id="873"/>
      <w:bookmarkEnd w:id="874"/>
      <w:bookmarkEnd w:id="875"/>
    </w:p>
    <w:p w14:paraId="52AB5F24">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本合同经双方签字盖章后成立，并自</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生效。</w:t>
      </w:r>
    </w:p>
    <w:p w14:paraId="46AEBEFE">
      <w:pPr>
        <w:pStyle w:val="134"/>
        <w:numPr>
          <w:ilvl w:val="0"/>
          <w:numId w:val="0"/>
        </w:numPr>
        <w:wordWrap/>
        <w:topLinePunct w:val="0"/>
        <w:spacing w:after="120"/>
        <w:rPr>
          <w:rFonts w:hint="eastAsia" w:cs="宋体"/>
          <w:b w:val="0"/>
          <w:bCs/>
          <w:color w:val="000000" w:themeColor="text1"/>
          <w:sz w:val="21"/>
          <w:szCs w:val="21"/>
          <w14:textFill>
            <w14:solidFill>
              <w14:schemeClr w14:val="tx1"/>
            </w14:solidFill>
          </w14:textFill>
        </w:rPr>
      </w:pPr>
      <w:bookmarkStart w:id="876" w:name="_Toc100906994"/>
      <w:bookmarkStart w:id="877" w:name="_Toc100907320"/>
      <w:bookmarkStart w:id="878" w:name="_Toc27747"/>
      <w:r>
        <w:rPr>
          <w:rFonts w:hint="eastAsia" w:cs="宋体"/>
          <w:b w:val="0"/>
          <w:bCs/>
          <w:color w:val="000000" w:themeColor="text1"/>
          <w:sz w:val="21"/>
          <w:szCs w:val="21"/>
          <w14:textFill>
            <w14:solidFill>
              <w14:schemeClr w14:val="tx1"/>
            </w14:solidFill>
          </w14:textFill>
        </w:rPr>
        <w:t>十一、合同份数</w:t>
      </w:r>
      <w:bookmarkEnd w:id="876"/>
      <w:bookmarkEnd w:id="877"/>
      <w:bookmarkEnd w:id="878"/>
    </w:p>
    <w:p w14:paraId="283C7786">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本合同一式</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份，均具有同等法律效力，发包人执</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份，承包人执</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份。</w:t>
      </w:r>
    </w:p>
    <w:tbl>
      <w:tblPr>
        <w:tblStyle w:val="41"/>
        <w:tblpPr w:leftFromText="180" w:rightFromText="180" w:vertAnchor="text" w:horzAnchor="page" w:tblpX="2007" w:tblpY="581"/>
        <w:tblW w:w="9072" w:type="dxa"/>
        <w:tblInd w:w="0" w:type="dxa"/>
        <w:tblLayout w:type="fixed"/>
        <w:tblCellMar>
          <w:top w:w="0" w:type="dxa"/>
          <w:left w:w="108" w:type="dxa"/>
          <w:bottom w:w="0" w:type="dxa"/>
          <w:right w:w="108" w:type="dxa"/>
        </w:tblCellMar>
      </w:tblPr>
      <w:tblGrid>
        <w:gridCol w:w="4507"/>
        <w:gridCol w:w="4565"/>
      </w:tblGrid>
      <w:tr w14:paraId="4DD513F1">
        <w:tblPrEx>
          <w:tblCellMar>
            <w:top w:w="0" w:type="dxa"/>
            <w:left w:w="108" w:type="dxa"/>
            <w:bottom w:w="0" w:type="dxa"/>
            <w:right w:w="108" w:type="dxa"/>
          </w:tblCellMar>
        </w:tblPrEx>
        <w:tc>
          <w:tcPr>
            <w:tcW w:w="4507" w:type="dxa"/>
          </w:tcPr>
          <w:p w14:paraId="0609A36B">
            <w:pPr>
              <w:pStyle w:val="89"/>
              <w:framePr w:hSpace="0" w:wrap="auto" w:vAnchor="margin" w:hAnchor="text" w:yAlign="inline"/>
              <w:spacing w:after="50"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lang w:val="en-US" w:eastAsia="zh-CN"/>
                <w14:textFill>
                  <w14:solidFill>
                    <w14:schemeClr w14:val="tx1"/>
                  </w14:solidFill>
                </w14:textFill>
              </w:rPr>
              <w:t>发包</w:t>
            </w:r>
            <w:r>
              <w:rPr>
                <w:rFonts w:hint="eastAsia" w:hAnsi="宋体" w:cs="宋体"/>
                <w:color w:val="000000" w:themeColor="text1"/>
                <w:sz w:val="21"/>
                <w:szCs w:val="21"/>
                <w14:textFill>
                  <w14:solidFill>
                    <w14:schemeClr w14:val="tx1"/>
                  </w14:solidFill>
                </w14:textFill>
              </w:rPr>
              <w:t>人：（公章）</w:t>
            </w:r>
          </w:p>
          <w:p w14:paraId="22F19BC1">
            <w:pPr>
              <w:pStyle w:val="89"/>
              <w:framePr w:hSpace="0" w:wrap="auto" w:vAnchor="margin" w:hAnchor="text" w:yAlign="inline"/>
              <w:spacing w:after="50" w:line="360" w:lineRule="auto"/>
              <w:rPr>
                <w:rFonts w:hint="eastAsia" w:hAnsi="宋体" w:cs="宋体"/>
                <w:color w:val="000000" w:themeColor="text1"/>
                <w:sz w:val="21"/>
                <w:szCs w:val="21"/>
                <w14:textFill>
                  <w14:solidFill>
                    <w14:schemeClr w14:val="tx1"/>
                  </w14:solidFill>
                </w14:textFill>
              </w:rPr>
            </w:pPr>
          </w:p>
          <w:p w14:paraId="40821A6D">
            <w:pPr>
              <w:pStyle w:val="89"/>
              <w:framePr w:hSpace="0" w:wrap="auto" w:vAnchor="margin" w:hAnchor="text" w:yAlign="inline"/>
              <w:spacing w:after="50" w:line="360" w:lineRule="auto"/>
              <w:rPr>
                <w:rFonts w:hint="eastAsia" w:hAnsi="宋体" w:cs="宋体"/>
                <w:color w:val="000000" w:themeColor="text1"/>
                <w:sz w:val="21"/>
                <w:szCs w:val="21"/>
                <w14:textFill>
                  <w14:solidFill>
                    <w14:schemeClr w14:val="tx1"/>
                  </w14:solidFill>
                </w14:textFill>
              </w:rPr>
            </w:pPr>
          </w:p>
        </w:tc>
        <w:tc>
          <w:tcPr>
            <w:tcW w:w="4565" w:type="dxa"/>
          </w:tcPr>
          <w:p w14:paraId="432BF9D1">
            <w:pPr>
              <w:pStyle w:val="89"/>
              <w:framePr w:hSpace="0" w:wrap="auto" w:vAnchor="margin" w:hAnchor="text" w:yAlign="inline"/>
              <w:spacing w:after="50"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承包人：（公章）</w:t>
            </w:r>
          </w:p>
          <w:p w14:paraId="15E4F900">
            <w:pPr>
              <w:pStyle w:val="89"/>
              <w:framePr w:hSpace="0" w:wrap="auto" w:vAnchor="margin" w:hAnchor="text" w:yAlign="inline"/>
              <w:spacing w:after="50" w:line="360" w:lineRule="auto"/>
              <w:rPr>
                <w:rFonts w:hint="eastAsia" w:hAnsi="宋体" w:cs="宋体"/>
                <w:color w:val="000000" w:themeColor="text1"/>
                <w:sz w:val="21"/>
                <w:szCs w:val="21"/>
                <w14:textFill>
                  <w14:solidFill>
                    <w14:schemeClr w14:val="tx1"/>
                  </w14:solidFill>
                </w14:textFill>
              </w:rPr>
            </w:pPr>
          </w:p>
          <w:p w14:paraId="44CF7424">
            <w:pPr>
              <w:pStyle w:val="89"/>
              <w:framePr w:hSpace="0" w:wrap="auto" w:vAnchor="margin" w:hAnchor="text" w:yAlign="inline"/>
              <w:spacing w:after="50" w:line="360" w:lineRule="auto"/>
              <w:rPr>
                <w:rFonts w:hint="eastAsia" w:hAnsi="宋体" w:cs="宋体"/>
                <w:color w:val="000000" w:themeColor="text1"/>
                <w:sz w:val="21"/>
                <w:szCs w:val="21"/>
                <w14:textFill>
                  <w14:solidFill>
                    <w14:schemeClr w14:val="tx1"/>
                  </w14:solidFill>
                </w14:textFill>
              </w:rPr>
            </w:pPr>
          </w:p>
        </w:tc>
      </w:tr>
      <w:tr w14:paraId="7BC81FC4">
        <w:tblPrEx>
          <w:tblCellMar>
            <w:top w:w="0" w:type="dxa"/>
            <w:left w:w="108" w:type="dxa"/>
            <w:bottom w:w="0" w:type="dxa"/>
            <w:right w:w="108" w:type="dxa"/>
          </w:tblCellMar>
        </w:tblPrEx>
        <w:tc>
          <w:tcPr>
            <w:tcW w:w="4507" w:type="dxa"/>
          </w:tcPr>
          <w:p w14:paraId="08CF4184">
            <w:pPr>
              <w:pStyle w:val="89"/>
              <w:framePr w:hSpace="0" w:wrap="auto" w:vAnchor="margin" w:hAnchor="text" w:yAlign="inline"/>
              <w:spacing w:after="50"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法定代表人或其委托代理人：</w:t>
            </w:r>
          </w:p>
          <w:p w14:paraId="66499135">
            <w:pPr>
              <w:pStyle w:val="89"/>
              <w:framePr w:hSpace="0" w:wrap="auto" w:vAnchor="margin" w:hAnchor="text" w:yAlign="inline"/>
              <w:spacing w:after="50"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（签字）</w:t>
            </w:r>
          </w:p>
          <w:p w14:paraId="30E55634">
            <w:pPr>
              <w:pStyle w:val="89"/>
              <w:framePr w:hSpace="0" w:wrap="auto" w:vAnchor="margin" w:hAnchor="text" w:yAlign="inline"/>
              <w:spacing w:after="50" w:line="360" w:lineRule="auto"/>
              <w:rPr>
                <w:rFonts w:hint="eastAsia" w:hAnsi="宋体" w:cs="宋体"/>
                <w:color w:val="000000" w:themeColor="text1"/>
                <w:sz w:val="21"/>
                <w:szCs w:val="21"/>
                <w14:textFill>
                  <w14:solidFill>
                    <w14:schemeClr w14:val="tx1"/>
                  </w14:solidFill>
                </w14:textFill>
              </w:rPr>
            </w:pPr>
          </w:p>
        </w:tc>
        <w:tc>
          <w:tcPr>
            <w:tcW w:w="4565" w:type="dxa"/>
          </w:tcPr>
          <w:p w14:paraId="31E82EA8">
            <w:pPr>
              <w:pStyle w:val="89"/>
              <w:framePr w:hSpace="0" w:wrap="auto" w:vAnchor="margin" w:hAnchor="text" w:yAlign="inline"/>
              <w:spacing w:after="50"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法定代表人或其委托代理人：</w:t>
            </w:r>
          </w:p>
          <w:p w14:paraId="0D5D7372">
            <w:pPr>
              <w:pStyle w:val="89"/>
              <w:framePr w:hSpace="0" w:wrap="auto" w:vAnchor="margin" w:hAnchor="text" w:yAlign="inline"/>
              <w:spacing w:after="50"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（签字）</w:t>
            </w:r>
          </w:p>
          <w:p w14:paraId="3013F340">
            <w:pPr>
              <w:pStyle w:val="89"/>
              <w:framePr w:hSpace="0" w:wrap="auto" w:vAnchor="margin" w:hAnchor="text" w:yAlign="inline"/>
              <w:spacing w:after="50" w:line="360" w:lineRule="auto"/>
              <w:rPr>
                <w:rFonts w:hint="eastAsia" w:hAnsi="宋体" w:cs="宋体"/>
                <w:color w:val="000000" w:themeColor="text1"/>
                <w:sz w:val="21"/>
                <w:szCs w:val="21"/>
                <w14:textFill>
                  <w14:solidFill>
                    <w14:schemeClr w14:val="tx1"/>
                  </w14:solidFill>
                </w14:textFill>
              </w:rPr>
            </w:pPr>
          </w:p>
        </w:tc>
      </w:tr>
      <w:tr w14:paraId="45B1660E">
        <w:tblPrEx>
          <w:tblCellMar>
            <w:top w:w="0" w:type="dxa"/>
            <w:left w:w="108" w:type="dxa"/>
            <w:bottom w:w="0" w:type="dxa"/>
            <w:right w:w="108" w:type="dxa"/>
          </w:tblCellMar>
        </w:tblPrEx>
        <w:tc>
          <w:tcPr>
            <w:tcW w:w="4507" w:type="dxa"/>
          </w:tcPr>
          <w:p w14:paraId="316275F9">
            <w:pPr>
              <w:pStyle w:val="89"/>
              <w:framePr w:hSpace="0" w:wrap="auto" w:vAnchor="margin" w:hAnchor="text" w:yAlign="inline"/>
              <w:spacing w:after="50"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统一社会信用代码：</w:t>
            </w:r>
            <w:r>
              <w:rPr>
                <w:rFonts w:hint="eastAsia" w:hAnsi="宋体" w:cs="宋体"/>
                <w:color w:val="000000" w:themeColor="text1"/>
                <w:kern w:val="0"/>
                <w:sz w:val="21"/>
                <w:szCs w:val="21"/>
                <w:u w:val="single"/>
                <w14:textFill>
                  <w14:solidFill>
                    <w14:schemeClr w14:val="tx1"/>
                  </w14:solidFill>
                </w14:textFill>
              </w:rPr>
              <w:t xml:space="preserve">            </w:t>
            </w:r>
          </w:p>
          <w:p w14:paraId="4BF3516A">
            <w:pPr>
              <w:pStyle w:val="89"/>
              <w:framePr w:hSpace="0" w:wrap="auto" w:vAnchor="margin" w:hAnchor="text" w:yAlign="inline"/>
              <w:spacing w:after="50"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地址：</w:t>
            </w:r>
            <w:r>
              <w:rPr>
                <w:rFonts w:hint="eastAsia" w:hAnsi="宋体" w:cs="宋体"/>
                <w:color w:val="000000" w:themeColor="text1"/>
                <w:kern w:val="0"/>
                <w:sz w:val="21"/>
                <w:szCs w:val="21"/>
                <w:u w:val="single"/>
                <w14:textFill>
                  <w14:solidFill>
                    <w14:schemeClr w14:val="tx1"/>
                  </w14:solidFill>
                </w14:textFill>
              </w:rPr>
              <w:t xml:space="preserve">                       </w:t>
            </w:r>
          </w:p>
          <w:p w14:paraId="13FF6405">
            <w:pPr>
              <w:pStyle w:val="89"/>
              <w:framePr w:hSpace="0" w:wrap="auto" w:vAnchor="margin" w:hAnchor="text" w:yAlign="inline"/>
              <w:spacing w:after="50"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邮政编码：</w:t>
            </w:r>
            <w:r>
              <w:rPr>
                <w:rFonts w:hint="eastAsia" w:hAnsi="宋体" w:cs="宋体"/>
                <w:color w:val="000000" w:themeColor="text1"/>
                <w:kern w:val="0"/>
                <w:sz w:val="21"/>
                <w:szCs w:val="21"/>
                <w:u w:val="single"/>
                <w14:textFill>
                  <w14:solidFill>
                    <w14:schemeClr w14:val="tx1"/>
                  </w14:solidFill>
                </w14:textFill>
              </w:rPr>
              <w:t xml:space="preserve">                      </w:t>
            </w:r>
          </w:p>
          <w:p w14:paraId="42A69AA7">
            <w:pPr>
              <w:pStyle w:val="89"/>
              <w:framePr w:hSpace="0" w:wrap="auto" w:vAnchor="margin" w:hAnchor="text" w:yAlign="inline"/>
              <w:spacing w:after="50"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法定代表人：</w:t>
            </w:r>
            <w:r>
              <w:rPr>
                <w:rFonts w:hint="eastAsia" w:hAnsi="宋体" w:cs="宋体"/>
                <w:color w:val="000000" w:themeColor="text1"/>
                <w:kern w:val="0"/>
                <w:sz w:val="21"/>
                <w:szCs w:val="21"/>
                <w:u w:val="single"/>
                <w14:textFill>
                  <w14:solidFill>
                    <w14:schemeClr w14:val="tx1"/>
                  </w14:solidFill>
                </w14:textFill>
              </w:rPr>
              <w:t xml:space="preserve">                 </w:t>
            </w:r>
          </w:p>
          <w:p w14:paraId="14A15867">
            <w:pPr>
              <w:pStyle w:val="89"/>
              <w:framePr w:hSpace="0" w:wrap="auto" w:vAnchor="margin" w:hAnchor="text" w:yAlign="inline"/>
              <w:spacing w:after="50"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委托代理人：</w:t>
            </w:r>
            <w:r>
              <w:rPr>
                <w:rFonts w:hint="eastAsia" w:hAnsi="宋体" w:cs="宋体"/>
                <w:color w:val="000000" w:themeColor="text1"/>
                <w:kern w:val="0"/>
                <w:sz w:val="21"/>
                <w:szCs w:val="21"/>
                <w:u w:val="single"/>
                <w14:textFill>
                  <w14:solidFill>
                    <w14:schemeClr w14:val="tx1"/>
                  </w14:solidFill>
                </w14:textFill>
              </w:rPr>
              <w:t xml:space="preserve">                 </w:t>
            </w:r>
          </w:p>
          <w:p w14:paraId="0DE7CD25">
            <w:pPr>
              <w:pStyle w:val="89"/>
              <w:framePr w:hSpace="0" w:wrap="auto" w:vAnchor="margin" w:hAnchor="text" w:yAlign="inline"/>
              <w:spacing w:after="50"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电话：</w:t>
            </w:r>
            <w:r>
              <w:rPr>
                <w:rFonts w:hint="eastAsia" w:hAnsi="宋体" w:cs="宋体"/>
                <w:color w:val="000000" w:themeColor="text1"/>
                <w:kern w:val="0"/>
                <w:sz w:val="21"/>
                <w:szCs w:val="21"/>
                <w:u w:val="single"/>
                <w14:textFill>
                  <w14:solidFill>
                    <w14:schemeClr w14:val="tx1"/>
                  </w14:solidFill>
                </w14:textFill>
              </w:rPr>
              <w:t xml:space="preserve">                       </w:t>
            </w:r>
          </w:p>
          <w:p w14:paraId="5B7DD90E">
            <w:pPr>
              <w:pStyle w:val="89"/>
              <w:framePr w:hSpace="0" w:wrap="auto" w:vAnchor="margin" w:hAnchor="text" w:yAlign="inline"/>
              <w:spacing w:after="50"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传真： </w:t>
            </w:r>
            <w:r>
              <w:rPr>
                <w:rFonts w:hint="eastAsia" w:hAnsi="宋体" w:cs="宋体"/>
                <w:color w:val="000000" w:themeColor="text1"/>
                <w:kern w:val="0"/>
                <w:sz w:val="21"/>
                <w:szCs w:val="21"/>
                <w:u w:val="single"/>
                <w14:textFill>
                  <w14:solidFill>
                    <w14:schemeClr w14:val="tx1"/>
                  </w14:solidFill>
                </w14:textFill>
              </w:rPr>
              <w:t xml:space="preserve">                      </w:t>
            </w:r>
          </w:p>
          <w:p w14:paraId="39F1CF03">
            <w:pPr>
              <w:pStyle w:val="89"/>
              <w:framePr w:hSpace="0" w:wrap="auto" w:vAnchor="margin" w:hAnchor="text" w:yAlign="inline"/>
              <w:spacing w:after="50"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电子信箱：</w:t>
            </w:r>
            <w:r>
              <w:rPr>
                <w:rFonts w:hint="eastAsia" w:hAnsi="宋体" w:cs="宋体"/>
                <w:color w:val="000000" w:themeColor="text1"/>
                <w:kern w:val="0"/>
                <w:sz w:val="21"/>
                <w:szCs w:val="21"/>
                <w:u w:val="single"/>
                <w14:textFill>
                  <w14:solidFill>
                    <w14:schemeClr w14:val="tx1"/>
                  </w14:solidFill>
                </w14:textFill>
              </w:rPr>
              <w:t xml:space="preserve">                    </w:t>
            </w:r>
          </w:p>
          <w:p w14:paraId="23F4420E">
            <w:pPr>
              <w:pStyle w:val="89"/>
              <w:framePr w:hSpace="0" w:wrap="auto" w:vAnchor="margin" w:hAnchor="text" w:yAlign="inline"/>
              <w:spacing w:after="50"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开户银行：</w:t>
            </w:r>
            <w:r>
              <w:rPr>
                <w:rFonts w:hint="eastAsia" w:hAnsi="宋体" w:cs="宋体"/>
                <w:color w:val="000000" w:themeColor="text1"/>
                <w:kern w:val="0"/>
                <w:sz w:val="21"/>
                <w:szCs w:val="21"/>
                <w:u w:val="single"/>
                <w14:textFill>
                  <w14:solidFill>
                    <w14:schemeClr w14:val="tx1"/>
                  </w14:solidFill>
                </w14:textFill>
              </w:rPr>
              <w:t xml:space="preserve">                   </w:t>
            </w:r>
          </w:p>
          <w:p w14:paraId="3805ABB6">
            <w:pPr>
              <w:pStyle w:val="89"/>
              <w:framePr w:hSpace="0" w:wrap="auto" w:vAnchor="margin" w:hAnchor="text" w:yAlign="inline"/>
              <w:spacing w:after="50"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账号：</w:t>
            </w:r>
            <w:r>
              <w:rPr>
                <w:rFonts w:hint="eastAsia" w:hAnsi="宋体" w:cs="宋体"/>
                <w:color w:val="000000" w:themeColor="text1"/>
                <w:kern w:val="0"/>
                <w:sz w:val="21"/>
                <w:szCs w:val="21"/>
                <w:u w:val="single"/>
                <w14:textFill>
                  <w14:solidFill>
                    <w14:schemeClr w14:val="tx1"/>
                  </w14:solidFill>
                </w14:textFill>
              </w:rPr>
              <w:t xml:space="preserve">                       </w:t>
            </w:r>
          </w:p>
        </w:tc>
        <w:tc>
          <w:tcPr>
            <w:tcW w:w="4565" w:type="dxa"/>
          </w:tcPr>
          <w:p w14:paraId="4B06565E">
            <w:pPr>
              <w:pStyle w:val="89"/>
              <w:framePr w:hSpace="0" w:wrap="auto" w:vAnchor="margin" w:hAnchor="text" w:yAlign="inline"/>
              <w:spacing w:after="50"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统一社会信用代码：</w:t>
            </w:r>
            <w:r>
              <w:rPr>
                <w:rFonts w:hint="eastAsia" w:hAnsi="宋体" w:cs="宋体"/>
                <w:color w:val="000000" w:themeColor="text1"/>
                <w:kern w:val="0"/>
                <w:sz w:val="21"/>
                <w:szCs w:val="21"/>
                <w:u w:val="single"/>
                <w14:textFill>
                  <w14:solidFill>
                    <w14:schemeClr w14:val="tx1"/>
                  </w14:solidFill>
                </w14:textFill>
              </w:rPr>
              <w:t xml:space="preserve">            </w:t>
            </w:r>
          </w:p>
          <w:p w14:paraId="43E43609">
            <w:pPr>
              <w:pStyle w:val="89"/>
              <w:framePr w:hSpace="0" w:wrap="auto" w:vAnchor="margin" w:hAnchor="text" w:yAlign="inline"/>
              <w:spacing w:after="50"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地址：</w:t>
            </w:r>
            <w:r>
              <w:rPr>
                <w:rFonts w:hint="eastAsia" w:hAnsi="宋体" w:cs="宋体"/>
                <w:color w:val="000000" w:themeColor="text1"/>
                <w:kern w:val="0"/>
                <w:sz w:val="21"/>
                <w:szCs w:val="21"/>
                <w:u w:val="single"/>
                <w14:textFill>
                  <w14:solidFill>
                    <w14:schemeClr w14:val="tx1"/>
                  </w14:solidFill>
                </w14:textFill>
              </w:rPr>
              <w:t xml:space="preserve">                        </w:t>
            </w:r>
          </w:p>
          <w:p w14:paraId="596E9E12">
            <w:pPr>
              <w:pStyle w:val="89"/>
              <w:framePr w:hSpace="0" w:wrap="auto" w:vAnchor="margin" w:hAnchor="text" w:yAlign="inline"/>
              <w:spacing w:after="50"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邮政编码：</w:t>
            </w:r>
            <w:r>
              <w:rPr>
                <w:rFonts w:hint="eastAsia" w:hAnsi="宋体" w:cs="宋体"/>
                <w:color w:val="000000" w:themeColor="text1"/>
                <w:kern w:val="0"/>
                <w:sz w:val="21"/>
                <w:szCs w:val="21"/>
                <w:u w:val="single"/>
                <w14:textFill>
                  <w14:solidFill>
                    <w14:schemeClr w14:val="tx1"/>
                  </w14:solidFill>
                </w14:textFill>
              </w:rPr>
              <w:t xml:space="preserve">                      </w:t>
            </w:r>
          </w:p>
          <w:p w14:paraId="39429891">
            <w:pPr>
              <w:pStyle w:val="89"/>
              <w:framePr w:hSpace="0" w:wrap="auto" w:vAnchor="margin" w:hAnchor="text" w:yAlign="inline"/>
              <w:spacing w:after="50"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法定代表人：</w:t>
            </w:r>
            <w:r>
              <w:rPr>
                <w:rFonts w:hint="eastAsia" w:hAnsi="宋体" w:cs="宋体"/>
                <w:color w:val="000000" w:themeColor="text1"/>
                <w:kern w:val="0"/>
                <w:sz w:val="21"/>
                <w:szCs w:val="21"/>
                <w:u w:val="single"/>
                <w14:textFill>
                  <w14:solidFill>
                    <w14:schemeClr w14:val="tx1"/>
                  </w14:solidFill>
                </w14:textFill>
              </w:rPr>
              <w:t xml:space="preserve">                  </w:t>
            </w:r>
          </w:p>
          <w:p w14:paraId="488970E5">
            <w:pPr>
              <w:pStyle w:val="89"/>
              <w:framePr w:hSpace="0" w:wrap="auto" w:vAnchor="margin" w:hAnchor="text" w:yAlign="inline"/>
              <w:spacing w:after="50"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委托代理人：</w:t>
            </w:r>
            <w:r>
              <w:rPr>
                <w:rFonts w:hint="eastAsia" w:hAnsi="宋体" w:cs="宋体"/>
                <w:color w:val="000000" w:themeColor="text1"/>
                <w:kern w:val="0"/>
                <w:sz w:val="21"/>
                <w:szCs w:val="21"/>
                <w:u w:val="single"/>
                <w14:textFill>
                  <w14:solidFill>
                    <w14:schemeClr w14:val="tx1"/>
                  </w14:solidFill>
                </w14:textFill>
              </w:rPr>
              <w:t xml:space="preserve">                 </w:t>
            </w:r>
          </w:p>
          <w:p w14:paraId="5CBDBAAC">
            <w:pPr>
              <w:pStyle w:val="89"/>
              <w:framePr w:hSpace="0" w:wrap="auto" w:vAnchor="margin" w:hAnchor="text" w:yAlign="inline"/>
              <w:spacing w:after="50"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电话：</w:t>
            </w:r>
            <w:r>
              <w:rPr>
                <w:rFonts w:hint="eastAsia" w:hAnsi="宋体" w:cs="宋体"/>
                <w:color w:val="000000" w:themeColor="text1"/>
                <w:kern w:val="0"/>
                <w:sz w:val="21"/>
                <w:szCs w:val="21"/>
                <w:u w:val="single"/>
                <w14:textFill>
                  <w14:solidFill>
                    <w14:schemeClr w14:val="tx1"/>
                  </w14:solidFill>
                </w14:textFill>
              </w:rPr>
              <w:t xml:space="preserve">                       </w:t>
            </w:r>
          </w:p>
          <w:p w14:paraId="0BC35B95">
            <w:pPr>
              <w:pStyle w:val="89"/>
              <w:framePr w:hSpace="0" w:wrap="auto" w:vAnchor="margin" w:hAnchor="text" w:yAlign="inline"/>
              <w:spacing w:after="50"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传真：</w:t>
            </w:r>
            <w:r>
              <w:rPr>
                <w:rFonts w:hint="eastAsia" w:hAnsi="宋体" w:cs="宋体"/>
                <w:color w:val="000000" w:themeColor="text1"/>
                <w:kern w:val="0"/>
                <w:sz w:val="21"/>
                <w:szCs w:val="21"/>
                <w:u w:val="single"/>
                <w14:textFill>
                  <w14:solidFill>
                    <w14:schemeClr w14:val="tx1"/>
                  </w14:solidFill>
                </w14:textFill>
              </w:rPr>
              <w:t xml:space="preserve">                       </w:t>
            </w:r>
          </w:p>
          <w:p w14:paraId="12BA127C">
            <w:pPr>
              <w:pStyle w:val="89"/>
              <w:framePr w:hSpace="0" w:wrap="auto" w:vAnchor="margin" w:hAnchor="text" w:yAlign="inline"/>
              <w:spacing w:after="50"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电子信箱：</w:t>
            </w:r>
            <w:r>
              <w:rPr>
                <w:rFonts w:hint="eastAsia" w:hAnsi="宋体" w:cs="宋体"/>
                <w:color w:val="000000" w:themeColor="text1"/>
                <w:kern w:val="0"/>
                <w:sz w:val="21"/>
                <w:szCs w:val="21"/>
                <w:u w:val="single"/>
                <w14:textFill>
                  <w14:solidFill>
                    <w14:schemeClr w14:val="tx1"/>
                  </w14:solidFill>
                </w14:textFill>
              </w:rPr>
              <w:t xml:space="preserve">                   </w:t>
            </w:r>
          </w:p>
          <w:p w14:paraId="5B5165E4">
            <w:pPr>
              <w:pStyle w:val="89"/>
              <w:framePr w:hSpace="0" w:wrap="auto" w:vAnchor="margin" w:hAnchor="text" w:yAlign="inline"/>
              <w:spacing w:after="50"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开户银行：</w:t>
            </w:r>
            <w:r>
              <w:rPr>
                <w:rFonts w:hint="eastAsia" w:hAnsi="宋体" w:cs="宋体"/>
                <w:color w:val="000000" w:themeColor="text1"/>
                <w:kern w:val="0"/>
                <w:sz w:val="21"/>
                <w:szCs w:val="21"/>
                <w:u w:val="single"/>
                <w14:textFill>
                  <w14:solidFill>
                    <w14:schemeClr w14:val="tx1"/>
                  </w14:solidFill>
                </w14:textFill>
              </w:rPr>
              <w:t xml:space="preserve">                   </w:t>
            </w:r>
          </w:p>
          <w:p w14:paraId="2914A483">
            <w:pPr>
              <w:pStyle w:val="89"/>
              <w:framePr w:hSpace="0" w:wrap="auto" w:vAnchor="margin" w:hAnchor="text" w:yAlign="inline"/>
              <w:spacing w:after="50"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账号：</w:t>
            </w:r>
            <w:r>
              <w:rPr>
                <w:rFonts w:hint="eastAsia" w:hAnsi="宋体" w:cs="宋体"/>
                <w:color w:val="000000" w:themeColor="text1"/>
                <w:sz w:val="21"/>
                <w:szCs w:val="21"/>
                <w:u w:val="single"/>
                <w14:textFill>
                  <w14:solidFill>
                    <w14:schemeClr w14:val="tx1"/>
                  </w14:solidFill>
                </w14:textFill>
              </w:rPr>
              <w:t xml:space="preserve">                       </w:t>
            </w:r>
          </w:p>
        </w:tc>
      </w:tr>
    </w:tbl>
    <w:p w14:paraId="3E6B5AE2">
      <w:pPr>
        <w:rPr>
          <w:rFonts w:hint="eastAsia" w:ascii="宋体" w:hAnsi="宋体" w:cs="宋体"/>
          <w:color w:val="000000" w:themeColor="text1"/>
          <w:szCs w:val="21"/>
          <w14:textFill>
            <w14:solidFill>
              <w14:schemeClr w14:val="tx1"/>
            </w14:solidFill>
          </w14:textFill>
        </w:rPr>
        <w:sectPr>
          <w:footerReference r:id="rId9" w:type="default"/>
          <w:type w:val="continuous"/>
          <w:pgSz w:w="11906" w:h="16838"/>
          <w:pgMar w:top="1440" w:right="1800" w:bottom="1440" w:left="1800" w:header="720" w:footer="850" w:gutter="0"/>
          <w:pgNumType w:fmt="decimal"/>
          <w:cols w:space="720" w:num="1"/>
          <w:docGrid w:linePitch="326" w:charSpace="0"/>
        </w:sectPr>
      </w:pPr>
      <w:r>
        <w:rPr>
          <w:rFonts w:hint="eastAsia" w:ascii="宋体" w:hAnsi="宋体" w:cs="宋体"/>
          <w:color w:val="000000" w:themeColor="text1"/>
          <w:szCs w:val="21"/>
          <w14:textFill>
            <w14:solidFill>
              <w14:schemeClr w14:val="tx1"/>
            </w14:solidFill>
          </w14:textFill>
        </w:rPr>
        <w:tab/>
      </w:r>
    </w:p>
    <w:p w14:paraId="2A1441DF">
      <w:pPr>
        <w:pStyle w:val="2"/>
        <w:jc w:val="center"/>
        <w:rPr>
          <w:rFonts w:hint="eastAsia" w:ascii="宋体" w:hAnsi="宋体" w:cs="宋体"/>
          <w:color w:val="000000" w:themeColor="text1"/>
          <w14:textFill>
            <w14:solidFill>
              <w14:schemeClr w14:val="tx1"/>
            </w14:solidFill>
          </w14:textFill>
        </w:rPr>
      </w:pPr>
      <w:bookmarkStart w:id="879" w:name="_Toc100906995"/>
      <w:bookmarkStart w:id="880" w:name="_Toc100907321"/>
      <w:bookmarkStart w:id="881" w:name="_Toc22958"/>
      <w:r>
        <w:rPr>
          <w:rFonts w:hint="eastAsia" w:ascii="宋体" w:hAnsi="宋体" w:cs="宋体"/>
          <w:color w:val="000000" w:themeColor="text1"/>
          <w14:textFill>
            <w14:solidFill>
              <w14:schemeClr w14:val="tx1"/>
            </w14:solidFill>
          </w14:textFill>
        </w:rPr>
        <w:t>第二部分 通用合同条件</w:t>
      </w:r>
      <w:bookmarkEnd w:id="879"/>
      <w:bookmarkEnd w:id="880"/>
      <w:bookmarkEnd w:id="881"/>
    </w:p>
    <w:p w14:paraId="3A8EAB4F">
      <w:pPr>
        <w:pStyle w:val="130"/>
        <w:wordWrap/>
        <w:topLinePunct w:val="0"/>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882" w:name="_Toc12084"/>
      <w:bookmarkStart w:id="883" w:name="_Toc100907322"/>
      <w:bookmarkStart w:id="884" w:name="_Toc100906996"/>
      <w:r>
        <w:rPr>
          <w:rFonts w:hint="eastAsia" w:ascii="宋体" w:hAnsi="宋体" w:eastAsia="宋体" w:cs="宋体"/>
          <w:b w:val="0"/>
          <w:bCs/>
          <w:color w:val="000000" w:themeColor="text1"/>
          <w:sz w:val="21"/>
          <w:szCs w:val="21"/>
          <w14:textFill>
            <w14:solidFill>
              <w14:schemeClr w14:val="tx1"/>
            </w14:solidFill>
          </w14:textFill>
        </w:rPr>
        <w:t>第1条 一般约定</w:t>
      </w:r>
      <w:bookmarkEnd w:id="882"/>
      <w:bookmarkEnd w:id="883"/>
      <w:bookmarkEnd w:id="884"/>
    </w:p>
    <w:p w14:paraId="46AC8E6B">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885" w:name="_Toc100906997"/>
      <w:bookmarkStart w:id="886" w:name="_Toc100907323"/>
      <w:bookmarkStart w:id="887" w:name="_Toc22942"/>
      <w:r>
        <w:rPr>
          <w:rFonts w:hint="eastAsia" w:ascii="宋体" w:hAnsi="宋体" w:eastAsia="宋体" w:cs="宋体"/>
          <w:b w:val="0"/>
          <w:bCs/>
          <w:color w:val="000000" w:themeColor="text1"/>
          <w:sz w:val="21"/>
          <w:szCs w:val="21"/>
          <w14:textFill>
            <w14:solidFill>
              <w14:schemeClr w14:val="tx1"/>
            </w14:solidFill>
          </w14:textFill>
        </w:rPr>
        <w:t>1.1 词语定义和解释</w:t>
      </w:r>
      <w:bookmarkEnd w:id="885"/>
      <w:bookmarkEnd w:id="886"/>
      <w:bookmarkEnd w:id="887"/>
    </w:p>
    <w:p w14:paraId="43E259D4">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合同协议书、通用合同条件、专用合同条件中的下列词语应具有本款所赋予的含义：</w:t>
      </w:r>
    </w:p>
    <w:p w14:paraId="0807BD43">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1.1.1 合同</w:t>
      </w:r>
    </w:p>
    <w:p w14:paraId="75D9570F">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1.1.1.1 合同：是指根据法律规定和合同当事人约定具有约束力的文件，构成合同的文件包括合同协议书、中标通知书（如果有）、投标函及其附录（如果有）、专用合同条件及其附件、通用合同条件、《发包人要求》、承包人建议书、价格清单以及双方约定的其他合同文件。</w:t>
      </w:r>
    </w:p>
    <w:p w14:paraId="2F8BD559">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1.1.1.2 合同协议书：是指构成合同的由发包人和承包人共同签署的称为“合同协议书”的书面文件。</w:t>
      </w:r>
    </w:p>
    <w:p w14:paraId="172CA407">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1.1.1.3 中标通知书：是指构成合同的由发包人通知承包人中标的书面文件。中标通知书随附的澄清、说明、补正事项纪要等，是中标通知书的组成部分。</w:t>
      </w:r>
    </w:p>
    <w:p w14:paraId="721B98EE">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1.1.1.4 投标函：是指构成合同的由承包人填写并签署的用于投标的称为“投标函”的文件。</w:t>
      </w:r>
    </w:p>
    <w:p w14:paraId="3866B1AE">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1.1.1.5 投标函附录：是指构成合同的附在投标函后的称为“投标函附录”的文件。</w:t>
      </w:r>
    </w:p>
    <w:p w14:paraId="14AD8A9F">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1.1.1.6 《发包人要求》：指构成合同文件组成部分的名为《发包人要求》的文件，其中列明工程的目的、范围、设计与其他技术标准和要求，以及合同双方当事人约定对其所作的修改或补充。</w:t>
      </w:r>
    </w:p>
    <w:p w14:paraId="0136B706">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1.1.1.7 项目清单：是指发包人提供的载明工程总承包项目勘察费（如果有）、设计费、建筑安装工程费、设备购置费、暂估价、暂列金额和双方约定的其他费用的名称和相应数量等内容的项目明细。</w:t>
      </w:r>
    </w:p>
    <w:p w14:paraId="7E67A6B9">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1.1.1.8 价格清单：指构成合同文件组成部分的由承包人按发包人提供的项目清单规定的格式和要求填写并标明价格的清单。</w:t>
      </w:r>
    </w:p>
    <w:p w14:paraId="473949DC">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1.1.1.9 承包人建议书：指构成合同文件组成部分的名为承包人建议书的文件。承包人建议书由承包人随投标函一起提交。</w:t>
      </w:r>
    </w:p>
    <w:p w14:paraId="5945AFA1">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1.1.1.10 其他合同文件：是指经合同当事人约定的与工程实施有关的具有合同约束力的文件或书面协议。合同当事人可以在专用合同条件中进行约定。</w:t>
      </w:r>
    </w:p>
    <w:p w14:paraId="3D8F0BE4">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1.1.2 合同当事人及其他相关方</w:t>
      </w:r>
    </w:p>
    <w:p w14:paraId="0F1CEC6F">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1.1.2.1 合同当事人：是指发包人和（或）承包人。</w:t>
      </w:r>
    </w:p>
    <w:p w14:paraId="664C15E3">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1.1.2.2 发包人：是指与承包人订立合同协议书的当事人及取得该当事人资格的合法继受人。本合同中“因发包人原因”里的“发包人”包括发包人及所有发包人人员。</w:t>
      </w:r>
    </w:p>
    <w:p w14:paraId="24E987A3">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1.1.2.3 承包人：是指与发包人订立合同协议书的当事人及取得该当事人资格的合法继受人。</w:t>
      </w:r>
    </w:p>
    <w:p w14:paraId="4985E5CA">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1.1.2.4 联合体：是指经发包人同意由两个或两个以上法人或者其他组织组成的，作为承包人的临时机构。</w:t>
      </w:r>
    </w:p>
    <w:p w14:paraId="45132050">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1.1.2.5 发包人代表：是指由发包人任命并派驻工作现场，在发包人授权范围内行使发包人权利和履行发包人义务的人。</w:t>
      </w:r>
    </w:p>
    <w:p w14:paraId="14202944">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1.1.2.6 工程师：是指在专用合同条件中指明的，受发包人委托按照法律规定和发包人的授权进行合同履行管理、工程监督管理等工作的法人或其他组织；该法人或其他组织应雇用一名具有相应执业资格和职业能力的自然人作为工程师代表，并授予其根据本合同代表工程师行事的权利。</w:t>
      </w:r>
    </w:p>
    <w:p w14:paraId="40C2F93E">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1.1.2.7 工程总承包项目经理：是指由承包人任命的，在承包人授权范围内负责合同履行的管理，且按照法律规定具有相应资格的项目负责人。</w:t>
      </w:r>
    </w:p>
    <w:p w14:paraId="71525601">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1.1.2.8 设计负责人：是指承包人指定负责组织、指导、协调设计工作并具有相应资格的人员。</w:t>
      </w:r>
    </w:p>
    <w:p w14:paraId="00841813">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1.1.2.9 采购负责人：是指承包人指定负责组织、指导、协调采购工作的人员。</w:t>
      </w:r>
    </w:p>
    <w:p w14:paraId="7600B827">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1.1.2.10 施工负责人：是指承包人指定负责组织、指导、协调施工工作并具有相应资格的人员。</w:t>
      </w:r>
    </w:p>
    <w:p w14:paraId="2BA4889D">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1.1.2.11 分包人：是指按照法律规定和合同约定，分包部分工程或工作，并与承包人订立分包合同的具有相应资质或资格的法人或其他组织。</w:t>
      </w:r>
    </w:p>
    <w:p w14:paraId="664F5B33">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1.1.3 工程和设备</w:t>
      </w:r>
    </w:p>
    <w:p w14:paraId="2FDC602F">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1.1.3.1 工程：是指与合同协议书中工程承包范围对应的永久工程和（或）临时工程。</w:t>
      </w:r>
    </w:p>
    <w:p w14:paraId="0B150CB5">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1.1.3.2 工程实施：是指进行工程的设计、采购、施工和竣工以及对工程任何缺陷的修复。</w:t>
      </w:r>
    </w:p>
    <w:p w14:paraId="32C371D1">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1.1.3.3 永久工程：是指按合同约定建造并移交给发包人的工程，包括工程设备。</w:t>
      </w:r>
    </w:p>
    <w:p w14:paraId="6FD6231F">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1.1.3.4 临时工程：是指为完成合同约定的永久工程所修建的各类临时性工程，不包括施工设备。</w:t>
      </w:r>
    </w:p>
    <w:p w14:paraId="66395C1A">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1.1.3.5 单位/区段工程：是指在专用合同条件中指明特定范围的，能单独接收并使用的永久工程。</w:t>
      </w:r>
    </w:p>
    <w:p w14:paraId="35081C71">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1.1.3.6 工程设备：指构成永久工程的机电设备、仪器装置、运载工具及其他类似的设备和装置，包括其配件及备品、备件、易损易耗件等。</w:t>
      </w:r>
    </w:p>
    <w:p w14:paraId="133DEFCF">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1.1.3.7 施工设备：指为完成合同约定的各项工作所需的设备、器具和其他物品，不包括工程设备、临时工程和材料。</w:t>
      </w:r>
    </w:p>
    <w:p w14:paraId="290A7D84">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1.1.3.8 临时设施：指为完成合同约定的各项工作所服务的临时性生产和生活设施。</w:t>
      </w:r>
    </w:p>
    <w:p w14:paraId="1BEB0EBD">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1.1.3.9 施工现场：是指用于工程施工的场所，以及在专用合同条件中指明作为施工场所组成部分的其他场所，包括永久占地和临时占地。</w:t>
      </w:r>
    </w:p>
    <w:p w14:paraId="34A0F61B">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1.1.3.10 永久占地：是指专用合同条件中指明为实施工程需永久占用的土地。</w:t>
      </w:r>
    </w:p>
    <w:p w14:paraId="4485BC62">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1.1.3.11 临时占地：是指专用合同条件中指明为实施工程需临时占用的土地。</w:t>
      </w:r>
    </w:p>
    <w:p w14:paraId="2F1803BD">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1.1.4 日期和期限</w:t>
      </w:r>
    </w:p>
    <w:p w14:paraId="73525FA7">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1.1.4.1 开始工作通知：指工程师按第8.1.2项〔开始工作通知〕的约定通知承包人开始工作的函件。</w:t>
      </w:r>
    </w:p>
    <w:p w14:paraId="5C463152">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1.1.4.2 开始工作日期：包括计划开始工作日期和实际开始工作日期。计划开始工作日期是指合同协议书约定的开始工作日期；实际开始工作日期是指工程师按照第8.1款〔开始工作〕约定发出的符合法律规定的开始工作通知中载明的开始工作日期。</w:t>
      </w:r>
    </w:p>
    <w:p w14:paraId="591DEFDC">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1.1.4.3 开始现场施工日期：包括计划开始现场施工日期和实际开始现场施工日期。计划开始现场施工日期是指合同协议书约定的开始现场施工日期；实际开始现场施工日期是指工程师发出的符合法律规定的开工通知中载明的开始现场施工日期。</w:t>
      </w:r>
    </w:p>
    <w:p w14:paraId="41A7D302">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1.1.4.4 竣工日期：包括计划竣工日期和实际竣工日期。计划竣工日期是指合同协议书约定的竣工日期；实际竣工日期按照第8.2款[竣工日期]的约定确定。</w:t>
      </w:r>
    </w:p>
    <w:p w14:paraId="4031A05B">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1.1.4.5 工期：是指在合同协议书约定的承包人完成合同工作所需的期限，包括按照合同约定所作的期限变更及按合同约定承包人有权取得的工期延长。</w:t>
      </w:r>
    </w:p>
    <w:p w14:paraId="6F1281A3">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1.1.4.6 缺陷责任期：是指发包人预留工程质量保证金以保证承包人履行第11.3款[缺陷调查]下质量缺陷责任的期限。</w:t>
      </w:r>
    </w:p>
    <w:p w14:paraId="686677E2">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1.1.4.7 保修期：是指承包人按照合同约定和法律规定对工程质量承担保修责任的期限，该期限自缺陷责任期起算之日起计算。</w:t>
      </w:r>
    </w:p>
    <w:p w14:paraId="6BD9F131">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1.1.4.8 基准日期：招标发包的工程以投标截止日前28天的日期为基准日期，直接发包的工程以合同订立日前28天的日期为基准日期。</w:t>
      </w:r>
    </w:p>
    <w:p w14:paraId="7A429BD7">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1.1.4.9 天：除特别指明外，均指日历天。合同中按天计算时间的，开始当天不计入，从次日开始计算。期限最后一天的截止时间为当天24:00。</w:t>
      </w:r>
    </w:p>
    <w:p w14:paraId="51B2B147">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1.1.4.10 竣工试验：是指在工程竣工验收前，根据第9条[竣工试验]要求进行的试验。</w:t>
      </w:r>
    </w:p>
    <w:p w14:paraId="12DF5301">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1.1.4.11 竣工验收：是指承包人完成了合同约定的各项内容后，发包人按合同要求进行的验收。</w:t>
      </w:r>
    </w:p>
    <w:p w14:paraId="735BBDD3">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1.1.4.12 竣工后试验：是指在工程竣工验收后，根据第12条[竣工后试验]约定进行的试验。</w:t>
      </w:r>
    </w:p>
    <w:p w14:paraId="66EA04D3">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1.1.5 合同价格和费用</w:t>
      </w:r>
    </w:p>
    <w:p w14:paraId="258A4D5B">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1.1.5.1 签约合同价：是指发包人和承包人在合同协议书中确定的总金额，包括暂估价及暂列金额等。</w:t>
      </w:r>
    </w:p>
    <w:p w14:paraId="7AAD1720">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1.1.5.2 合同价格：是指发包人用于支付承包人按照合同约定完成承包范围内全部工作的金额，包括合同履行过程中按合同约定发生的价格变化。</w:t>
      </w:r>
    </w:p>
    <w:p w14:paraId="58299728">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1.1.5.3 费用：是指为履行合同所发生的或将要发生的所有合理开支，包括管理费和应分摊的其他费用，但不包括利润。</w:t>
      </w:r>
    </w:p>
    <w:p w14:paraId="23BC329B">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1.1.5.4 人工费：是指支付给直接从事建筑安装工程施工作业的建筑工人的各项费用。</w:t>
      </w:r>
    </w:p>
    <w:p w14:paraId="5B1E222A">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1.1.5.5 暂估价：是指发包人在项目清单中给定的，用于支付必然发生但暂时不能确定价格的专业服务、材料、设备、专业工程的金额。</w:t>
      </w:r>
    </w:p>
    <w:p w14:paraId="11010B70">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1.1.5.6 暂列金额：是指发包人在项目清单中给定的，用于在订立协议书时尚未确定或不可预见变更的设计、施工及其所需材料、工程设备、服务等的金额，包括以计日工方式支付的金额。</w:t>
      </w:r>
    </w:p>
    <w:p w14:paraId="4F4A864E">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1.1.5.7 计日工：是指合同履行过程中，承包人完成发包人提出的零星工作或需要采用计日工计价的变更工作时，按合同中约定的单价计价的一种方式。</w:t>
      </w:r>
    </w:p>
    <w:p w14:paraId="766D3BBB">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1.1.5.8 质量保证金：是指按第14.6款[质量保证金]约定承包人用于保证其在缺陷责任期内履行缺陷修复义务的担保。</w:t>
      </w:r>
    </w:p>
    <w:p w14:paraId="0AA823B9">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1.1.6 其他</w:t>
      </w:r>
    </w:p>
    <w:p w14:paraId="7BE012B4">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1.1.6.1 书面形式：指合同文件、信函、电报、传真、数据电文、电子邮件、会议纪要等可以有形地表现所载内容的形式。</w:t>
      </w:r>
    </w:p>
    <w:p w14:paraId="3DB7F433">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1.1.6.2 承包人文件：指由承包人根据合同约定应提交的所有图纸、手册、模型、计算书、软件、函件、洽商性文件和其他技术性文件。</w:t>
      </w:r>
    </w:p>
    <w:p w14:paraId="74B9229B">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1.1.6.3 变更：指根据第13条[变更与调整]的约定，经指示或批准对《发包人要求》或工程所做的改变。</w:t>
      </w:r>
    </w:p>
    <w:p w14:paraId="60C360A1">
      <w:pPr>
        <w:pStyle w:val="114"/>
        <w:numPr>
          <w:ilvl w:val="0"/>
          <w:numId w:val="0"/>
        </w:numPr>
        <w:spacing w:after="120"/>
        <w:rPr>
          <w:rFonts w:hint="eastAsia" w:cs="宋体"/>
          <w:color w:val="000000" w:themeColor="text1"/>
          <w:sz w:val="21"/>
          <w14:textFill>
            <w14:solidFill>
              <w14:schemeClr w14:val="tx1"/>
            </w14:solidFill>
          </w14:textFill>
        </w:rPr>
      </w:pPr>
      <w:bookmarkStart w:id="888" w:name="_Toc4062"/>
      <w:bookmarkStart w:id="889" w:name="_Toc100906998"/>
      <w:bookmarkStart w:id="890" w:name="_Toc100907324"/>
      <w:r>
        <w:rPr>
          <w:rFonts w:hint="eastAsia" w:cs="宋体"/>
          <w:color w:val="000000" w:themeColor="text1"/>
          <w:sz w:val="21"/>
          <w14:textFill>
            <w14:solidFill>
              <w14:schemeClr w14:val="tx1"/>
            </w14:solidFill>
          </w14:textFill>
        </w:rPr>
        <w:t>1.2 语言文字</w:t>
      </w:r>
      <w:bookmarkEnd w:id="888"/>
      <w:bookmarkEnd w:id="889"/>
      <w:bookmarkEnd w:id="890"/>
    </w:p>
    <w:p w14:paraId="570FD8E1">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合同文件以中国的汉语简体语言文字编写、解释和说明。专用术语使用外文的，应附有中文注释。合同当事人在专用合同条件约定使用两种及以上语言时，汉语为优先解释和说明合同的语言。</w:t>
      </w:r>
    </w:p>
    <w:p w14:paraId="5F6EEC9A">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与合同有关的联络应使用专用合同条件约定的语言。如没有约定，则应使用中国的汉语简体语言文字。</w:t>
      </w:r>
    </w:p>
    <w:p w14:paraId="55EB6F7D">
      <w:pPr>
        <w:pStyle w:val="114"/>
        <w:numPr>
          <w:ilvl w:val="0"/>
          <w:numId w:val="0"/>
        </w:numPr>
        <w:spacing w:after="120"/>
        <w:rPr>
          <w:rFonts w:hint="eastAsia" w:cs="宋体"/>
          <w:color w:val="000000" w:themeColor="text1"/>
          <w:sz w:val="21"/>
          <w14:textFill>
            <w14:solidFill>
              <w14:schemeClr w14:val="tx1"/>
            </w14:solidFill>
          </w14:textFill>
        </w:rPr>
      </w:pPr>
      <w:bookmarkStart w:id="891" w:name="_Toc26961"/>
      <w:bookmarkStart w:id="892" w:name="_Toc100906999"/>
      <w:bookmarkStart w:id="893" w:name="_Toc100907325"/>
      <w:r>
        <w:rPr>
          <w:rFonts w:hint="eastAsia" w:cs="宋体"/>
          <w:color w:val="000000" w:themeColor="text1"/>
          <w:sz w:val="21"/>
          <w14:textFill>
            <w14:solidFill>
              <w14:schemeClr w14:val="tx1"/>
            </w14:solidFill>
          </w14:textFill>
        </w:rPr>
        <w:t>1.3 法律</w:t>
      </w:r>
      <w:bookmarkEnd w:id="891"/>
      <w:bookmarkEnd w:id="892"/>
      <w:bookmarkEnd w:id="893"/>
    </w:p>
    <w:p w14:paraId="4DC92887">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合同所称法律是指中华人民共和国法律、行政法规、部门规章，以及工程所在地的地方法规、自治条例、单行条例和地方政府规章等。</w:t>
      </w:r>
    </w:p>
    <w:p w14:paraId="1BAC9CC9">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合同当事人可以在专用合同条件中约定合同适用的其他规范性文件。</w:t>
      </w:r>
    </w:p>
    <w:p w14:paraId="12820D0E">
      <w:pPr>
        <w:pStyle w:val="114"/>
        <w:numPr>
          <w:ilvl w:val="0"/>
          <w:numId w:val="0"/>
        </w:numPr>
        <w:spacing w:after="120"/>
        <w:rPr>
          <w:rFonts w:hint="eastAsia" w:cs="宋体"/>
          <w:color w:val="000000" w:themeColor="text1"/>
          <w:sz w:val="21"/>
          <w14:textFill>
            <w14:solidFill>
              <w14:schemeClr w14:val="tx1"/>
            </w14:solidFill>
          </w14:textFill>
        </w:rPr>
      </w:pPr>
      <w:bookmarkStart w:id="894" w:name="_Toc100907326"/>
      <w:bookmarkStart w:id="895" w:name="_Toc21075"/>
      <w:bookmarkStart w:id="896" w:name="_Toc100907000"/>
      <w:r>
        <w:rPr>
          <w:rFonts w:hint="eastAsia" w:cs="宋体"/>
          <w:color w:val="000000" w:themeColor="text1"/>
          <w:sz w:val="21"/>
          <w14:textFill>
            <w14:solidFill>
              <w14:schemeClr w14:val="tx1"/>
            </w14:solidFill>
          </w14:textFill>
        </w:rPr>
        <w:t>1.4 标准和规范</w:t>
      </w:r>
      <w:bookmarkEnd w:id="894"/>
      <w:bookmarkEnd w:id="895"/>
      <w:bookmarkEnd w:id="896"/>
    </w:p>
    <w:p w14:paraId="4604196D">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1.4.1 适用于工程的国家标准、行业标准、工程所在地的地方性标准，以及相应的规范、规程等，合同当事人有特别要求的，应在专用合同条件中约定。</w:t>
      </w:r>
    </w:p>
    <w:p w14:paraId="142642EE">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1.4.2 发包人要求使用国外标准、规范的，发包人负责提供原文版本和中文译本，并在专用合同条件中约定提供标准规范的名称、份数和时间。</w:t>
      </w:r>
    </w:p>
    <w:p w14:paraId="732D7C6A">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1.4.3 没有相应成文规定的标准、规范时，由发包人在专用合同条件中约定的时间向承包人列明技术要求，承包人按约定的时间和技术要求提出实施方法，经发包人认可后执行。承包人需要对实施方法进行研发试验的，或须对项目人员进行特殊培训及其有特殊要求的，除签约合同价已包含此项费用外，双方应另行订立协议作为合同附件，其费用由发包人承担。</w:t>
      </w:r>
    </w:p>
    <w:p w14:paraId="791D9A0C">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1.4.4 发包人对于工程的技术标准、功能要求高于或严于现行国家、行业或地方标准的，应当在《发包人要求》中予以明确。除专用合同条件另有约定外，应视为承包人在订立合同前已充分预见前述技术标准和功能要求的复杂程度，签约合同价中已包含由此产生的费用。</w:t>
      </w:r>
    </w:p>
    <w:p w14:paraId="7A1EB55E">
      <w:pPr>
        <w:pStyle w:val="114"/>
        <w:numPr>
          <w:ilvl w:val="0"/>
          <w:numId w:val="0"/>
        </w:numPr>
        <w:spacing w:after="120"/>
        <w:rPr>
          <w:rFonts w:hint="eastAsia" w:cs="宋体"/>
          <w:color w:val="000000" w:themeColor="text1"/>
          <w:sz w:val="21"/>
          <w14:textFill>
            <w14:solidFill>
              <w14:schemeClr w14:val="tx1"/>
            </w14:solidFill>
          </w14:textFill>
        </w:rPr>
      </w:pPr>
      <w:bookmarkStart w:id="897" w:name="_Toc100907327"/>
      <w:bookmarkStart w:id="898" w:name="_Toc14702"/>
      <w:bookmarkStart w:id="899" w:name="_Toc100907001"/>
      <w:r>
        <w:rPr>
          <w:rFonts w:hint="eastAsia" w:cs="宋体"/>
          <w:color w:val="000000" w:themeColor="text1"/>
          <w:sz w:val="21"/>
          <w14:textFill>
            <w14:solidFill>
              <w14:schemeClr w14:val="tx1"/>
            </w14:solidFill>
          </w14:textFill>
        </w:rPr>
        <w:t>1.5 合同文件的优先顺序</w:t>
      </w:r>
      <w:bookmarkEnd w:id="897"/>
      <w:bookmarkEnd w:id="898"/>
      <w:bookmarkEnd w:id="899"/>
    </w:p>
    <w:p w14:paraId="55F3BBC1">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组成合同的各项文件应互相解释，互为说明。除专用合同条件另有约定外，解释合同文件的优先顺序如下：</w:t>
      </w:r>
    </w:p>
    <w:p w14:paraId="6939FBBD">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 合同协议书；</w:t>
      </w:r>
    </w:p>
    <w:p w14:paraId="287F47A1">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（2） 中标通知书（如果有）；</w:t>
      </w:r>
    </w:p>
    <w:p w14:paraId="06887EED">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（3） 投标函及投标函附录（如果有）；</w:t>
      </w:r>
    </w:p>
    <w:p w14:paraId="09652C26">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（4） 专用合同条件及《发包人要求》等附件；</w:t>
      </w:r>
    </w:p>
    <w:p w14:paraId="527F0F26">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（5） 通用合同条件；</w:t>
      </w:r>
    </w:p>
    <w:p w14:paraId="58D6E96C">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 xml:space="preserve">（6） 承包人建议书； </w:t>
      </w:r>
    </w:p>
    <w:p w14:paraId="4142440B">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（7） 价格清单；</w:t>
      </w:r>
    </w:p>
    <w:p w14:paraId="091B7B03">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（8） 双方约定的其他合同文件。</w:t>
      </w:r>
    </w:p>
    <w:p w14:paraId="62619696">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上述各项合同文件包括合同当事人就该项合同文件所作出的补充和修改，属于同一类内容的文件，应以最新签署的为准。</w:t>
      </w:r>
    </w:p>
    <w:p w14:paraId="251BA229">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在合同订立及履行过程中形成的与合同有关的文件均构成合同文件组成部分，并根据其性质确定优先解释顺序。</w:t>
      </w:r>
    </w:p>
    <w:p w14:paraId="47262DDB">
      <w:pPr>
        <w:pStyle w:val="114"/>
        <w:numPr>
          <w:ilvl w:val="0"/>
          <w:numId w:val="0"/>
        </w:numPr>
        <w:spacing w:after="120"/>
        <w:rPr>
          <w:rFonts w:hint="eastAsia" w:cs="宋体"/>
          <w:color w:val="000000" w:themeColor="text1"/>
          <w:sz w:val="21"/>
          <w14:textFill>
            <w14:solidFill>
              <w14:schemeClr w14:val="tx1"/>
            </w14:solidFill>
          </w14:textFill>
        </w:rPr>
      </w:pPr>
      <w:bookmarkStart w:id="900" w:name="_Toc100907002"/>
      <w:bookmarkStart w:id="901" w:name="_Toc100907328"/>
      <w:bookmarkStart w:id="902" w:name="_Toc22317"/>
      <w:r>
        <w:rPr>
          <w:rFonts w:hint="eastAsia" w:cs="宋体"/>
          <w:color w:val="000000" w:themeColor="text1"/>
          <w:sz w:val="21"/>
          <w14:textFill>
            <w14:solidFill>
              <w14:schemeClr w14:val="tx1"/>
            </w14:solidFill>
          </w14:textFill>
        </w:rPr>
        <w:t>1.6 文件的提供和照管</w:t>
      </w:r>
      <w:bookmarkEnd w:id="900"/>
      <w:bookmarkEnd w:id="901"/>
      <w:bookmarkEnd w:id="902"/>
    </w:p>
    <w:p w14:paraId="4D2CFCB1">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1.6.1 发包人文件的提供</w:t>
      </w:r>
    </w:p>
    <w:p w14:paraId="34393AA7">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包人应按照专用合同条件约定的期限、数量和形式向承包人免费提供前期工作相关资料、环境保护、气象水文、地质条件进行工程设计、现场施工等工程实施所需的文件。因发包人未按合同约定提供文件造成工期延误的，按照第8.7.1项[因发包人原因导致工期延误]约定办理。</w:t>
      </w:r>
    </w:p>
    <w:p w14:paraId="45BBD897">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1.6.2 承包人文件的提供</w:t>
      </w:r>
    </w:p>
    <w:p w14:paraId="7563048F">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除专用合同条件另有约定外，承包人文件应包含下列内容，并用第1.2款[语言文字]约定的语言制作：</w:t>
      </w:r>
    </w:p>
    <w:p w14:paraId="28EDCBF9">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 《发包人要求》中规定的相关文件；</w:t>
      </w:r>
    </w:p>
    <w:p w14:paraId="38D462CF">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 满足工程相关行政审批手续所必须的应由承包人负责的相关文件；</w:t>
      </w:r>
    </w:p>
    <w:p w14:paraId="7DB83F62">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 第5.4款[竣工文件]与第5.5款[操作和维修手册]中要求的相关文件。</w:t>
      </w:r>
    </w:p>
    <w:p w14:paraId="27DCB19C">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承包人应按照专用合同条件约定的期限、名称、数量和形式向工程师提供应当由承包人编制的与工程设计、现场施工等工程实施有关的承包人文件。工程师对承包人文件有异议的，承包人应予以修改，并重新报送工程师。合同约定承包人文件应经审查的，工程师应在合同约定的期限内审查完毕，但工程师的审查并不减轻或免除承包人根据合同约定应当承担的责任。承包人文件的提供和审查还应遵守第5.2款[承包人文件审查]和第5.4款[竣工文件]的约定。</w:t>
      </w:r>
    </w:p>
    <w:p w14:paraId="2FB38A51">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1.6.3 文件错误的通知</w:t>
      </w:r>
    </w:p>
    <w:p w14:paraId="425451CD">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任何一方发现文件中存在明显的错误或疏忽，应及时通知另一方。</w:t>
      </w:r>
    </w:p>
    <w:p w14:paraId="71D53E32">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1.6.4 文件的照管</w:t>
      </w:r>
    </w:p>
    <w:p w14:paraId="3DE89FA8">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除专用合同条件另有约定外，承包人应在现场保留一份合同、《发包人要求》中列出的所有文件、承包人文件、变更以及其他根据合同收发的往来信函。发包人和工程师有权在任何合理的时间查阅和使用上述所有文件。</w:t>
      </w:r>
    </w:p>
    <w:p w14:paraId="06C131F0">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903" w:name="_Toc100907003"/>
      <w:bookmarkStart w:id="904" w:name="_Toc6252"/>
      <w:bookmarkStart w:id="905" w:name="_Toc100907329"/>
      <w:r>
        <w:rPr>
          <w:rFonts w:hint="eastAsia" w:ascii="宋体" w:hAnsi="宋体" w:eastAsia="宋体" w:cs="宋体"/>
          <w:b w:val="0"/>
          <w:bCs/>
          <w:color w:val="000000" w:themeColor="text1"/>
          <w:sz w:val="21"/>
          <w:szCs w:val="21"/>
          <w14:textFill>
            <w14:solidFill>
              <w14:schemeClr w14:val="tx1"/>
            </w14:solidFill>
          </w14:textFill>
        </w:rPr>
        <w:t>1.7 联络</w:t>
      </w:r>
      <w:bookmarkEnd w:id="903"/>
      <w:bookmarkEnd w:id="904"/>
      <w:bookmarkEnd w:id="905"/>
    </w:p>
    <w:p w14:paraId="51281744">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1.7.1 与合同有关的通知、批准、证明、证书、指示、指令、要求、请求、同意、意见、确定和决定等，均应采用书面形式，并应在合同约定的期限内（如无约定，应在合理期限内）通过特快专递或专人、挂号信、传真或双方商定的电子传输方式送达收件地址。</w:t>
      </w:r>
    </w:p>
    <w:p w14:paraId="0FA5FD14">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1.7.2 发包人和承包人应在专用合同条件中约定各自的送达方式和收件地址。任何一方合同当事人指定的送达方式或收件地址发生变动的，应提前3天以书面形式通知对方。</w:t>
      </w:r>
    </w:p>
    <w:p w14:paraId="3C0626B9">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1.7.3 发包人和承包人应当及时签收另一方通过约定的送达方式送达至收件地址的来往文件。拒不签收的，由此增加的费用和（或）延误的工期由拒绝接收一方承担。</w:t>
      </w:r>
    </w:p>
    <w:p w14:paraId="7BFE742C">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1.7.4 对于工程师向承包人发出的任何通知，均应以书面形式由工程师或其代表签认后送交承包人实施，并抄送发包人；对于合同一方向另一方发出的任何通知，均应抄送工程师。对于由工程师审查后报发包人批准的事项，应由工程师向承包人出具经发包人签认的批准文件。</w:t>
      </w:r>
    </w:p>
    <w:p w14:paraId="551D3B1A">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906" w:name="_Toc2601"/>
      <w:bookmarkStart w:id="907" w:name="_Toc100907004"/>
      <w:bookmarkStart w:id="908" w:name="_Toc100907330"/>
      <w:r>
        <w:rPr>
          <w:rFonts w:hint="eastAsia" w:ascii="宋体" w:hAnsi="宋体" w:eastAsia="宋体" w:cs="宋体"/>
          <w:b w:val="0"/>
          <w:bCs/>
          <w:color w:val="000000" w:themeColor="text1"/>
          <w:sz w:val="21"/>
          <w:szCs w:val="21"/>
          <w14:textFill>
            <w14:solidFill>
              <w14:schemeClr w14:val="tx1"/>
            </w14:solidFill>
          </w14:textFill>
        </w:rPr>
        <w:t>1.8 严禁贿赂</w:t>
      </w:r>
      <w:bookmarkEnd w:id="906"/>
      <w:bookmarkEnd w:id="907"/>
      <w:bookmarkEnd w:id="908"/>
    </w:p>
    <w:p w14:paraId="2C7D3E93">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合同当事人不得以贿赂或变相贿赂的方式，谋取非法利益或损害对方权益。因一方合同当事人的贿赂造成对方损失的，应赔偿损失，并承担相应的法律责任。</w:t>
      </w:r>
    </w:p>
    <w:p w14:paraId="3FA489F6">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承包人不得与工程师或发包人聘请的第三方串通损害发包人利益。未经发包人书面同意，承包人不得为工程师提供合同约定以外的通讯设备、交通工具及其他任何形式的利益，不得向工程师支付报酬。</w:t>
      </w:r>
    </w:p>
    <w:p w14:paraId="1F03EC03">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909" w:name="_Toc17842"/>
      <w:bookmarkStart w:id="910" w:name="_Toc100907005"/>
      <w:bookmarkStart w:id="911" w:name="_Toc100907331"/>
      <w:r>
        <w:rPr>
          <w:rFonts w:hint="eastAsia" w:ascii="宋体" w:hAnsi="宋体" w:eastAsia="宋体" w:cs="宋体"/>
          <w:b w:val="0"/>
          <w:bCs/>
          <w:color w:val="000000" w:themeColor="text1"/>
          <w:sz w:val="21"/>
          <w:szCs w:val="21"/>
          <w14:textFill>
            <w14:solidFill>
              <w14:schemeClr w14:val="tx1"/>
            </w14:solidFill>
          </w14:textFill>
        </w:rPr>
        <w:t>1.9 化石、文物</w:t>
      </w:r>
      <w:bookmarkEnd w:id="909"/>
      <w:bookmarkEnd w:id="910"/>
      <w:bookmarkEnd w:id="911"/>
    </w:p>
    <w:p w14:paraId="776EB91E">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工程师。</w:t>
      </w:r>
    </w:p>
    <w:p w14:paraId="2A958549">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发包人、工程师和承包人应按有关政府行政管理部门要求采取妥善的保护措施，由此增加的费用和（或）延误的工期由发包人承担。</w:t>
      </w:r>
    </w:p>
    <w:p w14:paraId="1B4EE098">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承包人发现文物后不及时报告或隐瞒不报，致使文物丢失或损坏的，应赔偿损失，并承担相应的法律责任。</w:t>
      </w:r>
    </w:p>
    <w:p w14:paraId="25ECE75B">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912" w:name="_Toc3398"/>
      <w:bookmarkStart w:id="913" w:name="_Toc100907006"/>
      <w:bookmarkStart w:id="914" w:name="_Toc100907332"/>
      <w:r>
        <w:rPr>
          <w:rFonts w:hint="eastAsia" w:ascii="宋体" w:hAnsi="宋体" w:eastAsia="宋体" w:cs="宋体"/>
          <w:b w:val="0"/>
          <w:bCs/>
          <w:color w:val="000000" w:themeColor="text1"/>
          <w:sz w:val="21"/>
          <w:szCs w:val="21"/>
          <w14:textFill>
            <w14:solidFill>
              <w14:schemeClr w14:val="tx1"/>
            </w14:solidFill>
          </w14:textFill>
        </w:rPr>
        <w:t>1.10 知识产权</w:t>
      </w:r>
      <w:bookmarkEnd w:id="912"/>
      <w:bookmarkEnd w:id="913"/>
      <w:bookmarkEnd w:id="914"/>
      <w:r>
        <w:rPr>
          <w:rFonts w:hint="eastAsia" w:ascii="宋体" w:hAnsi="宋体" w:eastAsia="宋体" w:cs="宋体"/>
          <w:b w:val="0"/>
          <w:bCs/>
          <w:color w:val="000000" w:themeColor="text1"/>
          <w:sz w:val="21"/>
          <w:szCs w:val="21"/>
          <w14:textFill>
            <w14:solidFill>
              <w14:schemeClr w14:val="tx1"/>
            </w14:solidFill>
          </w14:textFill>
        </w:rPr>
        <w:t xml:space="preserve"> </w:t>
      </w:r>
    </w:p>
    <w:p w14:paraId="05D87142">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1.10.1 除专用合同条件另有约定外，由发包人（或以发包人名义）编制的《发包人要求》和其他文件，就合同当事人之间而言，其著作权和其他知识产权应归发包人所有。承包人可以为实现合同目的而复制、使用此类文件，但不能用于与合同无关的其他事项。未经发包人书面同意，承包人不得为了合同以外的目的而复制、使用上述文件或将之提供给任何第三方。</w:t>
      </w:r>
    </w:p>
    <w:p w14:paraId="6531B145">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1.10.2 除专用合同条件另有约定外，由承包人（或以承包人名义）为实施工程所编制的文件、承包人完成的设计工作成果和建造完成的建筑物，就合同当事人之间而言，其著作权和其他知识产权应归承包人享有。发包人可因实施工程的运行、调试、维修、改造等目的而复制、使用此类文件，但不能用于与合同无关的其他事项。未经承包人书面同意，发包人不得为了合同以外的目的而复制、使用上述文件或将之提供给任何第三方。</w:t>
      </w:r>
    </w:p>
    <w:p w14:paraId="00BEA9D7">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1.10.3 合同当事人保证在履行合同过程中不侵犯对方及第三方的知识产权。承包人在工程设计、使用材料、施工设备、工程设备或采用施工工艺时，因侵犯他人的专利权或其他知识产权所引起的责任，由承包人承担；因发包人提供的材料、施工设备、工程设备或施工工艺导致侵权的，由发包人承担责任。</w:t>
      </w:r>
    </w:p>
    <w:p w14:paraId="672BC039">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1.10.4 除专用合同条件另有约定外，承包人在投标文件中采用的专利、专有技术、商业软件、技术秘密的使用费已包含在签约合同价中。</w:t>
      </w:r>
    </w:p>
    <w:p w14:paraId="6DDC8E54">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1.10.5 合同当事人可就本合同涉及的合同一方、或合同双方（含一方或双方相关的专利商或第三方设计单位)的技术专利、建筑设计方案、专有技术、设计文件著作权等知识产权，订立知识产权及保密协议，作为本合同的组成部分。</w:t>
      </w:r>
    </w:p>
    <w:p w14:paraId="300BB3A1">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915" w:name="_Toc686"/>
      <w:bookmarkStart w:id="916" w:name="_Toc100907007"/>
      <w:bookmarkStart w:id="917" w:name="_Toc100907333"/>
      <w:r>
        <w:rPr>
          <w:rFonts w:hint="eastAsia" w:ascii="宋体" w:hAnsi="宋体" w:eastAsia="宋体" w:cs="宋体"/>
          <w:b w:val="0"/>
          <w:bCs/>
          <w:color w:val="000000" w:themeColor="text1"/>
          <w:sz w:val="21"/>
          <w:szCs w:val="21"/>
          <w14:textFill>
            <w14:solidFill>
              <w14:schemeClr w14:val="tx1"/>
            </w14:solidFill>
          </w14:textFill>
        </w:rPr>
        <w:t>1.11 保密</w:t>
      </w:r>
      <w:bookmarkEnd w:id="915"/>
      <w:bookmarkEnd w:id="916"/>
      <w:bookmarkEnd w:id="917"/>
    </w:p>
    <w:p w14:paraId="1DE0BCF0">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合同当事人一方对在订立和履行合同过程中知悉的另一方的商业秘密、技术秘密，以及任何一方明确要求保密的其它信息，负有保密责任。</w:t>
      </w:r>
    </w:p>
    <w:p w14:paraId="6A9B86DA">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除法律规定或合同另有约定外，未经对方同意，任何一方当事人不得将对方提供的文件、技术秘密以及声明需要保密的资料信息等商业秘密泄露给第三方或者用于本合同以外的目的。</w:t>
      </w:r>
    </w:p>
    <w:p w14:paraId="66B8C711">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一方泄露或者在本合同以外使用该商业秘密、技术秘密等保密信息给另一方造成损失的，应承担损害赔偿责任。当事人为履行合同所需要的信息，另一方应予以提供。当事人认为必要时，可订立保密协议，作为合同附件。</w:t>
      </w:r>
    </w:p>
    <w:p w14:paraId="7491A6F8">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918" w:name="_Toc100907334"/>
      <w:bookmarkStart w:id="919" w:name="_Toc100907008"/>
      <w:bookmarkStart w:id="920" w:name="_Toc19965"/>
      <w:r>
        <w:rPr>
          <w:rFonts w:hint="eastAsia" w:ascii="宋体" w:hAnsi="宋体" w:eastAsia="宋体" w:cs="宋体"/>
          <w:b w:val="0"/>
          <w:bCs/>
          <w:color w:val="000000" w:themeColor="text1"/>
          <w:sz w:val="21"/>
          <w:szCs w:val="21"/>
          <w14:textFill>
            <w14:solidFill>
              <w14:schemeClr w14:val="tx1"/>
            </w14:solidFill>
          </w14:textFill>
        </w:rPr>
        <w:t>1.12 《发包人要求》和基础资料中的错误</w:t>
      </w:r>
      <w:bookmarkEnd w:id="918"/>
      <w:bookmarkEnd w:id="919"/>
      <w:bookmarkEnd w:id="920"/>
    </w:p>
    <w:p w14:paraId="578B9353">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承包人应尽早认真阅读、复核《发包人要求》以及其提供的基础资料，发现错误的，应及时书面通知发包人补正。发包人作相应修改的，按照第13条[变更与调整]的约定处理。</w:t>
      </w:r>
    </w:p>
    <w:p w14:paraId="22278636">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《发包人要求》或其提供的基础资料中的错误导致承包人增加费用和（或）工期延误的，发包人应承担由此增加的费用和（或）工期延误，并向承包人支付合理利润。</w:t>
      </w:r>
    </w:p>
    <w:p w14:paraId="56B10800">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921" w:name="_Toc100907335"/>
      <w:bookmarkStart w:id="922" w:name="_Toc31149"/>
      <w:bookmarkStart w:id="923" w:name="_Toc100907009"/>
      <w:r>
        <w:rPr>
          <w:rFonts w:hint="eastAsia" w:ascii="宋体" w:hAnsi="宋体" w:eastAsia="宋体" w:cs="宋体"/>
          <w:b w:val="0"/>
          <w:bCs/>
          <w:color w:val="000000" w:themeColor="text1"/>
          <w:sz w:val="21"/>
          <w:szCs w:val="21"/>
          <w14:textFill>
            <w14:solidFill>
              <w14:schemeClr w14:val="tx1"/>
            </w14:solidFill>
          </w14:textFill>
        </w:rPr>
        <w:t>1.13 责任限制</w:t>
      </w:r>
      <w:bookmarkEnd w:id="921"/>
      <w:bookmarkEnd w:id="922"/>
      <w:bookmarkEnd w:id="923"/>
    </w:p>
    <w:p w14:paraId="7A13FC56">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承包人对发包人的赔偿责任不应超过专用合同条件约定的赔偿最高限额。若专用合同条件未约定，则承包人对发包人的赔偿责任不应超过签约合同价。但对于因欺诈、犯罪、故意、重大过失、人身伤害等不当行为造成的损失，赔偿的责任限度不受上述最高限额的限制。</w:t>
      </w:r>
    </w:p>
    <w:p w14:paraId="18D6A3CB">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924" w:name="_Toc100907010"/>
      <w:bookmarkStart w:id="925" w:name="_Toc23863"/>
      <w:bookmarkStart w:id="926" w:name="_Toc100907336"/>
      <w:r>
        <w:rPr>
          <w:rFonts w:hint="eastAsia" w:ascii="宋体" w:hAnsi="宋体" w:eastAsia="宋体" w:cs="宋体"/>
          <w:b w:val="0"/>
          <w:bCs/>
          <w:color w:val="000000" w:themeColor="text1"/>
          <w:sz w:val="21"/>
          <w:szCs w:val="21"/>
          <w14:textFill>
            <w14:solidFill>
              <w14:schemeClr w14:val="tx1"/>
            </w14:solidFill>
          </w14:textFill>
        </w:rPr>
        <w:t>1.14 建筑信息模型技术的应用</w:t>
      </w:r>
      <w:bookmarkEnd w:id="924"/>
      <w:bookmarkEnd w:id="925"/>
      <w:bookmarkEnd w:id="926"/>
    </w:p>
    <w:p w14:paraId="188FD9DE">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如果项目中拟采用建筑信息模型技术，合同双方应遵守国家现行相关标准的规定，并符合项目所在地的相关地方标准或指南。合同双方应在专用合同条件中就建筑信息模型的开发、使用、存储、传输、交付及费用等相关内容进行约定。除专用合同条件另有约定外，承包人应负责与本项目中其他使用方协商。</w:t>
      </w:r>
    </w:p>
    <w:p w14:paraId="23F18D89">
      <w:pPr>
        <w:pStyle w:val="130"/>
        <w:wordWrap/>
        <w:topLinePunct w:val="0"/>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927" w:name="_Toc4223"/>
      <w:bookmarkStart w:id="928" w:name="_Toc100907011"/>
      <w:bookmarkStart w:id="929" w:name="_Toc100907337"/>
      <w:r>
        <w:rPr>
          <w:rFonts w:hint="eastAsia" w:ascii="宋体" w:hAnsi="宋体" w:eastAsia="宋体" w:cs="宋体"/>
          <w:b w:val="0"/>
          <w:bCs/>
          <w:color w:val="000000" w:themeColor="text1"/>
          <w:sz w:val="21"/>
          <w:szCs w:val="21"/>
          <w14:textFill>
            <w14:solidFill>
              <w14:schemeClr w14:val="tx1"/>
            </w14:solidFill>
          </w14:textFill>
        </w:rPr>
        <w:t>第2条 发包人</w:t>
      </w:r>
      <w:bookmarkEnd w:id="927"/>
      <w:bookmarkEnd w:id="928"/>
      <w:bookmarkEnd w:id="929"/>
    </w:p>
    <w:p w14:paraId="60E533B5">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930" w:name="_Toc26596"/>
      <w:bookmarkStart w:id="931" w:name="_Toc100907338"/>
      <w:bookmarkStart w:id="932" w:name="_Toc100907012"/>
      <w:r>
        <w:rPr>
          <w:rFonts w:hint="eastAsia" w:ascii="宋体" w:hAnsi="宋体" w:eastAsia="宋体" w:cs="宋体"/>
          <w:b w:val="0"/>
          <w:bCs/>
          <w:color w:val="000000" w:themeColor="text1"/>
          <w:sz w:val="21"/>
          <w:szCs w:val="21"/>
          <w14:textFill>
            <w14:solidFill>
              <w14:schemeClr w14:val="tx1"/>
            </w14:solidFill>
          </w14:textFill>
        </w:rPr>
        <w:t>2.1 遵守法律</w:t>
      </w:r>
      <w:bookmarkEnd w:id="930"/>
      <w:bookmarkEnd w:id="931"/>
      <w:bookmarkEnd w:id="932"/>
    </w:p>
    <w:p w14:paraId="7979956B">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包人在履行合同过程中应遵守法律，并承担因发包人违反法律给承包人造成的任何费用和损失。发包人不得以任何理由，要求承包人在工程实施过程中违反法律、行政法规以及建设工程质量、安全、环保标准，任意压缩合理工期或者降低工程质量。</w:t>
      </w:r>
    </w:p>
    <w:p w14:paraId="2D8E6A9E">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933" w:name="_Toc100907339"/>
      <w:bookmarkStart w:id="934" w:name="_Toc11562"/>
      <w:bookmarkStart w:id="935" w:name="_Toc100907013"/>
      <w:r>
        <w:rPr>
          <w:rFonts w:hint="eastAsia" w:ascii="宋体" w:hAnsi="宋体" w:eastAsia="宋体" w:cs="宋体"/>
          <w:b w:val="0"/>
          <w:bCs/>
          <w:color w:val="000000" w:themeColor="text1"/>
          <w:sz w:val="21"/>
          <w:szCs w:val="21"/>
          <w14:textFill>
            <w14:solidFill>
              <w14:schemeClr w14:val="tx1"/>
            </w14:solidFill>
          </w14:textFill>
        </w:rPr>
        <w:t>2.2 提供施工现场和工作条件</w:t>
      </w:r>
      <w:bookmarkEnd w:id="933"/>
      <w:bookmarkEnd w:id="934"/>
      <w:bookmarkEnd w:id="935"/>
    </w:p>
    <w:p w14:paraId="6EE19C9E">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2.2.1 提供施工现场</w:t>
      </w:r>
    </w:p>
    <w:p w14:paraId="38845A2A">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包人应按专用合同条件约定向承包人移交施工现场，给承包人进入和占用施工现场各部分的权利，并明确与承包人的交接界面，上述进入和占用权可不为承包人独享。如专用合同条件没有约定移交时间的，则发包人应最迟于计划开始现场施工日期7天前向承包人移交施工现场，但承包人未能按照第4.2款[履约担保]提供履约担保的除外。</w:t>
      </w:r>
    </w:p>
    <w:p w14:paraId="7AFA1600">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2.2.2 提供工作条件</w:t>
      </w:r>
    </w:p>
    <w:p w14:paraId="177C1C35">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发包人应按专用合同条件约定向承包人提供工作条件。专用合同条件对此没有约定的，发包人应负责提供开展本合同相关工作所需要的条件，包括：</w:t>
      </w:r>
    </w:p>
    <w:p w14:paraId="42A4234F">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 将施工用水、电力、通讯线路等施工所必需的条件接至施工现场内；</w:t>
      </w:r>
    </w:p>
    <w:p w14:paraId="3630E350">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 保证向承包人提供正常施工所需要的进入施工现场的交通条件；</w:t>
      </w:r>
    </w:p>
    <w:p w14:paraId="671A8EE9">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 协调处理施工现场周围地下管线和邻近建筑物、构筑物、古树名木、文物、化石及坟墓等的保护工作，并承担相关费用；</w:t>
      </w:r>
    </w:p>
    <w:p w14:paraId="404B13F7">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 对工程现场临近发包人正在使用、运行、或由发包人用于生产的建筑物、构筑物、生产装置、设施、设备等，设置隔离设施，竖立禁止入内、禁止动火的明显标志， 并以书面形式通知承包人须遵守的安全规定和位置范围；</w:t>
      </w:r>
    </w:p>
    <w:p w14:paraId="46766295">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 按照专用合同条件约定应提供的其他设施和条件。</w:t>
      </w:r>
    </w:p>
    <w:p w14:paraId="772E296F">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2.2.3 逾期提供的责任</w:t>
      </w:r>
    </w:p>
    <w:p w14:paraId="654D395B">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因发包人原因未能按合同约定及时向承包人提供施工现场和施工条件的，由发包人承担由此增加的费用和（或）延误的工期。</w:t>
      </w:r>
    </w:p>
    <w:p w14:paraId="5CDF678C">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936" w:name="_Toc100907014"/>
      <w:bookmarkStart w:id="937" w:name="_Toc23911"/>
      <w:bookmarkStart w:id="938" w:name="_Toc100907340"/>
      <w:r>
        <w:rPr>
          <w:rFonts w:hint="eastAsia" w:ascii="宋体" w:hAnsi="宋体" w:eastAsia="宋体" w:cs="宋体"/>
          <w:b w:val="0"/>
          <w:bCs/>
          <w:color w:val="000000" w:themeColor="text1"/>
          <w:sz w:val="21"/>
          <w:szCs w:val="21"/>
          <w14:textFill>
            <w14:solidFill>
              <w14:schemeClr w14:val="tx1"/>
            </w14:solidFill>
          </w14:textFill>
        </w:rPr>
        <w:t>2.3 提供基础资料</w:t>
      </w:r>
      <w:bookmarkEnd w:id="936"/>
      <w:bookmarkEnd w:id="937"/>
      <w:bookmarkEnd w:id="938"/>
    </w:p>
    <w:p w14:paraId="24A205E7">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发包人应按专用合同条件和《发包人要求》中的约定向承包人提供施工现场及工程实施所必需的毗邻区域内的供水、排水、供电、供气、供热、通信、广播电视等地上、地下管线和设施资料，气象和水文观测资料，地质勘察资料，相邻建筑物、构筑物和地下工程等有关基础资料，并根据第1.12款[《发包人要求》和基础资料中的错误]承担基础资料错误造成的责任。按照法律规定确需在开工后方能提供的基础资料，发包人应尽其努力及时地在相应工程实施前的合理期限内提供，合理期限应以不影响承包人的正常履约为限。因发包人原因未能在合理期限内提供相应基础资料的，由发包人承担由此增加的费用和延误的工期。</w:t>
      </w:r>
    </w:p>
    <w:p w14:paraId="250CEFFA">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939" w:name="_Toc100907015"/>
      <w:bookmarkStart w:id="940" w:name="_Toc100907341"/>
      <w:bookmarkStart w:id="941" w:name="_Toc25910"/>
      <w:r>
        <w:rPr>
          <w:rFonts w:hint="eastAsia" w:ascii="宋体" w:hAnsi="宋体" w:eastAsia="宋体" w:cs="宋体"/>
          <w:b w:val="0"/>
          <w:bCs/>
          <w:color w:val="000000" w:themeColor="text1"/>
          <w:sz w:val="21"/>
          <w:szCs w:val="21"/>
          <w14:textFill>
            <w14:solidFill>
              <w14:schemeClr w14:val="tx1"/>
            </w14:solidFill>
          </w14:textFill>
        </w:rPr>
        <w:t>2.4 办理许可和批准</w:t>
      </w:r>
      <w:bookmarkEnd w:id="939"/>
      <w:bookmarkEnd w:id="940"/>
      <w:bookmarkEnd w:id="941"/>
    </w:p>
    <w:p w14:paraId="7167D621">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2.4.1 发包人在履行合同过程中应遵守法律，并办理法律规定或合同约定由其办理的许可、批准或备案，包括但不限于建设用地规划许可证、建设工程规划许可证、建设工程施工许可证等许可和批准。对于法律规定或合同约定由承包人负责的有关设计、施工证件、批件或备案，发包人应给予必要的协助。</w:t>
      </w:r>
    </w:p>
    <w:p w14:paraId="4E2751CF">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2.4.2 因发包人原因未能及时办理完毕前述许可、批准或备案，由发包人承担由此增加的费用和（或）延误的工期，并支付承包人合理的利润。</w:t>
      </w:r>
    </w:p>
    <w:p w14:paraId="27767A35">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942" w:name="_Toc100907016"/>
      <w:bookmarkStart w:id="943" w:name="_Toc31274"/>
      <w:bookmarkStart w:id="944" w:name="_Toc100907342"/>
      <w:r>
        <w:rPr>
          <w:rFonts w:hint="eastAsia" w:ascii="宋体" w:hAnsi="宋体" w:eastAsia="宋体" w:cs="宋体"/>
          <w:b w:val="0"/>
          <w:bCs/>
          <w:color w:val="000000" w:themeColor="text1"/>
          <w:sz w:val="21"/>
          <w:szCs w:val="21"/>
          <w14:textFill>
            <w14:solidFill>
              <w14:schemeClr w14:val="tx1"/>
            </w14:solidFill>
          </w14:textFill>
        </w:rPr>
        <w:t>2.5 支付合同价款</w:t>
      </w:r>
      <w:bookmarkEnd w:id="942"/>
      <w:bookmarkEnd w:id="943"/>
      <w:bookmarkEnd w:id="944"/>
    </w:p>
    <w:p w14:paraId="033C3F49">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2.5.1 发包人应按合同约定向承包人及时支付合同价款。</w:t>
      </w:r>
    </w:p>
    <w:p w14:paraId="1B75009D">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2.5.2 发包人应当制定资金安排计划，除专用合同条件另有约定外，如发包人拟对资金安排做任何重要变更，应将变更的详细情况通知承包人。如发生承包人收到价格大于签约合同价10%的变更指示或累计变更的总价超过签约合同价30%；或承包人未能根据第14条[合同价格与支付]收到付款，或承包人得知发包人的资金安排发生重要变更但并未收到发包人上述重要变更通知的情况，则承包人可随时要求发包人在28天内补充提供能够按照合同约定支付合同价款的相应资金来源证明。</w:t>
      </w:r>
    </w:p>
    <w:p w14:paraId="04FB00AC">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2.5.3 发包人应当向承包人提供支付担保。支付担保可以采用银行保函或担保公司担保等形式，具体由合同当事人在专用合同条件中约定。</w:t>
      </w:r>
    </w:p>
    <w:p w14:paraId="1BA06750">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945" w:name="_Toc100907017"/>
      <w:bookmarkStart w:id="946" w:name="_Toc100907343"/>
      <w:bookmarkStart w:id="947" w:name="_Toc5208"/>
      <w:r>
        <w:rPr>
          <w:rFonts w:hint="eastAsia" w:ascii="宋体" w:hAnsi="宋体" w:eastAsia="宋体" w:cs="宋体"/>
          <w:b w:val="0"/>
          <w:bCs/>
          <w:color w:val="000000" w:themeColor="text1"/>
          <w:sz w:val="21"/>
          <w:szCs w:val="21"/>
          <w14:textFill>
            <w14:solidFill>
              <w14:schemeClr w14:val="tx1"/>
            </w14:solidFill>
          </w14:textFill>
        </w:rPr>
        <w:t>2.6 现场管理配合</w:t>
      </w:r>
      <w:bookmarkEnd w:id="945"/>
      <w:bookmarkEnd w:id="946"/>
      <w:bookmarkEnd w:id="947"/>
    </w:p>
    <w:p w14:paraId="7DF292D5">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发包人应负责保证在现场或现场附近的发包人人员和发包人的其他承包人（如有）：</w:t>
      </w:r>
    </w:p>
    <w:p w14:paraId="3B19F813">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 根据第7.3款[现场合作]的约定，与承包人进行合作；</w:t>
      </w:r>
    </w:p>
    <w:p w14:paraId="13377C79">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（2） 遵守第7.5款[现场劳动用工]、第7.6款[安全文明施工]、第7.7款[职业健康]和第7.8款[环境保护]的相关约定。</w:t>
      </w:r>
    </w:p>
    <w:p w14:paraId="4BAC2993">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发包人应与承包人、由发包人直接发包的其他承包人（如有）订立施工现场统一管理协议，明确各方的权利义务。</w:t>
      </w:r>
    </w:p>
    <w:p w14:paraId="610ECA5A">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948" w:name="_Toc100907018"/>
      <w:bookmarkStart w:id="949" w:name="_Toc100907344"/>
      <w:bookmarkStart w:id="950" w:name="_Toc24606"/>
      <w:r>
        <w:rPr>
          <w:rFonts w:hint="eastAsia" w:ascii="宋体" w:hAnsi="宋体" w:eastAsia="宋体" w:cs="宋体"/>
          <w:b w:val="0"/>
          <w:bCs/>
          <w:color w:val="000000" w:themeColor="text1"/>
          <w:sz w:val="21"/>
          <w:szCs w:val="21"/>
          <w14:textFill>
            <w14:solidFill>
              <w14:schemeClr w14:val="tx1"/>
            </w14:solidFill>
          </w14:textFill>
        </w:rPr>
        <w:t>2.7 其他义务</w:t>
      </w:r>
      <w:bookmarkEnd w:id="948"/>
      <w:bookmarkEnd w:id="949"/>
      <w:bookmarkEnd w:id="950"/>
    </w:p>
    <w:p w14:paraId="52DE421D">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发包人应履行合同约定的其他义务，双方可在专用合同条件内对发包人应履行的其他义务进行补充约定。</w:t>
      </w:r>
    </w:p>
    <w:p w14:paraId="35DA271D">
      <w:pPr>
        <w:pStyle w:val="130"/>
        <w:wordWrap/>
        <w:topLinePunct w:val="0"/>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951" w:name="_Toc100907019"/>
      <w:bookmarkStart w:id="952" w:name="_Toc32140"/>
      <w:bookmarkStart w:id="953" w:name="_Toc100907345"/>
      <w:r>
        <w:rPr>
          <w:rFonts w:hint="eastAsia" w:ascii="宋体" w:hAnsi="宋体" w:eastAsia="宋体" w:cs="宋体"/>
          <w:b w:val="0"/>
          <w:bCs/>
          <w:color w:val="000000" w:themeColor="text1"/>
          <w:sz w:val="21"/>
          <w:szCs w:val="21"/>
          <w14:textFill>
            <w14:solidFill>
              <w14:schemeClr w14:val="tx1"/>
            </w14:solidFill>
          </w14:textFill>
        </w:rPr>
        <w:t>第3条 发包人的管理</w:t>
      </w:r>
      <w:bookmarkEnd w:id="951"/>
      <w:bookmarkEnd w:id="952"/>
      <w:bookmarkEnd w:id="953"/>
    </w:p>
    <w:p w14:paraId="46CF5580">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954" w:name="_Toc100907020"/>
      <w:bookmarkStart w:id="955" w:name="_Toc100907346"/>
      <w:bookmarkStart w:id="956" w:name="_Toc29683"/>
      <w:r>
        <w:rPr>
          <w:rFonts w:hint="eastAsia" w:ascii="宋体" w:hAnsi="宋体" w:eastAsia="宋体" w:cs="宋体"/>
          <w:b w:val="0"/>
          <w:bCs/>
          <w:color w:val="000000" w:themeColor="text1"/>
          <w:sz w:val="21"/>
          <w:szCs w:val="21"/>
          <w14:textFill>
            <w14:solidFill>
              <w14:schemeClr w14:val="tx1"/>
            </w14:solidFill>
          </w14:textFill>
        </w:rPr>
        <w:t>3.1 发包人代表</w:t>
      </w:r>
      <w:bookmarkEnd w:id="954"/>
      <w:bookmarkEnd w:id="955"/>
      <w:bookmarkEnd w:id="956"/>
    </w:p>
    <w:p w14:paraId="0B80A5B6">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发包人应任命发包人代表，并在专用合同条件中明确发包人代表的姓名、职务、联系方式及授权范围等事项。发包人代表应在发包人的授权范围内，负责处理合同履行过程中与发包人有关的具体事宜。发包人代表在授权范围内的行为由发包人承担法律责任。</w:t>
      </w:r>
    </w:p>
    <w:p w14:paraId="71AEA128">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除非发包人另行通知承包人，发包人代表应被授予并且被认为具有发包人在授权范围内享有的相应权利，涉及第16.1款[由发包人解除合同]的权利除外。</w:t>
      </w:r>
    </w:p>
    <w:p w14:paraId="297DD70E">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发包人代表（或者在其为法人的情况下，被任命代表其行事的自然人）应：</w:t>
      </w:r>
    </w:p>
    <w:p w14:paraId="4816CFA5">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 履行指派给其的职责，行使发包人托付给的权利；</w:t>
      </w:r>
    </w:p>
    <w:p w14:paraId="6AF0A5BD">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（2） 具备履行这些职责、行使这些权利的能力；</w:t>
      </w:r>
    </w:p>
    <w:p w14:paraId="0AB2A71B">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（3） 作为熟练的专业人员行事。</w:t>
      </w:r>
    </w:p>
    <w:p w14:paraId="7304F37D">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如果发包人代表为法人且在签订本合同时未能确定授权代表的，发包人代表应在本合同签订之日起3日内向双方发出书面通知，告知被任命和授权的自然人以及任何替代人员。此授权在双方收到本通知后生效。发包人代表撤销该授权或者变更授权代表时也应同样发出该通知。</w:t>
      </w:r>
    </w:p>
    <w:p w14:paraId="4180CA94">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发包人更换发包人代表的，应提前14天将更换人的姓名、地址、任务和权利、以及任命的日期书面通知承包人。发包人不得将发包人代表更换为承包人根据本款发出通知提出合理反对意见的人员，不论是法人还是自然人。</w:t>
      </w:r>
    </w:p>
    <w:p w14:paraId="0B130F05">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发包人代表不能按照合同约定履行其职责及义务，并导致合同无法继续正常履行的，承包人可以要求发包人撤换发包人代表。</w:t>
      </w:r>
    </w:p>
    <w:p w14:paraId="626E5E24">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957" w:name="_Toc100907347"/>
      <w:bookmarkStart w:id="958" w:name="_Toc29144"/>
      <w:bookmarkStart w:id="959" w:name="_Toc100907021"/>
      <w:r>
        <w:rPr>
          <w:rFonts w:hint="eastAsia" w:ascii="宋体" w:hAnsi="宋体" w:eastAsia="宋体" w:cs="宋体"/>
          <w:b w:val="0"/>
          <w:bCs/>
          <w:color w:val="000000" w:themeColor="text1"/>
          <w:sz w:val="21"/>
          <w:szCs w:val="21"/>
          <w14:textFill>
            <w14:solidFill>
              <w14:schemeClr w14:val="tx1"/>
            </w14:solidFill>
          </w14:textFill>
        </w:rPr>
        <w:t>3.2 发包人人员</w:t>
      </w:r>
      <w:bookmarkEnd w:id="957"/>
      <w:bookmarkEnd w:id="958"/>
      <w:bookmarkEnd w:id="959"/>
    </w:p>
    <w:p w14:paraId="4D613374">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发包人人员包括发包人代表、工程师及其他由发包人派驻施工现场的人员，发包人可以在专用合同条件中明确发包人人员的姓名、职务及职责等事项。发包人或发包人代表可随时对一些助手指派和托付一定的任务和权利，也可撤销这些指派和托付。这些助手可包括驻地工程师或担任检验、试验各项工程设备和材料的独立检查员。这些助手应具有适当的资质、履行其任务和权利的能力。以上指派、托付或撤销，在承包人收到通知后生效。承包人对于可能影响正常履约或工程安全质量的发包人人员保有随时提出沟通的权利。</w:t>
      </w:r>
    </w:p>
    <w:p w14:paraId="09F0FE05">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发包人应要求在施工现场的发包人人员遵守法律及有关安全、质量、环境保护、文明施工等规定，因发包人人员未遵守上述要求给承包人造成的损失和责任由发包人承担。</w:t>
      </w:r>
    </w:p>
    <w:p w14:paraId="38809D9C">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960" w:name="_Toc11591"/>
      <w:bookmarkStart w:id="961" w:name="_Toc100907348"/>
      <w:bookmarkStart w:id="962" w:name="_Toc100907022"/>
      <w:r>
        <w:rPr>
          <w:rFonts w:hint="eastAsia" w:ascii="宋体" w:hAnsi="宋体" w:eastAsia="宋体" w:cs="宋体"/>
          <w:b w:val="0"/>
          <w:bCs/>
          <w:color w:val="000000" w:themeColor="text1"/>
          <w:sz w:val="21"/>
          <w:szCs w:val="21"/>
          <w14:textFill>
            <w14:solidFill>
              <w14:schemeClr w14:val="tx1"/>
            </w14:solidFill>
          </w14:textFill>
        </w:rPr>
        <w:t>3.3 工程师</w:t>
      </w:r>
      <w:bookmarkEnd w:id="960"/>
      <w:bookmarkEnd w:id="961"/>
      <w:bookmarkEnd w:id="962"/>
      <w:r>
        <w:rPr>
          <w:rFonts w:hint="eastAsia" w:ascii="宋体" w:hAnsi="宋体" w:eastAsia="宋体" w:cs="宋体"/>
          <w:b w:val="0"/>
          <w:bCs/>
          <w:color w:val="000000" w:themeColor="text1"/>
          <w:sz w:val="21"/>
          <w:szCs w:val="21"/>
          <w14:textFill>
            <w14:solidFill>
              <w14:schemeClr w14:val="tx1"/>
            </w14:solidFill>
          </w14:textFill>
        </w:rPr>
        <w:t xml:space="preserve"> </w:t>
      </w:r>
    </w:p>
    <w:p w14:paraId="5CE623C4">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3.3.1 发包人需对承包人的设计、采购、施工、服务等工作过程或过程节点实施监督管理的，有权委任工程师。工程师的名称、监督管理范围、内容和权限在专用合同条件中写明。根据国家相关法律法规规定，如本合同工程属于强制监理项目的，由工程师履行法定的监理相关职责，但发包人另行授权第三方进行监理的除外。</w:t>
      </w:r>
    </w:p>
    <w:p w14:paraId="60C94F7A">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3.3.2 工程师按发包人委托的范围、内容、职权和权限，代表发包人对承包人实施监督管理。若承包人认为工程师行使的职权不在发包人委托的授权范围之内的，则其有权拒绝执行工程师的相关指示，同时应及时通知发包人，发包人书面确认工程师相关指示的，承包人应遵照执行。</w:t>
      </w:r>
    </w:p>
    <w:p w14:paraId="3518C11D">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3.3.3 在发包人和承包人之间提供证明、行使决定权或处理权时，工程师应作为独立专业的第三方，根据自己的专业技能和判断进行工作。但工程师或其人员均无权修改合同，且无权减轻或免除合同当事人的任何责任与义务。</w:t>
      </w:r>
    </w:p>
    <w:p w14:paraId="2AC2C8B1">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3.3.4 通用合同条件中约定由工程师行使的职权如不在发包人对工程师的授权范围内的，则视为没有取得授权，该职权应由发包人或发包人指定的其他人员行使。若承包人认为工程师的职权与发包人（包括其人员）的职权相重叠或不明确时，应及时通知发包人，由发包人予以协调和明确并以书面形式通知承包人。</w:t>
      </w:r>
    </w:p>
    <w:p w14:paraId="43158146">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963" w:name="_Toc4688"/>
      <w:bookmarkStart w:id="964" w:name="_Toc100907349"/>
      <w:bookmarkStart w:id="965" w:name="_Toc100907023"/>
      <w:r>
        <w:rPr>
          <w:rFonts w:hint="eastAsia" w:ascii="宋体" w:hAnsi="宋体" w:eastAsia="宋体" w:cs="宋体"/>
          <w:b w:val="0"/>
          <w:bCs/>
          <w:color w:val="000000" w:themeColor="text1"/>
          <w:sz w:val="21"/>
          <w:szCs w:val="21"/>
          <w14:textFill>
            <w14:solidFill>
              <w14:schemeClr w14:val="tx1"/>
            </w14:solidFill>
          </w14:textFill>
        </w:rPr>
        <w:t>3.4 任命和授权</w:t>
      </w:r>
      <w:bookmarkEnd w:id="963"/>
      <w:bookmarkEnd w:id="964"/>
      <w:bookmarkEnd w:id="965"/>
    </w:p>
    <w:p w14:paraId="4D663565">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3.4.1 发包人应在发出开始工作通知前将工程师的任命通知承包人。更换工程师的，发包人应提前7天以书面形式通知承包人，并在通知中写明替换者的姓名、职务、职权、权限和任命时间。工程师超过2天不能履行职责的，应委派代表代行其职责，并通知承包人。</w:t>
      </w:r>
    </w:p>
    <w:p w14:paraId="223F1F76">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3.4.2 工程师可以授权其他人员负责执行其指派的一项或多项工作，但第3.6款[商定或确定]下的权利除外。工程师应将被授权人员的姓名及其授权范围通知承包人。被授权的人员在授权范围内发出的指示视为已得到工程师的同意，与工程师发出的指示具有同等效力。工程师撤销某项授权时，应将撤销授权的决定及时通知承包人。</w:t>
      </w:r>
    </w:p>
    <w:p w14:paraId="4235980E">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966" w:name="_Toc100907024"/>
      <w:bookmarkStart w:id="967" w:name="_Toc14626"/>
      <w:bookmarkStart w:id="968" w:name="_Toc100907350"/>
      <w:r>
        <w:rPr>
          <w:rFonts w:hint="eastAsia" w:ascii="宋体" w:hAnsi="宋体" w:eastAsia="宋体" w:cs="宋体"/>
          <w:b w:val="0"/>
          <w:bCs/>
          <w:color w:val="000000" w:themeColor="text1"/>
          <w:sz w:val="21"/>
          <w:szCs w:val="21"/>
          <w14:textFill>
            <w14:solidFill>
              <w14:schemeClr w14:val="tx1"/>
            </w14:solidFill>
          </w14:textFill>
        </w:rPr>
        <w:t>3.5 指示</w:t>
      </w:r>
      <w:bookmarkEnd w:id="966"/>
      <w:bookmarkEnd w:id="967"/>
      <w:bookmarkEnd w:id="968"/>
    </w:p>
    <w:p w14:paraId="46A14CA1">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3.5.1 工程师应按照发包人的授权发出指示。工程师的指示应采用书面形式，盖有工程师授权的项目管理机构章，并由工程师的授权人员签字。在紧急情况下，工程师的授权人员可以口头形式发出指示或当场签发临时书面指示，承包人应遵照执行。工程师应在授权人员发出口头指示或临时书面指示后24小时内发出书面确认函，在24小时内未发出书面确认函的，该口头指示或临时书面指示应被视为工程师的正式指示。</w:t>
      </w:r>
    </w:p>
    <w:p w14:paraId="4BCC98DF">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3.5.2 承包人收到工程师作出的指示后应遵照执行。如果任何此类指示构成一项变更时，应按照第13条[变更与调整]的约定办理。</w:t>
      </w:r>
    </w:p>
    <w:p w14:paraId="090706A3">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3.5.3 由于工程师未能按合同约定发出指示、指示延误或指示错误而导致承包人费用增加和（或）工期延误的，发包人应承担由此增加的费用和（或）工期延误，并向承包人支付合理利润。</w:t>
      </w:r>
    </w:p>
    <w:p w14:paraId="53F45A01">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969" w:name="_Toc100907025"/>
      <w:bookmarkStart w:id="970" w:name="_Toc12053"/>
      <w:bookmarkStart w:id="971" w:name="_Toc100907351"/>
      <w:r>
        <w:rPr>
          <w:rFonts w:hint="eastAsia" w:ascii="宋体" w:hAnsi="宋体" w:eastAsia="宋体" w:cs="宋体"/>
          <w:b w:val="0"/>
          <w:bCs/>
          <w:color w:val="000000" w:themeColor="text1"/>
          <w:sz w:val="21"/>
          <w:szCs w:val="21"/>
          <w14:textFill>
            <w14:solidFill>
              <w14:schemeClr w14:val="tx1"/>
            </w14:solidFill>
          </w14:textFill>
        </w:rPr>
        <w:t>3.6 商定或确定</w:t>
      </w:r>
      <w:bookmarkEnd w:id="969"/>
      <w:bookmarkEnd w:id="970"/>
      <w:bookmarkEnd w:id="971"/>
    </w:p>
    <w:p w14:paraId="44530FA9">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3.6.1 合同约定工程师应按照本款对任何事项进行商定或确定时，工程师应及时与合同当事人协商，尽量达成一致。工程师应将商定的结果以书面形式通知发包人和承包人，并由双方签署确认。</w:t>
      </w:r>
    </w:p>
    <w:p w14:paraId="032F235A">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3.6.2 除专用合同条件另有约定外，商定的期限应为工程师收到任何一方就商定事由发出的通知后42天内或工程师提出并经双方同意的其他期限。未能在该期限内达成一致的，由工程师按照合同约定审慎作出公正的确定。确定的期限应为商定的期限届满后42天内或工程师提出并经双方同意的其他期限。工程师应将确定的结果以书面形式通知发包人和承包人，并附详细依据。</w:t>
      </w:r>
    </w:p>
    <w:p w14:paraId="37A94EE2">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3.6.3 任何一方对工程师的确定有异议的，应在收到确定的结果后28天内向另一方发出书面异议通知并抄送工程师。除第19.2款[承包人索赔的处理程序]另有约定外，工程师未能在确定的期限内发出确定的结果通知的，或者任何一方发出对确定的结果有异议的通知的，则构成争议并应按照第20条[争议解决]的约定处理。如未在28天内发出上述通知的，工程师的确定应被视为已被双方接受并对双方具有约束力，但专用合同条件另有约定的除外。</w:t>
      </w:r>
    </w:p>
    <w:p w14:paraId="50B9A4AD">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3.6.4 在该争议解决前，双方应暂按工程师的确定执行。按照第20条[争议解决]的约定对工程师的确定作出修改的，按修改后的结果执行，由此导致承包人增加的费用和延误的工期由责任方承担。</w:t>
      </w:r>
    </w:p>
    <w:p w14:paraId="543D0FC3">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972" w:name="_Toc2421"/>
      <w:bookmarkStart w:id="973" w:name="_Toc100907026"/>
      <w:bookmarkStart w:id="974" w:name="_Toc100907352"/>
      <w:r>
        <w:rPr>
          <w:rFonts w:hint="eastAsia" w:ascii="宋体" w:hAnsi="宋体" w:eastAsia="宋体" w:cs="宋体"/>
          <w:b w:val="0"/>
          <w:bCs/>
          <w:color w:val="000000" w:themeColor="text1"/>
          <w:sz w:val="21"/>
          <w:szCs w:val="21"/>
          <w14:textFill>
            <w14:solidFill>
              <w14:schemeClr w14:val="tx1"/>
            </w14:solidFill>
          </w14:textFill>
        </w:rPr>
        <w:t>3.7 会议</w:t>
      </w:r>
      <w:bookmarkEnd w:id="972"/>
      <w:bookmarkEnd w:id="973"/>
      <w:bookmarkEnd w:id="974"/>
    </w:p>
    <w:p w14:paraId="5438E368">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3.7.1 除专用合同条件另有约定外，任何一方可向另一方发出通知，要求另一方出席会议，讨论工程的实施安排或与本合同履行有关的其他事项。发包人的其他承包人、承包人的分包人和其他第三方可应任何一方的请求出席任何此类会议。</w:t>
      </w:r>
    </w:p>
    <w:p w14:paraId="218FDB98">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3.7.2 除专用合同条件另有约定外，发包人应保存每次会议参加人签名的记录，并将会议纪要提供给出席会议的人员。任何根据此类会议以及会议纪要采取的行动应符合本合同的约定。</w:t>
      </w:r>
    </w:p>
    <w:p w14:paraId="2076A642">
      <w:pPr>
        <w:pStyle w:val="130"/>
        <w:wordWrap/>
        <w:topLinePunct w:val="0"/>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975" w:name="_Toc100907353"/>
      <w:bookmarkStart w:id="976" w:name="_Toc4957"/>
      <w:bookmarkStart w:id="977" w:name="_Toc100907027"/>
      <w:r>
        <w:rPr>
          <w:rFonts w:hint="eastAsia" w:ascii="宋体" w:hAnsi="宋体" w:eastAsia="宋体" w:cs="宋体"/>
          <w:b w:val="0"/>
          <w:bCs/>
          <w:color w:val="000000" w:themeColor="text1"/>
          <w:sz w:val="21"/>
          <w:szCs w:val="21"/>
          <w14:textFill>
            <w14:solidFill>
              <w14:schemeClr w14:val="tx1"/>
            </w14:solidFill>
          </w14:textFill>
        </w:rPr>
        <w:t>第4条 承包人</w:t>
      </w:r>
      <w:bookmarkEnd w:id="975"/>
      <w:bookmarkEnd w:id="976"/>
      <w:bookmarkEnd w:id="977"/>
    </w:p>
    <w:p w14:paraId="03779D28">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978" w:name="_Toc100907028"/>
      <w:bookmarkStart w:id="979" w:name="_Toc378"/>
      <w:bookmarkStart w:id="980" w:name="_Toc100907354"/>
      <w:r>
        <w:rPr>
          <w:rFonts w:hint="eastAsia" w:ascii="宋体" w:hAnsi="宋体" w:eastAsia="宋体" w:cs="宋体"/>
          <w:b w:val="0"/>
          <w:bCs/>
          <w:color w:val="000000" w:themeColor="text1"/>
          <w:sz w:val="21"/>
          <w:szCs w:val="21"/>
          <w14:textFill>
            <w14:solidFill>
              <w14:schemeClr w14:val="tx1"/>
            </w14:solidFill>
          </w14:textFill>
        </w:rPr>
        <w:t>4.1 承包人的一般义务</w:t>
      </w:r>
      <w:bookmarkEnd w:id="978"/>
      <w:bookmarkEnd w:id="979"/>
      <w:bookmarkEnd w:id="980"/>
      <w:r>
        <w:rPr>
          <w:rFonts w:hint="eastAsia" w:ascii="宋体" w:hAnsi="宋体" w:eastAsia="宋体" w:cs="宋体"/>
          <w:b w:val="0"/>
          <w:bCs/>
          <w:color w:val="000000" w:themeColor="text1"/>
          <w:sz w:val="21"/>
          <w:szCs w:val="21"/>
          <w14:textFill>
            <w14:solidFill>
              <w14:schemeClr w14:val="tx1"/>
            </w14:solidFill>
          </w14:textFill>
        </w:rPr>
        <w:t xml:space="preserve"> </w:t>
      </w:r>
    </w:p>
    <w:p w14:paraId="10E8B332">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除专用合同条件另有约定外，承包人在履行合同过程中应遵守法律和工程建设标准规范，并履行以下义务：</w:t>
      </w:r>
    </w:p>
    <w:p w14:paraId="24FC4E07">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 办理法律规定和合同约定由承包人办理的许可和批准，将办理结果书面报送发包人留存，并承担因承包人违反法律或合同约定给发包人造成的任何费用和损失；</w:t>
      </w:r>
    </w:p>
    <w:p w14:paraId="7A822526">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（2） 按合同约定完成全部工作并在缺陷责任期和保修期内承担缺陷保证责任和保修义务，对工作中的任何缺陷进行整改、完善和修补，使其满足合同约定的目的；</w:t>
      </w:r>
    </w:p>
    <w:p w14:paraId="4ED294B3">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（3） 提供合同约定的工程设备和承包人文件，以及为完成合同工作所需的劳务、材料、施工设备和其他物品，并按合同约定负责临时设施的设计、施工、运行、维护、管理和拆除；</w:t>
      </w:r>
    </w:p>
    <w:p w14:paraId="0B06C8A2">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（4） 按合同约定的工作内容和进度要求，编制设计、施工的组织和实施计划，保证项目进度计划的实现，并对所有设计、施工作业和施工方法，以及全部工程的完备性和安全可靠性负责；</w:t>
      </w:r>
    </w:p>
    <w:p w14:paraId="09EFC3FA">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（5） 按法律规定和合同约定采取安全文明施工、职业健康和环境保护措施，办理员工工伤保险等相关保险，确保工程及人员、材料、设备和设施的安全，防止因工程实施造成的人身伤害和财产损失；</w:t>
      </w:r>
    </w:p>
    <w:p w14:paraId="78F7E616">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（6） 将发包人按合同约定支付的各项价款专用于合同工程，且应及时支付其雇用人员（包括建筑工人）工资，并及时向分包人支付合同价款；</w:t>
      </w:r>
    </w:p>
    <w:p w14:paraId="5943759E">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（7） 在进行合同约定的各项工作时，不得侵害发包人与他人使用公用道路、水源、市政管网等公共设施的权利，避免对邻近的公共设施产生干扰。</w:t>
      </w:r>
    </w:p>
    <w:p w14:paraId="6B3A410E">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981" w:name="_Toc100907355"/>
      <w:bookmarkStart w:id="982" w:name="_Toc20180"/>
      <w:bookmarkStart w:id="983" w:name="_Toc100907029"/>
      <w:r>
        <w:rPr>
          <w:rFonts w:hint="eastAsia" w:ascii="宋体" w:hAnsi="宋体" w:eastAsia="宋体" w:cs="宋体"/>
          <w:b w:val="0"/>
          <w:bCs/>
          <w:color w:val="000000" w:themeColor="text1"/>
          <w:sz w:val="21"/>
          <w:szCs w:val="21"/>
          <w14:textFill>
            <w14:solidFill>
              <w14:schemeClr w14:val="tx1"/>
            </w14:solidFill>
          </w14:textFill>
        </w:rPr>
        <w:t>4.2 履约担保</w:t>
      </w:r>
      <w:bookmarkEnd w:id="981"/>
      <w:bookmarkEnd w:id="982"/>
      <w:bookmarkEnd w:id="983"/>
    </w:p>
    <w:p w14:paraId="5BC19BE2">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发包人需要承包人提供履约担保的，由合同当事人在专用合同条件中约定履约担保的方式、金额及提交的时间等，并应符合第2.5款[支付合同价款]的规定。履约担保可以采用银行保函或担保公司担保等形式，承包人为联合体的，其履约担保由联合体各方或者联合体中牵头人的名义代表联合体提交，具体由合同当事人在专用合同条件中约定。</w:t>
      </w:r>
    </w:p>
    <w:p w14:paraId="5741291C">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承包人应保证其履约担保在发包人竣工验收前一直有效，发包人应在竣工验收合格后7天内将履约担保款项退还给承包人或者解除履约担保。</w:t>
      </w:r>
    </w:p>
    <w:p w14:paraId="0E28CFB8">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因承包人原因导致工期延长的，继续提供履约担保所增加的费用由承包人承担；非因承包人原因导致工期延长的，继续提供履约担保所增加的费用由发包人承担。</w:t>
      </w:r>
    </w:p>
    <w:p w14:paraId="3F5019EC">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984" w:name="_Toc11813"/>
      <w:bookmarkStart w:id="985" w:name="_Toc100907356"/>
      <w:bookmarkStart w:id="986" w:name="_Toc100907030"/>
      <w:r>
        <w:rPr>
          <w:rFonts w:hint="eastAsia" w:ascii="宋体" w:hAnsi="宋体" w:eastAsia="宋体" w:cs="宋体"/>
          <w:b w:val="0"/>
          <w:bCs/>
          <w:color w:val="000000" w:themeColor="text1"/>
          <w:sz w:val="21"/>
          <w:szCs w:val="21"/>
          <w14:textFill>
            <w14:solidFill>
              <w14:schemeClr w14:val="tx1"/>
            </w14:solidFill>
          </w14:textFill>
        </w:rPr>
        <w:t>4.3 工程总承包项目经理</w:t>
      </w:r>
      <w:bookmarkEnd w:id="984"/>
      <w:bookmarkEnd w:id="985"/>
      <w:bookmarkEnd w:id="986"/>
    </w:p>
    <w:p w14:paraId="4903C795">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4.3.1 工程总承包项目经理应为合同当事人所确认的人选，并在专用合同条件中明确工程总承包项目经理的姓名、注册执业资格或职称、联系方式及授权范围等事项。工程总承包项目经理应具备履行其职责所需的资格、经验和能力，并为承包人正式聘用的员工，承包人应向发包人提交工程总承包项目经理与承包人之间的劳动合同，以及承包人为工程总承包项目经理缴纳社会保险的有效证明。承包人不提交上述文件的，工程总承包项目经理无权履行职责，发包人有权要求更换工程总承包项目经理，由此增加的费用和（或）延误的工期由承包人承担。同时，发包人有权根据专用合同条件约定要求承包人承担违约责任。</w:t>
      </w:r>
    </w:p>
    <w:p w14:paraId="02132751">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4.3.2 承包人应按合同协议书的约定指派工程总承包项目经理，并在约定的期限内到职。工程总承包项目经理不得同时担任其他工程项目的工程总承包项目经理或施工工程总承包项目经理（含施工总承包工程、专业承包工程）。工程在现场实施的全部时间内，工程总承包项目经理每月在施工现场时间不得少于专用合同条件约定的天数。工程总承包项目经理确需离开施工现场时，应事先通知工程师，并取得发包人的书面同意。工程总承包项目经理未经批准擅自离开施工现场的，承包人应按照专用合同条件的约定承担违约责任。工程总承包项目经理的通知中应当载明临时代行其职责的人员的注册执业资格、管理经验等资料，该人员应具备履行相应职责的资格、经验和能力。</w:t>
      </w:r>
    </w:p>
    <w:p w14:paraId="50C468AD">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4.3.3 承包人应根据本合同的约定授予工程总承包项目经理代表承包人履行合同所需的权利，工程总承包项目经理权限以专用合同条件中约定的权限为准。经承包人授权后，工程总承包项目经理应按合同约定以及工程师按第3.5款[指示]作出的指示，代表承包人负责组织合同的实施。在紧急情况下，且无法与发包人和工程师取得联系时，工程总承包项目经理有权采取必要的措施保证人身、工程和财产的安全，但须在事后48小时内向工程师送交书面报告。</w:t>
      </w:r>
    </w:p>
    <w:p w14:paraId="0399027A">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4.3.4 承包人需要更换工程总承包项目经理的，应提前14天书面通知发包人并抄送工程师，征得发包人书面同意。通知中应当载明继任工程总承包项目经理的注册执业资格、管理经验等资料，继任工程总承包项目经理继续履行本合同约定的职责。未经发包人书面同意，承包人不得擅自更换工程总承包项目经理，在发包人未予以书面回复期间内，工程总承包项目经理将继续履行其职责。工程总承包项目经理突发丧失履行职务能力的，承包人应当及时委派一位具有相应资格能力的人员担任临时工程总承包项目经理，履行工程总承包项目经理的职责，临时工程总承包项目经理将履行职责直至发包人同意新的工程总承包项目经理的任命之日止。承包人擅自更换工程总承包项目经理的，应按照专用合同条件的约定承担违约责任。</w:t>
      </w:r>
    </w:p>
    <w:p w14:paraId="3DD9968B">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4.3.5 发包人有权书面通知承包人要求更换其认为不称职的工程总承包项目经理，通知中应当载明要求更换的理由。承包人应在接到更换通知后14天内向发包人提出书面的改进报告。如承包人没有提出改进报告，应在收到更换通知后28天内更换项目经理。发包人收到改进报告后仍要求更换的，承包人应在接到第二次更换通知的28天内进行更换，并将新任命的工程总承包项目经理的注册执业资格、管理经验等资料书面通知发包人。继任工程总承包项目经理继续履行本合同约定的职责。承包人无正当理由拒绝更换工程总承包项目经理的，应按照专用合同条件的约定承担违约责任。</w:t>
      </w:r>
    </w:p>
    <w:p w14:paraId="45C82AFE">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4.3.6 工程总承包项目经理因特殊情况授权其下属人员履行其某项工作职责的，该下属人员应具备履行相应职责的能力，并应事先将上述人员的姓名、注册执业资格、管理经验等信息和授权范围书面通知发包人并抄送工程师，征得发包人书面同意。</w:t>
      </w:r>
    </w:p>
    <w:p w14:paraId="6F6E854D">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987" w:name="_Toc100907031"/>
      <w:bookmarkStart w:id="988" w:name="_Toc100907357"/>
      <w:bookmarkStart w:id="989" w:name="_Toc20170"/>
      <w:r>
        <w:rPr>
          <w:rFonts w:hint="eastAsia" w:ascii="宋体" w:hAnsi="宋体" w:eastAsia="宋体" w:cs="宋体"/>
          <w:b w:val="0"/>
          <w:bCs/>
          <w:color w:val="000000" w:themeColor="text1"/>
          <w:sz w:val="21"/>
          <w:szCs w:val="21"/>
          <w14:textFill>
            <w14:solidFill>
              <w14:schemeClr w14:val="tx1"/>
            </w14:solidFill>
          </w14:textFill>
        </w:rPr>
        <w:t>4.4 承包人人员</w:t>
      </w:r>
      <w:bookmarkEnd w:id="987"/>
      <w:bookmarkEnd w:id="988"/>
      <w:bookmarkEnd w:id="989"/>
    </w:p>
    <w:p w14:paraId="2712889E">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4.4.1 人员安排</w:t>
      </w:r>
    </w:p>
    <w:p w14:paraId="060DB63B">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承包人人员的资质、数量、配置和管理应能满足工程实施的需要。除专用合同条件另有约定外，承包人应在接到开始工作通知之日起14天内，向工程师提交承包人的项目管理机构以及人员安排的报告，其内容应包括管理机构的设置、各主要岗位的关键人员名单及注册执业资格等证明其具备担任关键人员能力的相关文件，以及设计人员和各工种技术负责人的安排状况。</w:t>
      </w:r>
    </w:p>
    <w:p w14:paraId="6EC9CBF4">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关键人员是发包人及承包人一致认为对工程建设起重要作用的承包人主要管理人员或技术人员。关键人员的具体范围由发包人及承包人在附件5[承包人主要管理人员表]中另行约定。</w:t>
      </w:r>
    </w:p>
    <w:p w14:paraId="0F218EFB">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4.4.2 关键人员更换</w:t>
      </w:r>
    </w:p>
    <w:p w14:paraId="7C177C01">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承包人派驻到施工现场的关键人员应相对稳定。承包人更换关键人员时，应提前14天将继任关键人员信息及相关证明文件提交给工程师，并由工程师报发包人征求同意。在发包人未予以书面回复期间内，关键人员将继续履行其职务。关键人员突发丧失履行职务能力的，承包人应当及时委派一位具有相应资格能力的人员临时继任该关键人员职位，履行该关键人员职责，临时继任关键人员将履行职责直至发包人同意新的关键人员任命之日止。承包人擅自更换关键人员，应按照专用合同条件约定承担违约责任。</w:t>
      </w:r>
    </w:p>
    <w:p w14:paraId="3C54DD7E">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工程师对于承包人关键人员的资格或能力有异议的，承包人应提供资料证明被质疑人员有能力完成其岗位工作或不存在工程师所质疑的情形。工程师指示撤换不能按照合同约定履行职责及义务的主要施工管理人员的，承包人应当撤换。承包人无正当理由拒绝撤换的，应按照专用合同条件的约定承担违约责任。</w:t>
      </w:r>
    </w:p>
    <w:p w14:paraId="0DD6600C">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4.4.3 现场管理关键人员在岗要求</w:t>
      </w:r>
    </w:p>
    <w:p w14:paraId="28C15915">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除专用合同条件另有约定外，承包人的现场管理关键人员离开施工现场每月累计不超过7天的，应报工程师同意；离开施工现场每月累计超过7天的，应书面通知发包人并抄送工程师，征得发包人书面同意。现场管理关键人员因故离开施工现场的，可授权有经验的人员临时代行其职责，但承包人应将被授权人员信息及授权范围书面通知发包人并取得其同意。现场管理关键人员未经工程师或发包人同意擅自离开施工现场的，应按照专用合同条件约定承担违约责任。</w:t>
      </w:r>
    </w:p>
    <w:p w14:paraId="5A8D398D">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990" w:name="_Toc13059"/>
      <w:bookmarkStart w:id="991" w:name="_Toc100907358"/>
      <w:bookmarkStart w:id="992" w:name="_Toc100907032"/>
      <w:r>
        <w:rPr>
          <w:rFonts w:hint="eastAsia" w:ascii="宋体" w:hAnsi="宋体" w:eastAsia="宋体" w:cs="宋体"/>
          <w:b w:val="0"/>
          <w:bCs/>
          <w:color w:val="000000" w:themeColor="text1"/>
          <w:sz w:val="21"/>
          <w:szCs w:val="21"/>
          <w14:textFill>
            <w14:solidFill>
              <w14:schemeClr w14:val="tx1"/>
            </w14:solidFill>
          </w14:textFill>
        </w:rPr>
        <w:t>4.5 分包</w:t>
      </w:r>
      <w:bookmarkEnd w:id="990"/>
      <w:bookmarkEnd w:id="991"/>
      <w:bookmarkEnd w:id="992"/>
      <w:r>
        <w:rPr>
          <w:rFonts w:hint="eastAsia" w:ascii="宋体" w:hAnsi="宋体" w:eastAsia="宋体" w:cs="宋体"/>
          <w:b w:val="0"/>
          <w:bCs/>
          <w:color w:val="000000" w:themeColor="text1"/>
          <w:sz w:val="21"/>
          <w:szCs w:val="21"/>
          <w14:textFill>
            <w14:solidFill>
              <w14:schemeClr w14:val="tx1"/>
            </w14:solidFill>
          </w14:textFill>
        </w:rPr>
        <w:t xml:space="preserve"> </w:t>
      </w:r>
    </w:p>
    <w:p w14:paraId="348EC754">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4.5.1 一般约定</w:t>
      </w:r>
    </w:p>
    <w:p w14:paraId="2886A747">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承包人不得将其承包的全部工程转包给第三人，或将其承包的全部工程肢解后以分包的名义转包给第三人。承包人不得将法律或专用合同条件中禁止分包的工作事项分包给第三人，不得以劳务分包的名义转包或违法分包工程。</w:t>
      </w:r>
    </w:p>
    <w:p w14:paraId="2AE93590">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4.5.2 分包的确定</w:t>
      </w:r>
    </w:p>
    <w:p w14:paraId="14C81EB8">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承包人应按照专用合同条件约定对工作事项进行分包，确定分包人。</w:t>
      </w:r>
    </w:p>
    <w:p w14:paraId="4E9C6998">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专用合同条件未列出的分包事项，承包人可在工程实施阶段分批分期就分包事项向发包人提交申请，发包人在接到分包事项申请后的14天内，予以批准或提出意见。未经发包人同意，承包人不得将提出的拟分包事项对外分包。发包人未能在14天内批准亦未提出意见的，承包人有权将提出的拟分包事项对外分包，但应在分包人确定后通知发包人。</w:t>
      </w:r>
    </w:p>
    <w:p w14:paraId="32B65D7B">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4.5.3 分包人资质</w:t>
      </w:r>
    </w:p>
    <w:p w14:paraId="113FD247">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分包人应符合国家法律规定的资质等级，否则不能作为分包人。承包人有义务对分包人的资质进行审查。</w:t>
      </w:r>
    </w:p>
    <w:p w14:paraId="6EDCE06A">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4.5.4 分包管理</w:t>
      </w:r>
    </w:p>
    <w:p w14:paraId="58AD0E45">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承包人应当对分包人的工作进行必要的协调与管理，确保分包人严格执行国家有关分包事项的管理规定。承包人应向工程师提交分包人的主要管理人员表，并对分包人的工作人员进行实名制管理，包括但不限于进出场管理、登记造册以及各种证照的办理。</w:t>
      </w:r>
    </w:p>
    <w:p w14:paraId="19870AFE">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4.5.5 分包合同价款支付</w:t>
      </w:r>
    </w:p>
    <w:p w14:paraId="071DAFAB">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 除本项第（2）目约定的情况或专用合同条件另有约定外，分包合同价款由承包人与分包人结算，未经承包人同意，发包人不得向分包人支付分包合同价款；</w:t>
      </w:r>
    </w:p>
    <w:p w14:paraId="5114389F">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（2） 生效法律文书要求发包人向分包人支付分包合同价款的，发包人有权从应付承包人工程款中扣除该部分款项，将扣款直接支付给分包人，并书面通知承包人。</w:t>
      </w:r>
    </w:p>
    <w:p w14:paraId="104EB4FF">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4.5.6 责任承担</w:t>
      </w:r>
    </w:p>
    <w:p w14:paraId="3FBCFAAA">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承包人对分包人的行为向发包人负责，承包人和分包人就分包工作向发包人承担连带责任。</w:t>
      </w:r>
    </w:p>
    <w:p w14:paraId="710D993E">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993" w:name="_Toc28172"/>
      <w:bookmarkStart w:id="994" w:name="_Toc100907033"/>
      <w:bookmarkStart w:id="995" w:name="_Toc100907359"/>
      <w:r>
        <w:rPr>
          <w:rFonts w:hint="eastAsia" w:ascii="宋体" w:hAnsi="宋体" w:eastAsia="宋体" w:cs="宋体"/>
          <w:b w:val="0"/>
          <w:bCs/>
          <w:color w:val="000000" w:themeColor="text1"/>
          <w:sz w:val="21"/>
          <w:szCs w:val="21"/>
          <w14:textFill>
            <w14:solidFill>
              <w14:schemeClr w14:val="tx1"/>
            </w14:solidFill>
          </w14:textFill>
        </w:rPr>
        <w:t>4.6 联合体</w:t>
      </w:r>
      <w:bookmarkEnd w:id="993"/>
      <w:bookmarkEnd w:id="994"/>
      <w:bookmarkEnd w:id="995"/>
    </w:p>
    <w:p w14:paraId="0EA8AA61">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4.6.1 经发包人同意，以联合体方式承包工程的，联合体各方应共同与发包人订立合同协议书。联合体各方应为履行合同向发包人承担连带责任。</w:t>
      </w:r>
    </w:p>
    <w:p w14:paraId="545EEAE4">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4.6.2 承包人应在专用合同条件中明确联合体各成员的分工、费用收取、发票开具等事项。联合体各成员分工承担的工作内容必须与适用法律规定的该成员的资质资格相适应，并应具有相应的项目管理体系和项目管理能力，且不应根据其就承包工作的分工而减免对发包人的任何合同责任。</w:t>
      </w:r>
    </w:p>
    <w:p w14:paraId="47CA4A48">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4.6.3 联合体协议经发包人确认后作为合同附件。在履行合同过程中，未经发包人同意，不得变更联合体成员和其负责的工作范围，或者修改联合体协议中与本合同履行相关的内容。</w:t>
      </w:r>
    </w:p>
    <w:p w14:paraId="736C1845">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996" w:name="_Toc100907034"/>
      <w:bookmarkStart w:id="997" w:name="_Toc100907360"/>
      <w:bookmarkStart w:id="998" w:name="_Toc5955"/>
      <w:r>
        <w:rPr>
          <w:rFonts w:hint="eastAsia" w:ascii="宋体" w:hAnsi="宋体" w:eastAsia="宋体" w:cs="宋体"/>
          <w:b w:val="0"/>
          <w:bCs/>
          <w:color w:val="000000" w:themeColor="text1"/>
          <w:sz w:val="21"/>
          <w:szCs w:val="21"/>
          <w14:textFill>
            <w14:solidFill>
              <w14:schemeClr w14:val="tx1"/>
            </w14:solidFill>
          </w14:textFill>
        </w:rPr>
        <w:t>4.7 承包人现场查勘</w:t>
      </w:r>
      <w:bookmarkEnd w:id="996"/>
      <w:bookmarkEnd w:id="997"/>
      <w:bookmarkEnd w:id="998"/>
    </w:p>
    <w:p w14:paraId="1D63009E">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4.7.1 除专用合同条件另有约定外，承包人应对基于发包人提交的基础资料所做出的解释和推断负责，因基础资料存在错误、遗漏导致承包人解释或推断失实的，按照第2.3项[提供基础资料]的规定承担责任。承包人发现基础资料中存在明显错误或疏忽的，应及时书面通知发包人。</w:t>
      </w:r>
    </w:p>
    <w:p w14:paraId="6694939D">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4.7.2 承包人应对现场和工程实施条件进行查勘，并充分了解工程所在地的气象条件、交通条件、风俗习惯以及其他与完成合同工作有关的其他资料。承包人提交投标文件，视为承包人已对施工现场及周围环境进行了踏勘，并已充分了解评估施工现场及周围环境对工程可能产生的影响，自愿承担相应风险与责任。在全部合同工作中，视为承包人已充分估计了应承担的责任和风险，但属于4.8款[不可预见的困难]约定的情形除外。</w:t>
      </w:r>
    </w:p>
    <w:p w14:paraId="7812873C">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999" w:name="_Toc6240"/>
      <w:bookmarkStart w:id="1000" w:name="_Toc100907035"/>
      <w:bookmarkStart w:id="1001" w:name="_Toc100907361"/>
      <w:r>
        <w:rPr>
          <w:rFonts w:hint="eastAsia" w:ascii="宋体" w:hAnsi="宋体" w:eastAsia="宋体" w:cs="宋体"/>
          <w:b w:val="0"/>
          <w:bCs/>
          <w:color w:val="000000" w:themeColor="text1"/>
          <w:sz w:val="21"/>
          <w:szCs w:val="21"/>
          <w14:textFill>
            <w14:solidFill>
              <w14:schemeClr w14:val="tx1"/>
            </w14:solidFill>
          </w14:textFill>
        </w:rPr>
        <w:t>4.8 不可预见的困难</w:t>
      </w:r>
      <w:bookmarkEnd w:id="999"/>
      <w:bookmarkEnd w:id="1000"/>
      <w:bookmarkEnd w:id="1001"/>
      <w:r>
        <w:rPr>
          <w:rFonts w:hint="eastAsia" w:ascii="宋体" w:hAnsi="宋体" w:eastAsia="宋体" w:cs="宋体"/>
          <w:b w:val="0"/>
          <w:bCs/>
          <w:color w:val="000000" w:themeColor="text1"/>
          <w:sz w:val="21"/>
          <w:szCs w:val="21"/>
          <w14:textFill>
            <w14:solidFill>
              <w14:schemeClr w14:val="tx1"/>
            </w14:solidFill>
          </w14:textFill>
        </w:rPr>
        <w:t xml:space="preserve"> </w:t>
      </w:r>
    </w:p>
    <w:p w14:paraId="606CA68F">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不可预见的困难是指有经验的承包人在施工现场遇到的不可预见的自然物质条件、非自然的物质障碍和污染物，包括地表以下物质条件和水文条件以及专用合同条件约定的其他情形，但不包括气候条件。</w:t>
      </w:r>
    </w:p>
    <w:p w14:paraId="61F4C1BC">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承包人遇到不可预见的困难时，应采取克服不可预见的困难的合理措施继续施工，并及时通知工程师并抄送发包人。通知应载明不可预见的困难的内容、承包人认为不可预见的理由以及承包人制定的处理方案。工程师应当及时发出指示，指示构成变更的，按第13条[变更与调整]约定执行。承包人因采取合理措施而增加的费用和（或）延误的工期由发包人承担。</w:t>
      </w:r>
    </w:p>
    <w:p w14:paraId="4C1A2607">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002" w:name="_Toc15280"/>
      <w:bookmarkStart w:id="1003" w:name="_Toc100907362"/>
      <w:bookmarkStart w:id="1004" w:name="_Toc100907036"/>
      <w:r>
        <w:rPr>
          <w:rFonts w:hint="eastAsia" w:ascii="宋体" w:hAnsi="宋体" w:eastAsia="宋体" w:cs="宋体"/>
          <w:b w:val="0"/>
          <w:bCs/>
          <w:color w:val="000000" w:themeColor="text1"/>
          <w:sz w:val="21"/>
          <w:szCs w:val="21"/>
          <w14:textFill>
            <w14:solidFill>
              <w14:schemeClr w14:val="tx1"/>
            </w14:solidFill>
          </w14:textFill>
        </w:rPr>
        <w:t>4.9 工程质量管理</w:t>
      </w:r>
      <w:bookmarkEnd w:id="1002"/>
      <w:bookmarkEnd w:id="1003"/>
      <w:bookmarkEnd w:id="1004"/>
    </w:p>
    <w:p w14:paraId="147B29DB">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4.9.1 承包人应按合同约定的质量标准规范，建立有效的质量管理系统，确保设计、采购、加工制造、施工、竣工试验等各项工作的质量，并按照国家有关规定，通过质量保修责任书的形式约定保修范围、保修期限和保修责任。</w:t>
      </w:r>
    </w:p>
    <w:p w14:paraId="254662A0">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4.9.2 承包人按照第8.4款[项目进度计划]约定向工程师提交工程质量保证体系及措施文件，建立完善的质量检查制度，并提交相应的工程质量文件。对于发包人和工程师违反法律规定和合同约定的错误指示，承包人有权拒绝实施。</w:t>
      </w:r>
    </w:p>
    <w:p w14:paraId="6DCEE14A">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4.9.3 承包人应对其人员进行质量教育和技术培训，定期考核人员的劳动技能，严格执行相关规范和操作规程。</w:t>
      </w:r>
    </w:p>
    <w:p w14:paraId="6F580F3B">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4.9.4 承包人应按照法律规定和合同约定，对设计、材料、工程设备以及全部工程内容及其施工工艺进行全过程的质量检查和检验，并作详细记录，编制工程质量报表，报送工程师审查。此外，承包人还应按照法律规定和合同约定，进行施工现场取样试验、工程复核测量和设备性能检测，提供试验样品、提交试验报告和测量成果以及其他工作。</w:t>
      </w:r>
    </w:p>
    <w:p w14:paraId="26DD9D34">
      <w:pPr>
        <w:pStyle w:val="130"/>
        <w:wordWrap/>
        <w:topLinePunct w:val="0"/>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005" w:name="_Toc18167"/>
      <w:bookmarkStart w:id="1006" w:name="_Toc100907363"/>
      <w:bookmarkStart w:id="1007" w:name="_Toc100907037"/>
      <w:r>
        <w:rPr>
          <w:rFonts w:hint="eastAsia" w:ascii="宋体" w:hAnsi="宋体" w:eastAsia="宋体" w:cs="宋体"/>
          <w:b w:val="0"/>
          <w:bCs/>
          <w:color w:val="000000" w:themeColor="text1"/>
          <w:sz w:val="21"/>
          <w:szCs w:val="21"/>
          <w14:textFill>
            <w14:solidFill>
              <w14:schemeClr w14:val="tx1"/>
            </w14:solidFill>
          </w14:textFill>
        </w:rPr>
        <w:t>第5条 设计</w:t>
      </w:r>
      <w:bookmarkEnd w:id="1005"/>
      <w:bookmarkEnd w:id="1006"/>
      <w:bookmarkEnd w:id="1007"/>
    </w:p>
    <w:p w14:paraId="6E081958">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008" w:name="_Toc100907364"/>
      <w:bookmarkStart w:id="1009" w:name="_Toc18927"/>
      <w:bookmarkStart w:id="1010" w:name="_Toc100907038"/>
      <w:r>
        <w:rPr>
          <w:rFonts w:hint="eastAsia" w:ascii="宋体" w:hAnsi="宋体" w:eastAsia="宋体" w:cs="宋体"/>
          <w:b w:val="0"/>
          <w:bCs/>
          <w:color w:val="000000" w:themeColor="text1"/>
          <w:sz w:val="21"/>
          <w:szCs w:val="21"/>
          <w14:textFill>
            <w14:solidFill>
              <w14:schemeClr w14:val="tx1"/>
            </w14:solidFill>
          </w14:textFill>
        </w:rPr>
        <w:t>5.1 承包人的设计义务</w:t>
      </w:r>
      <w:bookmarkEnd w:id="1008"/>
      <w:bookmarkEnd w:id="1009"/>
      <w:bookmarkEnd w:id="1010"/>
      <w:r>
        <w:rPr>
          <w:rFonts w:hint="eastAsia" w:ascii="宋体" w:hAnsi="宋体" w:eastAsia="宋体" w:cs="宋体"/>
          <w:b w:val="0"/>
          <w:bCs/>
          <w:color w:val="000000" w:themeColor="text1"/>
          <w:sz w:val="21"/>
          <w:szCs w:val="21"/>
          <w14:textFill>
            <w14:solidFill>
              <w14:schemeClr w14:val="tx1"/>
            </w14:solidFill>
          </w14:textFill>
        </w:rPr>
        <w:t xml:space="preserve"> </w:t>
      </w:r>
    </w:p>
    <w:p w14:paraId="5BE3BC61">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5.1.1 设计义务的一般要求</w:t>
      </w:r>
    </w:p>
    <w:p w14:paraId="29F3DF48">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承包人应当按照法律规定，国家、行业和地方的规范和标准，以及《发包人要求》和合同约定完成设计工作和设计相关的其他服务，并对工程的设计负责。承包人应根据工程实施的需要及时向发包人和工程师说明设计文件的意图，解释设计文件。</w:t>
      </w:r>
    </w:p>
    <w:p w14:paraId="29E401BE">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5.1.2 对设计人员的要求</w:t>
      </w:r>
    </w:p>
    <w:p w14:paraId="5CE4F801">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承包人应保证其或其设计分包人的设计资质在合同有效期内满足法律法规、行业标准或合同约定的相关要求，并指派符合法律法规、行业标准或合同约定的资质要求并具有从事设计所必需的经验与能力的设计人员完成设计工作。承包人应保证其设计人员（包括分包人的设计人员）在合同期限内，都能按时参加发包人或工程师组织的工作会议。</w:t>
      </w:r>
    </w:p>
    <w:p w14:paraId="647C49CF">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5.1.3 法律和标准的变化</w:t>
      </w:r>
    </w:p>
    <w:p w14:paraId="7A521F9F">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除合同另有约定外，承包人完成设计工作所应遵守的法律规定，以及国家、行业和地方的规范和标准，均应视为在基准日期适用的版本。基准日期之后，前述版本发生重大变化，或者有新的法律，以及国家、行业和地方的规范和标准实施的，承包人应向工程师提出遵守新规定的建议。发包人或其委托的工程师应在收到建议后7天内发出是否遵守新规定的指示。如果该项建议构成变更的，按照第13.2款[承包人的合理化建议]的约定执行。</w:t>
      </w:r>
    </w:p>
    <w:p w14:paraId="4EC9CE2C">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在基准日期之后，因国家颁布新的强制性规范、标准导致承包人的费用变化的，发包人应合理调整合同价格；导致工期延误的，发包人应合理延长工期。</w:t>
      </w:r>
    </w:p>
    <w:p w14:paraId="46FB3B48">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011" w:name="_Toc100907365"/>
      <w:bookmarkStart w:id="1012" w:name="_Toc1361"/>
      <w:bookmarkStart w:id="1013" w:name="_Toc100907039"/>
      <w:r>
        <w:rPr>
          <w:rFonts w:hint="eastAsia" w:ascii="宋体" w:hAnsi="宋体" w:eastAsia="宋体" w:cs="宋体"/>
          <w:b w:val="0"/>
          <w:bCs/>
          <w:color w:val="000000" w:themeColor="text1"/>
          <w:sz w:val="21"/>
          <w:szCs w:val="21"/>
          <w14:textFill>
            <w14:solidFill>
              <w14:schemeClr w14:val="tx1"/>
            </w14:solidFill>
          </w14:textFill>
        </w:rPr>
        <w:t>5.2 承包人文件审查</w:t>
      </w:r>
      <w:bookmarkEnd w:id="1011"/>
      <w:bookmarkEnd w:id="1012"/>
      <w:bookmarkEnd w:id="1013"/>
      <w:r>
        <w:rPr>
          <w:rFonts w:hint="eastAsia" w:ascii="宋体" w:hAnsi="宋体" w:eastAsia="宋体" w:cs="宋体"/>
          <w:b w:val="0"/>
          <w:bCs/>
          <w:color w:val="000000" w:themeColor="text1"/>
          <w:sz w:val="21"/>
          <w:szCs w:val="21"/>
          <w14:textFill>
            <w14:solidFill>
              <w14:schemeClr w14:val="tx1"/>
            </w14:solidFill>
          </w14:textFill>
        </w:rPr>
        <w:t xml:space="preserve"> </w:t>
      </w:r>
    </w:p>
    <w:p w14:paraId="238880F8">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5.2.1 根据《发包人要求》应当通过工程师报发包人审查同意的承包人文件，承包人应当按照《发包人要求》约定的范围和内容及时报送审查。</w:t>
      </w:r>
    </w:p>
    <w:p w14:paraId="47F2CC3F">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除专用合同条件另有约定外，自工程师收到承包人文件以及承包人的通知之日起，发包人对承包人文件审查期不超过21天。承包人的设计文件对于合同约定有偏离的，应在通知中说明。承包人需要修改已提交的承包人文件的，应立即通知工程师，并向工程师提交修改后的承包人文件，审查期重新起算。</w:t>
      </w:r>
    </w:p>
    <w:p w14:paraId="58E0A572">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发包人同意承包人文件的，应及时通知承包人，发包人不同意承包人文件的，应在审查期限内通过工程师以书面形式通知承包人，并说明不同意的具体内容和理由。</w:t>
      </w:r>
    </w:p>
    <w:p w14:paraId="276D0804">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承包人对发包人的意见按以下方式处理：</w:t>
      </w:r>
    </w:p>
    <w:p w14:paraId="1F41E6E1">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 发包人的意见构成变更的，承包人应在7天内通知发包人按照第13条[变更与调整]中关于发包人指示变更的约定执行，双方对是否构成变更无法达成一致的，按照第20条[争议解决]的约定执行；</w:t>
      </w:r>
    </w:p>
    <w:p w14:paraId="005C5069">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（2） 因承包人原因导致无法通过审查的，承包人应根据发包人的书面说明，对承包人文件进行修改后重新报送发包人审查，审查期重新起算。因此引起的工期延长和必要的工程费用增加，由承包人负责。</w:t>
      </w:r>
    </w:p>
    <w:p w14:paraId="1C5EAD16">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合同约定的审查期满，发包人没有做出审查结论也没有提出异议的，视为承包人文件已获发包人同意。</w:t>
      </w:r>
    </w:p>
    <w:p w14:paraId="186CDDC9">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发包人对承包人文件的审查和同意不得被理解为对合同的修改或改变，也并不减轻或免除承包人任何的责任和义务。</w:t>
      </w:r>
    </w:p>
    <w:p w14:paraId="44C9019F">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5.2.2 承包人文件不需要政府有关部门或专用合同条件约定的第三方审查单位审查或批准的，承包人应当严格按照经发包人审查同意的承包人文件设计和实施工程。</w:t>
      </w:r>
    </w:p>
    <w:p w14:paraId="1BC35638">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发包人需要组织审查会议对承包人文件进行审查的，审查会议的审查形式、时间安排、费用承担，在专用合同条件中约定。发包人负责组织承包人文件审查会议，承包人有义务参加发包人组织的审查会议，向审查者介绍、解答、解释承包人文件，并提供有关补充资料。</w:t>
      </w:r>
    </w:p>
    <w:p w14:paraId="263970EE">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发包人有义务向承包人提供审查会议的批准文件和纪要。承包人有义务按照相关审查会议批准的文件和纪要，并依据合同约定及相关技术标准，对承包人文件进行修改、补充和完善。</w:t>
      </w:r>
    </w:p>
    <w:p w14:paraId="207BEFFF">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5.2.3 承包人文件需政府有关部门或专用合同条件约定的第三方审查单位审查或批准的，发包人应在发包人审查同意承包人文件后7天内，向政府有关部门或第三方报送承包人文件，承包人应予以协助。</w:t>
      </w:r>
    </w:p>
    <w:p w14:paraId="58AC3BCA">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对于政府有关部门或第三方审查单位的审查意见，不需要修改《发包人要求》的，承包人需按该审查意见修改承包人的设计文件；需要修改《发包人要求》的，承包人应按第13.2款[承包人的合理化建议]的约定执行。上述情形还应适用第5.1款[承包人的设计义务]和第13条[变更与调整]的有关约定。</w:t>
      </w:r>
    </w:p>
    <w:p w14:paraId="21797FFA">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政府有关部门或第三方审查单位审查批准后，承包人应当严格按照批准后的承包人文件实施工程。政府有关部门或第三方审查单位批准时间较合同约定时间延长的，竣工日期相应顺延。因此给双方带来的费用增加，由双方在负责的范围内各自承担。</w:t>
      </w:r>
    </w:p>
    <w:p w14:paraId="33F2A92C">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014" w:name="_Toc11838"/>
      <w:bookmarkStart w:id="1015" w:name="_Toc100907040"/>
      <w:bookmarkStart w:id="1016" w:name="_Toc100907366"/>
      <w:r>
        <w:rPr>
          <w:rFonts w:hint="eastAsia" w:ascii="宋体" w:hAnsi="宋体" w:eastAsia="宋体" w:cs="宋体"/>
          <w:b w:val="0"/>
          <w:bCs/>
          <w:color w:val="000000" w:themeColor="text1"/>
          <w:sz w:val="21"/>
          <w:szCs w:val="21"/>
          <w14:textFill>
            <w14:solidFill>
              <w14:schemeClr w14:val="tx1"/>
            </w14:solidFill>
          </w14:textFill>
        </w:rPr>
        <w:t>5.3 培训</w:t>
      </w:r>
      <w:bookmarkEnd w:id="1014"/>
      <w:bookmarkEnd w:id="1015"/>
      <w:bookmarkEnd w:id="1016"/>
    </w:p>
    <w:p w14:paraId="20C5EBB9">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承包人应按照《发包人要求》，对发包人的雇员或其它发包人指定的人员进行工程操作、维修或其它合同中约定的培训。合同约定接收之前进行培训的，应在第10.1款[竣工验收]约定的竣工验收前或试运行结束前完成培训。</w:t>
      </w:r>
    </w:p>
    <w:p w14:paraId="54B4DEA0">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培训的时长应由双方在专用合同条件中约定，承包人应为培训提供有经验的人员、设施和其它必要条件。</w:t>
      </w:r>
    </w:p>
    <w:p w14:paraId="6FD4F117">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017" w:name="_Toc100907367"/>
      <w:bookmarkStart w:id="1018" w:name="_Toc27241"/>
      <w:bookmarkStart w:id="1019" w:name="_Toc100907041"/>
      <w:r>
        <w:rPr>
          <w:rFonts w:hint="eastAsia" w:ascii="宋体" w:hAnsi="宋体" w:eastAsia="宋体" w:cs="宋体"/>
          <w:b w:val="0"/>
          <w:bCs/>
          <w:color w:val="000000" w:themeColor="text1"/>
          <w:sz w:val="21"/>
          <w:szCs w:val="21"/>
          <w14:textFill>
            <w14:solidFill>
              <w14:schemeClr w14:val="tx1"/>
            </w14:solidFill>
          </w14:textFill>
        </w:rPr>
        <w:t>5.4 竣工文件</w:t>
      </w:r>
      <w:bookmarkEnd w:id="1017"/>
      <w:bookmarkEnd w:id="1018"/>
      <w:bookmarkEnd w:id="1019"/>
    </w:p>
    <w:p w14:paraId="0A0B4981">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5.4.1 承包人应编制并及时更新反映工程实施结果的竣工记录，如实记载竣工工程的确切位置、尺寸和已实施工作的详细说明。竣工文件的形式、技术标准以及其它相关内容应按照相关法律法规、行业标准与《发包人要求》执行。竣工记录应保存在施工现场，并在竣工试验开始前，按照专用合同条件约定的份数提交给工程师。</w:t>
      </w:r>
    </w:p>
    <w:p w14:paraId="2D0D15DB">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5.4.2 在颁发工程接收证书之前，承包人应按照《发包人要求》的份数和形式向工程师提交相应竣工图纸，并取得工程师对尺寸、参照系统及其他有关细节的认可。工程师应按照第5.2款[承包人文件审查]的约定进行审查。</w:t>
      </w:r>
    </w:p>
    <w:p w14:paraId="268CCD47">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5.4.3 除专用合同条件另有约定外，在工程师收到本款下的文件前，不应认为工程已根据第10.1款[竣工验收]和第10.2款[单位/区段工程的验收]的约定完成验收。</w:t>
      </w:r>
    </w:p>
    <w:p w14:paraId="6073B7FE">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020" w:name="_Toc100907368"/>
      <w:bookmarkStart w:id="1021" w:name="_Toc30848"/>
      <w:bookmarkStart w:id="1022" w:name="_Toc100907042"/>
      <w:r>
        <w:rPr>
          <w:rFonts w:hint="eastAsia" w:ascii="宋体" w:hAnsi="宋体" w:eastAsia="宋体" w:cs="宋体"/>
          <w:b w:val="0"/>
          <w:bCs/>
          <w:color w:val="000000" w:themeColor="text1"/>
          <w:sz w:val="21"/>
          <w:szCs w:val="21"/>
          <w14:textFill>
            <w14:solidFill>
              <w14:schemeClr w14:val="tx1"/>
            </w14:solidFill>
          </w14:textFill>
        </w:rPr>
        <w:t>5.5 操作和维修手册</w:t>
      </w:r>
      <w:bookmarkEnd w:id="1020"/>
      <w:bookmarkEnd w:id="1021"/>
      <w:bookmarkEnd w:id="1022"/>
    </w:p>
    <w:p w14:paraId="152E0996">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5.5.1 在竣工试验开始前，承包人应向工程师提交暂行的操作和维修手册并负责及时更新，该手册应足够详细，以便发包人能够对工程设备进行操作、维修、拆卸、重新安装、调整及修理，以及实现《发包人要求》。同时，手册还应包含发包人未来可能需要的备品备件清单。</w:t>
      </w:r>
    </w:p>
    <w:p w14:paraId="5D36F589">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5.5.2 工程师收到承包人提交的文件后，应依据第5.2款[承包人文件审查]的约定对操作和维修手册进行审查，竣工试验工程中，承包人应为任何因操作和维修手册错误或遗漏引起的风险或损失承担责任。</w:t>
      </w:r>
    </w:p>
    <w:p w14:paraId="61E57CE1">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5.5.3 除专用合同条件另有约定外，承包人应提交足够详细的最终操作和维修手册，以及在《发包人要求》中明确的相关操作和维修手册。除专用合同条件另有约定外，在工程师收到上述文件前，不应认为工程已根据第10.1款[竣工验收]和第10.2款[单位/区段工程的验收]的约定完成验收。</w:t>
      </w:r>
    </w:p>
    <w:p w14:paraId="0C8BF529">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023" w:name="_Toc100907043"/>
      <w:bookmarkStart w:id="1024" w:name="_Toc100907369"/>
      <w:bookmarkStart w:id="1025" w:name="_Toc4134"/>
      <w:r>
        <w:rPr>
          <w:rFonts w:hint="eastAsia" w:ascii="宋体" w:hAnsi="宋体" w:eastAsia="宋体" w:cs="宋体"/>
          <w:b w:val="0"/>
          <w:bCs/>
          <w:color w:val="000000" w:themeColor="text1"/>
          <w:sz w:val="21"/>
          <w:szCs w:val="21"/>
          <w14:textFill>
            <w14:solidFill>
              <w14:schemeClr w14:val="tx1"/>
            </w14:solidFill>
          </w14:textFill>
        </w:rPr>
        <w:t>5.6 承包人文件错误</w:t>
      </w:r>
      <w:bookmarkEnd w:id="1023"/>
      <w:bookmarkEnd w:id="1024"/>
      <w:bookmarkEnd w:id="1025"/>
      <w:r>
        <w:rPr>
          <w:rFonts w:hint="eastAsia" w:ascii="宋体" w:hAnsi="宋体" w:eastAsia="宋体" w:cs="宋体"/>
          <w:b w:val="0"/>
          <w:bCs/>
          <w:color w:val="000000" w:themeColor="text1"/>
          <w:sz w:val="21"/>
          <w:szCs w:val="21"/>
          <w14:textFill>
            <w14:solidFill>
              <w14:schemeClr w14:val="tx1"/>
            </w14:solidFill>
          </w14:textFill>
        </w:rPr>
        <w:t xml:space="preserve"> </w:t>
      </w:r>
    </w:p>
    <w:p w14:paraId="2F587098">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承包人文件存在错误、遗漏、含混、矛盾、不充分之处或其他缺陷，无论承包人是否根据本款获得了同意，承包人均应自费对前述问题带来的缺陷和工程问题进行改正，并按照第5.2款[承包人文件审查]的要求，重新送工程师审查，审查日期从工程师收到文件开始重新计算。因此款原因重新提交审查文件导致的工程延误和必要费用增加由承包人承担。《发包人要求》的错误导致承包人文件错误、遗漏、含混、矛盾、不充分或其他缺陷的除外。</w:t>
      </w:r>
    </w:p>
    <w:p w14:paraId="713B52A6">
      <w:pPr>
        <w:pStyle w:val="130"/>
        <w:wordWrap/>
        <w:topLinePunct w:val="0"/>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026" w:name="_Toc100907370"/>
      <w:bookmarkStart w:id="1027" w:name="_Toc100907044"/>
      <w:bookmarkStart w:id="1028" w:name="_Toc9823"/>
      <w:r>
        <w:rPr>
          <w:rFonts w:hint="eastAsia" w:ascii="宋体" w:hAnsi="宋体" w:eastAsia="宋体" w:cs="宋体"/>
          <w:b w:val="0"/>
          <w:bCs/>
          <w:color w:val="000000" w:themeColor="text1"/>
          <w:sz w:val="21"/>
          <w:szCs w:val="21"/>
          <w14:textFill>
            <w14:solidFill>
              <w14:schemeClr w14:val="tx1"/>
            </w14:solidFill>
          </w14:textFill>
        </w:rPr>
        <w:t>第6条 材料、工程设备</w:t>
      </w:r>
      <w:bookmarkEnd w:id="1026"/>
      <w:bookmarkEnd w:id="1027"/>
      <w:bookmarkEnd w:id="1028"/>
    </w:p>
    <w:p w14:paraId="710F1393">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029" w:name="_Toc100907371"/>
      <w:bookmarkStart w:id="1030" w:name="_Toc100907045"/>
      <w:bookmarkStart w:id="1031" w:name="_Toc9057"/>
      <w:r>
        <w:rPr>
          <w:rFonts w:hint="eastAsia" w:ascii="宋体" w:hAnsi="宋体" w:eastAsia="宋体" w:cs="宋体"/>
          <w:b w:val="0"/>
          <w:bCs/>
          <w:color w:val="000000" w:themeColor="text1"/>
          <w:sz w:val="21"/>
          <w:szCs w:val="21"/>
          <w14:textFill>
            <w14:solidFill>
              <w14:schemeClr w14:val="tx1"/>
            </w14:solidFill>
          </w14:textFill>
        </w:rPr>
        <w:t>6.1 实施方法</w:t>
      </w:r>
      <w:bookmarkEnd w:id="1029"/>
      <w:bookmarkEnd w:id="1030"/>
      <w:bookmarkEnd w:id="1031"/>
      <w:r>
        <w:rPr>
          <w:rFonts w:hint="eastAsia" w:ascii="宋体" w:hAnsi="宋体" w:eastAsia="宋体" w:cs="宋体"/>
          <w:b w:val="0"/>
          <w:bCs/>
          <w:color w:val="000000" w:themeColor="text1"/>
          <w:sz w:val="21"/>
          <w:szCs w:val="21"/>
          <w14:textFill>
            <w14:solidFill>
              <w14:schemeClr w14:val="tx1"/>
            </w14:solidFill>
          </w14:textFill>
        </w:rPr>
        <w:t xml:space="preserve"> </w:t>
      </w:r>
    </w:p>
    <w:p w14:paraId="4FC06857">
      <w:pPr>
        <w:pStyle w:val="114"/>
        <w:numPr>
          <w:ilvl w:val="0"/>
          <w:numId w:val="0"/>
        </w:numPr>
        <w:spacing w:after="120" w:line="320" w:lineRule="exact"/>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承包人应按以下方法进行材料的加工、工程设备的采购、制造和安装、以及工程的所有其他实施作业：</w:t>
      </w:r>
    </w:p>
    <w:p w14:paraId="446816DF">
      <w:pPr>
        <w:pStyle w:val="114"/>
        <w:numPr>
          <w:ilvl w:val="0"/>
          <w:numId w:val="0"/>
        </w:numPr>
        <w:spacing w:after="120" w:line="320" w:lineRule="exact"/>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 按照法律规定和合同约定的方法；</w:t>
      </w:r>
    </w:p>
    <w:p w14:paraId="425F105E">
      <w:pPr>
        <w:pStyle w:val="114"/>
        <w:numPr>
          <w:ilvl w:val="0"/>
          <w:numId w:val="0"/>
        </w:numPr>
        <w:spacing w:after="120" w:line="320" w:lineRule="exact"/>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（2） 按照公认的良好行业习惯，使用恰当、审慎、先进的方法；</w:t>
      </w:r>
    </w:p>
    <w:p w14:paraId="63BB14E9">
      <w:pPr>
        <w:pStyle w:val="114"/>
        <w:numPr>
          <w:ilvl w:val="0"/>
          <w:numId w:val="0"/>
        </w:numPr>
        <w:spacing w:after="120" w:line="320" w:lineRule="exact"/>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（3） 除专用合同条件另有规定外，应使用适当配备的实施方法、设备、设施和无危险的材料。</w:t>
      </w:r>
    </w:p>
    <w:p w14:paraId="2D7D66B1">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032" w:name="_Toc100907046"/>
      <w:bookmarkStart w:id="1033" w:name="_Toc10185"/>
      <w:bookmarkStart w:id="1034" w:name="_Toc100907372"/>
      <w:r>
        <w:rPr>
          <w:rFonts w:hint="eastAsia" w:ascii="宋体" w:hAnsi="宋体" w:eastAsia="宋体" w:cs="宋体"/>
          <w:b w:val="0"/>
          <w:bCs/>
          <w:color w:val="000000" w:themeColor="text1"/>
          <w:sz w:val="21"/>
          <w:szCs w:val="21"/>
          <w14:textFill>
            <w14:solidFill>
              <w14:schemeClr w14:val="tx1"/>
            </w14:solidFill>
          </w14:textFill>
        </w:rPr>
        <w:t>6.2 材料和工程设备</w:t>
      </w:r>
      <w:bookmarkEnd w:id="1032"/>
      <w:bookmarkEnd w:id="1033"/>
      <w:bookmarkEnd w:id="1034"/>
    </w:p>
    <w:p w14:paraId="2F1D5181">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6.2.1 发包人提供的材料和工程设备</w:t>
      </w:r>
    </w:p>
    <w:p w14:paraId="69D9D701">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发包人自行供应材料、工程设备的，应在订立合同时在专用合同条件的附件《发包人供应材料设备一览表》中明确材料、工程设备的品种、规格、型号、主要参数、数量、单价、质量等级和交接地点等。</w:t>
      </w:r>
    </w:p>
    <w:p w14:paraId="1EFE1D93">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承包人应根据项目进度计划的安排，提前28天以书面形式通知工程师供应材料与工程设备的进场计划。承包人按照第8.4款[项目进度计划]约定修订项目进度计划时，需同时提交经修订后的发包人供应材料与工程设备的进场计划。发包人应按照上述进场计划，向承包人提交材料和工程设备。</w:t>
      </w:r>
    </w:p>
    <w:p w14:paraId="5BCAF04E">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发包人应在材料和工程设备到货7天前通知承包人，承包人应会同工程师在约定的时间内，赴交货地点共同进行验收。除专用合同条件另有约定外，发包人提供的材料和工程设备验收后，由承包人负责接收、运输和保管。</w:t>
      </w:r>
    </w:p>
    <w:p w14:paraId="66A7C68A">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发包人需要对进场计划进行变更的，承包人不得拒绝，应根据第13条[变更与调整]的规定执行，并由发包人承担承包人由此增加的费用，以及引起的工期延误。承包人需要对进场计划进行变更的，应事先报请工程师批准，由此增加的费用和（或）工期延误由承包人承担。</w:t>
      </w:r>
    </w:p>
    <w:p w14:paraId="63576A6B">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发包人提供的材料和工程设备的规格、数量或质量不符合合同要求，或由于发包人原因发生交货日期延误及交货地点变更等情况的，发包人应承担由此增加的费用和（或）工期延误，并向承包人支付合理利润。</w:t>
      </w:r>
    </w:p>
    <w:p w14:paraId="7647AA43">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6.2.2 承包人提供的材料和工程设备</w:t>
      </w:r>
    </w:p>
    <w:p w14:paraId="3CA8C15D">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承包人应按照专用合同条件的约定，将各项材料和工程设备的供货人及品种、技术要求、规格、数量和供货时间等报送工程师批准。承包人应向工程师提交其负责提供的材料和工程设备的质量证明文件，并根据合同约定的质量标准，对材料、工程设备质量负责。</w:t>
      </w:r>
    </w:p>
    <w:p w14:paraId="3287F976">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承包人应按照已被批准的第8.4款[项目进度计划]规定的数量要求及时间要求，负责组织材料和工程设备采购（包括备品备件、专用工具及厂商提供的技术文件），负责运抵现场。合同约定由承包人采购的材料、工程设备，除专用合同条件另有约定外，发包人不得指定生产厂家或供应商，发包人违反本款约定指定生产厂家或供应商的，承包人有权拒绝，并由发包人承担相应责任。</w:t>
      </w:r>
    </w:p>
    <w:p w14:paraId="1CB12271">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对承包人提供的材料和工程设备，承包人应会同工程师进行检验和交货验收，查验材料合格证明和产品合格证书，并按合同约定和工程师指示，进行材料的抽样检验和工程设备的检验测试，检验和测试结果应提交工程师，所需费用由承包人承担。</w:t>
      </w:r>
    </w:p>
    <w:p w14:paraId="2E4DD016">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因承包人提供的材料和工程设备不符合国家强制性标准、规范的规定或合同约定的标准、规范，所造成的质量缺陷，由承包人自费修复，竣工日期不予延长。在履行合同过程中，由于国家新颁布的强制性标准、规范，造成承包人负责提供的材料和工程设备，虽符合合同约定的标准，但不符合新颁布的强制性标准时，由承包人负责修复或重新订货，相关费用支出及导致的工期延长由发包人负责。</w:t>
      </w:r>
    </w:p>
    <w:p w14:paraId="51C34049">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 xml:space="preserve">6.2.3 材料和工程设备的保管 </w:t>
      </w:r>
    </w:p>
    <w:p w14:paraId="787EA300">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 发包人供应材料与工程设备的保管与使用</w:t>
      </w:r>
    </w:p>
    <w:p w14:paraId="01520386">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发包人供应的材料和工程设备，承包人清点并接收后由承包人妥善保管，保管费用由承包人承担，但专用合同条件另有约定除外。因承包人原因发生丢失毁损的，由承包人负责赔偿。</w:t>
      </w:r>
    </w:p>
    <w:p w14:paraId="4D489F78">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发包人供应的材料和工程设备使用前，由承包人负责必要的检验，检验费用由发包人承担，不合格的不得使用。</w:t>
      </w:r>
    </w:p>
    <w:p w14:paraId="64EBC9D7">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（2） 承包人采购材料与工程设备的保管与使用</w:t>
      </w:r>
    </w:p>
    <w:p w14:paraId="65EDEE97">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承包人采购的材料和工程设备由承包人妥善保管，保管费用由承包人承担。合同约定或法律规定材料和工程设备使用前必须进行检验或试验的，承包人应按工程师的指示进行检验或试验，检验或试验费用由承包人承担，不合格的不得使用。</w:t>
      </w:r>
    </w:p>
    <w:p w14:paraId="59B17950">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工程师发现承包人使用不符合设计或有关标准要求的材料和工程设备时，有权要求承包人进行修复、拆除或重新采购，由此增加的费用和（或）延误的工期，由承包人承担。</w:t>
      </w:r>
    </w:p>
    <w:p w14:paraId="61D2C757">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6.2.4 材料和工程设备的所有权</w:t>
      </w:r>
    </w:p>
    <w:p w14:paraId="1186217B">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除本合同另有约定外，承包人根据第6.2.2项[承包人提供的材料和工程设备]约定提供的材料和工程设备后，材料及工程设备的价款应列入第14.3.1项第（2）目的进度款金额中，发包人支付当期进度款之后，其所有权转为发包人所有（周转性材料除外）；在发包人接收工程前，承包人有义务对材料和工程设备进行保管、维护和保养，未经发包人批准不得运出现场。</w:t>
      </w:r>
    </w:p>
    <w:p w14:paraId="4D180883">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承包人按第6.2.2项提供的材料和工程设备，承包人应确保发包人取得无权利负担的材料及工程设备所有权，因承包人与第三人的物权争议导致的增加的费用和（或）延误的工期，由承包人承担。</w:t>
      </w:r>
    </w:p>
    <w:p w14:paraId="680453C6">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035" w:name="_Toc100907373"/>
      <w:bookmarkStart w:id="1036" w:name="_Toc14586"/>
      <w:bookmarkStart w:id="1037" w:name="_Toc100907047"/>
      <w:r>
        <w:rPr>
          <w:rFonts w:hint="eastAsia" w:ascii="宋体" w:hAnsi="宋体" w:eastAsia="宋体" w:cs="宋体"/>
          <w:b w:val="0"/>
          <w:bCs/>
          <w:color w:val="000000" w:themeColor="text1"/>
          <w:sz w:val="21"/>
          <w:szCs w:val="21"/>
          <w14:textFill>
            <w14:solidFill>
              <w14:schemeClr w14:val="tx1"/>
            </w14:solidFill>
          </w14:textFill>
        </w:rPr>
        <w:t>6.3 样品</w:t>
      </w:r>
      <w:bookmarkEnd w:id="1035"/>
      <w:bookmarkEnd w:id="1036"/>
      <w:bookmarkEnd w:id="1037"/>
    </w:p>
    <w:p w14:paraId="1614BB78">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6.3.1 样品的报送与封存</w:t>
      </w:r>
    </w:p>
    <w:p w14:paraId="11B78272">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需要承包人报送样品的材料或工程设备，样品的种类、名称、规格、数量等要求均应在专用合同条件中约定。样品的报送程序如下：</w:t>
      </w:r>
    </w:p>
    <w:p w14:paraId="272AC794">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 承包人应在计划采购前28天向工程师报送样品。承包人报送的样品均应来自供应材料的实际生产地，且提供的样品的规格、数量足以表明材料或工程设备的质量、型号、颜色、表面处理、质地、误差和其他要求的特征。</w:t>
      </w:r>
    </w:p>
    <w:p w14:paraId="19EABCD2">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（2） 承包人每次报送样品时应随附申报单，申报单应载明报送样品的相关数据和资料，并标明每件样品对应的图纸号，预留工程师审批意见栏。工程师应在收到承包人报送的样品后7天向承包人回复经发包人签认的样品审批意见。</w:t>
      </w:r>
    </w:p>
    <w:p w14:paraId="73D75382">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（3） 经工程师审批确认的样品应按约定的方法封样，封存的样品作为检验工程相关部分的标准之一。承包人在施工过程中不得使用与样品不符的材料或工程设备。</w:t>
      </w:r>
    </w:p>
    <w:p w14:paraId="77011AF4">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（4） 工程师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14:paraId="4EF57104">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6.3.2 样品的保管</w:t>
      </w:r>
    </w:p>
    <w:p w14:paraId="23E77EB2">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经批准的样品应由工程师负责封存于现场，承包人应在现场为保存样品提供适当和固定的场所并保持适当和良好的存储环境条件。</w:t>
      </w:r>
    </w:p>
    <w:p w14:paraId="0F421AFE">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038" w:name="_Toc100907374"/>
      <w:bookmarkStart w:id="1039" w:name="_Toc14360"/>
      <w:bookmarkStart w:id="1040" w:name="_Toc100907048"/>
      <w:r>
        <w:rPr>
          <w:rFonts w:hint="eastAsia" w:ascii="宋体" w:hAnsi="宋体" w:eastAsia="宋体" w:cs="宋体"/>
          <w:b w:val="0"/>
          <w:bCs/>
          <w:color w:val="000000" w:themeColor="text1"/>
          <w:sz w:val="21"/>
          <w:szCs w:val="21"/>
          <w14:textFill>
            <w14:solidFill>
              <w14:schemeClr w14:val="tx1"/>
            </w14:solidFill>
          </w14:textFill>
        </w:rPr>
        <w:t>6.4 质量检查</w:t>
      </w:r>
      <w:bookmarkEnd w:id="1038"/>
      <w:bookmarkEnd w:id="1039"/>
      <w:bookmarkEnd w:id="1040"/>
    </w:p>
    <w:p w14:paraId="3BBA217B">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6.4.1 工程质量要求</w:t>
      </w:r>
    </w:p>
    <w:p w14:paraId="1F88ACFA">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工程质量标准必须符合现行国家有关工程施工质量验收规范和标准的要求。有关工程质量的特殊标准或要求由合同当事人在专用合同条件中约定。</w:t>
      </w:r>
    </w:p>
    <w:p w14:paraId="6CC2E062">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因承包人原因造成工程质量未达到合同约定标准的，发包人有权要求承包人返工直至工程质量达到合同约定的标准为止，并由承包人承担由此增加的费用和（或）延误的工期。因发包人原因造成工程质量未达到合同约定标准的，由发包人承担由此增加的费用和（或）延误的工期，并支付承包人合理的利润。</w:t>
      </w:r>
    </w:p>
    <w:p w14:paraId="1553B5DD">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6.4.2 质量检查</w:t>
      </w:r>
    </w:p>
    <w:p w14:paraId="1A9C5FCB">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发包人有权通过工程师或自行对全部工程内容及其施工工艺、材料和工程设备进行检查和检验。承包人应为工程师或发包人的检查和检验提供方便，包括到施工现场，或制造、加工地点，或专用合同条件约定的其他地方进行察看和查阅施工原始记录。承包人还应按工程师或发包人指示，进行施工现场的取样试验，工程复核测量和设备性能检测，提供试验样品、提交试验报告和测量成果以及工程师或发包人指示进行的其他工作。工程师或发包人的检查和检验，不免除承包人按合同约定应负的责任。</w:t>
      </w:r>
    </w:p>
    <w:p w14:paraId="45EC0F0A">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6.4.3 隐蔽工程检查</w:t>
      </w:r>
    </w:p>
    <w:p w14:paraId="0D9359C4">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除专用合同条件另有约定外，工程隐蔽部位经承包人自检确认具备覆盖条件的，承包人应书面通知工程师在约定的期限内检查，通知中应载明隐蔽检查的内容、时间和地点，并应附有自检记录和必要的检查资料。</w:t>
      </w:r>
    </w:p>
    <w:p w14:paraId="3A1D3D27">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工程师应按时到场并对隐蔽工程及其施工工艺、材料和工程设备进行检查。经工程师检查确认质量符合隐蔽要求，并在验收记录上签字后，承包人才能进行覆盖。经工程师检查质量不合格的，承包人应在工程师指示的时间内完成修复，并由工程师重新检查，由此增加的费用和（或）延误的工期由承包人承担。</w:t>
      </w:r>
    </w:p>
    <w:p w14:paraId="4C421A71">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除专用合同条件另有约定外，工程师不能按时进行检查的，应提前向承包人提交书面延期要求，顺延时间不得超过48小时，由此导致工期延误的，工期应予以顺延，顺延超过48小时的，由此导致的工期延误及费用增加由发包人承担。工程师未按时进行检查，也未提出延期要求的，视为隐蔽工程检查合格，承包人可自行完成覆盖工作，并作相应记录报送工程师，工程师应签字确认。工程师事后对检查记录有疑问的，可按下列约定重新检查。</w:t>
      </w:r>
    </w:p>
    <w:p w14:paraId="48CFC98D">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承包人覆盖工程隐蔽部位后，工程师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68701486">
      <w:pPr>
        <w:pStyle w:val="114"/>
        <w:numPr>
          <w:ilvl w:val="0"/>
          <w:numId w:val="0"/>
        </w:numPr>
        <w:spacing w:after="120"/>
        <w:ind w:firstLine="360" w:firstLineChars="200"/>
        <w:rPr>
          <w:rFonts w:hint="eastAsia" w:cs="宋体"/>
          <w:color w:val="000000" w:themeColor="text1"/>
          <w:sz w:val="18"/>
          <w:szCs w:val="18"/>
          <w14:textFill>
            <w14:solidFill>
              <w14:schemeClr w14:val="tx1"/>
            </w14:solidFill>
          </w14:textFill>
        </w:rPr>
      </w:pPr>
      <w:r>
        <w:rPr>
          <w:rFonts w:hint="eastAsia" w:cs="宋体"/>
          <w:color w:val="000000" w:themeColor="text1"/>
          <w:sz w:val="18"/>
          <w:szCs w:val="18"/>
          <w14:textFill>
            <w14:solidFill>
              <w14:schemeClr w14:val="tx1"/>
            </w14:solidFill>
          </w14:textFill>
        </w:rPr>
        <w:t>承包人未通知工程师到场检查，私自将工程隐蔽部位覆盖的，工程师有权指示承包人钻孔探测或揭开检查，无论工程隐蔽部位质量是否合格，由此增加的费用和（或）延误的工期均由承包人承担。</w:t>
      </w:r>
    </w:p>
    <w:p w14:paraId="0E818418">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041" w:name="_Toc14557"/>
      <w:bookmarkStart w:id="1042" w:name="_Toc100907375"/>
      <w:bookmarkStart w:id="1043" w:name="_Toc100907049"/>
      <w:r>
        <w:rPr>
          <w:rFonts w:hint="eastAsia" w:ascii="宋体" w:hAnsi="宋体" w:eastAsia="宋体" w:cs="宋体"/>
          <w:b w:val="0"/>
          <w:bCs/>
          <w:color w:val="000000" w:themeColor="text1"/>
          <w:sz w:val="21"/>
          <w:szCs w:val="21"/>
          <w14:textFill>
            <w14:solidFill>
              <w14:schemeClr w14:val="tx1"/>
            </w14:solidFill>
          </w14:textFill>
        </w:rPr>
        <w:t>6.5 由承包人试验和检验</w:t>
      </w:r>
      <w:bookmarkEnd w:id="1041"/>
      <w:bookmarkEnd w:id="1042"/>
      <w:bookmarkEnd w:id="1043"/>
    </w:p>
    <w:p w14:paraId="491448A0">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6.5.1 试验设备与试验人员</w:t>
      </w:r>
    </w:p>
    <w:p w14:paraId="6E9F7272">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 承包人根据合同约定或工程师指示进行的现场材料试验，应由承包人提供试验场所、试验人员、试验设备以及其他必要的试验条件。工程师在必要时可以使用承包人提供的试验场所、试验设备以及其他试验条件，进行以工程质量检查为目的的材料复核试验，承包人应予以协助。</w:t>
      </w:r>
    </w:p>
    <w:p w14:paraId="322E3049">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（2） 承包人应按专用合同条件约定的试验内容、时间和地点提供试验设备、取样装置、试验场所和试验条件，并向工程师提交相应进场计划表。</w:t>
      </w:r>
    </w:p>
    <w:p w14:paraId="69FAE7F3">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承包人配置的试验设备要符合相应试验规程的要求并经过具有资质的检测单位检测，且在正式使用该试验设备前，需要经过工程师与承包人共同校定。</w:t>
      </w:r>
    </w:p>
    <w:p w14:paraId="3CB534B0">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（3） 承包人应向工程师提交试验人员的名单及其岗位、资格等证明资料，试验人员必须能够熟练进行相应的检测试验，承包人对试验人员的试验程序和试验结果的正确性负责。</w:t>
      </w:r>
    </w:p>
    <w:p w14:paraId="13D629C2">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6.5.2 取样</w:t>
      </w:r>
    </w:p>
    <w:p w14:paraId="54DEB8AF">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试验属于自检性质的，承包人可以单独取样。试验属于工程师抽检性质的，可由工程师取样，也可由承包人的试验人员在工程师的监督下取样。</w:t>
      </w:r>
    </w:p>
    <w:p w14:paraId="619FB783">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6.5.3 材料、工程设备和工程的试验和检验</w:t>
      </w:r>
    </w:p>
    <w:p w14:paraId="75E5A5A5">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 承包人应按合同约定进行材料和工程设备的试验和检验，并为工程师对上述材料、工程设备和工程的质量检查提供必要的试验资料和原始记录。按合同约定应由工程师与承包人共同进行试验和检验的，由承包人负责提供必要的试验资料和原始记录。</w:t>
      </w:r>
    </w:p>
    <w:p w14:paraId="177AF5A1">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（2） 试验属于自检性质的，承包人可以单独进行试验。试验属于工程师抽检性质的，工程师可以单独进行试验，也可由承包人与工程师共同进行。承包人对由工程师单独进行的试验结果有异议的，可以申请重新共同进行试验。约定共同进行试验的，工程师未按照约定参加试验的，承包人可自行试验，并将试验结果报送工程师，工程师应承认该试验结果。</w:t>
      </w:r>
    </w:p>
    <w:p w14:paraId="36A031A4">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（3） 工程师对承包人的试验和检验结果有异议的，或为查清承包人试验和检验成果的可靠性要求承包人重新试验和检验的，可由工程师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4ADFA827">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6.5.4 现场工艺试验</w:t>
      </w:r>
    </w:p>
    <w:p w14:paraId="317F006B">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承包人应按合同约定进行现场工艺试验。对大型的现场工艺试验，发包人认为必要时，承包人应根据发包人提出的工艺试验要求，编制工艺试验措施计划，报送发包人审查。</w:t>
      </w:r>
    </w:p>
    <w:p w14:paraId="3AC7996F">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044" w:name="_Toc100907050"/>
      <w:bookmarkStart w:id="1045" w:name="_Toc14748"/>
      <w:bookmarkStart w:id="1046" w:name="_Toc100907376"/>
      <w:r>
        <w:rPr>
          <w:rFonts w:hint="eastAsia" w:ascii="宋体" w:hAnsi="宋体" w:eastAsia="宋体" w:cs="宋体"/>
          <w:b w:val="0"/>
          <w:bCs/>
          <w:color w:val="000000" w:themeColor="text1"/>
          <w:sz w:val="21"/>
          <w:szCs w:val="21"/>
          <w14:textFill>
            <w14:solidFill>
              <w14:schemeClr w14:val="tx1"/>
            </w14:solidFill>
          </w14:textFill>
        </w:rPr>
        <w:t>6.6 缺陷和修补</w:t>
      </w:r>
      <w:bookmarkEnd w:id="1044"/>
      <w:bookmarkEnd w:id="1045"/>
      <w:bookmarkEnd w:id="1046"/>
    </w:p>
    <w:p w14:paraId="40BB625B">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6.6.1 发包人可在颁发接收证书前随时指示承包人：</w:t>
      </w:r>
    </w:p>
    <w:p w14:paraId="55DDD7CA">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 对不符合合同要求的任何工程设备或材料进行修补，或者将其移出现场并进行更换；</w:t>
      </w:r>
    </w:p>
    <w:p w14:paraId="0A2FA520">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 对不符合合同的其他工作进行修补，或者将其去除并重新实施； </w:t>
      </w:r>
    </w:p>
    <w:p w14:paraId="1DCF5823">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 实施因意外、不可预见的事件或其他原因引起的、为工程的安全迫切需要的任何修补工作。</w:t>
      </w:r>
    </w:p>
    <w:p w14:paraId="6CB145BA">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6.6.2 承包人应遵守第6.6.1项下指示，并在合理可行的情况下，根据上述指示中规定的时间完成修补工作。除因下列原因引起的第6.6.1项第（3）目下的情形外，承包人应承担所有修补工作的费用：</w:t>
      </w:r>
    </w:p>
    <w:p w14:paraId="3713792D">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 因发包人或其人员的任何行为导致的情形，且在此情况下发包人应承担因此引起的工期延误和承包人费用损失，并向承包人支付合理的利润。</w:t>
      </w:r>
    </w:p>
    <w:p w14:paraId="1957E1A0">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（2） 第17.4款[不可抗力后果的承担]中适用的不可抗力事件的情形。</w:t>
      </w:r>
    </w:p>
    <w:p w14:paraId="38E5762D">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6.6.3 如果承包人未能遵守发包人的指示，发包人可以自行决定请第三方完成上述修补工作，并有权要求承包人支付因未履行指示而产生的所有费用，但承包人根据第6.6.2项有权就修补工作获得支付的情况除外。</w:t>
      </w:r>
    </w:p>
    <w:p w14:paraId="4FB03BB8">
      <w:pPr>
        <w:pStyle w:val="130"/>
        <w:wordWrap/>
        <w:topLinePunct w:val="0"/>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047" w:name="_Toc30182"/>
      <w:bookmarkStart w:id="1048" w:name="_Toc100907051"/>
      <w:bookmarkStart w:id="1049" w:name="_Toc100907377"/>
      <w:r>
        <w:rPr>
          <w:rFonts w:hint="eastAsia" w:ascii="宋体" w:hAnsi="宋体" w:eastAsia="宋体" w:cs="宋体"/>
          <w:b w:val="0"/>
          <w:bCs/>
          <w:color w:val="000000" w:themeColor="text1"/>
          <w:sz w:val="21"/>
          <w:szCs w:val="21"/>
          <w14:textFill>
            <w14:solidFill>
              <w14:schemeClr w14:val="tx1"/>
            </w14:solidFill>
          </w14:textFill>
        </w:rPr>
        <w:t>第7条 施工</w:t>
      </w:r>
      <w:bookmarkEnd w:id="1047"/>
      <w:bookmarkEnd w:id="1048"/>
      <w:bookmarkEnd w:id="1049"/>
    </w:p>
    <w:p w14:paraId="5CB9EEDC">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050" w:name="_Toc100907052"/>
      <w:bookmarkStart w:id="1051" w:name="_Toc100907378"/>
      <w:r>
        <w:rPr>
          <w:rFonts w:hint="eastAsia" w:ascii="宋体" w:hAnsi="宋体" w:eastAsia="宋体" w:cs="宋体"/>
          <w:b w:val="0"/>
          <w:bCs/>
          <w:color w:val="000000" w:themeColor="text1"/>
          <w:sz w:val="21"/>
          <w:szCs w:val="21"/>
          <w14:textFill>
            <w14:solidFill>
              <w14:schemeClr w14:val="tx1"/>
            </w14:solidFill>
          </w14:textFill>
        </w:rPr>
        <w:t>7.1 交通运输</w:t>
      </w:r>
      <w:bookmarkEnd w:id="1050"/>
      <w:bookmarkEnd w:id="1051"/>
      <w:r>
        <w:rPr>
          <w:rFonts w:hint="eastAsia" w:ascii="宋体" w:hAnsi="宋体" w:eastAsia="宋体" w:cs="宋体"/>
          <w:b w:val="0"/>
          <w:bCs/>
          <w:color w:val="000000" w:themeColor="text1"/>
          <w:sz w:val="21"/>
          <w:szCs w:val="21"/>
          <w14:textFill>
            <w14:solidFill>
              <w14:schemeClr w14:val="tx1"/>
            </w14:solidFill>
          </w14:textFill>
        </w:rPr>
        <w:t xml:space="preserve"> </w:t>
      </w:r>
    </w:p>
    <w:p w14:paraId="65094527">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7.1.1 出入现场的权利</w:t>
      </w:r>
    </w:p>
    <w:p w14:paraId="63E5D751">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除专用合同条件另有约定外，发包人应根据工程实施需要，负责取得出入施工现场所需的批准手续和全部权利，以及取得因工程实施所需修建道路、桥梁以及其他基础设施的权利，并承担相关手续费用和建设费用。承包人应协助发包人办理修建场内外道路、桥梁以及其他基础设施的手续。</w:t>
      </w:r>
    </w:p>
    <w:p w14:paraId="1A8392CD">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7.1.2 场外交通</w:t>
      </w:r>
    </w:p>
    <w:p w14:paraId="606FB5F6">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除专用合同条件另有约定外，发包人应提供场外交通设施的技术参数和具体条件，场外交通设施无法满足工程施工需要的，由发包人负责承担由此产生的相关费用。承包人应遵守有关交通法规，严格按照道路和桥梁的限制荷载行驶，执行有关道路限速、限行、禁止超载的规定，并配合交通管理部门的监督和检查。承包人车辆外出行驶所需的场外公共道路的通行费、养路费和税款等由承包人承担。</w:t>
      </w:r>
    </w:p>
    <w:p w14:paraId="6E09A328">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7.1.3 场内交通</w:t>
      </w:r>
    </w:p>
    <w:p w14:paraId="6B9722FC">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除专用合同条件另有约定外，承包人应负责修建、维修、养护和管理施工所需的临时道路和交通设施，包括维修、养护和管理发包人提供的道路和交通设施，并承担相应费用。承包人修建的临时道路和交通设施应免费提供发包人和工程师为实现合同目的使用。场内交通与场外交通的边界由合同当事人在专用合同条件中约定。</w:t>
      </w:r>
    </w:p>
    <w:p w14:paraId="10ECD7B1">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7.1.4 超大件和超重件的运输</w:t>
      </w:r>
    </w:p>
    <w:p w14:paraId="5872EC9A">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由承包人负责运输的超大件或超重件，应由承包人负责向交通管理部门办理申请手续，发包人给予协助。运输超大件或超重件所需的道路和桥梁临时加固改造费用和其他有关费用，由承包人承担，但专用合同条件另有约定的除外。</w:t>
      </w:r>
    </w:p>
    <w:p w14:paraId="0A06C837">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7.1.5 道路和桥梁的损坏责任</w:t>
      </w:r>
    </w:p>
    <w:p w14:paraId="1879BC41">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因承包人运输造成施工现场内外公共道路和桥梁损坏的，由承包人承担修复损坏的全部费用和可能引起的赔偿。</w:t>
      </w:r>
    </w:p>
    <w:p w14:paraId="15D3C4ED">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7.1.6 水路和航空运输</w:t>
      </w:r>
    </w:p>
    <w:p w14:paraId="646194B5">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本条上述各款的内容适用于水路运输和航空运输，其中“道路”一词的涵义包括河道、航线、船闸、机场、码头、堤防以及水路或航空运输中其他相似结构物；“车辆”一词的涵义包括船舶和飞机等。</w:t>
      </w:r>
    </w:p>
    <w:p w14:paraId="1C2F19D1">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052" w:name="_Toc499"/>
      <w:bookmarkStart w:id="1053" w:name="_Toc100907053"/>
      <w:bookmarkStart w:id="1054" w:name="_Toc100907379"/>
      <w:r>
        <w:rPr>
          <w:rFonts w:hint="eastAsia" w:ascii="宋体" w:hAnsi="宋体" w:eastAsia="宋体" w:cs="宋体"/>
          <w:b w:val="0"/>
          <w:bCs/>
          <w:color w:val="000000" w:themeColor="text1"/>
          <w:sz w:val="21"/>
          <w:szCs w:val="21"/>
          <w14:textFill>
            <w14:solidFill>
              <w14:schemeClr w14:val="tx1"/>
            </w14:solidFill>
          </w14:textFill>
        </w:rPr>
        <w:t>7.2 施工设备和临时设施</w:t>
      </w:r>
      <w:bookmarkEnd w:id="1052"/>
      <w:bookmarkEnd w:id="1053"/>
      <w:bookmarkEnd w:id="1054"/>
      <w:r>
        <w:rPr>
          <w:rFonts w:hint="eastAsia" w:ascii="宋体" w:hAnsi="宋体" w:eastAsia="宋体" w:cs="宋体"/>
          <w:b w:val="0"/>
          <w:bCs/>
          <w:color w:val="000000" w:themeColor="text1"/>
          <w:sz w:val="21"/>
          <w:szCs w:val="21"/>
          <w14:textFill>
            <w14:solidFill>
              <w14:schemeClr w14:val="tx1"/>
            </w14:solidFill>
          </w14:textFill>
        </w:rPr>
        <w:t xml:space="preserve"> </w:t>
      </w:r>
    </w:p>
    <w:p w14:paraId="3B8E0E6D">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7.2.1 承包人提供的施工设备和临时设施</w:t>
      </w:r>
    </w:p>
    <w:p w14:paraId="6EDBAE74">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承包人应按项目进度计划的要求，及时配置施工设备和修建临时设施。进入施工现场的承包人提供的施工设备需经工程师核查后才能投入使用。承包人更换合同约定由承包人提供的施工设备的，应报工程师批准。</w:t>
      </w:r>
    </w:p>
    <w:p w14:paraId="795601FD">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除专用合同条件另有约定外，承包人应自行承担修建临时设施的费用，需要临时占地的，应由发包人办理申请手续并承担相应费用。承包人应在专用合同条件7.2款约定的时间内向发包人提交临时占地资料，因承包人未能按时提交资料，导致工期延误的，由此增加的费用和（或）竣工日期延误，由承包人负责。</w:t>
      </w:r>
    </w:p>
    <w:p w14:paraId="441BC09B">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7.2.2 发包人提供的施工设备和临时设施</w:t>
      </w:r>
    </w:p>
    <w:p w14:paraId="0C718DB2">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发包人提供的施工设备或临时设施在专用合同条件中约定。</w:t>
      </w:r>
    </w:p>
    <w:p w14:paraId="6DFDA4FA">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7.2.3 要求承包人增加或更换施工设备</w:t>
      </w:r>
    </w:p>
    <w:p w14:paraId="3551FB85">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承包人使用的施工设备不能满足项目进度计划和（或）质量要求时，工程师有权要求承包人增加或更换施工设备，承包人应及时增加或更换，由此增加的费用和（或）延误的工期由承包人承担。</w:t>
      </w:r>
    </w:p>
    <w:p w14:paraId="52FEDFAC">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7.2.4 施工设备和临时设施专用于合同工程</w:t>
      </w:r>
    </w:p>
    <w:p w14:paraId="15DE3CC9">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承包人运入施工现场的施工设备以及在施工现场建设的临时设施必须专用于工程。未经发包人批准，承包人不得运出施工现场或挪作他用；经发包人批准，承包人可以根据施工进度计划撤走闲置的施工设备和其他物品。</w:t>
      </w:r>
    </w:p>
    <w:p w14:paraId="3B70BDAF">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055" w:name="_Toc100907380"/>
      <w:bookmarkStart w:id="1056" w:name="_Toc100907054"/>
      <w:bookmarkStart w:id="1057" w:name="_Toc141"/>
      <w:r>
        <w:rPr>
          <w:rFonts w:hint="eastAsia" w:ascii="宋体" w:hAnsi="宋体" w:eastAsia="宋体" w:cs="宋体"/>
          <w:b w:val="0"/>
          <w:bCs/>
          <w:color w:val="000000" w:themeColor="text1"/>
          <w:sz w:val="21"/>
          <w:szCs w:val="21"/>
          <w14:textFill>
            <w14:solidFill>
              <w14:schemeClr w14:val="tx1"/>
            </w14:solidFill>
          </w14:textFill>
        </w:rPr>
        <w:t>7.3 现场合作</w:t>
      </w:r>
      <w:bookmarkEnd w:id="1055"/>
      <w:bookmarkEnd w:id="1056"/>
      <w:bookmarkEnd w:id="1057"/>
    </w:p>
    <w:p w14:paraId="6D124262">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承包人应按合同约定或发包人的指示，与发包人人员、发包人的其他承包人等人员就在现场或附近实施与工程有关的各项工作进行合作并提供适当条件，包括使用承包人设备、临时工程或进入现场等。</w:t>
      </w:r>
    </w:p>
    <w:p w14:paraId="1F66C197">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承包人应对其在现场的施工活动负责，并应尽合理努力按合同约定或发包人的指示，协调自身与发包人人员、发包人的其他承包人等人员的活动。</w:t>
      </w:r>
    </w:p>
    <w:p w14:paraId="49DD5B8D">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除专用合同条件另有约定外，如果承包人提供上述合作、条件或协调在考虑到《发包人要求》所列内容的情况下是不可预见的，则承包人有权就额外费用和合理利润从发包人处获得支付，且因此延误的工期应相应顺延。</w:t>
      </w:r>
    </w:p>
    <w:p w14:paraId="6B9A7305">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058" w:name="_Toc100907381"/>
      <w:bookmarkStart w:id="1059" w:name="_Toc100907055"/>
      <w:bookmarkStart w:id="1060" w:name="_Toc1980"/>
      <w:r>
        <w:rPr>
          <w:rFonts w:hint="eastAsia" w:ascii="宋体" w:hAnsi="宋体" w:eastAsia="宋体" w:cs="宋体"/>
          <w:b w:val="0"/>
          <w:bCs/>
          <w:color w:val="000000" w:themeColor="text1"/>
          <w:sz w:val="21"/>
          <w:szCs w:val="21"/>
          <w14:textFill>
            <w14:solidFill>
              <w14:schemeClr w14:val="tx1"/>
            </w14:solidFill>
          </w14:textFill>
        </w:rPr>
        <w:t>7.4 测量放线</w:t>
      </w:r>
      <w:bookmarkEnd w:id="1058"/>
      <w:bookmarkEnd w:id="1059"/>
      <w:bookmarkEnd w:id="1060"/>
    </w:p>
    <w:p w14:paraId="3F8BB07F">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7.4.1 除专用合同条件另有约定外，承包人应根据国家测绘基准、测绘系统和工程测量技术规范，按基准点（线）以及合同工程精度要求，测设施工控制网，并在专用合同条件约定的期限内，将施工控制网资料报送工程师。</w:t>
      </w:r>
    </w:p>
    <w:p w14:paraId="0B53DB5D">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7.4.2 承包人应负责管理施工控制网点。施工控制网点丢失或损坏的，承包人应及时修复。承包人应承担施工控制网点的管理与修复费用，并在工程竣工后将施工控制网点移交发包人。承包人负责对工程、单位/区段工程、施工部位放线，并对放线的准确性负责。</w:t>
      </w:r>
    </w:p>
    <w:p w14:paraId="7C4DDAFC">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7.4.3 承包人负责施工过程中的全部施工测量放线工作，并配置具有相应资质的人员、合格的仪器、设备和其他物品。承包人应矫正工程的位置、标高、尺寸或基准线中出现的任何差错，并对工程各部分的定位负责。施工过程中对施工现场内水准点等测量标志物的保护工作由承包人负责。</w:t>
      </w:r>
    </w:p>
    <w:p w14:paraId="78A7D69F">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061" w:name="_Toc100907056"/>
      <w:bookmarkStart w:id="1062" w:name="_Toc100907382"/>
      <w:bookmarkStart w:id="1063" w:name="_Toc7466"/>
      <w:r>
        <w:rPr>
          <w:rFonts w:hint="eastAsia" w:ascii="宋体" w:hAnsi="宋体" w:eastAsia="宋体" w:cs="宋体"/>
          <w:b w:val="0"/>
          <w:bCs/>
          <w:color w:val="000000" w:themeColor="text1"/>
          <w:sz w:val="21"/>
          <w:szCs w:val="21"/>
          <w14:textFill>
            <w14:solidFill>
              <w14:schemeClr w14:val="tx1"/>
            </w14:solidFill>
          </w14:textFill>
        </w:rPr>
        <w:t>7.5 现场劳动用工</w:t>
      </w:r>
      <w:bookmarkEnd w:id="1061"/>
      <w:bookmarkEnd w:id="1062"/>
      <w:bookmarkEnd w:id="1063"/>
    </w:p>
    <w:p w14:paraId="7BCA5382">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7.5.1 承包人及其分包人招用建筑工人的，应当依法与所招用的建筑工人订立劳动合同，实行建筑工人劳动用工实名制管理，承包人应当按照有关规定开设建筑工人工资专用账户、存储工资保证金，专项用于支付和保障该工程建设项目建筑工人工资。</w:t>
      </w:r>
    </w:p>
    <w:p w14:paraId="1F648921">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7.5.2 承包人应当在工程项目部配备劳资专管员，对分包单位劳动用工及工资发放实施监督管理。承包人拖欠建筑工人工资的,应当依法予以清偿。分包人拖欠建筑工人工资的,由承包人先行清偿,再依法进行追偿。因发包人未按照合同约定及时拨付工程款导致建筑工人工资拖欠的，发包人应当以未结清的工程款为限先行垫付被拖欠的建筑工人工资。合同当事人可在专用合同条件中约定具体的清偿事宜和违约责任。</w:t>
      </w:r>
    </w:p>
    <w:p w14:paraId="166512C2">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7.5.3 承包人应当按照相关法律法规的要求，进行劳动用工管理和建筑工人工资支付。</w:t>
      </w:r>
    </w:p>
    <w:p w14:paraId="6B0353E5">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064" w:name="_Toc30"/>
      <w:bookmarkStart w:id="1065" w:name="_Toc100907057"/>
      <w:bookmarkStart w:id="1066" w:name="_Toc100907383"/>
      <w:r>
        <w:rPr>
          <w:rFonts w:hint="eastAsia" w:ascii="宋体" w:hAnsi="宋体" w:eastAsia="宋体" w:cs="宋体"/>
          <w:b w:val="0"/>
          <w:bCs/>
          <w:color w:val="000000" w:themeColor="text1"/>
          <w:sz w:val="21"/>
          <w:szCs w:val="21"/>
          <w14:textFill>
            <w14:solidFill>
              <w14:schemeClr w14:val="tx1"/>
            </w14:solidFill>
          </w14:textFill>
        </w:rPr>
        <w:t>7.6 安全文明施工</w:t>
      </w:r>
      <w:bookmarkEnd w:id="1064"/>
      <w:bookmarkEnd w:id="1065"/>
      <w:bookmarkEnd w:id="1066"/>
    </w:p>
    <w:p w14:paraId="3E5D6198">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7.6.1 安全生产要求</w:t>
      </w:r>
    </w:p>
    <w:p w14:paraId="01821A26">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合同履行期间，合同当事人均应当遵守国家和工程所在地有关安全生产的要求，合同当事人有特别要求的，应在专用合同条件中明确安全生产标准化目标及相应事项。承包人有权拒绝发包人及工程师强令承包人违章作业、冒险施工的任何指示。</w:t>
      </w:r>
    </w:p>
    <w:p w14:paraId="605D2FA6">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在工程实施过程中，如遇到突发的地质变动、事先未知的地下施工障碍等影响施工安全的紧急情况，承包人应及时报告工程师和发包人，发包人应当及时下令停工并采取应急措施，按照相关法律法规的要求需上报政府有关行政管理部门的，应依法上报。</w:t>
      </w:r>
    </w:p>
    <w:p w14:paraId="0F7C5D34">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因安全生产需要暂停施工的，按照第8.9款[暂停工作]的约定执行。</w:t>
      </w:r>
    </w:p>
    <w:p w14:paraId="72C9105F">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7.6.2 安全生产保证措施</w:t>
      </w:r>
    </w:p>
    <w:p w14:paraId="1595B58C">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承包人应当按照法律法规和工程建设强制性标准进行设计、在设计文件中注明涉及施工安全的重点部位和环节，提出保障施工作业人员和预防安全事故的措施建议，防止因设计不合理导致生产安全事故的发生。</w:t>
      </w:r>
    </w:p>
    <w:p w14:paraId="58F02D13">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工程师及政府安全监督部门的检查与监督。</w:t>
      </w:r>
    </w:p>
    <w:p w14:paraId="6F89BEC3">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承包人应按照法律规定进行施工，开工前做好安全技术交底工作，施工过程中做好各项安全防护措施。承包人为实施合同而雇用的特殊工种的人员应受过专门的培训并已取得政府有关管理机构颁发的上岗证书。承包人应加强施工作业安全管理，特别应加强对于易燃、易爆材料、火工器材、有毒与腐蚀性材料和其他危险品的管理，以及对爆破作业和地下工程施工等危险作业的管理。</w:t>
      </w:r>
    </w:p>
    <w:p w14:paraId="74EC43C7">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7.6.3 文明施工</w:t>
      </w:r>
    </w:p>
    <w:p w14:paraId="3C3C5505">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承包人在工程施工期间，应当采取措施保持施工现场平整，物料堆放整齐。工程所在地有关政府行政管理部门有特殊要求的，按照其要求执行。合同当事人对文明施工有其他要求的，可以在专用合同条件中明确。</w:t>
      </w:r>
    </w:p>
    <w:p w14:paraId="6CC274F7">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0D0D6FE1">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7.6.4 事故处理</w:t>
      </w:r>
    </w:p>
    <w:p w14:paraId="4C0FC2E4">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工程实施过程中发生事故的，承包人应立即通知工程师。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1DFCF587">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在工程实施期间或缺陷责任期内发生危及工程安全的事件，工程师通知承包人进行抢救和抢修，承包人声明无能力或不愿立即执行的，发包人有权雇佣其他人员进行抢救和抢修。此类抢救和抢修按合同约定属于承包人义务的，由此增加的费用和（或）延误的工期由承包人承担。</w:t>
      </w:r>
    </w:p>
    <w:p w14:paraId="4B45387D">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7.6.5 安全生产责任</w:t>
      </w:r>
    </w:p>
    <w:p w14:paraId="2B58A0D3">
      <w:pPr>
        <w:pStyle w:val="114"/>
        <w:numPr>
          <w:ilvl w:val="0"/>
          <w:numId w:val="0"/>
        </w:numPr>
        <w:spacing w:afterLines="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发包人应负责赔偿以下各种情况造成的损失：</w:t>
      </w:r>
    </w:p>
    <w:p w14:paraId="243AA1E0">
      <w:pPr>
        <w:pStyle w:val="114"/>
        <w:numPr>
          <w:ilvl w:val="0"/>
          <w:numId w:val="0"/>
        </w:numPr>
        <w:spacing w:afterLines="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 工程或工程的任何部分对土地的占用所造成的第三者财产损失；</w:t>
      </w:r>
    </w:p>
    <w:p w14:paraId="5C22A947">
      <w:pPr>
        <w:pStyle w:val="114"/>
        <w:numPr>
          <w:ilvl w:val="0"/>
          <w:numId w:val="0"/>
        </w:numPr>
        <w:spacing w:afterLines="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（2） 由于发包人原因在施工现场及其毗邻地带、履行合同工作中造成的第三者人身伤亡和财产损失；</w:t>
      </w:r>
    </w:p>
    <w:p w14:paraId="755CFF3C">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（3） 由于发包人原因对发包人自身、承包人、工程师造成的人身伤害和财产损失。</w:t>
      </w:r>
    </w:p>
    <w:p w14:paraId="18316F48">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承包人应负责赔偿由于承包人原因在施工现场及其毗邻地带、履行合同工作中造成的第三者人身伤亡和财产损失。</w:t>
      </w:r>
    </w:p>
    <w:p w14:paraId="5EC3FDE1">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如果上述损失是由于发包人和承包人共同原因导致的，则双方应根据过错情况按比例承担。</w:t>
      </w:r>
    </w:p>
    <w:p w14:paraId="27809542">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067" w:name="_Toc100907384"/>
      <w:bookmarkStart w:id="1068" w:name="_Toc16632"/>
      <w:bookmarkStart w:id="1069" w:name="_Toc100907058"/>
      <w:r>
        <w:rPr>
          <w:rFonts w:hint="eastAsia" w:ascii="宋体" w:hAnsi="宋体" w:eastAsia="宋体" w:cs="宋体"/>
          <w:b w:val="0"/>
          <w:bCs/>
          <w:color w:val="000000" w:themeColor="text1"/>
          <w:sz w:val="21"/>
          <w:szCs w:val="21"/>
          <w14:textFill>
            <w14:solidFill>
              <w14:schemeClr w14:val="tx1"/>
            </w14:solidFill>
          </w14:textFill>
        </w:rPr>
        <w:t>7.7 职业健康</w:t>
      </w:r>
      <w:bookmarkEnd w:id="1067"/>
      <w:bookmarkEnd w:id="1068"/>
      <w:bookmarkEnd w:id="1069"/>
    </w:p>
    <w:p w14:paraId="64E0CA16">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承包人应遵守适用的职业健康的法律和合同约定（包括对雇用、职业健康、安全、福利等方面的规定），负责现场实施过程中其人员的职业健康和保护，包括：</w:t>
      </w:r>
    </w:p>
    <w:p w14:paraId="4DE74818">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 承包人应遵守适用的劳动法规，保护承包人员工及承包人聘用的第三方人员的合法休假权等合法权益，按照法律规定安排现场施工人员的劳动和休息时间，保障劳动者的休息时间，并支付合理的报酬和费用。因工程施工的特殊需要占用休假日或延长工作时间的，应不超过法律规定的限度，并按法律规定给予补休或酬劳。</w:t>
      </w:r>
    </w:p>
    <w:p w14:paraId="377F58B0">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（2） 承包人应依法为承包人员工及承包人聘用的第三方人员办理必要的证件、许可、保险和注册等，承包人应督促其分包人为分包人员工及分包人聘用的第三方人员办理必要的证件、许可、保险和注册等。承包人应为其履行合同所雇用的人员提供必要的膳宿条件和生活环境，必要的现场食宿条件。</w:t>
      </w:r>
    </w:p>
    <w:p w14:paraId="77F512AE">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（3） 承包人应对其施工人员进行相关作业的职业健康知识培训、危险及危害因素交底、安全操作规程交底、采取有效措施，按有关规定为其现场人员提供劳动保护用品、防护器具、防暑降温用品和安全生产设施。采取有效的防止粉尘、降低噪声、控制有害气体和保障高温、高寒、高空作业安全等劳动保护措施。</w:t>
      </w:r>
    </w:p>
    <w:p w14:paraId="2AD82DF1">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（4） 承包人应在有毒有害作业区域设置警示标志和说明，对有毒有害岗位进行防治检查，对不合格的防护设施、器具、搭设等及时整改，消除危害职业健康的隐患。发包人人员和工程师人员未经承包人允许、未配备相关保护器具，进入该作业区域所造成的伤害，由发包人承担责任和费用。</w:t>
      </w:r>
    </w:p>
    <w:p w14:paraId="5BE0C4FD">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（5） 承包人应采取有效措施预防传染病，保持食堂的饮食卫生，保证施工人员的健康，并定期对施工现场、施工人员生活基地和工程进行防疫和卫生的专业检查和处理, 在远离城镇的施工现场，还应配备必要的伤病防治和急救的医务人员与医疗设施。承包人雇佣人员在施工中受到伤害的，承包人应立即采取有效措施进行抢救和治疗。</w:t>
      </w:r>
    </w:p>
    <w:p w14:paraId="39F0AF40">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070" w:name="_Toc100907059"/>
      <w:bookmarkStart w:id="1071" w:name="_Toc100907385"/>
      <w:bookmarkStart w:id="1072" w:name="_Toc1784"/>
      <w:r>
        <w:rPr>
          <w:rFonts w:hint="eastAsia" w:ascii="宋体" w:hAnsi="宋体" w:eastAsia="宋体" w:cs="宋体"/>
          <w:b w:val="0"/>
          <w:bCs/>
          <w:color w:val="000000" w:themeColor="text1"/>
          <w:sz w:val="21"/>
          <w:szCs w:val="21"/>
          <w14:textFill>
            <w14:solidFill>
              <w14:schemeClr w14:val="tx1"/>
            </w14:solidFill>
          </w14:textFill>
        </w:rPr>
        <w:t>7.8 环境保护</w:t>
      </w:r>
      <w:bookmarkEnd w:id="1070"/>
      <w:bookmarkEnd w:id="1071"/>
      <w:bookmarkEnd w:id="1072"/>
    </w:p>
    <w:p w14:paraId="0DA1CF65">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7.8.1 承包人负责在现场施工过程中对现场周围的建筑物、构筑物、文物建筑、古树、名木，及地下管线、线缆、构筑物、文物、化石和坟墓等进行保护。因承包人未能通知发包人，并在未能得到发包人进一步指示的情况下，所造成的损害、损失、赔偿等费用增加，和（或）竣工日期延误，由承包人负责。如承包人已及时通知发包人，发包人未能及时作出指示的，所造成的损害、损失、赔偿等费用增加，和（或）竣工日期延误，由发包人负责。</w:t>
      </w:r>
    </w:p>
    <w:p w14:paraId="7F14023C">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7.8.2 承包人应采取措施，并负责控制和（或）处理现场的粉尘、废气、废水、固体废物和噪声对环境的污染和危害。因此发生的伤害、赔偿、罚款等费用增加，和（或）竣工日期延误，由承包人负责。</w:t>
      </w:r>
    </w:p>
    <w:p w14:paraId="3A4011B7">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7.8.3 承包人及时或定期将施工现场残留、废弃的垃圾分类后运到发包人或当地有关行政部门指定的地点，防止对周围环境的污染及对作业的影响。承包人应当承担因其原因引起的环境污染侵权损害赔偿责任，因违反上述约定导致当地行政部门的罚款、赔偿等增加的费用，由承包人承担；因上述环境污染引起纠纷而导致暂停施工的，由此增加的费用和（或）延误的工期由承包人承担。</w:t>
      </w:r>
    </w:p>
    <w:p w14:paraId="51D5CFFB">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073" w:name="_Toc100907386"/>
      <w:bookmarkStart w:id="1074" w:name="_Toc100907060"/>
      <w:bookmarkStart w:id="1075" w:name="_Toc2620"/>
      <w:r>
        <w:rPr>
          <w:rFonts w:hint="eastAsia" w:ascii="宋体" w:hAnsi="宋体" w:eastAsia="宋体" w:cs="宋体"/>
          <w:b w:val="0"/>
          <w:bCs/>
          <w:color w:val="000000" w:themeColor="text1"/>
          <w:sz w:val="21"/>
          <w:szCs w:val="21"/>
          <w14:textFill>
            <w14:solidFill>
              <w14:schemeClr w14:val="tx1"/>
            </w14:solidFill>
          </w14:textFill>
        </w:rPr>
        <w:t>7.9 临时性公用设施</w:t>
      </w:r>
      <w:bookmarkEnd w:id="1073"/>
      <w:bookmarkEnd w:id="1074"/>
      <w:bookmarkEnd w:id="1075"/>
      <w:r>
        <w:rPr>
          <w:rFonts w:hint="eastAsia" w:ascii="宋体" w:hAnsi="宋体" w:eastAsia="宋体" w:cs="宋体"/>
          <w:b w:val="0"/>
          <w:bCs/>
          <w:color w:val="000000" w:themeColor="text1"/>
          <w:sz w:val="21"/>
          <w:szCs w:val="21"/>
          <w14:textFill>
            <w14:solidFill>
              <w14:schemeClr w14:val="tx1"/>
            </w14:solidFill>
          </w14:textFill>
        </w:rPr>
        <w:t xml:space="preserve"> </w:t>
      </w:r>
    </w:p>
    <w:p w14:paraId="23706E0C">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7.9.1 提供临时用水、用电等和节点铺设</w:t>
      </w:r>
    </w:p>
    <w:p w14:paraId="1BBF9ECD">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除专用合同条件另有约定外，发包人应在承包人进场前将施工临时用水、用电等接至约定的节点位置，并保证其需要。上述临时使用的水、电等的类别、取费单价在专用合同条件中约定，发包人按实际计量结果收费。发包人无法提供的水、电等在专用合同条件中约定，相关费用由承包人纳入报价并承担相关责任。</w:t>
      </w:r>
    </w:p>
    <w:p w14:paraId="7819540F">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发包人未能按约定的类别和时间完成节点铺设，使开工时间延误，竣工日期相应顺延。未能按约定的品质、数量和时间提供水、电等，给承包人造成的损失由发包人承担，导致工程关键路径延误的，竣工日期相应顺延。</w:t>
      </w:r>
    </w:p>
    <w:p w14:paraId="32AF076F">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7.9.2 临时用水、用电等</w:t>
      </w:r>
    </w:p>
    <w:p w14:paraId="476D1954">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承包人应在计划开始现场施工日期28天前或双方约定的其它时间，按专用合同条件中约定的发包人能够提供的临时用水、用电等类别，向发包人提交施工（含工程物资保管）所需的临时用水、用电等的品质、正常用量、高峰用量、使用时间和节点位置等资料。承包人自费负责计量仪器的购买、安装和维护，并依据专用合同条件中约定的单价向发包人交费，合同当事人另有约定时除外。</w:t>
      </w:r>
    </w:p>
    <w:p w14:paraId="5C8710B3">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因承包人未能按合同约定提交上述资料，造成发包人费用增加和竣工日期延误时，由承包人负责。</w:t>
      </w:r>
    </w:p>
    <w:p w14:paraId="6C42833D">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076" w:name="_Toc100907061"/>
      <w:bookmarkStart w:id="1077" w:name="_Toc29654"/>
      <w:bookmarkStart w:id="1078" w:name="_Toc100907387"/>
      <w:r>
        <w:rPr>
          <w:rFonts w:hint="eastAsia" w:ascii="宋体" w:hAnsi="宋体" w:eastAsia="宋体" w:cs="宋体"/>
          <w:b w:val="0"/>
          <w:bCs/>
          <w:color w:val="000000" w:themeColor="text1"/>
          <w:sz w:val="21"/>
          <w:szCs w:val="21"/>
          <w14:textFill>
            <w14:solidFill>
              <w14:schemeClr w14:val="tx1"/>
            </w14:solidFill>
          </w14:textFill>
        </w:rPr>
        <w:t>7.10 现场安保</w:t>
      </w:r>
      <w:bookmarkEnd w:id="1076"/>
      <w:bookmarkEnd w:id="1077"/>
      <w:bookmarkEnd w:id="1078"/>
    </w:p>
    <w:p w14:paraId="3FBF1FBE">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承包人承担自发包人向其移交施工现场、进入占有施工现场至发包人接收单位/区段工程或（和）工程之前的现场安保责任，并负责编制相关的安保制度、责任制度和报告制度，提交给发包人。除专用合同条件另有约定外，承包人的该等义务不因其与他人共同合法占有施工现场而减免。承包人有权要求发包人负责协调他人就共同合法占有现场的安保事宜接受承包人的管理。</w:t>
      </w:r>
    </w:p>
    <w:p w14:paraId="691E511B">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承包人应将其作业限制在现场区域、合同约定的区域或为履行合同所需的区域内。承包人应采取一切必要的预防措施，以保持承包人的设备和人员处于现场区域内，避免其进入邻近地区。</w:t>
      </w:r>
    </w:p>
    <w:p w14:paraId="36BADCFC">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承包人为履行合同义务而占用的其他场所（如预制加工场所、办公及生活营区） 的安保适用本款前述关于现场安保的规定。</w:t>
      </w:r>
    </w:p>
    <w:p w14:paraId="27D4F135">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079" w:name="_Toc100907062"/>
      <w:bookmarkStart w:id="1080" w:name="_Toc17222"/>
      <w:bookmarkStart w:id="1081" w:name="_Toc100907388"/>
      <w:r>
        <w:rPr>
          <w:rFonts w:hint="eastAsia" w:ascii="宋体" w:hAnsi="宋体" w:eastAsia="宋体" w:cs="宋体"/>
          <w:b w:val="0"/>
          <w:bCs/>
          <w:color w:val="000000" w:themeColor="text1"/>
          <w:sz w:val="21"/>
          <w:szCs w:val="21"/>
          <w14:textFill>
            <w14:solidFill>
              <w14:schemeClr w14:val="tx1"/>
            </w14:solidFill>
          </w14:textFill>
        </w:rPr>
        <w:t>7.11 工程照管</w:t>
      </w:r>
      <w:bookmarkEnd w:id="1079"/>
      <w:bookmarkEnd w:id="1080"/>
      <w:bookmarkEnd w:id="1081"/>
    </w:p>
    <w:p w14:paraId="13AB4735">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自开始现场施工日期起至发包人应当接收工程之日止，承包人应承担工程现场、材料、设备及承包人文件的照管和维护工作。</w:t>
      </w:r>
    </w:p>
    <w:p w14:paraId="7FFB13A7">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如部分工程于竣工验收前提前交付发包人的，则自交付之日起，该部分工程照管及维护职责由发包人承担。</w:t>
      </w:r>
    </w:p>
    <w:p w14:paraId="5850C731">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如发包人及承包人进行竣工验收时尚有部分未竣工工程的，承包人应负责该未竣工工程的照管和维护工作，直至竣工后移交给发包人。</w:t>
      </w:r>
    </w:p>
    <w:p w14:paraId="598FC1E4">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如合同解除或终止的，承包人自合同解除或终止之日起不再对工程承担照管和维护义务。</w:t>
      </w:r>
    </w:p>
    <w:p w14:paraId="74EDE19D">
      <w:pPr>
        <w:pStyle w:val="130"/>
        <w:wordWrap/>
        <w:topLinePunct w:val="0"/>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082" w:name="_Toc100907389"/>
      <w:bookmarkStart w:id="1083" w:name="_Toc15603"/>
      <w:bookmarkStart w:id="1084" w:name="_Toc100907063"/>
      <w:r>
        <w:rPr>
          <w:rFonts w:hint="eastAsia" w:ascii="宋体" w:hAnsi="宋体" w:eastAsia="宋体" w:cs="宋体"/>
          <w:b w:val="0"/>
          <w:bCs/>
          <w:color w:val="000000" w:themeColor="text1"/>
          <w:sz w:val="21"/>
          <w:szCs w:val="21"/>
          <w14:textFill>
            <w14:solidFill>
              <w14:schemeClr w14:val="tx1"/>
            </w14:solidFill>
          </w14:textFill>
        </w:rPr>
        <w:t>第8条 工期和进度</w:t>
      </w:r>
      <w:bookmarkEnd w:id="1082"/>
      <w:bookmarkEnd w:id="1083"/>
      <w:bookmarkEnd w:id="1084"/>
    </w:p>
    <w:p w14:paraId="0B7D6E0C">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085" w:name="_Toc12769"/>
      <w:bookmarkStart w:id="1086" w:name="_Toc100907390"/>
      <w:bookmarkStart w:id="1087" w:name="_Toc100907064"/>
      <w:r>
        <w:rPr>
          <w:rFonts w:hint="eastAsia" w:ascii="宋体" w:hAnsi="宋体" w:eastAsia="宋体" w:cs="宋体"/>
          <w:b w:val="0"/>
          <w:bCs/>
          <w:color w:val="000000" w:themeColor="text1"/>
          <w:sz w:val="21"/>
          <w:szCs w:val="21"/>
          <w14:textFill>
            <w14:solidFill>
              <w14:schemeClr w14:val="tx1"/>
            </w14:solidFill>
          </w14:textFill>
        </w:rPr>
        <w:t>8.1 开始工作</w:t>
      </w:r>
      <w:bookmarkEnd w:id="1085"/>
      <w:bookmarkEnd w:id="1086"/>
      <w:bookmarkEnd w:id="1087"/>
    </w:p>
    <w:p w14:paraId="1B598D53">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8.1.1 开始工作准备</w:t>
      </w:r>
    </w:p>
    <w:p w14:paraId="06F7A68D">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合同当事人应按专用合同条件约定完成开始工作准备工作。</w:t>
      </w:r>
    </w:p>
    <w:p w14:paraId="02356055">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8.1.2 开始工作通知</w:t>
      </w:r>
    </w:p>
    <w:p w14:paraId="19C433D4">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经发包人同意后，工程师应提前7天向承包人发出经发包人签认的开始工作通知，工期自开始工作通知中载明的开始工作日期起算。</w:t>
      </w:r>
    </w:p>
    <w:p w14:paraId="73DE9644">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除专用合同条件另有约定外，因发包人原因造成实际开始现场施工日期迟于计划开始现场施工日期后第84天的，承包人有权提出价格调整要求，或者解除合同。发包人应当承担由此增加的费用和（或）延误的工期，并向承包人支付合理利润。</w:t>
      </w:r>
    </w:p>
    <w:p w14:paraId="05A17F32">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088" w:name="_Toc100907065"/>
      <w:bookmarkStart w:id="1089" w:name="_Toc100907391"/>
      <w:bookmarkStart w:id="1090" w:name="_Toc8035"/>
      <w:r>
        <w:rPr>
          <w:rFonts w:hint="eastAsia" w:ascii="宋体" w:hAnsi="宋体" w:eastAsia="宋体" w:cs="宋体"/>
          <w:b w:val="0"/>
          <w:bCs/>
          <w:color w:val="000000" w:themeColor="text1"/>
          <w:sz w:val="21"/>
          <w:szCs w:val="21"/>
          <w14:textFill>
            <w14:solidFill>
              <w14:schemeClr w14:val="tx1"/>
            </w14:solidFill>
          </w14:textFill>
        </w:rPr>
        <w:t>8.2 竣工日期</w:t>
      </w:r>
      <w:bookmarkEnd w:id="1088"/>
      <w:bookmarkEnd w:id="1089"/>
      <w:bookmarkEnd w:id="1090"/>
      <w:r>
        <w:rPr>
          <w:rFonts w:hint="eastAsia" w:ascii="宋体" w:hAnsi="宋体" w:eastAsia="宋体" w:cs="宋体"/>
          <w:b w:val="0"/>
          <w:bCs/>
          <w:color w:val="000000" w:themeColor="text1"/>
          <w:sz w:val="21"/>
          <w:szCs w:val="21"/>
          <w14:textFill>
            <w14:solidFill>
              <w14:schemeClr w14:val="tx1"/>
            </w14:solidFill>
          </w14:textFill>
        </w:rPr>
        <w:t xml:space="preserve"> </w:t>
      </w:r>
    </w:p>
    <w:p w14:paraId="5788833B">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承包人应在合同协议书约定的工期内完成合同工作。除专用合同条件另有约定外，工程的竣工日期以第10.1条[竣工验收]的约定为准，并在工程接收证书中写明。</w:t>
      </w:r>
    </w:p>
    <w:p w14:paraId="1C96DE21">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因发包人原因，在工程师收到承包人竣工验收申请报告42天后未进行验收的，视为验收合格，实际竣工日期以提交竣工验收申请报告的日期为准，但发包人由于不可抗力不能进行验收的除外。</w:t>
      </w:r>
    </w:p>
    <w:p w14:paraId="0EBF61C6">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091" w:name="_Toc23403"/>
      <w:bookmarkStart w:id="1092" w:name="_Toc100907066"/>
      <w:bookmarkStart w:id="1093" w:name="_Toc100907392"/>
      <w:r>
        <w:rPr>
          <w:rFonts w:hint="eastAsia" w:ascii="宋体" w:hAnsi="宋体" w:eastAsia="宋体" w:cs="宋体"/>
          <w:b w:val="0"/>
          <w:bCs/>
          <w:color w:val="000000" w:themeColor="text1"/>
          <w:sz w:val="21"/>
          <w:szCs w:val="21"/>
          <w14:textFill>
            <w14:solidFill>
              <w14:schemeClr w14:val="tx1"/>
            </w14:solidFill>
          </w14:textFill>
        </w:rPr>
        <w:t>8.3 项目实施计划</w:t>
      </w:r>
      <w:bookmarkEnd w:id="1091"/>
      <w:bookmarkEnd w:id="1092"/>
      <w:bookmarkEnd w:id="1093"/>
    </w:p>
    <w:p w14:paraId="5CA77C0B">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8.3.1 项目实施计划的内容</w:t>
      </w:r>
    </w:p>
    <w:p w14:paraId="5469DAED">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项目实施计划是依据合同和经批准的项目管理计划进行编制并用于对项目实施进行管理和控制的文件，应包含概述、总体实施方案、项目实施要点、项目初步进度计划以及合同当事人在专用合同条件中约定的其他内容。</w:t>
      </w:r>
    </w:p>
    <w:p w14:paraId="2FEDE0F8">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8.3.2 项目实施计划的提交和修改</w:t>
      </w:r>
    </w:p>
    <w:p w14:paraId="3E7C0A2C">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除专用合同条件另有约定外，承包人应在合同订立后14天内，向工程师提交项目实施计划，工程师应在收到项目实施计划后21天内确认或提出修改意见。对工程师提出的合理意见和要求，承包人应自费修改完善。根据工程实施的实际情况需要修改项目实施计划的，承包人应向工程师提交修改后的项目实施计划。</w:t>
      </w:r>
    </w:p>
    <w:p w14:paraId="53988509">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项目进度计划的编制和修改按照第8.4款[项目进度计划]执行。</w:t>
      </w:r>
    </w:p>
    <w:p w14:paraId="5DD491BE">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094" w:name="_Toc7514"/>
      <w:bookmarkStart w:id="1095" w:name="_Toc100907067"/>
      <w:bookmarkStart w:id="1096" w:name="_Toc100907393"/>
      <w:r>
        <w:rPr>
          <w:rFonts w:hint="eastAsia" w:ascii="宋体" w:hAnsi="宋体" w:eastAsia="宋体" w:cs="宋体"/>
          <w:b w:val="0"/>
          <w:bCs/>
          <w:color w:val="000000" w:themeColor="text1"/>
          <w:sz w:val="21"/>
          <w:szCs w:val="21"/>
          <w14:textFill>
            <w14:solidFill>
              <w14:schemeClr w14:val="tx1"/>
            </w14:solidFill>
          </w14:textFill>
        </w:rPr>
        <w:t>8.4 项目进度计划</w:t>
      </w:r>
      <w:bookmarkEnd w:id="1094"/>
      <w:bookmarkEnd w:id="1095"/>
      <w:bookmarkEnd w:id="1096"/>
    </w:p>
    <w:p w14:paraId="0346363A">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8.4.1 项目进度计划的提交和修改</w:t>
      </w:r>
    </w:p>
    <w:p w14:paraId="5F7BC719">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承包人应按照第8.3款[项目实施计划]约定编制并向工程师提交项目初步进度计划，经工程师批准后实施。除专用合同条件另有约定外，工程师应在21天内批复或提出修改意见，否则该项目初步进度计划视为已得到批准。对工程师提出的合理意见和要求，承包人应自费修改完善。</w:t>
      </w:r>
    </w:p>
    <w:p w14:paraId="74EDECEA">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经工程师批准的项目初步进度计划称为项目进度计划，是控制合同工程进度的依据，工程师有权按照进度计划检查工程进度情况。承包人还应根据项目进度计划，编制更为详细的分阶段或分项的进度计划，由工程师批准。</w:t>
      </w:r>
    </w:p>
    <w:p w14:paraId="133BC8E7">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8.4.2 项目进度计划的内容</w:t>
      </w:r>
    </w:p>
    <w:p w14:paraId="17599C70">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项目进度计划应当包括设计、承包人文件提交、采购、制造、检验、运达现场、施工、安装、试验的各个阶段的预期时间以及设计和施工组织方案说明等，其编制应当符合国家法律规定和一般工程实践惯例。项目进度计划的具体要求、关键路径及关键路径变化的确定原则、承包人提交的份数和时间等，在专用合同条件约定。</w:t>
      </w:r>
    </w:p>
    <w:p w14:paraId="777F785E">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8.4.3 项目进度计划的修订</w:t>
      </w:r>
    </w:p>
    <w:p w14:paraId="2D49E2AE">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项目进度计划不符合合同要求或与工程的实际进度不一致的，承包人应向工程师提交修订的项目进度计划，并附具有关措施和相关资料。工程师也可以直接向承包人发出修订项目进度计划的通知，承包人如接受，应按该通知修订项目进度计划，报工程师批准。承包人如不接受，应当在14天内答复，如未按时答复视作已接受修订项目进度计划通知中的内容。</w:t>
      </w:r>
    </w:p>
    <w:p w14:paraId="1BD8699D">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除专用合同条件另有约定外，工程师应在收到修订的项目进度计划后14天内完成审批或提出修改意见，如未按时答复视作已批准承包人修订后的项目进度计划。工程师对承包人提交的项目进度计划的确认，不能减轻或免除承包人根据法律规定和合同约定应承担的任何责任或义务。</w:t>
      </w:r>
    </w:p>
    <w:p w14:paraId="7E3AEACF">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除合同当事人另有约定外，项目进度计划的修订并不能减轻或者免除双方按第8.7款[工期延误]、第8.8款[工期提前]、第8.9款[暂停工作]应承担的合同责任。</w:t>
      </w:r>
    </w:p>
    <w:p w14:paraId="6B9BE105">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097" w:name="_Toc100907068"/>
      <w:bookmarkStart w:id="1098" w:name="_Toc100907394"/>
      <w:bookmarkStart w:id="1099" w:name="_Toc10852"/>
      <w:r>
        <w:rPr>
          <w:rFonts w:hint="eastAsia" w:ascii="宋体" w:hAnsi="宋体" w:eastAsia="宋体" w:cs="宋体"/>
          <w:b w:val="0"/>
          <w:bCs/>
          <w:color w:val="000000" w:themeColor="text1"/>
          <w:sz w:val="21"/>
          <w:szCs w:val="21"/>
          <w14:textFill>
            <w14:solidFill>
              <w14:schemeClr w14:val="tx1"/>
            </w14:solidFill>
          </w14:textFill>
        </w:rPr>
        <w:t>8.5 进度报告</w:t>
      </w:r>
      <w:bookmarkEnd w:id="1097"/>
      <w:bookmarkEnd w:id="1098"/>
      <w:bookmarkEnd w:id="1099"/>
    </w:p>
    <w:p w14:paraId="155DFC48">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项目实施过程中，承包人应进行实际进度记录，并根据工程师的要求编制月进度报告，并提交给工程师。进度报告应包含以下主要内容：</w:t>
      </w:r>
    </w:p>
    <w:p w14:paraId="75DF99DD">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 工程设计、采购、施工等各个工作内容的进展报告；</w:t>
      </w:r>
    </w:p>
    <w:p w14:paraId="3E795249">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（2） 工程施工方法的一般说明；</w:t>
      </w:r>
    </w:p>
    <w:p w14:paraId="0B0B9FB2">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（3） 当月工程实施介入的项目人员、设备和材料的预估明细报告；</w:t>
      </w:r>
    </w:p>
    <w:p w14:paraId="6A2AA542">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 xml:space="preserve">（4） 当月实际进度与进度计划对比分析，以及提出未来可能引起工期延误的情形，同时提出应对措施；需要修订项目进度计划的，应对项目进度计划的修订部分进行说明； </w:t>
      </w:r>
    </w:p>
    <w:p w14:paraId="5245C7D0">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（5） 承包人对于解决工期延误所提出的建议；</w:t>
      </w:r>
    </w:p>
    <w:p w14:paraId="0955752F">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（6） 其他与工程有关的重大事项。</w:t>
      </w:r>
    </w:p>
    <w:p w14:paraId="058DF4C0">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进度报告的具体要求等，在专用合同条件约定。</w:t>
      </w:r>
    </w:p>
    <w:p w14:paraId="3BD219B6">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100" w:name="_Toc100907395"/>
      <w:bookmarkStart w:id="1101" w:name="_Toc100907069"/>
      <w:bookmarkStart w:id="1102" w:name="_Toc11250"/>
      <w:r>
        <w:rPr>
          <w:rFonts w:hint="eastAsia" w:ascii="宋体" w:hAnsi="宋体" w:eastAsia="宋体" w:cs="宋体"/>
          <w:b w:val="0"/>
          <w:bCs/>
          <w:color w:val="000000" w:themeColor="text1"/>
          <w:sz w:val="21"/>
          <w:szCs w:val="21"/>
          <w14:textFill>
            <w14:solidFill>
              <w14:schemeClr w14:val="tx1"/>
            </w14:solidFill>
          </w14:textFill>
        </w:rPr>
        <w:t>8.6 提前预警</w:t>
      </w:r>
      <w:bookmarkEnd w:id="1100"/>
      <w:bookmarkEnd w:id="1101"/>
      <w:bookmarkEnd w:id="1102"/>
    </w:p>
    <w:p w14:paraId="4567E346">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任何一方应当在下列情形发生时尽快书面通知另一方：</w:t>
      </w:r>
    </w:p>
    <w:p w14:paraId="10B499D4">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 该情形可能对合同的履行或实现合同目的产生不利影响；</w:t>
      </w:r>
    </w:p>
    <w:p w14:paraId="6051CCE9">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（2） 该情形可能对工程完成后的使用产生不利影响；</w:t>
      </w:r>
    </w:p>
    <w:p w14:paraId="2F61EE5D">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（3） 该情形可能导致合同价款增加；</w:t>
      </w:r>
    </w:p>
    <w:p w14:paraId="3B949C78">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（4） 该情形可能导致整个工程或单位/区段工程的工期延长。</w:t>
      </w:r>
    </w:p>
    <w:p w14:paraId="650752C3">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发包人有权要求承包人根据第13.2款[承包人的合理化建议]的约定提交变更建议，采取措施尽量避免或最小化上述情形的发生或影响。</w:t>
      </w:r>
    </w:p>
    <w:p w14:paraId="58807F17">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103" w:name="_Toc100907396"/>
      <w:bookmarkStart w:id="1104" w:name="_Toc2483"/>
      <w:bookmarkStart w:id="1105" w:name="_Toc100907070"/>
      <w:r>
        <w:rPr>
          <w:rFonts w:hint="eastAsia" w:ascii="宋体" w:hAnsi="宋体" w:eastAsia="宋体" w:cs="宋体"/>
          <w:b w:val="0"/>
          <w:bCs/>
          <w:color w:val="000000" w:themeColor="text1"/>
          <w:sz w:val="21"/>
          <w:szCs w:val="21"/>
          <w14:textFill>
            <w14:solidFill>
              <w14:schemeClr w14:val="tx1"/>
            </w14:solidFill>
          </w14:textFill>
        </w:rPr>
        <w:t>8.7 工期延误</w:t>
      </w:r>
      <w:bookmarkEnd w:id="1103"/>
      <w:bookmarkEnd w:id="1104"/>
      <w:bookmarkEnd w:id="1105"/>
    </w:p>
    <w:p w14:paraId="28394096">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8.7.1 因发包人原因导致工期延误</w:t>
      </w:r>
    </w:p>
    <w:p w14:paraId="5EBA885A">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在合同履行过程中，因下列情况导致工期延误和（或）费用增加的，由发包人承担由此延误的工期和（或）增加的费用，且发包人应支付承包人合理的利润：</w:t>
      </w:r>
    </w:p>
    <w:p w14:paraId="0017957F">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 根据第13条[变更与调整]的约定构成一项变更的；</w:t>
      </w:r>
    </w:p>
    <w:p w14:paraId="692BA89D">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（2） 发包人违反本合同约定，导致工期延误和（或）费用增加的；</w:t>
      </w:r>
    </w:p>
    <w:p w14:paraId="0E70AE6B">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（3） 发包人、发包人代表、工程师或发包人聘请的任意第三方造成或引起的任何延误、妨碍和阻碍；</w:t>
      </w:r>
    </w:p>
    <w:p w14:paraId="3DBD1404">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（4） 发包人未能依据第6.2.1项[发包人提供的材料和工程设备]的约定提供材料和工程设备导致工期延误和（或）费用增加的；</w:t>
      </w:r>
    </w:p>
    <w:p w14:paraId="3EE452CA">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（5） 因发包人原因导致的暂停施工；</w:t>
      </w:r>
    </w:p>
    <w:p w14:paraId="154DEB8D">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（6） 发包人未及时履行相关合同义务，造成工期延误的其他原因。</w:t>
      </w:r>
    </w:p>
    <w:p w14:paraId="201A4DAD">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8.7.2 因承包人原因导致工期延误</w:t>
      </w:r>
    </w:p>
    <w:p w14:paraId="0081C5AE">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由于承包人的原因，未能按项目进度计划完成工作，承包人应采取措施加快进度，并承担加快进度所增加的费用。</w:t>
      </w:r>
    </w:p>
    <w:p w14:paraId="0B20D29B">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由于承包人原因造成工期延误并导致逾期竣工的，承包人应支付逾期竣工违约金。逾期竣工违约金的计算方法和最高限额在专用合同条件中约定。承包人支付逾期竣工违约金，不免除承包人完成工作及修补缺陷的义务，且发包人有权从工程进度款、竣工结算款或约定提交的履约担保中扣除相当于逾期竣工违约金的金额。</w:t>
      </w:r>
    </w:p>
    <w:p w14:paraId="65A4F467">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 xml:space="preserve">8.7.3 行政审批迟延 </w:t>
      </w:r>
    </w:p>
    <w:p w14:paraId="1F50582B">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合同约定范围内的工作需国家有关部门审批的，发包人和（或）承包人应按照专用合同条件约定的职责分工完成行政审批报送。因国家有关部门审批迟延造成工期延误的，竣工日期相应顺延。造成费用增加的，由双方在负责的范围内各自承担。</w:t>
      </w:r>
    </w:p>
    <w:p w14:paraId="71B713CE">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8.7.4 异常恶劣的气候条件</w:t>
      </w:r>
    </w:p>
    <w:p w14:paraId="0E087B3F">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异常恶劣的气候条件是指在施工过程中遇到的，有经验的承包人在订立合同时不可预见的，对合同履行造成实质性影响的，但尚未构成不可抗力事件的恶劣气候条件。合同当事人可以在专用合同条件中约定异常恶劣的气候条件的具体情形。</w:t>
      </w:r>
    </w:p>
    <w:p w14:paraId="036B7244">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承包人应采取克服异常恶劣的气候条件的合理措施继续施工，并及时通知工程师。工程师应当及时发出指示，指示构成变更的，按第13条[变更与调整]约定办理。承包人因采取合理措施而延误的工期由发包人承担。</w:t>
      </w:r>
    </w:p>
    <w:p w14:paraId="53E8F8A7">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106" w:name="_Toc100907397"/>
      <w:bookmarkStart w:id="1107" w:name="_Toc29663"/>
      <w:bookmarkStart w:id="1108" w:name="_Toc100907071"/>
      <w:r>
        <w:rPr>
          <w:rFonts w:hint="eastAsia" w:ascii="宋体" w:hAnsi="宋体" w:eastAsia="宋体" w:cs="宋体"/>
          <w:b w:val="0"/>
          <w:bCs/>
          <w:color w:val="000000" w:themeColor="text1"/>
          <w:sz w:val="21"/>
          <w:szCs w:val="21"/>
          <w14:textFill>
            <w14:solidFill>
              <w14:schemeClr w14:val="tx1"/>
            </w14:solidFill>
          </w14:textFill>
        </w:rPr>
        <w:t>8.8 工期提前</w:t>
      </w:r>
      <w:bookmarkEnd w:id="1106"/>
      <w:bookmarkEnd w:id="1107"/>
      <w:bookmarkEnd w:id="1108"/>
    </w:p>
    <w:p w14:paraId="095C19AD">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8.8.1 发包人指示承包人提前竣工且被承包人接受的，应与承包人共同协商采取加快工程进度的措施和修订项目进度计划。发包人应承担承包人由此增加的费用，增加的费用按第13条[变更与调整]的约定执行；发包人不得以任何理由要求承包人超过合理限度压缩工期。承包人有权不接受提前竣工的指示，工期按照合同约定执行。</w:t>
      </w:r>
    </w:p>
    <w:p w14:paraId="756ECF45">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8.8.2 承包人提出提前竣工的建议且发包人接受的，应与发包人共同协商采取加快工程进度的措施和修订项目进度计划。发包人应承担承包人由此增加的费用，增加的费用按第13条[变更与调整]的约定执行，并向承包人支付专用合同条件约定的相应奖励金。</w:t>
      </w:r>
    </w:p>
    <w:p w14:paraId="3E533E1F">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109" w:name="_Toc100907398"/>
      <w:bookmarkStart w:id="1110" w:name="_Toc27391"/>
      <w:bookmarkStart w:id="1111" w:name="_Toc100907072"/>
      <w:r>
        <w:rPr>
          <w:rFonts w:hint="eastAsia" w:ascii="宋体" w:hAnsi="宋体" w:eastAsia="宋体" w:cs="宋体"/>
          <w:b w:val="0"/>
          <w:bCs/>
          <w:color w:val="000000" w:themeColor="text1"/>
          <w:sz w:val="21"/>
          <w:szCs w:val="21"/>
          <w14:textFill>
            <w14:solidFill>
              <w14:schemeClr w14:val="tx1"/>
            </w14:solidFill>
          </w14:textFill>
        </w:rPr>
        <w:t>8.9 暂停工作</w:t>
      </w:r>
      <w:bookmarkEnd w:id="1109"/>
      <w:bookmarkEnd w:id="1110"/>
      <w:bookmarkEnd w:id="1111"/>
      <w:r>
        <w:rPr>
          <w:rFonts w:hint="eastAsia" w:ascii="宋体" w:hAnsi="宋体" w:eastAsia="宋体" w:cs="宋体"/>
          <w:b w:val="0"/>
          <w:bCs/>
          <w:color w:val="000000" w:themeColor="text1"/>
          <w:sz w:val="21"/>
          <w:szCs w:val="21"/>
          <w14:textFill>
            <w14:solidFill>
              <w14:schemeClr w14:val="tx1"/>
            </w14:solidFill>
          </w14:textFill>
        </w:rPr>
        <w:t xml:space="preserve"> </w:t>
      </w:r>
    </w:p>
    <w:p w14:paraId="38FD03F0">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8.9.1 由发包人暂停工作</w:t>
      </w:r>
    </w:p>
    <w:p w14:paraId="407945BD">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发包人认为必要时，可通过工程师向承包人发出经发包人签认的暂停工作通知，应列明暂停原因、暂停的日期及预计暂停的期限。承包人应按该通知暂停工作。</w:t>
      </w:r>
    </w:p>
    <w:p w14:paraId="49D3E1AB">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承包人因执行暂停工作通知而造成费用的增加和（或）工期延误由发包人承担，并有权要求发包人支付合理利润，但由于承包人原因造成发包人暂停工作的除外。</w:t>
      </w:r>
    </w:p>
    <w:p w14:paraId="3AFF7BB6">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 xml:space="preserve">8.9.2 由承包人暂停工作 </w:t>
      </w:r>
    </w:p>
    <w:p w14:paraId="2C3BF185">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因承包人原因所造成部分或全部工程的暂停，承包人应采取措施尽快复工并赶上进度，由此造成费用的增加或工期延误由承包人承担。因此造成逾期竣工的，承包人应按第8.7.2项[因承包人原因导致工期延误]承担逾期竣工违约责任。</w:t>
      </w:r>
    </w:p>
    <w:p w14:paraId="6BCB9BB3">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合同履行过程中发生下列情形之一的，承包人可向发包人发出通知，要求发包人采取有效措施予以纠正。发包人收到承包人通知后的28天内仍不予以纠正，承包人有权暂停施工，并通知工程师。承包人有权要求发包人延长工期和（或）增加费用，并支付合理利润：</w:t>
      </w:r>
    </w:p>
    <w:p w14:paraId="7D1B5433">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 发包人拖延、拒绝批准付款申请和支付证书，或未能按合同约定支付价款，导致付款延误的；</w:t>
      </w:r>
    </w:p>
    <w:p w14:paraId="0AAB95FD">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（2） 发包人未按约定履行合同其他义务导致承包人无法继续履行合同的，或者发包人明确表示暂停或实质上已暂停履行合同的。</w:t>
      </w:r>
    </w:p>
    <w:p w14:paraId="651A401C">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8.9.3 除上述原因以外的暂停工作，双方应遵守第17条[不可抗力]的相关约定。</w:t>
      </w:r>
    </w:p>
    <w:p w14:paraId="5895FF6A">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 xml:space="preserve">8.9.4 暂停工作期间的工程照管 </w:t>
      </w:r>
    </w:p>
    <w:p w14:paraId="293A4BDC">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不论由于何种原因引起暂停工作的，暂停工作期间，承包人应负责对工程、工程物资及文件等进行照管和保护，并提供安全保障，由此增加的费用按第8.9.1项[由发包人暂停工作]和第8.9.2项[由承包人暂停工作]的约定承担。</w:t>
      </w:r>
    </w:p>
    <w:p w14:paraId="452CA88B">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因承包人未能尽到照管、保护的责任造成损失的，使发包人的费用增加，（或）竣工日期延误的，由承包人按本合同约定承担责任。</w:t>
      </w:r>
    </w:p>
    <w:p w14:paraId="78C48FD4">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8.9.5 拖长的暂停</w:t>
      </w:r>
    </w:p>
    <w:p w14:paraId="2FB57517">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根据第8.9.1项[由发包人暂停工作]暂停工作持续超过56天的，承包人可向发包人发出要求复工的通知。如果发包人没有在收到书面通知后28天内准许已暂停工作的全部或部分继续工作，承包人有权根据第13条[变更与调整]的约定，要求以变更方式调减受暂停影响的部分工程。发包人的暂停超过56天且暂停影响到整个工程的，承包人有权根据第16.2款[由承包人解除合同]的约定，发出解除合同的通知。</w:t>
      </w:r>
    </w:p>
    <w:p w14:paraId="6429AA97">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bookmarkStart w:id="1112" w:name="_Toc100907073"/>
      <w:bookmarkStart w:id="1113" w:name="_Toc100907399"/>
      <w:r>
        <w:rPr>
          <w:rFonts w:hint="eastAsia" w:cs="宋体"/>
          <w:color w:val="000000" w:themeColor="text1"/>
          <w:sz w:val="21"/>
          <w14:textFill>
            <w14:solidFill>
              <w14:schemeClr w14:val="tx1"/>
            </w14:solidFill>
          </w14:textFill>
        </w:rPr>
        <w:t>8.10 复工</w:t>
      </w:r>
      <w:bookmarkEnd w:id="1112"/>
      <w:bookmarkEnd w:id="1113"/>
      <w:r>
        <w:rPr>
          <w:rFonts w:hint="eastAsia" w:cs="宋体"/>
          <w:color w:val="000000" w:themeColor="text1"/>
          <w:sz w:val="21"/>
          <w14:textFill>
            <w14:solidFill>
              <w14:schemeClr w14:val="tx1"/>
            </w14:solidFill>
          </w14:textFill>
        </w:rPr>
        <w:t xml:space="preserve"> </w:t>
      </w:r>
    </w:p>
    <w:p w14:paraId="4EC62938">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8.10.1 收到发包人的复工通知后，承包人应按通知时间复工；发包人通知的复工时间应当给予承包人必要的准备复工时间。</w:t>
      </w:r>
    </w:p>
    <w:p w14:paraId="2AD79760">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8.10.2 不论由于何种原因引起暂停工作，双方均可要求对方一同对受暂停影响的工程、工程设备和工程物资进行检查，承包人应将检查结果及需要恢复、修复的内容和估算通知发包人。</w:t>
      </w:r>
    </w:p>
    <w:p w14:paraId="329C630C">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8.10.3 除第17条[不可抗力]另有约定外，发生的恢复、修复价款及工期延误的后果由责任方承担。</w:t>
      </w:r>
    </w:p>
    <w:p w14:paraId="78001ABF">
      <w:pPr>
        <w:pStyle w:val="130"/>
        <w:wordWrap/>
        <w:topLinePunct w:val="0"/>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114" w:name="_Toc100907400"/>
      <w:bookmarkStart w:id="1115" w:name="_Toc25833"/>
      <w:bookmarkStart w:id="1116" w:name="_Toc100907074"/>
      <w:r>
        <w:rPr>
          <w:rFonts w:hint="eastAsia" w:ascii="宋体" w:hAnsi="宋体" w:eastAsia="宋体" w:cs="宋体"/>
          <w:b w:val="0"/>
          <w:bCs/>
          <w:color w:val="000000" w:themeColor="text1"/>
          <w:sz w:val="21"/>
          <w:szCs w:val="21"/>
          <w14:textFill>
            <w14:solidFill>
              <w14:schemeClr w14:val="tx1"/>
            </w14:solidFill>
          </w14:textFill>
        </w:rPr>
        <w:t>第9条 竣工试验</w:t>
      </w:r>
      <w:bookmarkEnd w:id="1114"/>
      <w:bookmarkEnd w:id="1115"/>
      <w:bookmarkEnd w:id="1116"/>
      <w:r>
        <w:rPr>
          <w:rFonts w:hint="eastAsia" w:ascii="宋体" w:hAnsi="宋体" w:eastAsia="宋体" w:cs="宋体"/>
          <w:b w:val="0"/>
          <w:bCs/>
          <w:color w:val="000000" w:themeColor="text1"/>
          <w:sz w:val="21"/>
          <w:szCs w:val="21"/>
          <w14:textFill>
            <w14:solidFill>
              <w14:schemeClr w14:val="tx1"/>
            </w14:solidFill>
          </w14:textFill>
        </w:rPr>
        <w:t xml:space="preserve"> </w:t>
      </w:r>
    </w:p>
    <w:p w14:paraId="59C610B0">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117" w:name="_Toc100907401"/>
      <w:bookmarkStart w:id="1118" w:name="_Toc100907075"/>
      <w:bookmarkStart w:id="1119" w:name="_Toc6335"/>
      <w:r>
        <w:rPr>
          <w:rFonts w:hint="eastAsia" w:ascii="宋体" w:hAnsi="宋体" w:eastAsia="宋体" w:cs="宋体"/>
          <w:b w:val="0"/>
          <w:bCs/>
          <w:color w:val="000000" w:themeColor="text1"/>
          <w:sz w:val="21"/>
          <w:szCs w:val="21"/>
          <w14:textFill>
            <w14:solidFill>
              <w14:schemeClr w14:val="tx1"/>
            </w14:solidFill>
          </w14:textFill>
        </w:rPr>
        <w:t>9.1 竣工试验的义务</w:t>
      </w:r>
      <w:bookmarkEnd w:id="1117"/>
      <w:bookmarkEnd w:id="1118"/>
      <w:bookmarkEnd w:id="1119"/>
    </w:p>
    <w:p w14:paraId="483DF957">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9.1.1 承包人完成工程或区段工程进行竣工试验所需的作业，并根据第5.4款[竣工文件]和第5.5款[操作和维修手册]提交文件后，进行竣工试验。</w:t>
      </w:r>
    </w:p>
    <w:p w14:paraId="51DD2A52">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9.1.2 承包人应在进行竣工试验之前，至少提前42天向工程师提交详细的竣工试验计划，该计划应载明竣工试验的内容、地点、拟开展时间和需要发包人提供的资源条件。工程师应在收到计划后的14天内进行审查，并就该计划不符合合同的部分提出意见，承包人应在收到意见后的14天内自费对计划进行修正。工程师逾期未提出意见的，视为竣工试验计划已得到确认。除提交竣工试验计划外，承包人还应提前21天将可以开始进行各项竣工试验的日期通知工程师，并在该日期后的14天内或工程师指示的日期进行竣工试验。</w:t>
      </w:r>
    </w:p>
    <w:p w14:paraId="1E4616C7">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9.1.3 承包人应根据经确认的竣工试验计划以及第6.5款[由承包人试验和检验]进行竣工试验。除《发包人要求》中另有说明外，竣工试验应按以下顺序分阶段进行，即只有在工程或区段工程已通过上一阶段试验的情况下，才可进行下一阶段试验：</w:t>
      </w:r>
    </w:p>
    <w:p w14:paraId="571C14E5">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 承包人进行启动前试验，包括适当的检查和功能性试验，以证明工程或区段工程的每一部分均能够安全地承受下一阶段试验；</w:t>
      </w:r>
    </w:p>
    <w:p w14:paraId="182FA9B1">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（2） 承包人进行启动试验，以证明工程或区段工程能够在所有可利用的操作条件下安全运行，并按照专用合同条件和《发包人要求》中的规定操作；</w:t>
      </w:r>
    </w:p>
    <w:p w14:paraId="31FCBD99">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（3） 承包人进行试运行试验。当工程或区段工程能稳定安全运行时，承包人应通知工程师，可以进行其他竣工试验，包括各种性能测试，以证明工程或区段工程符合《发包人要求》中列明的性能保证指标。</w:t>
      </w:r>
    </w:p>
    <w:p w14:paraId="52999FA1">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进行上述试验不应构成第10条[验收和工程接收]规定的接收，但试验所产生的任何产品或其他收益均应归属于发包人。</w:t>
      </w:r>
    </w:p>
    <w:p w14:paraId="7D079980">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9.1.4 完成上述各阶段竣工试验后，承包人应向工程师提交试验结果报告，试验结果须符合约定的标准、规范和数据。工程师应在收到报告后14天内予以回复，逾期未回复的，视为认可竣工试验结果。但在考虑工程或区段工程是否通过竣工试验时，应适当考虑发包人对工程或其任何部分的使用，对工程或区段工程的性能、特性和试验结果产生的影响。</w:t>
      </w:r>
    </w:p>
    <w:p w14:paraId="41719DDC">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120" w:name="_Toc6702"/>
      <w:bookmarkStart w:id="1121" w:name="_Toc100907402"/>
      <w:bookmarkStart w:id="1122" w:name="_Toc100907076"/>
      <w:r>
        <w:rPr>
          <w:rFonts w:hint="eastAsia" w:ascii="宋体" w:hAnsi="宋体" w:eastAsia="宋体" w:cs="宋体"/>
          <w:b w:val="0"/>
          <w:bCs/>
          <w:color w:val="000000" w:themeColor="text1"/>
          <w:sz w:val="21"/>
          <w:szCs w:val="21"/>
          <w14:textFill>
            <w14:solidFill>
              <w14:schemeClr w14:val="tx1"/>
            </w14:solidFill>
          </w14:textFill>
        </w:rPr>
        <w:t>9.2 延误的试验</w:t>
      </w:r>
      <w:bookmarkEnd w:id="1120"/>
      <w:bookmarkEnd w:id="1121"/>
      <w:bookmarkEnd w:id="1122"/>
    </w:p>
    <w:p w14:paraId="592D3DC8">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9.2.1 如果承包人已根据第9.1款[竣工试验的义务]就可以开始进行各项竣工试验的日期通知工程师，但该等试验因发包人原因被延误14天以上的，发包人应承担由此增加的费用和工期延误，并支付承包人合理利润。同时，承包人应在合理可行的情况下尽快进行竣工试验。</w:t>
      </w:r>
    </w:p>
    <w:p w14:paraId="052B29B8">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9.2.2 承包人无正当理由延误进行竣工试验的，工程师可向其发出通知，要求其在收到通知后的21天内进行该项竣工试验。承包人应在该21天的期限内确定进行试验的日期，并至少提前7天通知工程师。</w:t>
      </w:r>
    </w:p>
    <w:p w14:paraId="04FCFB82">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9.2.3 如果承包人未在该期限内进行竣工试验，则发包人有权自行组织该项竣工试验，由此产生的合理费用由承包人承担。发包人应在试验完成后28天内向承包人发送试验结果。</w:t>
      </w:r>
    </w:p>
    <w:p w14:paraId="1A5E039B">
      <w:pPr>
        <w:pStyle w:val="114"/>
        <w:numPr>
          <w:ilvl w:val="0"/>
          <w:numId w:val="0"/>
        </w:numPr>
        <w:spacing w:after="120"/>
        <w:rPr>
          <w:rFonts w:hint="eastAsia" w:cs="宋体"/>
          <w:color w:val="000000" w:themeColor="text1"/>
          <w:sz w:val="21"/>
          <w14:textFill>
            <w14:solidFill>
              <w14:schemeClr w14:val="tx1"/>
            </w14:solidFill>
          </w14:textFill>
        </w:rPr>
      </w:pPr>
      <w:bookmarkStart w:id="1123" w:name="_Toc100907077"/>
      <w:bookmarkStart w:id="1124" w:name="_Toc100907403"/>
      <w:r>
        <w:rPr>
          <w:rFonts w:hint="eastAsia" w:cs="宋体"/>
          <w:bCs/>
          <w:color w:val="000000" w:themeColor="text1"/>
          <w:sz w:val="21"/>
          <w14:textFill>
            <w14:solidFill>
              <w14:schemeClr w14:val="tx1"/>
            </w14:solidFill>
          </w14:textFill>
        </w:rPr>
        <w:t>9.</w:t>
      </w:r>
      <w:r>
        <w:rPr>
          <w:rFonts w:hint="eastAsia" w:cs="宋体"/>
          <w:color w:val="000000" w:themeColor="text1"/>
          <w:sz w:val="21"/>
          <w14:textFill>
            <w14:solidFill>
              <w14:schemeClr w14:val="tx1"/>
            </w14:solidFill>
          </w14:textFill>
        </w:rPr>
        <w:t>3 重新试验</w:t>
      </w:r>
      <w:bookmarkEnd w:id="1123"/>
      <w:bookmarkEnd w:id="1124"/>
      <w:r>
        <w:rPr>
          <w:rFonts w:hint="eastAsia" w:cs="宋体"/>
          <w:color w:val="000000" w:themeColor="text1"/>
          <w:sz w:val="21"/>
          <w14:textFill>
            <w14:solidFill>
              <w14:schemeClr w14:val="tx1"/>
            </w14:solidFill>
          </w14:textFill>
        </w:rPr>
        <w:t xml:space="preserve"> </w:t>
      </w:r>
    </w:p>
    <w:p w14:paraId="488FC1CE">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如果工程或区段工程未能通过竣工试验，则承包人应根据第6.6款[缺陷和修补]修补缺陷。发包人或承包人可要求按相同的条件，重新进行未通过的试验以及相关工程或区段工程的竣工试验。该等重新进行的试验仍应适用本条对于竣工试验的规定。</w:t>
      </w:r>
    </w:p>
    <w:p w14:paraId="36BE9010">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125" w:name="_Toc100907404"/>
      <w:bookmarkStart w:id="1126" w:name="_Toc100907078"/>
      <w:bookmarkStart w:id="1127" w:name="_Toc31226"/>
      <w:r>
        <w:rPr>
          <w:rFonts w:hint="eastAsia" w:ascii="宋体" w:hAnsi="宋体" w:eastAsia="宋体" w:cs="宋体"/>
          <w:b w:val="0"/>
          <w:bCs/>
          <w:color w:val="000000" w:themeColor="text1"/>
          <w:sz w:val="21"/>
          <w:szCs w:val="21"/>
          <w14:textFill>
            <w14:solidFill>
              <w14:schemeClr w14:val="tx1"/>
            </w14:solidFill>
          </w14:textFill>
        </w:rPr>
        <w:t>9.4 未能通过竣工试验</w:t>
      </w:r>
      <w:bookmarkEnd w:id="1125"/>
      <w:bookmarkEnd w:id="1126"/>
      <w:bookmarkEnd w:id="1127"/>
    </w:p>
    <w:p w14:paraId="7470EA2C">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9.4.1 因发包人原因导致竣工试验未能通过的，承包人进行竣工试验的费用由发包人承担，竣工日期相应顺延。</w:t>
      </w:r>
    </w:p>
    <w:p w14:paraId="3715E3D7">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9.4.2 如果工程或区段工程未能通过根据第9.3款[重新试验]重新进行的竣工试验的，则：</w:t>
      </w:r>
    </w:p>
    <w:p w14:paraId="6D65F54F">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 发包人有权要求承包人根据第6.6款[缺陷和修补]继续进行修补和改正，并根据第9.3款[重新试验]再次进行竣工试验；</w:t>
      </w:r>
    </w:p>
    <w:p w14:paraId="102A50BA">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（2） 未能通过竣工试验，对工程或区段工程的操作或使用未产生实质性影响的，发包人有权要求承包人自费修复，承担因此增加的费用和误期损害赔偿责任，并赔偿发包人的相应损失；无法修复时，发包人有权扣减该部分的相应付款，同时视为通过竣工验收；</w:t>
      </w:r>
    </w:p>
    <w:p w14:paraId="6677166B">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（3） 未能通过竣工试验，使工程或区段工程的任何主要部分丧失了生产、使用功能时，发包人有权指令承包人更换相关部分，承包人应承担因此增加的费用和误期损害赔偿责任，并赔偿发包人的相应损失；</w:t>
      </w:r>
    </w:p>
    <w:p w14:paraId="6CAA1E9E">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（4） 未能通过竣工试验，使整个工程或区段工程丧失了生产、使用功能时，发包人可拒收工程或区段工程，或指令承包人重新设计、重置相关部分，承包人应承担因此增加的费用和误期损害赔偿责任，并赔偿发包人的相应损失。同时发包人有权根据第16.1款[由发包人解除合同]的约定解除合同。</w:t>
      </w:r>
    </w:p>
    <w:p w14:paraId="314B9BFB">
      <w:pPr>
        <w:pStyle w:val="130"/>
        <w:wordWrap/>
        <w:topLinePunct w:val="0"/>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128" w:name="_Toc100907405"/>
      <w:bookmarkStart w:id="1129" w:name="_Toc100907079"/>
      <w:bookmarkStart w:id="1130" w:name="_Toc15736"/>
      <w:r>
        <w:rPr>
          <w:rFonts w:hint="eastAsia" w:ascii="宋体" w:hAnsi="宋体" w:eastAsia="宋体" w:cs="宋体"/>
          <w:b w:val="0"/>
          <w:bCs/>
          <w:color w:val="000000" w:themeColor="text1"/>
          <w:sz w:val="21"/>
          <w:szCs w:val="21"/>
          <w14:textFill>
            <w14:solidFill>
              <w14:schemeClr w14:val="tx1"/>
            </w14:solidFill>
          </w14:textFill>
        </w:rPr>
        <w:t>第10条 验收和工程接收</w:t>
      </w:r>
      <w:bookmarkEnd w:id="1128"/>
      <w:bookmarkEnd w:id="1129"/>
      <w:bookmarkEnd w:id="1130"/>
    </w:p>
    <w:p w14:paraId="2E26C949">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131" w:name="_Toc100907406"/>
      <w:bookmarkStart w:id="1132" w:name="_Toc100907080"/>
      <w:bookmarkStart w:id="1133" w:name="_Toc23754"/>
      <w:r>
        <w:rPr>
          <w:rFonts w:hint="eastAsia" w:ascii="宋体" w:hAnsi="宋体" w:eastAsia="宋体" w:cs="宋体"/>
          <w:b w:val="0"/>
          <w:bCs/>
          <w:color w:val="000000" w:themeColor="text1"/>
          <w:sz w:val="21"/>
          <w:szCs w:val="21"/>
          <w14:textFill>
            <w14:solidFill>
              <w14:schemeClr w14:val="tx1"/>
            </w14:solidFill>
          </w14:textFill>
        </w:rPr>
        <w:t>10.1 竣工验收</w:t>
      </w:r>
      <w:bookmarkEnd w:id="1131"/>
      <w:bookmarkEnd w:id="1132"/>
      <w:bookmarkEnd w:id="1133"/>
    </w:p>
    <w:p w14:paraId="5149D4B2">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10.1.1 竣工验收条件</w:t>
      </w:r>
    </w:p>
    <w:p w14:paraId="1ED00E1E">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工程具备以下条件的，承包人可以申请竣工验收：</w:t>
      </w:r>
    </w:p>
    <w:p w14:paraId="7833A3F5">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 除因第13条[变更与调整]导致的工程量删减和第14.5.3项[扫尾工作清单]列入缺陷责任期内完成的扫尾工程和缺陷修补工作外，合同范围内的全部单位/区段工程以及有关工作，包括合同要求的试验和竣工试验均已完成，并符合合同要求；</w:t>
      </w:r>
    </w:p>
    <w:p w14:paraId="3DAD16FC">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（2） 已按合同约定编制了扫尾工作和缺陷修补工作清单以及相应实施计划；</w:t>
      </w:r>
    </w:p>
    <w:p w14:paraId="22A7A34C">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（3） 已按合同约定的内容和份数备齐竣工资料；</w:t>
      </w:r>
    </w:p>
    <w:p w14:paraId="69B551B7">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（4） 合同约定要求在竣工验收前应完成的其他工作。</w:t>
      </w:r>
    </w:p>
    <w:p w14:paraId="27C7C2B6">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10.1.2 竣工验收程序</w:t>
      </w:r>
    </w:p>
    <w:p w14:paraId="7CFE0B32">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除专用合同条件另有约定外，承包人申请竣工验收的，应当按照以下程序进行：</w:t>
      </w:r>
    </w:p>
    <w:p w14:paraId="5B544BBF">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 承包人向工程师报送竣工验收申请报告，工程师应在收到竣工验收申请报告后14天内完成审查并报送发包人。工程师审查后认为尚不具备竣工验收条件的，应在收到竣工验收申请报告后的14天内通知承包人，指出在颁发接收证书前承包人还需进行的工作内容。承包人完成工程师通知的全部工作内容后，应再次提交竣工验收申请报告，直至工程师同意为止。</w:t>
      </w:r>
    </w:p>
    <w:p w14:paraId="4925789E">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（2） 工程师同意承包人提交的竣工验收申请报告的，或工程师收到竣工验收申请报告后14天内不予答复的，视为发包人收到并同意承包人的竣工验收申请，发包人应在收到该竣工验收申请报告后的28天内进行竣工验收。工程经竣工验收合格的，以竣工验收合格之日为实际竣工日期，并在工程接收证书中载明；完成竣工验收但发包人不予签发工程接收证书的，视为竣工验收合格，以完成竣工验收之日为实际竣工日期。</w:t>
      </w:r>
    </w:p>
    <w:p w14:paraId="088B0B6C">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（3） 竣工验收不合格的，工程师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2F1EAED8">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（4） 因发包人原因，未在工程师收到承包人竣工验收申请报告之日起42天内完成竣工验收的，以承包人提交竣工验收申请报告之日作为工程实际竣工日期。</w:t>
      </w:r>
    </w:p>
    <w:p w14:paraId="39386601">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（5） 工程未经竣工验收，发包人擅自使用的，以转移占有工程之日为实际竣工日期。</w:t>
      </w:r>
    </w:p>
    <w:p w14:paraId="53F395D3">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除专用合同条件另有约定外，发包人不按照本项和第10.4款[接收证书]约定组织竣工验收、颁发工程接收证书的，每逾期一天，应以签约合同价为基数，按照贷款市场报价利率（LPR）支付违约金。</w:t>
      </w:r>
    </w:p>
    <w:p w14:paraId="378F6A29">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134" w:name="_Toc100907407"/>
      <w:bookmarkStart w:id="1135" w:name="_Toc18979"/>
      <w:bookmarkStart w:id="1136" w:name="_Toc100907081"/>
      <w:r>
        <w:rPr>
          <w:rFonts w:hint="eastAsia" w:ascii="宋体" w:hAnsi="宋体" w:eastAsia="宋体" w:cs="宋体"/>
          <w:b w:val="0"/>
          <w:bCs/>
          <w:color w:val="000000" w:themeColor="text1"/>
          <w:sz w:val="21"/>
          <w:szCs w:val="21"/>
          <w14:textFill>
            <w14:solidFill>
              <w14:schemeClr w14:val="tx1"/>
            </w14:solidFill>
          </w14:textFill>
        </w:rPr>
        <w:t>10.2 单位/区段工程的验收</w:t>
      </w:r>
      <w:bookmarkEnd w:id="1134"/>
      <w:bookmarkEnd w:id="1135"/>
      <w:bookmarkEnd w:id="1136"/>
    </w:p>
    <w:p w14:paraId="5A2671B9">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10.2.1 发包人根据项目进度计划安排，在全部工程竣工前需要使用已经竣工的单位/区段工程时，或承包人提出经发包人同意时，可进行单位/区段工程验收。验收的程序可参照第10.1款[竣工验收]的约定进行。验收合格后，由工程师向承包人出具经发包人签认的单位/区段工程验收证书。单位/区段工程的验收成果和结论作为全部工程竣工验收申请报告的附件。</w:t>
      </w:r>
    </w:p>
    <w:p w14:paraId="38AD6BDA">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10.2.2 发包人在全部工程竣工前，使用已接收的单位/区段工程导致承包人费用增加的，发包人应承担由此增加的费用和（或）工期延误，并支付承包人合理利润。</w:t>
      </w:r>
    </w:p>
    <w:p w14:paraId="42B59A1B">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137" w:name="_Toc100907082"/>
      <w:bookmarkStart w:id="1138" w:name="_Toc17943"/>
      <w:bookmarkStart w:id="1139" w:name="_Toc100907408"/>
      <w:r>
        <w:rPr>
          <w:rFonts w:hint="eastAsia" w:ascii="宋体" w:hAnsi="宋体" w:eastAsia="宋体" w:cs="宋体"/>
          <w:b w:val="0"/>
          <w:bCs/>
          <w:color w:val="000000" w:themeColor="text1"/>
          <w:sz w:val="21"/>
          <w:szCs w:val="21"/>
          <w14:textFill>
            <w14:solidFill>
              <w14:schemeClr w14:val="tx1"/>
            </w14:solidFill>
          </w14:textFill>
        </w:rPr>
        <w:t>10.3 工程的接收</w:t>
      </w:r>
      <w:bookmarkEnd w:id="1137"/>
      <w:bookmarkEnd w:id="1138"/>
      <w:bookmarkEnd w:id="1139"/>
    </w:p>
    <w:p w14:paraId="6467FFD9">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10.3.1 根据工程项目的具体情况和特点，可按工程或单位/区段工程进行接收，并在专用合同条件约定接收的先后顺序、时间安排和其他要求。</w:t>
      </w:r>
    </w:p>
    <w:p w14:paraId="204C8C1C">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10.3.2 除按本条约定已经提交的资料外，接收工程时承包人需提交竣工验收资料的类别、内容、份数和提交时间，在专用合同条件中约定。</w:t>
      </w:r>
    </w:p>
    <w:p w14:paraId="30F1B4C4">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10.3.3 发包人无正当理由不接收工程的，发包人自应当接收工程之日起，承担工程照管、成品保护、保管等与工程有关的各项费用，合同当事人可以在专用合同条件中另行约定发包人逾期接收工程的违约责任。</w:t>
      </w:r>
    </w:p>
    <w:p w14:paraId="1BAE5F83">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10.3.4 承包人无正当理由不移交工程的，承包人应承担工程照管、成品保护、保管等与工程有关的各项费用，合同当事人可以在专用合同条件中另行约定承包人无正当理由不移交工程的违约责任。</w:t>
      </w:r>
    </w:p>
    <w:p w14:paraId="0F6B603F">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140" w:name="_Toc100907409"/>
      <w:bookmarkStart w:id="1141" w:name="_Toc21616"/>
      <w:bookmarkStart w:id="1142" w:name="_Toc100907083"/>
      <w:r>
        <w:rPr>
          <w:rFonts w:hint="eastAsia" w:ascii="宋体" w:hAnsi="宋体" w:eastAsia="宋体" w:cs="宋体"/>
          <w:b w:val="0"/>
          <w:bCs/>
          <w:color w:val="000000" w:themeColor="text1"/>
          <w:sz w:val="21"/>
          <w:szCs w:val="21"/>
          <w14:textFill>
            <w14:solidFill>
              <w14:schemeClr w14:val="tx1"/>
            </w14:solidFill>
          </w14:textFill>
        </w:rPr>
        <w:t>10.4 接收证书</w:t>
      </w:r>
      <w:bookmarkEnd w:id="1140"/>
      <w:bookmarkEnd w:id="1141"/>
      <w:bookmarkEnd w:id="1142"/>
    </w:p>
    <w:p w14:paraId="6BA36E7D">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10.4.1 除专用合同条件另有约定外，承包人应在竣工验收合格后向发包人提交第14.6款[质量保证金]约定的质量保证金，发包人应在竣工验收合格且工程具备接收条件后的14天内向承包人颁发工程接收证书，但承包人未提交质量保证金的，发包人有权拒绝颁发。发包人拒绝颁发工程接收证书的，应向承包人发出通知，说明理由并指出在颁发接收证书前承包人需要做的工作，需要修补的缺陷和承包人需要提供的文件。</w:t>
      </w:r>
    </w:p>
    <w:p w14:paraId="6F7FFBEB">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10.4.2 发包人向承包人颁发的接收证书，应注明工程或单位/区段工程经验收合格的实际竣工日期，并列明不在接收范围内的，在收尾工作和缺陷修补完成之前对工程或单位/区段工程预期使用目的没有实质影响的少量收尾工作和缺陷。</w:t>
      </w:r>
    </w:p>
    <w:p w14:paraId="0CCB8C65">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10.4.3 竣工验收合格而发包人无正当理由逾期不颁发工程接收证书的，自验收合格后第15天起视为已颁发工程接收证书。</w:t>
      </w:r>
    </w:p>
    <w:p w14:paraId="1F1CAD59">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10.4.4 工程未经验收或验收不合格，发包人擅自使用的，应在转移占有工程后7天内向承包人颁发工程接收证书；发包人无正当理由逾期不颁发工程接收证书的，自转移占有后第15天起视为已颁发工程接收证书。</w:t>
      </w:r>
    </w:p>
    <w:p w14:paraId="38E9DC63">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10.4.5 存在扫尾工作的，工程接收证书中应当将第14.5.3项[扫尾工作清单]中约定的扫尾工作清单作为工程接收证书附件。</w:t>
      </w:r>
    </w:p>
    <w:p w14:paraId="5268631E">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143" w:name="_Toc100907084"/>
      <w:bookmarkStart w:id="1144" w:name="_Toc100907410"/>
      <w:bookmarkStart w:id="1145" w:name="_Toc30770"/>
      <w:r>
        <w:rPr>
          <w:rFonts w:hint="eastAsia" w:ascii="宋体" w:hAnsi="宋体" w:eastAsia="宋体" w:cs="宋体"/>
          <w:b w:val="0"/>
          <w:bCs/>
          <w:color w:val="000000" w:themeColor="text1"/>
          <w:sz w:val="21"/>
          <w:szCs w:val="21"/>
          <w14:textFill>
            <w14:solidFill>
              <w14:schemeClr w14:val="tx1"/>
            </w14:solidFill>
          </w14:textFill>
        </w:rPr>
        <w:t>10.5 竣工退场</w:t>
      </w:r>
      <w:bookmarkEnd w:id="1143"/>
      <w:bookmarkEnd w:id="1144"/>
      <w:bookmarkEnd w:id="1145"/>
    </w:p>
    <w:p w14:paraId="65FAB17E">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10.5.1 竣工退场</w:t>
      </w:r>
    </w:p>
    <w:p w14:paraId="79359749">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颁发工程接收证书后，承包人应对施工现场进行清理，并撤离相关人员，使得施工现场处于以下状态，直至工程师检验合格为止：</w:t>
      </w:r>
    </w:p>
    <w:p w14:paraId="33022973">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 施工现场内残留的垃圾已全部清除出场；</w:t>
      </w:r>
    </w:p>
    <w:p w14:paraId="5130DCD8">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（2） 临时工程已拆除，场地已按合同约定进行清理、平整或复原；</w:t>
      </w:r>
    </w:p>
    <w:p w14:paraId="3357D5FB">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（3） 按合同约定应撤离的人员、承包人提供的施工设备和剩余的材料，包括废弃的施工设备和材料，已按计划撤离施工现场；</w:t>
      </w:r>
    </w:p>
    <w:p w14:paraId="67AEBCA1">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（4） 施工现场周边及其附近道路、河道的施工堆积物，已全部清理；</w:t>
      </w:r>
    </w:p>
    <w:p w14:paraId="71F2C72A">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（5） 施工现场其他竣工退场工作已全部完成。</w:t>
      </w:r>
    </w:p>
    <w:p w14:paraId="12776A1E">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施工现场的竣工退场费用由承包人承担。承包人应在专用合同条件约定的期限内完成竣工退场，逾期未完成的，发包人有权出售或另行处理承包人遗留的物品，由此支出的费用由承包人承担，发包人出售承包人遗留物品所得款项在扣除必要费用后应返还承包人。</w:t>
      </w:r>
    </w:p>
    <w:p w14:paraId="28979164">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10.5.2 地表还原</w:t>
      </w:r>
    </w:p>
    <w:p w14:paraId="0BC47141">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承包人应按合同约定和工程师的要求恢复临时占地及清理场地，否则发包人有权委托其他人恢复或清理，所发生的费用由承包人承担。</w:t>
      </w:r>
    </w:p>
    <w:p w14:paraId="165849CD">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10.5.3 人员撤离</w:t>
      </w:r>
    </w:p>
    <w:p w14:paraId="438760F3">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除了经工程师同意需在缺陷责任期内继续工作和使用的人员、施工设备和临时工程外，承包人应按专用合同条件约定和工程师的要求将其余的人员、施工设备和临时工程撤离施工现场或拆除。除专用合同条件另有约定外，缺陷责任期满时，承包人的人员和施工设备应全部撤离施工现场。</w:t>
      </w:r>
    </w:p>
    <w:p w14:paraId="6F2B28EA">
      <w:pPr>
        <w:pStyle w:val="130"/>
        <w:wordWrap/>
        <w:topLinePunct w:val="0"/>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146" w:name="_Toc100907411"/>
      <w:bookmarkStart w:id="1147" w:name="_Toc100907085"/>
      <w:bookmarkStart w:id="1148" w:name="_Toc24634"/>
      <w:r>
        <w:rPr>
          <w:rFonts w:hint="eastAsia" w:ascii="宋体" w:hAnsi="宋体" w:eastAsia="宋体" w:cs="宋体"/>
          <w:b w:val="0"/>
          <w:bCs/>
          <w:color w:val="000000" w:themeColor="text1"/>
          <w:sz w:val="21"/>
          <w:szCs w:val="21"/>
          <w14:textFill>
            <w14:solidFill>
              <w14:schemeClr w14:val="tx1"/>
            </w14:solidFill>
          </w14:textFill>
        </w:rPr>
        <w:t>第11条 缺陷责任与保修</w:t>
      </w:r>
      <w:bookmarkEnd w:id="1146"/>
      <w:bookmarkEnd w:id="1147"/>
      <w:bookmarkEnd w:id="1148"/>
      <w:r>
        <w:rPr>
          <w:rFonts w:hint="eastAsia" w:ascii="宋体" w:hAnsi="宋体" w:eastAsia="宋体" w:cs="宋体"/>
          <w:b w:val="0"/>
          <w:bCs/>
          <w:color w:val="000000" w:themeColor="text1"/>
          <w:sz w:val="21"/>
          <w:szCs w:val="21"/>
          <w14:textFill>
            <w14:solidFill>
              <w14:schemeClr w14:val="tx1"/>
            </w14:solidFill>
          </w14:textFill>
        </w:rPr>
        <w:t xml:space="preserve"> </w:t>
      </w:r>
    </w:p>
    <w:p w14:paraId="79330C07">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149" w:name="_Toc100907086"/>
      <w:bookmarkStart w:id="1150" w:name="_Toc12078"/>
      <w:bookmarkStart w:id="1151" w:name="_Toc100907412"/>
      <w:r>
        <w:rPr>
          <w:rFonts w:hint="eastAsia" w:ascii="宋体" w:hAnsi="宋体" w:eastAsia="宋体" w:cs="宋体"/>
          <w:b w:val="0"/>
          <w:bCs/>
          <w:color w:val="000000" w:themeColor="text1"/>
          <w:sz w:val="21"/>
          <w:szCs w:val="21"/>
          <w14:textFill>
            <w14:solidFill>
              <w14:schemeClr w14:val="tx1"/>
            </w14:solidFill>
          </w14:textFill>
        </w:rPr>
        <w:t>11.1 工程保修的原则</w:t>
      </w:r>
      <w:bookmarkEnd w:id="1149"/>
      <w:bookmarkEnd w:id="1150"/>
      <w:bookmarkEnd w:id="1151"/>
    </w:p>
    <w:p w14:paraId="61F46992">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在工程移交发包人后，因承包人原因产生的质量缺陷，承包人应承担质量缺陷责任和保修义务。缺陷责任期届满，承包人仍应按合同约定的工程各部位保修年限承担保修义务。</w:t>
      </w:r>
    </w:p>
    <w:p w14:paraId="5A81BBD1">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152" w:name="_Toc27225"/>
      <w:bookmarkStart w:id="1153" w:name="_Toc100907413"/>
      <w:bookmarkStart w:id="1154" w:name="_Toc100907087"/>
      <w:r>
        <w:rPr>
          <w:rFonts w:hint="eastAsia" w:ascii="宋体" w:hAnsi="宋体" w:eastAsia="宋体" w:cs="宋体"/>
          <w:b w:val="0"/>
          <w:bCs/>
          <w:color w:val="000000" w:themeColor="text1"/>
          <w:sz w:val="21"/>
          <w:szCs w:val="21"/>
          <w14:textFill>
            <w14:solidFill>
              <w14:schemeClr w14:val="tx1"/>
            </w14:solidFill>
          </w14:textFill>
        </w:rPr>
        <w:t>11.2 缺陷责任期</w:t>
      </w:r>
      <w:bookmarkEnd w:id="1152"/>
      <w:bookmarkEnd w:id="1153"/>
      <w:bookmarkEnd w:id="1154"/>
      <w:r>
        <w:rPr>
          <w:rFonts w:hint="eastAsia" w:ascii="宋体" w:hAnsi="宋体" w:eastAsia="宋体" w:cs="宋体"/>
          <w:b w:val="0"/>
          <w:bCs/>
          <w:color w:val="000000" w:themeColor="text1"/>
          <w:sz w:val="21"/>
          <w:szCs w:val="21"/>
          <w14:textFill>
            <w14:solidFill>
              <w14:schemeClr w14:val="tx1"/>
            </w14:solidFill>
          </w14:textFill>
        </w:rPr>
        <w:t xml:space="preserve"> </w:t>
      </w:r>
    </w:p>
    <w:p w14:paraId="0A0BAC9C">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缺陷责任期原则上从工程竣工验收合格之日起计算，合同当事人应在专用合同条件约定缺陷责任期的具体期限，但该期限最长不超过24个月。</w:t>
      </w:r>
    </w:p>
    <w:p w14:paraId="6DE60753">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单位/区段工程先于全部工程进行验收，经验收合格并交付使用的，该单位/区段工程缺陷责任期自单位/区段工程验收合格之日起算。因发包人原因导致工程未在合同约定期限进行验收，但工程经验收合格的，以承包人提交竣工验收报告之日起算；因发包人原因导致工程未能进行竣工验收的，在承包人提交竣工验收报告90天后，工程自动进入缺陷责任期；发包人未经竣工验收擅自使用工程的，缺陷责任期自工程转移占有之日起开始计算。</w:t>
      </w:r>
    </w:p>
    <w:p w14:paraId="4AB26F92">
      <w:pPr>
        <w:pStyle w:val="114"/>
        <w:numPr>
          <w:ilvl w:val="0"/>
          <w:numId w:val="0"/>
        </w:numPr>
        <w:spacing w:after="120"/>
        <w:ind w:firstLine="420" w:firstLineChars="200"/>
        <w:rPr>
          <w:rFonts w:hint="eastAsia" w:cs="宋体"/>
          <w:color w:val="000000" w:themeColor="text1"/>
          <w14:textFill>
            <w14:solidFill>
              <w14:schemeClr w14:val="tx1"/>
            </w14:solidFill>
          </w14:textFill>
        </w:rPr>
      </w:pPr>
      <w:r>
        <w:rPr>
          <w:rFonts w:hint="eastAsia" w:cs="宋体"/>
          <w:color w:val="000000" w:themeColor="text1"/>
          <w:sz w:val="21"/>
          <w14:textFill>
            <w14:solidFill>
              <w14:schemeClr w14:val="tx1"/>
            </w14:solidFill>
          </w14:textFill>
        </w:rPr>
        <w:t>由于承包人原因造成某项缺陷或损坏使某项工程或工程设备不能按原定目标使用而需要再次检查、检验和修复的，发包人有权要求承包人延长该项工程或工程设备的缺陷责任期，并应在原缺陷责任期届满前发出延长通知。但缺陷责任期最长不超过24个月。</w:t>
      </w:r>
    </w:p>
    <w:p w14:paraId="1A7B9BA1">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155" w:name="_Toc18739"/>
      <w:bookmarkStart w:id="1156" w:name="_Toc100907414"/>
      <w:bookmarkStart w:id="1157" w:name="_Toc100907088"/>
      <w:r>
        <w:rPr>
          <w:rFonts w:hint="eastAsia" w:ascii="宋体" w:hAnsi="宋体" w:eastAsia="宋体" w:cs="宋体"/>
          <w:b w:val="0"/>
          <w:bCs/>
          <w:color w:val="000000" w:themeColor="text1"/>
          <w:sz w:val="21"/>
          <w:szCs w:val="21"/>
          <w14:textFill>
            <w14:solidFill>
              <w14:schemeClr w14:val="tx1"/>
            </w14:solidFill>
          </w14:textFill>
        </w:rPr>
        <w:t>11.3 缺陷调查</w:t>
      </w:r>
      <w:bookmarkEnd w:id="1155"/>
      <w:bookmarkEnd w:id="1156"/>
      <w:bookmarkEnd w:id="1157"/>
    </w:p>
    <w:p w14:paraId="5E11D32D">
      <w:pPr>
        <w:pStyle w:val="114"/>
        <w:numPr>
          <w:ilvl w:val="0"/>
          <w:numId w:val="0"/>
        </w:numPr>
        <w:spacing w:after="120"/>
        <w:rPr>
          <w:rFonts w:hint="eastAsia" w:cs="宋体"/>
          <w:b/>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11.3.1 承包人缺陷调查</w:t>
      </w:r>
    </w:p>
    <w:p w14:paraId="316388C2">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如果发包人指示承包人调查任何缺陷的原因，承包人应在发包人的指导下进行调查。承包人应在发包人指示中说明的日期或与发包人达成一致的其他日期开展调查。除非该缺陷应由承包人负责自费进行修补，承包人有权就调查的成本和利润获得支付。</w:t>
      </w:r>
    </w:p>
    <w:p w14:paraId="0CB39C5E">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如果承包人未能根据本款开展调查，该调查可由发包人开展。但应将上述调查开展的日期通知承包人，承包人可自费参加调查。如果该缺陷应由承包人自费进行修补，则发包人有权要求承包人支付发包人因调查产生的合理费用。</w:t>
      </w:r>
    </w:p>
    <w:p w14:paraId="14FC8BAC">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11.3.2 缺陷责任</w:t>
      </w:r>
    </w:p>
    <w:p w14:paraId="103CA0D8">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缺陷责任期内，由承包人原因造成的缺陷，承包人应负责维修，并承担鉴定及维修费用。如承包人不维修也不承担费用，发包人可按合同约定从质量保证金中扣除，费用超出质量保证金金额的，发包人可按合同约定向承包人进行索赔。承包人维修并承担相应费用后，不免除对工程的损失赔偿责任。发包人在使用过程中，发现已修补的缺陷部位或部件还存在质量缺陷的，承包人应负责修复，直至检验合格为止。</w:t>
      </w:r>
    </w:p>
    <w:p w14:paraId="5DACCA90">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11.3.3 修复费用</w:t>
      </w:r>
    </w:p>
    <w:p w14:paraId="2C59023E">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发包人和承包人应共同查清缺陷或损坏的原因。经查明属承包人原因造成的，应由承包人承担修复的费用。经查验非承包人原因造成的，发包人应承担修复的费用，并支付承包人合理利润。</w:t>
      </w:r>
    </w:p>
    <w:p w14:paraId="154D4808">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11.3.4 修复通知</w:t>
      </w:r>
    </w:p>
    <w:p w14:paraId="50760E14">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在缺陷责任期内，发包人在使用过程中，发现已接收的工程存在缺陷或损坏的，应书面通知承包人予以修复，但情况紧急必须立即修复缺陷或损坏的，发包人可以口头通知承包人并在口头通知后48小时内书面确认，承包人应在专用合同条件约定的合理期限内到达工程现场并修复缺陷或损坏。</w:t>
      </w:r>
    </w:p>
    <w:p w14:paraId="746C64F0">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11.3.5 在现场外修复</w:t>
      </w:r>
    </w:p>
    <w:p w14:paraId="2941DED1">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在缺陷责任期内，承包人认为设备中的缺陷或损害不能在现场得到迅速修复，承包人应当向发包人发出通知，请求发包人同意把这些有缺陷或者损害的设备移出现场进行修复，通知应当注明有缺陷或者损害的设备及维修的相关内容，发包人可要求承包人按移出设备的全部重置成本增加质量保证金的数额。</w:t>
      </w:r>
    </w:p>
    <w:p w14:paraId="607FC101">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11.3.6 未能修复</w:t>
      </w:r>
    </w:p>
    <w:p w14:paraId="17D50608">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6C2ED740">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如果工程或工程设备的缺陷或损害使发包人实质上失去了工程的整体功能，发包人有权向承包人追回已支付的工程款项，并要求其赔偿发包人相应损失。</w:t>
      </w:r>
    </w:p>
    <w:p w14:paraId="5A776A80">
      <w:pPr>
        <w:pStyle w:val="114"/>
        <w:numPr>
          <w:ilvl w:val="0"/>
          <w:numId w:val="0"/>
        </w:numPr>
        <w:spacing w:after="120"/>
        <w:rPr>
          <w:rFonts w:hint="eastAsia" w:cs="宋体"/>
          <w:color w:val="000000" w:themeColor="text1"/>
          <w:sz w:val="21"/>
          <w14:textFill>
            <w14:solidFill>
              <w14:schemeClr w14:val="tx1"/>
            </w14:solidFill>
          </w14:textFill>
        </w:rPr>
      </w:pPr>
      <w:bookmarkStart w:id="1158" w:name="_Toc100907415"/>
      <w:bookmarkStart w:id="1159" w:name="_Toc100907089"/>
      <w:r>
        <w:rPr>
          <w:rFonts w:hint="eastAsia" w:cs="宋体"/>
          <w:color w:val="000000" w:themeColor="text1"/>
          <w:sz w:val="21"/>
          <w14:textFill>
            <w14:solidFill>
              <w14:schemeClr w14:val="tx1"/>
            </w14:solidFill>
          </w14:textFill>
        </w:rPr>
        <w:t>11.4 缺陷修复后的进一步试验</w:t>
      </w:r>
      <w:bookmarkEnd w:id="1158"/>
      <w:bookmarkEnd w:id="1159"/>
    </w:p>
    <w:p w14:paraId="4A8470AE">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任何一项缺陷修补后的7天内，承包人应向发包人发出通知，告知已修补的情况。如根据第9条[竣工试验]或第12条[竣工后试验]的规定适用重新试验的，还应建议重新试验。发包人应在收到重新试验的通知后14天内答复，逾期未进行答复的视为同意重新试验。承包人未建议重新试验的，发包人也可在缺陷修补后的14天内指示进行必要的重新试验，以证明已修复的部分符合合同要求。</w:t>
      </w:r>
    </w:p>
    <w:p w14:paraId="6572AF20">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所有的重复试验应按照适用于先前试验的条款进行，但应由责任方承担修补工作的成本和重新试验的风险和费用。</w:t>
      </w:r>
    </w:p>
    <w:p w14:paraId="3124D7E7">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160" w:name="_Toc100907090"/>
      <w:bookmarkStart w:id="1161" w:name="_Toc8775"/>
      <w:bookmarkStart w:id="1162" w:name="_Toc100907416"/>
      <w:r>
        <w:rPr>
          <w:rFonts w:hint="eastAsia" w:ascii="宋体" w:hAnsi="宋体" w:eastAsia="宋体" w:cs="宋体"/>
          <w:b w:val="0"/>
          <w:bCs/>
          <w:color w:val="000000" w:themeColor="text1"/>
          <w:sz w:val="21"/>
          <w:szCs w:val="21"/>
          <w14:textFill>
            <w14:solidFill>
              <w14:schemeClr w14:val="tx1"/>
            </w14:solidFill>
          </w14:textFill>
        </w:rPr>
        <w:t>11.5 承包人出入权</w:t>
      </w:r>
      <w:bookmarkEnd w:id="1160"/>
      <w:bookmarkEnd w:id="1161"/>
      <w:bookmarkEnd w:id="1162"/>
    </w:p>
    <w:p w14:paraId="2DFEBB94">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在缺陷责任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安保和保密等规定。</w:t>
      </w:r>
    </w:p>
    <w:p w14:paraId="6516A818">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163" w:name="_Toc533"/>
      <w:bookmarkStart w:id="1164" w:name="_Toc100907091"/>
      <w:bookmarkStart w:id="1165" w:name="_Toc100907417"/>
      <w:r>
        <w:rPr>
          <w:rFonts w:hint="eastAsia" w:ascii="宋体" w:hAnsi="宋体" w:eastAsia="宋体" w:cs="宋体"/>
          <w:b w:val="0"/>
          <w:bCs/>
          <w:color w:val="000000" w:themeColor="text1"/>
          <w:sz w:val="21"/>
          <w:szCs w:val="21"/>
          <w14:textFill>
            <w14:solidFill>
              <w14:schemeClr w14:val="tx1"/>
            </w14:solidFill>
          </w14:textFill>
        </w:rPr>
        <w:t>11.6 缺陷责任期终止证书</w:t>
      </w:r>
      <w:bookmarkEnd w:id="1163"/>
      <w:bookmarkEnd w:id="1164"/>
      <w:bookmarkEnd w:id="1165"/>
    </w:p>
    <w:p w14:paraId="4D1D44B7">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除专用合同条件另有约定外，承包人应于缺陷责任期届满前7天内向发包人发出缺陷责任期即将届满通知，发包人应在收到通知后7天内核实承包人是否履行缺陷修复义务，承包人未能履行缺陷修复义务的，发包人有权扣除相应金额的维修费用。发包人应在缺陷责任期届满之日，向承包人颁发缺陷责任期终止证书，并按第14.6.3项[质量保证金的返还]返还质量保证金。</w:t>
      </w:r>
    </w:p>
    <w:p w14:paraId="6CADD4EB">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如根据第10.5.3项[人员撤离]承包人在施工现场还留有人员、施工设备和临时工程的，承包人应当在收到缺陷责任期终止证书后28天内，将上述人员、施工设备和临时工程撤离施工现场。</w:t>
      </w:r>
    </w:p>
    <w:p w14:paraId="2EA829C1">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166" w:name="_Toc32191"/>
      <w:bookmarkStart w:id="1167" w:name="_Toc100907092"/>
      <w:bookmarkStart w:id="1168" w:name="_Toc100907418"/>
      <w:r>
        <w:rPr>
          <w:rFonts w:hint="eastAsia" w:ascii="宋体" w:hAnsi="宋体" w:eastAsia="宋体" w:cs="宋体"/>
          <w:b w:val="0"/>
          <w:bCs/>
          <w:color w:val="000000" w:themeColor="text1"/>
          <w:sz w:val="21"/>
          <w:szCs w:val="21"/>
          <w14:textFill>
            <w14:solidFill>
              <w14:schemeClr w14:val="tx1"/>
            </w14:solidFill>
          </w14:textFill>
        </w:rPr>
        <w:t>11.7 保修责任</w:t>
      </w:r>
      <w:bookmarkEnd w:id="1166"/>
      <w:bookmarkEnd w:id="1167"/>
      <w:bookmarkEnd w:id="1168"/>
    </w:p>
    <w:p w14:paraId="3FEC644A">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因承包人原因导致的质量缺陷责任，由合同当事人根据有关法律规定，在专用合同条件和工程质量保修书中约定工程质量保修范围、期限和责任。</w:t>
      </w:r>
    </w:p>
    <w:p w14:paraId="5B5D77AB">
      <w:pPr>
        <w:pStyle w:val="130"/>
        <w:wordWrap/>
        <w:topLinePunct w:val="0"/>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169" w:name="_Toc100907419"/>
      <w:bookmarkStart w:id="1170" w:name="_Toc25845"/>
      <w:bookmarkStart w:id="1171" w:name="_Toc100907093"/>
      <w:r>
        <w:rPr>
          <w:rFonts w:hint="eastAsia" w:ascii="宋体" w:hAnsi="宋体" w:eastAsia="宋体" w:cs="宋体"/>
          <w:b w:val="0"/>
          <w:bCs/>
          <w:color w:val="000000" w:themeColor="text1"/>
          <w:sz w:val="21"/>
          <w:szCs w:val="21"/>
          <w14:textFill>
            <w14:solidFill>
              <w14:schemeClr w14:val="tx1"/>
            </w14:solidFill>
          </w14:textFill>
        </w:rPr>
        <w:t>第12条 竣工后试验</w:t>
      </w:r>
      <w:bookmarkEnd w:id="1169"/>
      <w:bookmarkEnd w:id="1170"/>
      <w:bookmarkEnd w:id="1171"/>
    </w:p>
    <w:p w14:paraId="22795279">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本合同工程包含竣工后试验的，遵守本条约定。</w:t>
      </w:r>
    </w:p>
    <w:p w14:paraId="4AD16851">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172" w:name="_Toc24167"/>
      <w:bookmarkStart w:id="1173" w:name="_Toc100907420"/>
      <w:bookmarkStart w:id="1174" w:name="_Toc100907094"/>
      <w:r>
        <w:rPr>
          <w:rFonts w:hint="eastAsia" w:ascii="宋体" w:hAnsi="宋体" w:eastAsia="宋体" w:cs="宋体"/>
          <w:b w:val="0"/>
          <w:bCs/>
          <w:color w:val="000000" w:themeColor="text1"/>
          <w:sz w:val="21"/>
          <w:szCs w:val="21"/>
          <w14:textFill>
            <w14:solidFill>
              <w14:schemeClr w14:val="tx1"/>
            </w14:solidFill>
          </w14:textFill>
        </w:rPr>
        <w:t>12.1 竣工后试验的程序</w:t>
      </w:r>
      <w:bookmarkEnd w:id="1172"/>
      <w:bookmarkEnd w:id="1173"/>
      <w:bookmarkEnd w:id="1174"/>
    </w:p>
    <w:p w14:paraId="1C69F5D8">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12.1.1 工程或区段工程被发包人接收后，在合理可行的情况下应根据合同约定尽早进行竣工后试验。</w:t>
      </w:r>
    </w:p>
    <w:p w14:paraId="37BC9679">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12.1.2 除专用合同条件另有约定外，发包人应提供全部电力、水、污水处理、燃料、消耗品和材料，以及全部其他仪器、协助、文件或其他信息、设备、工具、劳力，启动工程设备，并组织安排有适当资质、经验和能力的工作人员实施竣工后试验。</w:t>
      </w:r>
    </w:p>
    <w:p w14:paraId="347534F0">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12.1.3 除《发包人要求》另有约定外，发包人应在合理可行的情况下尽快进行每项竣工后试验，并至少提前21天将该项竣工后试验的内容、地点和时间，以及显示其他竣工后试验拟开展时间的竣工后试验计划通知承包人。</w:t>
      </w:r>
    </w:p>
    <w:p w14:paraId="763F66F3">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12.1.4 发包人应根据《发包人要求》、承包人按照第5.5款[操作和维修手册]提交的文件，以及承包人被要求提供的指导进行竣工后试验。如承包人未在发包人通知的时间和地点参加竣工后试验，发包人可自行进行，该试验应被视为是承包人在场的情况下进行的，且承包人应视为认可试验数据。</w:t>
      </w:r>
    </w:p>
    <w:p w14:paraId="04C56FDF">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12.1.5 竣工后试验的结果应由双方进行整理和评价，并应适当考虑发包人对工程或其任何部分的使用，对工程或区段工程的性能、特性和试验结果产生的影响。</w:t>
      </w:r>
    </w:p>
    <w:p w14:paraId="225A18ED">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175" w:name="_Toc100907421"/>
      <w:bookmarkStart w:id="1176" w:name="_Toc100907095"/>
      <w:bookmarkStart w:id="1177" w:name="_Toc27586"/>
      <w:r>
        <w:rPr>
          <w:rFonts w:hint="eastAsia" w:ascii="宋体" w:hAnsi="宋体" w:eastAsia="宋体" w:cs="宋体"/>
          <w:b w:val="0"/>
          <w:bCs/>
          <w:color w:val="000000" w:themeColor="text1"/>
          <w:sz w:val="21"/>
          <w:szCs w:val="21"/>
          <w14:textFill>
            <w14:solidFill>
              <w14:schemeClr w14:val="tx1"/>
            </w14:solidFill>
          </w14:textFill>
        </w:rPr>
        <w:t>12.2 延误的试验</w:t>
      </w:r>
      <w:bookmarkEnd w:id="1175"/>
      <w:bookmarkEnd w:id="1176"/>
      <w:bookmarkEnd w:id="1177"/>
      <w:r>
        <w:rPr>
          <w:rFonts w:hint="eastAsia" w:ascii="宋体" w:hAnsi="宋体" w:eastAsia="宋体" w:cs="宋体"/>
          <w:b w:val="0"/>
          <w:bCs/>
          <w:color w:val="000000" w:themeColor="text1"/>
          <w:sz w:val="21"/>
          <w:szCs w:val="21"/>
          <w14:textFill>
            <w14:solidFill>
              <w14:schemeClr w14:val="tx1"/>
            </w14:solidFill>
          </w14:textFill>
        </w:rPr>
        <w:t xml:space="preserve"> </w:t>
      </w:r>
    </w:p>
    <w:p w14:paraId="2F137AC0">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12.2.1 如果竣工后试验因发包人原因被延误的，发包人应承担承包人由此增加的费用并支付承包人合理利润。</w:t>
      </w:r>
    </w:p>
    <w:p w14:paraId="5B1AD1F8">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12.2.2 如果因承包人以外的原因，导致竣工后试验未能在缺陷责任期或双方另行同意的其他期限内完成，则相关工程或区段工程应视为已通过该竣工后试验。</w:t>
      </w:r>
    </w:p>
    <w:p w14:paraId="037B4448">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178" w:name="_Toc100907422"/>
      <w:bookmarkStart w:id="1179" w:name="_Toc460"/>
      <w:bookmarkStart w:id="1180" w:name="_Toc100907096"/>
      <w:r>
        <w:rPr>
          <w:rFonts w:hint="eastAsia" w:ascii="宋体" w:hAnsi="宋体" w:eastAsia="宋体" w:cs="宋体"/>
          <w:b w:val="0"/>
          <w:bCs/>
          <w:color w:val="000000" w:themeColor="text1"/>
          <w:sz w:val="21"/>
          <w:szCs w:val="21"/>
          <w14:textFill>
            <w14:solidFill>
              <w14:schemeClr w14:val="tx1"/>
            </w14:solidFill>
          </w14:textFill>
        </w:rPr>
        <w:t>12.3 重新试验</w:t>
      </w:r>
      <w:bookmarkEnd w:id="1178"/>
      <w:bookmarkEnd w:id="1179"/>
      <w:bookmarkEnd w:id="1180"/>
    </w:p>
    <w:p w14:paraId="5F08F854">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如工程或区段工程未能通过竣工后试验，则承包人应根据第11.3款[缺陷调查]的规定修补缺陷，以达到合同约定的要求；并按照第11.4款[缺陷修复后的进一步试验]重新进行竣工后试验以及承担风险和费用。如未通过试验和重新试验是承包人原因造成的，则承包人还应承担发包人因此增加的费用。</w:t>
      </w:r>
    </w:p>
    <w:p w14:paraId="37071241">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181" w:name="_Toc100907097"/>
      <w:bookmarkStart w:id="1182" w:name="_Toc100907423"/>
      <w:bookmarkStart w:id="1183" w:name="_Toc17353"/>
      <w:r>
        <w:rPr>
          <w:rFonts w:hint="eastAsia" w:ascii="宋体" w:hAnsi="宋体" w:eastAsia="宋体" w:cs="宋体"/>
          <w:b w:val="0"/>
          <w:bCs/>
          <w:color w:val="000000" w:themeColor="text1"/>
          <w:sz w:val="21"/>
          <w:szCs w:val="21"/>
          <w14:textFill>
            <w14:solidFill>
              <w14:schemeClr w14:val="tx1"/>
            </w14:solidFill>
          </w14:textFill>
        </w:rPr>
        <w:t>12.4 未能通过竣工后试验</w:t>
      </w:r>
      <w:bookmarkEnd w:id="1181"/>
      <w:bookmarkEnd w:id="1182"/>
      <w:bookmarkEnd w:id="1183"/>
    </w:p>
    <w:p w14:paraId="4D31AC44">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12.4.1 工程或区段工程未能通过竣工后试验，且合同中就该项未通过的试验约定了性能损害赔偿违约金及其计算方法的，或者就该项未通过的试验另行达成补充协议的，承包人在缺陷责任期内向发包人支付相应违约金或按补充协议履行后，视为通过竣工后试验。</w:t>
      </w:r>
    </w:p>
    <w:p w14:paraId="47AB2AB6">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12.4.2 对未能通过竣工后试验的工程或区段工程，承包人可向发包人建议，由承包人对该工程或区段工程进行调整或修补。发包人收到建议后，可向承包人发出通知，指示其在发包人方便的合理时间进入工程或区段工程进行调查、调整或修补，并为承包人的进入提供方便。承包人提出建议，但未在缺陷责任期内收到上述发包人通知的，相关工程或区段工程应视为已通过该竣工后试验。</w:t>
      </w:r>
    </w:p>
    <w:p w14:paraId="33FDE449">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12.4.3 发包人无故拖延给予承包人进行调查、调整或修补所需的进入工程或区段工程的许可，并造成承包人费用增加的，应承担由此增加的费用并支付承包人合理利润。</w:t>
      </w:r>
    </w:p>
    <w:p w14:paraId="4DA16383">
      <w:pPr>
        <w:pStyle w:val="130"/>
        <w:wordWrap/>
        <w:topLinePunct w:val="0"/>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184" w:name="_Toc100907424"/>
      <w:bookmarkStart w:id="1185" w:name="_Toc30262"/>
      <w:bookmarkStart w:id="1186" w:name="_Toc100907098"/>
      <w:r>
        <w:rPr>
          <w:rFonts w:hint="eastAsia" w:ascii="宋体" w:hAnsi="宋体" w:eastAsia="宋体" w:cs="宋体"/>
          <w:b w:val="0"/>
          <w:bCs/>
          <w:color w:val="000000" w:themeColor="text1"/>
          <w:sz w:val="21"/>
          <w:szCs w:val="21"/>
          <w14:textFill>
            <w14:solidFill>
              <w14:schemeClr w14:val="tx1"/>
            </w14:solidFill>
          </w14:textFill>
        </w:rPr>
        <w:t>第13条 变更与调整</w:t>
      </w:r>
      <w:bookmarkEnd w:id="1184"/>
      <w:bookmarkEnd w:id="1185"/>
      <w:bookmarkEnd w:id="1186"/>
    </w:p>
    <w:p w14:paraId="73D03040">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187" w:name="_Toc100907425"/>
      <w:bookmarkStart w:id="1188" w:name="_Toc100907099"/>
      <w:bookmarkStart w:id="1189" w:name="_Toc10164"/>
      <w:r>
        <w:rPr>
          <w:rFonts w:hint="eastAsia" w:ascii="宋体" w:hAnsi="宋体" w:eastAsia="宋体" w:cs="宋体"/>
          <w:b w:val="0"/>
          <w:bCs/>
          <w:color w:val="000000" w:themeColor="text1"/>
          <w:sz w:val="21"/>
          <w:szCs w:val="21"/>
          <w14:textFill>
            <w14:solidFill>
              <w14:schemeClr w14:val="tx1"/>
            </w14:solidFill>
          </w14:textFill>
        </w:rPr>
        <w:t>13.1 发包人变更权</w:t>
      </w:r>
      <w:bookmarkEnd w:id="1187"/>
      <w:bookmarkEnd w:id="1188"/>
      <w:bookmarkEnd w:id="1189"/>
      <w:r>
        <w:rPr>
          <w:rFonts w:hint="eastAsia" w:ascii="宋体" w:hAnsi="宋体" w:eastAsia="宋体" w:cs="宋体"/>
          <w:b w:val="0"/>
          <w:bCs/>
          <w:color w:val="000000" w:themeColor="text1"/>
          <w:sz w:val="21"/>
          <w:szCs w:val="21"/>
          <w14:textFill>
            <w14:solidFill>
              <w14:schemeClr w14:val="tx1"/>
            </w14:solidFill>
          </w14:textFill>
        </w:rPr>
        <w:t xml:space="preserve"> </w:t>
      </w:r>
    </w:p>
    <w:p w14:paraId="18C714A5">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13.1.1 变更指示应经发包人同意，并由工程师发出经发包人签认的变更指示。除第11.3.6项[未能修复]约定的情况外，变更不应包括准备将任何工作删减并交由他人或发包人自行实施的情况。承包人收到变更指示后，方可实施变更。未经许可，承包人不得擅自对工程的任何部分进行变更。发包人与承包人对某项指示或批准是否构成变更产生争议的，按第20条[争议解决]处理。</w:t>
      </w:r>
    </w:p>
    <w:p w14:paraId="0A192095">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13.1.2 承包人应按照变更指示执行，除非承包人及时向工程师发出通知，说明该项变更指示将降低工程的安全性、稳定性或适用性；涉及的工作内容和范围不可预见；所涉设备难以采购；导致承包人无法执行第7.5款[现场劳动用工]、第7.6款[安全文明施工]、第7.7款[职业健康]或第7.8款[环境保护]内容；将造成工期延误；与第4.1款[承包人的一般义务]相冲突等无法执行的理由。工程师接到承包人的通知后，应作出经发包人签认的取消、确认或改变原指示的书面回复。</w:t>
      </w:r>
    </w:p>
    <w:p w14:paraId="5604D854">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190" w:name="_Toc25372"/>
      <w:bookmarkStart w:id="1191" w:name="_Toc100907426"/>
      <w:bookmarkStart w:id="1192" w:name="_Toc100907100"/>
      <w:r>
        <w:rPr>
          <w:rFonts w:hint="eastAsia" w:ascii="宋体" w:hAnsi="宋体" w:eastAsia="宋体" w:cs="宋体"/>
          <w:b w:val="0"/>
          <w:bCs/>
          <w:color w:val="000000" w:themeColor="text1"/>
          <w:sz w:val="21"/>
          <w:szCs w:val="21"/>
          <w14:textFill>
            <w14:solidFill>
              <w14:schemeClr w14:val="tx1"/>
            </w14:solidFill>
          </w14:textFill>
        </w:rPr>
        <w:t>13.2 承包人的合理化建议</w:t>
      </w:r>
      <w:bookmarkEnd w:id="1190"/>
      <w:bookmarkEnd w:id="1191"/>
      <w:bookmarkEnd w:id="1192"/>
    </w:p>
    <w:p w14:paraId="2149BFAD">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13.2.1 承包人提出合理化建议的，应向工程师提交合理化建议说明，说明建议的内容、理由以及实施该建议对合同价格和工期的影响。</w:t>
      </w:r>
    </w:p>
    <w:p w14:paraId="4775582C">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13.2.2 除专用合同条件另有约定外，工程师应在收到承包人提交的合理化建议后7天内审查完毕并报送发包人，发现其中存在技术上的缺陷，应通知承包人修改。发包人应在收到工程师报送的合理化建议后7天内审批完毕。合理化建议经发包人批准的，工程师应及时发出变更指示，由此引起的合同价格调整按照第13.3.3项[变更估价]约定执行。发包人不同意变更的，工程师应书面通知承包人。</w:t>
      </w:r>
    </w:p>
    <w:p w14:paraId="122268E5">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13.2.3 合理化建议降低了合同价格、缩短了工期或者提高了工程经济效益的，双方可以按照专用合同条件的约定进行利益分享。</w:t>
      </w:r>
    </w:p>
    <w:p w14:paraId="2B550331">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193" w:name="_Toc100907427"/>
      <w:bookmarkStart w:id="1194" w:name="_Toc687"/>
      <w:bookmarkStart w:id="1195" w:name="_Toc100907101"/>
      <w:r>
        <w:rPr>
          <w:rFonts w:hint="eastAsia" w:ascii="宋体" w:hAnsi="宋体" w:eastAsia="宋体" w:cs="宋体"/>
          <w:b w:val="0"/>
          <w:bCs/>
          <w:color w:val="000000" w:themeColor="text1"/>
          <w:sz w:val="21"/>
          <w:szCs w:val="21"/>
          <w14:textFill>
            <w14:solidFill>
              <w14:schemeClr w14:val="tx1"/>
            </w14:solidFill>
          </w14:textFill>
        </w:rPr>
        <w:t>13.3 变更程序</w:t>
      </w:r>
      <w:bookmarkEnd w:id="1193"/>
      <w:bookmarkEnd w:id="1194"/>
      <w:bookmarkEnd w:id="1195"/>
    </w:p>
    <w:p w14:paraId="6A67844B">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13.3.1 发包人提出变更</w:t>
      </w:r>
    </w:p>
    <w:p w14:paraId="7CBEDB66">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发包人提出变更的，应通过工程师向承包人发出书面形式的变更指示，变更指示应说明计划变更的工程范围和变更的内容。</w:t>
      </w:r>
    </w:p>
    <w:p w14:paraId="1B85B899">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13.3.2 变更执行</w:t>
      </w:r>
    </w:p>
    <w:p w14:paraId="3651F93E">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承包人收到工程师下达的变更指示后，认为不能执行，应在合理期限内提出不能执行该变更指示的理由。承包人认为可以执行变更的，应当书面说明实施该变更指示需要采取的具体措施及对合同价格和工期的影响，且合同当事人应当按照第13.3.3项[变更估价]约定确定变更估价。</w:t>
      </w:r>
    </w:p>
    <w:p w14:paraId="1C54E282">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13.3.3 变更估价</w:t>
      </w:r>
    </w:p>
    <w:p w14:paraId="5B27AC10">
      <w:pPr>
        <w:pStyle w:val="86"/>
        <w:widowControl/>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13.3.3.1 变更估价原则</w:t>
      </w:r>
    </w:p>
    <w:p w14:paraId="393CF094">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除专用合同条件另有约定外，变更估价按照本款约定处理：</w:t>
      </w:r>
    </w:p>
    <w:p w14:paraId="20434612">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 合同中未包含价格清单，合同价格应按照所执行的变更工程的成本加利润调整；</w:t>
      </w:r>
    </w:p>
    <w:p w14:paraId="242D9964">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（2） 合同中包含价格清单，合同价格按照如下规则调整：</w:t>
      </w:r>
    </w:p>
    <w:p w14:paraId="6CB467B1">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 价格清单中有适用于变更工程项目的，应采用该项目的费率和价格；</w:t>
      </w:r>
    </w:p>
    <w:p w14:paraId="483B0089">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2） 价格清单中没有适用但有类似于变更工程项目的，可在合理范围内参照类似项目的费率或价格；</w:t>
      </w:r>
    </w:p>
    <w:p w14:paraId="1B0708FA">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3） 价格清单中没有适用也没有类似于变更工程项目的，该工程项目应按成本加利润原则调整适用新的费率或价格。</w:t>
      </w:r>
    </w:p>
    <w:p w14:paraId="335101B9">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13.3.3.2 变更估价程序</w:t>
      </w:r>
    </w:p>
    <w:p w14:paraId="3E693333">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承包人应在收到变更指示后14天内，向工程师提交变更估价申请。工程师应在收到承包人提交的变更估价申请后7天内审查完毕并报送发包人，工程师对变更估价申请有异议，通知承包人修改后重新提交。发包人应在承包人提交变更估价申请后14天内审批完毕。发包人逾期未完成审批或未提出异议的，视为认可承包人提交的变更估价申请。</w:t>
      </w:r>
    </w:p>
    <w:p w14:paraId="2476450C">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因变更引起的价格调整应计入最近一期的进度款中支付。</w:t>
      </w:r>
    </w:p>
    <w:p w14:paraId="069C195C">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13.3.4 变更引起的工期调整</w:t>
      </w:r>
    </w:p>
    <w:p w14:paraId="3A8301B1">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因变更引起工期变化的，合同当事人均可要求调整合同工期，由合同当事人按照第3.6款[商定或确定]并参考工程所在地的工期定额标准确定增减工期天数。</w:t>
      </w:r>
    </w:p>
    <w:p w14:paraId="163A110C">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196" w:name="_Toc100907102"/>
      <w:bookmarkStart w:id="1197" w:name="_Toc10818"/>
      <w:bookmarkStart w:id="1198" w:name="_Toc100907428"/>
      <w:r>
        <w:rPr>
          <w:rFonts w:hint="eastAsia" w:ascii="宋体" w:hAnsi="宋体" w:eastAsia="宋体" w:cs="宋体"/>
          <w:b w:val="0"/>
          <w:bCs/>
          <w:color w:val="000000" w:themeColor="text1"/>
          <w:sz w:val="21"/>
          <w:szCs w:val="21"/>
          <w14:textFill>
            <w14:solidFill>
              <w14:schemeClr w14:val="tx1"/>
            </w14:solidFill>
          </w14:textFill>
        </w:rPr>
        <w:t>13.4 暂估价</w:t>
      </w:r>
      <w:bookmarkEnd w:id="1196"/>
      <w:bookmarkEnd w:id="1197"/>
      <w:bookmarkEnd w:id="1198"/>
    </w:p>
    <w:p w14:paraId="6341A1A4">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13.4.1 依法必须招标的暂估价项目</w:t>
      </w:r>
    </w:p>
    <w:p w14:paraId="0AC738EE">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对于依法必须招标的暂估价项目，专用合同条件约定由承包人作为招标人的，招标文件、评标方案、评标结果应报送发包人批准。与组织招标工作有关的费用应当被认为已经包括在承包人的签约合同价中。</w:t>
      </w:r>
    </w:p>
    <w:p w14:paraId="1349408B">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专用合同条件约定由发包人和承包人共同作为招标人的，与组织招标工作有关的费用在专用合同条件中约定。</w:t>
      </w:r>
    </w:p>
    <w:p w14:paraId="767E7570">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具体的招标程序以及发包人和承包人权利义务关系可在专用合同条件中约定。暂估价项目的中标金额与价格清单中所列暂估价的金额差以及相应的税金等其他费用应列入合同价格。</w:t>
      </w:r>
    </w:p>
    <w:p w14:paraId="598AD0E0">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13.4.2 不属于依法必须招标的暂估价项目</w:t>
      </w:r>
    </w:p>
    <w:p w14:paraId="40240632">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对于不属于依法必须招标的暂估价项目，承包人具备实施暂估价项目的资格和条件的，经发包人和承包人协商一致后，可由承包人自行实施暂估价项目，具体的协商和估价程序以及发包人和承包人权利义务关系可在专用合同条件中约定。确定后的暂估价项目金额与价格清单中所列暂估价的金额差以及相应的税金等其他费用应列入合同价格。</w:t>
      </w:r>
    </w:p>
    <w:p w14:paraId="1CE12ACD">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02E39C2B">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199" w:name="_Toc100907429"/>
      <w:bookmarkStart w:id="1200" w:name="_Toc28047"/>
      <w:bookmarkStart w:id="1201" w:name="_Toc100907103"/>
      <w:r>
        <w:rPr>
          <w:rFonts w:hint="eastAsia" w:ascii="宋体" w:hAnsi="宋体" w:eastAsia="宋体" w:cs="宋体"/>
          <w:b w:val="0"/>
          <w:bCs/>
          <w:color w:val="000000" w:themeColor="text1"/>
          <w:sz w:val="21"/>
          <w:szCs w:val="21"/>
          <w14:textFill>
            <w14:solidFill>
              <w14:schemeClr w14:val="tx1"/>
            </w14:solidFill>
          </w14:textFill>
        </w:rPr>
        <w:t>13.5 暂列金额</w:t>
      </w:r>
      <w:bookmarkEnd w:id="1199"/>
      <w:bookmarkEnd w:id="1200"/>
      <w:bookmarkEnd w:id="1201"/>
      <w:r>
        <w:rPr>
          <w:rFonts w:hint="eastAsia" w:ascii="宋体" w:hAnsi="宋体" w:eastAsia="宋体" w:cs="宋体"/>
          <w:b w:val="0"/>
          <w:bCs/>
          <w:color w:val="000000" w:themeColor="text1"/>
          <w:sz w:val="21"/>
          <w:szCs w:val="21"/>
          <w14:textFill>
            <w14:solidFill>
              <w14:schemeClr w14:val="tx1"/>
            </w14:solidFill>
          </w14:textFill>
        </w:rPr>
        <w:t xml:space="preserve"> </w:t>
      </w:r>
    </w:p>
    <w:p w14:paraId="7E0C4FA2">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除专用合同条件另有约定外，每一笔暂列金额只能按照发包人的指示全部或部分使用，并对合同价格进行相应调整。付给承包人的总金额应仅包括发包人已指示的，与暂列金额相关的工作、货物或服务的应付款项。</w:t>
      </w:r>
    </w:p>
    <w:p w14:paraId="40C7C59C">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对于每笔暂列金额，发包人可以指示用于下列支付：</w:t>
      </w:r>
    </w:p>
    <w:p w14:paraId="00E78DBA">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 发包人根据第13.1款[发包人变更权]指示变更，决定对合同价格和付款计划表（如有）进行调整的、由承包人实施的工作（包括要提供的工程设备、材料和服务）；</w:t>
      </w:r>
    </w:p>
    <w:p w14:paraId="571A0E9F">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（2） 承包人购买的工程设备、材料、工作或服务，应支付包括承包人已付（或应付）的实际金额以及相应的管理费等费用和利润（管理费和利润应以实际金额为基数根据合同约定的费率（如有）或百分比计算）。</w:t>
      </w:r>
    </w:p>
    <w:p w14:paraId="6FC8F3A7">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发包人根据上述(1)和（或）(2)指示支付暂列金额的，可以要求承包人提交其供应商提供的全部或部分要实施的工程或拟购买的工程设备、材料、工作或服务的项目报价单。发包人可以发出通知指示承包人接受其中的一个报价或指示撤销支付，发包人在收到项目报价单的7天内未作回应的，承包人应有权自行接受其中任何一个报价。</w:t>
      </w:r>
    </w:p>
    <w:p w14:paraId="12851651">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每份包含暂列金额的文件还应包括用以证明暂列金额的所有有效的发票、凭证和账户或收据。</w:t>
      </w:r>
    </w:p>
    <w:p w14:paraId="4EE67538">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202" w:name="_Toc100907430"/>
      <w:bookmarkStart w:id="1203" w:name="_Toc100907104"/>
      <w:bookmarkStart w:id="1204" w:name="_Toc20172"/>
      <w:r>
        <w:rPr>
          <w:rFonts w:hint="eastAsia" w:ascii="宋体" w:hAnsi="宋体" w:eastAsia="宋体" w:cs="宋体"/>
          <w:b w:val="0"/>
          <w:bCs/>
          <w:color w:val="000000" w:themeColor="text1"/>
          <w:sz w:val="21"/>
          <w:szCs w:val="21"/>
          <w14:textFill>
            <w14:solidFill>
              <w14:schemeClr w14:val="tx1"/>
            </w14:solidFill>
          </w14:textFill>
        </w:rPr>
        <w:t>13.6 计日工</w:t>
      </w:r>
      <w:bookmarkEnd w:id="1202"/>
      <w:bookmarkEnd w:id="1203"/>
      <w:bookmarkEnd w:id="1204"/>
    </w:p>
    <w:p w14:paraId="1A06D3A4">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13.6.1 需要采用计日工方式的，经发包人同意后，由工程师通知承包人以计日工计价方式实施相应的工作，其价款按列入价格清单或预算书中的计日工计价项目及其单价进行计算；价格清单或预算书中无相应的计日工单价的，按照合理的成本与利润构成的原则，由工程师按照第3.6款[商定或确定]确定计日工的单价。</w:t>
      </w:r>
    </w:p>
    <w:p w14:paraId="38EACB62">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13.6.2 采用计日工计价的任何一项工作，承包人应在该项工作实施过程中，每天提交以下报表和有关凭证报送工程师审查：</w:t>
      </w:r>
    </w:p>
    <w:p w14:paraId="1A35E178">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 工作名称、内容和数量；</w:t>
      </w:r>
    </w:p>
    <w:p w14:paraId="2990891B">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（2） 投入该工作的所有人员的姓名、专业、工种、级别和耗用工时；</w:t>
      </w:r>
    </w:p>
    <w:p w14:paraId="472AB3C4">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（3） 投入该工作的材料类别和数量；</w:t>
      </w:r>
    </w:p>
    <w:p w14:paraId="4CBE7939">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（4） 投入该工作的施工设备型号、台数和耗用台时；</w:t>
      </w:r>
    </w:p>
    <w:p w14:paraId="3860A644">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（5） 其他有关资料和凭证。</w:t>
      </w:r>
    </w:p>
    <w:p w14:paraId="59EDDE6C">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计日工由承包人汇总后，列入最近一期进度付款申请单，由工程师审查并经发包人批准后列入进度付款。</w:t>
      </w:r>
    </w:p>
    <w:p w14:paraId="0B1A9E96">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205" w:name="_Toc100907431"/>
      <w:bookmarkStart w:id="1206" w:name="_Toc100907105"/>
      <w:bookmarkStart w:id="1207" w:name="_Toc24093"/>
      <w:r>
        <w:rPr>
          <w:rFonts w:hint="eastAsia" w:ascii="宋体" w:hAnsi="宋体" w:eastAsia="宋体" w:cs="宋体"/>
          <w:b w:val="0"/>
          <w:bCs/>
          <w:color w:val="000000" w:themeColor="text1"/>
          <w:sz w:val="21"/>
          <w:szCs w:val="21"/>
          <w14:textFill>
            <w14:solidFill>
              <w14:schemeClr w14:val="tx1"/>
            </w14:solidFill>
          </w14:textFill>
        </w:rPr>
        <w:t>13.7 法律变化引起的调整</w:t>
      </w:r>
      <w:bookmarkEnd w:id="1205"/>
      <w:bookmarkEnd w:id="1206"/>
      <w:bookmarkEnd w:id="1207"/>
    </w:p>
    <w:p w14:paraId="4BA03AA1">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13.7.1 基准日期后，法律变化导致承包人在合同履行过程中所需要的费用发生除第13.8款[市场价格波动引起的调整]约定以外的增加时，由发包人承担由此增加的费用；减少时，应从合同价格中予以扣减。基准日期后，因法律变化造成工期延误时，工期应予以顺延。</w:t>
      </w:r>
    </w:p>
    <w:p w14:paraId="47030C3C">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13.7.2 因法律变化引起的合同价格和工期调整，合同当事人无法达成一致的，由工程师按第3.6款[商定或确定]的约定处理。</w:t>
      </w:r>
    </w:p>
    <w:p w14:paraId="2F54A7A1">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13.7.3 因承包人原因造成工期延误，在工期延误期间出现法律变化的，由此增加的费用和（或）延误的工期由承包人承担。</w:t>
      </w:r>
    </w:p>
    <w:p w14:paraId="4CEB2928">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13.7.4 因法律变化而需要对工程的实施进行任何调整的，承包人应迅速通知发包人，或者发包人应迅速通知承包人，并附上详细的辅助资料。发包人接到通知后，应根据第13.3款[变更程序]发出变更指示。</w:t>
      </w:r>
    </w:p>
    <w:p w14:paraId="62715CFB">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208" w:name="_Toc14784"/>
      <w:bookmarkStart w:id="1209" w:name="_Toc100907432"/>
      <w:bookmarkStart w:id="1210" w:name="_Toc100907106"/>
      <w:r>
        <w:rPr>
          <w:rFonts w:hint="eastAsia" w:ascii="宋体" w:hAnsi="宋体" w:eastAsia="宋体" w:cs="宋体"/>
          <w:b w:val="0"/>
          <w:bCs/>
          <w:color w:val="000000" w:themeColor="text1"/>
          <w:sz w:val="21"/>
          <w:szCs w:val="21"/>
          <w14:textFill>
            <w14:solidFill>
              <w14:schemeClr w14:val="tx1"/>
            </w14:solidFill>
          </w14:textFill>
        </w:rPr>
        <w:t>13.8 市场价格波动引起的调整</w:t>
      </w:r>
      <w:bookmarkEnd w:id="1208"/>
      <w:bookmarkEnd w:id="1209"/>
      <w:bookmarkEnd w:id="1210"/>
    </w:p>
    <w:p w14:paraId="04BE819A">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13.8.1 主要工程材料、设备、人工价格与招标时基期价相比，波动幅度超过合同约定幅度的，双方按照合同约定的价格调整方式调整。</w:t>
      </w:r>
    </w:p>
    <w:p w14:paraId="27AB9569">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13.8.2 发包人与承包人在专用合同条件中约定采用《价格指数权重表》的，适用本项约定。</w:t>
      </w:r>
    </w:p>
    <w:p w14:paraId="47F2FC21">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13.8.2.1 双方当事人可以将部分主要工程材料、工程设备、人工价格及其他双方认为应当根据市场价格调整的费用列入附件6[价格指数权重表]，并根据以下公式计算差额并调整合同价格：</w:t>
      </w:r>
    </w:p>
    <w:p w14:paraId="2C64C7BE">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 价格调整公式</w:t>
      </w:r>
    </w:p>
    <w:p w14:paraId="13014BE3">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drawing>
          <wp:inline distT="0" distB="0" distL="114300" distR="114300">
            <wp:extent cx="4777740" cy="678815"/>
            <wp:effectExtent l="0" t="0" r="10160" b="698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19"/>
                    <a:stretch>
                      <a:fillRect/>
                    </a:stretch>
                  </pic:blipFill>
                  <pic:spPr>
                    <a:xfrm>
                      <a:off x="0" y="0"/>
                      <a:ext cx="4777740" cy="678815"/>
                    </a:xfrm>
                    <a:prstGeom prst="rect">
                      <a:avLst/>
                    </a:prstGeom>
                    <a:noFill/>
                    <a:ln>
                      <a:noFill/>
                    </a:ln>
                  </pic:spPr>
                </pic:pic>
              </a:graphicData>
            </a:graphic>
          </wp:inline>
        </w:drawing>
      </w:r>
    </w:p>
    <w:p w14:paraId="2B30BCE8">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公式中：△P---需调整的价格差额；</w:t>
      </w:r>
    </w:p>
    <w:p w14:paraId="3A565435">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P</w:t>
      </w:r>
      <w:r>
        <w:rPr>
          <w:rFonts w:hint="eastAsia" w:ascii="宋体" w:hAnsi="宋体" w:cs="宋体"/>
          <w:color w:val="000000" w:themeColor="text1"/>
          <w:szCs w:val="21"/>
          <w:vertAlign w:val="subscript"/>
          <w14:textFill>
            <w14:solidFill>
              <w14:schemeClr w14:val="tx1"/>
            </w14:solidFill>
          </w14:textFill>
        </w:rPr>
        <w:t>O</w:t>
      </w:r>
      <w:r>
        <w:rPr>
          <w:rFonts w:hint="eastAsia" w:ascii="宋体" w:hAnsi="宋体" w:cs="宋体"/>
          <w:color w:val="000000" w:themeColor="text1"/>
          <w:szCs w:val="21"/>
          <w14:textFill>
            <w14:solidFill>
              <w14:schemeClr w14:val="tx1"/>
            </w14:solidFill>
          </w14:textFill>
        </w:rPr>
        <w:t>---付款证书中承包人应得到的已完成工作量的金额。此项金额应不包括价格调整、不计质量保证金的预留和支付、预付款的支付和扣回。第13条[变更与调整]约定的变更及其他金额已按当期价格计价的，也不计在内；</w:t>
      </w:r>
    </w:p>
    <w:p w14:paraId="7B20030D">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A ---定值权重（即不调部分的权重）； </w:t>
      </w:r>
    </w:p>
    <w:p w14:paraId="11C28202">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B</w:t>
      </w:r>
      <w:r>
        <w:rPr>
          <w:rFonts w:hint="eastAsia" w:ascii="宋体" w:hAnsi="宋体" w:cs="宋体"/>
          <w:color w:val="000000" w:themeColor="text1"/>
          <w:szCs w:val="21"/>
          <w:vertAlign w:val="subscript"/>
          <w14:textFill>
            <w14:solidFill>
              <w14:schemeClr w14:val="tx1"/>
            </w14:solidFill>
          </w14:textFill>
        </w:rPr>
        <w:t>1</w:t>
      </w:r>
      <w:r>
        <w:rPr>
          <w:rFonts w:hint="eastAsia" w:ascii="宋体" w:hAnsi="宋体" w:cs="宋体"/>
          <w:color w:val="000000" w:themeColor="text1"/>
          <w:szCs w:val="21"/>
          <w14:textFill>
            <w14:solidFill>
              <w14:schemeClr w14:val="tx1"/>
            </w14:solidFill>
          </w14:textFill>
        </w:rPr>
        <w:t>；B</w:t>
      </w:r>
      <w:r>
        <w:rPr>
          <w:rFonts w:hint="eastAsia" w:ascii="宋体" w:hAnsi="宋体" w:cs="宋体"/>
          <w:color w:val="000000" w:themeColor="text1"/>
          <w:szCs w:val="21"/>
          <w:vertAlign w:val="subscript"/>
          <w14:textFill>
            <w14:solidFill>
              <w14:schemeClr w14:val="tx1"/>
            </w14:solidFill>
          </w14:textFill>
        </w:rPr>
        <w:t>2</w:t>
      </w:r>
      <w:r>
        <w:rPr>
          <w:rFonts w:hint="eastAsia" w:ascii="宋体" w:hAnsi="宋体" w:cs="宋体"/>
          <w:color w:val="000000" w:themeColor="text1"/>
          <w:szCs w:val="21"/>
          <w14:textFill>
            <w14:solidFill>
              <w14:schemeClr w14:val="tx1"/>
            </w14:solidFill>
          </w14:textFill>
        </w:rPr>
        <w:t>；B</w:t>
      </w:r>
      <w:r>
        <w:rPr>
          <w:rFonts w:hint="eastAsia" w:ascii="宋体" w:hAnsi="宋体" w:cs="宋体"/>
          <w:color w:val="000000" w:themeColor="text1"/>
          <w:szCs w:val="21"/>
          <w:vertAlign w:val="subscript"/>
          <w14:textFill>
            <w14:solidFill>
              <w14:schemeClr w14:val="tx1"/>
            </w14:solidFill>
          </w14:textFill>
        </w:rPr>
        <w:t>3</w:t>
      </w:r>
      <w:r>
        <w:rPr>
          <w:rFonts w:hint="eastAsia" w:ascii="宋体" w:hAnsi="宋体" w:cs="宋体"/>
          <w:color w:val="000000" w:themeColor="text1"/>
          <w:szCs w:val="21"/>
          <w14:textFill>
            <w14:solidFill>
              <w14:schemeClr w14:val="tx1"/>
            </w14:solidFill>
          </w14:textFill>
        </w:rPr>
        <w:t>；……B</w:t>
      </w:r>
      <w:r>
        <w:rPr>
          <w:rFonts w:hint="eastAsia" w:ascii="宋体" w:hAnsi="宋体" w:cs="宋体"/>
          <w:color w:val="000000" w:themeColor="text1"/>
          <w:szCs w:val="21"/>
          <w:vertAlign w:val="subscript"/>
          <w14:textFill>
            <w14:solidFill>
              <w14:schemeClr w14:val="tx1"/>
            </w14:solidFill>
          </w14:textFill>
        </w:rPr>
        <w:t>n</w:t>
      </w:r>
      <w:r>
        <w:rPr>
          <w:rFonts w:hint="eastAsia" w:ascii="宋体" w:hAnsi="宋体" w:cs="宋体"/>
          <w:color w:val="000000" w:themeColor="text1"/>
          <w:szCs w:val="21"/>
          <w14:textFill>
            <w14:solidFill>
              <w14:schemeClr w14:val="tx1"/>
            </w14:solidFill>
          </w14:textFill>
        </w:rPr>
        <w:t>---各可调因子的变值权重（即可调部分的权重）为各可调因子在投标函投标总报价中所占的比例，且A+B</w:t>
      </w:r>
      <w:r>
        <w:rPr>
          <w:rFonts w:hint="eastAsia" w:ascii="宋体" w:hAnsi="宋体" w:cs="宋体"/>
          <w:color w:val="000000" w:themeColor="text1"/>
          <w:szCs w:val="21"/>
          <w:vertAlign w:val="subscript"/>
          <w14:textFill>
            <w14:solidFill>
              <w14:schemeClr w14:val="tx1"/>
            </w14:solidFill>
          </w14:textFill>
        </w:rPr>
        <w:t>1</w:t>
      </w:r>
      <w:r>
        <w:rPr>
          <w:rFonts w:hint="eastAsia" w:ascii="宋体" w:hAnsi="宋体" w:cs="宋体"/>
          <w:color w:val="000000" w:themeColor="text1"/>
          <w:szCs w:val="21"/>
          <w14:textFill>
            <w14:solidFill>
              <w14:schemeClr w14:val="tx1"/>
            </w14:solidFill>
          </w14:textFill>
        </w:rPr>
        <w:t>+B</w:t>
      </w:r>
      <w:r>
        <w:rPr>
          <w:rFonts w:hint="eastAsia" w:ascii="宋体" w:hAnsi="宋体" w:cs="宋体"/>
          <w:color w:val="000000" w:themeColor="text1"/>
          <w:szCs w:val="21"/>
          <w:vertAlign w:val="subscript"/>
          <w14:textFill>
            <w14:solidFill>
              <w14:schemeClr w14:val="tx1"/>
            </w14:solidFill>
          </w14:textFill>
        </w:rPr>
        <w:t>2</w:t>
      </w:r>
      <w:r>
        <w:rPr>
          <w:rFonts w:hint="eastAsia" w:ascii="宋体" w:hAnsi="宋体" w:cs="宋体"/>
          <w:color w:val="000000" w:themeColor="text1"/>
          <w:szCs w:val="21"/>
          <w14:textFill>
            <w14:solidFill>
              <w14:schemeClr w14:val="tx1"/>
            </w14:solidFill>
          </w14:textFill>
        </w:rPr>
        <w:t>+B</w:t>
      </w:r>
      <w:r>
        <w:rPr>
          <w:rFonts w:hint="eastAsia" w:ascii="宋体" w:hAnsi="宋体" w:cs="宋体"/>
          <w:color w:val="000000" w:themeColor="text1"/>
          <w:szCs w:val="21"/>
          <w:vertAlign w:val="subscript"/>
          <w14:textFill>
            <w14:solidFill>
              <w14:schemeClr w14:val="tx1"/>
            </w14:solidFill>
          </w14:textFill>
        </w:rPr>
        <w:t>3</w:t>
      </w:r>
      <w:r>
        <w:rPr>
          <w:rFonts w:hint="eastAsia" w:ascii="宋体" w:hAnsi="宋体" w:cs="宋体"/>
          <w:color w:val="000000" w:themeColor="text1"/>
          <w:szCs w:val="21"/>
          <w14:textFill>
            <w14:solidFill>
              <w14:schemeClr w14:val="tx1"/>
            </w14:solidFill>
          </w14:textFill>
        </w:rPr>
        <w:t>+……+B</w:t>
      </w:r>
      <w:r>
        <w:rPr>
          <w:rFonts w:hint="eastAsia" w:ascii="宋体" w:hAnsi="宋体" w:cs="宋体"/>
          <w:color w:val="000000" w:themeColor="text1"/>
          <w:szCs w:val="21"/>
          <w:vertAlign w:val="subscript"/>
          <w14:textFill>
            <w14:solidFill>
              <w14:schemeClr w14:val="tx1"/>
            </w14:solidFill>
          </w14:textFill>
        </w:rPr>
        <w:t>n</w:t>
      </w:r>
      <w:r>
        <w:rPr>
          <w:rFonts w:hint="eastAsia" w:ascii="宋体" w:hAnsi="宋体" w:cs="宋体"/>
          <w:color w:val="000000" w:themeColor="text1"/>
          <w:szCs w:val="21"/>
          <w14:textFill>
            <w14:solidFill>
              <w14:schemeClr w14:val="tx1"/>
            </w14:solidFill>
          </w14:textFill>
        </w:rPr>
        <w:t>=1；</w:t>
      </w:r>
    </w:p>
    <w:p w14:paraId="100F33C6">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F</w:t>
      </w:r>
      <w:r>
        <w:rPr>
          <w:rFonts w:hint="eastAsia" w:ascii="宋体" w:hAnsi="宋体" w:cs="宋体"/>
          <w:color w:val="000000" w:themeColor="text1"/>
          <w:szCs w:val="21"/>
          <w:vertAlign w:val="subscript"/>
          <w14:textFill>
            <w14:solidFill>
              <w14:schemeClr w14:val="tx1"/>
            </w14:solidFill>
          </w14:textFill>
        </w:rPr>
        <w:t>t1</w:t>
      </w:r>
      <w:r>
        <w:rPr>
          <w:rFonts w:hint="eastAsia" w:ascii="宋体" w:hAnsi="宋体" w:cs="宋体"/>
          <w:color w:val="000000" w:themeColor="text1"/>
          <w:szCs w:val="21"/>
          <w14:textFill>
            <w14:solidFill>
              <w14:schemeClr w14:val="tx1"/>
            </w14:solidFill>
          </w14:textFill>
        </w:rPr>
        <w:t>；F</w:t>
      </w:r>
      <w:r>
        <w:rPr>
          <w:rFonts w:hint="eastAsia" w:ascii="宋体" w:hAnsi="宋体" w:cs="宋体"/>
          <w:color w:val="000000" w:themeColor="text1"/>
          <w:szCs w:val="21"/>
          <w:vertAlign w:val="subscript"/>
          <w14:textFill>
            <w14:solidFill>
              <w14:schemeClr w14:val="tx1"/>
            </w14:solidFill>
          </w14:textFill>
        </w:rPr>
        <w:t>t2</w:t>
      </w:r>
      <w:r>
        <w:rPr>
          <w:rFonts w:hint="eastAsia" w:ascii="宋体" w:hAnsi="宋体" w:cs="宋体"/>
          <w:color w:val="000000" w:themeColor="text1"/>
          <w:szCs w:val="21"/>
          <w14:textFill>
            <w14:solidFill>
              <w14:schemeClr w14:val="tx1"/>
            </w14:solidFill>
          </w14:textFill>
        </w:rPr>
        <w:t>；F</w:t>
      </w:r>
      <w:r>
        <w:rPr>
          <w:rFonts w:hint="eastAsia" w:ascii="宋体" w:hAnsi="宋体" w:cs="宋体"/>
          <w:color w:val="000000" w:themeColor="text1"/>
          <w:szCs w:val="21"/>
          <w:vertAlign w:val="subscript"/>
          <w14:textFill>
            <w14:solidFill>
              <w14:schemeClr w14:val="tx1"/>
            </w14:solidFill>
          </w14:textFill>
        </w:rPr>
        <w:t>t3</w:t>
      </w:r>
      <w:r>
        <w:rPr>
          <w:rFonts w:hint="eastAsia" w:ascii="宋体" w:hAnsi="宋体" w:cs="宋体"/>
          <w:color w:val="000000" w:themeColor="text1"/>
          <w:szCs w:val="21"/>
          <w14:textFill>
            <w14:solidFill>
              <w14:schemeClr w14:val="tx1"/>
            </w14:solidFill>
          </w14:textFill>
        </w:rPr>
        <w:t>；……F</w:t>
      </w:r>
      <w:r>
        <w:rPr>
          <w:rFonts w:hint="eastAsia" w:ascii="宋体" w:hAnsi="宋体" w:cs="宋体"/>
          <w:color w:val="000000" w:themeColor="text1"/>
          <w:szCs w:val="21"/>
          <w:vertAlign w:val="subscript"/>
          <w14:textFill>
            <w14:solidFill>
              <w14:schemeClr w14:val="tx1"/>
            </w14:solidFill>
          </w14:textFill>
        </w:rPr>
        <w:t>tn</w:t>
      </w:r>
      <w:r>
        <w:rPr>
          <w:rFonts w:hint="eastAsia" w:ascii="宋体" w:hAnsi="宋体" w:cs="宋体"/>
          <w:color w:val="000000" w:themeColor="text1"/>
          <w:szCs w:val="21"/>
          <w14:textFill>
            <w14:solidFill>
              <w14:schemeClr w14:val="tx1"/>
            </w14:solidFill>
          </w14:textFill>
        </w:rPr>
        <w:t>---各可调因子的当期价格指数，指付款证书相关周期最后一天的前42天的各可调因子的价格指数；</w:t>
      </w:r>
    </w:p>
    <w:p w14:paraId="52AAFA7D">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F</w:t>
      </w:r>
      <w:r>
        <w:rPr>
          <w:rFonts w:hint="eastAsia" w:ascii="宋体" w:hAnsi="宋体" w:cs="宋体"/>
          <w:color w:val="000000" w:themeColor="text1"/>
          <w:szCs w:val="21"/>
          <w:vertAlign w:val="subscript"/>
          <w14:textFill>
            <w14:solidFill>
              <w14:schemeClr w14:val="tx1"/>
            </w14:solidFill>
          </w14:textFill>
        </w:rPr>
        <w:t>01</w:t>
      </w:r>
      <w:r>
        <w:rPr>
          <w:rFonts w:hint="eastAsia" w:ascii="宋体" w:hAnsi="宋体" w:cs="宋体"/>
          <w:color w:val="000000" w:themeColor="text1"/>
          <w:szCs w:val="21"/>
          <w14:textFill>
            <w14:solidFill>
              <w14:schemeClr w14:val="tx1"/>
            </w14:solidFill>
          </w14:textFill>
        </w:rPr>
        <w:t>；F</w:t>
      </w:r>
      <w:r>
        <w:rPr>
          <w:rFonts w:hint="eastAsia" w:ascii="宋体" w:hAnsi="宋体" w:cs="宋体"/>
          <w:color w:val="000000" w:themeColor="text1"/>
          <w:szCs w:val="21"/>
          <w:vertAlign w:val="subscript"/>
          <w14:textFill>
            <w14:solidFill>
              <w14:schemeClr w14:val="tx1"/>
            </w14:solidFill>
          </w14:textFill>
        </w:rPr>
        <w:t>02</w:t>
      </w:r>
      <w:r>
        <w:rPr>
          <w:rFonts w:hint="eastAsia" w:ascii="宋体" w:hAnsi="宋体" w:cs="宋体"/>
          <w:color w:val="000000" w:themeColor="text1"/>
          <w:szCs w:val="21"/>
          <w14:textFill>
            <w14:solidFill>
              <w14:schemeClr w14:val="tx1"/>
            </w14:solidFill>
          </w14:textFill>
        </w:rPr>
        <w:t>；F</w:t>
      </w:r>
      <w:r>
        <w:rPr>
          <w:rFonts w:hint="eastAsia" w:ascii="宋体" w:hAnsi="宋体" w:cs="宋体"/>
          <w:color w:val="000000" w:themeColor="text1"/>
          <w:szCs w:val="21"/>
          <w:vertAlign w:val="subscript"/>
          <w14:textFill>
            <w14:solidFill>
              <w14:schemeClr w14:val="tx1"/>
            </w14:solidFill>
          </w14:textFill>
        </w:rPr>
        <w:t>03</w:t>
      </w:r>
      <w:r>
        <w:rPr>
          <w:rFonts w:hint="eastAsia" w:ascii="宋体" w:hAnsi="宋体" w:cs="宋体"/>
          <w:color w:val="000000" w:themeColor="text1"/>
          <w:szCs w:val="21"/>
          <w14:textFill>
            <w14:solidFill>
              <w14:schemeClr w14:val="tx1"/>
            </w14:solidFill>
          </w14:textFill>
        </w:rPr>
        <w:t>；……F</w:t>
      </w:r>
      <w:r>
        <w:rPr>
          <w:rFonts w:hint="eastAsia" w:ascii="宋体" w:hAnsi="宋体" w:cs="宋体"/>
          <w:color w:val="000000" w:themeColor="text1"/>
          <w:szCs w:val="21"/>
          <w:vertAlign w:val="subscript"/>
          <w14:textFill>
            <w14:solidFill>
              <w14:schemeClr w14:val="tx1"/>
            </w14:solidFill>
          </w14:textFill>
        </w:rPr>
        <w:t>0n</w:t>
      </w:r>
      <w:r>
        <w:rPr>
          <w:rFonts w:hint="eastAsia" w:ascii="宋体" w:hAnsi="宋体" w:cs="宋体"/>
          <w:color w:val="000000" w:themeColor="text1"/>
          <w:szCs w:val="21"/>
          <w14:textFill>
            <w14:solidFill>
              <w14:schemeClr w14:val="tx1"/>
            </w14:solidFill>
          </w14:textFill>
        </w:rPr>
        <w:t>---各可调因子的基本价格指数，指基准日期的各可调因子的价格指数。</w:t>
      </w:r>
    </w:p>
    <w:p w14:paraId="49615848">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以上价格调整公式中的各可调因子、定值和变值权重，以及基本价格指数及其来源在投标函附录价格指数和权重表中约定。价格指数应首先采用投标函附录中载明的有关部门提供的价格指数，缺乏上述价格指数时，可采用有关部门提供的价格代替。</w:t>
      </w:r>
    </w:p>
    <w:p w14:paraId="3FC04811">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 暂时确定调整差额</w:t>
      </w:r>
    </w:p>
    <w:p w14:paraId="30C999CC">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在计算调整差额时得不到当期价格指数的，可暂用上一次价格指数计算，并在以后的付款中再按实际价格指数进行调整。</w:t>
      </w:r>
    </w:p>
    <w:p w14:paraId="0B8A3F5B">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 权重的调整</w:t>
      </w:r>
    </w:p>
    <w:p w14:paraId="7B794726">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按第13.1款[发包人变更权]约定的变更导致原定合同中的权重不合理的，由工程师与承包人和发包人协商后进行调整。</w:t>
      </w:r>
    </w:p>
    <w:p w14:paraId="3C6DC56F">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 承包人原因工期延误后的价格调整</w:t>
      </w:r>
    </w:p>
    <w:p w14:paraId="4ECDCCDD">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因承包人原因未在约定的工期内竣工的，则对原约定竣工日期后继续施工的工程，在使用本款第(1)项价格调整公式时，应采用原约定竣工日期与实际竣工日期的两个价格指数中较低的一个作为当期价格指数。</w:t>
      </w:r>
    </w:p>
    <w:p w14:paraId="25AC5FB8">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 发包人引起的工期延误后的价格调整</w:t>
      </w:r>
    </w:p>
    <w:p w14:paraId="6429B6E9">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由于发包人原因未在约定的工期内竣工的，则对原约定竣工日期后继续施工的工程，在使用本款第（1）目价格调整公式时，应采用原约定竣工日期与实际竣工日期的两个价格指数中较高的一个作为当期价格指数。</w:t>
      </w:r>
    </w:p>
    <w:p w14:paraId="68E4F814">
      <w:pPr>
        <w:pStyle w:val="86"/>
        <w:spacing w:after="120"/>
        <w:ind w:left="0" w:firstLine="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13.8.2.2 未列入《价格指数权重表》的费用不因市场变化而调整。</w:t>
      </w:r>
    </w:p>
    <w:p w14:paraId="7055CB67">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13.8.3 双方约定采用其他方式调整合同价款的，以专用合同条件约定为准。</w:t>
      </w:r>
    </w:p>
    <w:p w14:paraId="3CBC8CEC">
      <w:pPr>
        <w:pStyle w:val="130"/>
        <w:wordWrap/>
        <w:topLinePunct w:val="0"/>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211" w:name="_Toc100907433"/>
      <w:bookmarkStart w:id="1212" w:name="_Toc100907107"/>
      <w:bookmarkStart w:id="1213" w:name="_Toc25094"/>
      <w:r>
        <w:rPr>
          <w:rFonts w:hint="eastAsia" w:ascii="宋体" w:hAnsi="宋体" w:eastAsia="宋体" w:cs="宋体"/>
          <w:b w:val="0"/>
          <w:bCs/>
          <w:color w:val="000000" w:themeColor="text1"/>
          <w:sz w:val="21"/>
          <w:szCs w:val="21"/>
          <w14:textFill>
            <w14:solidFill>
              <w14:schemeClr w14:val="tx1"/>
            </w14:solidFill>
          </w14:textFill>
        </w:rPr>
        <w:t>第14条 合同价格与支付</w:t>
      </w:r>
      <w:bookmarkEnd w:id="1211"/>
      <w:bookmarkEnd w:id="1212"/>
      <w:bookmarkEnd w:id="1213"/>
    </w:p>
    <w:p w14:paraId="56EC49AA">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214" w:name="_Toc28628"/>
      <w:bookmarkStart w:id="1215" w:name="_Toc100907434"/>
      <w:bookmarkStart w:id="1216" w:name="_Toc100907108"/>
      <w:r>
        <w:rPr>
          <w:rFonts w:hint="eastAsia" w:ascii="宋体" w:hAnsi="宋体" w:eastAsia="宋体" w:cs="宋体"/>
          <w:b w:val="0"/>
          <w:bCs/>
          <w:color w:val="000000" w:themeColor="text1"/>
          <w:sz w:val="21"/>
          <w:szCs w:val="21"/>
          <w14:textFill>
            <w14:solidFill>
              <w14:schemeClr w14:val="tx1"/>
            </w14:solidFill>
          </w14:textFill>
        </w:rPr>
        <w:t>14.1 合同价格形式</w:t>
      </w:r>
      <w:bookmarkEnd w:id="1214"/>
      <w:bookmarkEnd w:id="1215"/>
      <w:bookmarkEnd w:id="1216"/>
    </w:p>
    <w:p w14:paraId="500EA292">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14.1.1 除专用合同条件中另有约定外，本合同为总价合同，除根据第13条[变更与调整]，以及合同中其它相关增减金额的约定进行调整外，合同价格不做调整。</w:t>
      </w:r>
    </w:p>
    <w:p w14:paraId="7F5EDB4D">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14.1.2 除专用合同条件另有约定外：</w:t>
      </w:r>
    </w:p>
    <w:p w14:paraId="0C484306">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 工程款的支付应以合同协议书约定的签约合同价格为基础，按照合同约定进行调整；</w:t>
      </w:r>
    </w:p>
    <w:p w14:paraId="48BD8837">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（2） 承包人应支付根据法律规定或合同约定应由其支付的各项税费，除第13.7款[法律变化引起的调整]约定外，合同价格不应因任何这些税费进行调整；</w:t>
      </w:r>
    </w:p>
    <w:p w14:paraId="650B58C2">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（3） 价格清单列出的任何数量仅为估算的工作量，不得将其视为要求承包人实施的工程的实际或准确的工作量。在价格清单中列出的任何工作量和价格数据应仅限用于变更和支付的参考资料，而不能用于其他目的。</w:t>
      </w:r>
    </w:p>
    <w:p w14:paraId="2B9100CE">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14.1.3 合同约定工程的某部分按照实际完成的工程量进行支付的，应按照专用合同条件的约定进行计量和估价，并据此调整合同价格。</w:t>
      </w:r>
    </w:p>
    <w:p w14:paraId="4247B9C6">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217" w:name="_Toc100907435"/>
      <w:bookmarkStart w:id="1218" w:name="_Toc18939"/>
      <w:bookmarkStart w:id="1219" w:name="_Toc100907109"/>
      <w:r>
        <w:rPr>
          <w:rFonts w:hint="eastAsia" w:ascii="宋体" w:hAnsi="宋体" w:eastAsia="宋体" w:cs="宋体"/>
          <w:b w:val="0"/>
          <w:bCs/>
          <w:color w:val="000000" w:themeColor="text1"/>
          <w:sz w:val="21"/>
          <w:szCs w:val="21"/>
          <w14:textFill>
            <w14:solidFill>
              <w14:schemeClr w14:val="tx1"/>
            </w14:solidFill>
          </w14:textFill>
        </w:rPr>
        <w:t>14.2 预付款</w:t>
      </w:r>
      <w:bookmarkEnd w:id="1217"/>
      <w:bookmarkEnd w:id="1218"/>
      <w:bookmarkEnd w:id="1219"/>
    </w:p>
    <w:p w14:paraId="6549BC99">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14.2.1 预付款支付</w:t>
      </w:r>
    </w:p>
    <w:p w14:paraId="581849AC">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预付款的额度和支付按照专用合同条件约定执行。预付款应当专用于承包人为合同工程的设计和工程实施购置材料、工程设备、施工设备、修建临时设施以及组织施工队伍进场等合同工作。</w:t>
      </w:r>
    </w:p>
    <w:p w14:paraId="131E9222">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除专用合同条件另有约定外，预付款在进度付款中同比例扣回。在颁发工程接收证书前，提前解除合同的，尚未扣完的预付款应与合同价款一并结算。</w:t>
      </w:r>
    </w:p>
    <w:p w14:paraId="3FDACC5E">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发包人逾期支付预付款超过7天的，承包人有权向发包人发出要求预付的催告通知，发包人收到通知后7天内仍未支付的，承包人有权暂停施工，并按第15.1.1项[发包人违约的情形]执行。</w:t>
      </w:r>
    </w:p>
    <w:p w14:paraId="4D309984">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14.2.2 预付款担保</w:t>
      </w:r>
    </w:p>
    <w:p w14:paraId="088D6161">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发包人指示承包人提供预付款担保的，承包人应在发包人支付预付款7天前提供预付款担保，专用合同条件另有约定除外。预付款担保可采用银行保函、担保公司担保等形式，具体由合同当事人在专用合同条件中约定。在预付款完全扣回之前，承包人应保证预付款担保持续有效。</w:t>
      </w:r>
    </w:p>
    <w:p w14:paraId="74A23DFB">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发包人在工程款中逐期扣回预付款后，预付款担保额度应相应减少，但剩余的预付款担保金额不得低于未被扣回的预付款金额。</w:t>
      </w:r>
    </w:p>
    <w:p w14:paraId="45E6E31C">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220" w:name="_Toc10878"/>
      <w:bookmarkStart w:id="1221" w:name="_Toc100907436"/>
      <w:bookmarkStart w:id="1222" w:name="_Toc100907110"/>
      <w:r>
        <w:rPr>
          <w:rFonts w:hint="eastAsia" w:ascii="宋体" w:hAnsi="宋体" w:eastAsia="宋体" w:cs="宋体"/>
          <w:b w:val="0"/>
          <w:bCs/>
          <w:color w:val="000000" w:themeColor="text1"/>
          <w:sz w:val="21"/>
          <w:szCs w:val="21"/>
          <w14:textFill>
            <w14:solidFill>
              <w14:schemeClr w14:val="tx1"/>
            </w14:solidFill>
          </w14:textFill>
        </w:rPr>
        <w:t>14.3 工程进度款</w:t>
      </w:r>
      <w:bookmarkEnd w:id="1220"/>
      <w:bookmarkEnd w:id="1221"/>
      <w:bookmarkEnd w:id="1222"/>
    </w:p>
    <w:p w14:paraId="7680356C">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14.3.1 工程进度付款申请</w:t>
      </w:r>
    </w:p>
    <w:p w14:paraId="23993410">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（1）人工费的申请</w:t>
      </w:r>
    </w:p>
    <w:p w14:paraId="652AFF59">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人工费应按月支付，工程师应在收到承包人人工费付款申请单以及相关资料后7天内完成审查并报送发包人，发包人应在收到后7天内完成审批并向承包人签发人工费支付证书，发包人应在人工费支付证书签发后7天内完成支付。已支付的人工费部分，发包人支付进度款时予以相应扣除。</w:t>
      </w:r>
    </w:p>
    <w:p w14:paraId="0EEA426F">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（2）除专用合同条件另有约定外，承包人应在每月月末向工程师提交进度付款申请单，该进度付款申请单应包括下列内容：</w:t>
      </w:r>
    </w:p>
    <w:p w14:paraId="0F8B0A9B">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 截至本次付款周期内已完成工作对应的金额；</w:t>
      </w:r>
    </w:p>
    <w:p w14:paraId="60F5E868">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2） 扣除依据本款第（1）目约定中已扣除的人工费金额；</w:t>
      </w:r>
    </w:p>
    <w:p w14:paraId="40B36A74">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3） 根据第13条[变更与调整]应增加和扣减的变更金额；</w:t>
      </w:r>
    </w:p>
    <w:p w14:paraId="5C8A61C3">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4） 根据第14.2款[预付款]约定应支付的预付款和扣减的返还预付款；</w:t>
      </w:r>
    </w:p>
    <w:p w14:paraId="0CD691AE">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5） 根据第14.6.2项[质量保证金的预留]约定应预留的质量保证金金额；</w:t>
      </w:r>
    </w:p>
    <w:p w14:paraId="2693C55C">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6） 根据第19条[索赔]应增加和扣减的索赔金额；</w:t>
      </w:r>
    </w:p>
    <w:p w14:paraId="26315850">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7） 对已签发的进度款支付证书中出现错误的修正，应在本次进度付款中支付或扣除的金额；</w:t>
      </w:r>
    </w:p>
    <w:p w14:paraId="69843A96">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8） 根据合同约定应增加和扣减的其他金额。</w:t>
      </w:r>
    </w:p>
    <w:p w14:paraId="6BFA130F">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14.3.2 进度付款审核和支付</w:t>
      </w:r>
    </w:p>
    <w:p w14:paraId="58F8D16C">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除专用合同条件另有约定外，工程师应在收到承包人进度付款申请单以及相关资料后7天内完成审查并报送发包人，发包人应在收到后7天内完成审批并向承包人签发进度款支付证书。发包人逾期（包括因工程师原因延误报送的时间）未完成审批且未提出异议的，视为已签发进度款支付证书。</w:t>
      </w:r>
    </w:p>
    <w:p w14:paraId="08808360">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工程师对承包人的进度付款申请单有异议的，有权要求承包人修正和提供补充资料，承包人应提交修正后的进度付款申请单。工程师应在收到承包人修正后的进度付款申请单及相关资料后7天内完成审查并报送发包人，发包人应在收到工程师报送的进度付款申请单及相关资料后7天内，向承包人签发无异议部分的进度款支付证书。存在争议的部分，按照第20条[争议解决]的约定处理。</w:t>
      </w:r>
    </w:p>
    <w:p w14:paraId="6DA80147">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除专用合同条件另有约定外，发包人应在进度款支付证书签发后14天内完成支付，发包人逾期支付进度款的，按照贷款市场报价利率（LPR）支付利息；逾期支付超过56天的，按照贷款市场报价利率（LPR）的两倍支付利息。 </w:t>
      </w:r>
    </w:p>
    <w:p w14:paraId="0114F445">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发包人签发进度款支付证书，不表明发包人已同意、批准或接受了承包人完成的相应部分的工作。</w:t>
      </w:r>
    </w:p>
    <w:p w14:paraId="02CA24B7">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14:textFill>
            <w14:solidFill>
              <w14:schemeClr w14:val="tx1"/>
            </w14:solidFill>
          </w14:textFill>
        </w:rPr>
        <w:t>14.3.</w:t>
      </w:r>
      <w:r>
        <w:rPr>
          <w:rFonts w:hint="eastAsia" w:cs="宋体"/>
          <w:color w:val="000000" w:themeColor="text1"/>
          <w:sz w:val="21"/>
          <w:szCs w:val="21"/>
          <w14:textFill>
            <w14:solidFill>
              <w14:schemeClr w14:val="tx1"/>
            </w14:solidFill>
          </w14:textFill>
        </w:rPr>
        <w:t>3 进度付款的修正</w:t>
      </w:r>
    </w:p>
    <w:p w14:paraId="1E99733D">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在对已签发的进度款支付证书进行阶段汇总和复核中发现错误、遗漏或重复的，发包人和承包人均有权提出修正申请。经发包人和承包人同意的修正，应在下期进度付款中支付或扣除。</w:t>
      </w:r>
    </w:p>
    <w:p w14:paraId="4ECBD1E4">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223" w:name="_Toc100907437"/>
      <w:bookmarkStart w:id="1224" w:name="_Toc3837"/>
      <w:bookmarkStart w:id="1225" w:name="_Toc100907111"/>
      <w:r>
        <w:rPr>
          <w:rFonts w:hint="eastAsia" w:ascii="宋体" w:hAnsi="宋体" w:eastAsia="宋体" w:cs="宋体"/>
          <w:b w:val="0"/>
          <w:bCs/>
          <w:color w:val="000000" w:themeColor="text1"/>
          <w:sz w:val="21"/>
          <w:szCs w:val="21"/>
          <w14:textFill>
            <w14:solidFill>
              <w14:schemeClr w14:val="tx1"/>
            </w14:solidFill>
          </w14:textFill>
        </w:rPr>
        <w:t>14.4 付款计划表</w:t>
      </w:r>
      <w:bookmarkEnd w:id="1223"/>
      <w:bookmarkEnd w:id="1224"/>
      <w:bookmarkEnd w:id="1225"/>
    </w:p>
    <w:p w14:paraId="0EC0835F">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14.4.1 付款计划表的编制要求</w:t>
      </w:r>
    </w:p>
    <w:p w14:paraId="4181F2AB">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除专用合同条件另有约定外，付款计划表按如下要求编制：</w:t>
      </w:r>
    </w:p>
    <w:p w14:paraId="6E875F53">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（1） 付款计划表中所列的每期付款金额，应为第14.3.1项[工程进度付款申请]每期进度款的估算金额；</w:t>
      </w:r>
    </w:p>
    <w:p w14:paraId="4CE77E35">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（2） 实际进度与项目进度计划不一致的，合同当事人可按照第3.6款[商定或确定]修改付款计划表；</w:t>
      </w:r>
    </w:p>
    <w:p w14:paraId="5F08A8D8">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（3） 不采用付款计划表的，承包人应向工程师提交按季度编制的支付估算付款计划表，用于支付参考。</w:t>
      </w:r>
    </w:p>
    <w:p w14:paraId="17EAF0C6">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14.4.2 付款计划表的编制与审批</w:t>
      </w:r>
    </w:p>
    <w:p w14:paraId="27CFE57C">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（1） 除专用合同条件另有约定外，承包人应根据第8.4款[项目进度计划]约定的项目进度计划、签约合同价和工程量等因素对总价合同进行分解，确定付款期数、计划每期达到的主要形象进度和（或）完成的主要计划工程量（含设计、采购、施工、竣工试验和竣工后试验等）等目标任务，编制付款计划表。其中人工费应按月确定付款期和付款计划。承包人应当在收到工程师和发包人批准的项目进度计划后7天内，将付款计划表及编制付款计划表的支持性资料报送工程师。</w:t>
      </w:r>
    </w:p>
    <w:p w14:paraId="5033B0A2">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（2） 工程师应在收到付款计划表后7天内完成审核并报送发包人。发包人应在收到经工程师审核的付款计划表后7天内完成审批，经发包人批准的付款计划表为有约束力的付款计划表。</w:t>
      </w:r>
    </w:p>
    <w:p w14:paraId="3E790748">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（3） 发包人逾期未完成付款计划表审批的，也未及时要求承包人进行修正和提供补充资料的，则承包人提交的付款计划表视为已经获得发包人批准。</w:t>
      </w:r>
    </w:p>
    <w:p w14:paraId="7A9970C2">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226" w:name="_Toc100907438"/>
      <w:bookmarkStart w:id="1227" w:name="_Toc100907112"/>
      <w:bookmarkStart w:id="1228" w:name="_Toc5783"/>
      <w:r>
        <w:rPr>
          <w:rFonts w:hint="eastAsia" w:ascii="宋体" w:hAnsi="宋体" w:eastAsia="宋体" w:cs="宋体"/>
          <w:b w:val="0"/>
          <w:bCs/>
          <w:color w:val="000000" w:themeColor="text1"/>
          <w:sz w:val="21"/>
          <w:szCs w:val="21"/>
          <w14:textFill>
            <w14:solidFill>
              <w14:schemeClr w14:val="tx1"/>
            </w14:solidFill>
          </w14:textFill>
        </w:rPr>
        <w:t>14.5 竣工结算</w:t>
      </w:r>
      <w:bookmarkEnd w:id="1226"/>
      <w:bookmarkEnd w:id="1227"/>
      <w:bookmarkEnd w:id="1228"/>
    </w:p>
    <w:p w14:paraId="71E84B33">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14:textFill>
            <w14:solidFill>
              <w14:schemeClr w14:val="tx1"/>
            </w14:solidFill>
          </w14:textFill>
        </w:rPr>
        <w:t>14</w:t>
      </w:r>
      <w:r>
        <w:rPr>
          <w:rFonts w:hint="eastAsia" w:cs="宋体"/>
          <w:color w:val="000000" w:themeColor="text1"/>
          <w:sz w:val="21"/>
          <w:szCs w:val="21"/>
          <w14:textFill>
            <w14:solidFill>
              <w14:schemeClr w14:val="tx1"/>
            </w14:solidFill>
          </w14:textFill>
        </w:rPr>
        <w:t>.5.1 竣工结算申请</w:t>
      </w:r>
    </w:p>
    <w:p w14:paraId="44E46886">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除专用合同条件另有约定外，承包人应在工程竣工验收合格后42天内向工程师提交竣工结算申请单，并提交完整的结算资料，有关竣工结算申请单的资料清单和份数等要求由合同当事人在专用合同条件中约定。</w:t>
      </w:r>
    </w:p>
    <w:p w14:paraId="634B814C">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除专用合同条件另有约定外，竣工结算申请单应包括以下内容：</w:t>
      </w:r>
    </w:p>
    <w:p w14:paraId="147A321D">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（1） 竣工结算合同价格；</w:t>
      </w:r>
    </w:p>
    <w:p w14:paraId="57AEA8B8">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（2） 发包人已支付承包人的款项；</w:t>
      </w:r>
    </w:p>
    <w:p w14:paraId="695F2AA9">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（3） 采用第14.6.1项[承包人提供质量保证金的方式]第（2）种方式提供质量保证金的，应当列明应预留的质量保证金金额；采用第14.6.1项[承包人提供质量保证金的方式]中其他方式提供质量保证金的，应当按第14.6款[质量保证金]提供相关文件作为附件；</w:t>
      </w:r>
    </w:p>
    <w:p w14:paraId="2823A8D0">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（4） 发包人应支付承包人的合同价款。</w:t>
      </w:r>
    </w:p>
    <w:p w14:paraId="3872146F">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14.5.2 竣工结算审核</w:t>
      </w:r>
    </w:p>
    <w:p w14:paraId="46AAE985">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（1） 除专用合同条件另有约定外，工程师应在收到竣工结算申请单后14天内完成核查并报送发包人。发包人应在收到工程师提交的经审核的竣工结算申请单后14天内完成审批，并由工程师向承包人签发经发包人签认的竣工付款证书。工程师或发包人对竣工结算申请单有异议的，有权要求承包人进行修正和提供补充资料，承包人应提交修正后的竣工结算申请单。</w:t>
      </w:r>
    </w:p>
    <w:p w14:paraId="4091FAD6">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14:paraId="6C81C7D4">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（2） 除专用合同条件另有约定外，发包人应在签发竣工付款证书后的14天内，完成对承包人的竣工付款。发包人逾期支付的，按照贷款市场报价利率（LPR）支付违约金；逾期支付超过56天的，按照贷款市场报价利率（LPR）的两倍支付违约金。</w:t>
      </w:r>
    </w:p>
    <w:p w14:paraId="2ED3551D">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（3） 承包人对发包人签认的竣工付款证书有异议的，对于有异议部分应在收到发包人签认的竣工付款证书后7天内提出异议，并由合同当事人按照专用合同条件约定的方式和程序进行复核，或按照第20条[争议解决]约定处理。对于无异议部分，发包人应签发临时竣工付款证书，并按本款第（2）项完成付款。承包人逾期未提出异议的，视为认可发包人的审批结果。</w:t>
      </w:r>
    </w:p>
    <w:p w14:paraId="1141E5CE">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14.5.3 扫尾工作清单</w:t>
      </w:r>
    </w:p>
    <w:p w14:paraId="19AAC0D9">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经双方协商，部分工作在工程竣工验收后进行的，承包人应当编制扫尾工作清单，扫尾工作清单中应当列明承包人应当完成的扫尾工作的内容及完成时间。</w:t>
      </w:r>
    </w:p>
    <w:p w14:paraId="4C35BAFD">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承包人完成扫尾工作清单中的内容应取得的费用包含在第14.5.1项[竣工结算申请]及第14.5.2项[竣工结算审核]中一并结算。</w:t>
      </w:r>
    </w:p>
    <w:p w14:paraId="3CFF940B">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扫尾工作的缺陷责任期按第11条[缺陷责任与保修]处理。承包人未能按照扫尾工作清单约定的完成时间完成扫尾工作的，视为承包人原因导致的工程质量缺陷按照第11.3款[缺陷调查]处理。</w:t>
      </w:r>
    </w:p>
    <w:p w14:paraId="0F032AEC">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229" w:name="_Toc19186"/>
      <w:bookmarkStart w:id="1230" w:name="_Toc100907439"/>
      <w:bookmarkStart w:id="1231" w:name="_Toc100907113"/>
      <w:r>
        <w:rPr>
          <w:rFonts w:hint="eastAsia" w:ascii="宋体" w:hAnsi="宋体" w:eastAsia="宋体" w:cs="宋体"/>
          <w:b w:val="0"/>
          <w:bCs/>
          <w:color w:val="000000" w:themeColor="text1"/>
          <w:sz w:val="21"/>
          <w:szCs w:val="21"/>
          <w14:textFill>
            <w14:solidFill>
              <w14:schemeClr w14:val="tx1"/>
            </w14:solidFill>
          </w14:textFill>
        </w:rPr>
        <w:t>14.6 质量保证金</w:t>
      </w:r>
      <w:bookmarkEnd w:id="1229"/>
      <w:bookmarkEnd w:id="1230"/>
      <w:bookmarkEnd w:id="1231"/>
      <w:r>
        <w:rPr>
          <w:rFonts w:hint="eastAsia" w:ascii="宋体" w:hAnsi="宋体" w:eastAsia="宋体" w:cs="宋体"/>
          <w:b w:val="0"/>
          <w:bCs/>
          <w:color w:val="000000" w:themeColor="text1"/>
          <w:sz w:val="21"/>
          <w:szCs w:val="21"/>
          <w14:textFill>
            <w14:solidFill>
              <w14:schemeClr w14:val="tx1"/>
            </w14:solidFill>
          </w14:textFill>
        </w:rPr>
        <w:t xml:space="preserve"> </w:t>
      </w:r>
    </w:p>
    <w:p w14:paraId="767CC8F8">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经合同当事人协商一致提供质量保证金的，应在专用合同条件中予以明确。在工程项目竣工前，承包人已经提供履约担保的，发包人不得同时要求承包人提供质量保证金。</w:t>
      </w:r>
    </w:p>
    <w:p w14:paraId="0305324F">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14.6.1 承包人提供质量保证金的方式</w:t>
      </w:r>
    </w:p>
    <w:p w14:paraId="778B4A93">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承包人提供质量保证金有以下三种方式：</w:t>
      </w:r>
    </w:p>
    <w:p w14:paraId="5F4F438F">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（1） 提交工程质量保证担保；</w:t>
      </w:r>
    </w:p>
    <w:p w14:paraId="4964944D">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（2） 预留相应比例的工程款；</w:t>
      </w:r>
    </w:p>
    <w:p w14:paraId="693A7585">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（3） 双方约定的其他方式。</w:t>
      </w:r>
    </w:p>
    <w:p w14:paraId="7504A7B7">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除专用合同条件另有约定外，质量保证金原则上采用上述第（1）种方式，且承包人应在工程竣工验收合格后7天内，向发包人提交工程质量保证担保。承包人提交工程质量保证担保时，发包人应同时返还预留的作为质量保证金的工程价款（如有）。但不论承包人以何种方式提供质量保证金，累计金额均不得高于工程价款结算总额的3%。</w:t>
      </w:r>
    </w:p>
    <w:p w14:paraId="007C53A5">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14.6.2 质量保证金的预留</w:t>
      </w:r>
    </w:p>
    <w:p w14:paraId="4023EE16">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双方约定采用预留相应比例的工程款方式提供质量保证金的，质量保证金的预留有以下三种方式：</w:t>
      </w:r>
    </w:p>
    <w:p w14:paraId="1B4132A8">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（1） 按专用合同条件的约定在支付工程进度款时逐次预留，直至预留的质量保证金总额达到专用合同条件约定的金额或比例为止。在此情形下，质量保证金的计算基数不包括预付款的支付、扣回以及价格调整的金额；</w:t>
      </w:r>
    </w:p>
    <w:p w14:paraId="7F054661">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（2） 工程竣工结算时一次性预留质量保证金；</w:t>
      </w:r>
    </w:p>
    <w:p w14:paraId="2736957C">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（3） 双方约定的其他预留方式。</w:t>
      </w:r>
    </w:p>
    <w:p w14:paraId="1C83B88E">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除专用合同条件另有约定外，质量保证金的预留原则上采用上述第（1）种方式。如承包人在发包人签发竣工付款证书后28天内提交工程质量保证担保，发包人应同时返还预留的作为质量保证金的工程价款。发包人在返还本条款项下的质量保证金的同时，按照中国人民银行同期同类存款基准利率支付利息。</w:t>
      </w:r>
    </w:p>
    <w:p w14:paraId="083FBEF6">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14.6.3 质量保证金的返还</w:t>
      </w:r>
    </w:p>
    <w:p w14:paraId="1F31641C">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缺陷责任期内，承包人认真履行合同约定的责任，缺陷责任期满，发包人根据第11.6款[缺陷责任期终止证书]向承包人颁发缺陷责任期终止证书后，承包人可向发包人申请返还质量保证金。</w:t>
      </w:r>
    </w:p>
    <w:p w14:paraId="35DA5E0F">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发包人在接到承包人返还质量保证金申请后，应于7天内将质量保证金返还承包人，逾期未返还的，应承担违约责任。发包人在接到承包人返还质量保证金申请后7天内不予答复，视同认可承包人的返还质量保证金申请。</w:t>
      </w:r>
    </w:p>
    <w:p w14:paraId="1504642B">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发包人和承包人对质量保证金预留、返还以及工程维修质量、费用有争议的，按本合同第20条[争议解决]约定的争议和纠纷解决程序处理。</w:t>
      </w:r>
    </w:p>
    <w:p w14:paraId="77557823">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bookmarkStart w:id="1232" w:name="_Toc100907114"/>
      <w:bookmarkStart w:id="1233" w:name="_Toc100907440"/>
      <w:r>
        <w:rPr>
          <w:rFonts w:hint="eastAsia" w:cs="宋体"/>
          <w:color w:val="000000" w:themeColor="text1"/>
          <w:sz w:val="21"/>
          <w:szCs w:val="21"/>
          <w14:textFill>
            <w14:solidFill>
              <w14:schemeClr w14:val="tx1"/>
            </w14:solidFill>
          </w14:textFill>
        </w:rPr>
        <w:t>14.7 最终结清</w:t>
      </w:r>
      <w:bookmarkEnd w:id="1232"/>
      <w:bookmarkEnd w:id="1233"/>
      <w:r>
        <w:rPr>
          <w:rFonts w:hint="eastAsia" w:cs="宋体"/>
          <w:color w:val="000000" w:themeColor="text1"/>
          <w:sz w:val="21"/>
          <w:szCs w:val="21"/>
          <w14:textFill>
            <w14:solidFill>
              <w14:schemeClr w14:val="tx1"/>
            </w14:solidFill>
          </w14:textFill>
        </w:rPr>
        <w:t xml:space="preserve"> </w:t>
      </w:r>
    </w:p>
    <w:p w14:paraId="2B2A4B47">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14.7.1 最终结清申请单</w:t>
      </w:r>
    </w:p>
    <w:p w14:paraId="7908D7CC">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（1） 除专用合同条件另有约定外，承包人应在缺陷责任期终止证书颁发后7天内，按专用合同条件约定的份数向发包人提交最终结清申请单，并提供相关证明材料。</w:t>
      </w:r>
    </w:p>
    <w:p w14:paraId="1CECFE72">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除专用合同条件另有约定外，最终结清申请单应列明质量保证金、应扣除的质量保证金、缺陷责任期内发生的增减费用。</w:t>
      </w:r>
    </w:p>
    <w:p w14:paraId="55C4958F">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（2） 发包人对最终结清申请单内容有异议的，有权要求承包人进行修正和提供补充资料，承包人应向发包人提交修正后的最终结清申请单。</w:t>
      </w:r>
    </w:p>
    <w:p w14:paraId="44DE3CF1">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14.7.2 最终结清证书和支付</w:t>
      </w:r>
    </w:p>
    <w:p w14:paraId="738C2482">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（1） 除专用合同条件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1F080F29">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（2） 除专用合同条件另有约定外，发包人应在颁发最终结清证书后7天内完成支付。发包人逾期支付的，按照贷款市场报价利率（LPR）支付利息；逾期支付超过56天的，按照贷款市场报价利率（LPR）的两倍支付利息。</w:t>
      </w:r>
    </w:p>
    <w:p w14:paraId="3F1ADB41">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（3） 承包人对发包人颁发的最终结清证书有异议的，按第20条[争议解决]的约定办理。</w:t>
      </w:r>
    </w:p>
    <w:p w14:paraId="45E520A0">
      <w:pPr>
        <w:pStyle w:val="130"/>
        <w:wordWrap/>
        <w:topLinePunct w:val="0"/>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234" w:name="_Toc100907115"/>
      <w:bookmarkStart w:id="1235" w:name="_Toc19737"/>
      <w:bookmarkStart w:id="1236" w:name="_Toc100907441"/>
      <w:r>
        <w:rPr>
          <w:rFonts w:hint="eastAsia" w:ascii="宋体" w:hAnsi="宋体" w:eastAsia="宋体" w:cs="宋体"/>
          <w:b w:val="0"/>
          <w:bCs/>
          <w:color w:val="000000" w:themeColor="text1"/>
          <w:sz w:val="21"/>
          <w:szCs w:val="21"/>
          <w14:textFill>
            <w14:solidFill>
              <w14:schemeClr w14:val="tx1"/>
            </w14:solidFill>
          </w14:textFill>
        </w:rPr>
        <w:t>第15条 违约</w:t>
      </w:r>
      <w:bookmarkEnd w:id="1234"/>
      <w:bookmarkEnd w:id="1235"/>
      <w:bookmarkEnd w:id="1236"/>
    </w:p>
    <w:p w14:paraId="012298D9">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237" w:name="_Toc100907442"/>
      <w:bookmarkStart w:id="1238" w:name="_Toc9967"/>
      <w:bookmarkStart w:id="1239" w:name="_Toc100907116"/>
      <w:r>
        <w:rPr>
          <w:rFonts w:hint="eastAsia" w:ascii="宋体" w:hAnsi="宋体" w:eastAsia="宋体" w:cs="宋体"/>
          <w:b w:val="0"/>
          <w:bCs/>
          <w:color w:val="000000" w:themeColor="text1"/>
          <w:sz w:val="21"/>
          <w:szCs w:val="21"/>
          <w14:textFill>
            <w14:solidFill>
              <w14:schemeClr w14:val="tx1"/>
            </w14:solidFill>
          </w14:textFill>
        </w:rPr>
        <w:t>15.1 发包人违约</w:t>
      </w:r>
      <w:bookmarkEnd w:id="1237"/>
      <w:bookmarkEnd w:id="1238"/>
      <w:bookmarkEnd w:id="1239"/>
    </w:p>
    <w:p w14:paraId="4D04F2DC">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14:textFill>
            <w14:solidFill>
              <w14:schemeClr w14:val="tx1"/>
            </w14:solidFill>
          </w14:textFill>
        </w:rPr>
        <w:t>1</w:t>
      </w:r>
      <w:r>
        <w:rPr>
          <w:rFonts w:hint="eastAsia" w:cs="宋体"/>
          <w:color w:val="000000" w:themeColor="text1"/>
          <w:sz w:val="21"/>
          <w:szCs w:val="21"/>
          <w14:textFill>
            <w14:solidFill>
              <w14:schemeClr w14:val="tx1"/>
            </w14:solidFill>
          </w14:textFill>
        </w:rPr>
        <w:t>5.1.1 发包人违约的情形</w:t>
      </w:r>
    </w:p>
    <w:p w14:paraId="40414A02">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除专用合同条件另有约定外，在合同履行过程中发生的下列情形，属于发包人违约：</w:t>
      </w:r>
    </w:p>
    <w:p w14:paraId="027C87CB">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（1） 因发包人原因导致开始工作日期延误的； </w:t>
      </w:r>
    </w:p>
    <w:p w14:paraId="140C3E90">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（2） 因发包人原因未能按合同约定支付合同价款的；</w:t>
      </w:r>
    </w:p>
    <w:p w14:paraId="2DA613DB">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（3） 发包人违反第13.1.1项约定，自行实施被取消的工作或转由他人实施的；</w:t>
      </w:r>
    </w:p>
    <w:p w14:paraId="05128CAB">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（4） 因发包人违反合同约定造成工程暂停施工的；</w:t>
      </w:r>
    </w:p>
    <w:p w14:paraId="1BE6FC4C">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（5） 工程师无正当理由没有在约定期限内发出复工指示，导致承包人无法复工的；</w:t>
      </w:r>
    </w:p>
    <w:p w14:paraId="5FFB9E87">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（6） 发包人明确表示或者以其行为表明不履行合同主要义务的；</w:t>
      </w:r>
    </w:p>
    <w:p w14:paraId="776C8F02">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（7） 发包人未能按照合同约定履行其他义务的。</w:t>
      </w:r>
    </w:p>
    <w:p w14:paraId="7F9F7763">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15.1.2 通知改正</w:t>
      </w:r>
    </w:p>
    <w:p w14:paraId="117A273A">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发包人发生除第15.1.1项第(6)目以外的违约情况时，承包人可向发包人发出通知，要求发包人采取有效措施纠正违约行为。发包人收到承包人通知后28天内仍不纠正违约行为的，承包人有权暂停相应部位工程实施，并通知工程师。</w:t>
      </w:r>
    </w:p>
    <w:p w14:paraId="6615C723">
      <w:pPr>
        <w:pStyle w:val="105"/>
        <w:numPr>
          <w:ilvl w:val="0"/>
          <w:numId w:val="0"/>
        </w:numPr>
        <w:tabs>
          <w:tab w:val="clear" w:pos="2438"/>
        </w:tabs>
        <w:spacing w:after="12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15.1.3 发包人违约的责任</w:t>
      </w:r>
    </w:p>
    <w:p w14:paraId="0B96BA58">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发包人应承担因其违约给承包人增加的费用和（或）延误的工期，并支付承包人合理的利润。此外，合同当事人可在专用合同条件中另行约定发包人违约责任的承担方式和计算方法。</w:t>
      </w:r>
    </w:p>
    <w:p w14:paraId="1E91F692">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240" w:name="_Toc100907443"/>
      <w:bookmarkStart w:id="1241" w:name="_Toc100907117"/>
      <w:bookmarkStart w:id="1242" w:name="_Toc32441"/>
      <w:r>
        <w:rPr>
          <w:rFonts w:hint="eastAsia" w:ascii="宋体" w:hAnsi="宋体" w:eastAsia="宋体" w:cs="宋体"/>
          <w:b w:val="0"/>
          <w:bCs/>
          <w:color w:val="000000" w:themeColor="text1"/>
          <w:sz w:val="21"/>
          <w:szCs w:val="21"/>
          <w14:textFill>
            <w14:solidFill>
              <w14:schemeClr w14:val="tx1"/>
            </w14:solidFill>
          </w14:textFill>
        </w:rPr>
        <w:t>15.2 承包人违约</w:t>
      </w:r>
      <w:bookmarkEnd w:id="1240"/>
      <w:bookmarkEnd w:id="1241"/>
      <w:bookmarkEnd w:id="1242"/>
    </w:p>
    <w:p w14:paraId="6784654C">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15.2.1 承包人违约的情形</w:t>
      </w:r>
    </w:p>
    <w:p w14:paraId="2044E079">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除专用合同条件另有约定外，在履行合同过程中发生的下列情况之一的，属于承包人违约：</w:t>
      </w:r>
    </w:p>
    <w:p w14:paraId="6CDFBAA7">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（1） 承包人的原因导致的承包人文件、实施和竣工的工程不符合法律法规、工程质量验收标准以及合同约定；</w:t>
      </w:r>
    </w:p>
    <w:p w14:paraId="4AA8B715">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（2） 承包人违反合同约定进行转包或违法分包的；</w:t>
      </w:r>
    </w:p>
    <w:p w14:paraId="1CE9078A">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（3） 承包人违反约定采购和使用不合格材料或工程设备；</w:t>
      </w:r>
    </w:p>
    <w:p w14:paraId="32F4C933">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（4） 因承包人原因导致工程质量不符合合同要求的；</w:t>
      </w:r>
    </w:p>
    <w:p w14:paraId="2704B1E4">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（5） 承包人未经工程师批准，擅自将已按合同约定进入施工现场的施工设备、临时设施或材料撤离施工现场；</w:t>
      </w:r>
    </w:p>
    <w:p w14:paraId="5A78F4DE">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（6） 承包人未能按项目进度计划及时完成合同约定的工作，造成工期延误；</w:t>
      </w:r>
    </w:p>
    <w:p w14:paraId="00BCBE3F">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（7） 由于承包人原因未能通过竣工试验或竣工后试验的；</w:t>
      </w:r>
    </w:p>
    <w:p w14:paraId="1B9352F9">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（8） 承包人在缺陷责任期及保修期内，未能在合理期限对工程缺陷进行修复，或拒绝按发包人指示进行修复的；</w:t>
      </w:r>
    </w:p>
    <w:p w14:paraId="60C8D211">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（9） 承包人明确表示或者以其行为表明不履行合同主要义务的；</w:t>
      </w:r>
    </w:p>
    <w:p w14:paraId="5AD66B15">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（10） 承包人未能按照合同约定履行其他义务的。</w:t>
      </w:r>
    </w:p>
    <w:p w14:paraId="5160BA12">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15.2.2 通知改正</w:t>
      </w:r>
    </w:p>
    <w:p w14:paraId="5ACAE33A">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承包人发生除第15.2.1项第(7)目、第(9)目约定以外的其他违约情况时，工程师可在专用合同条件约定的合理期限内向承包人发出整改通知，要求其在指定的期限内改正。</w:t>
      </w:r>
    </w:p>
    <w:p w14:paraId="1C2F7853">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15.2.3 承包人违约的责任</w:t>
      </w:r>
    </w:p>
    <w:p w14:paraId="05D32B2C">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承包人应承担因其违约行为而增加的费用和（或）延误的工期。此外，合同当事人可在专用合同条件中另行约定承包人违约责任的承担方式和计算方法。</w:t>
      </w:r>
    </w:p>
    <w:p w14:paraId="19B9EF09">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243" w:name="_Toc29926"/>
      <w:bookmarkStart w:id="1244" w:name="_Toc100907118"/>
      <w:bookmarkStart w:id="1245" w:name="_Toc100907444"/>
      <w:r>
        <w:rPr>
          <w:rFonts w:hint="eastAsia" w:ascii="宋体" w:hAnsi="宋体" w:eastAsia="宋体" w:cs="宋体"/>
          <w:b w:val="0"/>
          <w:bCs/>
          <w:color w:val="000000" w:themeColor="text1"/>
          <w:sz w:val="21"/>
          <w:szCs w:val="21"/>
          <w14:textFill>
            <w14:solidFill>
              <w14:schemeClr w14:val="tx1"/>
            </w14:solidFill>
          </w14:textFill>
        </w:rPr>
        <w:t>15.3 第三人造成的违约</w:t>
      </w:r>
      <w:bookmarkEnd w:id="1243"/>
      <w:bookmarkEnd w:id="1244"/>
      <w:bookmarkEnd w:id="1245"/>
    </w:p>
    <w:p w14:paraId="69552D58">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在履行合同过程中，一方当事人因第三人的原因造成违约的，应当向对方当事人承担违约责任。一方当事人和第三人之间的纠纷，依照法律规定或者按照约定解决。</w:t>
      </w:r>
    </w:p>
    <w:p w14:paraId="296AA94A">
      <w:pPr>
        <w:pStyle w:val="130"/>
        <w:wordWrap/>
        <w:topLinePunct w:val="0"/>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246" w:name="_Toc100907445"/>
      <w:bookmarkStart w:id="1247" w:name="_Toc100907119"/>
      <w:bookmarkStart w:id="1248" w:name="_Toc20848"/>
      <w:r>
        <w:rPr>
          <w:rFonts w:hint="eastAsia" w:ascii="宋体" w:hAnsi="宋体" w:eastAsia="宋体" w:cs="宋体"/>
          <w:b w:val="0"/>
          <w:bCs/>
          <w:color w:val="000000" w:themeColor="text1"/>
          <w:sz w:val="21"/>
          <w:szCs w:val="21"/>
          <w14:textFill>
            <w14:solidFill>
              <w14:schemeClr w14:val="tx1"/>
            </w14:solidFill>
          </w14:textFill>
        </w:rPr>
        <w:t>第16条 合同解除</w:t>
      </w:r>
      <w:bookmarkEnd w:id="1246"/>
      <w:bookmarkEnd w:id="1247"/>
      <w:bookmarkEnd w:id="1248"/>
    </w:p>
    <w:p w14:paraId="508984A8">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249" w:name="_Toc6030"/>
      <w:bookmarkStart w:id="1250" w:name="_Toc100907120"/>
      <w:bookmarkStart w:id="1251" w:name="_Toc100907446"/>
      <w:r>
        <w:rPr>
          <w:rFonts w:hint="eastAsia" w:ascii="宋体" w:hAnsi="宋体" w:eastAsia="宋体" w:cs="宋体"/>
          <w:b w:val="0"/>
          <w:bCs/>
          <w:color w:val="000000" w:themeColor="text1"/>
          <w:sz w:val="21"/>
          <w:szCs w:val="21"/>
          <w14:textFill>
            <w14:solidFill>
              <w14:schemeClr w14:val="tx1"/>
            </w14:solidFill>
          </w14:textFill>
        </w:rPr>
        <w:t>16.1 由发包人解除合同</w:t>
      </w:r>
      <w:bookmarkEnd w:id="1249"/>
      <w:bookmarkEnd w:id="1250"/>
      <w:bookmarkEnd w:id="1251"/>
    </w:p>
    <w:p w14:paraId="0BB5CD2C">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16.1.1 因承包人违约解除合同</w:t>
      </w:r>
    </w:p>
    <w:p w14:paraId="07D7AE84">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除专用合同条件另有约定外，发包人有权基于下列原因，以书面形式通知承包人解除合同，解除通知中应注明是根据第16.1.1项发出的，发包人应在发出正式解除合同通知14天前告知承包人其解除合同意向，除非承包人在收到该解除合同意向通知后14天内采取了补救措施，否则发包人可向承包人发出正式解除合同通知立即解除合同。解除日期应为承包人收到正式解除合同通知的日期，但在第(5)目的情况下，发包人无须提前告知承包人其解除合同意向，可直接发出正式解除合同通知立即解除合同：</w:t>
      </w:r>
    </w:p>
    <w:p w14:paraId="0D61D176">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（1） 承包人未能遵守第4.2款[履约担保]的约定；</w:t>
      </w:r>
    </w:p>
    <w:p w14:paraId="350442CE">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（2） 承包人未能遵守第4.5款[分包]有关分包和转包的约定；</w:t>
      </w:r>
    </w:p>
    <w:p w14:paraId="3EDB33E9">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（3） 承包人实际进度明显落后于进度计划，并且未按发包人的指令采取措施并修正进度计划；</w:t>
      </w:r>
    </w:p>
    <w:p w14:paraId="65EA28A5">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（4） 工程质量有严重缺陷，承包人无正当理由使修复开始日期拖延达28天以上；</w:t>
      </w:r>
    </w:p>
    <w:p w14:paraId="3F08CCE6">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（5） 承包人破产、停业清理或进入清算程序，或情况表明承包人将进入破产和（或）清算程序，已有对其财产的接管令或管理令，与债权人达成和解，或为其债权人的利益在财产接管人、受托人或管理人的监督下营业，或采取了任何行动或发生任何事件（根据有关适用法律）具有与前述行动或事件相似的效果；</w:t>
      </w:r>
    </w:p>
    <w:p w14:paraId="706C65DB">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（6） 承包人明确表示或以自己的行为表明不履行合同、或经发包人以书面形式通知其履约后仍未能依约履行合同、或以不适当的方式履行合同；</w:t>
      </w:r>
    </w:p>
    <w:p w14:paraId="1D7E3528">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（7） 未能通过的竣工试验、未能通过的竣工后试验，使工程的任何部分和（或）整个工程丧失了主要使用功能、生产功能；</w:t>
      </w:r>
    </w:p>
    <w:p w14:paraId="536353FC">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（8） 因承包人的原因暂停工作超过56天且暂停影响到整个工程，或因承包人的原因暂停工作超过182天；</w:t>
      </w:r>
    </w:p>
    <w:p w14:paraId="7F463CAD">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（9） 承包人未能遵守第8.2款[竣工日期]规定，延误超过182天；</w:t>
      </w:r>
    </w:p>
    <w:p w14:paraId="5106980E">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（10） 工程师根据第15.2.2项[通知改正]发出整改通知后，承包人在指定的合理期限内仍不纠正违约行为并致使合同目的不能实现的。</w:t>
      </w:r>
    </w:p>
    <w:p w14:paraId="3983A235">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16.1.2 因承包人违约解除合同后承包人的义务</w:t>
      </w:r>
    </w:p>
    <w:p w14:paraId="7EF63441">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合同解除后，承包人应按以下约定执行：</w:t>
      </w:r>
    </w:p>
    <w:p w14:paraId="4CF6BDDF">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（1） 除了为保护生命、财产或工程安全、清理和必须执行的工作外，停止执行所有被通知解除的工作，并将相关人员撤离现场；</w:t>
      </w:r>
    </w:p>
    <w:p w14:paraId="17CB3816">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（2） 经发包人批准，承包人应将与被解除合同相关的和正在执行的分包合同及相关的责任和义务转让至发包人和（或）发包人指定方的名下，包括永久性工程及工程物资，以及相关工作；</w:t>
      </w:r>
    </w:p>
    <w:p w14:paraId="39778A83">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（3） 移交已完成的永久性工程及负责已运抵现场的工程物资。在移交前，妥善做好已完工程和已运抵现场的工程物资的保管、维护和保养；</w:t>
      </w:r>
    </w:p>
    <w:p w14:paraId="3CFC1244">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（4） 将发包人提供的所有信息及承包人为本工程编制的设计文件、技术资料及其它文件移交给发包人。在承包人留有的资料文件中，销毁与发包人提供的所有信息相关的数据及资料的备份；</w:t>
      </w:r>
    </w:p>
    <w:p w14:paraId="0AA89C47">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（5） 移交相应实施阶段已经付款的并已完成的和尚待完成的设计文件、图纸、资料、操作维修手册、施工组织设计、质检资料、竣工资料等；</w:t>
      </w:r>
    </w:p>
    <w:p w14:paraId="5F5B95C2">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16.1.3 因承包人违约解除合同后的估价、付款和结算</w:t>
      </w:r>
    </w:p>
    <w:p w14:paraId="0D4A4B6F">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因承包人原因导致合同解除的，则合同当事人应在合同解除后28天内完成估价、付款和清算，并按以下约定执行：</w:t>
      </w:r>
    </w:p>
    <w:p w14:paraId="602ECDE5">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（1） 合同解除后，按第3.6款[商定或确定]商定或确定承包人实际完成工作对应的合同价款，以及承包人已提供的材料、工程设备、施工设备和临时工程等的价值；</w:t>
      </w:r>
    </w:p>
    <w:p w14:paraId="664A67AE">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（2） 合同解除后，承包人应支付的违约金；</w:t>
      </w:r>
    </w:p>
    <w:p w14:paraId="69E0DDA1">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（3） 合同解除后，因解除合同给发包人造成的损失；</w:t>
      </w:r>
    </w:p>
    <w:p w14:paraId="07F2EF49">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（4） 合同解除后，承包人应按照发包人的指示完成现场的清理和撤离；</w:t>
      </w:r>
    </w:p>
    <w:p w14:paraId="0CAC8C2D">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（5） 发包人和承包人应在合同解除后进行清算，出具最终结清付款证书，结清全部款项。</w:t>
      </w:r>
    </w:p>
    <w:p w14:paraId="439F88E0">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因承包人违约解除合同的，发包人有权暂停对承包人的付款，查清各项付款和已扣款项，发包人和承包人未能就合同解除后的清算和款项支付达成一致的，按照第20条[争议解决]的约定处理。</w:t>
      </w:r>
    </w:p>
    <w:p w14:paraId="4DC4B1EC">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16.1.4 因承包人违约解除合同的合同权益转让</w:t>
      </w:r>
    </w:p>
    <w:p w14:paraId="6717D881">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合同解除后，发包人可以继续完成工程，和（或）安排第三人完成。发包人有权要求承包人将其为实施合同而订立的材料和设备的订货合同或任何服务合同利益转让给发包人，并在承包人收到解除合同通知后的14天内，依法办理转让手续。发包人和（或）第三人有权使用承包人在施工现场的材料、设备、临时工程、承包人文件和由承包人或以其名义编制的其他文件。</w:t>
      </w:r>
    </w:p>
    <w:p w14:paraId="1E35C738">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252" w:name="_Toc100907447"/>
      <w:bookmarkStart w:id="1253" w:name="_Toc10033"/>
      <w:bookmarkStart w:id="1254" w:name="_Toc100907121"/>
      <w:r>
        <w:rPr>
          <w:rFonts w:hint="eastAsia" w:ascii="宋体" w:hAnsi="宋体" w:eastAsia="宋体" w:cs="宋体"/>
          <w:b w:val="0"/>
          <w:bCs/>
          <w:color w:val="000000" w:themeColor="text1"/>
          <w:sz w:val="21"/>
          <w:szCs w:val="21"/>
          <w14:textFill>
            <w14:solidFill>
              <w14:schemeClr w14:val="tx1"/>
            </w14:solidFill>
          </w14:textFill>
        </w:rPr>
        <w:t>16.2 由承包人解除合同</w:t>
      </w:r>
      <w:bookmarkEnd w:id="1252"/>
      <w:bookmarkEnd w:id="1253"/>
      <w:bookmarkEnd w:id="1254"/>
    </w:p>
    <w:p w14:paraId="32CE796D">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16.2.1 因发包人违约解除合同</w:t>
      </w:r>
    </w:p>
    <w:p w14:paraId="0CCA9F90">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除专用合同条件另有约定外，承包人有权基于下列原因，以书面形式通知发包人解除合同，解除通知中应注明是根据第16.2.1项发出的，承包人应在发出正式解除合同通知14天前告知发包人其解除合同意向，除非发包人在收到该解除合同意向通知后14天内采取了补救措施，否则承包人可向发包人发出正式解除合同通知立即解除合同。解除日期应为发包人收到正式解除合同通知的日期，但在第(5)目的情况下，承包人无须提前告知发包人其解除合同意向，可直接发出正式解除合同通知立即解除合同：</w:t>
      </w:r>
    </w:p>
    <w:p w14:paraId="2D14C92A">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（1） 承包人就发包人未能遵守第2.5.2项关于发包人的资金安排发出通知后42天内，仍未收到合理的证明；</w:t>
      </w:r>
    </w:p>
    <w:p w14:paraId="7D6CA9BF">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（2） 在第14条规定的付款时间到期后42天内，承包人仍未收到应付款项； </w:t>
      </w:r>
    </w:p>
    <w:p w14:paraId="69C65CD9">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（3） 发包人实质上未能根据合同约定履行其义务，构成根本性违约；</w:t>
      </w:r>
    </w:p>
    <w:p w14:paraId="5A5C4DF5">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（4） 发承包双方订立本合同协议书后的84天内，承包人未收到根据第8.1款[开始工作]的开始工作通知；</w:t>
      </w:r>
    </w:p>
    <w:p w14:paraId="43DD72EC">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（5） 发包人破产、停业清理或进入清算程序，或情况表明发包人将进入破产和（或）清算程序或发包人资信严重恶化，已有对其财产的接管令或管理令，与债权人达成和解，或为其债权人的利益在财产接管人、受托人或管理人的监督下营业，或采取了任何行动或发生任何事件（根据有关适用法律）具有与前述行动或事件相似的效果；</w:t>
      </w:r>
    </w:p>
    <w:p w14:paraId="3BB2220B">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（6） 发包人未能遵守第2.5.3项的约定提交支付担保；</w:t>
      </w:r>
    </w:p>
    <w:p w14:paraId="7E6628EA">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（7） 发包人未能执行第15.1.2项[通知改正]的约定，致使合同目的不能实现的；</w:t>
      </w:r>
    </w:p>
    <w:p w14:paraId="7647AD94">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（8） 因发包人的原因暂停工作超过56天且暂停影响到整个工程，或因发包人的原因暂停工作超过182天的；</w:t>
      </w:r>
    </w:p>
    <w:p w14:paraId="2284DEAA">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（9） 因发包人原因造成开始工作日期迟于承包人收到中标通知书（或在无中标通知书的情况下，订立本合同之日）后第84天的。</w:t>
      </w:r>
    </w:p>
    <w:p w14:paraId="5BBADEC7">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发包人接到承包人解除合同意向通知后14天内，发包人随后给予了付款，或同意复工、或继续履行其义务、或提供了支付担保等，承包人应尽快安排并恢复正常工作；因此造成工期延误的，竣工日期顺延；承包人因此增加的费用，由发包人承担。</w:t>
      </w:r>
    </w:p>
    <w:p w14:paraId="2296E5AC">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16.2.2 因发包人违约解除合同后承包人的义务</w:t>
      </w:r>
    </w:p>
    <w:p w14:paraId="27857B39">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合同解除后，承包人应按以下约定执行：</w:t>
      </w:r>
    </w:p>
    <w:p w14:paraId="53511E7C">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（1） 除为保护生命、财产、工程安全的工作外，停止所有进一步的工作；承包人因执行该保护工作而产生费用的，由发包人承担；</w:t>
      </w:r>
    </w:p>
    <w:p w14:paraId="03421BAD">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（2） 向发包人移交承包人已获得支付的承包人文件、生产设备、材料和其他工作；</w:t>
      </w:r>
    </w:p>
    <w:p w14:paraId="48EB4512">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（3） 从现场运走除为了安全需要以外的所有属于承包人的其他货物，并撤离现场。</w:t>
      </w:r>
    </w:p>
    <w:p w14:paraId="65F85BA6">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16.2.3 因发包人违约解除合同后的付款</w:t>
      </w:r>
    </w:p>
    <w:p w14:paraId="62F9EFCE">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承包人按照本款约定解除合同的，发包人应在解除合同后28天内支付下列款项，并退还履约担保：</w:t>
      </w:r>
    </w:p>
    <w:p w14:paraId="4BB9626D">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（1） 合同解除前所完成工作的价款；</w:t>
      </w:r>
    </w:p>
    <w:p w14:paraId="3084ED61">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（2） 承包人为工程施工订购并已付款的材料、工程设备和其他物品的价款；发包人付款后，该材料、工程设备和其他物品归发包人所有；</w:t>
      </w:r>
    </w:p>
    <w:p w14:paraId="632E0FDE">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（3） 承包人为完成工程所发生的，而发包人未支付的金额；</w:t>
      </w:r>
    </w:p>
    <w:p w14:paraId="0A2438B7">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（4） 承包人撤离施工现场以及遣散承包人人员的款项；</w:t>
      </w:r>
    </w:p>
    <w:p w14:paraId="62139905">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（5） 按照合同约定在合同解除前应支付的违约金；</w:t>
      </w:r>
    </w:p>
    <w:p w14:paraId="0295F483">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（6） 按照合同约定应当支付给承包人的其他款项；</w:t>
      </w:r>
    </w:p>
    <w:p w14:paraId="4EC557E7">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（7） 按照合同约定应返还的质量保证金；</w:t>
      </w:r>
    </w:p>
    <w:p w14:paraId="1D172E54">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（8） 因解除合同给承包人造成的损失。</w:t>
      </w:r>
    </w:p>
    <w:p w14:paraId="516BD60D">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承包人应妥善做好已完工程和与工程有关的已购材料、工程设备的保护和移交工作，并将施工设备和人员撤出施工现场，发包人应为承包人撤出提供必要条件。</w:t>
      </w:r>
    </w:p>
    <w:p w14:paraId="589426FE">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bookmarkStart w:id="1255" w:name="_Toc100907122"/>
      <w:bookmarkStart w:id="1256" w:name="_Toc100907448"/>
      <w:r>
        <w:rPr>
          <w:rFonts w:hint="eastAsia" w:cs="宋体"/>
          <w:color w:val="000000" w:themeColor="text1"/>
          <w:sz w:val="21"/>
          <w:szCs w:val="21"/>
          <w14:textFill>
            <w14:solidFill>
              <w14:schemeClr w14:val="tx1"/>
            </w14:solidFill>
          </w14:textFill>
        </w:rPr>
        <w:t>16.3 合同解除后的事项</w:t>
      </w:r>
      <w:bookmarkEnd w:id="1255"/>
      <w:bookmarkEnd w:id="1256"/>
    </w:p>
    <w:p w14:paraId="1A7AA02B">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16.3.1 结算约定依然有效</w:t>
      </w:r>
    </w:p>
    <w:p w14:paraId="30DD01C5">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合同解除后，由发包人或由承包人解除合同的结算及结算后的付款约定仍然有效，直至解除合同的结算工作结清。</w:t>
      </w:r>
    </w:p>
    <w:p w14:paraId="732CD673">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16.3.2 解除合同的争议</w:t>
      </w:r>
    </w:p>
    <w:p w14:paraId="4D51ABEA">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双方对解除合同或解除合同后的结算有争议的，按照第20条[争议解决]的约定处理。</w:t>
      </w:r>
    </w:p>
    <w:p w14:paraId="627F4F09">
      <w:pPr>
        <w:pStyle w:val="130"/>
        <w:wordWrap/>
        <w:topLinePunct w:val="0"/>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257" w:name="_Toc12993"/>
      <w:bookmarkStart w:id="1258" w:name="_Toc100907123"/>
      <w:bookmarkStart w:id="1259" w:name="_Toc100907449"/>
      <w:r>
        <w:rPr>
          <w:rFonts w:hint="eastAsia" w:ascii="宋体" w:hAnsi="宋体" w:eastAsia="宋体" w:cs="宋体"/>
          <w:b w:val="0"/>
          <w:bCs/>
          <w:color w:val="000000" w:themeColor="text1"/>
          <w:sz w:val="21"/>
          <w:szCs w:val="21"/>
          <w14:textFill>
            <w14:solidFill>
              <w14:schemeClr w14:val="tx1"/>
            </w14:solidFill>
          </w14:textFill>
        </w:rPr>
        <w:t>第17条 不可抗力</w:t>
      </w:r>
      <w:bookmarkEnd w:id="1257"/>
      <w:bookmarkEnd w:id="1258"/>
      <w:bookmarkEnd w:id="1259"/>
    </w:p>
    <w:p w14:paraId="54F41672">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260" w:name="_Toc100907450"/>
      <w:bookmarkStart w:id="1261" w:name="_Toc32600"/>
      <w:bookmarkStart w:id="1262" w:name="_Toc100907124"/>
      <w:r>
        <w:rPr>
          <w:rFonts w:hint="eastAsia" w:ascii="宋体" w:hAnsi="宋体" w:eastAsia="宋体" w:cs="宋体"/>
          <w:b w:val="0"/>
          <w:bCs/>
          <w:color w:val="000000" w:themeColor="text1"/>
          <w:sz w:val="21"/>
          <w:szCs w:val="21"/>
          <w14:textFill>
            <w14:solidFill>
              <w14:schemeClr w14:val="tx1"/>
            </w14:solidFill>
          </w14:textFill>
        </w:rPr>
        <w:t>17.1 不可抗力的定义</w:t>
      </w:r>
      <w:bookmarkEnd w:id="1260"/>
      <w:bookmarkEnd w:id="1261"/>
      <w:bookmarkEnd w:id="1262"/>
    </w:p>
    <w:p w14:paraId="61E3CB62">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不可抗力是指合同当事人在订立合同时不可预见，在合同履行过程中不可避免、不能克服且不能提前防备的自然灾害和社会性突发事件，如地震、海啸、瘟疫、骚乱、戒严、暴动、战争和专用合同条件中约定的其他情形。</w:t>
      </w:r>
    </w:p>
    <w:p w14:paraId="15E0610E">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263" w:name="_Toc12202"/>
      <w:bookmarkStart w:id="1264" w:name="_Toc100907451"/>
      <w:bookmarkStart w:id="1265" w:name="_Toc100907125"/>
      <w:r>
        <w:rPr>
          <w:rFonts w:hint="eastAsia" w:ascii="宋体" w:hAnsi="宋体" w:eastAsia="宋体" w:cs="宋体"/>
          <w:b w:val="0"/>
          <w:bCs/>
          <w:color w:val="000000" w:themeColor="text1"/>
          <w:sz w:val="21"/>
          <w:szCs w:val="21"/>
          <w14:textFill>
            <w14:solidFill>
              <w14:schemeClr w14:val="tx1"/>
            </w14:solidFill>
          </w14:textFill>
        </w:rPr>
        <w:t>17.2 不可抗力的通知</w:t>
      </w:r>
      <w:bookmarkEnd w:id="1263"/>
      <w:bookmarkEnd w:id="1264"/>
      <w:bookmarkEnd w:id="1265"/>
      <w:r>
        <w:rPr>
          <w:rFonts w:hint="eastAsia" w:ascii="宋体" w:hAnsi="宋体" w:eastAsia="宋体" w:cs="宋体"/>
          <w:b w:val="0"/>
          <w:bCs/>
          <w:color w:val="000000" w:themeColor="text1"/>
          <w:sz w:val="21"/>
          <w:szCs w:val="21"/>
          <w14:textFill>
            <w14:solidFill>
              <w14:schemeClr w14:val="tx1"/>
            </w14:solidFill>
          </w14:textFill>
        </w:rPr>
        <w:t xml:space="preserve"> </w:t>
      </w:r>
    </w:p>
    <w:p w14:paraId="73788959">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合同一方当事人觉察或发现不可抗力事件发生，使其履行合同义务受到阻碍时，有义务立即通知合同另一方当事人和工程师，书面说明不可抗力和受阻碍的详细情况，并提供必要的证明。</w:t>
      </w:r>
    </w:p>
    <w:p w14:paraId="28F08F31">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不可抗力持续发生的，合同一方当事人应每隔28天向合同另一方当事人和工程师提交中间报告，说明不可抗力和履行合同受阻的情况，并于不可抗力事件结束后28天内提交最终报告及有关资料。</w:t>
      </w:r>
    </w:p>
    <w:p w14:paraId="32EAD19F">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266" w:name="_Toc100907452"/>
      <w:bookmarkStart w:id="1267" w:name="_Toc100907126"/>
      <w:bookmarkStart w:id="1268" w:name="_Toc28831"/>
      <w:r>
        <w:rPr>
          <w:rFonts w:hint="eastAsia" w:ascii="宋体" w:hAnsi="宋体" w:eastAsia="宋体" w:cs="宋体"/>
          <w:b w:val="0"/>
          <w:bCs/>
          <w:color w:val="000000" w:themeColor="text1"/>
          <w:sz w:val="21"/>
          <w:szCs w:val="21"/>
          <w14:textFill>
            <w14:solidFill>
              <w14:schemeClr w14:val="tx1"/>
            </w14:solidFill>
          </w14:textFill>
        </w:rPr>
        <w:t>17.3 将损失减至最小的义务</w:t>
      </w:r>
      <w:bookmarkEnd w:id="1266"/>
      <w:bookmarkEnd w:id="1267"/>
      <w:bookmarkEnd w:id="1268"/>
    </w:p>
    <w:p w14:paraId="448A6BC6">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不可抗力发生后，合同当事人均应采取措施尽量避免和减少损失的扩大，使不可抗力对履行合同造成的损失减至最小。另一方全力协助并采取措施，需暂停实施的工作，立即停止。任何一方当事人没有采取有效措施导致损失扩大的，应对扩大的损失承担责任。</w:t>
      </w:r>
    </w:p>
    <w:p w14:paraId="28EDB97E">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269" w:name="_Toc100907453"/>
      <w:bookmarkStart w:id="1270" w:name="_Toc100907127"/>
      <w:bookmarkStart w:id="1271" w:name="_Toc15219"/>
      <w:r>
        <w:rPr>
          <w:rFonts w:hint="eastAsia" w:ascii="宋体" w:hAnsi="宋体" w:eastAsia="宋体" w:cs="宋体"/>
          <w:b w:val="0"/>
          <w:bCs/>
          <w:color w:val="000000" w:themeColor="text1"/>
          <w:sz w:val="21"/>
          <w:szCs w:val="21"/>
          <w14:textFill>
            <w14:solidFill>
              <w14:schemeClr w14:val="tx1"/>
            </w14:solidFill>
          </w14:textFill>
        </w:rPr>
        <w:t>17.4 不可抗力后果的承担</w:t>
      </w:r>
      <w:bookmarkEnd w:id="1269"/>
      <w:bookmarkEnd w:id="1270"/>
      <w:bookmarkEnd w:id="1271"/>
      <w:r>
        <w:rPr>
          <w:rFonts w:hint="eastAsia" w:ascii="宋体" w:hAnsi="宋体" w:eastAsia="宋体" w:cs="宋体"/>
          <w:b w:val="0"/>
          <w:bCs/>
          <w:color w:val="000000" w:themeColor="text1"/>
          <w:sz w:val="21"/>
          <w:szCs w:val="21"/>
          <w14:textFill>
            <w14:solidFill>
              <w14:schemeClr w14:val="tx1"/>
            </w14:solidFill>
          </w14:textFill>
        </w:rPr>
        <w:t xml:space="preserve"> </w:t>
      </w:r>
    </w:p>
    <w:p w14:paraId="6DA52387">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不可抗力导致的人员伤亡、财产损失、费用增加和（或）工期延误等后果，由合同当事人按以下原则承担：</w:t>
      </w:r>
    </w:p>
    <w:p w14:paraId="4F1D8A1E">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（1） 永久工程，包括已运至施工现场的材料和工程设备的损害，以及因工程损害造成的第三人人员伤亡和财产损失由发包人承担；</w:t>
      </w:r>
    </w:p>
    <w:p w14:paraId="1B1EFDE4">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（2） 承包人提供的施工设备的损坏由承包人承担；</w:t>
      </w:r>
    </w:p>
    <w:p w14:paraId="5EF68F86">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（3） 发包人和承包人各自承担其人员伤亡及其他财产损失；</w:t>
      </w:r>
    </w:p>
    <w:p w14:paraId="14AAF8A5">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（4） 因不可抗力影响承包人履行合同约定的义务，已经引起或将引起工期延误的，应当顺延工期，由此导致承包人停工的费用损失由发包人和承包人合理分担，停工期间必须支付的现场必要的工人工资由发包人承担；</w:t>
      </w:r>
    </w:p>
    <w:p w14:paraId="1B280ADC">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（5） 因不可抗力引起或将引起工期延误，发包人指示赶工的，由此增加的赶工费用由发包人承担；</w:t>
      </w:r>
    </w:p>
    <w:p w14:paraId="3955FEC0">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（6） 承包人在停工期间按照工程师或发包人要求照管、清理和修复工程的费用由发包人承担。</w:t>
      </w:r>
    </w:p>
    <w:p w14:paraId="26187FF8">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不可抗力引起的后果及造成的损失由合同当事人按照法律规定及合同约定各自承担。不可抗力发生前已完成的工程应当按照合同约定进行支付。</w:t>
      </w:r>
    </w:p>
    <w:p w14:paraId="301A1A50">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272" w:name="_Toc26514"/>
      <w:bookmarkStart w:id="1273" w:name="_Toc100907454"/>
      <w:bookmarkStart w:id="1274" w:name="_Toc100907128"/>
      <w:r>
        <w:rPr>
          <w:rFonts w:hint="eastAsia" w:ascii="宋体" w:hAnsi="宋体" w:eastAsia="宋体" w:cs="宋体"/>
          <w:b w:val="0"/>
          <w:bCs/>
          <w:color w:val="000000" w:themeColor="text1"/>
          <w:sz w:val="21"/>
          <w:szCs w:val="21"/>
          <w14:textFill>
            <w14:solidFill>
              <w14:schemeClr w14:val="tx1"/>
            </w14:solidFill>
          </w14:textFill>
        </w:rPr>
        <w:t>17.5 不可抗力影响分包人</w:t>
      </w:r>
      <w:bookmarkEnd w:id="1272"/>
      <w:bookmarkEnd w:id="1273"/>
      <w:bookmarkEnd w:id="1274"/>
      <w:r>
        <w:rPr>
          <w:rFonts w:hint="eastAsia" w:ascii="宋体" w:hAnsi="宋体" w:eastAsia="宋体" w:cs="宋体"/>
          <w:b w:val="0"/>
          <w:bCs/>
          <w:color w:val="000000" w:themeColor="text1"/>
          <w:sz w:val="21"/>
          <w:szCs w:val="21"/>
          <w14:textFill>
            <w14:solidFill>
              <w14:schemeClr w14:val="tx1"/>
            </w14:solidFill>
          </w14:textFill>
        </w:rPr>
        <w:t xml:space="preserve"> </w:t>
      </w:r>
    </w:p>
    <w:p w14:paraId="16991649">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分包人根据分包合同的约定，有权获得更多或者更广的不可抗力而免除某些义务时，承包人不得以分包合同中不可抗力约定向发包人抗辩免除其义务。</w:t>
      </w:r>
    </w:p>
    <w:p w14:paraId="736E2837">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275" w:name="_Toc100907129"/>
      <w:bookmarkStart w:id="1276" w:name="_Toc23636"/>
      <w:bookmarkStart w:id="1277" w:name="_Toc100907455"/>
      <w:r>
        <w:rPr>
          <w:rFonts w:hint="eastAsia" w:ascii="宋体" w:hAnsi="宋体" w:eastAsia="宋体" w:cs="宋体"/>
          <w:b w:val="0"/>
          <w:bCs/>
          <w:color w:val="000000" w:themeColor="text1"/>
          <w:sz w:val="21"/>
          <w:szCs w:val="21"/>
          <w14:textFill>
            <w14:solidFill>
              <w14:schemeClr w14:val="tx1"/>
            </w14:solidFill>
          </w14:textFill>
        </w:rPr>
        <w:t>17.6 因不可抗力解除合同</w:t>
      </w:r>
      <w:bookmarkEnd w:id="1275"/>
      <w:bookmarkEnd w:id="1276"/>
      <w:bookmarkEnd w:id="1277"/>
      <w:r>
        <w:rPr>
          <w:rFonts w:hint="eastAsia" w:ascii="宋体" w:hAnsi="宋体" w:eastAsia="宋体" w:cs="宋体"/>
          <w:b w:val="0"/>
          <w:bCs/>
          <w:color w:val="000000" w:themeColor="text1"/>
          <w:sz w:val="21"/>
          <w:szCs w:val="21"/>
          <w14:textFill>
            <w14:solidFill>
              <w14:schemeClr w14:val="tx1"/>
            </w14:solidFill>
          </w14:textFill>
        </w:rPr>
        <w:t xml:space="preserve"> </w:t>
      </w:r>
    </w:p>
    <w:p w14:paraId="79A46587">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因单次不可抗力导致合同无法履行连续超过84天或累计超过140天的，发包人和承包人均有权解除合同。合同解除后，承包人应按照第10.5款[竣工退场]的规定进行。由双方当事人按照第3.6款[商定或确定]商定或确定发包人应支付的款项，该款项包括：</w:t>
      </w:r>
    </w:p>
    <w:p w14:paraId="1EF2AB65">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（1） 合同解除前承包人已完成工作的价款；</w:t>
      </w:r>
    </w:p>
    <w:p w14:paraId="35466D40">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（2） 承包人为工程订购的并已交付给承包人，或承包人有责任接受交付的材料、工程设备和其他物品的价款；当发包人支付上述费用后，此项材料、工程设备与其他物品应成为发包人的财产，承包人应将其交由发包人处理；</w:t>
      </w:r>
    </w:p>
    <w:p w14:paraId="5F91808C">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（3） 发包人指示承包人退货或解除订货合同而产生的费用，或因不能退货或解除合同而产生的损失；</w:t>
      </w:r>
    </w:p>
    <w:p w14:paraId="254139DC">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（4） 承包人撤离施工现场以及遣散承包人人员的费用；</w:t>
      </w:r>
    </w:p>
    <w:p w14:paraId="7E09DD25">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（5） 按照合同约定在合同解除前应支付给承包人的其他款项；</w:t>
      </w:r>
    </w:p>
    <w:p w14:paraId="6054BEF6">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（6） 扣减承包人按照合同约定应向发包人支付的款项；</w:t>
      </w:r>
    </w:p>
    <w:p w14:paraId="0EF13A63">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（7） 双方商定或确定的其他款项。</w:t>
      </w:r>
    </w:p>
    <w:p w14:paraId="1BAD85F0">
      <w:pPr>
        <w:pStyle w:val="105"/>
        <w:numPr>
          <w:ilvl w:val="0"/>
          <w:numId w:val="0"/>
        </w:numPr>
        <w:tabs>
          <w:tab w:val="clear" w:pos="2438"/>
        </w:tabs>
        <w:spacing w:after="120"/>
        <w:ind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除专用合同条件另有约定外，合同解除后，发包人应当在商定或确定上述款项后28天内完成上述款项的支付。</w:t>
      </w:r>
    </w:p>
    <w:p w14:paraId="677559B6">
      <w:pPr>
        <w:pStyle w:val="130"/>
        <w:wordWrap/>
        <w:topLinePunct w:val="0"/>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278" w:name="_Toc100907130"/>
      <w:bookmarkStart w:id="1279" w:name="_Toc30175"/>
      <w:bookmarkStart w:id="1280" w:name="_Toc100907456"/>
      <w:r>
        <w:rPr>
          <w:rFonts w:hint="eastAsia" w:ascii="宋体" w:hAnsi="宋体" w:eastAsia="宋体" w:cs="宋体"/>
          <w:b w:val="0"/>
          <w:bCs/>
          <w:color w:val="000000" w:themeColor="text1"/>
          <w:sz w:val="21"/>
          <w:szCs w:val="21"/>
          <w14:textFill>
            <w14:solidFill>
              <w14:schemeClr w14:val="tx1"/>
            </w14:solidFill>
          </w14:textFill>
        </w:rPr>
        <w:t>第18条 保险</w:t>
      </w:r>
      <w:bookmarkEnd w:id="1278"/>
      <w:bookmarkEnd w:id="1279"/>
      <w:bookmarkEnd w:id="1280"/>
      <w:r>
        <w:rPr>
          <w:rFonts w:hint="eastAsia" w:ascii="宋体" w:hAnsi="宋体" w:eastAsia="宋体" w:cs="宋体"/>
          <w:b w:val="0"/>
          <w:bCs/>
          <w:color w:val="000000" w:themeColor="text1"/>
          <w:sz w:val="21"/>
          <w:szCs w:val="21"/>
          <w14:textFill>
            <w14:solidFill>
              <w14:schemeClr w14:val="tx1"/>
            </w14:solidFill>
          </w14:textFill>
        </w:rPr>
        <w:t xml:space="preserve"> </w:t>
      </w:r>
    </w:p>
    <w:p w14:paraId="09FD921D">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281" w:name="_Toc100907131"/>
      <w:bookmarkStart w:id="1282" w:name="_Toc100907457"/>
      <w:bookmarkStart w:id="1283" w:name="_Toc22583"/>
      <w:r>
        <w:rPr>
          <w:rFonts w:hint="eastAsia" w:ascii="宋体" w:hAnsi="宋体" w:eastAsia="宋体" w:cs="宋体"/>
          <w:b w:val="0"/>
          <w:bCs/>
          <w:color w:val="000000" w:themeColor="text1"/>
          <w:sz w:val="21"/>
          <w:szCs w:val="21"/>
          <w14:textFill>
            <w14:solidFill>
              <w14:schemeClr w14:val="tx1"/>
            </w14:solidFill>
          </w14:textFill>
        </w:rPr>
        <w:t>18.1 设计和工程保险</w:t>
      </w:r>
      <w:bookmarkEnd w:id="1281"/>
      <w:bookmarkEnd w:id="1282"/>
      <w:bookmarkEnd w:id="1283"/>
    </w:p>
    <w:p w14:paraId="1420A929">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18.1.1 双方应按照专用合同条件的约定向双方同意的保险人投保建设工程设计责任险、建筑安装工程一切险等保险。具体的投保险种、保险范围、保险金额、保险费率、保险期限等有关内容应当在专用合同条件中明确约定。</w:t>
      </w:r>
    </w:p>
    <w:p w14:paraId="4DE7B0AD">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18.1.2 双方应按照专用合同条件的约定投保第三者责任险，并在缺陷责任期终止证书颁发前维持其持续有效。第三者责任险最低投保额应在专用合同条件内约定。</w:t>
      </w:r>
    </w:p>
    <w:p w14:paraId="62F1ABC6">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284" w:name="_Toc100907132"/>
      <w:bookmarkStart w:id="1285" w:name="_Toc8442"/>
      <w:bookmarkStart w:id="1286" w:name="_Toc100907458"/>
      <w:r>
        <w:rPr>
          <w:rFonts w:hint="eastAsia" w:ascii="宋体" w:hAnsi="宋体" w:eastAsia="宋体" w:cs="宋体"/>
          <w:b w:val="0"/>
          <w:bCs/>
          <w:color w:val="000000" w:themeColor="text1"/>
          <w:sz w:val="21"/>
          <w:szCs w:val="21"/>
          <w14:textFill>
            <w14:solidFill>
              <w14:schemeClr w14:val="tx1"/>
            </w14:solidFill>
          </w14:textFill>
        </w:rPr>
        <w:t>18.2 工伤和意外伤害保险</w:t>
      </w:r>
      <w:bookmarkEnd w:id="1284"/>
      <w:bookmarkEnd w:id="1285"/>
      <w:bookmarkEnd w:id="1286"/>
    </w:p>
    <w:p w14:paraId="53552711">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18.2.1 发包人应依照法律规定为其在施工现场的雇用人员办理工伤保险，缴纳工伤保险费；并要求工程师及由发包人为履行合同聘请的第三方在施工现场的雇用人员依法办理工伤保险。</w:t>
      </w:r>
    </w:p>
    <w:p w14:paraId="2DED52CD">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18.2.2 承包人应依照法律规定为其履行合同雇用的全部人员办理工伤保险，缴纳工伤保险费，并要求分包人及由承包人为履行合同聘请的第三方雇用的全部人员依法办理工伤保险。</w:t>
      </w:r>
    </w:p>
    <w:p w14:paraId="0C0989A1">
      <w:pPr>
        <w:pStyle w:val="114"/>
        <w:numPr>
          <w:ilvl w:val="0"/>
          <w:numId w:val="0"/>
        </w:numPr>
        <w:spacing w:after="12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18.2.3 发包人和承包人可以为其施工现场的全部人员办理意外伤害保险并支付保险费，包括其员工及为履行合同聘请的第三方的人员，具体事项由合同当事人在专用合同条件约定。</w:t>
      </w:r>
    </w:p>
    <w:p w14:paraId="03B7FA22">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287" w:name="_Toc100907133"/>
      <w:bookmarkStart w:id="1288" w:name="_Toc16707"/>
      <w:bookmarkStart w:id="1289" w:name="_Toc100907459"/>
      <w:r>
        <w:rPr>
          <w:rFonts w:hint="eastAsia" w:ascii="宋体" w:hAnsi="宋体" w:eastAsia="宋体" w:cs="宋体"/>
          <w:b w:val="0"/>
          <w:bCs/>
          <w:color w:val="000000" w:themeColor="text1"/>
          <w:sz w:val="21"/>
          <w:szCs w:val="21"/>
          <w14:textFill>
            <w14:solidFill>
              <w14:schemeClr w14:val="tx1"/>
            </w14:solidFill>
          </w14:textFill>
        </w:rPr>
        <w:t>18.3 货物保险</w:t>
      </w:r>
      <w:bookmarkEnd w:id="1287"/>
      <w:bookmarkEnd w:id="1288"/>
      <w:bookmarkEnd w:id="1289"/>
    </w:p>
    <w:p w14:paraId="64D89FBE">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承包人应按照专用合同条件的约定为运抵现场的施工设备、材料、工程设备和临时工程等办理财产保险，保险期限自上述货物运抵现场至其不再为工程所需要为止。</w:t>
      </w:r>
    </w:p>
    <w:p w14:paraId="7CEB59A9">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290" w:name="_Toc100907460"/>
      <w:bookmarkStart w:id="1291" w:name="_Toc100907134"/>
      <w:bookmarkStart w:id="1292" w:name="_Toc21214"/>
      <w:r>
        <w:rPr>
          <w:rFonts w:hint="eastAsia" w:ascii="宋体" w:hAnsi="宋体" w:eastAsia="宋体" w:cs="宋体"/>
          <w:b w:val="0"/>
          <w:bCs/>
          <w:color w:val="000000" w:themeColor="text1"/>
          <w:sz w:val="21"/>
          <w:szCs w:val="21"/>
          <w14:textFill>
            <w14:solidFill>
              <w14:schemeClr w14:val="tx1"/>
            </w14:solidFill>
          </w14:textFill>
        </w:rPr>
        <w:t>18.4 其他保险</w:t>
      </w:r>
      <w:bookmarkEnd w:id="1290"/>
      <w:bookmarkEnd w:id="1291"/>
      <w:bookmarkEnd w:id="1292"/>
    </w:p>
    <w:p w14:paraId="2F095159">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发包人应按照工程总承包模式所适用的法律法规和专用合同条件约定，投保其他保险并保持保险有效，其投保费用发包人自行承担。承包人应按照工程总承包模式所适用法律法规和专用合同条件约定投保相应保险并保持保险有效，其投保费用包含在合同价格中，但在合同执行过程中，新颁布适用的法律法规规定由承包人投保的强制保险，应根据本合同第13条[变更与调整]的约定增加合同价款。</w:t>
      </w:r>
    </w:p>
    <w:p w14:paraId="33A063F9">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293" w:name="_Toc100907461"/>
      <w:bookmarkStart w:id="1294" w:name="_Toc24599"/>
      <w:bookmarkStart w:id="1295" w:name="_Toc100907135"/>
      <w:r>
        <w:rPr>
          <w:rFonts w:hint="eastAsia" w:ascii="宋体" w:hAnsi="宋体" w:eastAsia="宋体" w:cs="宋体"/>
          <w:b w:val="0"/>
          <w:bCs/>
          <w:color w:val="000000" w:themeColor="text1"/>
          <w:sz w:val="21"/>
          <w:szCs w:val="21"/>
          <w14:textFill>
            <w14:solidFill>
              <w14:schemeClr w14:val="tx1"/>
            </w14:solidFill>
          </w14:textFill>
        </w:rPr>
        <w:t>18.5 对各项保险的一般要求</w:t>
      </w:r>
      <w:bookmarkEnd w:id="1293"/>
      <w:bookmarkEnd w:id="1294"/>
      <w:bookmarkEnd w:id="1295"/>
    </w:p>
    <w:p w14:paraId="11FA2A19">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18.5.1 持续保险</w:t>
      </w:r>
    </w:p>
    <w:p w14:paraId="47EE9625">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合同当事人应与保险人保持联系，使保险人能够随时了解工程实施中的变动，并确保按保险合同条款要求持续保险。</w:t>
      </w:r>
    </w:p>
    <w:p w14:paraId="62B3837D">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18.5.2 保险凭证</w:t>
      </w:r>
    </w:p>
    <w:p w14:paraId="44B2139F">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合同当事人应及时向另一方当事人提交其已投保的各项保险的凭证和保险单复印件，保险单必须与专用合同条件约定的条件保持一致。</w:t>
      </w:r>
    </w:p>
    <w:p w14:paraId="2F5AC5A8">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18.5.3 未按约定投保的补救</w:t>
      </w:r>
    </w:p>
    <w:p w14:paraId="3D2728A5">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负有投保义务的一方当事人未按合同约定办理保险，或未能使保险持续有效的，则另一方当事人可代为办理，所需费用由负有投保义务的一方当事人承担。</w:t>
      </w:r>
    </w:p>
    <w:p w14:paraId="36510B21">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负有投保义务的一方当事人未按合同约定办理某项保险，导致受益人未能得到足额赔偿的，由负有投保义务的一方当事人负责按照原应从该项保险得到的保险金数额进行补足。</w:t>
      </w:r>
    </w:p>
    <w:p w14:paraId="7ADD4250">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18.5.4 通知义务</w:t>
      </w:r>
    </w:p>
    <w:p w14:paraId="1F578C15">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除专用合同条件另有约定外，任何一方当事人变更除工伤保险之外的保险合同时，应事先征得另一方当事人同意，并通知工程师。</w:t>
      </w:r>
    </w:p>
    <w:p w14:paraId="1996F582">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保险事故发生时，投保人应按照保险合同规定的条件和期限及时向保险人报告。发包人和承包人应当在知道保险事故发生后及时通知对方。</w:t>
      </w:r>
    </w:p>
    <w:p w14:paraId="025B7805">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双方按本条规定投保不减少双方在合同下的其他义务。</w:t>
      </w:r>
    </w:p>
    <w:p w14:paraId="717EE1BF">
      <w:pPr>
        <w:pStyle w:val="130"/>
        <w:wordWrap/>
        <w:topLinePunct w:val="0"/>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296" w:name="_Toc26112"/>
      <w:bookmarkStart w:id="1297" w:name="_Toc100907462"/>
      <w:bookmarkStart w:id="1298" w:name="_Toc100907136"/>
      <w:r>
        <w:rPr>
          <w:rFonts w:hint="eastAsia" w:ascii="宋体" w:hAnsi="宋体" w:eastAsia="宋体" w:cs="宋体"/>
          <w:b w:val="0"/>
          <w:bCs/>
          <w:color w:val="000000" w:themeColor="text1"/>
          <w:sz w:val="21"/>
          <w:szCs w:val="21"/>
          <w14:textFill>
            <w14:solidFill>
              <w14:schemeClr w14:val="tx1"/>
            </w14:solidFill>
          </w14:textFill>
        </w:rPr>
        <w:t>第19条 索赔</w:t>
      </w:r>
      <w:bookmarkEnd w:id="1296"/>
      <w:bookmarkEnd w:id="1297"/>
      <w:bookmarkEnd w:id="1298"/>
      <w:r>
        <w:rPr>
          <w:rFonts w:hint="eastAsia" w:ascii="宋体" w:hAnsi="宋体" w:eastAsia="宋体" w:cs="宋体"/>
          <w:b w:val="0"/>
          <w:bCs/>
          <w:color w:val="000000" w:themeColor="text1"/>
          <w:sz w:val="21"/>
          <w:szCs w:val="21"/>
          <w14:textFill>
            <w14:solidFill>
              <w14:schemeClr w14:val="tx1"/>
            </w14:solidFill>
          </w14:textFill>
        </w:rPr>
        <w:t xml:space="preserve"> </w:t>
      </w:r>
    </w:p>
    <w:p w14:paraId="484D091B">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299" w:name="_Toc100907463"/>
      <w:bookmarkStart w:id="1300" w:name="_Toc12407"/>
      <w:bookmarkStart w:id="1301" w:name="_Toc100907137"/>
      <w:r>
        <w:rPr>
          <w:rFonts w:hint="eastAsia" w:ascii="宋体" w:hAnsi="宋体" w:eastAsia="宋体" w:cs="宋体"/>
          <w:b w:val="0"/>
          <w:bCs/>
          <w:color w:val="000000" w:themeColor="text1"/>
          <w:sz w:val="21"/>
          <w:szCs w:val="21"/>
          <w14:textFill>
            <w14:solidFill>
              <w14:schemeClr w14:val="tx1"/>
            </w14:solidFill>
          </w14:textFill>
        </w:rPr>
        <w:t>19.1 索赔的提出</w:t>
      </w:r>
      <w:bookmarkEnd w:id="1299"/>
      <w:bookmarkEnd w:id="1300"/>
      <w:bookmarkEnd w:id="1301"/>
    </w:p>
    <w:p w14:paraId="5787AB22">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根据合同约定，任意一方认为有权得到追加/减少付款、延长缺陷责任期和（或）延长工期的，应按以下程序向对方提出索赔：</w:t>
      </w:r>
    </w:p>
    <w:p w14:paraId="5F75E4EE">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 索赔方应在知道或应当知道索赔事件发生后28天内，向对方递交索赔意向通知书，并说明发生索赔事件的事由；索赔方未在前述28天内发出索赔意向通知书的，丧失要求追加/减少付款、延长缺陷责任期和（或）延长工期的权利；</w:t>
      </w:r>
    </w:p>
    <w:p w14:paraId="42AF7854">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（2） 索赔方应在发出索赔意向通知书后28天内，向对方正式递交索赔报告；索赔报告应详细说明索赔理由以及要求追加的付款金额、延长缺陷责任期和（或）延长的工期，并附必要的记录和证明材料；</w:t>
      </w:r>
    </w:p>
    <w:p w14:paraId="1FF533A1">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（3） 索赔事件具有持续影响的，索赔方应每月递交延续索赔通知，说明持续影响的实际情况和记录，列出累计的追加付款金额、延长缺陷责任期和（或）工期延长天数；</w:t>
      </w:r>
    </w:p>
    <w:p w14:paraId="24CCB49E">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（4） 在索赔事件影响结束后28天内，索赔方应向对方递交最终索赔报告，说明最终要求索赔的追加付款金额、延长缺陷责任期和（或）延长的工期，并附必要的记录和证明材料。</w:t>
      </w:r>
    </w:p>
    <w:p w14:paraId="295F6182">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（5） 承包人作为索赔方时，其索赔意向通知书、索赔报告及相关索赔文件应向工程师提出；发包人作为索赔方时，其索赔意向通知书、索赔报告及相关索赔文件可自行向承包人提出或由工程师向承包人提出。</w:t>
      </w:r>
    </w:p>
    <w:p w14:paraId="686FD203">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302" w:name="_Toc100907464"/>
      <w:bookmarkStart w:id="1303" w:name="_Toc19884"/>
      <w:bookmarkStart w:id="1304" w:name="_Toc100907138"/>
      <w:r>
        <w:rPr>
          <w:rFonts w:hint="eastAsia" w:ascii="宋体" w:hAnsi="宋体" w:eastAsia="宋体" w:cs="宋体"/>
          <w:b w:val="0"/>
          <w:bCs/>
          <w:color w:val="000000" w:themeColor="text1"/>
          <w:sz w:val="21"/>
          <w:szCs w:val="21"/>
          <w14:textFill>
            <w14:solidFill>
              <w14:schemeClr w14:val="tx1"/>
            </w14:solidFill>
          </w14:textFill>
        </w:rPr>
        <w:t>19.2 承包人索赔的处理程序</w:t>
      </w:r>
      <w:bookmarkEnd w:id="1302"/>
      <w:bookmarkEnd w:id="1303"/>
      <w:bookmarkEnd w:id="1304"/>
    </w:p>
    <w:p w14:paraId="3F133EFB">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 工程师收到承包人提交的索赔报告后，应及时审查索赔报告的内容、查验承包人的记录和证明材料，必要时工程师可要求承包人提交全部原始记录副本。</w:t>
      </w:r>
    </w:p>
    <w:p w14:paraId="15690DD6">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（2） 工程师应按第3.6款[商定或确定]商定或确定追加的付款和（或）延长的工期，并在收到上述索赔报告或有关索赔的进一步证明材料后及时书面告知发包人，并在42天内，将发包人书面认可的索赔处理结果答复承包人。工程师在收到索赔报告或有关索赔的进一步证明材料后的42天内不予答复的，视为认可索赔。</w:t>
      </w:r>
    </w:p>
    <w:p w14:paraId="3474C159">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（3） 承包人接受索赔处理结果的，发包人应在作出索赔处理结果答复后28天内完成支付。承包人不接受索赔处理结果的，按照第20条[争议解决]约定处理。</w:t>
      </w:r>
    </w:p>
    <w:p w14:paraId="5B151333">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305" w:name="_Toc100907139"/>
      <w:bookmarkStart w:id="1306" w:name="_Toc3250"/>
      <w:bookmarkStart w:id="1307" w:name="_Toc100907465"/>
      <w:r>
        <w:rPr>
          <w:rFonts w:hint="eastAsia" w:ascii="宋体" w:hAnsi="宋体" w:eastAsia="宋体" w:cs="宋体"/>
          <w:b w:val="0"/>
          <w:bCs/>
          <w:color w:val="000000" w:themeColor="text1"/>
          <w:sz w:val="21"/>
          <w:szCs w:val="21"/>
          <w14:textFill>
            <w14:solidFill>
              <w14:schemeClr w14:val="tx1"/>
            </w14:solidFill>
          </w14:textFill>
        </w:rPr>
        <w:t>19.3 发包人索赔的处理程序</w:t>
      </w:r>
      <w:bookmarkEnd w:id="1305"/>
      <w:bookmarkEnd w:id="1306"/>
      <w:bookmarkEnd w:id="1307"/>
    </w:p>
    <w:p w14:paraId="35606AE4">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 承包人收到发包人提交的索赔报告后，应及时审查索赔报告的内容、查验发包人证明材料；</w:t>
      </w:r>
    </w:p>
    <w:p w14:paraId="65FDAE9D">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（2） 承包人应在收到上述索赔报告或有关索赔的进一步证明材料后42天内，将索赔处理结果答复发包人。承包人在收到索赔通知书或有关索赔的进一步证明材料后的42天内不予答复的，视为认可索赔。</w:t>
      </w:r>
    </w:p>
    <w:p w14:paraId="309D76C8">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（3） 发包人接受索赔处理结果的，发包人可从应支付给承包人的合同价款中扣除赔付的金额或延长缺陷责任期；发包人不接受索赔处理结果的，按第20条[争议解决]约定处理。</w:t>
      </w:r>
    </w:p>
    <w:p w14:paraId="7DF9023B">
      <w:pPr>
        <w:pStyle w:val="114"/>
        <w:numPr>
          <w:ilvl w:val="0"/>
          <w:numId w:val="0"/>
        </w:numPr>
        <w:spacing w:after="120"/>
        <w:rPr>
          <w:rFonts w:hint="eastAsia" w:cs="宋体"/>
          <w:b/>
          <w:color w:val="000000" w:themeColor="text1"/>
          <w:sz w:val="21"/>
          <w14:textFill>
            <w14:solidFill>
              <w14:schemeClr w14:val="tx1"/>
            </w14:solidFill>
          </w14:textFill>
        </w:rPr>
      </w:pPr>
      <w:bookmarkStart w:id="1308" w:name="_Toc100907140"/>
      <w:bookmarkStart w:id="1309" w:name="_Toc100907466"/>
      <w:r>
        <w:rPr>
          <w:rFonts w:hint="eastAsia" w:cs="宋体"/>
          <w:b/>
          <w:color w:val="000000" w:themeColor="text1"/>
          <w:sz w:val="21"/>
          <w14:textFill>
            <w14:solidFill>
              <w14:schemeClr w14:val="tx1"/>
            </w14:solidFill>
          </w14:textFill>
        </w:rPr>
        <w:t>19.4 提出索赔的期限</w:t>
      </w:r>
      <w:bookmarkEnd w:id="1308"/>
      <w:bookmarkEnd w:id="1309"/>
    </w:p>
    <w:p w14:paraId="02EC8E3E">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 承包人按第14.5款[竣工结算]约定接收竣工付款证书后，应被认为已无权再提出在合同工程接收证书颁发前所发生的任何索赔。</w:t>
      </w:r>
    </w:p>
    <w:p w14:paraId="7C80D367">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（2） 承包人按第14.7款[最终结清]提交的最终结清申请单中，只限于提出工程接收证书颁发后发生的索赔。提出索赔的期限均自接受最终结清证书时终止。</w:t>
      </w:r>
    </w:p>
    <w:p w14:paraId="1FC1924A">
      <w:pPr>
        <w:pStyle w:val="130"/>
        <w:wordWrap/>
        <w:topLinePunct w:val="0"/>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310" w:name="_Toc9820"/>
      <w:bookmarkStart w:id="1311" w:name="_Toc100907141"/>
      <w:bookmarkStart w:id="1312" w:name="_Toc100907467"/>
      <w:r>
        <w:rPr>
          <w:rFonts w:hint="eastAsia" w:ascii="宋体" w:hAnsi="宋体" w:eastAsia="宋体" w:cs="宋体"/>
          <w:b w:val="0"/>
          <w:bCs/>
          <w:color w:val="000000" w:themeColor="text1"/>
          <w:sz w:val="21"/>
          <w:szCs w:val="21"/>
          <w14:textFill>
            <w14:solidFill>
              <w14:schemeClr w14:val="tx1"/>
            </w14:solidFill>
          </w14:textFill>
        </w:rPr>
        <w:t>第20条 争议解决</w:t>
      </w:r>
      <w:bookmarkEnd w:id="1310"/>
      <w:bookmarkEnd w:id="1311"/>
      <w:bookmarkEnd w:id="1312"/>
      <w:r>
        <w:rPr>
          <w:rFonts w:hint="eastAsia" w:ascii="宋体" w:hAnsi="宋体" w:eastAsia="宋体" w:cs="宋体"/>
          <w:b w:val="0"/>
          <w:bCs/>
          <w:color w:val="000000" w:themeColor="text1"/>
          <w:sz w:val="21"/>
          <w:szCs w:val="21"/>
          <w14:textFill>
            <w14:solidFill>
              <w14:schemeClr w14:val="tx1"/>
            </w14:solidFill>
          </w14:textFill>
        </w:rPr>
        <w:t xml:space="preserve"> </w:t>
      </w:r>
    </w:p>
    <w:p w14:paraId="47A4A6BC">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313" w:name="_Toc100907468"/>
      <w:bookmarkStart w:id="1314" w:name="_Toc17691"/>
      <w:bookmarkStart w:id="1315" w:name="_Toc100907142"/>
      <w:r>
        <w:rPr>
          <w:rFonts w:hint="eastAsia" w:ascii="宋体" w:hAnsi="宋体" w:eastAsia="宋体" w:cs="宋体"/>
          <w:b w:val="0"/>
          <w:bCs/>
          <w:color w:val="000000" w:themeColor="text1"/>
          <w:sz w:val="21"/>
          <w:szCs w:val="21"/>
          <w14:textFill>
            <w14:solidFill>
              <w14:schemeClr w14:val="tx1"/>
            </w14:solidFill>
          </w14:textFill>
        </w:rPr>
        <w:t>20.1 和解</w:t>
      </w:r>
      <w:bookmarkEnd w:id="1313"/>
      <w:bookmarkEnd w:id="1314"/>
      <w:bookmarkEnd w:id="1315"/>
    </w:p>
    <w:p w14:paraId="75190AA4">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合同当事人可以就争议自行和解，自行和解达成协议的经双方签字并盖章后作为合同补充文件，双方均应遵照执行。</w:t>
      </w:r>
    </w:p>
    <w:p w14:paraId="01008E6D">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316" w:name="_Toc5587"/>
      <w:bookmarkStart w:id="1317" w:name="_Toc100907469"/>
      <w:bookmarkStart w:id="1318" w:name="_Toc100907143"/>
      <w:r>
        <w:rPr>
          <w:rFonts w:hint="eastAsia" w:ascii="宋体" w:hAnsi="宋体" w:eastAsia="宋体" w:cs="宋体"/>
          <w:b w:val="0"/>
          <w:bCs/>
          <w:color w:val="000000" w:themeColor="text1"/>
          <w:sz w:val="21"/>
          <w:szCs w:val="21"/>
          <w14:textFill>
            <w14:solidFill>
              <w14:schemeClr w14:val="tx1"/>
            </w14:solidFill>
          </w14:textFill>
        </w:rPr>
        <w:t>20.2 调解</w:t>
      </w:r>
      <w:bookmarkEnd w:id="1316"/>
      <w:bookmarkEnd w:id="1317"/>
      <w:bookmarkEnd w:id="1318"/>
      <w:r>
        <w:rPr>
          <w:rFonts w:hint="eastAsia" w:ascii="宋体" w:hAnsi="宋体" w:eastAsia="宋体" w:cs="宋体"/>
          <w:b w:val="0"/>
          <w:bCs/>
          <w:color w:val="000000" w:themeColor="text1"/>
          <w:sz w:val="21"/>
          <w:szCs w:val="21"/>
          <w14:textFill>
            <w14:solidFill>
              <w14:schemeClr w14:val="tx1"/>
            </w14:solidFill>
          </w14:textFill>
        </w:rPr>
        <w:t xml:space="preserve"> </w:t>
      </w:r>
    </w:p>
    <w:p w14:paraId="15CE614A">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合同当事人可以就争议请求建设行政主管部门、行业协会或其他第三方进行调解，调解达成协议的，经双方签字盖章后作为合同补充文件，双方均应遵照执行。</w:t>
      </w:r>
    </w:p>
    <w:p w14:paraId="233F3B42">
      <w:pPr>
        <w:pStyle w:val="119"/>
        <w:widowControl/>
        <w:spacing w:after="120"/>
        <w:ind w:left="0" w:firstLine="0"/>
        <w:rPr>
          <w:rFonts w:hint="eastAsia" w:ascii="宋体" w:hAnsi="宋体" w:eastAsia="宋体" w:cs="宋体"/>
          <w:b w:val="0"/>
          <w:bCs/>
          <w:color w:val="000000" w:themeColor="text1"/>
          <w:sz w:val="21"/>
          <w:szCs w:val="21"/>
          <w14:textFill>
            <w14:solidFill>
              <w14:schemeClr w14:val="tx1"/>
            </w14:solidFill>
          </w14:textFill>
        </w:rPr>
      </w:pPr>
      <w:bookmarkStart w:id="1319" w:name="_Toc3133"/>
      <w:bookmarkStart w:id="1320" w:name="_Toc100907470"/>
      <w:bookmarkStart w:id="1321" w:name="_Toc100907144"/>
      <w:r>
        <w:rPr>
          <w:rFonts w:hint="eastAsia" w:ascii="宋体" w:hAnsi="宋体" w:eastAsia="宋体" w:cs="宋体"/>
          <w:b w:val="0"/>
          <w:bCs/>
          <w:color w:val="000000" w:themeColor="text1"/>
          <w:sz w:val="21"/>
          <w:szCs w:val="21"/>
          <w14:textFill>
            <w14:solidFill>
              <w14:schemeClr w14:val="tx1"/>
            </w14:solidFill>
          </w14:textFill>
        </w:rPr>
        <w:t>20.3 争议评审</w:t>
      </w:r>
      <w:bookmarkEnd w:id="1319"/>
      <w:bookmarkEnd w:id="1320"/>
      <w:bookmarkEnd w:id="1321"/>
    </w:p>
    <w:p w14:paraId="234D0840">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合同当事人在专用合同条件中约定采取争议评审方式及评审规则解决争议的，按下列约定执行：</w:t>
      </w:r>
    </w:p>
    <w:p w14:paraId="77329C4A">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20.3.1 争议评审小组的确定</w:t>
      </w:r>
    </w:p>
    <w:p w14:paraId="06BD96C9">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合同当事人可以共同选择一名或三名争议评审员，组成争议评审小组。如专用合同条件未对成员人数进行约定，则应由三名成员组成。除专用合同条件另有约定外，合同当事人应当自合同订立后28天内，或者争议发生后14天内，选定争议评审员。</w:t>
      </w:r>
    </w:p>
    <w:p w14:paraId="4284C55A">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选择一名争议评审员的，由合同当事人共同确定；选择三名争议评审员的，各自选定一名，第三名成员由合同当事人共同确定或由合同当事人委托已选定的争议评审员共同确定，为首席争议评审员。争议评审员为一人且合同当事人未能达成一致的，或争议评审员为三人且合同当事人就首席争议评审员未能达成一致的，由专用合同条件约定的评审机构指定。</w:t>
      </w:r>
    </w:p>
    <w:p w14:paraId="4518629F">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除专用合同条件另有约定外，争议评审员报酬由发包人和承包人各承担一半。</w:t>
      </w:r>
    </w:p>
    <w:p w14:paraId="3F78074F">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20.3.2 争议的避免</w:t>
      </w:r>
    </w:p>
    <w:p w14:paraId="053E6F32">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合同当事人协商一致，可以共同书面请求争议评审小组，就合同履行过程中可能出现争议的情况提供协助或进行非正式讨论，争议评审小组应给出公正的意见或建议。</w:t>
      </w:r>
    </w:p>
    <w:p w14:paraId="1C081ABE">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此类协助或非正式讨论可在任何会议、施工现场视察或其他场合进行，并且除专用合同条件另有约定外，发包人和承包人均应出席。</w:t>
      </w:r>
    </w:p>
    <w:p w14:paraId="3E2F4CFF">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争议评审小组在此类非正式讨论上给出的任何意见或建议，无论是口头还是书面的，对发包人和承包人不具有约束力，争议评审小组在之后的争议评审程序或决定中也不受此类意见或建议的约束。</w:t>
      </w:r>
    </w:p>
    <w:p w14:paraId="32BBC390">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20.3.3 争议评审小组的决定</w:t>
      </w:r>
    </w:p>
    <w:p w14:paraId="59501E1C">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或争议评审小组建议并经双方同意的其他期限内作出书面决定，并说明理由。合同当事人可以在专用合同条件中对本项事项另行约定。</w:t>
      </w:r>
    </w:p>
    <w:p w14:paraId="5091EB87">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20.3.4 争议评审小组决定的效力</w:t>
      </w:r>
    </w:p>
    <w:p w14:paraId="5A4F5DE2">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争议评审小组作出的书面决定经合同当事人签字确认后，对双方具有约束力，双方应遵照执行。</w:t>
      </w:r>
    </w:p>
    <w:p w14:paraId="5E93C657">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任何一方当事人不接受争议评审小组决定或不履行争议评审小组决定的，双方可选择采用其他争议解决方式。</w:t>
      </w:r>
    </w:p>
    <w:p w14:paraId="3B375A96">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任何一方当事人不接受争议评审小组的决定，并不影响暂时执行争议评审小组的决定，直到在后续的采用其他争议解决方式中对争议评审小组的决定进行了改变。</w:t>
      </w:r>
    </w:p>
    <w:p w14:paraId="0EB20B8C">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bookmarkStart w:id="1322" w:name="_Toc100907471"/>
      <w:bookmarkStart w:id="1323" w:name="_Toc100907145"/>
      <w:r>
        <w:rPr>
          <w:rFonts w:hint="eastAsia" w:cs="宋体"/>
          <w:color w:val="000000" w:themeColor="text1"/>
          <w:sz w:val="21"/>
          <w14:textFill>
            <w14:solidFill>
              <w14:schemeClr w14:val="tx1"/>
            </w14:solidFill>
          </w14:textFill>
        </w:rPr>
        <w:t>20.4 仲裁或诉讼</w:t>
      </w:r>
      <w:bookmarkEnd w:id="1322"/>
      <w:bookmarkEnd w:id="1323"/>
    </w:p>
    <w:p w14:paraId="58BABC3E">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因合同及合同有关事项产生的争议，合同当事人可以在专用合同条件中约定以下一种方式解决争议：</w:t>
      </w:r>
    </w:p>
    <w:p w14:paraId="4024439D">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（1） 向约定的仲裁委员会申请仲裁；</w:t>
      </w:r>
    </w:p>
    <w:p w14:paraId="0DBD5150">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（2） 向有管辖权的人民法院起诉。</w:t>
      </w:r>
    </w:p>
    <w:p w14:paraId="12B2DFCA">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bookmarkStart w:id="1324" w:name="_Toc100907146"/>
      <w:bookmarkStart w:id="1325" w:name="_Toc100907472"/>
      <w:r>
        <w:rPr>
          <w:rFonts w:hint="eastAsia" w:cs="宋体"/>
          <w:color w:val="000000" w:themeColor="text1"/>
          <w:sz w:val="21"/>
          <w14:textFill>
            <w14:solidFill>
              <w14:schemeClr w14:val="tx1"/>
            </w14:solidFill>
          </w14:textFill>
        </w:rPr>
        <w:t>20.5 争议解决条款效力</w:t>
      </w:r>
      <w:bookmarkEnd w:id="1324"/>
      <w:bookmarkEnd w:id="1325"/>
    </w:p>
    <w:p w14:paraId="328D0205">
      <w:pPr>
        <w:pStyle w:val="114"/>
        <w:numPr>
          <w:ilvl w:val="0"/>
          <w:numId w:val="0"/>
        </w:numPr>
        <w:spacing w:after="120"/>
        <w:ind w:firstLine="420" w:firstLineChars="200"/>
        <w:rPr>
          <w:rFonts w:hint="eastAsia" w:cs="宋体"/>
          <w:color w:val="000000" w:themeColor="text1"/>
          <w:sz w:val="21"/>
          <w14:textFill>
            <w14:solidFill>
              <w14:schemeClr w14:val="tx1"/>
            </w14:solidFill>
          </w14:textFill>
        </w:rPr>
      </w:pPr>
      <w:r>
        <w:rPr>
          <w:rFonts w:hint="eastAsia" w:cs="宋体"/>
          <w:color w:val="000000" w:themeColor="text1"/>
          <w:sz w:val="21"/>
          <w14:textFill>
            <w14:solidFill>
              <w14:schemeClr w14:val="tx1"/>
            </w14:solidFill>
          </w14:textFill>
        </w:rPr>
        <w:t>合同有关争议解决的条款独立存在，合同的不生效、无效、被撤销或者终止的，不影响合同中有关争议解决条款的效力。</w:t>
      </w:r>
    </w:p>
    <w:p w14:paraId="23C2AE33">
      <w:pPr>
        <w:pStyle w:val="2"/>
        <w:jc w:val="center"/>
        <w:rPr>
          <w:rFonts w:hint="eastAsia" w:ascii="宋体" w:hAnsi="宋体" w:cs="宋体"/>
          <w:color w:val="000000"/>
        </w:rPr>
      </w:pPr>
      <w:r>
        <w:rPr>
          <w:rFonts w:hint="eastAsia" w:ascii="宋体" w:hAnsi="宋体" w:cs="宋体"/>
          <w:color w:val="000000"/>
        </w:rPr>
        <w:t>第三部分 专用合同条件</w:t>
      </w:r>
    </w:p>
    <w:p w14:paraId="257D7478">
      <w:pPr>
        <w:pStyle w:val="122"/>
        <w:spacing w:after="120"/>
        <w:rPr>
          <w:rFonts w:hint="eastAsia" w:cs="宋体"/>
          <w:b w:val="0"/>
          <w:bCs/>
          <w:color w:val="000000"/>
          <w:sz w:val="21"/>
          <w:szCs w:val="21"/>
        </w:rPr>
      </w:pPr>
      <w:r>
        <w:rPr>
          <w:rFonts w:hint="eastAsia" w:cs="宋体"/>
          <w:b w:val="0"/>
          <w:bCs/>
          <w:color w:val="000000"/>
          <w:sz w:val="21"/>
          <w:szCs w:val="21"/>
        </w:rPr>
        <w:t>第1条一般约定</w:t>
      </w:r>
    </w:p>
    <w:p w14:paraId="35935A67">
      <w:pPr>
        <w:pStyle w:val="122"/>
        <w:spacing w:after="120"/>
        <w:rPr>
          <w:rFonts w:hint="eastAsia" w:cs="宋体"/>
          <w:b w:val="0"/>
          <w:bCs/>
          <w:color w:val="000000"/>
          <w:sz w:val="21"/>
          <w:szCs w:val="21"/>
        </w:rPr>
      </w:pPr>
      <w:r>
        <w:rPr>
          <w:rFonts w:hint="eastAsia" w:cs="宋体"/>
          <w:b w:val="0"/>
          <w:bCs/>
          <w:color w:val="000000"/>
          <w:sz w:val="21"/>
          <w:szCs w:val="21"/>
        </w:rPr>
        <w:t>1.1词语定义和解释</w:t>
      </w:r>
    </w:p>
    <w:p w14:paraId="6E68B810">
      <w:pPr>
        <w:pStyle w:val="122"/>
        <w:spacing w:after="120"/>
        <w:rPr>
          <w:rFonts w:hint="eastAsia" w:cs="宋体"/>
          <w:b w:val="0"/>
          <w:bCs/>
          <w:color w:val="000000"/>
          <w:sz w:val="21"/>
          <w:szCs w:val="21"/>
        </w:rPr>
      </w:pPr>
      <w:r>
        <w:rPr>
          <w:rFonts w:hint="eastAsia" w:cs="宋体"/>
          <w:b w:val="0"/>
          <w:bCs/>
          <w:color w:val="000000"/>
          <w:sz w:val="21"/>
          <w:szCs w:val="21"/>
        </w:rPr>
        <w:t>1.1.1合同</w:t>
      </w:r>
    </w:p>
    <w:p w14:paraId="16BFEB79">
      <w:pPr>
        <w:pStyle w:val="122"/>
        <w:spacing w:after="120"/>
        <w:rPr>
          <w:rFonts w:hint="eastAsia" w:cs="宋体"/>
          <w:b w:val="0"/>
          <w:bCs/>
          <w:color w:val="000000"/>
          <w:sz w:val="21"/>
          <w:szCs w:val="21"/>
        </w:rPr>
      </w:pPr>
      <w:r>
        <w:rPr>
          <w:rFonts w:hint="eastAsia" w:cs="宋体"/>
          <w:b w:val="0"/>
          <w:bCs/>
          <w:color w:val="000000"/>
          <w:sz w:val="21"/>
          <w:szCs w:val="21"/>
        </w:rPr>
        <w:t>1.1.1.10其他合同文件：。</w:t>
      </w:r>
    </w:p>
    <w:p w14:paraId="2B642587">
      <w:pPr>
        <w:pStyle w:val="122"/>
        <w:spacing w:after="120"/>
        <w:rPr>
          <w:rFonts w:hint="eastAsia" w:cs="宋体"/>
          <w:b w:val="0"/>
          <w:bCs/>
          <w:color w:val="000000"/>
          <w:sz w:val="21"/>
          <w:szCs w:val="21"/>
        </w:rPr>
      </w:pPr>
      <w:r>
        <w:rPr>
          <w:rFonts w:hint="eastAsia" w:cs="宋体"/>
          <w:b w:val="0"/>
          <w:bCs/>
          <w:color w:val="000000"/>
          <w:sz w:val="21"/>
          <w:szCs w:val="21"/>
        </w:rPr>
        <w:t>1.1.3工程和设备</w:t>
      </w:r>
    </w:p>
    <w:p w14:paraId="0969CE48">
      <w:pPr>
        <w:pStyle w:val="122"/>
        <w:spacing w:after="120"/>
        <w:rPr>
          <w:rFonts w:hint="eastAsia" w:cs="宋体"/>
          <w:b w:val="0"/>
          <w:bCs/>
          <w:color w:val="000000"/>
          <w:sz w:val="21"/>
          <w:szCs w:val="21"/>
        </w:rPr>
      </w:pPr>
      <w:r>
        <w:rPr>
          <w:rFonts w:hint="eastAsia" w:cs="宋体"/>
          <w:b w:val="0"/>
          <w:bCs/>
          <w:color w:val="000000"/>
          <w:sz w:val="21"/>
          <w:szCs w:val="21"/>
        </w:rPr>
        <w:t>1.1.3.5单位/区段工程的范围：。</w:t>
      </w:r>
    </w:p>
    <w:p w14:paraId="5FA12504">
      <w:pPr>
        <w:pStyle w:val="122"/>
        <w:spacing w:after="120"/>
        <w:rPr>
          <w:rFonts w:hint="eastAsia" w:cs="宋体"/>
          <w:b w:val="0"/>
          <w:bCs/>
          <w:color w:val="000000"/>
          <w:sz w:val="21"/>
          <w:szCs w:val="21"/>
        </w:rPr>
      </w:pPr>
      <w:r>
        <w:rPr>
          <w:rFonts w:hint="eastAsia" w:cs="宋体"/>
          <w:b w:val="0"/>
          <w:bCs/>
          <w:color w:val="000000"/>
          <w:sz w:val="21"/>
          <w:szCs w:val="21"/>
        </w:rPr>
        <w:t>1.1.3.9作为施工场所组成部分的其他场所包括：。</w:t>
      </w:r>
    </w:p>
    <w:p w14:paraId="480F8EAA">
      <w:pPr>
        <w:pStyle w:val="122"/>
        <w:spacing w:after="120"/>
        <w:rPr>
          <w:rFonts w:hint="eastAsia" w:cs="宋体"/>
          <w:b w:val="0"/>
          <w:bCs/>
          <w:color w:val="000000"/>
          <w:sz w:val="21"/>
          <w:szCs w:val="21"/>
        </w:rPr>
      </w:pPr>
      <w:r>
        <w:rPr>
          <w:rFonts w:hint="eastAsia" w:cs="宋体"/>
          <w:b w:val="0"/>
          <w:bCs/>
          <w:color w:val="000000"/>
          <w:sz w:val="21"/>
          <w:szCs w:val="21"/>
        </w:rPr>
        <w:t>1.1.3.10永久占地包括：。</w:t>
      </w:r>
    </w:p>
    <w:p w14:paraId="40D373B2">
      <w:pPr>
        <w:pStyle w:val="122"/>
        <w:spacing w:after="120"/>
        <w:rPr>
          <w:rFonts w:hint="eastAsia" w:cs="宋体"/>
          <w:b w:val="0"/>
          <w:bCs/>
          <w:color w:val="000000"/>
          <w:sz w:val="21"/>
          <w:szCs w:val="21"/>
        </w:rPr>
      </w:pPr>
      <w:r>
        <w:rPr>
          <w:rFonts w:hint="eastAsia" w:cs="宋体"/>
          <w:b w:val="0"/>
          <w:bCs/>
          <w:color w:val="000000"/>
          <w:sz w:val="21"/>
          <w:szCs w:val="21"/>
        </w:rPr>
        <w:t>1.1.3.11临时占地包括：。</w:t>
      </w:r>
    </w:p>
    <w:p w14:paraId="2E339C17">
      <w:pPr>
        <w:pStyle w:val="122"/>
        <w:spacing w:after="120"/>
        <w:rPr>
          <w:rFonts w:hint="eastAsia" w:cs="宋体"/>
          <w:b w:val="0"/>
          <w:bCs/>
          <w:color w:val="000000"/>
          <w:sz w:val="21"/>
          <w:szCs w:val="21"/>
        </w:rPr>
      </w:pPr>
      <w:r>
        <w:rPr>
          <w:rFonts w:hint="eastAsia" w:cs="宋体"/>
          <w:b w:val="0"/>
          <w:bCs/>
          <w:color w:val="000000"/>
          <w:sz w:val="21"/>
          <w:szCs w:val="21"/>
        </w:rPr>
        <w:t>1.2语言文字</w:t>
      </w:r>
    </w:p>
    <w:p w14:paraId="49D75859">
      <w:pPr>
        <w:pStyle w:val="122"/>
        <w:spacing w:after="120"/>
        <w:rPr>
          <w:rFonts w:hint="eastAsia" w:cs="宋体"/>
          <w:b w:val="0"/>
          <w:bCs/>
          <w:color w:val="000000"/>
          <w:sz w:val="21"/>
          <w:szCs w:val="21"/>
        </w:rPr>
      </w:pPr>
      <w:r>
        <w:rPr>
          <w:rFonts w:hint="eastAsia" w:cs="宋体"/>
          <w:b w:val="0"/>
          <w:bCs/>
          <w:color w:val="000000"/>
          <w:sz w:val="21"/>
          <w:szCs w:val="21"/>
        </w:rPr>
        <w:t>本合同除使用汉语外，还使用/语言。</w:t>
      </w:r>
    </w:p>
    <w:p w14:paraId="34E041C1">
      <w:pPr>
        <w:pStyle w:val="122"/>
        <w:spacing w:after="120"/>
        <w:rPr>
          <w:rFonts w:hint="eastAsia" w:cs="宋体"/>
          <w:b w:val="0"/>
          <w:bCs/>
          <w:color w:val="000000"/>
          <w:sz w:val="21"/>
          <w:szCs w:val="21"/>
        </w:rPr>
      </w:pPr>
      <w:r>
        <w:rPr>
          <w:rFonts w:hint="eastAsia" w:cs="宋体"/>
          <w:b w:val="0"/>
          <w:bCs/>
          <w:color w:val="000000"/>
          <w:sz w:val="21"/>
          <w:szCs w:val="21"/>
        </w:rPr>
        <w:t>1.3法律</w:t>
      </w:r>
    </w:p>
    <w:p w14:paraId="70D44AB6">
      <w:pPr>
        <w:pStyle w:val="122"/>
        <w:spacing w:after="120"/>
        <w:rPr>
          <w:rFonts w:hint="eastAsia" w:cs="宋体"/>
          <w:b w:val="0"/>
          <w:bCs/>
          <w:color w:val="000000"/>
          <w:sz w:val="21"/>
          <w:szCs w:val="21"/>
        </w:rPr>
      </w:pPr>
      <w:r>
        <w:rPr>
          <w:rFonts w:hint="eastAsia" w:cs="宋体"/>
          <w:b w:val="0"/>
          <w:bCs/>
          <w:color w:val="000000"/>
          <w:sz w:val="21"/>
          <w:szCs w:val="21"/>
        </w:rPr>
        <w:t>适用于合同的其他规范性文件：按现行相关法律法规执行。</w:t>
      </w:r>
    </w:p>
    <w:p w14:paraId="12826DC1">
      <w:pPr>
        <w:pStyle w:val="122"/>
        <w:spacing w:after="120"/>
        <w:rPr>
          <w:rFonts w:hint="eastAsia" w:cs="宋体"/>
          <w:b w:val="0"/>
          <w:bCs/>
          <w:color w:val="000000"/>
          <w:sz w:val="21"/>
          <w:szCs w:val="21"/>
        </w:rPr>
      </w:pPr>
      <w:r>
        <w:rPr>
          <w:rFonts w:hint="eastAsia" w:cs="宋体"/>
          <w:b w:val="0"/>
          <w:bCs/>
          <w:color w:val="000000"/>
          <w:sz w:val="21"/>
          <w:szCs w:val="21"/>
        </w:rPr>
        <w:t>1.4标准和规范</w:t>
      </w:r>
    </w:p>
    <w:p w14:paraId="1A6666F5">
      <w:pPr>
        <w:pStyle w:val="122"/>
        <w:spacing w:after="120"/>
        <w:rPr>
          <w:rFonts w:hint="eastAsia" w:cs="宋体"/>
          <w:b w:val="0"/>
          <w:bCs/>
          <w:color w:val="000000"/>
          <w:sz w:val="21"/>
          <w:szCs w:val="21"/>
        </w:rPr>
      </w:pPr>
      <w:r>
        <w:rPr>
          <w:rFonts w:hint="eastAsia" w:cs="宋体"/>
          <w:b w:val="0"/>
          <w:bCs/>
          <w:color w:val="000000"/>
          <w:sz w:val="21"/>
          <w:szCs w:val="21"/>
        </w:rPr>
        <w:t>1.4.1适用于本合同的标准、规范（名称）包括：。</w:t>
      </w:r>
    </w:p>
    <w:p w14:paraId="26765F36">
      <w:pPr>
        <w:pStyle w:val="122"/>
        <w:spacing w:after="120"/>
        <w:rPr>
          <w:rFonts w:hint="eastAsia" w:cs="宋体"/>
          <w:b w:val="0"/>
          <w:bCs/>
          <w:color w:val="000000"/>
          <w:sz w:val="21"/>
          <w:szCs w:val="21"/>
        </w:rPr>
      </w:pPr>
      <w:r>
        <w:rPr>
          <w:rFonts w:hint="eastAsia" w:cs="宋体"/>
          <w:b w:val="0"/>
          <w:bCs/>
          <w:color w:val="000000"/>
          <w:sz w:val="21"/>
          <w:szCs w:val="21"/>
        </w:rPr>
        <w:t>1.4.2发包人提供的国外标准、规范的名称：/；发包人提供的国外标准、规范的份数：/；发包人提供的国外标准、规范的时间：/。</w:t>
      </w:r>
    </w:p>
    <w:p w14:paraId="2434CBE9">
      <w:pPr>
        <w:pStyle w:val="122"/>
        <w:spacing w:after="120"/>
        <w:rPr>
          <w:rFonts w:hint="eastAsia" w:cs="宋体"/>
          <w:b w:val="0"/>
          <w:bCs/>
          <w:color w:val="000000"/>
          <w:sz w:val="21"/>
          <w:szCs w:val="21"/>
        </w:rPr>
      </w:pPr>
      <w:r>
        <w:rPr>
          <w:rFonts w:hint="eastAsia" w:cs="宋体"/>
          <w:b w:val="0"/>
          <w:bCs/>
          <w:color w:val="000000"/>
          <w:sz w:val="21"/>
          <w:szCs w:val="21"/>
        </w:rPr>
        <w:t>1.4.3没有成文规范、标准规定的约定：/。</w:t>
      </w:r>
    </w:p>
    <w:p w14:paraId="3CD07E39">
      <w:pPr>
        <w:pStyle w:val="122"/>
        <w:spacing w:after="120"/>
        <w:rPr>
          <w:rFonts w:hint="eastAsia" w:cs="宋体"/>
          <w:b w:val="0"/>
          <w:bCs/>
          <w:color w:val="000000"/>
          <w:sz w:val="21"/>
          <w:szCs w:val="21"/>
        </w:rPr>
      </w:pPr>
      <w:r>
        <w:rPr>
          <w:rFonts w:hint="eastAsia" w:cs="宋体"/>
          <w:b w:val="0"/>
          <w:bCs/>
          <w:color w:val="000000"/>
          <w:sz w:val="21"/>
          <w:szCs w:val="21"/>
        </w:rPr>
        <w:t>1.4.4发包人对于工程的技术标准、功能要求：。</w:t>
      </w:r>
    </w:p>
    <w:p w14:paraId="6D90492C">
      <w:pPr>
        <w:pStyle w:val="122"/>
        <w:spacing w:after="120"/>
        <w:rPr>
          <w:rFonts w:hint="eastAsia" w:cs="宋体"/>
          <w:b w:val="0"/>
          <w:bCs/>
          <w:color w:val="000000"/>
          <w:sz w:val="21"/>
          <w:szCs w:val="21"/>
        </w:rPr>
      </w:pPr>
      <w:r>
        <w:rPr>
          <w:rFonts w:hint="eastAsia" w:cs="宋体"/>
          <w:b w:val="0"/>
          <w:bCs/>
          <w:color w:val="000000"/>
          <w:sz w:val="21"/>
          <w:szCs w:val="21"/>
        </w:rPr>
        <w:t>1.5合同文件的优先顺序</w:t>
      </w:r>
    </w:p>
    <w:p w14:paraId="28512C19">
      <w:pPr>
        <w:pStyle w:val="122"/>
        <w:spacing w:after="120"/>
        <w:rPr>
          <w:rFonts w:hint="eastAsia" w:cs="宋体"/>
          <w:b w:val="0"/>
          <w:bCs/>
          <w:color w:val="000000"/>
          <w:sz w:val="21"/>
          <w:szCs w:val="21"/>
        </w:rPr>
      </w:pPr>
      <w:r>
        <w:rPr>
          <w:rFonts w:hint="eastAsia" w:cs="宋体"/>
          <w:b w:val="0"/>
          <w:bCs/>
          <w:color w:val="000000"/>
          <w:sz w:val="21"/>
          <w:szCs w:val="21"/>
        </w:rPr>
        <w:t>合同文件组成及优先顺序为：。</w:t>
      </w:r>
    </w:p>
    <w:p w14:paraId="19250F85">
      <w:pPr>
        <w:pStyle w:val="122"/>
        <w:spacing w:after="120"/>
        <w:rPr>
          <w:rFonts w:hint="eastAsia" w:cs="宋体"/>
          <w:b w:val="0"/>
          <w:bCs/>
          <w:color w:val="000000"/>
          <w:sz w:val="21"/>
          <w:szCs w:val="21"/>
        </w:rPr>
      </w:pPr>
      <w:r>
        <w:rPr>
          <w:rFonts w:hint="eastAsia" w:cs="宋体"/>
          <w:b w:val="0"/>
          <w:bCs/>
          <w:color w:val="000000"/>
          <w:sz w:val="21"/>
          <w:szCs w:val="21"/>
        </w:rPr>
        <w:t>1.6文件的提供和照管</w:t>
      </w:r>
    </w:p>
    <w:p w14:paraId="33862B8B">
      <w:pPr>
        <w:pStyle w:val="122"/>
        <w:spacing w:after="120"/>
        <w:rPr>
          <w:rFonts w:hint="eastAsia" w:cs="宋体"/>
          <w:b w:val="0"/>
          <w:bCs/>
          <w:color w:val="000000"/>
          <w:sz w:val="21"/>
          <w:szCs w:val="21"/>
        </w:rPr>
      </w:pPr>
      <w:r>
        <w:rPr>
          <w:rFonts w:hint="eastAsia" w:cs="宋体"/>
          <w:b w:val="0"/>
          <w:bCs/>
          <w:color w:val="000000"/>
          <w:sz w:val="21"/>
          <w:szCs w:val="21"/>
        </w:rPr>
        <w:t>1.6.1发包人文件的提供</w:t>
      </w:r>
    </w:p>
    <w:p w14:paraId="619ABF00">
      <w:pPr>
        <w:pStyle w:val="122"/>
        <w:spacing w:after="120"/>
        <w:rPr>
          <w:rFonts w:hint="eastAsia" w:cs="宋体"/>
          <w:b w:val="0"/>
          <w:bCs/>
          <w:color w:val="000000"/>
          <w:sz w:val="21"/>
          <w:szCs w:val="21"/>
        </w:rPr>
      </w:pPr>
      <w:r>
        <w:rPr>
          <w:rFonts w:hint="eastAsia" w:cs="宋体"/>
          <w:b w:val="0"/>
          <w:bCs/>
          <w:color w:val="000000"/>
          <w:sz w:val="21"/>
          <w:szCs w:val="21"/>
        </w:rPr>
        <w:t>发包人文件的提供期限、名称、数量和形式：。</w:t>
      </w:r>
    </w:p>
    <w:p w14:paraId="293F3637">
      <w:pPr>
        <w:pStyle w:val="122"/>
        <w:spacing w:after="120"/>
        <w:rPr>
          <w:rFonts w:hint="eastAsia" w:cs="宋体"/>
          <w:b w:val="0"/>
          <w:bCs/>
          <w:color w:val="000000"/>
          <w:sz w:val="21"/>
          <w:szCs w:val="21"/>
        </w:rPr>
      </w:pPr>
      <w:r>
        <w:rPr>
          <w:rFonts w:hint="eastAsia" w:cs="宋体"/>
          <w:b w:val="0"/>
          <w:bCs/>
          <w:color w:val="000000"/>
          <w:sz w:val="21"/>
          <w:szCs w:val="21"/>
        </w:rPr>
        <w:t>1.6.2承包人文件的提供</w:t>
      </w:r>
    </w:p>
    <w:p w14:paraId="4DAB9634">
      <w:pPr>
        <w:pStyle w:val="122"/>
        <w:spacing w:after="120"/>
        <w:rPr>
          <w:rFonts w:hint="eastAsia" w:cs="宋体"/>
          <w:b w:val="0"/>
          <w:bCs/>
          <w:color w:val="000000"/>
          <w:sz w:val="21"/>
          <w:szCs w:val="21"/>
        </w:rPr>
      </w:pPr>
      <w:r>
        <w:rPr>
          <w:rFonts w:hint="eastAsia" w:cs="宋体"/>
          <w:b w:val="0"/>
          <w:bCs/>
          <w:color w:val="000000"/>
          <w:sz w:val="21"/>
          <w:szCs w:val="21"/>
        </w:rPr>
        <w:t>承包人文件的内容、提供期限、名称、数量和形式：。</w:t>
      </w:r>
    </w:p>
    <w:p w14:paraId="0497D9FD">
      <w:pPr>
        <w:pStyle w:val="122"/>
        <w:spacing w:after="120"/>
        <w:rPr>
          <w:rFonts w:hint="eastAsia" w:cs="宋体"/>
          <w:b w:val="0"/>
          <w:bCs/>
          <w:color w:val="000000"/>
          <w:sz w:val="21"/>
          <w:szCs w:val="21"/>
        </w:rPr>
      </w:pPr>
      <w:r>
        <w:rPr>
          <w:rFonts w:hint="eastAsia" w:cs="宋体"/>
          <w:b w:val="0"/>
          <w:bCs/>
          <w:color w:val="000000"/>
          <w:sz w:val="21"/>
          <w:szCs w:val="21"/>
        </w:rPr>
        <w:t>1.6.4文件的照管</w:t>
      </w:r>
    </w:p>
    <w:p w14:paraId="44FE8250">
      <w:pPr>
        <w:pStyle w:val="122"/>
        <w:spacing w:after="120"/>
        <w:rPr>
          <w:rFonts w:hint="eastAsia" w:cs="宋体"/>
          <w:b w:val="0"/>
          <w:bCs/>
          <w:color w:val="000000"/>
          <w:sz w:val="21"/>
          <w:szCs w:val="21"/>
        </w:rPr>
      </w:pPr>
      <w:r>
        <w:rPr>
          <w:rFonts w:hint="eastAsia" w:cs="宋体"/>
          <w:b w:val="0"/>
          <w:bCs/>
          <w:color w:val="000000"/>
          <w:sz w:val="21"/>
          <w:szCs w:val="21"/>
        </w:rPr>
        <w:t>关于现场文件准备的约定：。</w:t>
      </w:r>
    </w:p>
    <w:p w14:paraId="472299B9">
      <w:pPr>
        <w:pStyle w:val="122"/>
        <w:spacing w:after="120"/>
        <w:rPr>
          <w:rFonts w:hint="eastAsia" w:cs="宋体"/>
          <w:b w:val="0"/>
          <w:bCs/>
          <w:color w:val="000000"/>
          <w:sz w:val="21"/>
          <w:szCs w:val="21"/>
        </w:rPr>
      </w:pPr>
      <w:r>
        <w:rPr>
          <w:rFonts w:hint="eastAsia" w:cs="宋体"/>
          <w:b w:val="0"/>
          <w:bCs/>
          <w:color w:val="000000"/>
          <w:sz w:val="21"/>
          <w:szCs w:val="21"/>
        </w:rPr>
        <w:t>1.7联络</w:t>
      </w:r>
    </w:p>
    <w:p w14:paraId="2CFD07B6">
      <w:pPr>
        <w:pStyle w:val="122"/>
        <w:spacing w:after="120"/>
        <w:rPr>
          <w:rFonts w:hint="eastAsia" w:cs="宋体"/>
          <w:b w:val="0"/>
          <w:bCs/>
          <w:color w:val="000000"/>
          <w:sz w:val="21"/>
          <w:szCs w:val="21"/>
        </w:rPr>
      </w:pPr>
      <w:r>
        <w:rPr>
          <w:rFonts w:hint="eastAsia" w:cs="宋体"/>
          <w:b w:val="0"/>
          <w:bCs/>
          <w:color w:val="000000"/>
          <w:sz w:val="21"/>
          <w:szCs w:val="21"/>
        </w:rPr>
        <w:t>1.7.2发包人指定的送达方式（包括电子传输方式）：。</w:t>
      </w:r>
    </w:p>
    <w:p w14:paraId="1432F190">
      <w:pPr>
        <w:pStyle w:val="122"/>
        <w:spacing w:after="120"/>
        <w:rPr>
          <w:rFonts w:hint="eastAsia" w:cs="宋体"/>
          <w:b w:val="0"/>
          <w:bCs/>
          <w:color w:val="000000"/>
          <w:sz w:val="21"/>
          <w:szCs w:val="21"/>
        </w:rPr>
      </w:pPr>
      <w:r>
        <w:rPr>
          <w:rFonts w:hint="eastAsia" w:cs="宋体"/>
          <w:b w:val="0"/>
          <w:bCs/>
          <w:color w:val="000000"/>
          <w:sz w:val="21"/>
          <w:szCs w:val="21"/>
        </w:rPr>
        <w:t>发包人的送达地址：。</w:t>
      </w:r>
    </w:p>
    <w:p w14:paraId="656AED90">
      <w:pPr>
        <w:pStyle w:val="122"/>
        <w:spacing w:after="120"/>
        <w:rPr>
          <w:rFonts w:hint="eastAsia" w:cs="宋体"/>
          <w:b w:val="0"/>
          <w:bCs/>
          <w:color w:val="000000"/>
          <w:sz w:val="21"/>
          <w:szCs w:val="21"/>
        </w:rPr>
      </w:pPr>
      <w:r>
        <w:rPr>
          <w:rFonts w:hint="eastAsia" w:cs="宋体"/>
          <w:b w:val="0"/>
          <w:bCs/>
          <w:color w:val="000000"/>
          <w:sz w:val="21"/>
          <w:szCs w:val="21"/>
        </w:rPr>
        <w:t>承包人指定的送达方式（包括电子传输方式）：。</w:t>
      </w:r>
    </w:p>
    <w:p w14:paraId="1591B595">
      <w:pPr>
        <w:pStyle w:val="122"/>
        <w:spacing w:after="120"/>
        <w:rPr>
          <w:rFonts w:hint="eastAsia" w:cs="宋体"/>
          <w:b w:val="0"/>
          <w:bCs/>
          <w:color w:val="000000"/>
          <w:sz w:val="21"/>
          <w:szCs w:val="21"/>
        </w:rPr>
      </w:pPr>
      <w:r>
        <w:rPr>
          <w:rFonts w:hint="eastAsia" w:cs="宋体"/>
          <w:b w:val="0"/>
          <w:bCs/>
          <w:color w:val="000000"/>
          <w:sz w:val="21"/>
          <w:szCs w:val="21"/>
        </w:rPr>
        <w:t>承包人的送达地址：。</w:t>
      </w:r>
    </w:p>
    <w:p w14:paraId="65D51EEB">
      <w:pPr>
        <w:pStyle w:val="122"/>
        <w:spacing w:after="120"/>
        <w:rPr>
          <w:rFonts w:hint="eastAsia" w:cs="宋体"/>
          <w:b w:val="0"/>
          <w:bCs/>
          <w:color w:val="000000"/>
          <w:sz w:val="21"/>
          <w:szCs w:val="21"/>
        </w:rPr>
      </w:pPr>
      <w:r>
        <w:rPr>
          <w:rFonts w:hint="eastAsia" w:cs="宋体"/>
          <w:b w:val="0"/>
          <w:bCs/>
          <w:color w:val="000000"/>
          <w:sz w:val="21"/>
          <w:szCs w:val="21"/>
        </w:rPr>
        <w:t>1.10知识产权</w:t>
      </w:r>
    </w:p>
    <w:p w14:paraId="54581573">
      <w:pPr>
        <w:pStyle w:val="122"/>
        <w:spacing w:after="120"/>
        <w:rPr>
          <w:rFonts w:hint="eastAsia" w:cs="宋体"/>
          <w:b w:val="0"/>
          <w:bCs/>
          <w:color w:val="000000"/>
          <w:sz w:val="21"/>
          <w:szCs w:val="21"/>
        </w:rPr>
      </w:pPr>
      <w:r>
        <w:rPr>
          <w:rFonts w:hint="eastAsia" w:cs="宋体"/>
          <w:b w:val="0"/>
          <w:bCs/>
          <w:color w:val="000000"/>
          <w:sz w:val="21"/>
          <w:szCs w:val="21"/>
        </w:rPr>
        <w:t>1.10.1由发包人（或以发包人名义）编制的《发包人要求》和其他文件的著作权归属：。</w:t>
      </w:r>
    </w:p>
    <w:p w14:paraId="445DD215">
      <w:pPr>
        <w:pStyle w:val="122"/>
        <w:spacing w:after="120"/>
        <w:rPr>
          <w:rFonts w:hint="eastAsia" w:cs="宋体"/>
          <w:b w:val="0"/>
          <w:bCs/>
          <w:color w:val="000000"/>
          <w:sz w:val="21"/>
          <w:szCs w:val="21"/>
        </w:rPr>
      </w:pPr>
      <w:r>
        <w:rPr>
          <w:rFonts w:hint="eastAsia" w:cs="宋体"/>
          <w:b w:val="0"/>
          <w:bCs/>
          <w:color w:val="000000"/>
          <w:sz w:val="21"/>
          <w:szCs w:val="21"/>
        </w:rPr>
        <w:t>1.10.2由承包人（或以承包人名义）为实施工程所编制的文件、承包人完成的设计工作成果和建造完成的建筑物的知识产权归属：。</w:t>
      </w:r>
    </w:p>
    <w:p w14:paraId="6325310E">
      <w:pPr>
        <w:pStyle w:val="122"/>
        <w:spacing w:after="120"/>
        <w:rPr>
          <w:rFonts w:hint="eastAsia" w:cs="宋体"/>
          <w:b w:val="0"/>
          <w:bCs/>
          <w:color w:val="000000"/>
          <w:sz w:val="21"/>
          <w:szCs w:val="21"/>
        </w:rPr>
      </w:pPr>
      <w:r>
        <w:rPr>
          <w:rFonts w:hint="eastAsia" w:cs="宋体"/>
          <w:b w:val="0"/>
          <w:bCs/>
          <w:color w:val="000000"/>
          <w:sz w:val="21"/>
          <w:szCs w:val="21"/>
        </w:rPr>
        <w:t>1.10.4承包人在投标文件中采用的专利、专有技术、技术秘密的使用费的承担方式。</w:t>
      </w:r>
    </w:p>
    <w:p w14:paraId="10DC97E4">
      <w:pPr>
        <w:pStyle w:val="122"/>
        <w:spacing w:after="120"/>
        <w:rPr>
          <w:rFonts w:hint="eastAsia" w:cs="宋体"/>
          <w:b w:val="0"/>
          <w:bCs/>
          <w:color w:val="000000"/>
          <w:sz w:val="21"/>
          <w:szCs w:val="21"/>
        </w:rPr>
      </w:pPr>
      <w:r>
        <w:rPr>
          <w:rFonts w:hint="eastAsia" w:cs="宋体"/>
          <w:b w:val="0"/>
          <w:bCs/>
          <w:color w:val="000000"/>
          <w:sz w:val="21"/>
          <w:szCs w:val="21"/>
        </w:rPr>
        <w:t>1.11保密</w:t>
      </w:r>
    </w:p>
    <w:p w14:paraId="0E16230C">
      <w:pPr>
        <w:pStyle w:val="122"/>
        <w:spacing w:after="120"/>
        <w:rPr>
          <w:rFonts w:hint="eastAsia" w:cs="宋体"/>
          <w:b w:val="0"/>
          <w:bCs/>
          <w:color w:val="000000"/>
          <w:sz w:val="21"/>
          <w:szCs w:val="21"/>
        </w:rPr>
      </w:pPr>
      <w:r>
        <w:rPr>
          <w:rFonts w:hint="eastAsia" w:cs="宋体"/>
          <w:b w:val="0"/>
          <w:bCs/>
          <w:color w:val="000000"/>
          <w:sz w:val="21"/>
          <w:szCs w:val="21"/>
        </w:rPr>
        <w:t>双方订立的商业保密协议（名称）：，作为本合同附件。</w:t>
      </w:r>
    </w:p>
    <w:p w14:paraId="77709899">
      <w:pPr>
        <w:pStyle w:val="122"/>
        <w:spacing w:after="120"/>
        <w:rPr>
          <w:rFonts w:hint="eastAsia" w:cs="宋体"/>
          <w:b w:val="0"/>
          <w:bCs/>
          <w:color w:val="000000"/>
          <w:sz w:val="21"/>
          <w:szCs w:val="21"/>
        </w:rPr>
      </w:pPr>
      <w:r>
        <w:rPr>
          <w:rFonts w:hint="eastAsia" w:cs="宋体"/>
          <w:b w:val="0"/>
          <w:bCs/>
          <w:color w:val="000000"/>
          <w:sz w:val="21"/>
          <w:szCs w:val="21"/>
        </w:rPr>
        <w:t>双方订立的技术保密协议（名称）：，作为本合同附件。</w:t>
      </w:r>
    </w:p>
    <w:p w14:paraId="26B0E192">
      <w:pPr>
        <w:pStyle w:val="122"/>
        <w:spacing w:after="120"/>
        <w:rPr>
          <w:rFonts w:hint="eastAsia" w:cs="宋体"/>
          <w:b w:val="0"/>
          <w:bCs/>
          <w:color w:val="000000"/>
          <w:sz w:val="21"/>
          <w:szCs w:val="21"/>
        </w:rPr>
      </w:pPr>
      <w:r>
        <w:rPr>
          <w:rFonts w:hint="eastAsia" w:cs="宋体"/>
          <w:b w:val="0"/>
          <w:bCs/>
          <w:color w:val="000000"/>
          <w:sz w:val="21"/>
          <w:szCs w:val="21"/>
        </w:rPr>
        <w:t>1.13责任限制</w:t>
      </w:r>
    </w:p>
    <w:p w14:paraId="541BA580">
      <w:pPr>
        <w:pStyle w:val="122"/>
        <w:spacing w:after="120"/>
        <w:rPr>
          <w:rFonts w:hint="eastAsia" w:cs="宋体"/>
          <w:b w:val="0"/>
          <w:bCs/>
          <w:color w:val="000000"/>
          <w:sz w:val="21"/>
          <w:szCs w:val="21"/>
        </w:rPr>
      </w:pPr>
      <w:r>
        <w:rPr>
          <w:rFonts w:hint="eastAsia" w:cs="宋体"/>
          <w:b w:val="0"/>
          <w:bCs/>
          <w:color w:val="000000"/>
          <w:sz w:val="21"/>
          <w:szCs w:val="21"/>
        </w:rPr>
        <w:t>承包人对发包人赔偿责任的最高限额为。</w:t>
      </w:r>
    </w:p>
    <w:p w14:paraId="01DD9536">
      <w:pPr>
        <w:pStyle w:val="122"/>
        <w:spacing w:after="120"/>
        <w:rPr>
          <w:rFonts w:hint="eastAsia" w:cs="宋体"/>
          <w:b w:val="0"/>
          <w:bCs/>
          <w:color w:val="000000"/>
          <w:sz w:val="21"/>
          <w:szCs w:val="21"/>
        </w:rPr>
      </w:pPr>
      <w:r>
        <w:rPr>
          <w:rFonts w:hint="eastAsia" w:cs="宋体"/>
          <w:b w:val="0"/>
          <w:bCs/>
          <w:color w:val="000000"/>
          <w:sz w:val="21"/>
          <w:szCs w:val="21"/>
        </w:rPr>
        <w:t>1.14建筑信息模型技术的应用</w:t>
      </w:r>
    </w:p>
    <w:p w14:paraId="35546996">
      <w:pPr>
        <w:pStyle w:val="122"/>
        <w:spacing w:after="120"/>
        <w:rPr>
          <w:rFonts w:hint="eastAsia" w:cs="宋体"/>
          <w:b w:val="0"/>
          <w:bCs/>
          <w:color w:val="000000"/>
          <w:sz w:val="21"/>
          <w:szCs w:val="21"/>
        </w:rPr>
      </w:pPr>
      <w:r>
        <w:rPr>
          <w:rFonts w:hint="eastAsia" w:cs="宋体"/>
          <w:b w:val="0"/>
          <w:bCs/>
          <w:color w:val="000000"/>
          <w:sz w:val="21"/>
          <w:szCs w:val="21"/>
        </w:rPr>
        <w:t>关于建筑信息模型技术的开发、使用、存储、传输、交付及费用约定如下：。</w:t>
      </w:r>
    </w:p>
    <w:p w14:paraId="738DA469">
      <w:pPr>
        <w:pStyle w:val="122"/>
        <w:spacing w:after="120"/>
        <w:rPr>
          <w:rFonts w:hint="eastAsia" w:cs="宋体"/>
          <w:b w:val="0"/>
          <w:bCs/>
          <w:color w:val="000000"/>
          <w:sz w:val="21"/>
          <w:szCs w:val="21"/>
        </w:rPr>
      </w:pPr>
      <w:r>
        <w:rPr>
          <w:rFonts w:hint="eastAsia" w:cs="宋体"/>
          <w:b w:val="0"/>
          <w:bCs/>
          <w:color w:val="000000"/>
          <w:sz w:val="21"/>
          <w:szCs w:val="21"/>
        </w:rPr>
        <w:t>第2条发包人</w:t>
      </w:r>
    </w:p>
    <w:p w14:paraId="363DEFEE">
      <w:pPr>
        <w:pStyle w:val="122"/>
        <w:spacing w:after="120"/>
        <w:rPr>
          <w:rFonts w:hint="eastAsia" w:cs="宋体"/>
          <w:b w:val="0"/>
          <w:bCs/>
          <w:color w:val="000000"/>
          <w:sz w:val="21"/>
          <w:szCs w:val="21"/>
        </w:rPr>
      </w:pPr>
      <w:r>
        <w:rPr>
          <w:rFonts w:hint="eastAsia" w:cs="宋体"/>
          <w:b w:val="0"/>
          <w:bCs/>
          <w:color w:val="000000"/>
          <w:sz w:val="21"/>
          <w:szCs w:val="21"/>
        </w:rPr>
        <w:t>2.2提供施工现场和工作条件</w:t>
      </w:r>
    </w:p>
    <w:p w14:paraId="6F20A600">
      <w:pPr>
        <w:pStyle w:val="122"/>
        <w:spacing w:after="120"/>
        <w:rPr>
          <w:rFonts w:hint="eastAsia" w:cs="宋体"/>
          <w:b w:val="0"/>
          <w:bCs/>
          <w:color w:val="000000"/>
          <w:sz w:val="21"/>
          <w:szCs w:val="21"/>
        </w:rPr>
      </w:pPr>
      <w:r>
        <w:rPr>
          <w:rFonts w:hint="eastAsia" w:cs="宋体"/>
          <w:b w:val="0"/>
          <w:bCs/>
          <w:color w:val="000000"/>
          <w:sz w:val="21"/>
          <w:szCs w:val="21"/>
        </w:rPr>
        <w:t>2.2.1提供施工现场</w:t>
      </w:r>
    </w:p>
    <w:p w14:paraId="218D3C58">
      <w:pPr>
        <w:pStyle w:val="122"/>
        <w:spacing w:after="120"/>
        <w:rPr>
          <w:rFonts w:hint="eastAsia" w:cs="宋体"/>
          <w:b w:val="0"/>
          <w:bCs/>
          <w:color w:val="000000"/>
          <w:sz w:val="21"/>
          <w:szCs w:val="21"/>
        </w:rPr>
      </w:pPr>
      <w:r>
        <w:rPr>
          <w:rFonts w:hint="eastAsia" w:cs="宋体"/>
          <w:b w:val="0"/>
          <w:bCs/>
          <w:color w:val="000000"/>
          <w:sz w:val="21"/>
          <w:szCs w:val="21"/>
        </w:rPr>
        <w:t>关于发包人提供施工现场的范围和期限：。</w:t>
      </w:r>
    </w:p>
    <w:p w14:paraId="5392E250">
      <w:pPr>
        <w:pStyle w:val="122"/>
        <w:spacing w:after="120"/>
        <w:rPr>
          <w:rFonts w:hint="eastAsia" w:cs="宋体"/>
          <w:b w:val="0"/>
          <w:bCs/>
          <w:color w:val="000000"/>
          <w:sz w:val="21"/>
          <w:szCs w:val="21"/>
        </w:rPr>
      </w:pPr>
      <w:r>
        <w:rPr>
          <w:rFonts w:hint="eastAsia" w:cs="宋体"/>
          <w:b w:val="0"/>
          <w:bCs/>
          <w:color w:val="000000"/>
          <w:sz w:val="21"/>
          <w:szCs w:val="21"/>
        </w:rPr>
        <w:t>2.2.2提供工作条件</w:t>
      </w:r>
    </w:p>
    <w:p w14:paraId="4F26E0C4">
      <w:pPr>
        <w:pStyle w:val="122"/>
        <w:spacing w:after="120"/>
        <w:rPr>
          <w:rFonts w:hint="eastAsia" w:cs="宋体"/>
          <w:b w:val="0"/>
          <w:bCs/>
          <w:color w:val="000000"/>
          <w:sz w:val="21"/>
          <w:szCs w:val="21"/>
        </w:rPr>
      </w:pPr>
      <w:r>
        <w:rPr>
          <w:rFonts w:hint="eastAsia" w:cs="宋体"/>
          <w:b w:val="0"/>
          <w:bCs/>
          <w:color w:val="000000"/>
          <w:sz w:val="21"/>
          <w:szCs w:val="21"/>
        </w:rPr>
        <w:t>关于发包人应负责提供的工作条件包括：。</w:t>
      </w:r>
    </w:p>
    <w:p w14:paraId="6D06DDA3">
      <w:pPr>
        <w:pStyle w:val="122"/>
        <w:spacing w:after="120"/>
        <w:rPr>
          <w:rFonts w:hint="eastAsia" w:cs="宋体"/>
          <w:b w:val="0"/>
          <w:bCs/>
          <w:color w:val="000000"/>
          <w:sz w:val="21"/>
          <w:szCs w:val="21"/>
        </w:rPr>
      </w:pPr>
      <w:r>
        <w:rPr>
          <w:rFonts w:hint="eastAsia" w:cs="宋体"/>
          <w:b w:val="0"/>
          <w:bCs/>
          <w:color w:val="000000"/>
          <w:sz w:val="21"/>
          <w:szCs w:val="21"/>
        </w:rPr>
        <w:t>2.3提供基础资料</w:t>
      </w:r>
    </w:p>
    <w:p w14:paraId="211C3740">
      <w:pPr>
        <w:pStyle w:val="122"/>
        <w:spacing w:after="120"/>
        <w:rPr>
          <w:rFonts w:hint="eastAsia" w:cs="宋体"/>
          <w:b w:val="0"/>
          <w:bCs/>
          <w:color w:val="000000"/>
          <w:sz w:val="21"/>
          <w:szCs w:val="21"/>
        </w:rPr>
      </w:pPr>
      <w:r>
        <w:rPr>
          <w:rFonts w:hint="eastAsia" w:cs="宋体"/>
          <w:b w:val="0"/>
          <w:bCs/>
          <w:color w:val="000000"/>
          <w:sz w:val="21"/>
          <w:szCs w:val="21"/>
        </w:rPr>
        <w:t>关于发包人应提供的基础资料的范围和期限：。</w:t>
      </w:r>
    </w:p>
    <w:p w14:paraId="5B00475E">
      <w:pPr>
        <w:pStyle w:val="122"/>
        <w:spacing w:after="120"/>
        <w:rPr>
          <w:rFonts w:hint="eastAsia" w:cs="宋体"/>
          <w:b w:val="0"/>
          <w:bCs/>
          <w:color w:val="000000"/>
          <w:sz w:val="21"/>
          <w:szCs w:val="21"/>
        </w:rPr>
      </w:pPr>
      <w:r>
        <w:rPr>
          <w:rFonts w:hint="eastAsia" w:cs="宋体"/>
          <w:b w:val="0"/>
          <w:bCs/>
          <w:color w:val="000000"/>
          <w:sz w:val="21"/>
          <w:szCs w:val="21"/>
        </w:rPr>
        <w:t>2.5支付合同价款</w:t>
      </w:r>
    </w:p>
    <w:p w14:paraId="258AA7B9">
      <w:pPr>
        <w:pStyle w:val="122"/>
        <w:spacing w:after="120"/>
        <w:rPr>
          <w:rFonts w:hint="eastAsia" w:cs="宋体"/>
          <w:b w:val="0"/>
          <w:bCs/>
          <w:color w:val="000000"/>
          <w:sz w:val="21"/>
          <w:szCs w:val="21"/>
        </w:rPr>
      </w:pPr>
      <w:r>
        <w:rPr>
          <w:rFonts w:hint="eastAsia" w:cs="宋体"/>
          <w:b w:val="0"/>
          <w:bCs/>
          <w:color w:val="000000"/>
          <w:sz w:val="21"/>
          <w:szCs w:val="21"/>
        </w:rPr>
        <w:t>2.5.2发包人提供资金来源证明及资金安排的期限要求：。</w:t>
      </w:r>
    </w:p>
    <w:p w14:paraId="3C3E14C8">
      <w:pPr>
        <w:pStyle w:val="122"/>
        <w:spacing w:after="120"/>
        <w:rPr>
          <w:rFonts w:hint="eastAsia" w:cs="宋体"/>
          <w:b w:val="0"/>
          <w:bCs/>
          <w:color w:val="000000"/>
          <w:sz w:val="21"/>
          <w:szCs w:val="21"/>
        </w:rPr>
      </w:pPr>
      <w:r>
        <w:rPr>
          <w:rFonts w:hint="eastAsia" w:cs="宋体"/>
          <w:b w:val="0"/>
          <w:bCs/>
          <w:color w:val="000000"/>
          <w:sz w:val="21"/>
          <w:szCs w:val="21"/>
        </w:rPr>
        <w:t>2.5.3发包人提供支付担保的形式、期限、金额（或比例）：/。</w:t>
      </w:r>
    </w:p>
    <w:p w14:paraId="78400283">
      <w:pPr>
        <w:pStyle w:val="122"/>
        <w:spacing w:after="120"/>
        <w:rPr>
          <w:rFonts w:hint="eastAsia" w:cs="宋体"/>
          <w:b w:val="0"/>
          <w:bCs/>
          <w:color w:val="000000"/>
          <w:sz w:val="21"/>
          <w:szCs w:val="21"/>
        </w:rPr>
      </w:pPr>
      <w:r>
        <w:rPr>
          <w:rFonts w:hint="eastAsia" w:cs="宋体"/>
          <w:b w:val="0"/>
          <w:bCs/>
          <w:color w:val="000000"/>
          <w:sz w:val="21"/>
          <w:szCs w:val="21"/>
        </w:rPr>
        <w:t>2.7其他义务</w:t>
      </w:r>
    </w:p>
    <w:p w14:paraId="1093E305">
      <w:pPr>
        <w:pStyle w:val="122"/>
        <w:spacing w:after="120"/>
        <w:rPr>
          <w:rFonts w:hint="eastAsia" w:cs="宋体"/>
          <w:b w:val="0"/>
          <w:bCs/>
          <w:color w:val="000000"/>
          <w:sz w:val="21"/>
          <w:szCs w:val="21"/>
        </w:rPr>
      </w:pPr>
      <w:r>
        <w:rPr>
          <w:rFonts w:hint="eastAsia" w:cs="宋体"/>
          <w:b w:val="0"/>
          <w:bCs/>
          <w:color w:val="000000"/>
          <w:sz w:val="21"/>
          <w:szCs w:val="21"/>
        </w:rPr>
        <w:t>发包人应履行的其他义务：。</w:t>
      </w:r>
    </w:p>
    <w:p w14:paraId="5B9F1328">
      <w:pPr>
        <w:pStyle w:val="122"/>
        <w:spacing w:after="120"/>
        <w:rPr>
          <w:rFonts w:hint="eastAsia" w:cs="宋体"/>
          <w:b w:val="0"/>
          <w:bCs/>
          <w:color w:val="000000"/>
          <w:sz w:val="21"/>
          <w:szCs w:val="21"/>
        </w:rPr>
      </w:pPr>
      <w:r>
        <w:rPr>
          <w:rFonts w:hint="eastAsia" w:cs="宋体"/>
          <w:b w:val="0"/>
          <w:bCs/>
          <w:color w:val="000000"/>
          <w:sz w:val="21"/>
          <w:szCs w:val="21"/>
        </w:rPr>
        <w:t>第3条发包人的管理</w:t>
      </w:r>
    </w:p>
    <w:p w14:paraId="5F5CA8F3">
      <w:pPr>
        <w:pStyle w:val="122"/>
        <w:spacing w:after="120"/>
        <w:rPr>
          <w:rFonts w:hint="eastAsia" w:cs="宋体"/>
          <w:b w:val="0"/>
          <w:bCs/>
          <w:color w:val="000000"/>
          <w:sz w:val="21"/>
          <w:szCs w:val="21"/>
        </w:rPr>
      </w:pPr>
      <w:r>
        <w:rPr>
          <w:rFonts w:hint="eastAsia" w:cs="宋体"/>
          <w:b w:val="0"/>
          <w:bCs/>
          <w:color w:val="000000"/>
          <w:sz w:val="21"/>
          <w:szCs w:val="21"/>
        </w:rPr>
        <w:t>3.1发包人代表</w:t>
      </w:r>
    </w:p>
    <w:p w14:paraId="0A098E66">
      <w:pPr>
        <w:pStyle w:val="122"/>
        <w:spacing w:after="120"/>
        <w:rPr>
          <w:rFonts w:hint="eastAsia" w:cs="宋体"/>
          <w:b w:val="0"/>
          <w:bCs/>
          <w:color w:val="000000"/>
          <w:sz w:val="21"/>
          <w:szCs w:val="21"/>
        </w:rPr>
      </w:pPr>
      <w:r>
        <w:rPr>
          <w:rFonts w:hint="eastAsia" w:cs="宋体"/>
          <w:b w:val="0"/>
          <w:bCs/>
          <w:color w:val="000000"/>
          <w:sz w:val="21"/>
          <w:szCs w:val="21"/>
        </w:rPr>
        <w:t>发包人代表的姓名：；</w:t>
      </w:r>
    </w:p>
    <w:p w14:paraId="361A7F7C">
      <w:pPr>
        <w:pStyle w:val="122"/>
        <w:spacing w:after="120"/>
        <w:rPr>
          <w:rFonts w:hint="eastAsia" w:cs="宋体"/>
          <w:b w:val="0"/>
          <w:bCs/>
          <w:color w:val="000000"/>
          <w:sz w:val="21"/>
          <w:szCs w:val="21"/>
        </w:rPr>
      </w:pPr>
      <w:r>
        <w:rPr>
          <w:rFonts w:hint="eastAsia" w:cs="宋体"/>
          <w:b w:val="0"/>
          <w:bCs/>
          <w:color w:val="000000"/>
          <w:sz w:val="21"/>
          <w:szCs w:val="21"/>
        </w:rPr>
        <w:t>发包人代表的身份证号：；</w:t>
      </w:r>
    </w:p>
    <w:p w14:paraId="61E7157B">
      <w:pPr>
        <w:pStyle w:val="122"/>
        <w:spacing w:after="120"/>
        <w:rPr>
          <w:rFonts w:hint="eastAsia" w:cs="宋体"/>
          <w:b w:val="0"/>
          <w:bCs/>
          <w:color w:val="000000"/>
          <w:sz w:val="21"/>
          <w:szCs w:val="21"/>
        </w:rPr>
      </w:pPr>
      <w:r>
        <w:rPr>
          <w:rFonts w:hint="eastAsia" w:cs="宋体"/>
          <w:b w:val="0"/>
          <w:bCs/>
          <w:color w:val="000000"/>
          <w:sz w:val="21"/>
          <w:szCs w:val="21"/>
        </w:rPr>
        <w:t>发包人代表的职务：；</w:t>
      </w:r>
    </w:p>
    <w:p w14:paraId="32E36CAB">
      <w:pPr>
        <w:pStyle w:val="122"/>
        <w:spacing w:after="120"/>
        <w:rPr>
          <w:rFonts w:hint="eastAsia" w:cs="宋体"/>
          <w:b w:val="0"/>
          <w:bCs/>
          <w:color w:val="000000"/>
          <w:sz w:val="21"/>
          <w:szCs w:val="21"/>
        </w:rPr>
      </w:pPr>
      <w:r>
        <w:rPr>
          <w:rFonts w:hint="eastAsia" w:cs="宋体"/>
          <w:b w:val="0"/>
          <w:bCs/>
          <w:color w:val="000000"/>
          <w:sz w:val="21"/>
          <w:szCs w:val="21"/>
        </w:rPr>
        <w:t>发包人代表的联系电话：；</w:t>
      </w:r>
    </w:p>
    <w:p w14:paraId="06D1308D">
      <w:pPr>
        <w:pStyle w:val="122"/>
        <w:spacing w:after="120"/>
        <w:rPr>
          <w:rFonts w:hint="eastAsia" w:cs="宋体"/>
          <w:b w:val="0"/>
          <w:bCs/>
          <w:color w:val="000000"/>
          <w:sz w:val="21"/>
          <w:szCs w:val="21"/>
        </w:rPr>
      </w:pPr>
      <w:r>
        <w:rPr>
          <w:rFonts w:hint="eastAsia" w:cs="宋体"/>
          <w:b w:val="0"/>
          <w:bCs/>
          <w:color w:val="000000"/>
          <w:sz w:val="21"/>
          <w:szCs w:val="21"/>
        </w:rPr>
        <w:t>发包人代表的电子邮箱：；</w:t>
      </w:r>
    </w:p>
    <w:p w14:paraId="6D93F6BA">
      <w:pPr>
        <w:pStyle w:val="122"/>
        <w:spacing w:after="120"/>
        <w:rPr>
          <w:rFonts w:hint="eastAsia" w:cs="宋体"/>
          <w:b w:val="0"/>
          <w:bCs/>
          <w:color w:val="000000"/>
          <w:sz w:val="21"/>
          <w:szCs w:val="21"/>
        </w:rPr>
      </w:pPr>
      <w:r>
        <w:rPr>
          <w:rFonts w:hint="eastAsia" w:cs="宋体"/>
          <w:b w:val="0"/>
          <w:bCs/>
          <w:color w:val="000000"/>
          <w:sz w:val="21"/>
          <w:szCs w:val="21"/>
        </w:rPr>
        <w:t>发包人代表的通信地址：；</w:t>
      </w:r>
    </w:p>
    <w:p w14:paraId="5D8D2E05">
      <w:pPr>
        <w:pStyle w:val="122"/>
        <w:spacing w:after="120"/>
        <w:rPr>
          <w:rFonts w:hint="eastAsia" w:cs="宋体"/>
          <w:b w:val="0"/>
          <w:bCs/>
          <w:color w:val="000000"/>
          <w:sz w:val="21"/>
          <w:szCs w:val="21"/>
        </w:rPr>
      </w:pPr>
      <w:r>
        <w:rPr>
          <w:rFonts w:hint="eastAsia" w:cs="宋体"/>
          <w:b w:val="0"/>
          <w:bCs/>
          <w:color w:val="000000"/>
          <w:sz w:val="21"/>
          <w:szCs w:val="21"/>
        </w:rPr>
        <w:t>发包人对发包人代表的授权范围如下：；</w:t>
      </w:r>
    </w:p>
    <w:p w14:paraId="2E78408A">
      <w:pPr>
        <w:pStyle w:val="122"/>
        <w:spacing w:after="120"/>
        <w:rPr>
          <w:rFonts w:hint="eastAsia" w:cs="宋体"/>
          <w:b w:val="0"/>
          <w:bCs/>
          <w:color w:val="000000"/>
          <w:sz w:val="21"/>
          <w:szCs w:val="21"/>
        </w:rPr>
      </w:pPr>
      <w:r>
        <w:rPr>
          <w:rFonts w:hint="eastAsia" w:cs="宋体"/>
          <w:b w:val="0"/>
          <w:bCs/>
          <w:color w:val="000000"/>
          <w:sz w:val="21"/>
          <w:szCs w:val="21"/>
        </w:rPr>
        <w:t>发包人代表的职责：代表发包人全面履行本合同。</w:t>
      </w:r>
    </w:p>
    <w:p w14:paraId="68F0C0EC">
      <w:pPr>
        <w:pStyle w:val="122"/>
        <w:spacing w:after="120"/>
        <w:rPr>
          <w:rFonts w:hint="eastAsia" w:cs="宋体"/>
          <w:b w:val="0"/>
          <w:bCs/>
          <w:color w:val="000000"/>
          <w:sz w:val="21"/>
          <w:szCs w:val="21"/>
        </w:rPr>
      </w:pPr>
      <w:r>
        <w:rPr>
          <w:rFonts w:hint="eastAsia" w:cs="宋体"/>
          <w:b w:val="0"/>
          <w:bCs/>
          <w:color w:val="000000"/>
          <w:sz w:val="21"/>
          <w:szCs w:val="21"/>
        </w:rPr>
        <w:t>3.2发包人人员</w:t>
      </w:r>
    </w:p>
    <w:p w14:paraId="01EDB89C">
      <w:pPr>
        <w:pStyle w:val="122"/>
        <w:spacing w:after="120"/>
        <w:rPr>
          <w:rFonts w:hint="eastAsia" w:cs="宋体"/>
          <w:b w:val="0"/>
          <w:bCs/>
          <w:color w:val="000000"/>
          <w:sz w:val="21"/>
          <w:szCs w:val="21"/>
        </w:rPr>
      </w:pPr>
      <w:r>
        <w:rPr>
          <w:rFonts w:hint="eastAsia" w:cs="宋体"/>
          <w:b w:val="0"/>
          <w:bCs/>
          <w:color w:val="000000"/>
          <w:sz w:val="21"/>
          <w:szCs w:val="21"/>
        </w:rPr>
        <w:t>发包人人员姓名：；</w:t>
      </w:r>
    </w:p>
    <w:p w14:paraId="4499A150">
      <w:pPr>
        <w:pStyle w:val="122"/>
        <w:spacing w:after="120"/>
        <w:rPr>
          <w:rFonts w:hint="eastAsia" w:cs="宋体"/>
          <w:b w:val="0"/>
          <w:bCs/>
          <w:color w:val="000000"/>
          <w:sz w:val="21"/>
          <w:szCs w:val="21"/>
        </w:rPr>
      </w:pPr>
      <w:r>
        <w:rPr>
          <w:rFonts w:hint="eastAsia" w:cs="宋体"/>
          <w:b w:val="0"/>
          <w:bCs/>
          <w:color w:val="000000"/>
          <w:sz w:val="21"/>
          <w:szCs w:val="21"/>
        </w:rPr>
        <w:t>发包人人员职务：；</w:t>
      </w:r>
    </w:p>
    <w:p w14:paraId="7707BF94">
      <w:pPr>
        <w:pStyle w:val="122"/>
        <w:spacing w:after="120"/>
        <w:rPr>
          <w:rFonts w:hint="eastAsia" w:cs="宋体"/>
          <w:b w:val="0"/>
          <w:bCs/>
          <w:color w:val="000000"/>
          <w:sz w:val="21"/>
          <w:szCs w:val="21"/>
        </w:rPr>
      </w:pPr>
      <w:r>
        <w:rPr>
          <w:rFonts w:hint="eastAsia" w:cs="宋体"/>
          <w:b w:val="0"/>
          <w:bCs/>
          <w:color w:val="000000"/>
          <w:sz w:val="21"/>
          <w:szCs w:val="21"/>
        </w:rPr>
        <w:t>发包人人员职责：。</w:t>
      </w:r>
    </w:p>
    <w:p w14:paraId="5763E377">
      <w:pPr>
        <w:pStyle w:val="122"/>
        <w:spacing w:after="120"/>
        <w:rPr>
          <w:rFonts w:hint="eastAsia" w:cs="宋体"/>
          <w:b w:val="0"/>
          <w:bCs/>
          <w:color w:val="000000"/>
          <w:sz w:val="21"/>
          <w:szCs w:val="21"/>
        </w:rPr>
      </w:pPr>
      <w:r>
        <w:rPr>
          <w:rFonts w:hint="eastAsia" w:cs="宋体"/>
          <w:b w:val="0"/>
          <w:bCs/>
          <w:color w:val="000000"/>
          <w:sz w:val="21"/>
          <w:szCs w:val="21"/>
        </w:rPr>
        <w:t>3.3工程师</w:t>
      </w:r>
    </w:p>
    <w:p w14:paraId="56594510">
      <w:pPr>
        <w:pStyle w:val="122"/>
        <w:spacing w:after="120"/>
        <w:rPr>
          <w:rFonts w:hint="eastAsia" w:cs="宋体"/>
          <w:b w:val="0"/>
          <w:bCs/>
          <w:color w:val="000000"/>
          <w:sz w:val="21"/>
          <w:szCs w:val="21"/>
        </w:rPr>
      </w:pPr>
      <w:r>
        <w:rPr>
          <w:rFonts w:hint="eastAsia" w:cs="宋体"/>
          <w:b w:val="0"/>
          <w:bCs/>
          <w:color w:val="000000"/>
          <w:sz w:val="21"/>
          <w:szCs w:val="21"/>
        </w:rPr>
        <w:t>3.3.1工程师名称：；工程师监督管理范围、内容：；工程师权限：。</w:t>
      </w:r>
    </w:p>
    <w:p w14:paraId="6B4DE67C">
      <w:pPr>
        <w:pStyle w:val="122"/>
        <w:spacing w:after="120"/>
        <w:rPr>
          <w:rFonts w:hint="eastAsia" w:cs="宋体"/>
          <w:b w:val="0"/>
          <w:bCs/>
          <w:color w:val="000000"/>
          <w:sz w:val="21"/>
          <w:szCs w:val="21"/>
        </w:rPr>
      </w:pPr>
      <w:r>
        <w:rPr>
          <w:rFonts w:hint="eastAsia" w:cs="宋体"/>
          <w:b w:val="0"/>
          <w:bCs/>
          <w:color w:val="000000"/>
          <w:sz w:val="21"/>
          <w:szCs w:val="21"/>
        </w:rPr>
        <w:t>3.6商定或确定</w:t>
      </w:r>
    </w:p>
    <w:p w14:paraId="46F2C560">
      <w:pPr>
        <w:pStyle w:val="122"/>
        <w:spacing w:after="120"/>
        <w:rPr>
          <w:rFonts w:hint="eastAsia" w:cs="宋体"/>
          <w:b w:val="0"/>
          <w:bCs/>
          <w:color w:val="000000"/>
          <w:sz w:val="21"/>
          <w:szCs w:val="21"/>
        </w:rPr>
      </w:pPr>
      <w:r>
        <w:rPr>
          <w:rFonts w:hint="eastAsia" w:cs="宋体"/>
          <w:b w:val="0"/>
          <w:bCs/>
          <w:color w:val="000000"/>
          <w:sz w:val="21"/>
          <w:szCs w:val="21"/>
        </w:rPr>
        <w:t>3.6.2关于商定时间限制的具体约定：。</w:t>
      </w:r>
    </w:p>
    <w:p w14:paraId="62BD1F96">
      <w:pPr>
        <w:pStyle w:val="122"/>
        <w:spacing w:after="120"/>
        <w:rPr>
          <w:rFonts w:hint="eastAsia" w:cs="宋体"/>
          <w:b w:val="0"/>
          <w:bCs/>
          <w:color w:val="000000"/>
          <w:sz w:val="21"/>
          <w:szCs w:val="21"/>
        </w:rPr>
      </w:pPr>
      <w:r>
        <w:rPr>
          <w:rFonts w:hint="eastAsia" w:cs="宋体"/>
          <w:b w:val="0"/>
          <w:bCs/>
          <w:color w:val="000000"/>
          <w:sz w:val="21"/>
          <w:szCs w:val="21"/>
        </w:rPr>
        <w:t>3.6.3关于商定或确定效力的具体约定：；关于对工程师的确定提出异议的具体约定：。</w:t>
      </w:r>
    </w:p>
    <w:p w14:paraId="38EFC648">
      <w:pPr>
        <w:pStyle w:val="122"/>
        <w:spacing w:after="120"/>
        <w:rPr>
          <w:rFonts w:hint="eastAsia" w:cs="宋体"/>
          <w:b w:val="0"/>
          <w:bCs/>
          <w:color w:val="000000"/>
          <w:sz w:val="21"/>
          <w:szCs w:val="21"/>
        </w:rPr>
      </w:pPr>
      <w:r>
        <w:rPr>
          <w:rFonts w:hint="eastAsia" w:cs="宋体"/>
          <w:b w:val="0"/>
          <w:bCs/>
          <w:color w:val="000000"/>
          <w:sz w:val="21"/>
          <w:szCs w:val="21"/>
        </w:rPr>
        <w:t>3.7会议</w:t>
      </w:r>
    </w:p>
    <w:p w14:paraId="2BDEFE7D">
      <w:pPr>
        <w:pStyle w:val="122"/>
        <w:spacing w:after="120"/>
        <w:rPr>
          <w:rFonts w:hint="eastAsia" w:cs="宋体"/>
          <w:b w:val="0"/>
          <w:bCs/>
          <w:color w:val="000000"/>
          <w:sz w:val="21"/>
          <w:szCs w:val="21"/>
        </w:rPr>
      </w:pPr>
      <w:r>
        <w:rPr>
          <w:rFonts w:hint="eastAsia" w:cs="宋体"/>
          <w:b w:val="0"/>
          <w:bCs/>
          <w:color w:val="000000"/>
          <w:sz w:val="21"/>
          <w:szCs w:val="21"/>
        </w:rPr>
        <w:t>3.7.1关于召开会议的具体约定：。</w:t>
      </w:r>
    </w:p>
    <w:p w14:paraId="7DC182CC">
      <w:pPr>
        <w:pStyle w:val="122"/>
        <w:spacing w:after="120"/>
        <w:rPr>
          <w:rFonts w:hint="eastAsia" w:cs="宋体"/>
          <w:b w:val="0"/>
          <w:bCs/>
          <w:color w:val="000000"/>
          <w:sz w:val="21"/>
          <w:szCs w:val="21"/>
        </w:rPr>
      </w:pPr>
      <w:r>
        <w:rPr>
          <w:rFonts w:hint="eastAsia" w:cs="宋体"/>
          <w:b w:val="0"/>
          <w:bCs/>
          <w:color w:val="000000"/>
          <w:sz w:val="21"/>
          <w:szCs w:val="21"/>
        </w:rPr>
        <w:t>3.7.2关于保存和提供会议纪要的具体约定：。</w:t>
      </w:r>
    </w:p>
    <w:p w14:paraId="72BEC67F">
      <w:pPr>
        <w:pStyle w:val="122"/>
        <w:spacing w:after="120"/>
        <w:rPr>
          <w:rFonts w:hint="eastAsia" w:cs="宋体"/>
          <w:b w:val="0"/>
          <w:bCs/>
          <w:color w:val="000000"/>
          <w:sz w:val="21"/>
          <w:szCs w:val="21"/>
        </w:rPr>
      </w:pPr>
      <w:r>
        <w:rPr>
          <w:rFonts w:hint="eastAsia" w:cs="宋体"/>
          <w:b w:val="0"/>
          <w:bCs/>
          <w:color w:val="000000"/>
          <w:sz w:val="21"/>
          <w:szCs w:val="21"/>
        </w:rPr>
        <w:t>第4条承包人</w:t>
      </w:r>
    </w:p>
    <w:p w14:paraId="7E2B822C">
      <w:pPr>
        <w:pStyle w:val="122"/>
        <w:spacing w:after="120"/>
        <w:rPr>
          <w:rFonts w:hint="eastAsia" w:cs="宋体"/>
          <w:b w:val="0"/>
          <w:bCs/>
          <w:color w:val="000000"/>
          <w:sz w:val="21"/>
          <w:szCs w:val="21"/>
        </w:rPr>
      </w:pPr>
      <w:r>
        <w:rPr>
          <w:rFonts w:hint="eastAsia" w:cs="宋体"/>
          <w:b w:val="0"/>
          <w:bCs/>
          <w:color w:val="000000"/>
          <w:sz w:val="21"/>
          <w:szCs w:val="21"/>
        </w:rPr>
        <w:t>4.1承包人的一般义务</w:t>
      </w:r>
    </w:p>
    <w:p w14:paraId="42B3B451">
      <w:pPr>
        <w:pStyle w:val="122"/>
        <w:spacing w:after="120"/>
        <w:rPr>
          <w:rFonts w:hint="eastAsia" w:cs="宋体"/>
          <w:b w:val="0"/>
          <w:bCs/>
          <w:color w:val="000000"/>
          <w:sz w:val="21"/>
          <w:szCs w:val="21"/>
        </w:rPr>
      </w:pPr>
      <w:r>
        <w:rPr>
          <w:rFonts w:hint="eastAsia" w:cs="宋体"/>
          <w:b w:val="0"/>
          <w:bCs/>
          <w:color w:val="000000"/>
          <w:sz w:val="21"/>
          <w:szCs w:val="21"/>
        </w:rPr>
        <w:t>承包人应履行的其他义务：。</w:t>
      </w:r>
    </w:p>
    <w:p w14:paraId="0461F4DD">
      <w:pPr>
        <w:pStyle w:val="122"/>
        <w:spacing w:after="120"/>
        <w:rPr>
          <w:rFonts w:hint="eastAsia" w:cs="宋体"/>
          <w:b w:val="0"/>
          <w:bCs/>
          <w:color w:val="000000"/>
          <w:sz w:val="21"/>
          <w:szCs w:val="21"/>
        </w:rPr>
      </w:pPr>
      <w:r>
        <w:rPr>
          <w:rFonts w:hint="eastAsia" w:cs="宋体"/>
          <w:b w:val="0"/>
          <w:bCs/>
          <w:color w:val="000000"/>
          <w:sz w:val="21"/>
          <w:szCs w:val="21"/>
        </w:rPr>
        <w:t>4.2履约担保</w:t>
      </w:r>
    </w:p>
    <w:p w14:paraId="151EEA13">
      <w:pPr>
        <w:pStyle w:val="122"/>
        <w:spacing w:after="120"/>
        <w:rPr>
          <w:rFonts w:hint="eastAsia" w:cs="宋体"/>
          <w:b w:val="0"/>
          <w:bCs/>
          <w:color w:val="000000"/>
          <w:sz w:val="21"/>
          <w:szCs w:val="21"/>
        </w:rPr>
      </w:pPr>
      <w:r>
        <w:rPr>
          <w:rFonts w:hint="eastAsia" w:cs="宋体"/>
          <w:b w:val="0"/>
          <w:bCs/>
          <w:color w:val="000000"/>
          <w:sz w:val="21"/>
          <w:szCs w:val="21"/>
        </w:rPr>
        <w:t>承包人是否提供履约担保：是。</w:t>
      </w:r>
    </w:p>
    <w:p w14:paraId="4B68DD25">
      <w:pPr>
        <w:pStyle w:val="122"/>
        <w:spacing w:after="120"/>
        <w:rPr>
          <w:rFonts w:hint="eastAsia" w:cs="宋体"/>
          <w:b w:val="0"/>
          <w:bCs/>
          <w:color w:val="000000"/>
          <w:sz w:val="21"/>
          <w:szCs w:val="21"/>
        </w:rPr>
      </w:pPr>
      <w:r>
        <w:rPr>
          <w:rFonts w:hint="eastAsia" w:cs="宋体"/>
          <w:b w:val="0"/>
          <w:bCs/>
          <w:color w:val="000000"/>
          <w:sz w:val="21"/>
          <w:szCs w:val="21"/>
        </w:rPr>
        <w:t>履约担保的方式、金额及期限：担保方式为银行保函或保证保险或法律法规规定的其他担保形式，担保金额暂估合同总价的3%，联合体投标的，联合体各单位根据各自实施范围内的中标金额按比例分摊履约担保。</w:t>
      </w:r>
    </w:p>
    <w:p w14:paraId="60EDEB9D">
      <w:pPr>
        <w:pStyle w:val="122"/>
        <w:spacing w:after="120"/>
        <w:rPr>
          <w:rFonts w:hint="eastAsia" w:cs="宋体"/>
          <w:b w:val="0"/>
          <w:bCs/>
          <w:color w:val="000000"/>
          <w:sz w:val="21"/>
          <w:szCs w:val="21"/>
        </w:rPr>
      </w:pPr>
      <w:r>
        <w:rPr>
          <w:rFonts w:hint="eastAsia" w:cs="宋体"/>
          <w:b w:val="0"/>
          <w:bCs/>
          <w:color w:val="000000"/>
          <w:sz w:val="21"/>
          <w:szCs w:val="21"/>
        </w:rPr>
        <w:t>4.3工程总承包项目经理</w:t>
      </w:r>
    </w:p>
    <w:p w14:paraId="47A0D4D0">
      <w:pPr>
        <w:pStyle w:val="122"/>
        <w:spacing w:after="120"/>
        <w:rPr>
          <w:rFonts w:hint="eastAsia" w:cs="宋体"/>
          <w:b w:val="0"/>
          <w:bCs/>
          <w:color w:val="000000"/>
          <w:sz w:val="21"/>
          <w:szCs w:val="21"/>
        </w:rPr>
      </w:pPr>
      <w:r>
        <w:rPr>
          <w:rFonts w:hint="eastAsia" w:cs="宋体"/>
          <w:b w:val="0"/>
          <w:bCs/>
          <w:color w:val="000000"/>
          <w:sz w:val="21"/>
          <w:szCs w:val="21"/>
        </w:rPr>
        <w:t>4.3.1工程总承包项目经理姓名：；</w:t>
      </w:r>
    </w:p>
    <w:p w14:paraId="38308F04">
      <w:pPr>
        <w:pStyle w:val="122"/>
        <w:spacing w:after="120"/>
        <w:rPr>
          <w:rFonts w:hint="eastAsia" w:cs="宋体"/>
          <w:b w:val="0"/>
          <w:bCs/>
          <w:color w:val="000000"/>
          <w:sz w:val="21"/>
          <w:szCs w:val="21"/>
        </w:rPr>
      </w:pPr>
      <w:r>
        <w:rPr>
          <w:rFonts w:hint="eastAsia" w:cs="宋体"/>
          <w:b w:val="0"/>
          <w:bCs/>
          <w:color w:val="000000"/>
          <w:sz w:val="21"/>
          <w:szCs w:val="21"/>
        </w:rPr>
        <w:t>执业资格或职称类型：；</w:t>
      </w:r>
    </w:p>
    <w:p w14:paraId="49C7C505">
      <w:pPr>
        <w:pStyle w:val="122"/>
        <w:spacing w:after="120"/>
        <w:rPr>
          <w:rFonts w:hint="eastAsia" w:cs="宋体"/>
          <w:b w:val="0"/>
          <w:bCs/>
          <w:color w:val="000000"/>
          <w:sz w:val="21"/>
          <w:szCs w:val="21"/>
        </w:rPr>
      </w:pPr>
      <w:r>
        <w:rPr>
          <w:rFonts w:hint="eastAsia" w:cs="宋体"/>
          <w:b w:val="0"/>
          <w:bCs/>
          <w:color w:val="000000"/>
          <w:sz w:val="21"/>
          <w:szCs w:val="21"/>
        </w:rPr>
        <w:t>执业资格证或职称证号码：；</w:t>
      </w:r>
    </w:p>
    <w:p w14:paraId="278F883E">
      <w:pPr>
        <w:pStyle w:val="122"/>
        <w:spacing w:after="120"/>
        <w:rPr>
          <w:rFonts w:hint="eastAsia" w:cs="宋体"/>
          <w:b w:val="0"/>
          <w:bCs/>
          <w:color w:val="000000"/>
          <w:sz w:val="21"/>
          <w:szCs w:val="21"/>
        </w:rPr>
      </w:pPr>
      <w:r>
        <w:rPr>
          <w:rFonts w:hint="eastAsia" w:cs="宋体"/>
          <w:b w:val="0"/>
          <w:bCs/>
          <w:color w:val="000000"/>
          <w:sz w:val="21"/>
          <w:szCs w:val="21"/>
        </w:rPr>
        <w:t>联系电话：；</w:t>
      </w:r>
    </w:p>
    <w:p w14:paraId="5016A531">
      <w:pPr>
        <w:pStyle w:val="122"/>
        <w:spacing w:after="120"/>
        <w:rPr>
          <w:rFonts w:hint="eastAsia" w:cs="宋体"/>
          <w:b w:val="0"/>
          <w:bCs/>
          <w:color w:val="000000"/>
          <w:sz w:val="21"/>
          <w:szCs w:val="21"/>
        </w:rPr>
      </w:pPr>
      <w:r>
        <w:rPr>
          <w:rFonts w:hint="eastAsia" w:cs="宋体"/>
          <w:b w:val="0"/>
          <w:bCs/>
          <w:color w:val="000000"/>
          <w:sz w:val="21"/>
          <w:szCs w:val="21"/>
        </w:rPr>
        <w:t>电子邮箱：；</w:t>
      </w:r>
    </w:p>
    <w:p w14:paraId="66C1B431">
      <w:pPr>
        <w:pStyle w:val="122"/>
        <w:spacing w:after="120"/>
        <w:rPr>
          <w:rFonts w:hint="eastAsia" w:cs="宋体"/>
          <w:b w:val="0"/>
          <w:bCs/>
          <w:color w:val="000000"/>
          <w:sz w:val="21"/>
          <w:szCs w:val="21"/>
        </w:rPr>
      </w:pPr>
      <w:r>
        <w:rPr>
          <w:rFonts w:hint="eastAsia" w:cs="宋体"/>
          <w:b w:val="0"/>
          <w:bCs/>
          <w:color w:val="000000"/>
          <w:sz w:val="21"/>
          <w:szCs w:val="21"/>
        </w:rPr>
        <w:t>通信地址：。</w:t>
      </w:r>
    </w:p>
    <w:p w14:paraId="7146CA83">
      <w:pPr>
        <w:pStyle w:val="122"/>
        <w:spacing w:after="120"/>
        <w:rPr>
          <w:rFonts w:hint="eastAsia" w:cs="宋体"/>
          <w:b w:val="0"/>
          <w:bCs/>
          <w:color w:val="000000"/>
          <w:sz w:val="21"/>
          <w:szCs w:val="21"/>
        </w:rPr>
      </w:pPr>
      <w:r>
        <w:rPr>
          <w:rFonts w:hint="eastAsia" w:cs="宋体"/>
          <w:b w:val="0"/>
          <w:bCs/>
          <w:color w:val="000000"/>
          <w:sz w:val="21"/>
          <w:szCs w:val="21"/>
        </w:rPr>
        <w:t>承包人未提交劳动合同，以及没有为工程总承包项目经理缴纳社会保险证明的违约责任：。</w:t>
      </w:r>
    </w:p>
    <w:p w14:paraId="39F50D89">
      <w:pPr>
        <w:pStyle w:val="122"/>
        <w:spacing w:after="120"/>
        <w:rPr>
          <w:rFonts w:hint="eastAsia" w:cs="宋体"/>
          <w:b w:val="0"/>
          <w:bCs/>
          <w:color w:val="000000"/>
          <w:sz w:val="21"/>
          <w:szCs w:val="21"/>
        </w:rPr>
      </w:pPr>
      <w:r>
        <w:rPr>
          <w:rFonts w:hint="eastAsia" w:cs="宋体"/>
          <w:b w:val="0"/>
          <w:bCs/>
          <w:color w:val="000000"/>
          <w:sz w:val="21"/>
          <w:szCs w:val="21"/>
        </w:rPr>
        <w:t>4.3.2工程总承包项目经理每月在现场的时间要求：。</w:t>
      </w:r>
    </w:p>
    <w:p w14:paraId="5B75121E">
      <w:pPr>
        <w:pStyle w:val="122"/>
        <w:spacing w:after="120"/>
        <w:rPr>
          <w:rFonts w:hint="eastAsia" w:cs="宋体"/>
          <w:b w:val="0"/>
          <w:bCs/>
          <w:color w:val="000000"/>
          <w:sz w:val="21"/>
          <w:szCs w:val="21"/>
        </w:rPr>
      </w:pPr>
      <w:r>
        <w:rPr>
          <w:rFonts w:hint="eastAsia" w:cs="宋体"/>
          <w:b w:val="0"/>
          <w:bCs/>
          <w:color w:val="000000"/>
          <w:sz w:val="21"/>
          <w:szCs w:val="21"/>
        </w:rPr>
        <w:t>工程总承包项目经理未经批准擅自离开施工现场的违约责任：。</w:t>
      </w:r>
    </w:p>
    <w:p w14:paraId="7900380A">
      <w:pPr>
        <w:pStyle w:val="122"/>
        <w:spacing w:after="120"/>
        <w:rPr>
          <w:rFonts w:hint="eastAsia" w:cs="宋体"/>
          <w:b w:val="0"/>
          <w:bCs/>
          <w:color w:val="000000"/>
          <w:sz w:val="21"/>
          <w:szCs w:val="21"/>
        </w:rPr>
      </w:pPr>
      <w:r>
        <w:rPr>
          <w:rFonts w:hint="eastAsia" w:cs="宋体"/>
          <w:b w:val="0"/>
          <w:bCs/>
          <w:color w:val="000000"/>
          <w:sz w:val="21"/>
          <w:szCs w:val="21"/>
        </w:rPr>
        <w:t>4.3.3承包人对工程总承包项目经理的授权范围：。</w:t>
      </w:r>
    </w:p>
    <w:p w14:paraId="78D99A5C">
      <w:pPr>
        <w:pStyle w:val="122"/>
        <w:spacing w:after="120"/>
        <w:rPr>
          <w:rFonts w:hint="eastAsia" w:cs="宋体"/>
          <w:b w:val="0"/>
          <w:bCs/>
          <w:color w:val="000000"/>
          <w:sz w:val="21"/>
          <w:szCs w:val="21"/>
        </w:rPr>
      </w:pPr>
      <w:r>
        <w:rPr>
          <w:rFonts w:hint="eastAsia" w:cs="宋体"/>
          <w:b w:val="0"/>
          <w:bCs/>
          <w:color w:val="000000"/>
          <w:sz w:val="21"/>
          <w:szCs w:val="21"/>
        </w:rPr>
        <w:t>4.3.4承包人擅自更换工程总承包项目经理的违约责任：派驻本合同工程的项目经理未经得发包人及监理工程师的同意不得更换。</w:t>
      </w:r>
    </w:p>
    <w:p w14:paraId="059D1085">
      <w:pPr>
        <w:pStyle w:val="122"/>
        <w:spacing w:after="120"/>
        <w:rPr>
          <w:rFonts w:hint="eastAsia" w:cs="宋体"/>
          <w:b w:val="0"/>
          <w:bCs/>
          <w:color w:val="000000"/>
          <w:sz w:val="21"/>
          <w:szCs w:val="21"/>
        </w:rPr>
      </w:pPr>
      <w:r>
        <w:rPr>
          <w:rFonts w:hint="eastAsia" w:cs="宋体"/>
          <w:b w:val="0"/>
          <w:bCs/>
          <w:color w:val="000000"/>
          <w:sz w:val="21"/>
          <w:szCs w:val="21"/>
        </w:rPr>
        <w:t>发包人或监理方发现承包人委派项目经理不能满足项目实施要求，有权要求承包人更换或增派相关人员，承包人应立即执行，否则将视承包人违约。</w:t>
      </w:r>
    </w:p>
    <w:p w14:paraId="685F700D">
      <w:pPr>
        <w:pStyle w:val="122"/>
        <w:spacing w:after="120"/>
        <w:rPr>
          <w:rFonts w:hint="eastAsia" w:cs="宋体"/>
          <w:b w:val="0"/>
          <w:bCs/>
          <w:color w:val="000000"/>
          <w:sz w:val="21"/>
          <w:szCs w:val="21"/>
        </w:rPr>
      </w:pPr>
      <w:r>
        <w:rPr>
          <w:rFonts w:hint="eastAsia" w:cs="宋体"/>
          <w:b w:val="0"/>
          <w:bCs/>
          <w:color w:val="000000"/>
          <w:sz w:val="21"/>
          <w:szCs w:val="21"/>
        </w:rPr>
        <w:t>4.3.5承包人无正当理由拒绝更换工程总承包项目经理的违约责任：。</w:t>
      </w:r>
    </w:p>
    <w:p w14:paraId="443E2F76">
      <w:pPr>
        <w:pStyle w:val="122"/>
        <w:spacing w:after="120"/>
        <w:rPr>
          <w:rFonts w:hint="eastAsia" w:cs="宋体"/>
          <w:b w:val="0"/>
          <w:bCs/>
          <w:color w:val="000000"/>
          <w:sz w:val="21"/>
          <w:szCs w:val="21"/>
        </w:rPr>
      </w:pPr>
      <w:r>
        <w:rPr>
          <w:rFonts w:hint="eastAsia" w:cs="宋体"/>
          <w:b w:val="0"/>
          <w:bCs/>
          <w:color w:val="000000"/>
          <w:sz w:val="21"/>
          <w:szCs w:val="21"/>
        </w:rPr>
        <w:t>4.4承包人人员</w:t>
      </w:r>
    </w:p>
    <w:p w14:paraId="181A532E">
      <w:pPr>
        <w:pStyle w:val="122"/>
        <w:spacing w:after="120"/>
        <w:rPr>
          <w:rFonts w:hint="eastAsia" w:cs="宋体"/>
          <w:b w:val="0"/>
          <w:bCs/>
          <w:color w:val="000000"/>
          <w:sz w:val="21"/>
          <w:szCs w:val="21"/>
        </w:rPr>
      </w:pPr>
      <w:r>
        <w:rPr>
          <w:rFonts w:hint="eastAsia" w:cs="宋体"/>
          <w:b w:val="0"/>
          <w:bCs/>
          <w:color w:val="000000"/>
          <w:sz w:val="21"/>
          <w:szCs w:val="21"/>
        </w:rPr>
        <w:t>4.4.1人员安排</w:t>
      </w:r>
    </w:p>
    <w:p w14:paraId="5E4961FA">
      <w:pPr>
        <w:pStyle w:val="122"/>
        <w:spacing w:after="120"/>
        <w:rPr>
          <w:rFonts w:hint="eastAsia" w:cs="宋体"/>
          <w:b w:val="0"/>
          <w:bCs/>
          <w:color w:val="000000"/>
          <w:sz w:val="21"/>
          <w:szCs w:val="21"/>
        </w:rPr>
      </w:pPr>
      <w:r>
        <w:rPr>
          <w:rFonts w:hint="eastAsia" w:cs="宋体"/>
          <w:b w:val="0"/>
          <w:bCs/>
          <w:color w:val="000000"/>
          <w:sz w:val="21"/>
          <w:szCs w:val="21"/>
        </w:rPr>
        <w:t>承包人提交项目管理机构及施工现场人员安排的报告的期限：。</w:t>
      </w:r>
    </w:p>
    <w:p w14:paraId="18FA9BF4">
      <w:pPr>
        <w:pStyle w:val="122"/>
        <w:spacing w:after="120"/>
        <w:rPr>
          <w:rFonts w:hint="eastAsia" w:cs="宋体"/>
          <w:b w:val="0"/>
          <w:bCs/>
          <w:color w:val="000000"/>
          <w:sz w:val="21"/>
          <w:szCs w:val="21"/>
        </w:rPr>
      </w:pPr>
      <w:r>
        <w:rPr>
          <w:rFonts w:hint="eastAsia" w:cs="宋体"/>
          <w:b w:val="0"/>
          <w:bCs/>
          <w:color w:val="000000"/>
          <w:sz w:val="21"/>
          <w:szCs w:val="21"/>
        </w:rPr>
        <w:t>承包人提交关键人员信息及注册执业资格等证明其具备担任关键人员能力的相关文件的期限：。</w:t>
      </w:r>
    </w:p>
    <w:p w14:paraId="2072E381">
      <w:pPr>
        <w:pStyle w:val="122"/>
        <w:spacing w:after="120"/>
        <w:rPr>
          <w:rFonts w:hint="eastAsia" w:cs="宋体"/>
          <w:b w:val="0"/>
          <w:bCs/>
          <w:color w:val="000000"/>
          <w:sz w:val="21"/>
          <w:szCs w:val="21"/>
        </w:rPr>
      </w:pPr>
      <w:r>
        <w:rPr>
          <w:rFonts w:hint="eastAsia" w:cs="宋体"/>
          <w:b w:val="0"/>
          <w:bCs/>
          <w:color w:val="000000"/>
          <w:sz w:val="21"/>
          <w:szCs w:val="21"/>
        </w:rPr>
        <w:t>4.4.2关键人员更换</w:t>
      </w:r>
    </w:p>
    <w:p w14:paraId="23FA1381">
      <w:pPr>
        <w:pStyle w:val="122"/>
        <w:spacing w:after="120"/>
        <w:rPr>
          <w:rFonts w:hint="eastAsia" w:cs="宋体"/>
          <w:b w:val="0"/>
          <w:bCs/>
          <w:color w:val="000000"/>
          <w:sz w:val="21"/>
          <w:szCs w:val="21"/>
        </w:rPr>
      </w:pPr>
      <w:r>
        <w:rPr>
          <w:rFonts w:hint="eastAsia" w:cs="宋体"/>
          <w:b w:val="0"/>
          <w:bCs/>
          <w:color w:val="000000"/>
          <w:sz w:val="21"/>
          <w:szCs w:val="21"/>
        </w:rPr>
        <w:t>承包人擅自更换关键人员的违约责任：。</w:t>
      </w:r>
    </w:p>
    <w:p w14:paraId="2BE055D9">
      <w:pPr>
        <w:pStyle w:val="122"/>
        <w:spacing w:after="120"/>
        <w:rPr>
          <w:rFonts w:hint="eastAsia" w:cs="宋体"/>
          <w:b w:val="0"/>
          <w:bCs/>
          <w:color w:val="000000"/>
          <w:sz w:val="21"/>
          <w:szCs w:val="21"/>
        </w:rPr>
      </w:pPr>
      <w:r>
        <w:rPr>
          <w:rFonts w:hint="eastAsia" w:cs="宋体"/>
          <w:b w:val="0"/>
          <w:bCs/>
          <w:color w:val="000000"/>
          <w:sz w:val="21"/>
          <w:szCs w:val="21"/>
        </w:rPr>
        <w:t>承包人无正当理由拒绝撤换关键人员的违约责任：。</w:t>
      </w:r>
    </w:p>
    <w:p w14:paraId="779E3D45">
      <w:pPr>
        <w:pStyle w:val="122"/>
        <w:spacing w:after="120"/>
        <w:rPr>
          <w:rFonts w:hint="eastAsia" w:cs="宋体"/>
          <w:b w:val="0"/>
          <w:bCs/>
          <w:color w:val="000000"/>
          <w:sz w:val="21"/>
          <w:szCs w:val="21"/>
        </w:rPr>
      </w:pPr>
      <w:r>
        <w:rPr>
          <w:rFonts w:hint="eastAsia" w:cs="宋体"/>
          <w:b w:val="0"/>
          <w:bCs/>
          <w:color w:val="000000"/>
          <w:sz w:val="21"/>
          <w:szCs w:val="21"/>
        </w:rPr>
        <w:t>4.4.3现场管理关键人员在岗要求</w:t>
      </w:r>
    </w:p>
    <w:p w14:paraId="3A99FCF1">
      <w:pPr>
        <w:pStyle w:val="122"/>
        <w:spacing w:after="120"/>
        <w:rPr>
          <w:rFonts w:hint="eastAsia" w:cs="宋体"/>
          <w:b w:val="0"/>
          <w:bCs/>
          <w:color w:val="000000"/>
          <w:sz w:val="21"/>
          <w:szCs w:val="21"/>
        </w:rPr>
      </w:pPr>
      <w:r>
        <w:rPr>
          <w:rFonts w:hint="eastAsia" w:cs="宋体"/>
          <w:b w:val="0"/>
          <w:bCs/>
          <w:color w:val="000000"/>
          <w:sz w:val="21"/>
          <w:szCs w:val="21"/>
        </w:rPr>
        <w:t>承包人现场管理关键人员离开施工现场的批准要求：。</w:t>
      </w:r>
    </w:p>
    <w:p w14:paraId="44DECA90">
      <w:pPr>
        <w:pStyle w:val="122"/>
        <w:spacing w:after="120"/>
        <w:rPr>
          <w:rFonts w:hint="eastAsia" w:cs="宋体"/>
          <w:b w:val="0"/>
          <w:bCs/>
          <w:color w:val="000000"/>
          <w:sz w:val="21"/>
          <w:szCs w:val="21"/>
        </w:rPr>
      </w:pPr>
      <w:r>
        <w:rPr>
          <w:rFonts w:hint="eastAsia" w:cs="宋体"/>
          <w:b w:val="0"/>
          <w:bCs/>
          <w:color w:val="000000"/>
          <w:sz w:val="21"/>
          <w:szCs w:val="21"/>
        </w:rPr>
        <w:t>承包人现场管理关键人员擅自离开施工现场的违约责任：。</w:t>
      </w:r>
    </w:p>
    <w:p w14:paraId="2FE9B775">
      <w:pPr>
        <w:pStyle w:val="122"/>
        <w:spacing w:after="120"/>
        <w:rPr>
          <w:rFonts w:hint="eastAsia" w:cs="宋体"/>
          <w:b w:val="0"/>
          <w:bCs/>
          <w:color w:val="000000"/>
          <w:sz w:val="21"/>
          <w:szCs w:val="21"/>
        </w:rPr>
      </w:pPr>
      <w:r>
        <w:rPr>
          <w:rFonts w:hint="eastAsia" w:cs="宋体"/>
          <w:b w:val="0"/>
          <w:bCs/>
          <w:color w:val="000000"/>
          <w:sz w:val="21"/>
          <w:szCs w:val="21"/>
        </w:rPr>
        <w:t>4.5分包</w:t>
      </w:r>
    </w:p>
    <w:p w14:paraId="0B82D975">
      <w:pPr>
        <w:pStyle w:val="122"/>
        <w:spacing w:after="120"/>
        <w:rPr>
          <w:rFonts w:hint="eastAsia" w:cs="宋体"/>
          <w:b w:val="0"/>
          <w:bCs/>
          <w:color w:val="000000"/>
          <w:sz w:val="21"/>
          <w:szCs w:val="21"/>
        </w:rPr>
      </w:pPr>
      <w:r>
        <w:rPr>
          <w:rFonts w:hint="eastAsia" w:cs="宋体"/>
          <w:b w:val="0"/>
          <w:bCs/>
          <w:color w:val="000000"/>
          <w:sz w:val="21"/>
          <w:szCs w:val="21"/>
        </w:rPr>
        <w:t>4.5.1一般约定</w:t>
      </w:r>
    </w:p>
    <w:p w14:paraId="22CCF854">
      <w:pPr>
        <w:pStyle w:val="122"/>
        <w:spacing w:after="120"/>
        <w:rPr>
          <w:rFonts w:hint="eastAsia" w:cs="宋体"/>
          <w:b w:val="0"/>
          <w:bCs/>
          <w:color w:val="000000"/>
          <w:sz w:val="21"/>
          <w:szCs w:val="21"/>
        </w:rPr>
      </w:pPr>
      <w:r>
        <w:rPr>
          <w:rFonts w:hint="eastAsia" w:cs="宋体"/>
          <w:b w:val="0"/>
          <w:bCs/>
          <w:color w:val="000000"/>
          <w:sz w:val="21"/>
          <w:szCs w:val="21"/>
        </w:rPr>
        <w:t>禁止分包的工程包括：。</w:t>
      </w:r>
    </w:p>
    <w:p w14:paraId="66CB811D">
      <w:pPr>
        <w:pStyle w:val="122"/>
        <w:spacing w:after="120"/>
        <w:rPr>
          <w:rFonts w:hint="eastAsia" w:cs="宋体"/>
          <w:b w:val="0"/>
          <w:bCs/>
          <w:color w:val="000000"/>
          <w:sz w:val="21"/>
          <w:szCs w:val="21"/>
        </w:rPr>
      </w:pPr>
      <w:r>
        <w:rPr>
          <w:rFonts w:hint="eastAsia" w:cs="宋体"/>
          <w:b w:val="0"/>
          <w:bCs/>
          <w:color w:val="000000"/>
          <w:sz w:val="21"/>
          <w:szCs w:val="21"/>
        </w:rPr>
        <w:t>4.5.2分包的确定</w:t>
      </w:r>
    </w:p>
    <w:p w14:paraId="7BD807AC">
      <w:pPr>
        <w:pStyle w:val="122"/>
        <w:spacing w:after="120"/>
        <w:rPr>
          <w:rFonts w:hint="eastAsia" w:cs="宋体"/>
          <w:b w:val="0"/>
          <w:bCs/>
          <w:color w:val="000000"/>
          <w:sz w:val="21"/>
          <w:szCs w:val="21"/>
        </w:rPr>
      </w:pPr>
      <w:r>
        <w:rPr>
          <w:rFonts w:hint="eastAsia" w:cs="宋体"/>
          <w:b w:val="0"/>
          <w:bCs/>
          <w:color w:val="000000"/>
          <w:sz w:val="21"/>
          <w:szCs w:val="21"/>
        </w:rPr>
        <w:t>允许分包的工程包括：。</w:t>
      </w:r>
    </w:p>
    <w:p w14:paraId="7048AA75">
      <w:pPr>
        <w:pStyle w:val="122"/>
        <w:spacing w:after="120"/>
        <w:rPr>
          <w:rFonts w:hint="eastAsia" w:cs="宋体"/>
          <w:b w:val="0"/>
          <w:bCs/>
          <w:color w:val="000000"/>
          <w:sz w:val="21"/>
          <w:szCs w:val="21"/>
        </w:rPr>
      </w:pPr>
      <w:r>
        <w:rPr>
          <w:rFonts w:hint="eastAsia" w:cs="宋体"/>
          <w:b w:val="0"/>
          <w:bCs/>
          <w:color w:val="000000"/>
          <w:sz w:val="21"/>
          <w:szCs w:val="21"/>
        </w:rPr>
        <w:t>其他关于分包的约定：承包人承包工程范围内的项目原则上不允许分包，若确需分包才能完成的项目，承包人必须把相关分包工程的内容范围，拟采取的分包单位选择方式，分包单位根据国家相关规定应具有的相应资质报发包人，经发包人书面同意后，方可依法进行。但以暂估价形式包括在总承包范围内的工程、货物、服务分包时，属于依法必须进行招标的项目范围且达到国家规定规模标准的，应当依法招标。</w:t>
      </w:r>
    </w:p>
    <w:p w14:paraId="3E096AE9">
      <w:pPr>
        <w:pStyle w:val="122"/>
        <w:spacing w:after="120"/>
        <w:ind w:firstLine="211" w:firstLineChars="100"/>
        <w:rPr>
          <w:rFonts w:hint="eastAsia" w:cs="宋体"/>
          <w:b/>
          <w:bCs w:val="0"/>
          <w:color w:val="000000"/>
          <w:sz w:val="21"/>
          <w:szCs w:val="21"/>
        </w:rPr>
      </w:pPr>
      <w:r>
        <w:rPr>
          <w:rFonts w:hint="eastAsia" w:cs="宋体"/>
          <w:b/>
          <w:bCs w:val="0"/>
          <w:color w:val="000000"/>
          <w:sz w:val="21"/>
          <w:szCs w:val="21"/>
        </w:rPr>
        <w:t>本项目中特殊的专项施工工程若由发包人另行组织招标，另行签订施工合同，本合同承包人必须给予配合，发包人平行发包项目的承包人，须向本合同联合体牵头单位缴纳</w:t>
      </w:r>
      <w:r>
        <w:rPr>
          <w:rFonts w:hint="eastAsia" w:cs="宋体"/>
          <w:b/>
          <w:bCs w:val="0"/>
          <w:color w:val="000000"/>
          <w:sz w:val="21"/>
          <w:szCs w:val="21"/>
          <w:lang w:val="en-US" w:eastAsia="zh-CN"/>
        </w:rPr>
        <w:t>2</w:t>
      </w:r>
      <w:r>
        <w:rPr>
          <w:rFonts w:hint="eastAsia" w:cs="宋体"/>
          <w:b/>
          <w:bCs w:val="0"/>
          <w:color w:val="000000"/>
          <w:sz w:val="21"/>
          <w:szCs w:val="21"/>
        </w:rPr>
        <w:t>.5%的总承包服务费。</w:t>
      </w:r>
    </w:p>
    <w:p w14:paraId="1B7BA865">
      <w:pPr>
        <w:pStyle w:val="122"/>
        <w:spacing w:after="120"/>
        <w:rPr>
          <w:rFonts w:hint="eastAsia" w:cs="宋体"/>
          <w:b w:val="0"/>
          <w:bCs/>
          <w:color w:val="000000"/>
          <w:sz w:val="21"/>
          <w:szCs w:val="21"/>
        </w:rPr>
      </w:pPr>
      <w:r>
        <w:rPr>
          <w:rFonts w:hint="eastAsia" w:cs="宋体"/>
          <w:b w:val="0"/>
          <w:bCs/>
          <w:color w:val="000000"/>
          <w:sz w:val="21"/>
          <w:szCs w:val="21"/>
        </w:rPr>
        <w:t>4.5.5分包合同价款支付</w:t>
      </w:r>
    </w:p>
    <w:p w14:paraId="46FF1099">
      <w:pPr>
        <w:pStyle w:val="122"/>
        <w:spacing w:after="120"/>
        <w:rPr>
          <w:rFonts w:hint="eastAsia" w:cs="宋体"/>
          <w:b w:val="0"/>
          <w:bCs/>
          <w:color w:val="000000"/>
          <w:sz w:val="21"/>
          <w:szCs w:val="21"/>
        </w:rPr>
      </w:pPr>
      <w:r>
        <w:rPr>
          <w:rFonts w:hint="eastAsia" w:cs="宋体"/>
          <w:b w:val="0"/>
          <w:bCs/>
          <w:color w:val="000000"/>
          <w:sz w:val="21"/>
          <w:szCs w:val="21"/>
        </w:rPr>
        <w:t>关于分包合同价款支付的约定：。</w:t>
      </w:r>
    </w:p>
    <w:p w14:paraId="54CE014E">
      <w:pPr>
        <w:pStyle w:val="122"/>
        <w:spacing w:after="120"/>
        <w:rPr>
          <w:rFonts w:hint="eastAsia" w:cs="宋体"/>
          <w:b w:val="0"/>
          <w:bCs/>
          <w:color w:val="000000"/>
          <w:sz w:val="21"/>
          <w:szCs w:val="21"/>
        </w:rPr>
      </w:pPr>
      <w:r>
        <w:rPr>
          <w:rFonts w:hint="eastAsia" w:cs="宋体"/>
          <w:b w:val="0"/>
          <w:bCs/>
          <w:color w:val="000000"/>
          <w:sz w:val="21"/>
          <w:szCs w:val="21"/>
        </w:rPr>
        <w:t>4.6联合体</w:t>
      </w:r>
    </w:p>
    <w:p w14:paraId="1BDD9BEE">
      <w:pPr>
        <w:pStyle w:val="122"/>
        <w:spacing w:after="120"/>
        <w:rPr>
          <w:rFonts w:hint="eastAsia" w:cs="宋体"/>
          <w:b w:val="0"/>
          <w:bCs/>
          <w:color w:val="000000"/>
          <w:sz w:val="21"/>
          <w:szCs w:val="21"/>
        </w:rPr>
      </w:pPr>
      <w:r>
        <w:rPr>
          <w:rFonts w:hint="eastAsia" w:cs="宋体"/>
          <w:b w:val="0"/>
          <w:bCs/>
          <w:color w:val="000000"/>
          <w:sz w:val="21"/>
          <w:szCs w:val="21"/>
        </w:rPr>
        <w:t>4.6.2联合体各成员的分工、费用收取、发票开具等事项：若以联合体形式中标，本合同价款将根据联合体协议约定的分工和比例，由发包人直接支付至承担相应工作的联合体成员账户。各成员单位需分别向发包人开具符合税务规定的增值税专用发票。</w:t>
      </w:r>
    </w:p>
    <w:p w14:paraId="5365B407">
      <w:pPr>
        <w:pStyle w:val="122"/>
        <w:spacing w:after="120"/>
        <w:rPr>
          <w:rFonts w:hint="eastAsia" w:cs="宋体"/>
          <w:b/>
          <w:bCs w:val="0"/>
          <w:color w:val="000000"/>
          <w:sz w:val="21"/>
          <w:szCs w:val="21"/>
        </w:rPr>
      </w:pPr>
      <w:r>
        <w:rPr>
          <w:rFonts w:hint="eastAsia" w:cs="宋体"/>
          <w:b/>
          <w:bCs w:val="0"/>
          <w:color w:val="000000"/>
          <w:sz w:val="21"/>
          <w:szCs w:val="21"/>
        </w:rPr>
        <w:t>4.6.3联合体各方针对联合体协议书约定各自承担所实施部分的违约责任，发包人需依据联合体协议书约定向违约方追究相关责任。联合体牵头单位协助发包人及相关单位对联合体各成员进行管协调、沟通，提供项目施工现场临时道路使用及预留临水临电接口，除设计、勘察单位以外的联合体成员须向联合体牵头单位缴纳</w:t>
      </w:r>
      <w:r>
        <w:rPr>
          <w:rFonts w:hint="eastAsia" w:cs="宋体"/>
          <w:b/>
          <w:bCs w:val="0"/>
          <w:color w:val="000000"/>
          <w:sz w:val="21"/>
          <w:szCs w:val="21"/>
          <w:lang w:val="en-US" w:eastAsia="zh-CN"/>
        </w:rPr>
        <w:t>2</w:t>
      </w:r>
      <w:r>
        <w:rPr>
          <w:rFonts w:hint="eastAsia" w:cs="宋体"/>
          <w:b/>
          <w:bCs w:val="0"/>
          <w:color w:val="000000"/>
          <w:sz w:val="21"/>
          <w:szCs w:val="21"/>
        </w:rPr>
        <w:t>.5%的总承包服务费。</w:t>
      </w:r>
    </w:p>
    <w:p w14:paraId="5A41FCEB">
      <w:pPr>
        <w:pStyle w:val="122"/>
        <w:spacing w:after="120"/>
        <w:rPr>
          <w:rFonts w:hint="eastAsia" w:cs="宋体"/>
          <w:b w:val="0"/>
          <w:bCs/>
          <w:color w:val="000000"/>
          <w:sz w:val="21"/>
          <w:szCs w:val="21"/>
        </w:rPr>
      </w:pPr>
      <w:r>
        <w:rPr>
          <w:rFonts w:hint="eastAsia" w:cs="宋体"/>
          <w:b w:val="0"/>
          <w:bCs/>
          <w:color w:val="000000"/>
          <w:sz w:val="21"/>
          <w:szCs w:val="21"/>
        </w:rPr>
        <w:t>4.7承包人现场查勘</w:t>
      </w:r>
    </w:p>
    <w:p w14:paraId="480462E1">
      <w:pPr>
        <w:pStyle w:val="122"/>
        <w:spacing w:after="120"/>
        <w:rPr>
          <w:rFonts w:hint="eastAsia" w:cs="宋体"/>
          <w:b w:val="0"/>
          <w:bCs/>
          <w:color w:val="000000"/>
          <w:sz w:val="21"/>
          <w:szCs w:val="21"/>
        </w:rPr>
      </w:pPr>
      <w:r>
        <w:rPr>
          <w:rFonts w:hint="eastAsia" w:cs="宋体"/>
          <w:b w:val="0"/>
          <w:bCs/>
          <w:color w:val="000000"/>
          <w:sz w:val="21"/>
          <w:szCs w:val="21"/>
        </w:rPr>
        <w:t>4.7.1双方当事人对现场查勘的责任承担的约定：。</w:t>
      </w:r>
    </w:p>
    <w:p w14:paraId="1BE7EEBA">
      <w:pPr>
        <w:pStyle w:val="122"/>
        <w:spacing w:after="120"/>
        <w:rPr>
          <w:rFonts w:hint="eastAsia" w:cs="宋体"/>
          <w:b w:val="0"/>
          <w:bCs/>
          <w:color w:val="000000"/>
          <w:sz w:val="21"/>
          <w:szCs w:val="21"/>
        </w:rPr>
      </w:pPr>
      <w:r>
        <w:rPr>
          <w:rFonts w:hint="eastAsia" w:cs="宋体"/>
          <w:b w:val="0"/>
          <w:bCs/>
          <w:color w:val="000000"/>
          <w:sz w:val="21"/>
          <w:szCs w:val="21"/>
        </w:rPr>
        <w:t>4.8不可预见的困难</w:t>
      </w:r>
    </w:p>
    <w:p w14:paraId="144DE663">
      <w:pPr>
        <w:pStyle w:val="122"/>
        <w:spacing w:after="120"/>
        <w:rPr>
          <w:rFonts w:hint="eastAsia" w:cs="宋体"/>
          <w:b w:val="0"/>
          <w:bCs/>
          <w:color w:val="000000"/>
          <w:sz w:val="21"/>
          <w:szCs w:val="21"/>
        </w:rPr>
      </w:pPr>
      <w:r>
        <w:rPr>
          <w:rFonts w:hint="eastAsia" w:cs="宋体"/>
          <w:b w:val="0"/>
          <w:bCs/>
          <w:color w:val="000000"/>
          <w:sz w:val="21"/>
          <w:szCs w:val="21"/>
        </w:rPr>
        <w:t>不可预见的困难包括：。</w:t>
      </w:r>
    </w:p>
    <w:p w14:paraId="1E4EAE00">
      <w:pPr>
        <w:pStyle w:val="122"/>
        <w:spacing w:after="120"/>
        <w:rPr>
          <w:rFonts w:hint="eastAsia" w:cs="宋体"/>
          <w:b w:val="0"/>
          <w:bCs/>
          <w:color w:val="000000"/>
          <w:sz w:val="21"/>
          <w:szCs w:val="21"/>
        </w:rPr>
      </w:pPr>
      <w:r>
        <w:rPr>
          <w:rFonts w:hint="eastAsia" w:cs="宋体"/>
          <w:b w:val="0"/>
          <w:bCs/>
          <w:color w:val="000000"/>
          <w:sz w:val="21"/>
          <w:szCs w:val="21"/>
        </w:rPr>
        <w:t>第5条设计</w:t>
      </w:r>
    </w:p>
    <w:p w14:paraId="52490170">
      <w:pPr>
        <w:pStyle w:val="122"/>
        <w:spacing w:after="120"/>
        <w:rPr>
          <w:rFonts w:hint="eastAsia" w:cs="宋体"/>
          <w:b w:val="0"/>
          <w:bCs/>
          <w:color w:val="000000"/>
          <w:sz w:val="21"/>
          <w:szCs w:val="21"/>
        </w:rPr>
      </w:pPr>
      <w:r>
        <w:rPr>
          <w:rFonts w:hint="eastAsia" w:cs="宋体"/>
          <w:b w:val="0"/>
          <w:bCs/>
          <w:color w:val="000000"/>
          <w:sz w:val="21"/>
          <w:szCs w:val="21"/>
        </w:rPr>
        <w:t>5.2承包人文件审查</w:t>
      </w:r>
    </w:p>
    <w:p w14:paraId="0811E3F7">
      <w:pPr>
        <w:pStyle w:val="122"/>
        <w:spacing w:after="120"/>
        <w:rPr>
          <w:rFonts w:hint="eastAsia" w:cs="宋体"/>
          <w:b w:val="0"/>
          <w:bCs/>
          <w:color w:val="000000"/>
          <w:sz w:val="21"/>
          <w:szCs w:val="21"/>
        </w:rPr>
      </w:pPr>
      <w:r>
        <w:rPr>
          <w:rFonts w:hint="eastAsia" w:cs="宋体"/>
          <w:b w:val="0"/>
          <w:bCs/>
          <w:color w:val="000000"/>
          <w:sz w:val="21"/>
          <w:szCs w:val="21"/>
        </w:rPr>
        <w:t>5.2.1承包人文件审查的期限：。</w:t>
      </w:r>
    </w:p>
    <w:p w14:paraId="5B01DBFF">
      <w:pPr>
        <w:pStyle w:val="122"/>
        <w:spacing w:after="120"/>
        <w:rPr>
          <w:rFonts w:hint="eastAsia" w:cs="宋体"/>
          <w:b w:val="0"/>
          <w:bCs/>
          <w:color w:val="000000"/>
          <w:sz w:val="21"/>
          <w:szCs w:val="21"/>
        </w:rPr>
      </w:pPr>
      <w:r>
        <w:rPr>
          <w:rFonts w:hint="eastAsia" w:cs="宋体"/>
          <w:b w:val="0"/>
          <w:bCs/>
          <w:color w:val="000000"/>
          <w:sz w:val="21"/>
          <w:szCs w:val="21"/>
        </w:rPr>
        <w:t>5.2.2审查会议的审查形式和时间安排为：，审查会议的相关费用由</w:t>
      </w:r>
    </w:p>
    <w:p w14:paraId="0E71944B">
      <w:pPr>
        <w:pStyle w:val="122"/>
        <w:spacing w:after="120"/>
        <w:rPr>
          <w:rFonts w:hint="eastAsia" w:cs="宋体"/>
          <w:b w:val="0"/>
          <w:bCs/>
          <w:color w:val="000000"/>
          <w:sz w:val="21"/>
          <w:szCs w:val="21"/>
        </w:rPr>
      </w:pPr>
      <w:r>
        <w:rPr>
          <w:rFonts w:hint="eastAsia" w:cs="宋体"/>
          <w:b w:val="0"/>
          <w:bCs/>
          <w:color w:val="000000"/>
          <w:sz w:val="21"/>
          <w:szCs w:val="21"/>
        </w:rPr>
        <w:t>承担。</w:t>
      </w:r>
    </w:p>
    <w:p w14:paraId="47819FCB">
      <w:pPr>
        <w:pStyle w:val="122"/>
        <w:spacing w:after="120"/>
        <w:rPr>
          <w:rFonts w:hint="eastAsia" w:cs="宋体"/>
          <w:b w:val="0"/>
          <w:bCs/>
          <w:color w:val="000000"/>
          <w:sz w:val="21"/>
          <w:szCs w:val="21"/>
        </w:rPr>
      </w:pPr>
      <w:r>
        <w:rPr>
          <w:rFonts w:hint="eastAsia" w:cs="宋体"/>
          <w:b w:val="0"/>
          <w:bCs/>
          <w:color w:val="000000"/>
          <w:sz w:val="21"/>
          <w:szCs w:val="21"/>
        </w:rPr>
        <w:t>5.2.3关于第三方审查单位的约定：。</w:t>
      </w:r>
    </w:p>
    <w:p w14:paraId="13EB98A0">
      <w:pPr>
        <w:pStyle w:val="122"/>
        <w:spacing w:after="120"/>
        <w:rPr>
          <w:rFonts w:hint="eastAsia" w:cs="宋体"/>
          <w:b w:val="0"/>
          <w:bCs/>
          <w:color w:val="000000"/>
          <w:sz w:val="21"/>
          <w:szCs w:val="21"/>
        </w:rPr>
      </w:pPr>
      <w:r>
        <w:rPr>
          <w:rFonts w:hint="eastAsia" w:cs="宋体"/>
          <w:b w:val="0"/>
          <w:bCs/>
          <w:color w:val="000000"/>
          <w:sz w:val="21"/>
          <w:szCs w:val="21"/>
        </w:rPr>
        <w:t>5.3培训</w:t>
      </w:r>
    </w:p>
    <w:p w14:paraId="1AEA66F1">
      <w:pPr>
        <w:pStyle w:val="122"/>
        <w:spacing w:after="120"/>
        <w:rPr>
          <w:rFonts w:hint="eastAsia" w:cs="宋体"/>
          <w:b w:val="0"/>
          <w:bCs/>
          <w:color w:val="000000"/>
          <w:sz w:val="21"/>
          <w:szCs w:val="21"/>
        </w:rPr>
      </w:pPr>
      <w:r>
        <w:rPr>
          <w:rFonts w:hint="eastAsia" w:cs="宋体"/>
          <w:b w:val="0"/>
          <w:bCs/>
          <w:color w:val="000000"/>
          <w:sz w:val="21"/>
          <w:szCs w:val="21"/>
        </w:rPr>
        <w:t>培训的时长为，承包人应为培训提供的人员、设施和其它必要条件为。</w:t>
      </w:r>
    </w:p>
    <w:p w14:paraId="38F6B025">
      <w:pPr>
        <w:pStyle w:val="122"/>
        <w:spacing w:after="120"/>
        <w:rPr>
          <w:rFonts w:hint="eastAsia" w:cs="宋体"/>
          <w:b w:val="0"/>
          <w:bCs/>
          <w:color w:val="000000"/>
          <w:sz w:val="21"/>
          <w:szCs w:val="21"/>
        </w:rPr>
      </w:pPr>
      <w:r>
        <w:rPr>
          <w:rFonts w:hint="eastAsia" w:cs="宋体"/>
          <w:b w:val="0"/>
          <w:bCs/>
          <w:color w:val="000000"/>
          <w:sz w:val="21"/>
          <w:szCs w:val="21"/>
        </w:rPr>
        <w:t>5.4竣工文件</w:t>
      </w:r>
    </w:p>
    <w:p w14:paraId="4F99CDE3">
      <w:pPr>
        <w:pStyle w:val="122"/>
        <w:spacing w:after="120"/>
        <w:rPr>
          <w:rFonts w:hint="eastAsia" w:cs="宋体"/>
          <w:b w:val="0"/>
          <w:bCs/>
          <w:color w:val="000000"/>
          <w:sz w:val="21"/>
          <w:szCs w:val="21"/>
        </w:rPr>
      </w:pPr>
      <w:r>
        <w:rPr>
          <w:rFonts w:hint="eastAsia" w:cs="宋体"/>
          <w:b w:val="0"/>
          <w:bCs/>
          <w:color w:val="000000"/>
          <w:sz w:val="21"/>
          <w:szCs w:val="21"/>
        </w:rPr>
        <w:t>5.4.1竣工文件的形式、提供的份数、技术标准以及其它相关要求：。</w:t>
      </w:r>
    </w:p>
    <w:p w14:paraId="219729DF">
      <w:pPr>
        <w:pStyle w:val="122"/>
        <w:spacing w:after="120"/>
        <w:rPr>
          <w:rFonts w:hint="eastAsia" w:cs="宋体"/>
          <w:b w:val="0"/>
          <w:bCs/>
          <w:color w:val="000000"/>
          <w:sz w:val="21"/>
          <w:szCs w:val="21"/>
        </w:rPr>
      </w:pPr>
      <w:r>
        <w:rPr>
          <w:rFonts w:hint="eastAsia" w:cs="宋体"/>
          <w:b w:val="0"/>
          <w:bCs/>
          <w:color w:val="000000"/>
          <w:sz w:val="21"/>
          <w:szCs w:val="21"/>
        </w:rPr>
        <w:t>5.4.3关于竣工文件的其他约定：。</w:t>
      </w:r>
    </w:p>
    <w:p w14:paraId="197404DF">
      <w:pPr>
        <w:pStyle w:val="122"/>
        <w:spacing w:after="120"/>
        <w:rPr>
          <w:rFonts w:hint="eastAsia" w:cs="宋体"/>
          <w:b w:val="0"/>
          <w:bCs/>
          <w:color w:val="000000"/>
          <w:sz w:val="21"/>
          <w:szCs w:val="21"/>
        </w:rPr>
      </w:pPr>
      <w:r>
        <w:rPr>
          <w:rFonts w:hint="eastAsia" w:cs="宋体"/>
          <w:b w:val="0"/>
          <w:bCs/>
          <w:color w:val="000000"/>
          <w:sz w:val="21"/>
          <w:szCs w:val="21"/>
        </w:rPr>
        <w:t>5.5操作和维修手册</w:t>
      </w:r>
    </w:p>
    <w:p w14:paraId="63C2B170">
      <w:pPr>
        <w:pStyle w:val="122"/>
        <w:spacing w:after="120"/>
        <w:rPr>
          <w:rFonts w:hint="eastAsia" w:cs="宋体"/>
          <w:b w:val="0"/>
          <w:bCs/>
          <w:color w:val="000000"/>
          <w:sz w:val="21"/>
          <w:szCs w:val="21"/>
        </w:rPr>
      </w:pPr>
      <w:r>
        <w:rPr>
          <w:rFonts w:hint="eastAsia" w:cs="宋体"/>
          <w:b w:val="0"/>
          <w:bCs/>
          <w:color w:val="000000"/>
          <w:sz w:val="21"/>
          <w:szCs w:val="21"/>
        </w:rPr>
        <w:t>5.5.3对最终操作和维修手册的约定：。</w:t>
      </w:r>
    </w:p>
    <w:p w14:paraId="36653C33">
      <w:pPr>
        <w:pStyle w:val="122"/>
        <w:spacing w:after="120"/>
        <w:rPr>
          <w:rFonts w:hint="eastAsia" w:cs="宋体"/>
          <w:b w:val="0"/>
          <w:bCs/>
          <w:color w:val="000000"/>
          <w:sz w:val="21"/>
          <w:szCs w:val="21"/>
        </w:rPr>
      </w:pPr>
      <w:r>
        <w:rPr>
          <w:rFonts w:hint="eastAsia" w:cs="宋体"/>
          <w:b w:val="0"/>
          <w:bCs/>
          <w:color w:val="000000"/>
          <w:sz w:val="21"/>
          <w:szCs w:val="21"/>
        </w:rPr>
        <w:t>第6条材料、工程设备</w:t>
      </w:r>
    </w:p>
    <w:p w14:paraId="547A92D1">
      <w:pPr>
        <w:pStyle w:val="122"/>
        <w:spacing w:after="120"/>
        <w:rPr>
          <w:rFonts w:hint="eastAsia" w:cs="宋体"/>
          <w:b w:val="0"/>
          <w:bCs/>
          <w:color w:val="000000"/>
          <w:sz w:val="21"/>
          <w:szCs w:val="21"/>
        </w:rPr>
      </w:pPr>
      <w:r>
        <w:rPr>
          <w:rFonts w:hint="eastAsia" w:cs="宋体"/>
          <w:b w:val="0"/>
          <w:bCs/>
          <w:color w:val="000000"/>
          <w:sz w:val="21"/>
          <w:szCs w:val="21"/>
        </w:rPr>
        <w:t>6.1实施方法</w:t>
      </w:r>
    </w:p>
    <w:p w14:paraId="094B19FE">
      <w:pPr>
        <w:pStyle w:val="122"/>
        <w:spacing w:after="120"/>
        <w:rPr>
          <w:rFonts w:hint="eastAsia" w:cs="宋体"/>
          <w:b w:val="0"/>
          <w:bCs/>
          <w:color w:val="000000"/>
          <w:sz w:val="21"/>
          <w:szCs w:val="21"/>
        </w:rPr>
      </w:pPr>
      <w:r>
        <w:rPr>
          <w:rFonts w:hint="eastAsia" w:cs="宋体"/>
          <w:b w:val="0"/>
          <w:bCs/>
          <w:color w:val="000000"/>
          <w:sz w:val="21"/>
          <w:szCs w:val="21"/>
        </w:rPr>
        <w:t>双方当事人约定的实施方法、设备、设施和材料：。</w:t>
      </w:r>
    </w:p>
    <w:p w14:paraId="30EE4ADE">
      <w:pPr>
        <w:pStyle w:val="122"/>
        <w:spacing w:after="120"/>
        <w:rPr>
          <w:rFonts w:hint="eastAsia" w:cs="宋体"/>
          <w:b w:val="0"/>
          <w:bCs/>
          <w:color w:val="000000"/>
          <w:sz w:val="21"/>
          <w:szCs w:val="21"/>
        </w:rPr>
      </w:pPr>
      <w:r>
        <w:rPr>
          <w:rFonts w:hint="eastAsia" w:cs="宋体"/>
          <w:b w:val="0"/>
          <w:bCs/>
          <w:color w:val="000000"/>
          <w:sz w:val="21"/>
          <w:szCs w:val="21"/>
        </w:rPr>
        <w:t>6.2材料和工程设备</w:t>
      </w:r>
    </w:p>
    <w:p w14:paraId="3EE8777A">
      <w:pPr>
        <w:pStyle w:val="122"/>
        <w:spacing w:after="120"/>
        <w:rPr>
          <w:rFonts w:hint="eastAsia" w:cs="宋体"/>
          <w:b w:val="0"/>
          <w:bCs/>
          <w:color w:val="000000"/>
          <w:sz w:val="21"/>
          <w:szCs w:val="21"/>
        </w:rPr>
      </w:pPr>
      <w:r>
        <w:rPr>
          <w:rFonts w:hint="eastAsia" w:cs="宋体"/>
          <w:b w:val="0"/>
          <w:bCs/>
          <w:color w:val="000000"/>
          <w:sz w:val="21"/>
          <w:szCs w:val="21"/>
        </w:rPr>
        <w:t>6.2.1发包人提供的材料和工程设备</w:t>
      </w:r>
    </w:p>
    <w:p w14:paraId="2BB719F6">
      <w:pPr>
        <w:pStyle w:val="122"/>
        <w:spacing w:after="120"/>
        <w:rPr>
          <w:rFonts w:hint="eastAsia" w:cs="宋体"/>
          <w:b w:val="0"/>
          <w:bCs/>
          <w:color w:val="000000"/>
          <w:sz w:val="21"/>
          <w:szCs w:val="21"/>
        </w:rPr>
      </w:pPr>
      <w:r>
        <w:rPr>
          <w:rFonts w:hint="eastAsia" w:cs="宋体"/>
          <w:b w:val="0"/>
          <w:bCs/>
          <w:color w:val="000000"/>
          <w:sz w:val="21"/>
          <w:szCs w:val="21"/>
        </w:rPr>
        <w:t>发包人提供的材料和工程设备验收后，由负责接收、运输和保管。</w:t>
      </w:r>
    </w:p>
    <w:p w14:paraId="39589FD8">
      <w:pPr>
        <w:pStyle w:val="122"/>
        <w:spacing w:after="120"/>
        <w:rPr>
          <w:rFonts w:hint="eastAsia" w:cs="宋体"/>
          <w:b w:val="0"/>
          <w:bCs/>
          <w:color w:val="000000"/>
          <w:sz w:val="21"/>
          <w:szCs w:val="21"/>
        </w:rPr>
      </w:pPr>
      <w:r>
        <w:rPr>
          <w:rFonts w:hint="eastAsia" w:cs="宋体"/>
          <w:b w:val="0"/>
          <w:bCs/>
          <w:color w:val="000000"/>
          <w:sz w:val="21"/>
          <w:szCs w:val="21"/>
        </w:rPr>
        <w:t>6.2.2承包人提供的材料和工程设备</w:t>
      </w:r>
    </w:p>
    <w:p w14:paraId="652B1862">
      <w:pPr>
        <w:pStyle w:val="122"/>
        <w:spacing w:after="120"/>
        <w:rPr>
          <w:rFonts w:hint="eastAsia" w:cs="宋体"/>
          <w:b w:val="0"/>
          <w:bCs/>
          <w:color w:val="000000"/>
          <w:sz w:val="21"/>
          <w:szCs w:val="21"/>
        </w:rPr>
      </w:pPr>
      <w:r>
        <w:rPr>
          <w:rFonts w:hint="eastAsia" w:cs="宋体"/>
          <w:b w:val="0"/>
          <w:bCs/>
          <w:color w:val="000000"/>
          <w:sz w:val="21"/>
          <w:szCs w:val="21"/>
        </w:rPr>
        <w:t>材料和工程设备的类别、估算数量：。</w:t>
      </w:r>
    </w:p>
    <w:p w14:paraId="0C8121F5">
      <w:pPr>
        <w:pStyle w:val="122"/>
        <w:spacing w:after="120"/>
        <w:rPr>
          <w:rFonts w:hint="eastAsia" w:cs="宋体"/>
          <w:b w:val="0"/>
          <w:bCs/>
          <w:color w:val="000000"/>
          <w:sz w:val="21"/>
          <w:szCs w:val="21"/>
        </w:rPr>
      </w:pPr>
      <w:r>
        <w:rPr>
          <w:rFonts w:hint="eastAsia" w:cs="宋体"/>
          <w:b w:val="0"/>
          <w:bCs/>
          <w:color w:val="000000"/>
          <w:sz w:val="21"/>
          <w:szCs w:val="21"/>
        </w:rPr>
        <w:t>竣工后试验的生产性材料的类别或（和）清单：。</w:t>
      </w:r>
    </w:p>
    <w:p w14:paraId="0CEA420A">
      <w:pPr>
        <w:pStyle w:val="122"/>
        <w:spacing w:after="120"/>
        <w:rPr>
          <w:rFonts w:hint="eastAsia" w:cs="宋体"/>
          <w:b w:val="0"/>
          <w:bCs/>
          <w:color w:val="000000"/>
          <w:sz w:val="21"/>
          <w:szCs w:val="21"/>
        </w:rPr>
      </w:pPr>
      <w:r>
        <w:rPr>
          <w:rFonts w:hint="eastAsia" w:cs="宋体"/>
          <w:b w:val="0"/>
          <w:bCs/>
          <w:color w:val="000000"/>
          <w:sz w:val="21"/>
          <w:szCs w:val="21"/>
        </w:rPr>
        <w:t>6.2.3材料和工程设备的保管</w:t>
      </w:r>
    </w:p>
    <w:p w14:paraId="2A4A7E95">
      <w:pPr>
        <w:pStyle w:val="122"/>
        <w:spacing w:after="120"/>
        <w:rPr>
          <w:rFonts w:hint="eastAsia" w:cs="宋体"/>
          <w:b w:val="0"/>
          <w:bCs/>
          <w:color w:val="000000"/>
          <w:sz w:val="21"/>
          <w:szCs w:val="21"/>
        </w:rPr>
      </w:pPr>
      <w:r>
        <w:rPr>
          <w:rFonts w:hint="eastAsia" w:cs="宋体"/>
          <w:b w:val="0"/>
          <w:bCs/>
          <w:color w:val="000000"/>
          <w:sz w:val="21"/>
          <w:szCs w:val="21"/>
        </w:rPr>
        <w:t>发包人供应的材料和工程设备的保管费用由承担。</w:t>
      </w:r>
    </w:p>
    <w:p w14:paraId="4A0E3226">
      <w:pPr>
        <w:pStyle w:val="122"/>
        <w:spacing w:after="120"/>
        <w:rPr>
          <w:rFonts w:hint="eastAsia" w:cs="宋体"/>
          <w:b w:val="0"/>
          <w:bCs/>
          <w:color w:val="000000"/>
          <w:sz w:val="21"/>
          <w:szCs w:val="21"/>
        </w:rPr>
      </w:pPr>
      <w:r>
        <w:rPr>
          <w:rFonts w:hint="eastAsia" w:cs="宋体"/>
          <w:b w:val="0"/>
          <w:bCs/>
          <w:color w:val="000000"/>
          <w:sz w:val="21"/>
          <w:szCs w:val="21"/>
        </w:rPr>
        <w:t>承包人提交保管、维护方案的时间：。</w:t>
      </w:r>
    </w:p>
    <w:p w14:paraId="4CF6503D">
      <w:pPr>
        <w:pStyle w:val="122"/>
        <w:spacing w:after="120"/>
        <w:rPr>
          <w:rFonts w:hint="eastAsia" w:cs="宋体"/>
          <w:b w:val="0"/>
          <w:bCs/>
          <w:color w:val="000000"/>
          <w:sz w:val="21"/>
          <w:szCs w:val="21"/>
        </w:rPr>
      </w:pPr>
      <w:r>
        <w:rPr>
          <w:rFonts w:hint="eastAsia" w:cs="宋体"/>
          <w:b w:val="0"/>
          <w:bCs/>
          <w:color w:val="000000"/>
          <w:sz w:val="21"/>
          <w:szCs w:val="21"/>
        </w:rPr>
        <w:t>发包人提供的库房、堆场、设施和设备：。</w:t>
      </w:r>
    </w:p>
    <w:p w14:paraId="0E31CDA6">
      <w:pPr>
        <w:pStyle w:val="122"/>
        <w:spacing w:after="120"/>
        <w:rPr>
          <w:rFonts w:hint="eastAsia" w:cs="宋体"/>
          <w:b w:val="0"/>
          <w:bCs/>
          <w:color w:val="000000"/>
          <w:sz w:val="21"/>
          <w:szCs w:val="21"/>
        </w:rPr>
      </w:pPr>
      <w:r>
        <w:rPr>
          <w:rFonts w:hint="eastAsia" w:cs="宋体"/>
          <w:b w:val="0"/>
          <w:bCs/>
          <w:color w:val="000000"/>
          <w:sz w:val="21"/>
          <w:szCs w:val="21"/>
        </w:rPr>
        <w:t>6.3样品</w:t>
      </w:r>
    </w:p>
    <w:p w14:paraId="404CCE2A">
      <w:pPr>
        <w:pStyle w:val="122"/>
        <w:spacing w:after="120"/>
        <w:rPr>
          <w:rFonts w:hint="eastAsia" w:cs="宋体"/>
          <w:b w:val="0"/>
          <w:bCs/>
          <w:color w:val="000000"/>
          <w:sz w:val="21"/>
          <w:szCs w:val="21"/>
        </w:rPr>
      </w:pPr>
      <w:r>
        <w:rPr>
          <w:rFonts w:hint="eastAsia" w:cs="宋体"/>
          <w:b w:val="0"/>
          <w:bCs/>
          <w:color w:val="000000"/>
          <w:sz w:val="21"/>
          <w:szCs w:val="21"/>
        </w:rPr>
        <w:t>6.3.1样品的报送与封存</w:t>
      </w:r>
    </w:p>
    <w:p w14:paraId="5406861B">
      <w:pPr>
        <w:pStyle w:val="122"/>
        <w:spacing w:after="120"/>
        <w:rPr>
          <w:rFonts w:hint="eastAsia" w:cs="宋体"/>
          <w:b w:val="0"/>
          <w:bCs/>
          <w:color w:val="000000"/>
          <w:sz w:val="21"/>
          <w:szCs w:val="21"/>
        </w:rPr>
      </w:pPr>
      <w:r>
        <w:rPr>
          <w:rFonts w:hint="eastAsia" w:cs="宋体"/>
          <w:b w:val="0"/>
          <w:bCs/>
          <w:color w:val="000000"/>
          <w:sz w:val="21"/>
          <w:szCs w:val="21"/>
        </w:rPr>
        <w:t>需要承包人报送样品的材料或工程设备，样品种类、名称、规格、数量：。</w:t>
      </w:r>
    </w:p>
    <w:p w14:paraId="23013929">
      <w:pPr>
        <w:pStyle w:val="122"/>
        <w:spacing w:after="120"/>
        <w:rPr>
          <w:rFonts w:hint="eastAsia" w:cs="宋体"/>
          <w:b w:val="0"/>
          <w:bCs/>
          <w:color w:val="000000"/>
          <w:sz w:val="21"/>
          <w:szCs w:val="21"/>
        </w:rPr>
      </w:pPr>
      <w:r>
        <w:rPr>
          <w:rFonts w:hint="eastAsia" w:cs="宋体"/>
          <w:b w:val="0"/>
          <w:bCs/>
          <w:color w:val="000000"/>
          <w:sz w:val="21"/>
          <w:szCs w:val="21"/>
        </w:rPr>
        <w:t>6.4质量检查</w:t>
      </w:r>
    </w:p>
    <w:p w14:paraId="0104CF85">
      <w:pPr>
        <w:pStyle w:val="122"/>
        <w:spacing w:after="120"/>
        <w:rPr>
          <w:rFonts w:hint="eastAsia" w:cs="宋体"/>
          <w:b w:val="0"/>
          <w:bCs/>
          <w:color w:val="000000"/>
          <w:sz w:val="21"/>
          <w:szCs w:val="21"/>
        </w:rPr>
      </w:pPr>
      <w:r>
        <w:rPr>
          <w:rFonts w:hint="eastAsia" w:cs="宋体"/>
          <w:b w:val="0"/>
          <w:bCs/>
          <w:color w:val="000000"/>
          <w:sz w:val="21"/>
          <w:szCs w:val="21"/>
        </w:rPr>
        <w:t>6.4.1工程质量要求</w:t>
      </w:r>
    </w:p>
    <w:p w14:paraId="316BB031">
      <w:pPr>
        <w:pStyle w:val="122"/>
        <w:spacing w:after="120"/>
        <w:rPr>
          <w:rFonts w:hint="eastAsia" w:cs="宋体"/>
          <w:b w:val="0"/>
          <w:bCs/>
          <w:color w:val="000000"/>
          <w:sz w:val="21"/>
          <w:szCs w:val="21"/>
        </w:rPr>
      </w:pPr>
      <w:r>
        <w:rPr>
          <w:rFonts w:hint="eastAsia" w:cs="宋体"/>
          <w:b w:val="0"/>
          <w:bCs/>
          <w:color w:val="000000"/>
          <w:sz w:val="21"/>
          <w:szCs w:val="21"/>
        </w:rPr>
        <w:t>工程质量的特殊标准或要求：。</w:t>
      </w:r>
    </w:p>
    <w:p w14:paraId="2885A835">
      <w:pPr>
        <w:pStyle w:val="122"/>
        <w:spacing w:after="120"/>
        <w:rPr>
          <w:rFonts w:hint="eastAsia" w:cs="宋体"/>
          <w:b w:val="0"/>
          <w:bCs/>
          <w:color w:val="000000"/>
          <w:sz w:val="21"/>
          <w:szCs w:val="21"/>
        </w:rPr>
      </w:pPr>
      <w:r>
        <w:rPr>
          <w:rFonts w:hint="eastAsia" w:cs="宋体"/>
          <w:b w:val="0"/>
          <w:bCs/>
          <w:color w:val="000000"/>
          <w:sz w:val="21"/>
          <w:szCs w:val="21"/>
        </w:rPr>
        <w:t>6.4.2质量检查</w:t>
      </w:r>
    </w:p>
    <w:p w14:paraId="3668EF76">
      <w:pPr>
        <w:pStyle w:val="122"/>
        <w:spacing w:after="120"/>
        <w:rPr>
          <w:rFonts w:hint="eastAsia" w:cs="宋体"/>
          <w:b w:val="0"/>
          <w:bCs/>
          <w:color w:val="000000"/>
          <w:sz w:val="21"/>
          <w:szCs w:val="21"/>
        </w:rPr>
      </w:pPr>
      <w:r>
        <w:rPr>
          <w:rFonts w:hint="eastAsia" w:cs="宋体"/>
          <w:b w:val="0"/>
          <w:bCs/>
          <w:color w:val="000000"/>
          <w:sz w:val="21"/>
          <w:szCs w:val="21"/>
        </w:rPr>
        <w:t>除通用合同条件已列明的质量检查的地点外，发包人有权进行质量检查的其他地点：无。</w:t>
      </w:r>
    </w:p>
    <w:p w14:paraId="282EF7E0">
      <w:pPr>
        <w:pStyle w:val="122"/>
        <w:spacing w:after="120"/>
        <w:rPr>
          <w:rFonts w:hint="eastAsia" w:cs="宋体"/>
          <w:b w:val="0"/>
          <w:bCs/>
          <w:color w:val="000000"/>
          <w:sz w:val="21"/>
          <w:szCs w:val="21"/>
        </w:rPr>
      </w:pPr>
      <w:r>
        <w:rPr>
          <w:rFonts w:hint="eastAsia" w:cs="宋体"/>
          <w:b w:val="0"/>
          <w:bCs/>
          <w:color w:val="000000"/>
          <w:sz w:val="21"/>
          <w:szCs w:val="21"/>
        </w:rPr>
        <w:t>6.4.3隐蔽工程检查</w:t>
      </w:r>
    </w:p>
    <w:p w14:paraId="55C357A6">
      <w:pPr>
        <w:pStyle w:val="122"/>
        <w:spacing w:after="120"/>
        <w:rPr>
          <w:rFonts w:hint="eastAsia" w:cs="宋体"/>
          <w:b w:val="0"/>
          <w:bCs/>
          <w:color w:val="000000"/>
          <w:sz w:val="21"/>
          <w:szCs w:val="21"/>
        </w:rPr>
      </w:pPr>
      <w:r>
        <w:rPr>
          <w:rFonts w:hint="eastAsia" w:cs="宋体"/>
          <w:b w:val="0"/>
          <w:bCs/>
          <w:color w:val="000000"/>
          <w:sz w:val="21"/>
          <w:szCs w:val="21"/>
        </w:rPr>
        <w:t>关于隐蔽工程和中间验收的特别约定：。</w:t>
      </w:r>
    </w:p>
    <w:p w14:paraId="309368C0">
      <w:pPr>
        <w:pStyle w:val="122"/>
        <w:spacing w:after="120"/>
        <w:rPr>
          <w:rFonts w:hint="eastAsia" w:cs="宋体"/>
          <w:b w:val="0"/>
          <w:bCs/>
          <w:color w:val="000000"/>
          <w:sz w:val="21"/>
          <w:szCs w:val="21"/>
        </w:rPr>
      </w:pPr>
      <w:r>
        <w:rPr>
          <w:rFonts w:hint="eastAsia" w:cs="宋体"/>
          <w:b w:val="0"/>
          <w:bCs/>
          <w:color w:val="000000"/>
          <w:sz w:val="21"/>
          <w:szCs w:val="21"/>
        </w:rPr>
        <w:t>6.5由承包人试验和检验</w:t>
      </w:r>
    </w:p>
    <w:p w14:paraId="5F6E72D2">
      <w:pPr>
        <w:pStyle w:val="122"/>
        <w:spacing w:after="120"/>
        <w:rPr>
          <w:rFonts w:hint="eastAsia" w:cs="宋体"/>
          <w:b w:val="0"/>
          <w:bCs/>
          <w:color w:val="000000"/>
          <w:sz w:val="21"/>
          <w:szCs w:val="21"/>
        </w:rPr>
      </w:pPr>
      <w:r>
        <w:rPr>
          <w:rFonts w:hint="eastAsia" w:cs="宋体"/>
          <w:b w:val="0"/>
          <w:bCs/>
          <w:color w:val="000000"/>
          <w:sz w:val="21"/>
          <w:szCs w:val="21"/>
        </w:rPr>
        <w:t>6.5.1试验设备与试验人员</w:t>
      </w:r>
    </w:p>
    <w:p w14:paraId="11439423">
      <w:pPr>
        <w:pStyle w:val="122"/>
        <w:spacing w:after="120"/>
        <w:rPr>
          <w:rFonts w:hint="eastAsia" w:cs="宋体"/>
          <w:b w:val="0"/>
          <w:bCs/>
          <w:color w:val="000000"/>
          <w:sz w:val="21"/>
          <w:szCs w:val="21"/>
        </w:rPr>
      </w:pPr>
      <w:r>
        <w:rPr>
          <w:rFonts w:hint="eastAsia" w:cs="宋体"/>
          <w:b w:val="0"/>
          <w:bCs/>
          <w:color w:val="000000"/>
          <w:sz w:val="21"/>
          <w:szCs w:val="21"/>
        </w:rPr>
        <w:t>试验的内容、时间和地点：。</w:t>
      </w:r>
    </w:p>
    <w:p w14:paraId="4782A26B">
      <w:pPr>
        <w:pStyle w:val="122"/>
        <w:spacing w:after="120"/>
        <w:rPr>
          <w:rFonts w:hint="eastAsia" w:cs="宋体"/>
          <w:b w:val="0"/>
          <w:bCs/>
          <w:color w:val="000000"/>
          <w:sz w:val="21"/>
          <w:szCs w:val="21"/>
        </w:rPr>
      </w:pPr>
      <w:r>
        <w:rPr>
          <w:rFonts w:hint="eastAsia" w:cs="宋体"/>
          <w:b w:val="0"/>
          <w:bCs/>
          <w:color w:val="000000"/>
          <w:sz w:val="21"/>
          <w:szCs w:val="21"/>
        </w:rPr>
        <w:t>试验所需要的试验设备、取样装置、试验场所和试验条件：。</w:t>
      </w:r>
    </w:p>
    <w:p w14:paraId="179F3BF5">
      <w:pPr>
        <w:pStyle w:val="122"/>
        <w:spacing w:after="120"/>
        <w:rPr>
          <w:rFonts w:hint="eastAsia" w:cs="宋体"/>
          <w:b w:val="0"/>
          <w:bCs/>
          <w:color w:val="000000"/>
          <w:sz w:val="21"/>
          <w:szCs w:val="21"/>
        </w:rPr>
      </w:pPr>
      <w:r>
        <w:rPr>
          <w:rFonts w:hint="eastAsia" w:cs="宋体"/>
          <w:b w:val="0"/>
          <w:bCs/>
          <w:color w:val="000000"/>
          <w:sz w:val="21"/>
          <w:szCs w:val="21"/>
        </w:rPr>
        <w:t>试验和检验费用的计价原则：。</w:t>
      </w:r>
    </w:p>
    <w:p w14:paraId="186893E1">
      <w:pPr>
        <w:pStyle w:val="122"/>
        <w:spacing w:after="120"/>
        <w:rPr>
          <w:rFonts w:hint="eastAsia" w:cs="宋体"/>
          <w:b w:val="0"/>
          <w:bCs/>
          <w:color w:val="000000"/>
          <w:sz w:val="21"/>
          <w:szCs w:val="21"/>
        </w:rPr>
      </w:pPr>
      <w:r>
        <w:rPr>
          <w:rFonts w:hint="eastAsia" w:cs="宋体"/>
          <w:b w:val="0"/>
          <w:bCs/>
          <w:color w:val="000000"/>
          <w:sz w:val="21"/>
          <w:szCs w:val="21"/>
        </w:rPr>
        <w:t>第7条施工</w:t>
      </w:r>
    </w:p>
    <w:p w14:paraId="35896231">
      <w:pPr>
        <w:pStyle w:val="122"/>
        <w:spacing w:after="120"/>
        <w:rPr>
          <w:rFonts w:hint="eastAsia" w:cs="宋体"/>
          <w:b w:val="0"/>
          <w:bCs/>
          <w:color w:val="000000"/>
          <w:sz w:val="21"/>
          <w:szCs w:val="21"/>
        </w:rPr>
      </w:pPr>
      <w:r>
        <w:rPr>
          <w:rFonts w:hint="eastAsia" w:cs="宋体"/>
          <w:b w:val="0"/>
          <w:bCs/>
          <w:color w:val="000000"/>
          <w:sz w:val="21"/>
          <w:szCs w:val="21"/>
        </w:rPr>
        <w:t>7.1交通运输</w:t>
      </w:r>
    </w:p>
    <w:p w14:paraId="27566DC3">
      <w:pPr>
        <w:pStyle w:val="122"/>
        <w:spacing w:after="120"/>
        <w:rPr>
          <w:rFonts w:hint="eastAsia" w:cs="宋体"/>
          <w:b w:val="0"/>
          <w:bCs/>
          <w:color w:val="000000"/>
          <w:sz w:val="21"/>
          <w:szCs w:val="21"/>
        </w:rPr>
      </w:pPr>
      <w:r>
        <w:rPr>
          <w:rFonts w:hint="eastAsia" w:cs="宋体"/>
          <w:b w:val="0"/>
          <w:bCs/>
          <w:color w:val="000000"/>
          <w:sz w:val="21"/>
          <w:szCs w:val="21"/>
        </w:rPr>
        <w:t>7.1.1出入现场的权利</w:t>
      </w:r>
    </w:p>
    <w:p w14:paraId="2A4661F6">
      <w:pPr>
        <w:pStyle w:val="122"/>
        <w:spacing w:after="120"/>
        <w:rPr>
          <w:rFonts w:hint="eastAsia" w:cs="宋体"/>
          <w:b w:val="0"/>
          <w:bCs/>
          <w:color w:val="000000"/>
          <w:sz w:val="21"/>
          <w:szCs w:val="21"/>
        </w:rPr>
      </w:pPr>
      <w:r>
        <w:rPr>
          <w:rFonts w:hint="eastAsia" w:cs="宋体"/>
          <w:b w:val="0"/>
          <w:bCs/>
          <w:color w:val="000000"/>
          <w:sz w:val="21"/>
          <w:szCs w:val="21"/>
        </w:rPr>
        <w:t>关于出入现场的权利的约定：。</w:t>
      </w:r>
    </w:p>
    <w:p w14:paraId="4270FEB1">
      <w:pPr>
        <w:pStyle w:val="122"/>
        <w:spacing w:after="120"/>
        <w:rPr>
          <w:rFonts w:hint="eastAsia" w:cs="宋体"/>
          <w:b w:val="0"/>
          <w:bCs/>
          <w:color w:val="000000"/>
          <w:sz w:val="21"/>
          <w:szCs w:val="21"/>
        </w:rPr>
      </w:pPr>
      <w:r>
        <w:rPr>
          <w:rFonts w:hint="eastAsia" w:cs="宋体"/>
          <w:b w:val="0"/>
          <w:bCs/>
          <w:color w:val="000000"/>
          <w:sz w:val="21"/>
          <w:szCs w:val="21"/>
        </w:rPr>
        <w:t>7.1.2场外交通</w:t>
      </w:r>
    </w:p>
    <w:p w14:paraId="1C0F9E11">
      <w:pPr>
        <w:pStyle w:val="122"/>
        <w:spacing w:after="120"/>
        <w:rPr>
          <w:rFonts w:hint="eastAsia" w:cs="宋体"/>
          <w:b w:val="0"/>
          <w:bCs/>
          <w:color w:val="000000"/>
          <w:sz w:val="21"/>
          <w:szCs w:val="21"/>
        </w:rPr>
      </w:pPr>
      <w:r>
        <w:rPr>
          <w:rFonts w:hint="eastAsia" w:cs="宋体"/>
          <w:b w:val="0"/>
          <w:bCs/>
          <w:color w:val="000000"/>
          <w:sz w:val="21"/>
          <w:szCs w:val="21"/>
        </w:rPr>
        <w:t>关于场外交通的特别约定：。</w:t>
      </w:r>
    </w:p>
    <w:p w14:paraId="5ED90B76">
      <w:pPr>
        <w:pStyle w:val="122"/>
        <w:spacing w:after="120"/>
        <w:rPr>
          <w:rFonts w:hint="eastAsia" w:cs="宋体"/>
          <w:b w:val="0"/>
          <w:bCs/>
          <w:color w:val="000000"/>
          <w:sz w:val="21"/>
          <w:szCs w:val="21"/>
        </w:rPr>
      </w:pPr>
      <w:r>
        <w:rPr>
          <w:rFonts w:hint="eastAsia" w:cs="宋体"/>
          <w:b w:val="0"/>
          <w:bCs/>
          <w:color w:val="000000"/>
          <w:sz w:val="21"/>
          <w:szCs w:val="21"/>
        </w:rPr>
        <w:t>7.1.3场内交通</w:t>
      </w:r>
    </w:p>
    <w:p w14:paraId="3B4CB978">
      <w:pPr>
        <w:pStyle w:val="122"/>
        <w:spacing w:after="120"/>
        <w:rPr>
          <w:rFonts w:hint="eastAsia" w:cs="宋体"/>
          <w:b w:val="0"/>
          <w:bCs/>
          <w:color w:val="000000"/>
          <w:sz w:val="21"/>
          <w:szCs w:val="21"/>
        </w:rPr>
      </w:pPr>
      <w:r>
        <w:rPr>
          <w:rFonts w:hint="eastAsia" w:cs="宋体"/>
          <w:b w:val="0"/>
          <w:bCs/>
          <w:color w:val="000000"/>
          <w:sz w:val="21"/>
          <w:szCs w:val="21"/>
        </w:rPr>
        <w:t>关于场内交通的特别约定：。</w:t>
      </w:r>
    </w:p>
    <w:p w14:paraId="5690B315">
      <w:pPr>
        <w:pStyle w:val="122"/>
        <w:spacing w:after="120"/>
        <w:rPr>
          <w:rFonts w:hint="eastAsia" w:cs="宋体"/>
          <w:b w:val="0"/>
          <w:bCs/>
          <w:color w:val="000000"/>
          <w:sz w:val="21"/>
          <w:szCs w:val="21"/>
        </w:rPr>
      </w:pPr>
      <w:r>
        <w:rPr>
          <w:rFonts w:hint="eastAsia" w:cs="宋体"/>
          <w:b w:val="0"/>
          <w:bCs/>
          <w:color w:val="000000"/>
          <w:sz w:val="21"/>
          <w:szCs w:val="21"/>
        </w:rPr>
        <w:t>关于场内交通与场外交通边界的约定：。</w:t>
      </w:r>
    </w:p>
    <w:p w14:paraId="7B9E57A0">
      <w:pPr>
        <w:pStyle w:val="122"/>
        <w:spacing w:after="120"/>
        <w:rPr>
          <w:rFonts w:hint="eastAsia" w:cs="宋体"/>
          <w:b w:val="0"/>
          <w:bCs/>
          <w:color w:val="000000"/>
          <w:sz w:val="21"/>
          <w:szCs w:val="21"/>
        </w:rPr>
      </w:pPr>
      <w:r>
        <w:rPr>
          <w:rFonts w:hint="eastAsia" w:cs="宋体"/>
          <w:b w:val="0"/>
          <w:bCs/>
          <w:color w:val="000000"/>
          <w:sz w:val="21"/>
          <w:szCs w:val="21"/>
        </w:rPr>
        <w:t>7.1.4超大件和超重件的运输</w:t>
      </w:r>
    </w:p>
    <w:p w14:paraId="47002EB9">
      <w:pPr>
        <w:pStyle w:val="122"/>
        <w:spacing w:after="120"/>
        <w:rPr>
          <w:rFonts w:hint="eastAsia" w:cs="宋体"/>
          <w:b w:val="0"/>
          <w:bCs/>
          <w:color w:val="000000"/>
          <w:sz w:val="21"/>
          <w:szCs w:val="21"/>
        </w:rPr>
      </w:pPr>
      <w:r>
        <w:rPr>
          <w:rFonts w:hint="eastAsia" w:cs="宋体"/>
          <w:b w:val="0"/>
          <w:bCs/>
          <w:color w:val="000000"/>
          <w:sz w:val="21"/>
          <w:szCs w:val="21"/>
        </w:rPr>
        <w:t>运输超大件或超重件所需的道路和桥梁临时加固改造费用和其他有关费用由承担。</w:t>
      </w:r>
    </w:p>
    <w:p w14:paraId="6D122B38">
      <w:pPr>
        <w:pStyle w:val="122"/>
        <w:spacing w:after="120"/>
        <w:rPr>
          <w:rFonts w:hint="eastAsia" w:cs="宋体"/>
          <w:b w:val="0"/>
          <w:bCs/>
          <w:color w:val="000000"/>
          <w:sz w:val="21"/>
          <w:szCs w:val="21"/>
        </w:rPr>
      </w:pPr>
      <w:r>
        <w:rPr>
          <w:rFonts w:hint="eastAsia" w:cs="宋体"/>
          <w:b w:val="0"/>
          <w:bCs/>
          <w:color w:val="000000"/>
          <w:sz w:val="21"/>
          <w:szCs w:val="21"/>
        </w:rPr>
        <w:t>7.2施工设备和临时设施</w:t>
      </w:r>
    </w:p>
    <w:p w14:paraId="48DE0BB5">
      <w:pPr>
        <w:pStyle w:val="122"/>
        <w:spacing w:after="120"/>
        <w:rPr>
          <w:rFonts w:hint="eastAsia" w:cs="宋体"/>
          <w:b w:val="0"/>
          <w:bCs/>
          <w:color w:val="000000"/>
          <w:sz w:val="21"/>
          <w:szCs w:val="21"/>
        </w:rPr>
      </w:pPr>
      <w:r>
        <w:rPr>
          <w:rFonts w:hint="eastAsia" w:cs="宋体"/>
          <w:b w:val="0"/>
          <w:bCs/>
          <w:color w:val="000000"/>
          <w:sz w:val="21"/>
          <w:szCs w:val="21"/>
        </w:rPr>
        <w:t>7.2.1承包人提供的施工设备和临时设施</w:t>
      </w:r>
    </w:p>
    <w:p w14:paraId="328BDFD8">
      <w:pPr>
        <w:pStyle w:val="122"/>
        <w:spacing w:after="120"/>
        <w:rPr>
          <w:rFonts w:hint="eastAsia" w:cs="宋体"/>
          <w:b w:val="0"/>
          <w:bCs/>
          <w:color w:val="000000"/>
          <w:sz w:val="21"/>
          <w:szCs w:val="21"/>
        </w:rPr>
      </w:pPr>
      <w:r>
        <w:rPr>
          <w:rFonts w:hint="eastAsia" w:cs="宋体"/>
          <w:b w:val="0"/>
          <w:bCs/>
          <w:color w:val="000000"/>
          <w:sz w:val="21"/>
          <w:szCs w:val="21"/>
        </w:rPr>
        <w:t>临时设施的费用和临时占地手续和费用承担的特别约定：。</w:t>
      </w:r>
    </w:p>
    <w:p w14:paraId="63184138">
      <w:pPr>
        <w:pStyle w:val="122"/>
        <w:spacing w:after="120"/>
        <w:rPr>
          <w:rFonts w:hint="eastAsia" w:cs="宋体"/>
          <w:b w:val="0"/>
          <w:bCs/>
          <w:color w:val="000000"/>
          <w:sz w:val="21"/>
          <w:szCs w:val="21"/>
        </w:rPr>
      </w:pPr>
      <w:r>
        <w:rPr>
          <w:rFonts w:hint="eastAsia" w:cs="宋体"/>
          <w:b w:val="0"/>
          <w:bCs/>
          <w:color w:val="000000"/>
          <w:sz w:val="21"/>
          <w:szCs w:val="21"/>
        </w:rPr>
        <w:t>7.2.2发包人提供的施工设备和临时设施</w:t>
      </w:r>
    </w:p>
    <w:p w14:paraId="05C506D7">
      <w:pPr>
        <w:pStyle w:val="122"/>
        <w:spacing w:after="120"/>
        <w:rPr>
          <w:rFonts w:hint="eastAsia" w:cs="宋体"/>
          <w:b w:val="0"/>
          <w:bCs/>
          <w:color w:val="000000"/>
          <w:sz w:val="21"/>
          <w:szCs w:val="21"/>
        </w:rPr>
      </w:pPr>
      <w:r>
        <w:rPr>
          <w:rFonts w:hint="eastAsia" w:cs="宋体"/>
          <w:b w:val="0"/>
          <w:bCs/>
          <w:color w:val="000000"/>
          <w:sz w:val="21"/>
          <w:szCs w:val="21"/>
        </w:rPr>
        <w:t>发包人提供的施工设备或临时设施范围：。</w:t>
      </w:r>
    </w:p>
    <w:p w14:paraId="12E347C6">
      <w:pPr>
        <w:pStyle w:val="122"/>
        <w:spacing w:after="120"/>
        <w:rPr>
          <w:rFonts w:hint="eastAsia" w:cs="宋体"/>
          <w:b w:val="0"/>
          <w:bCs/>
          <w:color w:val="000000"/>
          <w:sz w:val="21"/>
          <w:szCs w:val="21"/>
        </w:rPr>
      </w:pPr>
      <w:r>
        <w:rPr>
          <w:rFonts w:hint="eastAsia" w:cs="宋体"/>
          <w:b w:val="0"/>
          <w:bCs/>
          <w:color w:val="000000"/>
          <w:sz w:val="21"/>
          <w:szCs w:val="21"/>
        </w:rPr>
        <w:t>7.3现场合作</w:t>
      </w:r>
    </w:p>
    <w:p w14:paraId="76461EEA">
      <w:pPr>
        <w:pStyle w:val="122"/>
        <w:spacing w:after="120"/>
        <w:rPr>
          <w:rFonts w:hint="eastAsia" w:cs="宋体"/>
          <w:b w:val="0"/>
          <w:bCs/>
          <w:color w:val="000000"/>
          <w:sz w:val="21"/>
          <w:szCs w:val="21"/>
        </w:rPr>
      </w:pPr>
      <w:r>
        <w:rPr>
          <w:rFonts w:hint="eastAsia" w:cs="宋体"/>
          <w:b w:val="0"/>
          <w:bCs/>
          <w:color w:val="000000"/>
          <w:sz w:val="21"/>
          <w:szCs w:val="21"/>
        </w:rPr>
        <w:t>关于现场合作费用的特别约定：。</w:t>
      </w:r>
    </w:p>
    <w:p w14:paraId="676E75D9">
      <w:pPr>
        <w:pStyle w:val="122"/>
        <w:spacing w:after="120"/>
        <w:rPr>
          <w:rFonts w:hint="eastAsia" w:cs="宋体"/>
          <w:b w:val="0"/>
          <w:bCs/>
          <w:color w:val="000000"/>
          <w:sz w:val="21"/>
          <w:szCs w:val="21"/>
        </w:rPr>
      </w:pPr>
      <w:r>
        <w:rPr>
          <w:rFonts w:hint="eastAsia" w:cs="宋体"/>
          <w:b w:val="0"/>
          <w:bCs/>
          <w:color w:val="000000"/>
          <w:sz w:val="21"/>
          <w:szCs w:val="21"/>
        </w:rPr>
        <w:t>7.4测量放线</w:t>
      </w:r>
    </w:p>
    <w:p w14:paraId="6154C565">
      <w:pPr>
        <w:pStyle w:val="122"/>
        <w:spacing w:after="120"/>
        <w:rPr>
          <w:rFonts w:hint="eastAsia" w:cs="宋体"/>
          <w:b w:val="0"/>
          <w:bCs/>
          <w:color w:val="000000"/>
          <w:sz w:val="21"/>
          <w:szCs w:val="21"/>
        </w:rPr>
      </w:pPr>
      <w:r>
        <w:rPr>
          <w:rFonts w:hint="eastAsia" w:cs="宋体"/>
          <w:b w:val="0"/>
          <w:bCs/>
          <w:color w:val="000000"/>
          <w:sz w:val="21"/>
          <w:szCs w:val="21"/>
        </w:rPr>
        <w:t>7.4.1关于测量放线的特别约定的技术规范：。施工控制网资料的告知期限：。</w:t>
      </w:r>
    </w:p>
    <w:p w14:paraId="74BDB623">
      <w:pPr>
        <w:pStyle w:val="122"/>
        <w:spacing w:after="120"/>
        <w:rPr>
          <w:rFonts w:hint="eastAsia" w:cs="宋体"/>
          <w:b w:val="0"/>
          <w:bCs/>
          <w:color w:val="000000"/>
          <w:sz w:val="21"/>
          <w:szCs w:val="21"/>
        </w:rPr>
      </w:pPr>
      <w:r>
        <w:rPr>
          <w:rFonts w:hint="eastAsia" w:cs="宋体"/>
          <w:b w:val="0"/>
          <w:bCs/>
          <w:color w:val="000000"/>
          <w:sz w:val="21"/>
          <w:szCs w:val="21"/>
        </w:rPr>
        <w:t>7.5现场劳动用工</w:t>
      </w:r>
    </w:p>
    <w:p w14:paraId="7E9862D5">
      <w:pPr>
        <w:pStyle w:val="122"/>
        <w:spacing w:after="120"/>
        <w:rPr>
          <w:rFonts w:hint="eastAsia" w:cs="宋体"/>
          <w:b w:val="0"/>
          <w:bCs/>
          <w:color w:val="000000"/>
          <w:sz w:val="21"/>
          <w:szCs w:val="21"/>
        </w:rPr>
      </w:pPr>
      <w:r>
        <w:rPr>
          <w:rFonts w:hint="eastAsia" w:cs="宋体"/>
          <w:b w:val="0"/>
          <w:bCs/>
          <w:color w:val="000000"/>
          <w:sz w:val="21"/>
          <w:szCs w:val="21"/>
        </w:rPr>
        <w:t>7.5.2合同当事人对建筑工人工资清偿事宜和违约责任的约定：。</w:t>
      </w:r>
    </w:p>
    <w:p w14:paraId="14741FA9">
      <w:pPr>
        <w:pStyle w:val="122"/>
        <w:spacing w:after="120"/>
        <w:rPr>
          <w:rFonts w:hint="eastAsia" w:cs="宋体"/>
          <w:b w:val="0"/>
          <w:bCs/>
          <w:color w:val="000000"/>
          <w:sz w:val="21"/>
          <w:szCs w:val="21"/>
        </w:rPr>
      </w:pPr>
      <w:r>
        <w:rPr>
          <w:rFonts w:hint="eastAsia" w:cs="宋体"/>
          <w:b w:val="0"/>
          <w:bCs/>
          <w:color w:val="000000"/>
          <w:sz w:val="21"/>
          <w:szCs w:val="21"/>
        </w:rPr>
        <w:t>7.6安全文明施工</w:t>
      </w:r>
    </w:p>
    <w:p w14:paraId="095347DC">
      <w:pPr>
        <w:pStyle w:val="122"/>
        <w:spacing w:after="120"/>
        <w:rPr>
          <w:rFonts w:hint="eastAsia" w:cs="宋体"/>
          <w:b w:val="0"/>
          <w:bCs/>
          <w:color w:val="000000"/>
          <w:sz w:val="21"/>
          <w:szCs w:val="21"/>
        </w:rPr>
      </w:pPr>
      <w:r>
        <w:rPr>
          <w:rFonts w:hint="eastAsia" w:cs="宋体"/>
          <w:b w:val="0"/>
          <w:bCs/>
          <w:color w:val="000000"/>
          <w:sz w:val="21"/>
          <w:szCs w:val="21"/>
        </w:rPr>
        <w:t>7.6.1安全生产要求</w:t>
      </w:r>
    </w:p>
    <w:p w14:paraId="1F5886D2">
      <w:pPr>
        <w:pStyle w:val="122"/>
        <w:spacing w:after="120"/>
        <w:rPr>
          <w:rFonts w:hint="eastAsia" w:cs="宋体"/>
          <w:b w:val="0"/>
          <w:bCs/>
          <w:color w:val="000000"/>
          <w:sz w:val="21"/>
          <w:szCs w:val="21"/>
        </w:rPr>
      </w:pPr>
      <w:r>
        <w:rPr>
          <w:rFonts w:hint="eastAsia" w:cs="宋体"/>
          <w:b w:val="0"/>
          <w:bCs/>
          <w:color w:val="000000"/>
          <w:sz w:val="21"/>
          <w:szCs w:val="21"/>
        </w:rPr>
        <w:t>合同当事人对安全施工的要求：。</w:t>
      </w:r>
    </w:p>
    <w:p w14:paraId="4AAABE12">
      <w:pPr>
        <w:pStyle w:val="122"/>
        <w:spacing w:after="120"/>
        <w:rPr>
          <w:rFonts w:hint="eastAsia" w:cs="宋体"/>
          <w:b w:val="0"/>
          <w:bCs/>
          <w:color w:val="000000"/>
          <w:sz w:val="21"/>
          <w:szCs w:val="21"/>
        </w:rPr>
      </w:pPr>
      <w:r>
        <w:rPr>
          <w:rFonts w:hint="eastAsia" w:cs="宋体"/>
          <w:b w:val="0"/>
          <w:bCs/>
          <w:color w:val="000000"/>
          <w:sz w:val="21"/>
          <w:szCs w:val="21"/>
        </w:rPr>
        <w:t>7.6.3文明施工</w:t>
      </w:r>
    </w:p>
    <w:p w14:paraId="1924F20E">
      <w:pPr>
        <w:pStyle w:val="122"/>
        <w:spacing w:after="120"/>
        <w:rPr>
          <w:rFonts w:hint="eastAsia" w:cs="宋体"/>
          <w:b w:val="0"/>
          <w:bCs/>
          <w:color w:val="000000"/>
          <w:sz w:val="21"/>
          <w:szCs w:val="21"/>
        </w:rPr>
      </w:pPr>
      <w:r>
        <w:rPr>
          <w:rFonts w:hint="eastAsia" w:cs="宋体"/>
          <w:b w:val="0"/>
          <w:bCs/>
          <w:color w:val="000000"/>
          <w:sz w:val="21"/>
          <w:szCs w:val="21"/>
        </w:rPr>
        <w:t>合同当事人对文明施工的要求：。</w:t>
      </w:r>
    </w:p>
    <w:p w14:paraId="4026C191">
      <w:pPr>
        <w:pStyle w:val="122"/>
        <w:spacing w:after="120"/>
        <w:rPr>
          <w:rFonts w:hint="eastAsia" w:cs="宋体"/>
          <w:b w:val="0"/>
          <w:bCs/>
          <w:color w:val="000000"/>
          <w:sz w:val="21"/>
          <w:szCs w:val="21"/>
        </w:rPr>
      </w:pPr>
      <w:r>
        <w:rPr>
          <w:rFonts w:hint="eastAsia" w:cs="宋体"/>
          <w:b w:val="0"/>
          <w:bCs/>
          <w:color w:val="000000"/>
          <w:sz w:val="21"/>
          <w:szCs w:val="21"/>
        </w:rPr>
        <w:t>7.9临时性公用设施</w:t>
      </w:r>
    </w:p>
    <w:p w14:paraId="284DA17D">
      <w:pPr>
        <w:pStyle w:val="122"/>
        <w:spacing w:after="120"/>
        <w:rPr>
          <w:rFonts w:hint="eastAsia" w:cs="宋体"/>
          <w:b w:val="0"/>
          <w:bCs/>
          <w:color w:val="000000"/>
          <w:sz w:val="21"/>
          <w:szCs w:val="21"/>
        </w:rPr>
      </w:pPr>
      <w:r>
        <w:rPr>
          <w:rFonts w:hint="eastAsia" w:cs="宋体"/>
          <w:b w:val="0"/>
          <w:bCs/>
          <w:color w:val="000000"/>
          <w:sz w:val="21"/>
          <w:szCs w:val="21"/>
        </w:rPr>
        <w:t>关于临时性公用设施的特别约定：。</w:t>
      </w:r>
    </w:p>
    <w:p w14:paraId="7299D3ED">
      <w:pPr>
        <w:pStyle w:val="122"/>
        <w:spacing w:after="120"/>
        <w:rPr>
          <w:rFonts w:hint="eastAsia" w:cs="宋体"/>
          <w:b w:val="0"/>
          <w:bCs/>
          <w:color w:val="000000"/>
          <w:sz w:val="21"/>
          <w:szCs w:val="21"/>
        </w:rPr>
      </w:pPr>
      <w:r>
        <w:rPr>
          <w:rFonts w:hint="eastAsia" w:cs="宋体"/>
          <w:b w:val="0"/>
          <w:bCs/>
          <w:color w:val="000000"/>
          <w:sz w:val="21"/>
          <w:szCs w:val="21"/>
        </w:rPr>
        <w:t>7.10现场安保</w:t>
      </w:r>
    </w:p>
    <w:p w14:paraId="12AC773E">
      <w:pPr>
        <w:pStyle w:val="122"/>
        <w:spacing w:after="120"/>
        <w:rPr>
          <w:rFonts w:hint="eastAsia" w:cs="宋体"/>
          <w:b w:val="0"/>
          <w:bCs/>
          <w:color w:val="000000"/>
          <w:sz w:val="21"/>
          <w:szCs w:val="21"/>
        </w:rPr>
      </w:pPr>
      <w:r>
        <w:rPr>
          <w:rFonts w:hint="eastAsia" w:cs="宋体"/>
          <w:b w:val="0"/>
          <w:bCs/>
          <w:color w:val="000000"/>
          <w:sz w:val="21"/>
          <w:szCs w:val="21"/>
        </w:rPr>
        <w:t>承包人现场安保义务的特别约定：。</w:t>
      </w:r>
    </w:p>
    <w:p w14:paraId="6E6998D3">
      <w:pPr>
        <w:pStyle w:val="122"/>
        <w:spacing w:after="120"/>
        <w:rPr>
          <w:rFonts w:hint="eastAsia" w:cs="宋体"/>
          <w:b w:val="0"/>
          <w:bCs/>
          <w:color w:val="000000"/>
          <w:sz w:val="21"/>
          <w:szCs w:val="21"/>
        </w:rPr>
      </w:pPr>
      <w:r>
        <w:rPr>
          <w:rFonts w:hint="eastAsia" w:cs="宋体"/>
          <w:b w:val="0"/>
          <w:bCs/>
          <w:color w:val="000000"/>
          <w:sz w:val="21"/>
          <w:szCs w:val="21"/>
        </w:rPr>
        <w:t>第8条工期和进度</w:t>
      </w:r>
    </w:p>
    <w:p w14:paraId="0FB207F9">
      <w:pPr>
        <w:pStyle w:val="122"/>
        <w:spacing w:after="120"/>
        <w:rPr>
          <w:rFonts w:hint="eastAsia" w:cs="宋体"/>
          <w:b w:val="0"/>
          <w:bCs/>
          <w:color w:val="000000"/>
          <w:sz w:val="21"/>
          <w:szCs w:val="21"/>
        </w:rPr>
      </w:pPr>
      <w:r>
        <w:rPr>
          <w:rFonts w:hint="eastAsia" w:cs="宋体"/>
          <w:b w:val="0"/>
          <w:bCs/>
          <w:color w:val="000000"/>
          <w:sz w:val="21"/>
          <w:szCs w:val="21"/>
        </w:rPr>
        <w:t>8.1开始工作</w:t>
      </w:r>
    </w:p>
    <w:p w14:paraId="1625FAAD">
      <w:pPr>
        <w:pStyle w:val="122"/>
        <w:spacing w:after="120"/>
        <w:rPr>
          <w:rFonts w:hint="eastAsia" w:cs="宋体"/>
          <w:b w:val="0"/>
          <w:bCs/>
          <w:color w:val="000000"/>
          <w:sz w:val="21"/>
          <w:szCs w:val="21"/>
        </w:rPr>
      </w:pPr>
      <w:r>
        <w:rPr>
          <w:rFonts w:hint="eastAsia" w:cs="宋体"/>
          <w:b w:val="0"/>
          <w:bCs/>
          <w:color w:val="000000"/>
          <w:sz w:val="21"/>
          <w:szCs w:val="21"/>
        </w:rPr>
        <w:t>8.1.1开始准备工作：。</w:t>
      </w:r>
    </w:p>
    <w:p w14:paraId="19E3E5D3">
      <w:pPr>
        <w:pStyle w:val="122"/>
        <w:spacing w:after="120"/>
        <w:rPr>
          <w:rFonts w:hint="eastAsia" w:cs="宋体"/>
          <w:b w:val="0"/>
          <w:bCs/>
          <w:color w:val="000000"/>
          <w:sz w:val="21"/>
          <w:szCs w:val="21"/>
        </w:rPr>
      </w:pPr>
      <w:r>
        <w:rPr>
          <w:rFonts w:hint="eastAsia" w:cs="宋体"/>
          <w:b w:val="0"/>
          <w:bCs/>
          <w:color w:val="000000"/>
          <w:sz w:val="21"/>
          <w:szCs w:val="21"/>
        </w:rPr>
        <w:t>8.1.2发包人可在计划开始工作之日起84日后发出开始工作通知的特殊情形：。</w:t>
      </w:r>
    </w:p>
    <w:p w14:paraId="6FE94E5A">
      <w:pPr>
        <w:pStyle w:val="122"/>
        <w:spacing w:after="120"/>
        <w:rPr>
          <w:rFonts w:hint="eastAsia" w:cs="宋体"/>
          <w:b w:val="0"/>
          <w:bCs/>
          <w:color w:val="000000"/>
          <w:sz w:val="21"/>
          <w:szCs w:val="21"/>
        </w:rPr>
      </w:pPr>
      <w:r>
        <w:rPr>
          <w:rFonts w:hint="eastAsia" w:cs="宋体"/>
          <w:b w:val="0"/>
          <w:bCs/>
          <w:color w:val="000000"/>
          <w:sz w:val="21"/>
          <w:szCs w:val="21"/>
        </w:rPr>
        <w:t>8.2竣工日期</w:t>
      </w:r>
    </w:p>
    <w:p w14:paraId="3E3C5C85">
      <w:pPr>
        <w:pStyle w:val="122"/>
        <w:spacing w:after="120"/>
        <w:rPr>
          <w:rFonts w:hint="eastAsia" w:cs="宋体"/>
          <w:b w:val="0"/>
          <w:bCs/>
          <w:color w:val="000000"/>
          <w:sz w:val="21"/>
          <w:szCs w:val="21"/>
        </w:rPr>
      </w:pPr>
      <w:r>
        <w:rPr>
          <w:rFonts w:hint="eastAsia" w:cs="宋体"/>
          <w:b w:val="0"/>
          <w:bCs/>
          <w:color w:val="000000"/>
          <w:sz w:val="21"/>
          <w:szCs w:val="21"/>
        </w:rPr>
        <w:t>竣工日期的约定：。</w:t>
      </w:r>
    </w:p>
    <w:p w14:paraId="65863FA7">
      <w:pPr>
        <w:pStyle w:val="122"/>
        <w:spacing w:after="120"/>
        <w:rPr>
          <w:rFonts w:hint="eastAsia" w:cs="宋体"/>
          <w:b w:val="0"/>
          <w:bCs/>
          <w:color w:val="000000"/>
          <w:sz w:val="21"/>
          <w:szCs w:val="21"/>
        </w:rPr>
      </w:pPr>
      <w:r>
        <w:rPr>
          <w:rFonts w:hint="eastAsia" w:cs="宋体"/>
          <w:b w:val="0"/>
          <w:bCs/>
          <w:color w:val="000000"/>
          <w:sz w:val="21"/>
          <w:szCs w:val="21"/>
        </w:rPr>
        <w:t>8.3项目实施计划</w:t>
      </w:r>
    </w:p>
    <w:p w14:paraId="586A5EC9">
      <w:pPr>
        <w:pStyle w:val="122"/>
        <w:spacing w:after="120"/>
        <w:rPr>
          <w:rFonts w:hint="eastAsia" w:cs="宋体"/>
          <w:b w:val="0"/>
          <w:bCs/>
          <w:color w:val="000000"/>
          <w:sz w:val="21"/>
          <w:szCs w:val="21"/>
        </w:rPr>
      </w:pPr>
      <w:r>
        <w:rPr>
          <w:rFonts w:hint="eastAsia" w:cs="宋体"/>
          <w:b w:val="0"/>
          <w:bCs/>
          <w:color w:val="000000"/>
          <w:sz w:val="21"/>
          <w:szCs w:val="21"/>
        </w:rPr>
        <w:t>8.3.1项目实施计划的内容</w:t>
      </w:r>
    </w:p>
    <w:p w14:paraId="6DC6CFDA">
      <w:pPr>
        <w:pStyle w:val="122"/>
        <w:spacing w:after="120"/>
        <w:rPr>
          <w:rFonts w:hint="eastAsia" w:cs="宋体"/>
          <w:b w:val="0"/>
          <w:bCs/>
          <w:color w:val="000000"/>
          <w:sz w:val="21"/>
          <w:szCs w:val="21"/>
        </w:rPr>
      </w:pPr>
      <w:r>
        <w:rPr>
          <w:rFonts w:hint="eastAsia" w:cs="宋体"/>
          <w:b w:val="0"/>
          <w:bCs/>
          <w:color w:val="000000"/>
          <w:sz w:val="21"/>
          <w:szCs w:val="21"/>
        </w:rPr>
        <w:t>项目实施计划的内容：。</w:t>
      </w:r>
    </w:p>
    <w:p w14:paraId="007F0F26">
      <w:pPr>
        <w:pStyle w:val="122"/>
        <w:spacing w:after="120"/>
        <w:rPr>
          <w:rFonts w:hint="eastAsia" w:cs="宋体"/>
          <w:b w:val="0"/>
          <w:bCs/>
          <w:color w:val="000000"/>
          <w:sz w:val="21"/>
          <w:szCs w:val="21"/>
        </w:rPr>
      </w:pPr>
      <w:r>
        <w:rPr>
          <w:rFonts w:hint="eastAsia" w:cs="宋体"/>
          <w:b w:val="0"/>
          <w:bCs/>
          <w:color w:val="000000"/>
          <w:sz w:val="21"/>
          <w:szCs w:val="21"/>
        </w:rPr>
        <w:t>8.3.2项目实施计划的提交和修改</w:t>
      </w:r>
    </w:p>
    <w:p w14:paraId="09D626AD">
      <w:pPr>
        <w:pStyle w:val="122"/>
        <w:spacing w:after="120"/>
        <w:rPr>
          <w:rFonts w:hint="eastAsia" w:cs="宋体"/>
          <w:b w:val="0"/>
          <w:bCs/>
          <w:color w:val="000000"/>
          <w:sz w:val="21"/>
          <w:szCs w:val="21"/>
        </w:rPr>
      </w:pPr>
      <w:r>
        <w:rPr>
          <w:rFonts w:hint="eastAsia" w:cs="宋体"/>
          <w:b w:val="0"/>
          <w:bCs/>
          <w:color w:val="000000"/>
          <w:sz w:val="21"/>
          <w:szCs w:val="21"/>
        </w:rPr>
        <w:t>项目实施计划的提交及修改期限：。</w:t>
      </w:r>
    </w:p>
    <w:p w14:paraId="3F486189">
      <w:pPr>
        <w:pStyle w:val="122"/>
        <w:spacing w:after="120"/>
        <w:rPr>
          <w:rFonts w:hint="eastAsia" w:cs="宋体"/>
          <w:b w:val="0"/>
          <w:bCs/>
          <w:color w:val="000000"/>
          <w:sz w:val="21"/>
          <w:szCs w:val="21"/>
        </w:rPr>
      </w:pPr>
      <w:r>
        <w:rPr>
          <w:rFonts w:hint="eastAsia" w:cs="宋体"/>
          <w:b w:val="0"/>
          <w:bCs/>
          <w:color w:val="000000"/>
          <w:sz w:val="21"/>
          <w:szCs w:val="21"/>
        </w:rPr>
        <w:t>8.4项目进度计划</w:t>
      </w:r>
    </w:p>
    <w:p w14:paraId="0588D153">
      <w:pPr>
        <w:pStyle w:val="122"/>
        <w:spacing w:after="120"/>
        <w:rPr>
          <w:rFonts w:hint="eastAsia" w:cs="宋体"/>
          <w:b w:val="0"/>
          <w:bCs/>
          <w:color w:val="000000"/>
          <w:sz w:val="21"/>
          <w:szCs w:val="21"/>
        </w:rPr>
      </w:pPr>
      <w:r>
        <w:rPr>
          <w:rFonts w:hint="eastAsia" w:cs="宋体"/>
          <w:b w:val="0"/>
          <w:bCs/>
          <w:color w:val="000000"/>
          <w:sz w:val="21"/>
          <w:szCs w:val="21"/>
        </w:rPr>
        <w:t>8.4.1工程师在收到进度计划后确认或提出修改意见的期限：。</w:t>
      </w:r>
    </w:p>
    <w:p w14:paraId="6358B8B0">
      <w:pPr>
        <w:pStyle w:val="122"/>
        <w:spacing w:after="120"/>
        <w:rPr>
          <w:rFonts w:hint="eastAsia" w:cs="宋体"/>
          <w:b w:val="0"/>
          <w:bCs/>
          <w:color w:val="000000"/>
          <w:sz w:val="21"/>
          <w:szCs w:val="21"/>
        </w:rPr>
      </w:pPr>
      <w:r>
        <w:rPr>
          <w:rFonts w:hint="eastAsia" w:cs="宋体"/>
          <w:b w:val="0"/>
          <w:bCs/>
          <w:color w:val="000000"/>
          <w:sz w:val="21"/>
          <w:szCs w:val="21"/>
        </w:rPr>
        <w:t>8.4.2进度计划的具体要求：。</w:t>
      </w:r>
    </w:p>
    <w:p w14:paraId="541829BC">
      <w:pPr>
        <w:pStyle w:val="122"/>
        <w:spacing w:after="120"/>
        <w:rPr>
          <w:rFonts w:hint="eastAsia" w:cs="宋体"/>
          <w:b w:val="0"/>
          <w:bCs/>
          <w:color w:val="000000"/>
          <w:sz w:val="21"/>
          <w:szCs w:val="21"/>
        </w:rPr>
      </w:pPr>
      <w:r>
        <w:rPr>
          <w:rFonts w:hint="eastAsia" w:cs="宋体"/>
          <w:b w:val="0"/>
          <w:bCs/>
          <w:color w:val="000000"/>
          <w:sz w:val="21"/>
          <w:szCs w:val="21"/>
        </w:rPr>
        <w:t>关键路径及关键路径变化的确定原则：。</w:t>
      </w:r>
    </w:p>
    <w:p w14:paraId="4FCCBC67">
      <w:pPr>
        <w:pStyle w:val="122"/>
        <w:spacing w:after="120"/>
        <w:rPr>
          <w:rFonts w:hint="eastAsia" w:cs="宋体"/>
          <w:b w:val="0"/>
          <w:bCs/>
          <w:color w:val="000000"/>
          <w:sz w:val="21"/>
          <w:szCs w:val="21"/>
        </w:rPr>
      </w:pPr>
      <w:r>
        <w:rPr>
          <w:rFonts w:hint="eastAsia" w:cs="宋体"/>
          <w:b w:val="0"/>
          <w:bCs/>
          <w:color w:val="000000"/>
          <w:sz w:val="21"/>
          <w:szCs w:val="21"/>
        </w:rPr>
        <w:t>承包人提交项目进度计划的份数和时间：。</w:t>
      </w:r>
    </w:p>
    <w:p w14:paraId="6D822DE4">
      <w:pPr>
        <w:pStyle w:val="122"/>
        <w:spacing w:after="120"/>
        <w:rPr>
          <w:rFonts w:hint="eastAsia" w:cs="宋体"/>
          <w:b w:val="0"/>
          <w:bCs/>
          <w:color w:val="000000"/>
          <w:sz w:val="21"/>
          <w:szCs w:val="21"/>
        </w:rPr>
      </w:pPr>
      <w:r>
        <w:rPr>
          <w:rFonts w:hint="eastAsia" w:cs="宋体"/>
          <w:b w:val="0"/>
          <w:bCs/>
          <w:color w:val="000000"/>
          <w:sz w:val="21"/>
          <w:szCs w:val="21"/>
        </w:rPr>
        <w:t>8.4.3进度计划的修订</w:t>
      </w:r>
    </w:p>
    <w:p w14:paraId="3D1CF634">
      <w:pPr>
        <w:pStyle w:val="122"/>
        <w:spacing w:after="120"/>
        <w:rPr>
          <w:rFonts w:hint="eastAsia" w:cs="宋体"/>
          <w:b w:val="0"/>
          <w:bCs/>
          <w:color w:val="000000"/>
          <w:sz w:val="21"/>
          <w:szCs w:val="21"/>
        </w:rPr>
      </w:pPr>
      <w:r>
        <w:rPr>
          <w:rFonts w:hint="eastAsia" w:cs="宋体"/>
          <w:b w:val="0"/>
          <w:bCs/>
          <w:color w:val="000000"/>
          <w:sz w:val="21"/>
          <w:szCs w:val="21"/>
        </w:rPr>
        <w:t>承包人提交修订项目进度计划申请报告的期限：。</w:t>
      </w:r>
    </w:p>
    <w:p w14:paraId="73E79352">
      <w:pPr>
        <w:pStyle w:val="122"/>
        <w:spacing w:after="120"/>
        <w:rPr>
          <w:rFonts w:hint="eastAsia" w:cs="宋体"/>
          <w:b w:val="0"/>
          <w:bCs/>
          <w:color w:val="000000"/>
          <w:sz w:val="21"/>
          <w:szCs w:val="21"/>
        </w:rPr>
      </w:pPr>
      <w:r>
        <w:rPr>
          <w:rFonts w:hint="eastAsia" w:cs="宋体"/>
          <w:b w:val="0"/>
          <w:bCs/>
          <w:color w:val="000000"/>
          <w:sz w:val="21"/>
          <w:szCs w:val="21"/>
        </w:rPr>
        <w:t>发包人批复修订项目进度计划申请报告的期限：。</w:t>
      </w:r>
    </w:p>
    <w:p w14:paraId="7A373B30">
      <w:pPr>
        <w:pStyle w:val="122"/>
        <w:spacing w:after="120"/>
        <w:rPr>
          <w:rFonts w:hint="eastAsia" w:cs="宋体"/>
          <w:b w:val="0"/>
          <w:bCs/>
          <w:color w:val="000000"/>
          <w:sz w:val="21"/>
          <w:szCs w:val="21"/>
        </w:rPr>
      </w:pPr>
      <w:r>
        <w:rPr>
          <w:rFonts w:hint="eastAsia" w:cs="宋体"/>
          <w:b w:val="0"/>
          <w:bCs/>
          <w:color w:val="000000"/>
          <w:sz w:val="21"/>
          <w:szCs w:val="21"/>
        </w:rPr>
        <w:t>承包人答复发包人提出修订合同计划的期限：。</w:t>
      </w:r>
    </w:p>
    <w:p w14:paraId="0DB8EA28">
      <w:pPr>
        <w:pStyle w:val="122"/>
        <w:spacing w:after="120"/>
        <w:rPr>
          <w:rFonts w:hint="eastAsia" w:cs="宋体"/>
          <w:b w:val="0"/>
          <w:bCs/>
          <w:color w:val="000000"/>
          <w:sz w:val="21"/>
          <w:szCs w:val="21"/>
        </w:rPr>
      </w:pPr>
      <w:r>
        <w:rPr>
          <w:rFonts w:hint="eastAsia" w:cs="宋体"/>
          <w:b w:val="0"/>
          <w:bCs/>
          <w:color w:val="000000"/>
          <w:sz w:val="21"/>
          <w:szCs w:val="21"/>
        </w:rPr>
        <w:t>8.5进度报告</w:t>
      </w:r>
    </w:p>
    <w:p w14:paraId="411A3FC3">
      <w:pPr>
        <w:pStyle w:val="122"/>
        <w:spacing w:after="120"/>
        <w:rPr>
          <w:rFonts w:hint="eastAsia" w:cs="宋体"/>
          <w:b w:val="0"/>
          <w:bCs/>
          <w:color w:val="000000"/>
          <w:sz w:val="21"/>
          <w:szCs w:val="21"/>
        </w:rPr>
      </w:pPr>
      <w:r>
        <w:rPr>
          <w:rFonts w:hint="eastAsia" w:cs="宋体"/>
          <w:b w:val="0"/>
          <w:bCs/>
          <w:color w:val="000000"/>
          <w:sz w:val="21"/>
          <w:szCs w:val="21"/>
        </w:rPr>
        <w:t>进度报告的具体要求：。</w:t>
      </w:r>
    </w:p>
    <w:p w14:paraId="72FB22F4">
      <w:pPr>
        <w:pStyle w:val="122"/>
        <w:spacing w:after="120"/>
        <w:rPr>
          <w:rFonts w:hint="eastAsia" w:cs="宋体"/>
          <w:b w:val="0"/>
          <w:bCs/>
          <w:color w:val="000000"/>
          <w:sz w:val="21"/>
          <w:szCs w:val="21"/>
        </w:rPr>
      </w:pPr>
      <w:r>
        <w:rPr>
          <w:rFonts w:hint="eastAsia" w:cs="宋体"/>
          <w:b w:val="0"/>
          <w:bCs/>
          <w:color w:val="000000"/>
          <w:sz w:val="21"/>
          <w:szCs w:val="21"/>
        </w:rPr>
        <w:t>8.7工期延误</w:t>
      </w:r>
    </w:p>
    <w:p w14:paraId="1AEA5132">
      <w:pPr>
        <w:pStyle w:val="122"/>
        <w:spacing w:after="120"/>
        <w:rPr>
          <w:rFonts w:hint="eastAsia" w:cs="宋体"/>
          <w:b w:val="0"/>
          <w:bCs/>
          <w:color w:val="000000"/>
          <w:sz w:val="21"/>
          <w:szCs w:val="21"/>
        </w:rPr>
      </w:pPr>
      <w:r>
        <w:rPr>
          <w:rFonts w:hint="eastAsia" w:cs="宋体"/>
          <w:b w:val="0"/>
          <w:bCs/>
          <w:color w:val="000000"/>
          <w:sz w:val="21"/>
          <w:szCs w:val="21"/>
        </w:rPr>
        <w:t>8.7.2因承包人原因导致工期延误</w:t>
      </w:r>
    </w:p>
    <w:p w14:paraId="1B206CB4">
      <w:pPr>
        <w:pStyle w:val="122"/>
        <w:spacing w:after="120"/>
        <w:rPr>
          <w:rFonts w:hint="eastAsia" w:cs="宋体"/>
          <w:b w:val="0"/>
          <w:bCs/>
          <w:color w:val="000000"/>
          <w:sz w:val="21"/>
          <w:szCs w:val="21"/>
        </w:rPr>
      </w:pPr>
      <w:r>
        <w:rPr>
          <w:rFonts w:hint="eastAsia" w:cs="宋体"/>
          <w:b w:val="0"/>
          <w:bCs/>
          <w:color w:val="000000"/>
          <w:sz w:val="21"/>
          <w:szCs w:val="21"/>
        </w:rPr>
        <w:t>因承包人原因使竣工日期延误，每延误1日的误期赔偿金额为合同协议书的合同价格的%或人民币金额为：10000元、累计最高赔偿金额为合同协议书的合同价格的：1%或人民币金额为：。</w:t>
      </w:r>
    </w:p>
    <w:p w14:paraId="3273D9E9">
      <w:pPr>
        <w:pStyle w:val="122"/>
        <w:spacing w:after="120"/>
        <w:rPr>
          <w:rFonts w:hint="eastAsia" w:cs="宋体"/>
          <w:b w:val="0"/>
          <w:bCs/>
          <w:color w:val="000000"/>
          <w:sz w:val="21"/>
          <w:szCs w:val="21"/>
        </w:rPr>
      </w:pPr>
      <w:r>
        <w:rPr>
          <w:rFonts w:hint="eastAsia" w:cs="宋体"/>
          <w:b w:val="0"/>
          <w:bCs/>
          <w:color w:val="000000"/>
          <w:sz w:val="21"/>
          <w:szCs w:val="21"/>
        </w:rPr>
        <w:t>8.7.3行政审批迟延</w:t>
      </w:r>
    </w:p>
    <w:p w14:paraId="6E0CDFA4">
      <w:pPr>
        <w:pStyle w:val="122"/>
        <w:spacing w:after="120"/>
        <w:rPr>
          <w:rFonts w:hint="eastAsia" w:cs="宋体"/>
          <w:b w:val="0"/>
          <w:bCs/>
          <w:color w:val="000000"/>
          <w:sz w:val="21"/>
          <w:szCs w:val="21"/>
        </w:rPr>
      </w:pPr>
      <w:r>
        <w:rPr>
          <w:rFonts w:hint="eastAsia" w:cs="宋体"/>
          <w:b w:val="0"/>
          <w:bCs/>
          <w:color w:val="000000"/>
          <w:sz w:val="21"/>
          <w:szCs w:val="21"/>
        </w:rPr>
        <w:t>行政审批报送的职责分工：由发包人负责。</w:t>
      </w:r>
    </w:p>
    <w:p w14:paraId="2BD628A7">
      <w:pPr>
        <w:pStyle w:val="122"/>
        <w:spacing w:after="120"/>
        <w:rPr>
          <w:rFonts w:hint="eastAsia" w:cs="宋体"/>
          <w:b w:val="0"/>
          <w:bCs/>
          <w:color w:val="000000"/>
          <w:sz w:val="21"/>
          <w:szCs w:val="21"/>
        </w:rPr>
      </w:pPr>
      <w:r>
        <w:rPr>
          <w:rFonts w:hint="eastAsia" w:cs="宋体"/>
          <w:b w:val="0"/>
          <w:bCs/>
          <w:color w:val="000000"/>
          <w:sz w:val="21"/>
          <w:szCs w:val="21"/>
        </w:rPr>
        <w:t>8.7.4异常恶劣的气候条件</w:t>
      </w:r>
    </w:p>
    <w:p w14:paraId="78CA06A6">
      <w:pPr>
        <w:pStyle w:val="122"/>
        <w:spacing w:after="120"/>
        <w:rPr>
          <w:rFonts w:hint="eastAsia" w:cs="宋体"/>
          <w:b w:val="0"/>
          <w:bCs/>
          <w:color w:val="000000"/>
          <w:sz w:val="21"/>
          <w:szCs w:val="21"/>
        </w:rPr>
      </w:pPr>
      <w:r>
        <w:rPr>
          <w:rFonts w:hint="eastAsia" w:cs="宋体"/>
          <w:b w:val="0"/>
          <w:bCs/>
          <w:color w:val="000000"/>
          <w:sz w:val="21"/>
          <w:szCs w:val="21"/>
        </w:rPr>
        <w:t>双方约定视为异常恶劣的气候条件的情形：。</w:t>
      </w:r>
    </w:p>
    <w:p w14:paraId="1F1A24E1">
      <w:pPr>
        <w:pStyle w:val="122"/>
        <w:spacing w:after="120"/>
        <w:rPr>
          <w:rFonts w:hint="eastAsia" w:cs="宋体"/>
          <w:b w:val="0"/>
          <w:bCs/>
          <w:color w:val="000000"/>
          <w:sz w:val="21"/>
          <w:szCs w:val="21"/>
        </w:rPr>
      </w:pPr>
      <w:r>
        <w:rPr>
          <w:rFonts w:hint="eastAsia" w:cs="宋体"/>
          <w:b w:val="0"/>
          <w:bCs/>
          <w:color w:val="000000"/>
          <w:sz w:val="21"/>
          <w:szCs w:val="21"/>
        </w:rPr>
        <w:t>8.8工期提前</w:t>
      </w:r>
    </w:p>
    <w:p w14:paraId="2801B825">
      <w:pPr>
        <w:pStyle w:val="122"/>
        <w:spacing w:after="120"/>
        <w:rPr>
          <w:rFonts w:hint="eastAsia" w:cs="宋体"/>
          <w:b w:val="0"/>
          <w:bCs/>
          <w:color w:val="000000"/>
          <w:sz w:val="21"/>
          <w:szCs w:val="21"/>
        </w:rPr>
      </w:pPr>
      <w:r>
        <w:rPr>
          <w:rFonts w:hint="eastAsia" w:cs="宋体"/>
          <w:b w:val="0"/>
          <w:bCs/>
          <w:color w:val="000000"/>
          <w:sz w:val="21"/>
          <w:szCs w:val="21"/>
        </w:rPr>
        <w:t>8.8.2承包人提前竣工的奖励：。</w:t>
      </w:r>
    </w:p>
    <w:p w14:paraId="766640F8">
      <w:pPr>
        <w:pStyle w:val="122"/>
        <w:spacing w:after="120"/>
        <w:rPr>
          <w:rFonts w:hint="eastAsia" w:cs="宋体"/>
          <w:b w:val="0"/>
          <w:bCs/>
          <w:color w:val="000000"/>
          <w:sz w:val="21"/>
          <w:szCs w:val="21"/>
        </w:rPr>
      </w:pPr>
      <w:r>
        <w:rPr>
          <w:rFonts w:hint="eastAsia" w:cs="宋体"/>
          <w:b w:val="0"/>
          <w:bCs/>
          <w:color w:val="000000"/>
          <w:sz w:val="21"/>
          <w:szCs w:val="21"/>
        </w:rPr>
        <w:t>第9条竣工试验</w:t>
      </w:r>
    </w:p>
    <w:p w14:paraId="69FCFF28">
      <w:pPr>
        <w:pStyle w:val="122"/>
        <w:spacing w:after="120"/>
        <w:rPr>
          <w:rFonts w:hint="eastAsia" w:cs="宋体"/>
          <w:b w:val="0"/>
          <w:bCs/>
          <w:color w:val="000000"/>
          <w:sz w:val="21"/>
          <w:szCs w:val="21"/>
        </w:rPr>
      </w:pPr>
      <w:r>
        <w:rPr>
          <w:rFonts w:hint="eastAsia" w:cs="宋体"/>
          <w:b w:val="0"/>
          <w:bCs/>
          <w:color w:val="000000"/>
          <w:sz w:val="21"/>
          <w:szCs w:val="21"/>
        </w:rPr>
        <w:t>9.1竣工试验的义务</w:t>
      </w:r>
    </w:p>
    <w:p w14:paraId="2A96756B">
      <w:pPr>
        <w:pStyle w:val="122"/>
        <w:spacing w:after="120"/>
        <w:rPr>
          <w:rFonts w:hint="eastAsia" w:cs="宋体"/>
          <w:b w:val="0"/>
          <w:bCs/>
          <w:color w:val="000000"/>
          <w:sz w:val="21"/>
          <w:szCs w:val="21"/>
        </w:rPr>
      </w:pPr>
      <w:r>
        <w:rPr>
          <w:rFonts w:hint="eastAsia" w:cs="宋体"/>
          <w:b w:val="0"/>
          <w:bCs/>
          <w:color w:val="000000"/>
          <w:sz w:val="21"/>
          <w:szCs w:val="21"/>
        </w:rPr>
        <w:t>9.1.3竣工试验的阶段、内容和顺序：。</w:t>
      </w:r>
    </w:p>
    <w:p w14:paraId="231229CB">
      <w:pPr>
        <w:pStyle w:val="122"/>
        <w:spacing w:after="120"/>
        <w:rPr>
          <w:rFonts w:hint="eastAsia" w:cs="宋体"/>
          <w:b w:val="0"/>
          <w:bCs/>
          <w:color w:val="000000"/>
          <w:sz w:val="21"/>
          <w:szCs w:val="21"/>
        </w:rPr>
      </w:pPr>
      <w:r>
        <w:rPr>
          <w:rFonts w:hint="eastAsia" w:cs="宋体"/>
          <w:b w:val="0"/>
          <w:bCs/>
          <w:color w:val="000000"/>
          <w:sz w:val="21"/>
          <w:szCs w:val="21"/>
        </w:rPr>
        <w:t>竣工试验的操作要求：。</w:t>
      </w:r>
    </w:p>
    <w:p w14:paraId="6A1F76F8">
      <w:pPr>
        <w:pStyle w:val="122"/>
        <w:spacing w:after="120"/>
        <w:rPr>
          <w:rFonts w:hint="eastAsia" w:cs="宋体"/>
          <w:b w:val="0"/>
          <w:bCs/>
          <w:color w:val="000000"/>
          <w:sz w:val="21"/>
          <w:szCs w:val="21"/>
        </w:rPr>
      </w:pPr>
      <w:r>
        <w:rPr>
          <w:rFonts w:hint="eastAsia" w:cs="宋体"/>
          <w:b w:val="0"/>
          <w:bCs/>
          <w:color w:val="000000"/>
          <w:sz w:val="21"/>
          <w:szCs w:val="21"/>
        </w:rPr>
        <w:t>第10条验收和工程接收</w:t>
      </w:r>
    </w:p>
    <w:p w14:paraId="1BBA40B5">
      <w:pPr>
        <w:pStyle w:val="122"/>
        <w:spacing w:after="120"/>
        <w:rPr>
          <w:rFonts w:hint="eastAsia" w:cs="宋体"/>
          <w:b w:val="0"/>
          <w:bCs/>
          <w:color w:val="000000"/>
          <w:sz w:val="21"/>
          <w:szCs w:val="21"/>
        </w:rPr>
      </w:pPr>
      <w:r>
        <w:rPr>
          <w:rFonts w:hint="eastAsia" w:cs="宋体"/>
          <w:b w:val="0"/>
          <w:bCs/>
          <w:color w:val="000000"/>
          <w:sz w:val="21"/>
          <w:szCs w:val="21"/>
        </w:rPr>
        <w:t>10.1竣工验收</w:t>
      </w:r>
    </w:p>
    <w:p w14:paraId="0FD858F3">
      <w:pPr>
        <w:pStyle w:val="122"/>
        <w:spacing w:after="120"/>
        <w:rPr>
          <w:rFonts w:hint="eastAsia" w:cs="宋体"/>
          <w:b w:val="0"/>
          <w:bCs/>
          <w:color w:val="000000"/>
          <w:sz w:val="21"/>
          <w:szCs w:val="21"/>
        </w:rPr>
      </w:pPr>
      <w:r>
        <w:rPr>
          <w:rFonts w:hint="eastAsia" w:cs="宋体"/>
          <w:b w:val="0"/>
          <w:bCs/>
          <w:color w:val="000000"/>
          <w:sz w:val="21"/>
          <w:szCs w:val="21"/>
        </w:rPr>
        <w:t>10.1.2关于竣工验收程序的约定：。</w:t>
      </w:r>
    </w:p>
    <w:p w14:paraId="2128AF8E">
      <w:pPr>
        <w:pStyle w:val="122"/>
        <w:spacing w:after="120"/>
        <w:rPr>
          <w:rFonts w:hint="eastAsia" w:cs="宋体"/>
          <w:b w:val="0"/>
          <w:bCs/>
          <w:color w:val="000000"/>
          <w:sz w:val="21"/>
          <w:szCs w:val="21"/>
        </w:rPr>
      </w:pPr>
      <w:r>
        <w:rPr>
          <w:rFonts w:hint="eastAsia" w:cs="宋体"/>
          <w:b w:val="0"/>
          <w:bCs/>
          <w:color w:val="000000"/>
          <w:sz w:val="21"/>
          <w:szCs w:val="21"/>
        </w:rPr>
        <w:t>发包人不按照合同约定组织竣工验收、颁发工程接受证书的违约金的计算方式：。</w:t>
      </w:r>
    </w:p>
    <w:p w14:paraId="057D80A8">
      <w:pPr>
        <w:pStyle w:val="122"/>
        <w:spacing w:after="120"/>
        <w:rPr>
          <w:rFonts w:hint="eastAsia" w:cs="宋体"/>
          <w:b w:val="0"/>
          <w:bCs/>
          <w:color w:val="000000"/>
          <w:sz w:val="21"/>
          <w:szCs w:val="21"/>
        </w:rPr>
      </w:pPr>
      <w:r>
        <w:rPr>
          <w:rFonts w:hint="eastAsia" w:cs="宋体"/>
          <w:b w:val="0"/>
          <w:bCs/>
          <w:color w:val="000000"/>
          <w:sz w:val="21"/>
          <w:szCs w:val="21"/>
        </w:rPr>
        <w:t>10.3    工程的接收</w:t>
      </w:r>
    </w:p>
    <w:p w14:paraId="644C2FB9">
      <w:pPr>
        <w:pStyle w:val="122"/>
        <w:spacing w:after="120"/>
        <w:rPr>
          <w:rFonts w:hint="eastAsia" w:cs="宋体"/>
          <w:b w:val="0"/>
          <w:bCs/>
          <w:color w:val="000000"/>
          <w:sz w:val="21"/>
          <w:szCs w:val="21"/>
        </w:rPr>
      </w:pPr>
      <w:r>
        <w:rPr>
          <w:rFonts w:hint="eastAsia" w:cs="宋体"/>
          <w:b w:val="0"/>
          <w:bCs/>
          <w:color w:val="000000"/>
          <w:sz w:val="21"/>
          <w:szCs w:val="21"/>
        </w:rPr>
        <w:t>10.3.1工程接收的先后顺序、时间安排和其他要求：。</w:t>
      </w:r>
    </w:p>
    <w:p w14:paraId="13615500">
      <w:pPr>
        <w:pStyle w:val="122"/>
        <w:spacing w:after="120"/>
        <w:rPr>
          <w:rFonts w:hint="eastAsia" w:cs="宋体"/>
          <w:b w:val="0"/>
          <w:bCs/>
          <w:color w:val="000000"/>
          <w:sz w:val="21"/>
          <w:szCs w:val="21"/>
        </w:rPr>
      </w:pPr>
      <w:r>
        <w:rPr>
          <w:rFonts w:hint="eastAsia" w:cs="宋体"/>
          <w:b w:val="0"/>
          <w:bCs/>
          <w:color w:val="000000"/>
          <w:sz w:val="21"/>
          <w:szCs w:val="21"/>
        </w:rPr>
        <w:t>10.3.2接收工程时承包人需提交竣工验收资料的类别、内容、份数和提交时间：。</w:t>
      </w:r>
    </w:p>
    <w:p w14:paraId="4196A145">
      <w:pPr>
        <w:pStyle w:val="122"/>
        <w:spacing w:after="120"/>
        <w:rPr>
          <w:rFonts w:hint="eastAsia" w:cs="宋体"/>
          <w:b w:val="0"/>
          <w:bCs/>
          <w:color w:val="000000"/>
          <w:sz w:val="21"/>
          <w:szCs w:val="21"/>
        </w:rPr>
      </w:pPr>
      <w:r>
        <w:rPr>
          <w:rFonts w:hint="eastAsia" w:cs="宋体"/>
          <w:b w:val="0"/>
          <w:bCs/>
          <w:color w:val="000000"/>
          <w:sz w:val="21"/>
          <w:szCs w:val="21"/>
        </w:rPr>
        <w:t>10.3.3发包人逾期接收工程的违约责任：。</w:t>
      </w:r>
    </w:p>
    <w:p w14:paraId="68D5658F">
      <w:pPr>
        <w:pStyle w:val="122"/>
        <w:spacing w:after="120"/>
        <w:rPr>
          <w:rFonts w:hint="eastAsia" w:cs="宋体"/>
          <w:b w:val="0"/>
          <w:bCs/>
          <w:color w:val="000000"/>
          <w:sz w:val="21"/>
          <w:szCs w:val="21"/>
        </w:rPr>
      </w:pPr>
      <w:r>
        <w:rPr>
          <w:rFonts w:hint="eastAsia" w:cs="宋体"/>
          <w:b w:val="0"/>
          <w:bCs/>
          <w:color w:val="000000"/>
          <w:sz w:val="21"/>
          <w:szCs w:val="21"/>
        </w:rPr>
        <w:t>10.3.4承包人无正当理由不移交工程的违约责任：。</w:t>
      </w:r>
    </w:p>
    <w:p w14:paraId="51259894">
      <w:pPr>
        <w:pStyle w:val="122"/>
        <w:spacing w:after="120"/>
        <w:rPr>
          <w:rFonts w:hint="eastAsia" w:cs="宋体"/>
          <w:b w:val="0"/>
          <w:bCs/>
          <w:color w:val="000000"/>
          <w:sz w:val="21"/>
          <w:szCs w:val="21"/>
        </w:rPr>
      </w:pPr>
      <w:r>
        <w:rPr>
          <w:rFonts w:hint="eastAsia" w:cs="宋体"/>
          <w:b w:val="0"/>
          <w:bCs/>
          <w:color w:val="000000"/>
          <w:sz w:val="21"/>
          <w:szCs w:val="21"/>
        </w:rPr>
        <w:t>10.4接收证书</w:t>
      </w:r>
    </w:p>
    <w:p w14:paraId="3D4AF99D">
      <w:pPr>
        <w:pStyle w:val="122"/>
        <w:spacing w:after="120"/>
        <w:rPr>
          <w:rFonts w:hint="eastAsia" w:cs="宋体"/>
          <w:b w:val="0"/>
          <w:bCs/>
          <w:color w:val="000000"/>
          <w:sz w:val="21"/>
          <w:szCs w:val="21"/>
        </w:rPr>
      </w:pPr>
      <w:r>
        <w:rPr>
          <w:rFonts w:hint="eastAsia" w:cs="宋体"/>
          <w:b w:val="0"/>
          <w:bCs/>
          <w:color w:val="000000"/>
          <w:sz w:val="21"/>
          <w:szCs w:val="21"/>
        </w:rPr>
        <w:t>10.4.1工程接收证书颁发时间：。</w:t>
      </w:r>
    </w:p>
    <w:p w14:paraId="5451F3B0">
      <w:pPr>
        <w:pStyle w:val="122"/>
        <w:spacing w:after="120"/>
        <w:rPr>
          <w:rFonts w:hint="eastAsia" w:cs="宋体"/>
          <w:b w:val="0"/>
          <w:bCs/>
          <w:color w:val="000000"/>
          <w:sz w:val="21"/>
          <w:szCs w:val="21"/>
        </w:rPr>
      </w:pPr>
      <w:r>
        <w:rPr>
          <w:rFonts w:hint="eastAsia" w:cs="宋体"/>
          <w:b w:val="0"/>
          <w:bCs/>
          <w:color w:val="000000"/>
          <w:sz w:val="21"/>
          <w:szCs w:val="21"/>
        </w:rPr>
        <w:t>10.5竣工退场</w:t>
      </w:r>
    </w:p>
    <w:p w14:paraId="25542AFF">
      <w:pPr>
        <w:pStyle w:val="122"/>
        <w:spacing w:after="120"/>
        <w:rPr>
          <w:rFonts w:hint="eastAsia" w:cs="宋体"/>
          <w:b w:val="0"/>
          <w:bCs/>
          <w:color w:val="000000"/>
          <w:sz w:val="21"/>
          <w:szCs w:val="21"/>
        </w:rPr>
      </w:pPr>
      <w:r>
        <w:rPr>
          <w:rFonts w:hint="eastAsia" w:cs="宋体"/>
          <w:b w:val="0"/>
          <w:bCs/>
          <w:color w:val="000000"/>
          <w:sz w:val="21"/>
          <w:szCs w:val="21"/>
        </w:rPr>
        <w:t>10.5.1竣工退场的相关约定：。</w:t>
      </w:r>
    </w:p>
    <w:p w14:paraId="35B923D6">
      <w:pPr>
        <w:pStyle w:val="122"/>
        <w:spacing w:after="120"/>
        <w:rPr>
          <w:rFonts w:hint="eastAsia" w:cs="宋体"/>
          <w:b w:val="0"/>
          <w:bCs/>
          <w:color w:val="000000"/>
          <w:sz w:val="21"/>
          <w:szCs w:val="21"/>
        </w:rPr>
      </w:pPr>
      <w:r>
        <w:rPr>
          <w:rFonts w:hint="eastAsia" w:cs="宋体"/>
          <w:b w:val="0"/>
          <w:bCs/>
          <w:color w:val="000000"/>
          <w:sz w:val="21"/>
          <w:szCs w:val="21"/>
        </w:rPr>
        <w:t>10.5.3人员撤离</w:t>
      </w:r>
    </w:p>
    <w:p w14:paraId="69DC0282">
      <w:pPr>
        <w:pStyle w:val="122"/>
        <w:spacing w:after="120"/>
        <w:rPr>
          <w:rFonts w:hint="eastAsia" w:cs="宋体"/>
          <w:b w:val="0"/>
          <w:bCs/>
          <w:color w:val="000000"/>
          <w:sz w:val="21"/>
          <w:szCs w:val="21"/>
        </w:rPr>
      </w:pPr>
      <w:r>
        <w:rPr>
          <w:rFonts w:hint="eastAsia" w:cs="宋体"/>
          <w:b w:val="0"/>
          <w:bCs/>
          <w:color w:val="000000"/>
          <w:sz w:val="21"/>
          <w:szCs w:val="21"/>
        </w:rPr>
        <w:t>工程师同意需在缺陷责任期内继续工作和使用的人员、施工设备和临时工程的内容：。</w:t>
      </w:r>
    </w:p>
    <w:p w14:paraId="78148741">
      <w:pPr>
        <w:pStyle w:val="122"/>
        <w:spacing w:after="120"/>
        <w:rPr>
          <w:rFonts w:hint="eastAsia" w:cs="宋体"/>
          <w:b w:val="0"/>
          <w:bCs/>
          <w:color w:val="000000"/>
          <w:sz w:val="21"/>
          <w:szCs w:val="21"/>
        </w:rPr>
      </w:pPr>
      <w:r>
        <w:rPr>
          <w:rFonts w:hint="eastAsia" w:cs="宋体"/>
          <w:b w:val="0"/>
          <w:bCs/>
          <w:color w:val="000000"/>
          <w:sz w:val="21"/>
          <w:szCs w:val="21"/>
        </w:rPr>
        <w:t>第11条缺陷责任与保修</w:t>
      </w:r>
    </w:p>
    <w:p w14:paraId="20E1CF03">
      <w:pPr>
        <w:pStyle w:val="122"/>
        <w:spacing w:after="120"/>
        <w:rPr>
          <w:rFonts w:hint="eastAsia" w:cs="宋体"/>
          <w:b w:val="0"/>
          <w:bCs/>
          <w:color w:val="000000"/>
          <w:sz w:val="21"/>
          <w:szCs w:val="21"/>
        </w:rPr>
      </w:pPr>
      <w:r>
        <w:rPr>
          <w:rFonts w:hint="eastAsia" w:cs="宋体"/>
          <w:b w:val="0"/>
          <w:bCs/>
          <w:color w:val="000000"/>
          <w:sz w:val="21"/>
          <w:szCs w:val="21"/>
        </w:rPr>
        <w:t>11.2缺陷责任期</w:t>
      </w:r>
    </w:p>
    <w:p w14:paraId="26248F17">
      <w:pPr>
        <w:pStyle w:val="122"/>
        <w:spacing w:after="120"/>
        <w:rPr>
          <w:rFonts w:hint="eastAsia" w:cs="宋体"/>
          <w:b w:val="0"/>
          <w:bCs/>
          <w:color w:val="000000"/>
          <w:sz w:val="21"/>
          <w:szCs w:val="21"/>
        </w:rPr>
      </w:pPr>
      <w:r>
        <w:rPr>
          <w:rFonts w:hint="eastAsia" w:cs="宋体"/>
          <w:b w:val="0"/>
          <w:bCs/>
          <w:color w:val="000000"/>
          <w:sz w:val="21"/>
          <w:szCs w:val="21"/>
        </w:rPr>
        <w:t>缺陷责任期的期限：。</w:t>
      </w:r>
    </w:p>
    <w:p w14:paraId="0487A5BE">
      <w:pPr>
        <w:pStyle w:val="122"/>
        <w:spacing w:after="120"/>
        <w:rPr>
          <w:rFonts w:hint="eastAsia" w:cs="宋体"/>
          <w:b w:val="0"/>
          <w:bCs/>
          <w:color w:val="000000"/>
          <w:sz w:val="21"/>
          <w:szCs w:val="21"/>
        </w:rPr>
      </w:pPr>
      <w:r>
        <w:rPr>
          <w:rFonts w:hint="eastAsia" w:cs="宋体"/>
          <w:b w:val="0"/>
          <w:bCs/>
          <w:color w:val="000000"/>
          <w:sz w:val="21"/>
          <w:szCs w:val="21"/>
        </w:rPr>
        <w:t>11.3缺陷调查</w:t>
      </w:r>
    </w:p>
    <w:p w14:paraId="7D9B94A0">
      <w:pPr>
        <w:pStyle w:val="122"/>
        <w:spacing w:after="120"/>
        <w:rPr>
          <w:rFonts w:hint="eastAsia" w:cs="宋体"/>
          <w:b w:val="0"/>
          <w:bCs/>
          <w:color w:val="000000"/>
          <w:sz w:val="21"/>
          <w:szCs w:val="21"/>
        </w:rPr>
      </w:pPr>
      <w:r>
        <w:rPr>
          <w:rFonts w:hint="eastAsia" w:cs="宋体"/>
          <w:b w:val="0"/>
          <w:bCs/>
          <w:color w:val="000000"/>
          <w:sz w:val="21"/>
          <w:szCs w:val="21"/>
        </w:rPr>
        <w:t>11.3.4修复通知</w:t>
      </w:r>
    </w:p>
    <w:p w14:paraId="3D58ADDB">
      <w:pPr>
        <w:pStyle w:val="122"/>
        <w:spacing w:after="120"/>
        <w:rPr>
          <w:rFonts w:hint="eastAsia" w:cs="宋体"/>
          <w:b w:val="0"/>
          <w:bCs/>
          <w:color w:val="000000"/>
          <w:sz w:val="21"/>
          <w:szCs w:val="21"/>
        </w:rPr>
      </w:pPr>
      <w:r>
        <w:rPr>
          <w:rFonts w:hint="eastAsia" w:cs="宋体"/>
          <w:b w:val="0"/>
          <w:bCs/>
          <w:color w:val="000000"/>
          <w:sz w:val="21"/>
          <w:szCs w:val="21"/>
        </w:rPr>
        <w:t>承包人收到保修通知并到达工程现场的合理时间：。</w:t>
      </w:r>
    </w:p>
    <w:p w14:paraId="4991E44B">
      <w:pPr>
        <w:pStyle w:val="122"/>
        <w:spacing w:after="120"/>
        <w:rPr>
          <w:rFonts w:hint="eastAsia" w:cs="宋体"/>
          <w:b w:val="0"/>
          <w:bCs/>
          <w:color w:val="000000"/>
          <w:sz w:val="21"/>
          <w:szCs w:val="21"/>
        </w:rPr>
      </w:pPr>
      <w:r>
        <w:rPr>
          <w:rFonts w:hint="eastAsia" w:cs="宋体"/>
          <w:b w:val="0"/>
          <w:bCs/>
          <w:color w:val="000000"/>
          <w:sz w:val="21"/>
          <w:szCs w:val="21"/>
        </w:rPr>
        <w:t>11.6缺陷责任期终止证书</w:t>
      </w:r>
    </w:p>
    <w:p w14:paraId="1F3DC133">
      <w:pPr>
        <w:pStyle w:val="122"/>
        <w:spacing w:after="120"/>
        <w:rPr>
          <w:rFonts w:hint="eastAsia" w:cs="宋体"/>
          <w:b w:val="0"/>
          <w:bCs/>
          <w:color w:val="000000"/>
          <w:sz w:val="21"/>
          <w:szCs w:val="21"/>
        </w:rPr>
      </w:pPr>
      <w:r>
        <w:rPr>
          <w:rFonts w:hint="eastAsia" w:cs="宋体"/>
          <w:b w:val="0"/>
          <w:bCs/>
          <w:color w:val="000000"/>
          <w:sz w:val="21"/>
          <w:szCs w:val="21"/>
        </w:rPr>
        <w:t>承包人应于缺陷责任期届满后天内向发包人发出缺陷责任期届满通知，发包人应在收到缺陷责任期满通知后天内核实承包人是否履行缺陷修复义务，承包人未能履行缺陷修复义务的，发包人有权扣除相应金额的维修费用。发包人应在收到缺陷责任期届满通知后天内，向承包人颁发缺陷责任期终止证书。</w:t>
      </w:r>
    </w:p>
    <w:p w14:paraId="66AC796C">
      <w:pPr>
        <w:pStyle w:val="122"/>
        <w:spacing w:after="120"/>
        <w:rPr>
          <w:rFonts w:hint="eastAsia" w:cs="宋体"/>
          <w:b w:val="0"/>
          <w:bCs/>
          <w:color w:val="000000"/>
          <w:sz w:val="21"/>
          <w:szCs w:val="21"/>
        </w:rPr>
      </w:pPr>
      <w:r>
        <w:rPr>
          <w:rFonts w:hint="eastAsia" w:cs="宋体"/>
          <w:b w:val="0"/>
          <w:bCs/>
          <w:color w:val="000000"/>
          <w:sz w:val="21"/>
          <w:szCs w:val="21"/>
        </w:rPr>
        <w:t>11.7保修责任</w:t>
      </w:r>
    </w:p>
    <w:p w14:paraId="772AF498">
      <w:pPr>
        <w:pStyle w:val="122"/>
        <w:spacing w:after="120"/>
        <w:rPr>
          <w:rFonts w:hint="eastAsia" w:cs="宋体"/>
          <w:b w:val="0"/>
          <w:bCs/>
          <w:color w:val="000000"/>
          <w:sz w:val="21"/>
          <w:szCs w:val="21"/>
        </w:rPr>
      </w:pPr>
      <w:r>
        <w:rPr>
          <w:rFonts w:hint="eastAsia" w:cs="宋体"/>
          <w:b w:val="0"/>
          <w:bCs/>
          <w:color w:val="000000"/>
          <w:sz w:val="21"/>
          <w:szCs w:val="21"/>
        </w:rPr>
        <w:t>工程质量保修范围、期限和责任为：。</w:t>
      </w:r>
    </w:p>
    <w:p w14:paraId="65690A8E">
      <w:pPr>
        <w:pStyle w:val="122"/>
        <w:spacing w:after="120"/>
        <w:rPr>
          <w:rFonts w:hint="eastAsia" w:cs="宋体"/>
          <w:b w:val="0"/>
          <w:bCs/>
          <w:color w:val="000000"/>
          <w:sz w:val="21"/>
          <w:szCs w:val="21"/>
        </w:rPr>
      </w:pPr>
      <w:r>
        <w:rPr>
          <w:rFonts w:hint="eastAsia" w:cs="宋体"/>
          <w:b w:val="0"/>
          <w:bCs/>
          <w:color w:val="000000"/>
          <w:sz w:val="21"/>
          <w:szCs w:val="21"/>
        </w:rPr>
        <w:t>第12条竣工后试验</w:t>
      </w:r>
    </w:p>
    <w:p w14:paraId="59DBEF55">
      <w:pPr>
        <w:pStyle w:val="122"/>
        <w:spacing w:after="120"/>
        <w:rPr>
          <w:rFonts w:hint="eastAsia" w:cs="宋体"/>
          <w:b w:val="0"/>
          <w:bCs/>
          <w:color w:val="000000"/>
          <w:sz w:val="21"/>
          <w:szCs w:val="21"/>
        </w:rPr>
      </w:pPr>
      <w:r>
        <w:rPr>
          <w:rFonts w:hint="eastAsia" w:cs="宋体"/>
          <w:b w:val="0"/>
          <w:bCs/>
          <w:color w:val="000000"/>
          <w:sz w:val="21"/>
          <w:szCs w:val="21"/>
        </w:rPr>
        <w:t>本合同工程是否包含竣工后试验：。</w:t>
      </w:r>
    </w:p>
    <w:p w14:paraId="52CC2A1C">
      <w:pPr>
        <w:pStyle w:val="122"/>
        <w:spacing w:after="120"/>
        <w:rPr>
          <w:rFonts w:hint="eastAsia" w:cs="宋体"/>
          <w:b w:val="0"/>
          <w:bCs/>
          <w:color w:val="000000"/>
          <w:sz w:val="21"/>
          <w:szCs w:val="21"/>
        </w:rPr>
      </w:pPr>
      <w:r>
        <w:rPr>
          <w:rFonts w:hint="eastAsia" w:cs="宋体"/>
          <w:b w:val="0"/>
          <w:bCs/>
          <w:color w:val="000000"/>
          <w:sz w:val="21"/>
          <w:szCs w:val="21"/>
        </w:rPr>
        <w:t>12.1竣工后试验的程序</w:t>
      </w:r>
    </w:p>
    <w:p w14:paraId="6125AEB1">
      <w:pPr>
        <w:pStyle w:val="122"/>
        <w:spacing w:after="120"/>
        <w:rPr>
          <w:rFonts w:hint="eastAsia" w:cs="宋体"/>
          <w:b w:val="0"/>
          <w:bCs/>
          <w:color w:val="000000"/>
          <w:sz w:val="21"/>
          <w:szCs w:val="21"/>
        </w:rPr>
      </w:pPr>
      <w:r>
        <w:rPr>
          <w:rFonts w:hint="eastAsia" w:cs="宋体"/>
          <w:b w:val="0"/>
          <w:bCs/>
          <w:color w:val="000000"/>
          <w:sz w:val="21"/>
          <w:szCs w:val="21"/>
        </w:rPr>
        <w:t>12.1.2竣工后试验全部电力、水、污水处理、燃料、消耗品和材料，以及全部其他仪器、协助、文件或其他信息、设备、工具、劳力，启动工程设备，并组织安排有适当资质、经验和能力的工作人员等必要条件的提供方：。</w:t>
      </w:r>
    </w:p>
    <w:p w14:paraId="36B5EE33">
      <w:pPr>
        <w:pStyle w:val="122"/>
        <w:spacing w:after="120"/>
        <w:rPr>
          <w:rFonts w:hint="eastAsia" w:cs="宋体"/>
          <w:b w:val="0"/>
          <w:bCs/>
          <w:color w:val="000000"/>
          <w:sz w:val="21"/>
          <w:szCs w:val="21"/>
        </w:rPr>
      </w:pPr>
      <w:r>
        <w:rPr>
          <w:rFonts w:hint="eastAsia" w:cs="宋体"/>
          <w:b w:val="0"/>
          <w:bCs/>
          <w:color w:val="000000"/>
          <w:sz w:val="21"/>
          <w:szCs w:val="21"/>
        </w:rPr>
        <w:t>第13条变更与调整</w:t>
      </w:r>
    </w:p>
    <w:p w14:paraId="651FB061">
      <w:pPr>
        <w:pStyle w:val="122"/>
        <w:spacing w:after="120"/>
        <w:rPr>
          <w:rFonts w:hint="eastAsia" w:cs="宋体"/>
          <w:b w:val="0"/>
          <w:bCs/>
          <w:color w:val="000000"/>
          <w:sz w:val="21"/>
          <w:szCs w:val="21"/>
        </w:rPr>
      </w:pPr>
      <w:r>
        <w:rPr>
          <w:rFonts w:hint="eastAsia" w:cs="宋体"/>
          <w:b w:val="0"/>
          <w:bCs/>
          <w:color w:val="000000"/>
          <w:sz w:val="21"/>
          <w:szCs w:val="21"/>
        </w:rPr>
        <w:t>13.2承包人的合理化建议</w:t>
      </w:r>
    </w:p>
    <w:p w14:paraId="0DB4CBDB">
      <w:pPr>
        <w:pStyle w:val="122"/>
        <w:spacing w:after="120"/>
        <w:rPr>
          <w:rFonts w:hint="eastAsia" w:cs="宋体"/>
          <w:b w:val="0"/>
          <w:bCs/>
          <w:color w:val="000000"/>
          <w:sz w:val="21"/>
          <w:szCs w:val="21"/>
        </w:rPr>
      </w:pPr>
      <w:r>
        <w:rPr>
          <w:rFonts w:hint="eastAsia" w:cs="宋体"/>
          <w:b w:val="0"/>
          <w:bCs/>
          <w:color w:val="000000"/>
          <w:sz w:val="21"/>
          <w:szCs w:val="21"/>
        </w:rPr>
        <w:t>13.2.2工程师应在收到承包人提交的合理化建议后日内审查完毕并报送发包人，发现其中存在技术上的缺陷，应通知承包人修改。发包人应在收到工程师报送的合理化建议后日内审批完毕。合理化建议经发包人批准的，工程师应及时发出变更指示，由此引起的合同价格调整按照执行。发包人不同意变更的，工程师应书面通知承包人</w:t>
      </w:r>
    </w:p>
    <w:p w14:paraId="6B6729B3">
      <w:pPr>
        <w:pStyle w:val="122"/>
        <w:spacing w:after="120"/>
        <w:rPr>
          <w:rFonts w:hint="eastAsia" w:cs="宋体"/>
          <w:b w:val="0"/>
          <w:bCs/>
          <w:color w:val="000000"/>
          <w:sz w:val="21"/>
          <w:szCs w:val="21"/>
        </w:rPr>
      </w:pPr>
      <w:r>
        <w:rPr>
          <w:rFonts w:hint="eastAsia" w:cs="宋体"/>
          <w:b w:val="0"/>
          <w:bCs/>
          <w:color w:val="000000"/>
          <w:sz w:val="21"/>
          <w:szCs w:val="21"/>
        </w:rPr>
        <w:t>13.2.3承包人提出的合理化变更建议的利益分享约定：。</w:t>
      </w:r>
    </w:p>
    <w:p w14:paraId="31F5743A">
      <w:pPr>
        <w:pStyle w:val="122"/>
        <w:spacing w:after="120"/>
        <w:rPr>
          <w:rFonts w:hint="eastAsia" w:cs="宋体"/>
          <w:b w:val="0"/>
          <w:bCs/>
          <w:color w:val="000000"/>
          <w:sz w:val="21"/>
          <w:szCs w:val="21"/>
        </w:rPr>
      </w:pPr>
      <w:r>
        <w:rPr>
          <w:rFonts w:hint="eastAsia" w:cs="宋体"/>
          <w:b w:val="0"/>
          <w:bCs/>
          <w:color w:val="000000"/>
          <w:sz w:val="21"/>
          <w:szCs w:val="21"/>
        </w:rPr>
        <w:t>13.3变更程序</w:t>
      </w:r>
    </w:p>
    <w:p w14:paraId="566B5301">
      <w:pPr>
        <w:pStyle w:val="122"/>
        <w:spacing w:after="120"/>
        <w:rPr>
          <w:rFonts w:hint="eastAsia" w:cs="宋体"/>
          <w:b w:val="0"/>
          <w:bCs/>
          <w:color w:val="000000"/>
          <w:sz w:val="21"/>
          <w:szCs w:val="21"/>
        </w:rPr>
      </w:pPr>
      <w:r>
        <w:rPr>
          <w:rFonts w:hint="eastAsia" w:cs="宋体"/>
          <w:b w:val="0"/>
          <w:bCs/>
          <w:color w:val="000000"/>
          <w:sz w:val="21"/>
          <w:szCs w:val="21"/>
        </w:rPr>
        <w:t>13.3.3变更估价</w:t>
      </w:r>
    </w:p>
    <w:p w14:paraId="35DA2CD0">
      <w:pPr>
        <w:pStyle w:val="122"/>
        <w:spacing w:after="120"/>
        <w:rPr>
          <w:rFonts w:hint="eastAsia" w:cs="宋体"/>
          <w:b w:val="0"/>
          <w:bCs/>
          <w:color w:val="000000"/>
          <w:sz w:val="21"/>
          <w:szCs w:val="21"/>
        </w:rPr>
      </w:pPr>
      <w:r>
        <w:rPr>
          <w:rFonts w:hint="eastAsia" w:cs="宋体"/>
          <w:b w:val="0"/>
          <w:bCs/>
          <w:color w:val="000000"/>
          <w:sz w:val="21"/>
          <w:szCs w:val="21"/>
        </w:rPr>
        <w:t>13.3.3.1变更估价原则</w:t>
      </w:r>
    </w:p>
    <w:p w14:paraId="3DB99A4E">
      <w:pPr>
        <w:pStyle w:val="122"/>
        <w:spacing w:after="120"/>
        <w:rPr>
          <w:rFonts w:hint="eastAsia" w:cs="宋体"/>
          <w:b w:val="0"/>
          <w:bCs/>
          <w:color w:val="000000"/>
          <w:sz w:val="21"/>
          <w:szCs w:val="21"/>
        </w:rPr>
      </w:pPr>
      <w:r>
        <w:rPr>
          <w:rFonts w:hint="eastAsia" w:cs="宋体"/>
          <w:b w:val="0"/>
          <w:bCs/>
          <w:color w:val="000000"/>
          <w:sz w:val="21"/>
          <w:szCs w:val="21"/>
        </w:rPr>
        <w:t>关于变更估价原则的约定：。</w:t>
      </w:r>
    </w:p>
    <w:p w14:paraId="6AD51ADE">
      <w:pPr>
        <w:pStyle w:val="122"/>
        <w:spacing w:after="120"/>
        <w:rPr>
          <w:rFonts w:hint="eastAsia" w:cs="宋体"/>
          <w:b/>
          <w:bCs w:val="0"/>
          <w:color w:val="000000"/>
          <w:sz w:val="21"/>
          <w:szCs w:val="21"/>
        </w:rPr>
      </w:pPr>
      <w:r>
        <w:rPr>
          <w:rFonts w:hint="eastAsia" w:cs="宋体"/>
          <w:b/>
          <w:bCs w:val="0"/>
          <w:color w:val="000000"/>
          <w:sz w:val="21"/>
          <w:szCs w:val="21"/>
        </w:rPr>
        <w:t>13.3.3.2变更价款约定的其他方法：中标人的设计方案、施工图纸应按建设程序逐级审查、报批，确保以最优化的施工图纸控制签约合同价格。由于设计方案和施工图纸不完善带来的设计变更影响合同价格时，按以下方式进行处理：</w:t>
      </w:r>
    </w:p>
    <w:p w14:paraId="24CB1E6E">
      <w:pPr>
        <w:pStyle w:val="122"/>
        <w:spacing w:after="120"/>
        <w:rPr>
          <w:rFonts w:hint="eastAsia" w:cs="宋体"/>
          <w:b/>
          <w:bCs w:val="0"/>
          <w:color w:val="000000"/>
          <w:sz w:val="21"/>
          <w:szCs w:val="21"/>
        </w:rPr>
      </w:pPr>
      <w:r>
        <w:rPr>
          <w:rFonts w:hint="eastAsia" w:cs="宋体"/>
          <w:b/>
          <w:bCs w:val="0"/>
          <w:color w:val="000000"/>
          <w:sz w:val="21"/>
          <w:szCs w:val="21"/>
        </w:rPr>
        <w:t>①导致工程内容和工程量减少时，综合单价、设备采购价和主材价格执行合同补充协议确定的签约工程造价中相应价格，以中标建筑安装工程费结算优惠率（%）按实对建安工程造价进行调整；</w:t>
      </w:r>
    </w:p>
    <w:p w14:paraId="6402D57F">
      <w:pPr>
        <w:pStyle w:val="122"/>
        <w:spacing w:after="120"/>
        <w:rPr>
          <w:rFonts w:hint="eastAsia" w:cs="宋体"/>
          <w:b/>
          <w:bCs w:val="0"/>
          <w:color w:val="000000"/>
          <w:sz w:val="21"/>
          <w:szCs w:val="21"/>
        </w:rPr>
      </w:pPr>
      <w:r>
        <w:rPr>
          <w:rFonts w:hint="eastAsia" w:cs="宋体"/>
          <w:b/>
          <w:bCs w:val="0"/>
          <w:color w:val="000000"/>
          <w:sz w:val="21"/>
          <w:szCs w:val="21"/>
        </w:rPr>
        <w:t>②导致工程内容和工程量增加时，综合单价、设备采购价和主材价格执行合同补充协议确定的签约工程造价中相应价格和类似价格，按中标建筑安装工程费结算优惠率（%）按实对建安工程造价进行调整；无相应和类似价格时，由发包人和承包人协商确定。</w:t>
      </w:r>
    </w:p>
    <w:p w14:paraId="343C8986">
      <w:pPr>
        <w:pStyle w:val="122"/>
        <w:spacing w:after="120"/>
        <w:rPr>
          <w:rFonts w:hint="eastAsia" w:cs="宋体"/>
          <w:b w:val="0"/>
          <w:bCs/>
          <w:color w:val="000000"/>
          <w:sz w:val="21"/>
          <w:szCs w:val="21"/>
        </w:rPr>
      </w:pPr>
      <w:r>
        <w:rPr>
          <w:rFonts w:hint="eastAsia" w:cs="宋体"/>
          <w:b w:val="0"/>
          <w:bCs/>
          <w:color w:val="000000"/>
          <w:sz w:val="21"/>
          <w:szCs w:val="21"/>
        </w:rPr>
        <w:t>13.4暂估价</w:t>
      </w:r>
    </w:p>
    <w:p w14:paraId="3465A74D">
      <w:pPr>
        <w:pStyle w:val="122"/>
        <w:spacing w:after="120"/>
        <w:rPr>
          <w:rFonts w:hint="eastAsia" w:cs="宋体"/>
          <w:b w:val="0"/>
          <w:bCs/>
          <w:color w:val="000000"/>
          <w:sz w:val="21"/>
          <w:szCs w:val="21"/>
        </w:rPr>
      </w:pPr>
      <w:r>
        <w:rPr>
          <w:rFonts w:hint="eastAsia" w:cs="宋体"/>
          <w:b w:val="0"/>
          <w:bCs/>
          <w:color w:val="000000"/>
          <w:sz w:val="21"/>
          <w:szCs w:val="21"/>
        </w:rPr>
        <w:t>13.4.1依法必须招标的暂估价项目</w:t>
      </w:r>
    </w:p>
    <w:p w14:paraId="21E9D15F">
      <w:pPr>
        <w:pStyle w:val="122"/>
        <w:spacing w:after="120"/>
        <w:rPr>
          <w:rFonts w:hint="eastAsia" w:cs="宋体"/>
          <w:b w:val="0"/>
          <w:bCs/>
          <w:color w:val="000000"/>
          <w:sz w:val="21"/>
          <w:szCs w:val="21"/>
        </w:rPr>
      </w:pPr>
      <w:r>
        <w:rPr>
          <w:rFonts w:hint="eastAsia" w:cs="宋体"/>
          <w:b w:val="0"/>
          <w:bCs/>
          <w:color w:val="000000"/>
          <w:sz w:val="21"/>
          <w:szCs w:val="21"/>
        </w:rPr>
        <w:t>承包人可以参与投标的暂估价项目范围：。</w:t>
      </w:r>
    </w:p>
    <w:p w14:paraId="4415966D">
      <w:pPr>
        <w:pStyle w:val="122"/>
        <w:spacing w:after="120"/>
        <w:rPr>
          <w:rFonts w:hint="eastAsia" w:cs="宋体"/>
          <w:b w:val="0"/>
          <w:bCs/>
          <w:color w:val="000000"/>
          <w:sz w:val="21"/>
          <w:szCs w:val="21"/>
        </w:rPr>
      </w:pPr>
      <w:r>
        <w:rPr>
          <w:rFonts w:hint="eastAsia" w:cs="宋体"/>
          <w:b w:val="0"/>
          <w:bCs/>
          <w:color w:val="000000"/>
          <w:sz w:val="21"/>
          <w:szCs w:val="21"/>
        </w:rPr>
        <w:t>承包人不得参与投标的暂估价项目范围：。</w:t>
      </w:r>
    </w:p>
    <w:p w14:paraId="2E673232">
      <w:pPr>
        <w:pStyle w:val="122"/>
        <w:spacing w:after="120"/>
        <w:rPr>
          <w:rFonts w:hint="eastAsia" w:cs="宋体"/>
          <w:b w:val="0"/>
          <w:bCs/>
          <w:color w:val="000000"/>
          <w:sz w:val="21"/>
          <w:szCs w:val="21"/>
        </w:rPr>
      </w:pPr>
      <w:r>
        <w:rPr>
          <w:rFonts w:hint="eastAsia" w:cs="宋体"/>
          <w:b w:val="0"/>
          <w:bCs/>
          <w:color w:val="000000"/>
          <w:sz w:val="21"/>
          <w:szCs w:val="21"/>
        </w:rPr>
        <w:t>招投标程序及其他约定：。</w:t>
      </w:r>
    </w:p>
    <w:p w14:paraId="68DC3E49">
      <w:pPr>
        <w:pStyle w:val="122"/>
        <w:spacing w:after="120"/>
        <w:rPr>
          <w:rFonts w:hint="eastAsia" w:cs="宋体"/>
          <w:b w:val="0"/>
          <w:bCs/>
          <w:color w:val="000000"/>
          <w:sz w:val="21"/>
          <w:szCs w:val="21"/>
        </w:rPr>
      </w:pPr>
      <w:r>
        <w:rPr>
          <w:rFonts w:hint="eastAsia" w:cs="宋体"/>
          <w:b w:val="0"/>
          <w:bCs/>
          <w:color w:val="000000"/>
          <w:sz w:val="21"/>
          <w:szCs w:val="21"/>
        </w:rPr>
        <w:t>13.4.2不属于依法必须招标的暂估价项目</w:t>
      </w:r>
    </w:p>
    <w:p w14:paraId="71572A5F">
      <w:pPr>
        <w:pStyle w:val="122"/>
        <w:spacing w:after="120"/>
        <w:rPr>
          <w:rFonts w:hint="eastAsia" w:cs="宋体"/>
          <w:b w:val="0"/>
          <w:bCs/>
          <w:color w:val="000000"/>
          <w:sz w:val="21"/>
          <w:szCs w:val="21"/>
        </w:rPr>
      </w:pPr>
      <w:r>
        <w:rPr>
          <w:rFonts w:hint="eastAsia" w:cs="宋体"/>
          <w:b w:val="0"/>
          <w:bCs/>
          <w:color w:val="000000"/>
          <w:sz w:val="21"/>
          <w:szCs w:val="21"/>
        </w:rPr>
        <w:t>不属于依法必须招标的暂估价项目的协商及估价的约定：。</w:t>
      </w:r>
    </w:p>
    <w:p w14:paraId="23F25B1C">
      <w:pPr>
        <w:pStyle w:val="122"/>
        <w:spacing w:after="120"/>
        <w:rPr>
          <w:rFonts w:hint="eastAsia" w:cs="宋体"/>
          <w:b w:val="0"/>
          <w:bCs/>
          <w:color w:val="000000"/>
          <w:sz w:val="21"/>
          <w:szCs w:val="21"/>
        </w:rPr>
      </w:pPr>
      <w:r>
        <w:rPr>
          <w:rFonts w:hint="eastAsia" w:cs="宋体"/>
          <w:b w:val="0"/>
          <w:bCs/>
          <w:color w:val="000000"/>
          <w:sz w:val="21"/>
          <w:szCs w:val="21"/>
        </w:rPr>
        <w:t>13.5暂列金额</w:t>
      </w:r>
    </w:p>
    <w:p w14:paraId="62B1726E">
      <w:pPr>
        <w:pStyle w:val="122"/>
        <w:spacing w:after="120"/>
        <w:rPr>
          <w:rFonts w:hint="eastAsia" w:cs="宋体"/>
          <w:b w:val="0"/>
          <w:bCs/>
          <w:color w:val="000000"/>
          <w:sz w:val="21"/>
          <w:szCs w:val="21"/>
        </w:rPr>
      </w:pPr>
      <w:r>
        <w:rPr>
          <w:rFonts w:hint="eastAsia" w:cs="宋体"/>
          <w:b w:val="0"/>
          <w:bCs/>
          <w:color w:val="000000"/>
          <w:sz w:val="21"/>
          <w:szCs w:val="21"/>
        </w:rPr>
        <w:t>其他关于暂列金额使用的约定：。</w:t>
      </w:r>
    </w:p>
    <w:p w14:paraId="77B7454A">
      <w:pPr>
        <w:pStyle w:val="122"/>
        <w:spacing w:after="120"/>
        <w:rPr>
          <w:rFonts w:hint="eastAsia" w:cs="宋体"/>
          <w:b w:val="0"/>
          <w:bCs/>
          <w:color w:val="000000"/>
          <w:sz w:val="21"/>
          <w:szCs w:val="21"/>
        </w:rPr>
      </w:pPr>
      <w:r>
        <w:rPr>
          <w:rFonts w:hint="eastAsia" w:cs="宋体"/>
          <w:b w:val="0"/>
          <w:bCs/>
          <w:color w:val="000000"/>
          <w:sz w:val="21"/>
          <w:szCs w:val="21"/>
        </w:rPr>
        <w:t>13.8市场价格波动引起的调整</w:t>
      </w:r>
    </w:p>
    <w:p w14:paraId="0C682895">
      <w:pPr>
        <w:pStyle w:val="122"/>
        <w:spacing w:after="120"/>
        <w:rPr>
          <w:rFonts w:hint="eastAsia" w:cs="宋体"/>
          <w:b w:val="0"/>
          <w:bCs/>
          <w:color w:val="000000"/>
          <w:sz w:val="21"/>
          <w:szCs w:val="21"/>
        </w:rPr>
      </w:pPr>
      <w:r>
        <w:rPr>
          <w:rFonts w:hint="eastAsia" w:cs="宋体"/>
          <w:b w:val="0"/>
          <w:bCs/>
          <w:color w:val="000000"/>
          <w:sz w:val="21"/>
          <w:szCs w:val="21"/>
        </w:rPr>
        <w:t>13.8.2关于是否采用《价格指数权重表》的约定：。</w:t>
      </w:r>
    </w:p>
    <w:p w14:paraId="7DC8217D">
      <w:pPr>
        <w:pStyle w:val="122"/>
        <w:spacing w:after="120"/>
        <w:rPr>
          <w:rFonts w:hint="eastAsia" w:cs="宋体"/>
          <w:b w:val="0"/>
          <w:bCs/>
          <w:color w:val="000000"/>
          <w:sz w:val="21"/>
          <w:szCs w:val="21"/>
        </w:rPr>
      </w:pPr>
      <w:r>
        <w:rPr>
          <w:rFonts w:hint="eastAsia" w:cs="宋体"/>
          <w:b w:val="0"/>
          <w:bCs/>
          <w:color w:val="000000"/>
          <w:sz w:val="21"/>
          <w:szCs w:val="21"/>
        </w:rPr>
        <w:t>13.8.3关于采用其他方式调整合同价款的约定：。</w:t>
      </w:r>
    </w:p>
    <w:p w14:paraId="4E06BE3A">
      <w:pPr>
        <w:pStyle w:val="122"/>
        <w:spacing w:after="120"/>
        <w:rPr>
          <w:rFonts w:hint="eastAsia" w:cs="宋体"/>
          <w:b w:val="0"/>
          <w:bCs/>
          <w:color w:val="000000"/>
          <w:sz w:val="21"/>
          <w:szCs w:val="21"/>
        </w:rPr>
      </w:pPr>
      <w:r>
        <w:rPr>
          <w:rFonts w:hint="eastAsia" w:cs="宋体"/>
          <w:b w:val="0"/>
          <w:bCs/>
          <w:color w:val="000000"/>
          <w:sz w:val="21"/>
          <w:szCs w:val="21"/>
        </w:rPr>
        <w:t>第14条合同价格与支付</w:t>
      </w:r>
    </w:p>
    <w:p w14:paraId="3514DC81">
      <w:pPr>
        <w:pStyle w:val="122"/>
        <w:spacing w:after="120"/>
        <w:rPr>
          <w:rFonts w:hint="eastAsia" w:cs="宋体"/>
          <w:b w:val="0"/>
          <w:bCs/>
          <w:color w:val="000000"/>
          <w:sz w:val="21"/>
          <w:szCs w:val="21"/>
        </w:rPr>
      </w:pPr>
      <w:r>
        <w:rPr>
          <w:rFonts w:hint="eastAsia" w:cs="宋体"/>
          <w:b w:val="0"/>
          <w:bCs/>
          <w:color w:val="000000"/>
          <w:sz w:val="21"/>
          <w:szCs w:val="21"/>
        </w:rPr>
        <w:t>14.1合同价格形式</w:t>
      </w:r>
    </w:p>
    <w:p w14:paraId="22D37D79">
      <w:pPr>
        <w:pStyle w:val="122"/>
        <w:spacing w:after="120"/>
        <w:rPr>
          <w:rFonts w:hint="eastAsia" w:cs="宋体"/>
          <w:b w:val="0"/>
          <w:bCs/>
          <w:color w:val="000000"/>
          <w:sz w:val="21"/>
          <w:szCs w:val="21"/>
        </w:rPr>
      </w:pPr>
      <w:r>
        <w:rPr>
          <w:rFonts w:hint="eastAsia" w:cs="宋体"/>
          <w:b w:val="0"/>
          <w:bCs/>
          <w:color w:val="000000"/>
          <w:sz w:val="21"/>
          <w:szCs w:val="21"/>
        </w:rPr>
        <w:t>14.1.1关于合同价格形式的约定：。</w:t>
      </w:r>
    </w:p>
    <w:p w14:paraId="6DA85082">
      <w:pPr>
        <w:pStyle w:val="122"/>
        <w:spacing w:after="120"/>
        <w:rPr>
          <w:rFonts w:hint="eastAsia" w:cs="宋体"/>
          <w:b w:val="0"/>
          <w:bCs/>
          <w:color w:val="000000"/>
          <w:sz w:val="21"/>
          <w:szCs w:val="21"/>
        </w:rPr>
      </w:pPr>
      <w:r>
        <w:rPr>
          <w:rFonts w:hint="eastAsia" w:cs="宋体"/>
          <w:b w:val="0"/>
          <w:bCs/>
          <w:color w:val="000000"/>
          <w:sz w:val="21"/>
          <w:szCs w:val="21"/>
        </w:rPr>
        <w:t>14.1.2关于合同价格调整的约定：。</w:t>
      </w:r>
    </w:p>
    <w:p w14:paraId="6C992396">
      <w:pPr>
        <w:pStyle w:val="122"/>
        <w:spacing w:after="120"/>
        <w:rPr>
          <w:rFonts w:hint="eastAsia" w:cs="宋体"/>
          <w:b w:val="0"/>
          <w:bCs/>
          <w:color w:val="000000"/>
          <w:sz w:val="21"/>
          <w:szCs w:val="21"/>
        </w:rPr>
      </w:pPr>
      <w:r>
        <w:rPr>
          <w:rFonts w:hint="eastAsia" w:cs="宋体"/>
          <w:b w:val="0"/>
          <w:bCs/>
          <w:color w:val="000000"/>
          <w:sz w:val="21"/>
          <w:szCs w:val="21"/>
        </w:rPr>
        <w:t>14.1.3按实际完成的工程量支付工程价款的计量方法、估价方法：。</w:t>
      </w:r>
    </w:p>
    <w:p w14:paraId="2FED7FAC">
      <w:pPr>
        <w:pStyle w:val="122"/>
        <w:spacing w:after="120"/>
        <w:rPr>
          <w:rFonts w:hint="eastAsia" w:cs="宋体"/>
          <w:b/>
          <w:bCs w:val="0"/>
          <w:color w:val="000000"/>
          <w:sz w:val="21"/>
          <w:szCs w:val="21"/>
        </w:rPr>
      </w:pPr>
      <w:r>
        <w:rPr>
          <w:rFonts w:hint="eastAsia" w:cs="宋体"/>
          <w:b/>
          <w:bCs w:val="0"/>
          <w:color w:val="000000"/>
          <w:sz w:val="21"/>
          <w:szCs w:val="21"/>
        </w:rPr>
        <w:t>14.1.4发、承包双方签订勘察设计施工总承包合同后，应根据项目勘察、设计、采购、施工实际情况签订补充协议。在协议中应明确签约工程造价，该工程造价为承包人根据审查合格的施工图纸编制的已标价工程量清单，经招标人（或由招标人委托的造价咨询单位）审查确定的建安工程造价。在工程造价中，由发、承包双方认定项目各施工内容的综合单价、设备采购价和主材价格。补充协议相关内容由发、承包双方共同协商，未达成一致意见的，不视为承包人违约。</w:t>
      </w:r>
    </w:p>
    <w:p w14:paraId="3D9E2CC7">
      <w:pPr>
        <w:pStyle w:val="122"/>
        <w:spacing w:after="120"/>
        <w:rPr>
          <w:rFonts w:hint="eastAsia" w:cs="宋体"/>
          <w:b w:val="0"/>
          <w:bCs/>
          <w:color w:val="000000"/>
          <w:sz w:val="21"/>
          <w:szCs w:val="21"/>
        </w:rPr>
      </w:pPr>
      <w:r>
        <w:rPr>
          <w:rFonts w:hint="eastAsia" w:cs="宋体"/>
          <w:b w:val="0"/>
          <w:bCs/>
          <w:color w:val="000000"/>
          <w:sz w:val="21"/>
          <w:szCs w:val="21"/>
        </w:rPr>
        <w:t>14.1.4.1合同总价：</w:t>
      </w:r>
    </w:p>
    <w:p w14:paraId="1E16F155">
      <w:pPr>
        <w:pStyle w:val="122"/>
        <w:spacing w:after="120"/>
        <w:rPr>
          <w:rFonts w:hint="eastAsia" w:cs="宋体"/>
          <w:b/>
          <w:bCs w:val="0"/>
          <w:color w:val="000000"/>
          <w:sz w:val="21"/>
          <w:szCs w:val="21"/>
        </w:rPr>
      </w:pPr>
      <w:r>
        <w:rPr>
          <w:rFonts w:hint="eastAsia" w:cs="宋体"/>
          <w:b/>
          <w:bCs w:val="0"/>
          <w:color w:val="000000"/>
          <w:sz w:val="21"/>
          <w:szCs w:val="21"/>
        </w:rPr>
        <w:t>本合同签约合同价格为暂定价；合同总价是发、承包双方结算时，依据合同及其补充协议约定需要增减的费用对签约合同价格进行相应调整后的价格。</w:t>
      </w:r>
    </w:p>
    <w:p w14:paraId="32FB982E">
      <w:pPr>
        <w:pStyle w:val="122"/>
        <w:spacing w:after="120"/>
        <w:rPr>
          <w:rFonts w:hint="eastAsia" w:cs="宋体"/>
          <w:b w:val="0"/>
          <w:bCs/>
          <w:color w:val="000000"/>
          <w:sz w:val="21"/>
          <w:szCs w:val="21"/>
        </w:rPr>
      </w:pPr>
      <w:r>
        <w:rPr>
          <w:rFonts w:hint="eastAsia" w:cs="宋体"/>
          <w:b w:val="0"/>
          <w:bCs/>
          <w:color w:val="000000"/>
          <w:sz w:val="21"/>
          <w:szCs w:val="21"/>
        </w:rPr>
        <w:t>合同总价按照以下方式计算：</w:t>
      </w:r>
    </w:p>
    <w:p w14:paraId="20E371D7">
      <w:pPr>
        <w:pStyle w:val="122"/>
        <w:spacing w:after="120"/>
        <w:rPr>
          <w:rFonts w:hint="eastAsia" w:cs="宋体"/>
          <w:b/>
          <w:bCs w:val="0"/>
          <w:color w:val="000000"/>
          <w:sz w:val="21"/>
          <w:szCs w:val="21"/>
        </w:rPr>
      </w:pPr>
      <w:r>
        <w:rPr>
          <w:rFonts w:hint="eastAsia" w:cs="宋体"/>
          <w:b/>
          <w:bCs w:val="0"/>
          <w:color w:val="000000"/>
          <w:sz w:val="21"/>
          <w:szCs w:val="21"/>
        </w:rPr>
        <w:t>（1）合同（暂定）总价=暂定建筑安装工程费×（1-建筑安装工程费结算优惠率）+设计费+勘察费。</w:t>
      </w:r>
    </w:p>
    <w:p w14:paraId="6AE037DF">
      <w:pPr>
        <w:pStyle w:val="122"/>
        <w:spacing w:after="120"/>
        <w:rPr>
          <w:rFonts w:hint="eastAsia" w:cs="宋体"/>
          <w:b/>
          <w:bCs w:val="0"/>
          <w:color w:val="000000"/>
          <w:sz w:val="21"/>
          <w:szCs w:val="21"/>
        </w:rPr>
      </w:pPr>
      <w:r>
        <w:rPr>
          <w:rFonts w:hint="eastAsia" w:cs="宋体"/>
          <w:b/>
          <w:bCs w:val="0"/>
          <w:color w:val="000000"/>
          <w:sz w:val="21"/>
          <w:szCs w:val="21"/>
        </w:rPr>
        <w:t>承包人在施工图确认45天内按本合同计价原则完成承包范围内的清单预算编制，本工程造价咨询单位在收到清单预算后15天内向发包人提交审核报告，经发包人审核确定后的清单预算金额为本工程暂定建筑安装工程费，如承包人未在规定时间内上报清单预算或不配合相关清单预算的审核工作，致使审核工作不能完成的，停止相关工程计量支付工作，本工程的建筑安装工程费结算优惠率为承包人投标时填报的优惠率（该值不因任何因素调整），其中材料价格信息没有明确的材料设备价格，由甲方、乙方和监理方根据当地材料价格信息或市场情况询价认价确定，询价认价确定的材料且不采用优惠结算率。</w:t>
      </w:r>
    </w:p>
    <w:p w14:paraId="7711B051">
      <w:pPr>
        <w:rPr>
          <w:rFonts w:hint="eastAsia"/>
          <w:b w:val="0"/>
          <w:bCs/>
        </w:rPr>
      </w:pPr>
      <w:r>
        <w:rPr>
          <w:rFonts w:hint="eastAsia"/>
          <w:b/>
          <w:bCs w:val="0"/>
          <w:lang w:val="en-US" w:eastAsia="zh-CN"/>
        </w:rPr>
        <w:t>设计费</w:t>
      </w:r>
      <w:r>
        <w:rPr>
          <w:rFonts w:hint="eastAsia"/>
          <w:b/>
          <w:bCs w:val="0"/>
        </w:rPr>
        <w:t>结算价=</w:t>
      </w:r>
      <w:r>
        <w:rPr>
          <w:rFonts w:hint="eastAsia"/>
          <w:b/>
          <w:bCs w:val="0"/>
          <w:lang w:val="en-US" w:eastAsia="zh-CN"/>
        </w:rPr>
        <w:t>按</w:t>
      </w:r>
      <w:r>
        <w:rPr>
          <w:rFonts w:hint="eastAsia"/>
          <w:b/>
          <w:bCs w:val="0"/>
        </w:rPr>
        <w:t>第三方造价咨询单位审定的建筑安装工程费</w:t>
      </w:r>
      <w:r>
        <w:rPr>
          <w:rFonts w:hint="eastAsia"/>
          <w:b/>
          <w:bCs w:val="0"/>
          <w:lang w:val="en-US" w:eastAsia="zh-CN"/>
        </w:rPr>
        <w:t>设计费</w:t>
      </w:r>
      <w:r>
        <w:rPr>
          <w:rFonts w:hint="eastAsia"/>
          <w:b/>
          <w:bCs w:val="0"/>
        </w:rPr>
        <w:t>×[招标控制价×（1－</w:t>
      </w:r>
      <w:r>
        <w:rPr>
          <w:rFonts w:hint="eastAsia"/>
          <w:b/>
          <w:bCs w:val="0"/>
          <w:lang w:val="en-US" w:eastAsia="zh-CN"/>
        </w:rPr>
        <w:t>设计</w:t>
      </w:r>
      <w:r>
        <w:rPr>
          <w:rFonts w:hint="eastAsia"/>
          <w:b/>
          <w:bCs w:val="0"/>
        </w:rPr>
        <w:t>费</w:t>
      </w:r>
      <w:r>
        <w:rPr>
          <w:rFonts w:hint="eastAsia"/>
          <w:b/>
          <w:bCs w:val="0"/>
          <w:lang w:val="en-US" w:eastAsia="zh-CN"/>
        </w:rPr>
        <w:t>优惠率</w:t>
      </w:r>
      <w:r>
        <w:rPr>
          <w:rFonts w:hint="eastAsia"/>
          <w:b/>
          <w:bCs w:val="0"/>
        </w:rPr>
        <w:t>）]。</w:t>
      </w:r>
    </w:p>
    <w:p w14:paraId="7D7A14E4">
      <w:pPr>
        <w:pStyle w:val="122"/>
        <w:spacing w:after="120"/>
        <w:rPr>
          <w:rFonts w:hint="eastAsia" w:cs="宋体"/>
          <w:b/>
          <w:bCs w:val="0"/>
          <w:color w:val="000000"/>
          <w:sz w:val="21"/>
          <w:szCs w:val="21"/>
        </w:rPr>
      </w:pPr>
      <w:r>
        <w:rPr>
          <w:rFonts w:hint="eastAsia" w:cs="宋体"/>
          <w:b/>
          <w:bCs w:val="0"/>
          <w:color w:val="000000"/>
          <w:sz w:val="21"/>
          <w:szCs w:val="21"/>
        </w:rPr>
        <w:t>勘察费结算价=勘察实际完成工程量×[勘察费招标控制价×（1－勘察费优惠率）]。</w:t>
      </w:r>
    </w:p>
    <w:p w14:paraId="7EA57542">
      <w:pPr>
        <w:pStyle w:val="122"/>
        <w:spacing w:after="120"/>
        <w:rPr>
          <w:rFonts w:hint="eastAsia" w:cs="宋体"/>
          <w:b/>
          <w:bCs w:val="0"/>
          <w:color w:val="000000"/>
          <w:sz w:val="21"/>
          <w:szCs w:val="21"/>
        </w:rPr>
      </w:pPr>
      <w:r>
        <w:rPr>
          <w:rFonts w:hint="eastAsia" w:cs="宋体"/>
          <w:b/>
          <w:bCs w:val="0"/>
          <w:color w:val="000000"/>
          <w:sz w:val="21"/>
          <w:szCs w:val="21"/>
        </w:rPr>
        <w:t>（2）最终的结算价=按第三方造价咨询单位审定的结算价（已按建筑安装工程费结算优惠率计算）+设计费+勘察费。</w:t>
      </w:r>
    </w:p>
    <w:p w14:paraId="5BA04EB2">
      <w:pPr>
        <w:pStyle w:val="122"/>
        <w:spacing w:after="120"/>
        <w:rPr>
          <w:rFonts w:hint="eastAsia" w:cs="宋体"/>
          <w:b/>
          <w:bCs w:val="0"/>
          <w:color w:val="000000"/>
          <w:sz w:val="21"/>
          <w:szCs w:val="21"/>
        </w:rPr>
      </w:pPr>
      <w:r>
        <w:rPr>
          <w:rFonts w:hint="eastAsia" w:cs="宋体"/>
          <w:b/>
          <w:bCs w:val="0"/>
          <w:color w:val="000000"/>
          <w:sz w:val="21"/>
          <w:szCs w:val="21"/>
        </w:rPr>
        <w:t>（3）合同价款及其调整</w:t>
      </w:r>
    </w:p>
    <w:p w14:paraId="1E22E6B8">
      <w:pPr>
        <w:pStyle w:val="122"/>
        <w:spacing w:after="120"/>
        <w:rPr>
          <w:rFonts w:hint="eastAsia" w:cs="宋体"/>
          <w:b/>
          <w:bCs w:val="0"/>
          <w:color w:val="000000"/>
          <w:sz w:val="21"/>
          <w:szCs w:val="21"/>
        </w:rPr>
      </w:pPr>
      <w:r>
        <w:rPr>
          <w:rFonts w:hint="eastAsia" w:cs="宋体"/>
          <w:b/>
          <w:bCs w:val="0"/>
          <w:color w:val="000000"/>
          <w:sz w:val="21"/>
          <w:szCs w:val="21"/>
        </w:rPr>
        <w:t>本项目建筑安装工程费用按以下约定的方式确定。</w:t>
      </w:r>
    </w:p>
    <w:p w14:paraId="23E9913E">
      <w:pPr>
        <w:pStyle w:val="122"/>
        <w:spacing w:after="120"/>
        <w:rPr>
          <w:rFonts w:hint="eastAsia" w:cs="宋体"/>
          <w:b/>
          <w:bCs w:val="0"/>
          <w:color w:val="000000"/>
          <w:sz w:val="21"/>
          <w:szCs w:val="21"/>
        </w:rPr>
      </w:pPr>
      <w:r>
        <w:rPr>
          <w:rFonts w:hint="eastAsia" w:cs="宋体"/>
          <w:b/>
          <w:bCs w:val="0"/>
          <w:color w:val="000000"/>
          <w:sz w:val="21"/>
          <w:szCs w:val="21"/>
        </w:rPr>
        <w:t>1）最终结算计价规则：</w:t>
      </w:r>
    </w:p>
    <w:p w14:paraId="7175B33F">
      <w:pPr>
        <w:pStyle w:val="122"/>
        <w:spacing w:after="120"/>
        <w:rPr>
          <w:rFonts w:hint="eastAsia" w:cs="宋体"/>
          <w:b/>
          <w:bCs w:val="0"/>
          <w:color w:val="000000"/>
          <w:sz w:val="21"/>
          <w:szCs w:val="21"/>
        </w:rPr>
      </w:pPr>
      <w:r>
        <w:rPr>
          <w:rFonts w:hint="eastAsia" w:cs="宋体"/>
          <w:b/>
          <w:bCs w:val="0"/>
          <w:color w:val="000000"/>
          <w:sz w:val="21"/>
          <w:szCs w:val="21"/>
        </w:rPr>
        <w:t>本项目各类工程计价标准执行《建设工程工程量清单计价标准》（GB/T50500-2024）及配套的工程量计算规范、《云南省建设工程造价计价标准（2020版）》及有关配套文件执行。</w:t>
      </w:r>
    </w:p>
    <w:p w14:paraId="0628C551">
      <w:pPr>
        <w:pStyle w:val="122"/>
        <w:spacing w:after="120"/>
        <w:rPr>
          <w:rFonts w:hint="eastAsia" w:cs="宋体"/>
          <w:b/>
          <w:bCs w:val="0"/>
          <w:color w:val="000000"/>
          <w:sz w:val="21"/>
          <w:szCs w:val="21"/>
        </w:rPr>
      </w:pPr>
      <w:r>
        <w:rPr>
          <w:rFonts w:hint="eastAsia" w:cs="宋体"/>
          <w:b/>
          <w:bCs w:val="0"/>
          <w:color w:val="000000"/>
          <w:sz w:val="21"/>
          <w:szCs w:val="21"/>
        </w:rPr>
        <w:t>2）材料计价：</w:t>
      </w:r>
    </w:p>
    <w:p w14:paraId="1A87F520">
      <w:pPr>
        <w:pStyle w:val="122"/>
        <w:spacing w:after="120"/>
        <w:rPr>
          <w:rFonts w:hint="eastAsia" w:cs="宋体"/>
          <w:b/>
          <w:bCs w:val="0"/>
          <w:color w:val="000000"/>
          <w:sz w:val="21"/>
          <w:szCs w:val="21"/>
        </w:rPr>
      </w:pPr>
      <w:r>
        <w:rPr>
          <w:rFonts w:hint="eastAsia" w:cs="宋体"/>
          <w:b/>
          <w:bCs w:val="0"/>
          <w:color w:val="000000"/>
          <w:sz w:val="21"/>
          <w:szCs w:val="21"/>
        </w:rPr>
        <w:t>①总承包方进场后15日内，向监理单位递交本项目预计将使用的材料、设备清单，发包人将组织监理单位对清单进行审核，初步确定甲供（即发包人供应的材料、设备）、甲指乙供（即发包人指定，承包方组织采购、供应的材料、设备）及其他材料、设备的范围，并确定材料、设备品牌及价格。</w:t>
      </w:r>
    </w:p>
    <w:p w14:paraId="7DF377C8">
      <w:pPr>
        <w:pStyle w:val="122"/>
        <w:spacing w:after="120"/>
        <w:rPr>
          <w:rFonts w:hint="eastAsia" w:cs="宋体"/>
          <w:b/>
          <w:bCs w:val="0"/>
          <w:color w:val="000000"/>
          <w:sz w:val="21"/>
          <w:szCs w:val="21"/>
        </w:rPr>
      </w:pPr>
      <w:r>
        <w:rPr>
          <w:rFonts w:hint="eastAsia" w:cs="宋体"/>
          <w:b/>
          <w:bCs w:val="0"/>
          <w:color w:val="000000"/>
          <w:sz w:val="21"/>
          <w:szCs w:val="21"/>
        </w:rPr>
        <w:t>②甲供材料、设备按其实际采购价格计入工程造价，并根据《云南省建设工程造价计价标准（2020版）》中相关专业工程的消耗量进行核算，节余和浪费由承包方受益或承担，在支付工程款及结算时，首先计算出含甲供或甲供材料、设备的造价后，再按实际采购价格及定额消耗量进行扣减；甲供材料、设备结算造价，不参与造价下浮。</w:t>
      </w:r>
    </w:p>
    <w:p w14:paraId="49043FA6">
      <w:pPr>
        <w:pStyle w:val="122"/>
        <w:spacing w:after="120"/>
        <w:rPr>
          <w:rFonts w:hint="eastAsia" w:cs="宋体"/>
          <w:b/>
          <w:bCs w:val="0"/>
          <w:color w:val="000000"/>
          <w:sz w:val="21"/>
          <w:szCs w:val="21"/>
        </w:rPr>
      </w:pPr>
      <w:r>
        <w:rPr>
          <w:rFonts w:hint="eastAsia" w:cs="宋体"/>
          <w:b/>
          <w:bCs w:val="0"/>
          <w:color w:val="000000"/>
          <w:sz w:val="21"/>
          <w:szCs w:val="21"/>
        </w:rPr>
        <w:t>③甲指乙供材料、设备按发包人确定的材料及设备的实际采购价格计入工程造价，消耗量按《云南省建设工程造价计价标准（2020版）》中相关专业工程进行计算，该部分材料费结算时不采用优惠结算率，除参与税金计算外，不参与其他取费。</w:t>
      </w:r>
    </w:p>
    <w:p w14:paraId="09CF8955">
      <w:pPr>
        <w:pStyle w:val="122"/>
        <w:spacing w:after="120"/>
        <w:rPr>
          <w:rFonts w:hint="eastAsia" w:cs="宋体"/>
          <w:b/>
          <w:bCs w:val="0"/>
          <w:color w:val="000000"/>
          <w:sz w:val="21"/>
          <w:szCs w:val="21"/>
        </w:rPr>
      </w:pPr>
      <w:r>
        <w:rPr>
          <w:rFonts w:hint="eastAsia" w:cs="宋体"/>
          <w:b/>
          <w:bCs w:val="0"/>
          <w:color w:val="000000"/>
          <w:sz w:val="21"/>
          <w:szCs w:val="21"/>
        </w:rPr>
        <w:t>④当地建设材料价格信息中没有的材料设备承包人应提前上报价格，待造价工程师、监理人员及发包人审核批复后执行，审核批复的价格不因施工期价格变动而做调整，以上材料价格参与取费，且不采用优惠结算率。</w:t>
      </w:r>
    </w:p>
    <w:p w14:paraId="1008F274">
      <w:pPr>
        <w:pStyle w:val="122"/>
        <w:spacing w:after="120"/>
        <w:rPr>
          <w:rFonts w:hint="eastAsia" w:cs="宋体"/>
          <w:b/>
          <w:bCs w:val="0"/>
          <w:color w:val="000000"/>
          <w:sz w:val="21"/>
          <w:szCs w:val="21"/>
        </w:rPr>
      </w:pPr>
      <w:r>
        <w:rPr>
          <w:rFonts w:hint="eastAsia" w:cs="宋体"/>
          <w:b/>
          <w:bCs w:val="0"/>
          <w:color w:val="000000"/>
          <w:sz w:val="21"/>
          <w:szCs w:val="21"/>
        </w:rPr>
        <w:t>⑤新能源、仓储设备部分承包人应提前上报价格，待造价工程师、监理人员及发包人审核批复后执行，审核批复的价格不因施工期价格变动而做调整，以上设备价格参与取费，且此部分设备不采用优惠结算率。</w:t>
      </w:r>
    </w:p>
    <w:p w14:paraId="2DE11B06">
      <w:pPr>
        <w:pStyle w:val="122"/>
        <w:spacing w:after="120"/>
        <w:rPr>
          <w:rFonts w:hint="eastAsia" w:cs="宋体"/>
          <w:b/>
          <w:bCs w:val="0"/>
          <w:color w:val="000000"/>
          <w:sz w:val="21"/>
          <w:szCs w:val="21"/>
        </w:rPr>
      </w:pPr>
      <w:r>
        <w:rPr>
          <w:rFonts w:hint="eastAsia" w:cs="宋体"/>
          <w:b/>
          <w:bCs w:val="0"/>
          <w:color w:val="000000"/>
          <w:sz w:val="21"/>
          <w:szCs w:val="21"/>
        </w:rPr>
        <w:t>⑥人工费按《云南省建设工程造价计价标准（2020版）》、云建科〔2023〕54号《云南省住房和城乡建设厅关于云南省建设工程造价标准调整定额人工费的通知》中相关专业工程定额基价计算，参与造价下浮。若施工过程中云南省住房和城乡建设厅发布新政策性文件，按规定执行。</w:t>
      </w:r>
    </w:p>
    <w:p w14:paraId="6D46F185">
      <w:pPr>
        <w:pStyle w:val="122"/>
        <w:spacing w:after="120"/>
        <w:rPr>
          <w:rFonts w:hint="eastAsia" w:cs="宋体"/>
          <w:b/>
          <w:bCs w:val="0"/>
          <w:color w:val="000000"/>
          <w:sz w:val="21"/>
          <w:szCs w:val="21"/>
        </w:rPr>
      </w:pPr>
      <w:r>
        <w:rPr>
          <w:rFonts w:hint="eastAsia" w:cs="宋体"/>
          <w:b/>
          <w:bCs w:val="0"/>
          <w:color w:val="000000"/>
          <w:sz w:val="21"/>
          <w:szCs w:val="21"/>
        </w:rPr>
        <w:t>⑦机械费按《云南省建设工程造价计价标准（2020版）》中的消耗量及定额基价计算,工程施工期间，承包人采用的机械设备不同于消耗量定额中的机械设备时，或承包人为保证工期、安全采用的其他机械设备的，不作为承包人调整定额的依据；在施工过程中，机械台班中燃料动力使用的电、油按《云南省建设工程造价计价标准（2020版）》中的消耗量及定额基价计算，如电费、油费单价存在差额，据实补差，参与管理费、利润计算。</w:t>
      </w:r>
    </w:p>
    <w:p w14:paraId="210DA09B">
      <w:pPr>
        <w:pStyle w:val="122"/>
        <w:spacing w:after="120"/>
        <w:rPr>
          <w:rFonts w:hint="eastAsia" w:cs="宋体"/>
          <w:b/>
          <w:bCs w:val="0"/>
          <w:color w:val="000000"/>
          <w:sz w:val="21"/>
          <w:szCs w:val="21"/>
        </w:rPr>
      </w:pPr>
      <w:r>
        <w:rPr>
          <w:rFonts w:hint="eastAsia" w:cs="宋体"/>
          <w:b/>
          <w:bCs w:val="0"/>
          <w:color w:val="000000"/>
          <w:sz w:val="21"/>
          <w:szCs w:val="21"/>
        </w:rPr>
        <w:t>施工期油料价格=∑(每月核定完成产值对应的油料用量×当期油料指导价)／同类油料总用量</w:t>
      </w:r>
    </w:p>
    <w:p w14:paraId="2A50F22D">
      <w:pPr>
        <w:pStyle w:val="122"/>
        <w:spacing w:after="120"/>
        <w:rPr>
          <w:rFonts w:hint="eastAsia" w:cs="宋体"/>
          <w:b/>
          <w:bCs w:val="0"/>
          <w:color w:val="000000"/>
          <w:sz w:val="21"/>
          <w:szCs w:val="21"/>
        </w:rPr>
      </w:pPr>
      <w:r>
        <w:rPr>
          <w:rFonts w:hint="eastAsia" w:cs="宋体"/>
          <w:b/>
          <w:bCs w:val="0"/>
          <w:color w:val="000000"/>
          <w:sz w:val="21"/>
          <w:szCs w:val="21"/>
        </w:rPr>
        <w:t>电价比较稳定，但如果发生波动，参照油料调差执行。</w:t>
      </w:r>
    </w:p>
    <w:p w14:paraId="55B3F7A0">
      <w:pPr>
        <w:pStyle w:val="122"/>
        <w:spacing w:after="120"/>
        <w:rPr>
          <w:rFonts w:hint="eastAsia" w:cs="宋体"/>
          <w:b/>
          <w:bCs w:val="0"/>
          <w:color w:val="000000"/>
          <w:sz w:val="21"/>
          <w:szCs w:val="21"/>
        </w:rPr>
      </w:pPr>
      <w:r>
        <w:rPr>
          <w:rFonts w:hint="eastAsia" w:cs="宋体"/>
          <w:b/>
          <w:bCs w:val="0"/>
          <w:color w:val="000000"/>
          <w:sz w:val="21"/>
          <w:szCs w:val="21"/>
        </w:rPr>
        <w:t>⑧辅助材料费按《云南省建设工程造价计价标准（2020版）》中相关专业工程中的消耗量及定额基价进行计算，参与造价下浮。（除本条第④款约定的主要材料以外均为辅材）</w:t>
      </w:r>
    </w:p>
    <w:p w14:paraId="61DF2E2D">
      <w:pPr>
        <w:pStyle w:val="122"/>
        <w:spacing w:after="120"/>
        <w:rPr>
          <w:rFonts w:hint="eastAsia" w:cs="宋体"/>
          <w:b/>
          <w:bCs w:val="0"/>
          <w:color w:val="000000"/>
          <w:sz w:val="21"/>
          <w:szCs w:val="21"/>
        </w:rPr>
      </w:pPr>
      <w:r>
        <w:rPr>
          <w:rFonts w:hint="eastAsia" w:cs="宋体"/>
          <w:b/>
          <w:bCs w:val="0"/>
          <w:color w:val="000000"/>
          <w:sz w:val="21"/>
          <w:szCs w:val="21"/>
        </w:rPr>
        <w:t>⑨措施费、管理费、利润、规费、税金按《云南省建设工程造价计价标准（2020版）》的有关规定及本合同签订之日的云南省现行有关配套计价文件规定计算，措施费（安全文明施工费除外）、管理费、利润参与造价下浮。安全文明施工费、规费和税金应按照国家或省级、行业建设主管部门的规定计取，且不采用优惠结算率。</w:t>
      </w:r>
    </w:p>
    <w:p w14:paraId="6348C9F7">
      <w:pPr>
        <w:pStyle w:val="122"/>
        <w:spacing w:after="120"/>
        <w:rPr>
          <w:rFonts w:hint="eastAsia" w:cs="宋体"/>
          <w:b/>
          <w:bCs w:val="0"/>
          <w:color w:val="000000"/>
          <w:sz w:val="21"/>
          <w:szCs w:val="21"/>
        </w:rPr>
      </w:pPr>
      <w:r>
        <w:rPr>
          <w:rFonts w:hint="eastAsia" w:cs="宋体"/>
          <w:b/>
          <w:bCs w:val="0"/>
          <w:color w:val="000000"/>
          <w:sz w:val="21"/>
          <w:szCs w:val="21"/>
        </w:rPr>
        <w:t>⑩总承包方需向发包方指定分包的专业工程、甲供材料及设备、甲指乙供材料及设备、相关专业分包单位进行管理、服务，以及提供施工现场管理、总协调、竣工资料汇总整理等服务工作，相应分包单位须向本合同联合体牵头单位缴纳</w:t>
      </w:r>
      <w:r>
        <w:rPr>
          <w:rFonts w:hint="eastAsia" w:cs="宋体"/>
          <w:b/>
          <w:bCs w:val="0"/>
          <w:color w:val="000000"/>
          <w:sz w:val="21"/>
          <w:szCs w:val="21"/>
          <w:lang w:val="en-US" w:eastAsia="zh-CN"/>
        </w:rPr>
        <w:t>2</w:t>
      </w:r>
      <w:r>
        <w:rPr>
          <w:rFonts w:hint="eastAsia" w:cs="宋体"/>
          <w:b/>
          <w:bCs w:val="0"/>
          <w:color w:val="000000"/>
          <w:sz w:val="21"/>
          <w:szCs w:val="21"/>
        </w:rPr>
        <w:t>.5%的总承包服务费。</w:t>
      </w:r>
    </w:p>
    <w:p w14:paraId="1EC78125">
      <w:pPr>
        <w:pStyle w:val="122"/>
        <w:spacing w:after="120"/>
        <w:rPr>
          <w:rFonts w:hint="eastAsia" w:cs="宋体"/>
          <w:b/>
          <w:bCs w:val="0"/>
          <w:color w:val="000000"/>
          <w:sz w:val="21"/>
          <w:szCs w:val="21"/>
        </w:rPr>
      </w:pPr>
      <w:r>
        <w:rPr>
          <w:rFonts w:hint="eastAsia" w:cs="宋体"/>
          <w:b/>
          <w:bCs w:val="0"/>
          <w:color w:val="000000"/>
          <w:sz w:val="21"/>
          <w:szCs w:val="21"/>
        </w:rPr>
        <w:t>双方约定合同价款的其他调整因素：在合同履行过程中友好协商。</w:t>
      </w:r>
    </w:p>
    <w:p w14:paraId="2DEA75C7">
      <w:pPr>
        <w:pStyle w:val="122"/>
        <w:spacing w:after="120"/>
        <w:rPr>
          <w:rFonts w:hint="eastAsia" w:cs="宋体"/>
          <w:b w:val="0"/>
          <w:bCs/>
          <w:color w:val="000000"/>
          <w:sz w:val="21"/>
          <w:szCs w:val="21"/>
        </w:rPr>
      </w:pPr>
      <w:r>
        <w:rPr>
          <w:rFonts w:hint="eastAsia" w:cs="宋体"/>
          <w:b w:val="0"/>
          <w:bCs/>
          <w:color w:val="000000"/>
          <w:sz w:val="21"/>
          <w:szCs w:val="21"/>
        </w:rPr>
        <w:t>14.2预付款</w:t>
      </w:r>
    </w:p>
    <w:p w14:paraId="04607B57">
      <w:pPr>
        <w:pStyle w:val="122"/>
        <w:spacing w:after="120"/>
        <w:rPr>
          <w:rFonts w:hint="eastAsia" w:cs="宋体"/>
          <w:b w:val="0"/>
          <w:bCs/>
          <w:color w:val="000000"/>
          <w:sz w:val="21"/>
          <w:szCs w:val="21"/>
        </w:rPr>
      </w:pPr>
      <w:r>
        <w:rPr>
          <w:rFonts w:hint="eastAsia" w:cs="宋体"/>
          <w:b w:val="0"/>
          <w:bCs/>
          <w:color w:val="000000"/>
          <w:sz w:val="21"/>
          <w:szCs w:val="21"/>
        </w:rPr>
        <w:t>14.2.1预付款支付</w:t>
      </w:r>
    </w:p>
    <w:p w14:paraId="11008798">
      <w:pPr>
        <w:pStyle w:val="122"/>
        <w:spacing w:after="120"/>
        <w:rPr>
          <w:rFonts w:hint="eastAsia" w:cs="宋体"/>
          <w:b w:val="0"/>
          <w:bCs/>
          <w:color w:val="000000"/>
          <w:sz w:val="21"/>
          <w:szCs w:val="21"/>
        </w:rPr>
      </w:pPr>
      <w:r>
        <w:rPr>
          <w:rFonts w:hint="eastAsia" w:cs="宋体"/>
          <w:b w:val="0"/>
          <w:bCs/>
          <w:color w:val="000000"/>
          <w:sz w:val="21"/>
          <w:szCs w:val="21"/>
        </w:rPr>
        <w:t>预付款的金额或比例为：</w:t>
      </w:r>
      <w:r>
        <w:rPr>
          <w:rFonts w:hint="eastAsia" w:cs="宋体"/>
          <w:b w:val="0"/>
          <w:bCs/>
          <w:color w:val="000000"/>
          <w:sz w:val="21"/>
          <w:szCs w:val="21"/>
          <w:u w:val="single"/>
          <w:lang w:val="en-US" w:eastAsia="zh-CN"/>
        </w:rPr>
        <w:t xml:space="preserve">             </w:t>
      </w:r>
      <w:r>
        <w:rPr>
          <w:rFonts w:hint="eastAsia" w:cs="宋体"/>
          <w:b w:val="0"/>
          <w:bCs/>
          <w:color w:val="000000"/>
          <w:sz w:val="21"/>
          <w:szCs w:val="21"/>
        </w:rPr>
        <w:t>。</w:t>
      </w:r>
    </w:p>
    <w:p w14:paraId="57ADC328">
      <w:pPr>
        <w:pStyle w:val="122"/>
        <w:spacing w:after="120"/>
        <w:rPr>
          <w:rFonts w:hint="eastAsia" w:cs="宋体"/>
          <w:b w:val="0"/>
          <w:bCs/>
          <w:color w:val="000000"/>
          <w:sz w:val="21"/>
          <w:szCs w:val="21"/>
        </w:rPr>
      </w:pPr>
      <w:r>
        <w:rPr>
          <w:rFonts w:hint="eastAsia" w:cs="宋体"/>
          <w:b w:val="0"/>
          <w:bCs/>
          <w:color w:val="000000"/>
          <w:sz w:val="21"/>
          <w:szCs w:val="21"/>
        </w:rPr>
        <w:t>预付款支付期限：</w:t>
      </w:r>
      <w:r>
        <w:rPr>
          <w:rFonts w:hint="eastAsia" w:cs="宋体"/>
          <w:b w:val="0"/>
          <w:bCs/>
          <w:color w:val="000000"/>
          <w:sz w:val="21"/>
          <w:szCs w:val="21"/>
          <w:u w:val="single"/>
          <w:lang w:val="en-US" w:eastAsia="zh-CN"/>
        </w:rPr>
        <w:t xml:space="preserve">                    </w:t>
      </w:r>
      <w:r>
        <w:rPr>
          <w:rFonts w:hint="eastAsia" w:cs="宋体"/>
          <w:b w:val="0"/>
          <w:bCs/>
          <w:color w:val="000000"/>
          <w:sz w:val="21"/>
          <w:szCs w:val="21"/>
        </w:rPr>
        <w:t>。</w:t>
      </w:r>
    </w:p>
    <w:p w14:paraId="0930F00A">
      <w:pPr>
        <w:pStyle w:val="122"/>
        <w:spacing w:after="120"/>
        <w:rPr>
          <w:rFonts w:hint="eastAsia" w:cs="宋体"/>
          <w:b w:val="0"/>
          <w:bCs/>
          <w:color w:val="000000"/>
          <w:sz w:val="21"/>
          <w:szCs w:val="21"/>
        </w:rPr>
      </w:pPr>
      <w:r>
        <w:rPr>
          <w:rFonts w:hint="eastAsia" w:cs="宋体"/>
          <w:b w:val="0"/>
          <w:bCs/>
          <w:color w:val="000000"/>
          <w:sz w:val="21"/>
          <w:szCs w:val="21"/>
        </w:rPr>
        <w:t>预付款扣回的方式：</w:t>
      </w:r>
      <w:r>
        <w:rPr>
          <w:rFonts w:hint="eastAsia" w:cs="宋体"/>
          <w:b w:val="0"/>
          <w:bCs/>
          <w:color w:val="000000"/>
          <w:sz w:val="21"/>
          <w:szCs w:val="21"/>
          <w:u w:val="single"/>
          <w:lang w:val="en-US" w:eastAsia="zh-CN"/>
        </w:rPr>
        <w:t xml:space="preserve">                      </w:t>
      </w:r>
      <w:r>
        <w:rPr>
          <w:rFonts w:hint="eastAsia" w:cs="宋体"/>
          <w:b w:val="0"/>
          <w:bCs/>
          <w:color w:val="000000"/>
          <w:sz w:val="21"/>
          <w:szCs w:val="21"/>
          <w:lang w:val="en-US" w:eastAsia="zh-CN"/>
        </w:rPr>
        <w:t xml:space="preserve"> </w:t>
      </w:r>
      <w:r>
        <w:rPr>
          <w:rFonts w:hint="eastAsia" w:cs="宋体"/>
          <w:b w:val="0"/>
          <w:bCs/>
          <w:color w:val="000000"/>
          <w:sz w:val="21"/>
          <w:szCs w:val="21"/>
        </w:rPr>
        <w:t>。</w:t>
      </w:r>
    </w:p>
    <w:p w14:paraId="01810A6A">
      <w:pPr>
        <w:pStyle w:val="122"/>
        <w:spacing w:after="120"/>
        <w:rPr>
          <w:rFonts w:hint="eastAsia" w:cs="宋体"/>
          <w:b w:val="0"/>
          <w:bCs/>
          <w:color w:val="000000"/>
          <w:sz w:val="21"/>
          <w:szCs w:val="21"/>
        </w:rPr>
      </w:pPr>
      <w:r>
        <w:rPr>
          <w:rFonts w:hint="eastAsia" w:cs="宋体"/>
          <w:b w:val="0"/>
          <w:bCs/>
          <w:color w:val="000000"/>
          <w:sz w:val="21"/>
          <w:szCs w:val="21"/>
        </w:rPr>
        <w:t>14.2.2预付款担保</w:t>
      </w:r>
    </w:p>
    <w:p w14:paraId="0429F543">
      <w:pPr>
        <w:pStyle w:val="122"/>
        <w:spacing w:after="120"/>
        <w:rPr>
          <w:rFonts w:hint="eastAsia" w:cs="宋体"/>
          <w:b w:val="0"/>
          <w:bCs/>
          <w:color w:val="000000"/>
          <w:sz w:val="21"/>
          <w:szCs w:val="21"/>
        </w:rPr>
      </w:pPr>
      <w:r>
        <w:rPr>
          <w:rFonts w:hint="eastAsia" w:cs="宋体"/>
          <w:b w:val="0"/>
          <w:bCs/>
          <w:color w:val="000000"/>
          <w:sz w:val="21"/>
          <w:szCs w:val="21"/>
        </w:rPr>
        <w:t>提供预付款担保期限：一年。</w:t>
      </w:r>
    </w:p>
    <w:p w14:paraId="12E4EE41">
      <w:pPr>
        <w:pStyle w:val="122"/>
        <w:spacing w:after="120"/>
        <w:rPr>
          <w:rFonts w:hint="eastAsia" w:cs="宋体"/>
          <w:b w:val="0"/>
          <w:bCs/>
          <w:color w:val="000000"/>
          <w:sz w:val="21"/>
          <w:szCs w:val="21"/>
        </w:rPr>
      </w:pPr>
      <w:r>
        <w:rPr>
          <w:rFonts w:hint="eastAsia" w:cs="宋体"/>
          <w:b w:val="0"/>
          <w:bCs/>
          <w:color w:val="000000"/>
          <w:sz w:val="21"/>
          <w:szCs w:val="21"/>
        </w:rPr>
        <w:t>预付款担保形式：金融机构出具的保险保函或法律法规规定的其他担保形式。</w:t>
      </w:r>
    </w:p>
    <w:p w14:paraId="2B0F98EB">
      <w:pPr>
        <w:pStyle w:val="122"/>
        <w:spacing w:after="120"/>
        <w:rPr>
          <w:rFonts w:hint="eastAsia" w:cs="宋体"/>
          <w:b w:val="0"/>
          <w:bCs/>
          <w:color w:val="000000"/>
          <w:sz w:val="21"/>
          <w:szCs w:val="21"/>
        </w:rPr>
      </w:pPr>
      <w:r>
        <w:rPr>
          <w:rFonts w:hint="eastAsia" w:cs="宋体"/>
          <w:b w:val="0"/>
          <w:bCs/>
          <w:color w:val="000000"/>
          <w:sz w:val="21"/>
          <w:szCs w:val="21"/>
        </w:rPr>
        <w:t>14.3工程进度款</w:t>
      </w:r>
    </w:p>
    <w:p w14:paraId="41DC3984">
      <w:pPr>
        <w:pStyle w:val="122"/>
        <w:spacing w:after="120"/>
        <w:rPr>
          <w:rFonts w:hint="eastAsia" w:cs="宋体"/>
          <w:b w:val="0"/>
          <w:bCs/>
          <w:color w:val="000000"/>
          <w:sz w:val="21"/>
          <w:szCs w:val="21"/>
        </w:rPr>
      </w:pPr>
      <w:r>
        <w:rPr>
          <w:rFonts w:hint="eastAsia" w:cs="宋体"/>
          <w:b w:val="0"/>
          <w:bCs/>
          <w:color w:val="000000"/>
          <w:sz w:val="21"/>
          <w:szCs w:val="21"/>
        </w:rPr>
        <w:t>14.3.1工程进度付款申请：</w:t>
      </w:r>
    </w:p>
    <w:p w14:paraId="5EC3236E">
      <w:pPr>
        <w:pStyle w:val="122"/>
        <w:spacing w:after="120"/>
        <w:rPr>
          <w:rFonts w:hint="eastAsia" w:cs="宋体"/>
          <w:b w:val="0"/>
          <w:bCs/>
          <w:color w:val="000000"/>
          <w:sz w:val="21"/>
          <w:szCs w:val="21"/>
        </w:rPr>
      </w:pPr>
      <w:r>
        <w:rPr>
          <w:rFonts w:hint="eastAsia" w:cs="宋体"/>
          <w:b w:val="0"/>
          <w:bCs/>
          <w:color w:val="000000"/>
          <w:sz w:val="21"/>
          <w:szCs w:val="21"/>
        </w:rPr>
        <w:t>承包人提交进度付款申请单的格式、内容、份数和时间：。</w:t>
      </w:r>
    </w:p>
    <w:p w14:paraId="6D4DBA9A">
      <w:pPr>
        <w:pStyle w:val="122"/>
        <w:spacing w:after="120"/>
        <w:rPr>
          <w:rFonts w:hint="eastAsia" w:cs="宋体"/>
          <w:b w:val="0"/>
          <w:bCs/>
          <w:color w:val="000000"/>
          <w:sz w:val="21"/>
          <w:szCs w:val="21"/>
        </w:rPr>
      </w:pPr>
      <w:r>
        <w:rPr>
          <w:rFonts w:hint="eastAsia" w:cs="宋体"/>
          <w:b w:val="0"/>
          <w:bCs/>
          <w:color w:val="000000"/>
          <w:sz w:val="21"/>
          <w:szCs w:val="21"/>
        </w:rPr>
        <w:t>进度付款申请单应包括的内容：。</w:t>
      </w:r>
    </w:p>
    <w:p w14:paraId="4CA7F884">
      <w:pPr>
        <w:pStyle w:val="122"/>
        <w:spacing w:after="120"/>
        <w:rPr>
          <w:rFonts w:hint="eastAsia" w:cs="宋体"/>
          <w:b w:val="0"/>
          <w:bCs/>
          <w:color w:val="000000"/>
          <w:sz w:val="21"/>
          <w:szCs w:val="21"/>
        </w:rPr>
      </w:pPr>
      <w:r>
        <w:rPr>
          <w:rFonts w:hint="eastAsia" w:cs="宋体"/>
          <w:b w:val="0"/>
          <w:bCs/>
          <w:color w:val="000000"/>
          <w:sz w:val="21"/>
          <w:szCs w:val="21"/>
        </w:rPr>
        <w:t>14.3.2进度付款审核和支付</w:t>
      </w:r>
    </w:p>
    <w:p w14:paraId="376EE7D7">
      <w:pPr>
        <w:pStyle w:val="122"/>
        <w:spacing w:after="120"/>
        <w:rPr>
          <w:rFonts w:hint="eastAsia" w:cs="宋体"/>
          <w:b/>
          <w:bCs w:val="0"/>
          <w:color w:val="000000"/>
          <w:sz w:val="21"/>
          <w:szCs w:val="21"/>
        </w:rPr>
      </w:pPr>
      <w:r>
        <w:rPr>
          <w:rFonts w:hint="eastAsia" w:cs="宋体"/>
          <w:b/>
          <w:bCs w:val="0"/>
          <w:color w:val="000000"/>
          <w:sz w:val="21"/>
          <w:szCs w:val="21"/>
        </w:rPr>
        <w:t>进度付款的审核方式和支付的约定：发包人每次付款前，承包人应提供符合财税要求的增值税专用发票（专票普票需根据具体项目确定），承包人未提供或所提供发票不符合发包人要求的，发包人有权拒付，且不承担任何责任。因发票提供不当所产生的责任及损失由承包人承担。其余内容签订合同时约定。</w:t>
      </w:r>
    </w:p>
    <w:p w14:paraId="3EE20B75">
      <w:pPr>
        <w:pStyle w:val="122"/>
        <w:spacing w:after="120"/>
        <w:rPr>
          <w:rFonts w:hint="eastAsia" w:cs="宋体"/>
          <w:b/>
          <w:bCs w:val="0"/>
          <w:color w:val="000000"/>
          <w:sz w:val="21"/>
          <w:szCs w:val="21"/>
        </w:rPr>
      </w:pPr>
      <w:r>
        <w:rPr>
          <w:rFonts w:hint="eastAsia" w:cs="宋体"/>
          <w:b/>
          <w:bCs w:val="0"/>
          <w:color w:val="000000"/>
          <w:sz w:val="21"/>
          <w:szCs w:val="21"/>
        </w:rPr>
        <w:t>联合体各成员的分工、费用收取、发票开具等事项：本合同价款将根据联合体协议约定的分工和比例，由发包人直接支付至承担相应工作的联合体成员账户。</w:t>
      </w:r>
    </w:p>
    <w:p w14:paraId="0A15BB78">
      <w:pPr>
        <w:pStyle w:val="122"/>
        <w:spacing w:after="120"/>
        <w:rPr>
          <w:rFonts w:hint="eastAsia" w:cs="宋体"/>
          <w:b w:val="0"/>
          <w:bCs/>
          <w:color w:val="000000"/>
          <w:sz w:val="21"/>
          <w:szCs w:val="21"/>
        </w:rPr>
      </w:pPr>
      <w:r>
        <w:rPr>
          <w:rFonts w:hint="eastAsia" w:cs="宋体"/>
          <w:b w:val="0"/>
          <w:bCs/>
          <w:color w:val="000000"/>
          <w:sz w:val="21"/>
          <w:szCs w:val="21"/>
        </w:rPr>
        <w:t>14.4付款计划表</w:t>
      </w:r>
    </w:p>
    <w:p w14:paraId="34EB686A">
      <w:pPr>
        <w:pStyle w:val="122"/>
        <w:spacing w:after="120"/>
        <w:rPr>
          <w:rFonts w:hint="eastAsia" w:cs="宋体"/>
          <w:b w:val="0"/>
          <w:bCs/>
          <w:color w:val="000000"/>
          <w:sz w:val="21"/>
          <w:szCs w:val="21"/>
        </w:rPr>
      </w:pPr>
      <w:r>
        <w:rPr>
          <w:rFonts w:hint="eastAsia" w:cs="宋体"/>
          <w:b w:val="0"/>
          <w:bCs/>
          <w:color w:val="000000"/>
          <w:sz w:val="21"/>
          <w:szCs w:val="21"/>
        </w:rPr>
        <w:t>14.4.1付款计划表的编制要求：。</w:t>
      </w:r>
    </w:p>
    <w:p w14:paraId="4D0F3D5D">
      <w:pPr>
        <w:pStyle w:val="122"/>
        <w:spacing w:after="120"/>
        <w:rPr>
          <w:rFonts w:hint="eastAsia" w:cs="宋体"/>
          <w:b w:val="0"/>
          <w:bCs/>
          <w:color w:val="000000"/>
          <w:sz w:val="21"/>
          <w:szCs w:val="21"/>
        </w:rPr>
      </w:pPr>
      <w:r>
        <w:rPr>
          <w:rFonts w:hint="eastAsia" w:cs="宋体"/>
          <w:b w:val="0"/>
          <w:bCs/>
          <w:color w:val="000000"/>
          <w:sz w:val="21"/>
          <w:szCs w:val="21"/>
        </w:rPr>
        <w:t>14.4.2付款计划表的编制与审批</w:t>
      </w:r>
    </w:p>
    <w:p w14:paraId="6D38F224">
      <w:pPr>
        <w:pStyle w:val="122"/>
        <w:spacing w:after="120"/>
        <w:rPr>
          <w:rFonts w:hint="eastAsia" w:cs="宋体"/>
          <w:b w:val="0"/>
          <w:bCs/>
          <w:color w:val="000000"/>
          <w:sz w:val="21"/>
          <w:szCs w:val="21"/>
        </w:rPr>
      </w:pPr>
      <w:r>
        <w:rPr>
          <w:rFonts w:hint="eastAsia" w:cs="宋体"/>
          <w:b w:val="0"/>
          <w:bCs/>
          <w:color w:val="000000"/>
          <w:sz w:val="21"/>
          <w:szCs w:val="21"/>
        </w:rPr>
        <w:t>付款计划表的编制：。</w:t>
      </w:r>
    </w:p>
    <w:p w14:paraId="1C1D70C6">
      <w:pPr>
        <w:pStyle w:val="122"/>
        <w:spacing w:after="120"/>
        <w:rPr>
          <w:rFonts w:hint="eastAsia" w:cs="宋体"/>
          <w:b w:val="0"/>
          <w:bCs/>
          <w:color w:val="000000"/>
          <w:sz w:val="21"/>
          <w:szCs w:val="21"/>
        </w:rPr>
      </w:pPr>
      <w:r>
        <w:rPr>
          <w:rFonts w:hint="eastAsia" w:cs="宋体"/>
          <w:b w:val="0"/>
          <w:bCs/>
          <w:color w:val="000000"/>
          <w:sz w:val="21"/>
          <w:szCs w:val="21"/>
        </w:rPr>
        <w:t>14.5竣工结算</w:t>
      </w:r>
    </w:p>
    <w:p w14:paraId="5F65CF2C">
      <w:pPr>
        <w:pStyle w:val="122"/>
        <w:spacing w:after="120"/>
        <w:rPr>
          <w:rFonts w:hint="eastAsia" w:cs="宋体"/>
          <w:b w:val="0"/>
          <w:bCs/>
          <w:color w:val="000000"/>
          <w:sz w:val="21"/>
          <w:szCs w:val="21"/>
        </w:rPr>
      </w:pPr>
      <w:r>
        <w:rPr>
          <w:rFonts w:hint="eastAsia" w:cs="宋体"/>
          <w:b w:val="0"/>
          <w:bCs/>
          <w:color w:val="000000"/>
          <w:sz w:val="21"/>
          <w:szCs w:val="21"/>
        </w:rPr>
        <w:t>14.5.1竣工结算申请</w:t>
      </w:r>
    </w:p>
    <w:p w14:paraId="24C1AE71">
      <w:pPr>
        <w:pStyle w:val="122"/>
        <w:spacing w:after="120"/>
        <w:rPr>
          <w:rFonts w:hint="eastAsia" w:cs="宋体"/>
          <w:b w:val="0"/>
          <w:bCs/>
          <w:color w:val="000000"/>
          <w:sz w:val="21"/>
          <w:szCs w:val="21"/>
        </w:rPr>
      </w:pPr>
      <w:r>
        <w:rPr>
          <w:rFonts w:hint="eastAsia" w:cs="宋体"/>
          <w:b w:val="0"/>
          <w:bCs/>
          <w:color w:val="000000"/>
          <w:sz w:val="21"/>
          <w:szCs w:val="21"/>
        </w:rPr>
        <w:t>承包人提交竣工结算申请的时间：。</w:t>
      </w:r>
    </w:p>
    <w:p w14:paraId="021FCBF3">
      <w:pPr>
        <w:pStyle w:val="122"/>
        <w:spacing w:after="120"/>
        <w:rPr>
          <w:rFonts w:hint="eastAsia" w:cs="宋体"/>
          <w:b w:val="0"/>
          <w:bCs/>
          <w:color w:val="000000"/>
          <w:sz w:val="21"/>
          <w:szCs w:val="21"/>
        </w:rPr>
      </w:pPr>
      <w:r>
        <w:rPr>
          <w:rFonts w:hint="eastAsia" w:cs="宋体"/>
          <w:b w:val="0"/>
          <w:bCs/>
          <w:color w:val="000000"/>
          <w:sz w:val="21"/>
          <w:szCs w:val="21"/>
        </w:rPr>
        <w:t>竣工结算申请的资料清单和份数：。</w:t>
      </w:r>
    </w:p>
    <w:p w14:paraId="7915DF0E">
      <w:pPr>
        <w:pStyle w:val="122"/>
        <w:spacing w:after="120"/>
        <w:rPr>
          <w:rFonts w:hint="eastAsia" w:cs="宋体"/>
          <w:b w:val="0"/>
          <w:bCs/>
          <w:color w:val="000000"/>
          <w:sz w:val="21"/>
          <w:szCs w:val="21"/>
        </w:rPr>
      </w:pPr>
      <w:r>
        <w:rPr>
          <w:rFonts w:hint="eastAsia" w:cs="宋体"/>
          <w:b w:val="0"/>
          <w:bCs/>
          <w:color w:val="000000"/>
          <w:sz w:val="21"/>
          <w:szCs w:val="21"/>
        </w:rPr>
        <w:t>竣工结算申请单的内容应包括：。</w:t>
      </w:r>
    </w:p>
    <w:p w14:paraId="1BE73C4F">
      <w:pPr>
        <w:pStyle w:val="122"/>
        <w:spacing w:after="120"/>
        <w:rPr>
          <w:rFonts w:hint="eastAsia" w:cs="宋体"/>
          <w:b w:val="0"/>
          <w:bCs/>
          <w:color w:val="000000"/>
          <w:sz w:val="21"/>
          <w:szCs w:val="21"/>
        </w:rPr>
      </w:pPr>
      <w:r>
        <w:rPr>
          <w:rFonts w:hint="eastAsia" w:cs="宋体"/>
          <w:b w:val="0"/>
          <w:bCs/>
          <w:color w:val="000000"/>
          <w:sz w:val="21"/>
          <w:szCs w:val="21"/>
        </w:rPr>
        <w:t>14.5.2竣工结算审核</w:t>
      </w:r>
    </w:p>
    <w:p w14:paraId="022D89C7">
      <w:pPr>
        <w:pStyle w:val="122"/>
        <w:spacing w:after="120"/>
        <w:rPr>
          <w:rFonts w:hint="eastAsia" w:cs="宋体"/>
          <w:b w:val="0"/>
          <w:bCs/>
          <w:color w:val="000000"/>
          <w:sz w:val="21"/>
          <w:szCs w:val="21"/>
        </w:rPr>
      </w:pPr>
      <w:r>
        <w:rPr>
          <w:rFonts w:hint="eastAsia" w:cs="宋体"/>
          <w:b w:val="0"/>
          <w:bCs/>
          <w:color w:val="000000"/>
          <w:sz w:val="21"/>
          <w:szCs w:val="21"/>
        </w:rPr>
        <w:t>发包人审批竣工付款申请单的期限：。</w:t>
      </w:r>
    </w:p>
    <w:p w14:paraId="74010C56">
      <w:pPr>
        <w:pStyle w:val="122"/>
        <w:spacing w:after="120"/>
        <w:rPr>
          <w:rFonts w:hint="eastAsia" w:cs="宋体"/>
          <w:b w:val="0"/>
          <w:bCs/>
          <w:color w:val="000000"/>
          <w:sz w:val="21"/>
          <w:szCs w:val="21"/>
        </w:rPr>
      </w:pPr>
      <w:r>
        <w:rPr>
          <w:rFonts w:hint="eastAsia" w:cs="宋体"/>
          <w:b w:val="0"/>
          <w:bCs/>
          <w:color w:val="000000"/>
          <w:sz w:val="21"/>
          <w:szCs w:val="21"/>
        </w:rPr>
        <w:t>发包人完成竣工付款的期限：。</w:t>
      </w:r>
    </w:p>
    <w:p w14:paraId="3E884C59">
      <w:pPr>
        <w:pStyle w:val="122"/>
        <w:spacing w:after="120"/>
        <w:rPr>
          <w:rFonts w:hint="eastAsia" w:cs="宋体"/>
          <w:b w:val="0"/>
          <w:bCs/>
          <w:color w:val="000000"/>
          <w:sz w:val="21"/>
          <w:szCs w:val="21"/>
        </w:rPr>
      </w:pPr>
      <w:r>
        <w:rPr>
          <w:rFonts w:hint="eastAsia" w:cs="宋体"/>
          <w:b w:val="0"/>
          <w:bCs/>
          <w:color w:val="000000"/>
          <w:sz w:val="21"/>
          <w:szCs w:val="21"/>
        </w:rPr>
        <w:t>关于竣工付款证书异议部分复核的方式和程序：。</w:t>
      </w:r>
    </w:p>
    <w:p w14:paraId="0D969E57">
      <w:pPr>
        <w:pStyle w:val="122"/>
        <w:spacing w:after="120"/>
        <w:rPr>
          <w:rFonts w:hint="eastAsia" w:cs="宋体"/>
          <w:b w:val="0"/>
          <w:bCs/>
          <w:color w:val="000000"/>
          <w:sz w:val="21"/>
          <w:szCs w:val="21"/>
        </w:rPr>
      </w:pPr>
      <w:r>
        <w:rPr>
          <w:rFonts w:hint="eastAsia" w:cs="宋体"/>
          <w:b w:val="0"/>
          <w:bCs/>
          <w:color w:val="000000"/>
          <w:sz w:val="21"/>
          <w:szCs w:val="21"/>
        </w:rPr>
        <w:t>14.6质量保证金</w:t>
      </w:r>
    </w:p>
    <w:p w14:paraId="32297DF3">
      <w:pPr>
        <w:pStyle w:val="122"/>
        <w:spacing w:after="120"/>
        <w:rPr>
          <w:rFonts w:hint="eastAsia" w:cs="宋体"/>
          <w:b w:val="0"/>
          <w:bCs/>
          <w:color w:val="000000"/>
          <w:sz w:val="21"/>
          <w:szCs w:val="21"/>
        </w:rPr>
      </w:pPr>
      <w:r>
        <w:rPr>
          <w:rFonts w:hint="eastAsia" w:cs="宋体"/>
          <w:b w:val="0"/>
          <w:bCs/>
          <w:color w:val="000000"/>
          <w:sz w:val="21"/>
          <w:szCs w:val="21"/>
        </w:rPr>
        <w:t>14.6.1承包人提供质量保证金的方式</w:t>
      </w:r>
    </w:p>
    <w:p w14:paraId="411E2134">
      <w:pPr>
        <w:pStyle w:val="122"/>
        <w:spacing w:after="120"/>
        <w:rPr>
          <w:rFonts w:hint="eastAsia" w:cs="宋体"/>
          <w:b w:val="0"/>
          <w:bCs/>
          <w:color w:val="000000"/>
          <w:sz w:val="21"/>
          <w:szCs w:val="21"/>
        </w:rPr>
      </w:pPr>
      <w:r>
        <w:rPr>
          <w:rFonts w:hint="eastAsia" w:cs="宋体"/>
          <w:b w:val="0"/>
          <w:bCs/>
          <w:color w:val="000000"/>
          <w:sz w:val="21"/>
          <w:szCs w:val="21"/>
        </w:rPr>
        <w:t>质量保证金采用以下第（2）种方式：</w:t>
      </w:r>
    </w:p>
    <w:p w14:paraId="0AD8E8B4">
      <w:pPr>
        <w:pStyle w:val="122"/>
        <w:spacing w:after="120"/>
        <w:rPr>
          <w:rFonts w:hint="eastAsia" w:cs="宋体"/>
          <w:b w:val="0"/>
          <w:bCs/>
          <w:color w:val="000000"/>
          <w:sz w:val="21"/>
          <w:szCs w:val="21"/>
        </w:rPr>
      </w:pPr>
      <w:r>
        <w:rPr>
          <w:rFonts w:hint="eastAsia" w:cs="宋体"/>
          <w:b w:val="0"/>
          <w:bCs/>
          <w:color w:val="000000"/>
          <w:sz w:val="21"/>
          <w:szCs w:val="21"/>
        </w:rPr>
        <w:t>(1)工程质量保证担保，保证金额为：/；</w:t>
      </w:r>
    </w:p>
    <w:p w14:paraId="75B68046">
      <w:pPr>
        <w:pStyle w:val="122"/>
        <w:spacing w:after="120"/>
        <w:rPr>
          <w:rFonts w:hint="eastAsia" w:cs="宋体"/>
          <w:b w:val="0"/>
          <w:bCs/>
          <w:color w:val="000000"/>
          <w:sz w:val="21"/>
          <w:szCs w:val="21"/>
        </w:rPr>
      </w:pPr>
      <w:r>
        <w:rPr>
          <w:rFonts w:hint="eastAsia" w:cs="宋体"/>
          <w:b w:val="0"/>
          <w:bCs/>
          <w:color w:val="000000"/>
          <w:sz w:val="21"/>
          <w:szCs w:val="21"/>
        </w:rPr>
        <w:t>(2)3%的工程款；按《建设工程质量保证金管理办法》建质〔2017〕138号文执行。</w:t>
      </w:r>
    </w:p>
    <w:p w14:paraId="5C42A3E6">
      <w:pPr>
        <w:pStyle w:val="122"/>
        <w:spacing w:after="120"/>
        <w:rPr>
          <w:rFonts w:hint="eastAsia" w:cs="宋体"/>
          <w:b w:val="0"/>
          <w:bCs/>
          <w:color w:val="000000"/>
          <w:sz w:val="21"/>
          <w:szCs w:val="21"/>
        </w:rPr>
      </w:pPr>
      <w:r>
        <w:rPr>
          <w:rFonts w:hint="eastAsia" w:cs="宋体"/>
          <w:b w:val="0"/>
          <w:bCs/>
          <w:color w:val="000000"/>
          <w:sz w:val="21"/>
          <w:szCs w:val="21"/>
        </w:rPr>
        <w:t>(3)其他方式：。</w:t>
      </w:r>
    </w:p>
    <w:p w14:paraId="0FC63CC0">
      <w:pPr>
        <w:pStyle w:val="122"/>
        <w:spacing w:after="120"/>
        <w:rPr>
          <w:rFonts w:hint="eastAsia" w:cs="宋体"/>
          <w:b w:val="0"/>
          <w:bCs/>
          <w:color w:val="000000"/>
          <w:sz w:val="21"/>
          <w:szCs w:val="21"/>
        </w:rPr>
      </w:pPr>
      <w:r>
        <w:rPr>
          <w:rFonts w:hint="eastAsia" w:cs="宋体"/>
          <w:b w:val="0"/>
          <w:bCs/>
          <w:color w:val="000000"/>
          <w:sz w:val="21"/>
          <w:szCs w:val="21"/>
        </w:rPr>
        <w:t>14.6.2质量保证金的预留</w:t>
      </w:r>
    </w:p>
    <w:p w14:paraId="60F4A1F8">
      <w:pPr>
        <w:pStyle w:val="122"/>
        <w:spacing w:after="120"/>
        <w:rPr>
          <w:rFonts w:hint="eastAsia" w:cs="宋体"/>
          <w:b w:val="0"/>
          <w:bCs/>
          <w:color w:val="000000"/>
          <w:sz w:val="21"/>
          <w:szCs w:val="21"/>
        </w:rPr>
      </w:pPr>
      <w:r>
        <w:rPr>
          <w:rFonts w:hint="eastAsia" w:cs="宋体"/>
          <w:b w:val="0"/>
          <w:bCs/>
          <w:color w:val="000000"/>
          <w:sz w:val="21"/>
          <w:szCs w:val="21"/>
        </w:rPr>
        <w:t>质量保证金的预留采取以下第（2）种方式：</w:t>
      </w:r>
    </w:p>
    <w:p w14:paraId="139196A5">
      <w:pPr>
        <w:pStyle w:val="122"/>
        <w:spacing w:after="120"/>
        <w:rPr>
          <w:rFonts w:hint="eastAsia" w:cs="宋体"/>
          <w:b w:val="0"/>
          <w:bCs/>
          <w:color w:val="000000"/>
          <w:sz w:val="21"/>
          <w:szCs w:val="21"/>
        </w:rPr>
      </w:pPr>
      <w:r>
        <w:rPr>
          <w:rFonts w:hint="eastAsia" w:cs="宋体"/>
          <w:b w:val="0"/>
          <w:bCs/>
          <w:color w:val="000000"/>
          <w:sz w:val="21"/>
          <w:szCs w:val="21"/>
        </w:rPr>
        <w:t>(1)在支付工程进度款时逐次预留的质量保证金的比例：，在此情形下，质量保证金的计算基数不包括预付款的支付、扣回以及价格调整的金额；</w:t>
      </w:r>
    </w:p>
    <w:p w14:paraId="494EB390">
      <w:pPr>
        <w:pStyle w:val="122"/>
        <w:spacing w:after="120"/>
        <w:rPr>
          <w:rFonts w:hint="eastAsia" w:cs="宋体"/>
          <w:b w:val="0"/>
          <w:bCs/>
          <w:color w:val="000000"/>
          <w:sz w:val="21"/>
          <w:szCs w:val="21"/>
        </w:rPr>
      </w:pPr>
      <w:r>
        <w:rPr>
          <w:rFonts w:hint="eastAsia" w:cs="宋体"/>
          <w:b w:val="0"/>
          <w:bCs/>
          <w:color w:val="000000"/>
          <w:sz w:val="21"/>
          <w:szCs w:val="21"/>
        </w:rPr>
        <w:t>(2)工程竣工结算时一次性预留专用合同条件第14.6.1项第(2)目约定的工程款预留比例的质量保证金；</w:t>
      </w:r>
    </w:p>
    <w:p w14:paraId="72F34216">
      <w:pPr>
        <w:pStyle w:val="122"/>
        <w:spacing w:after="120"/>
        <w:rPr>
          <w:rFonts w:hint="eastAsia" w:cs="宋体"/>
          <w:b w:val="0"/>
          <w:bCs/>
          <w:color w:val="000000"/>
          <w:sz w:val="21"/>
          <w:szCs w:val="21"/>
        </w:rPr>
      </w:pPr>
      <w:r>
        <w:rPr>
          <w:rFonts w:hint="eastAsia" w:cs="宋体"/>
          <w:b w:val="0"/>
          <w:bCs/>
          <w:color w:val="000000"/>
          <w:sz w:val="21"/>
          <w:szCs w:val="21"/>
        </w:rPr>
        <w:t>(3)其他预留方式:。</w:t>
      </w:r>
    </w:p>
    <w:p w14:paraId="54DDBEDB">
      <w:pPr>
        <w:pStyle w:val="122"/>
        <w:spacing w:after="120"/>
        <w:rPr>
          <w:rFonts w:hint="eastAsia" w:cs="宋体"/>
          <w:b w:val="0"/>
          <w:bCs/>
          <w:color w:val="000000"/>
          <w:sz w:val="21"/>
          <w:szCs w:val="21"/>
        </w:rPr>
      </w:pPr>
      <w:r>
        <w:rPr>
          <w:rFonts w:hint="eastAsia" w:cs="宋体"/>
          <w:b w:val="0"/>
          <w:bCs/>
          <w:color w:val="000000"/>
          <w:sz w:val="21"/>
          <w:szCs w:val="21"/>
        </w:rPr>
        <w:t>关于质量保证金的补充约定：。</w:t>
      </w:r>
    </w:p>
    <w:p w14:paraId="00D86DED">
      <w:pPr>
        <w:pStyle w:val="122"/>
        <w:spacing w:after="120"/>
        <w:rPr>
          <w:rFonts w:hint="eastAsia" w:cs="宋体"/>
          <w:b w:val="0"/>
          <w:bCs/>
          <w:color w:val="000000"/>
          <w:sz w:val="21"/>
          <w:szCs w:val="21"/>
        </w:rPr>
      </w:pPr>
      <w:r>
        <w:rPr>
          <w:rFonts w:hint="eastAsia" w:cs="宋体"/>
          <w:b w:val="0"/>
          <w:bCs/>
          <w:color w:val="000000"/>
          <w:sz w:val="21"/>
          <w:szCs w:val="21"/>
        </w:rPr>
        <w:t>14.7最终结清</w:t>
      </w:r>
    </w:p>
    <w:p w14:paraId="3AB650C7">
      <w:pPr>
        <w:pStyle w:val="122"/>
        <w:spacing w:after="120"/>
        <w:rPr>
          <w:rFonts w:hint="eastAsia" w:cs="宋体"/>
          <w:b w:val="0"/>
          <w:bCs/>
          <w:color w:val="000000"/>
          <w:sz w:val="21"/>
          <w:szCs w:val="21"/>
        </w:rPr>
      </w:pPr>
      <w:r>
        <w:rPr>
          <w:rFonts w:hint="eastAsia" w:cs="宋体"/>
          <w:b w:val="0"/>
          <w:bCs/>
          <w:color w:val="000000"/>
          <w:sz w:val="21"/>
          <w:szCs w:val="21"/>
        </w:rPr>
        <w:t>14.7.1最终结清申请单</w:t>
      </w:r>
    </w:p>
    <w:p w14:paraId="54272B12">
      <w:pPr>
        <w:pStyle w:val="122"/>
        <w:spacing w:after="120"/>
        <w:rPr>
          <w:rFonts w:hint="eastAsia" w:cs="宋体"/>
          <w:b w:val="0"/>
          <w:bCs/>
          <w:color w:val="000000"/>
          <w:sz w:val="21"/>
          <w:szCs w:val="21"/>
        </w:rPr>
      </w:pPr>
      <w:r>
        <w:rPr>
          <w:rFonts w:hint="eastAsia" w:cs="宋体"/>
          <w:b w:val="0"/>
          <w:bCs/>
          <w:color w:val="000000"/>
          <w:sz w:val="21"/>
          <w:szCs w:val="21"/>
        </w:rPr>
        <w:t>当事人双方关于最终结清申请的其他约定：。</w:t>
      </w:r>
    </w:p>
    <w:p w14:paraId="498D6F9D">
      <w:pPr>
        <w:pStyle w:val="122"/>
        <w:spacing w:after="120"/>
        <w:rPr>
          <w:rFonts w:hint="eastAsia" w:cs="宋体"/>
          <w:b w:val="0"/>
          <w:bCs/>
          <w:color w:val="000000"/>
          <w:sz w:val="21"/>
          <w:szCs w:val="21"/>
        </w:rPr>
      </w:pPr>
      <w:r>
        <w:rPr>
          <w:rFonts w:hint="eastAsia" w:cs="宋体"/>
          <w:b w:val="0"/>
          <w:bCs/>
          <w:color w:val="000000"/>
          <w:sz w:val="21"/>
          <w:szCs w:val="21"/>
        </w:rPr>
        <w:t>14.7.2最终结清证书和支付</w:t>
      </w:r>
    </w:p>
    <w:p w14:paraId="2B34D49A">
      <w:pPr>
        <w:pStyle w:val="122"/>
        <w:spacing w:after="120"/>
        <w:rPr>
          <w:rFonts w:hint="eastAsia" w:cs="宋体"/>
          <w:b w:val="0"/>
          <w:bCs/>
          <w:color w:val="000000"/>
          <w:sz w:val="21"/>
          <w:szCs w:val="21"/>
        </w:rPr>
      </w:pPr>
      <w:r>
        <w:rPr>
          <w:rFonts w:hint="eastAsia" w:cs="宋体"/>
          <w:b w:val="0"/>
          <w:bCs/>
          <w:color w:val="000000"/>
          <w:sz w:val="21"/>
          <w:szCs w:val="21"/>
        </w:rPr>
        <w:t>当事人双方关于最终结清支付的其他约定：。</w:t>
      </w:r>
    </w:p>
    <w:p w14:paraId="7045B9D2">
      <w:pPr>
        <w:pStyle w:val="122"/>
        <w:spacing w:after="120"/>
        <w:rPr>
          <w:rFonts w:hint="eastAsia" w:cs="宋体"/>
          <w:b w:val="0"/>
          <w:bCs/>
          <w:color w:val="000000"/>
          <w:sz w:val="21"/>
          <w:szCs w:val="21"/>
        </w:rPr>
      </w:pPr>
      <w:r>
        <w:rPr>
          <w:rFonts w:hint="eastAsia" w:cs="宋体"/>
          <w:b w:val="0"/>
          <w:bCs/>
          <w:color w:val="000000"/>
          <w:sz w:val="21"/>
          <w:szCs w:val="21"/>
        </w:rPr>
        <w:t>第15条违约</w:t>
      </w:r>
    </w:p>
    <w:p w14:paraId="53333829">
      <w:pPr>
        <w:pStyle w:val="122"/>
        <w:spacing w:after="120"/>
        <w:rPr>
          <w:rFonts w:hint="eastAsia" w:cs="宋体"/>
          <w:b w:val="0"/>
          <w:bCs/>
          <w:color w:val="000000"/>
          <w:sz w:val="21"/>
          <w:szCs w:val="21"/>
        </w:rPr>
      </w:pPr>
      <w:r>
        <w:rPr>
          <w:rFonts w:hint="eastAsia" w:cs="宋体"/>
          <w:b w:val="0"/>
          <w:bCs/>
          <w:color w:val="000000"/>
          <w:sz w:val="21"/>
          <w:szCs w:val="21"/>
        </w:rPr>
        <w:t>15.1发包人违约</w:t>
      </w:r>
    </w:p>
    <w:p w14:paraId="33E24D8B">
      <w:pPr>
        <w:pStyle w:val="122"/>
        <w:spacing w:after="120"/>
        <w:rPr>
          <w:rFonts w:hint="eastAsia" w:cs="宋体"/>
          <w:b w:val="0"/>
          <w:bCs/>
          <w:color w:val="000000"/>
          <w:sz w:val="21"/>
          <w:szCs w:val="21"/>
        </w:rPr>
      </w:pPr>
      <w:r>
        <w:rPr>
          <w:rFonts w:hint="eastAsia" w:cs="宋体"/>
          <w:b w:val="0"/>
          <w:bCs/>
          <w:color w:val="000000"/>
          <w:sz w:val="21"/>
          <w:szCs w:val="21"/>
        </w:rPr>
        <w:t>15.1.1发包人违约的情形</w:t>
      </w:r>
    </w:p>
    <w:p w14:paraId="525FC714">
      <w:pPr>
        <w:pStyle w:val="122"/>
        <w:spacing w:after="120"/>
        <w:rPr>
          <w:rFonts w:hint="eastAsia" w:cs="宋体"/>
          <w:b w:val="0"/>
          <w:bCs/>
          <w:color w:val="000000"/>
          <w:sz w:val="21"/>
          <w:szCs w:val="21"/>
        </w:rPr>
      </w:pPr>
      <w:r>
        <w:rPr>
          <w:rFonts w:hint="eastAsia" w:cs="宋体"/>
          <w:b w:val="0"/>
          <w:bCs/>
          <w:color w:val="000000"/>
          <w:sz w:val="21"/>
          <w:szCs w:val="21"/>
        </w:rPr>
        <w:t>发包人违约的其他情形。</w:t>
      </w:r>
    </w:p>
    <w:p w14:paraId="6F832838">
      <w:pPr>
        <w:pStyle w:val="122"/>
        <w:spacing w:after="120"/>
        <w:rPr>
          <w:rFonts w:hint="eastAsia" w:cs="宋体"/>
          <w:b w:val="0"/>
          <w:bCs/>
          <w:color w:val="000000"/>
          <w:sz w:val="21"/>
          <w:szCs w:val="21"/>
        </w:rPr>
      </w:pPr>
      <w:r>
        <w:rPr>
          <w:rFonts w:hint="eastAsia" w:cs="宋体"/>
          <w:b w:val="0"/>
          <w:bCs/>
          <w:color w:val="000000"/>
          <w:sz w:val="21"/>
          <w:szCs w:val="21"/>
        </w:rPr>
        <w:t>15.1.3发包人违约的责任</w:t>
      </w:r>
    </w:p>
    <w:p w14:paraId="7AC61FF1">
      <w:pPr>
        <w:pStyle w:val="122"/>
        <w:spacing w:after="120"/>
        <w:rPr>
          <w:rFonts w:hint="eastAsia" w:cs="宋体"/>
          <w:b w:val="0"/>
          <w:bCs/>
          <w:color w:val="000000"/>
          <w:sz w:val="21"/>
          <w:szCs w:val="21"/>
        </w:rPr>
      </w:pPr>
      <w:r>
        <w:rPr>
          <w:rFonts w:hint="eastAsia" w:cs="宋体"/>
          <w:b w:val="0"/>
          <w:bCs/>
          <w:color w:val="000000"/>
          <w:sz w:val="21"/>
          <w:szCs w:val="21"/>
        </w:rPr>
        <w:t>发包人违约责任的承担方式和计算方法：。</w:t>
      </w:r>
    </w:p>
    <w:p w14:paraId="289674A1">
      <w:pPr>
        <w:pStyle w:val="122"/>
        <w:spacing w:after="120"/>
        <w:rPr>
          <w:rFonts w:hint="eastAsia" w:cs="宋体"/>
          <w:b w:val="0"/>
          <w:bCs/>
          <w:color w:val="000000"/>
          <w:sz w:val="21"/>
          <w:szCs w:val="21"/>
        </w:rPr>
      </w:pPr>
      <w:r>
        <w:rPr>
          <w:rFonts w:hint="eastAsia" w:cs="宋体"/>
          <w:b w:val="0"/>
          <w:bCs/>
          <w:color w:val="000000"/>
          <w:sz w:val="21"/>
          <w:szCs w:val="21"/>
        </w:rPr>
        <w:t>15.2承包人违约</w:t>
      </w:r>
    </w:p>
    <w:p w14:paraId="3A0B33C2">
      <w:pPr>
        <w:pStyle w:val="122"/>
        <w:spacing w:after="120"/>
        <w:rPr>
          <w:rFonts w:hint="eastAsia" w:cs="宋体"/>
          <w:b w:val="0"/>
          <w:bCs/>
          <w:color w:val="000000"/>
          <w:sz w:val="21"/>
          <w:szCs w:val="21"/>
        </w:rPr>
      </w:pPr>
      <w:r>
        <w:rPr>
          <w:rFonts w:hint="eastAsia" w:cs="宋体"/>
          <w:b w:val="0"/>
          <w:bCs/>
          <w:color w:val="000000"/>
          <w:sz w:val="21"/>
          <w:szCs w:val="21"/>
        </w:rPr>
        <w:t>15.2.1承包人违约的情形</w:t>
      </w:r>
    </w:p>
    <w:p w14:paraId="3968B64D">
      <w:pPr>
        <w:pStyle w:val="122"/>
        <w:spacing w:after="120"/>
        <w:rPr>
          <w:rFonts w:hint="eastAsia" w:cs="宋体"/>
          <w:b w:val="0"/>
          <w:bCs/>
          <w:color w:val="000000"/>
          <w:sz w:val="21"/>
          <w:szCs w:val="21"/>
        </w:rPr>
      </w:pPr>
      <w:r>
        <w:rPr>
          <w:rFonts w:hint="eastAsia" w:cs="宋体"/>
          <w:b w:val="0"/>
          <w:bCs/>
          <w:color w:val="000000"/>
          <w:sz w:val="21"/>
          <w:szCs w:val="21"/>
        </w:rPr>
        <w:t>承包人违约的其他情形：。</w:t>
      </w:r>
    </w:p>
    <w:p w14:paraId="44B80947">
      <w:pPr>
        <w:pStyle w:val="122"/>
        <w:spacing w:after="120"/>
        <w:rPr>
          <w:rFonts w:hint="eastAsia" w:cs="宋体"/>
          <w:b w:val="0"/>
          <w:bCs/>
          <w:color w:val="000000"/>
          <w:sz w:val="21"/>
          <w:szCs w:val="21"/>
        </w:rPr>
      </w:pPr>
      <w:r>
        <w:rPr>
          <w:rFonts w:hint="eastAsia" w:cs="宋体"/>
          <w:b w:val="0"/>
          <w:bCs/>
          <w:color w:val="000000"/>
          <w:sz w:val="21"/>
          <w:szCs w:val="21"/>
        </w:rPr>
        <w:t>15.2.2通知改正</w:t>
      </w:r>
    </w:p>
    <w:p w14:paraId="30579715">
      <w:pPr>
        <w:pStyle w:val="122"/>
        <w:spacing w:after="120"/>
        <w:rPr>
          <w:rFonts w:hint="eastAsia" w:cs="宋体"/>
          <w:b w:val="0"/>
          <w:bCs/>
          <w:color w:val="000000"/>
          <w:sz w:val="21"/>
          <w:szCs w:val="21"/>
        </w:rPr>
      </w:pPr>
      <w:r>
        <w:rPr>
          <w:rFonts w:hint="eastAsia" w:cs="宋体"/>
          <w:b w:val="0"/>
          <w:bCs/>
          <w:color w:val="000000"/>
          <w:sz w:val="21"/>
          <w:szCs w:val="21"/>
        </w:rPr>
        <w:t>工程师通知承包人改正的合理期限是：。</w:t>
      </w:r>
    </w:p>
    <w:p w14:paraId="1FBDF2A7">
      <w:pPr>
        <w:pStyle w:val="122"/>
        <w:spacing w:after="120"/>
        <w:rPr>
          <w:rFonts w:hint="eastAsia" w:cs="宋体"/>
          <w:b w:val="0"/>
          <w:bCs/>
          <w:color w:val="000000"/>
          <w:sz w:val="21"/>
          <w:szCs w:val="21"/>
        </w:rPr>
      </w:pPr>
      <w:r>
        <w:rPr>
          <w:rFonts w:hint="eastAsia" w:cs="宋体"/>
          <w:b w:val="0"/>
          <w:bCs/>
          <w:color w:val="000000"/>
          <w:sz w:val="21"/>
          <w:szCs w:val="21"/>
        </w:rPr>
        <w:t>15.2.3承包人违约的责任</w:t>
      </w:r>
    </w:p>
    <w:p w14:paraId="4CDF02BB">
      <w:pPr>
        <w:pStyle w:val="122"/>
        <w:spacing w:after="120"/>
        <w:rPr>
          <w:rFonts w:hint="eastAsia" w:cs="宋体"/>
          <w:b w:val="0"/>
          <w:bCs/>
          <w:color w:val="000000"/>
          <w:sz w:val="21"/>
          <w:szCs w:val="21"/>
        </w:rPr>
      </w:pPr>
      <w:r>
        <w:rPr>
          <w:rFonts w:hint="eastAsia" w:cs="宋体"/>
          <w:b w:val="0"/>
          <w:bCs/>
          <w:color w:val="000000"/>
          <w:sz w:val="21"/>
          <w:szCs w:val="21"/>
        </w:rPr>
        <w:t>承包人违约责任的承担方式和计算方法：。</w:t>
      </w:r>
    </w:p>
    <w:p w14:paraId="436D2DBC">
      <w:pPr>
        <w:pStyle w:val="122"/>
        <w:spacing w:after="120"/>
        <w:rPr>
          <w:rFonts w:hint="eastAsia" w:cs="宋体"/>
          <w:b w:val="0"/>
          <w:bCs/>
          <w:color w:val="000000"/>
          <w:sz w:val="21"/>
          <w:szCs w:val="21"/>
        </w:rPr>
      </w:pPr>
      <w:r>
        <w:rPr>
          <w:rFonts w:hint="eastAsia" w:cs="宋体"/>
          <w:b w:val="0"/>
          <w:bCs/>
          <w:color w:val="000000"/>
          <w:sz w:val="21"/>
          <w:szCs w:val="21"/>
        </w:rPr>
        <w:t>第16条合同解除</w:t>
      </w:r>
    </w:p>
    <w:p w14:paraId="6A55EB02">
      <w:pPr>
        <w:pStyle w:val="122"/>
        <w:spacing w:after="120"/>
        <w:rPr>
          <w:rFonts w:hint="eastAsia" w:cs="宋体"/>
          <w:b w:val="0"/>
          <w:bCs/>
          <w:color w:val="000000"/>
          <w:sz w:val="21"/>
          <w:szCs w:val="21"/>
        </w:rPr>
      </w:pPr>
      <w:r>
        <w:rPr>
          <w:rFonts w:hint="eastAsia" w:cs="宋体"/>
          <w:b w:val="0"/>
          <w:bCs/>
          <w:color w:val="000000"/>
          <w:sz w:val="21"/>
          <w:szCs w:val="21"/>
        </w:rPr>
        <w:t>16.1由发包人解除合同</w:t>
      </w:r>
    </w:p>
    <w:p w14:paraId="57326103">
      <w:pPr>
        <w:pStyle w:val="122"/>
        <w:spacing w:after="120"/>
        <w:rPr>
          <w:rFonts w:hint="eastAsia" w:cs="宋体"/>
          <w:b w:val="0"/>
          <w:bCs/>
          <w:color w:val="000000"/>
          <w:sz w:val="21"/>
          <w:szCs w:val="21"/>
        </w:rPr>
      </w:pPr>
      <w:r>
        <w:rPr>
          <w:rFonts w:hint="eastAsia" w:cs="宋体"/>
          <w:b w:val="0"/>
          <w:bCs/>
          <w:color w:val="000000"/>
          <w:sz w:val="21"/>
          <w:szCs w:val="21"/>
        </w:rPr>
        <w:t>16.1.1因承包人违约解除合同</w:t>
      </w:r>
    </w:p>
    <w:p w14:paraId="4B932000">
      <w:pPr>
        <w:pStyle w:val="122"/>
        <w:spacing w:after="120"/>
        <w:rPr>
          <w:rFonts w:hint="eastAsia" w:cs="宋体"/>
          <w:b w:val="0"/>
          <w:bCs/>
          <w:color w:val="000000"/>
          <w:sz w:val="21"/>
          <w:szCs w:val="21"/>
        </w:rPr>
      </w:pPr>
      <w:r>
        <w:rPr>
          <w:rFonts w:hint="eastAsia" w:cs="宋体"/>
          <w:b w:val="0"/>
          <w:bCs/>
          <w:color w:val="000000"/>
          <w:sz w:val="21"/>
          <w:szCs w:val="21"/>
        </w:rPr>
        <w:t>双方约定可由发包人解除合同的其他事由：。</w:t>
      </w:r>
    </w:p>
    <w:p w14:paraId="2210A208">
      <w:pPr>
        <w:pStyle w:val="122"/>
        <w:spacing w:after="120"/>
        <w:rPr>
          <w:rFonts w:hint="eastAsia" w:cs="宋体"/>
          <w:b w:val="0"/>
          <w:bCs/>
          <w:color w:val="000000"/>
          <w:sz w:val="21"/>
          <w:szCs w:val="21"/>
        </w:rPr>
      </w:pPr>
      <w:r>
        <w:rPr>
          <w:rFonts w:hint="eastAsia" w:cs="宋体"/>
          <w:b w:val="0"/>
          <w:bCs/>
          <w:color w:val="000000"/>
          <w:sz w:val="21"/>
          <w:szCs w:val="21"/>
        </w:rPr>
        <w:t>16.2由承包人解除合同</w:t>
      </w:r>
    </w:p>
    <w:p w14:paraId="57B54C7A">
      <w:pPr>
        <w:pStyle w:val="122"/>
        <w:spacing w:after="120"/>
        <w:rPr>
          <w:rFonts w:hint="eastAsia" w:cs="宋体"/>
          <w:b w:val="0"/>
          <w:bCs/>
          <w:color w:val="000000"/>
          <w:sz w:val="21"/>
          <w:szCs w:val="21"/>
        </w:rPr>
      </w:pPr>
      <w:r>
        <w:rPr>
          <w:rFonts w:hint="eastAsia" w:cs="宋体"/>
          <w:b w:val="0"/>
          <w:bCs/>
          <w:color w:val="000000"/>
          <w:sz w:val="21"/>
          <w:szCs w:val="21"/>
        </w:rPr>
        <w:t>16.2.1因发包人违约解除合同</w:t>
      </w:r>
    </w:p>
    <w:p w14:paraId="51D7FECE">
      <w:pPr>
        <w:pStyle w:val="122"/>
        <w:spacing w:after="120"/>
        <w:rPr>
          <w:rFonts w:hint="eastAsia" w:cs="宋体"/>
          <w:b w:val="0"/>
          <w:bCs/>
          <w:color w:val="000000"/>
          <w:sz w:val="21"/>
          <w:szCs w:val="21"/>
        </w:rPr>
      </w:pPr>
      <w:r>
        <w:rPr>
          <w:rFonts w:hint="eastAsia" w:cs="宋体"/>
          <w:b w:val="0"/>
          <w:bCs/>
          <w:color w:val="000000"/>
          <w:sz w:val="21"/>
          <w:szCs w:val="21"/>
        </w:rPr>
        <w:t>双方约定可由承包人解除合同的其他事由：。</w:t>
      </w:r>
    </w:p>
    <w:p w14:paraId="27A76163">
      <w:pPr>
        <w:pStyle w:val="122"/>
        <w:spacing w:after="120"/>
        <w:rPr>
          <w:rFonts w:hint="eastAsia" w:cs="宋体"/>
          <w:b w:val="0"/>
          <w:bCs/>
          <w:color w:val="000000"/>
          <w:sz w:val="21"/>
          <w:szCs w:val="21"/>
        </w:rPr>
      </w:pPr>
      <w:r>
        <w:rPr>
          <w:rFonts w:hint="eastAsia" w:cs="宋体"/>
          <w:b w:val="0"/>
          <w:bCs/>
          <w:color w:val="000000"/>
          <w:sz w:val="21"/>
          <w:szCs w:val="21"/>
        </w:rPr>
        <w:t>第17条不可抗力</w:t>
      </w:r>
    </w:p>
    <w:p w14:paraId="73BF78E2">
      <w:pPr>
        <w:pStyle w:val="122"/>
        <w:spacing w:after="120"/>
        <w:rPr>
          <w:rFonts w:hint="eastAsia" w:cs="宋体"/>
          <w:b w:val="0"/>
          <w:bCs/>
          <w:color w:val="000000"/>
          <w:sz w:val="21"/>
          <w:szCs w:val="21"/>
        </w:rPr>
      </w:pPr>
      <w:r>
        <w:rPr>
          <w:rFonts w:hint="eastAsia" w:cs="宋体"/>
          <w:b w:val="0"/>
          <w:bCs/>
          <w:color w:val="000000"/>
          <w:sz w:val="21"/>
          <w:szCs w:val="21"/>
        </w:rPr>
        <w:t>17.1不可抗力的定义</w:t>
      </w:r>
    </w:p>
    <w:p w14:paraId="62B6BB2C">
      <w:pPr>
        <w:pStyle w:val="122"/>
        <w:spacing w:after="120"/>
        <w:rPr>
          <w:rFonts w:hint="eastAsia" w:cs="宋体"/>
          <w:b w:val="0"/>
          <w:bCs/>
          <w:color w:val="000000"/>
          <w:sz w:val="21"/>
          <w:szCs w:val="21"/>
        </w:rPr>
      </w:pPr>
      <w:r>
        <w:rPr>
          <w:rFonts w:hint="eastAsia" w:cs="宋体"/>
          <w:b w:val="0"/>
          <w:bCs/>
          <w:color w:val="000000"/>
          <w:sz w:val="21"/>
          <w:szCs w:val="21"/>
        </w:rPr>
        <w:t>除通用合同条件约定的不可抗力事件之外，视为不可抗力的其他情形：。</w:t>
      </w:r>
    </w:p>
    <w:p w14:paraId="36B8D9F0">
      <w:pPr>
        <w:pStyle w:val="122"/>
        <w:spacing w:after="120"/>
        <w:rPr>
          <w:rFonts w:hint="eastAsia" w:cs="宋体"/>
          <w:b w:val="0"/>
          <w:bCs/>
          <w:color w:val="000000"/>
          <w:sz w:val="21"/>
          <w:szCs w:val="21"/>
        </w:rPr>
      </w:pPr>
      <w:r>
        <w:rPr>
          <w:rFonts w:hint="eastAsia" w:cs="宋体"/>
          <w:b w:val="0"/>
          <w:bCs/>
          <w:color w:val="000000"/>
          <w:sz w:val="21"/>
          <w:szCs w:val="21"/>
        </w:rPr>
        <w:t>17.6因不可抗力解除合同</w:t>
      </w:r>
    </w:p>
    <w:p w14:paraId="13E7A48E">
      <w:pPr>
        <w:pStyle w:val="122"/>
        <w:spacing w:after="120"/>
        <w:rPr>
          <w:rFonts w:hint="eastAsia" w:cs="宋体"/>
          <w:b w:val="0"/>
          <w:bCs/>
          <w:color w:val="000000"/>
          <w:sz w:val="21"/>
          <w:szCs w:val="21"/>
        </w:rPr>
      </w:pPr>
      <w:r>
        <w:rPr>
          <w:rFonts w:hint="eastAsia" w:cs="宋体"/>
          <w:b w:val="0"/>
          <w:bCs/>
          <w:color w:val="000000"/>
          <w:sz w:val="21"/>
          <w:szCs w:val="21"/>
        </w:rPr>
        <w:t>合同解除后，发包人应当在商定或确定发包人应支付款项后的天内完成款项的支付。</w:t>
      </w:r>
    </w:p>
    <w:p w14:paraId="5E78D2E1">
      <w:pPr>
        <w:pStyle w:val="122"/>
        <w:spacing w:after="120"/>
        <w:rPr>
          <w:rFonts w:hint="eastAsia" w:cs="宋体"/>
          <w:b w:val="0"/>
          <w:bCs/>
          <w:color w:val="000000"/>
          <w:sz w:val="21"/>
          <w:szCs w:val="21"/>
        </w:rPr>
      </w:pPr>
      <w:r>
        <w:rPr>
          <w:rFonts w:hint="eastAsia" w:cs="宋体"/>
          <w:b w:val="0"/>
          <w:bCs/>
          <w:color w:val="000000"/>
          <w:sz w:val="21"/>
          <w:szCs w:val="21"/>
        </w:rPr>
        <w:t>第18条保险</w:t>
      </w:r>
    </w:p>
    <w:p w14:paraId="1BE65EF0">
      <w:pPr>
        <w:pStyle w:val="122"/>
        <w:spacing w:after="120"/>
        <w:rPr>
          <w:rFonts w:hint="eastAsia" w:cs="宋体"/>
          <w:b w:val="0"/>
          <w:bCs/>
          <w:color w:val="000000"/>
          <w:sz w:val="21"/>
          <w:szCs w:val="21"/>
        </w:rPr>
      </w:pPr>
      <w:r>
        <w:rPr>
          <w:rFonts w:hint="eastAsia" w:cs="宋体"/>
          <w:b w:val="0"/>
          <w:bCs/>
          <w:color w:val="000000"/>
          <w:sz w:val="21"/>
          <w:szCs w:val="21"/>
        </w:rPr>
        <w:t>18.1设计和工程保险</w:t>
      </w:r>
    </w:p>
    <w:p w14:paraId="6EB41AF4">
      <w:pPr>
        <w:pStyle w:val="122"/>
        <w:spacing w:after="120"/>
        <w:rPr>
          <w:rFonts w:hint="eastAsia" w:cs="宋体"/>
          <w:b w:val="0"/>
          <w:bCs/>
          <w:color w:val="000000"/>
          <w:sz w:val="21"/>
          <w:szCs w:val="21"/>
        </w:rPr>
      </w:pPr>
      <w:r>
        <w:rPr>
          <w:rFonts w:hint="eastAsia" w:cs="宋体"/>
          <w:b w:val="0"/>
          <w:bCs/>
          <w:color w:val="000000"/>
          <w:sz w:val="21"/>
          <w:szCs w:val="21"/>
        </w:rPr>
        <w:t>18.1.1双方当事人关于设计和工程保险的特别约定：。</w:t>
      </w:r>
    </w:p>
    <w:p w14:paraId="302CC028">
      <w:pPr>
        <w:pStyle w:val="122"/>
        <w:spacing w:after="120"/>
        <w:rPr>
          <w:rFonts w:hint="eastAsia" w:cs="宋体"/>
          <w:b w:val="0"/>
          <w:bCs/>
          <w:color w:val="000000"/>
          <w:sz w:val="21"/>
          <w:szCs w:val="21"/>
        </w:rPr>
      </w:pPr>
      <w:r>
        <w:rPr>
          <w:rFonts w:hint="eastAsia" w:cs="宋体"/>
          <w:b w:val="0"/>
          <w:bCs/>
          <w:color w:val="000000"/>
          <w:sz w:val="21"/>
          <w:szCs w:val="21"/>
        </w:rPr>
        <w:t>18.1.2双方当事人关于第三方责任险的特别约定：。</w:t>
      </w:r>
    </w:p>
    <w:p w14:paraId="2724EE2C">
      <w:pPr>
        <w:pStyle w:val="122"/>
        <w:spacing w:after="120"/>
        <w:rPr>
          <w:rFonts w:hint="eastAsia" w:cs="宋体"/>
          <w:b w:val="0"/>
          <w:bCs/>
          <w:color w:val="000000"/>
          <w:sz w:val="21"/>
          <w:szCs w:val="21"/>
        </w:rPr>
      </w:pPr>
      <w:r>
        <w:rPr>
          <w:rFonts w:hint="eastAsia" w:cs="宋体"/>
          <w:b w:val="0"/>
          <w:bCs/>
          <w:color w:val="000000"/>
          <w:sz w:val="21"/>
          <w:szCs w:val="21"/>
        </w:rPr>
        <w:t>18.2工伤和意外伤害保险</w:t>
      </w:r>
    </w:p>
    <w:p w14:paraId="704D7193">
      <w:pPr>
        <w:pStyle w:val="122"/>
        <w:spacing w:after="120"/>
        <w:rPr>
          <w:rFonts w:hint="eastAsia" w:cs="宋体"/>
          <w:b w:val="0"/>
          <w:bCs/>
          <w:color w:val="000000"/>
          <w:sz w:val="21"/>
          <w:szCs w:val="21"/>
        </w:rPr>
      </w:pPr>
      <w:r>
        <w:rPr>
          <w:rFonts w:hint="eastAsia" w:cs="宋体"/>
          <w:b w:val="0"/>
          <w:bCs/>
          <w:color w:val="000000"/>
          <w:sz w:val="21"/>
          <w:szCs w:val="21"/>
        </w:rPr>
        <w:t>18.2.3关于工伤保险和意外伤害保险的特别约定：。</w:t>
      </w:r>
    </w:p>
    <w:p w14:paraId="1EEFAE87">
      <w:pPr>
        <w:pStyle w:val="122"/>
        <w:spacing w:after="120"/>
        <w:rPr>
          <w:rFonts w:hint="eastAsia" w:cs="宋体"/>
          <w:b w:val="0"/>
          <w:bCs/>
          <w:color w:val="000000"/>
          <w:sz w:val="21"/>
          <w:szCs w:val="21"/>
        </w:rPr>
      </w:pPr>
      <w:r>
        <w:rPr>
          <w:rFonts w:hint="eastAsia" w:cs="宋体"/>
          <w:b w:val="0"/>
          <w:bCs/>
          <w:color w:val="000000"/>
          <w:sz w:val="21"/>
          <w:szCs w:val="21"/>
        </w:rPr>
        <w:t>18.3货物保险</w:t>
      </w:r>
    </w:p>
    <w:p w14:paraId="569C7815">
      <w:pPr>
        <w:pStyle w:val="122"/>
        <w:spacing w:after="120"/>
        <w:rPr>
          <w:rFonts w:hint="eastAsia" w:cs="宋体"/>
          <w:b w:val="0"/>
          <w:bCs/>
          <w:color w:val="000000"/>
          <w:sz w:val="21"/>
          <w:szCs w:val="21"/>
        </w:rPr>
      </w:pPr>
      <w:r>
        <w:rPr>
          <w:rFonts w:hint="eastAsia" w:cs="宋体"/>
          <w:b w:val="0"/>
          <w:bCs/>
          <w:color w:val="000000"/>
          <w:sz w:val="21"/>
          <w:szCs w:val="21"/>
        </w:rPr>
        <w:t>关于承包人应为其施工设备、材料、工程设备和临时工程等办理财产保险的特别约定：。</w:t>
      </w:r>
    </w:p>
    <w:p w14:paraId="0B0E063A">
      <w:pPr>
        <w:pStyle w:val="122"/>
        <w:spacing w:after="120"/>
        <w:rPr>
          <w:rFonts w:hint="eastAsia" w:cs="宋体"/>
          <w:b w:val="0"/>
          <w:bCs/>
          <w:color w:val="000000"/>
          <w:sz w:val="21"/>
          <w:szCs w:val="21"/>
        </w:rPr>
      </w:pPr>
      <w:r>
        <w:rPr>
          <w:rFonts w:hint="eastAsia" w:cs="宋体"/>
          <w:b w:val="0"/>
          <w:bCs/>
          <w:color w:val="000000"/>
          <w:sz w:val="21"/>
          <w:szCs w:val="21"/>
        </w:rPr>
        <w:t>18.4其他保险</w:t>
      </w:r>
    </w:p>
    <w:p w14:paraId="78AD7244">
      <w:pPr>
        <w:pStyle w:val="122"/>
        <w:spacing w:after="120"/>
        <w:rPr>
          <w:rFonts w:hint="eastAsia" w:cs="宋体"/>
          <w:b w:val="0"/>
          <w:bCs/>
          <w:color w:val="000000"/>
          <w:sz w:val="21"/>
          <w:szCs w:val="21"/>
        </w:rPr>
      </w:pPr>
      <w:r>
        <w:rPr>
          <w:rFonts w:hint="eastAsia" w:cs="宋体"/>
          <w:b w:val="0"/>
          <w:bCs/>
          <w:color w:val="000000"/>
          <w:sz w:val="21"/>
          <w:szCs w:val="21"/>
        </w:rPr>
        <w:t>关于其他保险的约定：。</w:t>
      </w:r>
    </w:p>
    <w:p w14:paraId="2983A66C">
      <w:pPr>
        <w:pStyle w:val="122"/>
        <w:spacing w:after="120"/>
        <w:rPr>
          <w:rFonts w:hint="eastAsia" w:cs="宋体"/>
          <w:b w:val="0"/>
          <w:bCs/>
          <w:color w:val="000000"/>
          <w:sz w:val="21"/>
          <w:szCs w:val="21"/>
        </w:rPr>
      </w:pPr>
      <w:r>
        <w:rPr>
          <w:rFonts w:hint="eastAsia" w:cs="宋体"/>
          <w:b w:val="0"/>
          <w:bCs/>
          <w:color w:val="000000"/>
          <w:sz w:val="21"/>
          <w:szCs w:val="21"/>
        </w:rPr>
        <w:t>18.5对各项保险的一般要求</w:t>
      </w:r>
    </w:p>
    <w:p w14:paraId="4553D8CF">
      <w:pPr>
        <w:pStyle w:val="122"/>
        <w:spacing w:after="120"/>
        <w:rPr>
          <w:rFonts w:hint="eastAsia" w:cs="宋体"/>
          <w:b w:val="0"/>
          <w:bCs/>
          <w:color w:val="000000"/>
          <w:sz w:val="21"/>
          <w:szCs w:val="21"/>
        </w:rPr>
      </w:pPr>
      <w:r>
        <w:rPr>
          <w:rFonts w:hint="eastAsia" w:cs="宋体"/>
          <w:b w:val="0"/>
          <w:bCs/>
          <w:color w:val="000000"/>
          <w:sz w:val="21"/>
          <w:szCs w:val="21"/>
        </w:rPr>
        <w:t>18.5.2保险凭证</w:t>
      </w:r>
    </w:p>
    <w:p w14:paraId="25036080">
      <w:pPr>
        <w:pStyle w:val="122"/>
        <w:spacing w:after="120"/>
        <w:rPr>
          <w:rFonts w:hint="eastAsia" w:cs="宋体"/>
          <w:b w:val="0"/>
          <w:bCs/>
          <w:color w:val="000000"/>
          <w:sz w:val="21"/>
          <w:szCs w:val="21"/>
        </w:rPr>
      </w:pPr>
      <w:r>
        <w:rPr>
          <w:rFonts w:hint="eastAsia" w:cs="宋体"/>
          <w:b w:val="0"/>
          <w:bCs/>
          <w:color w:val="000000"/>
          <w:sz w:val="21"/>
          <w:szCs w:val="21"/>
        </w:rPr>
        <w:t>保险单的条件：。</w:t>
      </w:r>
    </w:p>
    <w:p w14:paraId="2D64CEA3">
      <w:pPr>
        <w:pStyle w:val="122"/>
        <w:spacing w:after="120"/>
        <w:rPr>
          <w:rFonts w:hint="eastAsia" w:cs="宋体"/>
          <w:b w:val="0"/>
          <w:bCs/>
          <w:color w:val="000000"/>
          <w:sz w:val="21"/>
          <w:szCs w:val="21"/>
        </w:rPr>
      </w:pPr>
      <w:r>
        <w:rPr>
          <w:rFonts w:hint="eastAsia" w:cs="宋体"/>
          <w:b w:val="0"/>
          <w:bCs/>
          <w:color w:val="000000"/>
          <w:sz w:val="21"/>
          <w:szCs w:val="21"/>
        </w:rPr>
        <w:t>18.5.4通知义务</w:t>
      </w:r>
    </w:p>
    <w:p w14:paraId="7053653D">
      <w:pPr>
        <w:pStyle w:val="122"/>
        <w:spacing w:after="120"/>
        <w:rPr>
          <w:rFonts w:hint="eastAsia" w:cs="宋体"/>
          <w:b w:val="0"/>
          <w:bCs/>
          <w:color w:val="000000"/>
          <w:sz w:val="21"/>
          <w:szCs w:val="21"/>
        </w:rPr>
      </w:pPr>
      <w:r>
        <w:rPr>
          <w:rFonts w:hint="eastAsia" w:cs="宋体"/>
          <w:b w:val="0"/>
          <w:bCs/>
          <w:color w:val="000000"/>
          <w:sz w:val="21"/>
          <w:szCs w:val="21"/>
        </w:rPr>
        <w:t>关于变更保险合同时的通知义务的约定：。</w:t>
      </w:r>
    </w:p>
    <w:p w14:paraId="7C1ABB4E">
      <w:pPr>
        <w:pStyle w:val="122"/>
        <w:spacing w:after="120"/>
        <w:rPr>
          <w:rFonts w:hint="eastAsia" w:cs="宋体"/>
          <w:b w:val="0"/>
          <w:bCs/>
          <w:color w:val="000000"/>
          <w:sz w:val="21"/>
          <w:szCs w:val="21"/>
        </w:rPr>
      </w:pPr>
      <w:r>
        <w:rPr>
          <w:rFonts w:hint="eastAsia" w:cs="宋体"/>
          <w:b w:val="0"/>
          <w:bCs/>
          <w:color w:val="000000"/>
          <w:sz w:val="21"/>
          <w:szCs w:val="21"/>
        </w:rPr>
        <w:t>第20条争议解决</w:t>
      </w:r>
    </w:p>
    <w:p w14:paraId="0656E413">
      <w:pPr>
        <w:pStyle w:val="122"/>
        <w:spacing w:after="120"/>
        <w:rPr>
          <w:rFonts w:hint="eastAsia" w:cs="宋体"/>
          <w:b w:val="0"/>
          <w:bCs/>
          <w:color w:val="000000"/>
          <w:sz w:val="21"/>
          <w:szCs w:val="21"/>
        </w:rPr>
      </w:pPr>
      <w:r>
        <w:rPr>
          <w:rFonts w:hint="eastAsia" w:cs="宋体"/>
          <w:b w:val="0"/>
          <w:bCs/>
          <w:color w:val="000000"/>
          <w:sz w:val="21"/>
          <w:szCs w:val="21"/>
        </w:rPr>
        <w:t>20.3争议评审</w:t>
      </w:r>
    </w:p>
    <w:p w14:paraId="7FAB9832">
      <w:pPr>
        <w:pStyle w:val="122"/>
        <w:spacing w:after="120"/>
        <w:rPr>
          <w:rFonts w:hint="eastAsia" w:cs="宋体"/>
          <w:b w:val="0"/>
          <w:bCs/>
          <w:color w:val="000000"/>
          <w:sz w:val="21"/>
          <w:szCs w:val="21"/>
        </w:rPr>
      </w:pPr>
      <w:r>
        <w:rPr>
          <w:rFonts w:hint="eastAsia" w:cs="宋体"/>
          <w:b w:val="0"/>
          <w:bCs/>
          <w:color w:val="000000"/>
          <w:sz w:val="21"/>
          <w:szCs w:val="21"/>
        </w:rPr>
        <w:t>合同当事人是否同意将工程争议提交争议评审小组决定：。</w:t>
      </w:r>
    </w:p>
    <w:p w14:paraId="58700733">
      <w:pPr>
        <w:pStyle w:val="122"/>
        <w:spacing w:after="120"/>
        <w:rPr>
          <w:rFonts w:hint="eastAsia" w:cs="宋体"/>
          <w:b w:val="0"/>
          <w:bCs/>
          <w:color w:val="000000"/>
          <w:sz w:val="21"/>
          <w:szCs w:val="21"/>
        </w:rPr>
      </w:pPr>
      <w:r>
        <w:rPr>
          <w:rFonts w:hint="eastAsia" w:cs="宋体"/>
          <w:b w:val="0"/>
          <w:bCs/>
          <w:color w:val="000000"/>
          <w:sz w:val="21"/>
          <w:szCs w:val="21"/>
        </w:rPr>
        <w:t>20.3.1争议评审小组的确定</w:t>
      </w:r>
    </w:p>
    <w:p w14:paraId="532498E1">
      <w:pPr>
        <w:pStyle w:val="122"/>
        <w:spacing w:after="120"/>
        <w:rPr>
          <w:rFonts w:hint="eastAsia" w:cs="宋体"/>
          <w:b w:val="0"/>
          <w:bCs/>
          <w:color w:val="000000"/>
          <w:sz w:val="21"/>
          <w:szCs w:val="21"/>
        </w:rPr>
      </w:pPr>
      <w:r>
        <w:rPr>
          <w:rFonts w:hint="eastAsia" w:cs="宋体"/>
          <w:b w:val="0"/>
          <w:bCs/>
          <w:color w:val="000000"/>
          <w:sz w:val="21"/>
          <w:szCs w:val="21"/>
        </w:rPr>
        <w:t>争议评审小组成员的人数：。</w:t>
      </w:r>
    </w:p>
    <w:p w14:paraId="58862356">
      <w:pPr>
        <w:pStyle w:val="122"/>
        <w:spacing w:after="120"/>
        <w:rPr>
          <w:rFonts w:hint="eastAsia" w:cs="宋体"/>
          <w:b w:val="0"/>
          <w:bCs/>
          <w:color w:val="000000"/>
          <w:sz w:val="21"/>
          <w:szCs w:val="21"/>
        </w:rPr>
      </w:pPr>
      <w:r>
        <w:rPr>
          <w:rFonts w:hint="eastAsia" w:cs="宋体"/>
          <w:b w:val="0"/>
          <w:bCs/>
          <w:color w:val="000000"/>
          <w:sz w:val="21"/>
          <w:szCs w:val="21"/>
        </w:rPr>
        <w:t>争议评审小组成员的确定：。</w:t>
      </w:r>
    </w:p>
    <w:p w14:paraId="774B1F9C">
      <w:pPr>
        <w:pStyle w:val="122"/>
        <w:spacing w:after="120"/>
        <w:rPr>
          <w:rFonts w:hint="eastAsia" w:cs="宋体"/>
          <w:b w:val="0"/>
          <w:bCs/>
          <w:color w:val="000000"/>
          <w:sz w:val="21"/>
          <w:szCs w:val="21"/>
        </w:rPr>
      </w:pPr>
      <w:r>
        <w:rPr>
          <w:rFonts w:hint="eastAsia" w:cs="宋体"/>
          <w:b w:val="0"/>
          <w:bCs/>
          <w:color w:val="000000"/>
          <w:sz w:val="21"/>
          <w:szCs w:val="21"/>
        </w:rPr>
        <w:t>选定争议避免/评审组的期限：。</w:t>
      </w:r>
    </w:p>
    <w:p w14:paraId="60DB035C">
      <w:pPr>
        <w:pStyle w:val="122"/>
        <w:spacing w:after="120"/>
        <w:rPr>
          <w:rFonts w:hint="eastAsia" w:cs="宋体"/>
          <w:b w:val="0"/>
          <w:bCs/>
          <w:color w:val="000000"/>
          <w:sz w:val="21"/>
          <w:szCs w:val="21"/>
        </w:rPr>
      </w:pPr>
      <w:r>
        <w:rPr>
          <w:rFonts w:hint="eastAsia" w:cs="宋体"/>
          <w:b w:val="0"/>
          <w:bCs/>
          <w:color w:val="000000"/>
          <w:sz w:val="21"/>
          <w:szCs w:val="21"/>
        </w:rPr>
        <w:t>评审机构：。</w:t>
      </w:r>
    </w:p>
    <w:p w14:paraId="17F18C22">
      <w:pPr>
        <w:pStyle w:val="122"/>
        <w:spacing w:after="120"/>
        <w:rPr>
          <w:rFonts w:hint="eastAsia" w:cs="宋体"/>
          <w:b w:val="0"/>
          <w:bCs/>
          <w:color w:val="000000"/>
          <w:sz w:val="21"/>
          <w:szCs w:val="21"/>
        </w:rPr>
      </w:pPr>
      <w:r>
        <w:rPr>
          <w:rFonts w:hint="eastAsia" w:cs="宋体"/>
          <w:b w:val="0"/>
          <w:bCs/>
          <w:color w:val="000000"/>
          <w:sz w:val="21"/>
          <w:szCs w:val="21"/>
        </w:rPr>
        <w:t>其他事项的约定：。</w:t>
      </w:r>
    </w:p>
    <w:p w14:paraId="56BBE209">
      <w:pPr>
        <w:pStyle w:val="122"/>
        <w:spacing w:after="120"/>
        <w:rPr>
          <w:rFonts w:hint="eastAsia" w:cs="宋体"/>
          <w:b w:val="0"/>
          <w:bCs/>
          <w:color w:val="000000"/>
          <w:sz w:val="21"/>
          <w:szCs w:val="21"/>
        </w:rPr>
      </w:pPr>
      <w:r>
        <w:rPr>
          <w:rFonts w:hint="eastAsia" w:cs="宋体"/>
          <w:b w:val="0"/>
          <w:bCs/>
          <w:color w:val="000000"/>
          <w:sz w:val="21"/>
          <w:szCs w:val="21"/>
        </w:rPr>
        <w:t>争议评审员报酬的承担人：。</w:t>
      </w:r>
    </w:p>
    <w:p w14:paraId="3F329370">
      <w:pPr>
        <w:pStyle w:val="122"/>
        <w:spacing w:after="120"/>
        <w:rPr>
          <w:rFonts w:hint="eastAsia" w:cs="宋体"/>
          <w:b w:val="0"/>
          <w:bCs/>
          <w:color w:val="000000"/>
          <w:sz w:val="21"/>
          <w:szCs w:val="21"/>
        </w:rPr>
      </w:pPr>
      <w:r>
        <w:rPr>
          <w:rFonts w:hint="eastAsia" w:cs="宋体"/>
          <w:b w:val="0"/>
          <w:bCs/>
          <w:color w:val="000000"/>
          <w:sz w:val="21"/>
          <w:szCs w:val="21"/>
        </w:rPr>
        <w:t>20.3.2争议的避免</w:t>
      </w:r>
    </w:p>
    <w:p w14:paraId="359FE7FE">
      <w:pPr>
        <w:pStyle w:val="122"/>
        <w:spacing w:after="120"/>
        <w:rPr>
          <w:rFonts w:hint="eastAsia" w:cs="宋体"/>
          <w:b w:val="0"/>
          <w:bCs/>
          <w:color w:val="000000"/>
          <w:sz w:val="21"/>
          <w:szCs w:val="21"/>
        </w:rPr>
      </w:pPr>
      <w:r>
        <w:rPr>
          <w:rFonts w:hint="eastAsia" w:cs="宋体"/>
          <w:b w:val="0"/>
          <w:bCs/>
          <w:color w:val="000000"/>
          <w:sz w:val="21"/>
          <w:szCs w:val="21"/>
        </w:rPr>
        <w:t>发包人和承包人是否均出席争议避免的非正式讨论：。</w:t>
      </w:r>
    </w:p>
    <w:p w14:paraId="530B99C2">
      <w:pPr>
        <w:pStyle w:val="122"/>
        <w:spacing w:after="120"/>
        <w:rPr>
          <w:rFonts w:hint="eastAsia" w:cs="宋体"/>
          <w:b w:val="0"/>
          <w:bCs/>
          <w:color w:val="000000"/>
          <w:sz w:val="21"/>
          <w:szCs w:val="21"/>
        </w:rPr>
      </w:pPr>
      <w:r>
        <w:rPr>
          <w:rFonts w:hint="eastAsia" w:cs="宋体"/>
          <w:b w:val="0"/>
          <w:bCs/>
          <w:color w:val="000000"/>
          <w:sz w:val="21"/>
          <w:szCs w:val="21"/>
        </w:rPr>
        <w:t>20.3.3争议评审小组的决定</w:t>
      </w:r>
    </w:p>
    <w:p w14:paraId="546140D7">
      <w:pPr>
        <w:pStyle w:val="122"/>
        <w:spacing w:after="120"/>
        <w:rPr>
          <w:rFonts w:hint="eastAsia" w:cs="宋体"/>
          <w:b w:val="0"/>
          <w:bCs/>
          <w:color w:val="000000"/>
          <w:sz w:val="21"/>
          <w:szCs w:val="21"/>
        </w:rPr>
      </w:pPr>
      <w:r>
        <w:rPr>
          <w:rFonts w:hint="eastAsia" w:cs="宋体"/>
          <w:b w:val="0"/>
          <w:bCs/>
          <w:color w:val="000000"/>
          <w:sz w:val="21"/>
          <w:szCs w:val="21"/>
        </w:rPr>
        <w:t>关于争议评审小组的决定的特别约定：。</w:t>
      </w:r>
    </w:p>
    <w:p w14:paraId="31EC2186">
      <w:pPr>
        <w:pStyle w:val="122"/>
        <w:spacing w:after="120"/>
        <w:rPr>
          <w:rFonts w:hint="eastAsia" w:cs="宋体"/>
          <w:b w:val="0"/>
          <w:bCs/>
          <w:color w:val="000000"/>
          <w:sz w:val="21"/>
          <w:szCs w:val="21"/>
        </w:rPr>
      </w:pPr>
      <w:r>
        <w:rPr>
          <w:rFonts w:hint="eastAsia" w:cs="宋体"/>
          <w:b w:val="0"/>
          <w:bCs/>
          <w:color w:val="000000"/>
          <w:sz w:val="21"/>
          <w:szCs w:val="21"/>
        </w:rPr>
        <w:t>20.4仲裁或诉讼</w:t>
      </w:r>
    </w:p>
    <w:p w14:paraId="7FFBC218">
      <w:pPr>
        <w:pStyle w:val="122"/>
        <w:spacing w:after="120"/>
        <w:rPr>
          <w:rFonts w:hint="eastAsia" w:cs="宋体"/>
          <w:b w:val="0"/>
          <w:bCs/>
          <w:color w:val="000000"/>
          <w:sz w:val="21"/>
          <w:szCs w:val="21"/>
        </w:rPr>
      </w:pPr>
      <w:r>
        <w:rPr>
          <w:rFonts w:hint="eastAsia" w:cs="宋体"/>
          <w:b w:val="0"/>
          <w:bCs/>
          <w:color w:val="000000"/>
          <w:sz w:val="21"/>
          <w:szCs w:val="21"/>
        </w:rPr>
        <w:t>因合同及合同有关事项发生的争议，按下列第(2)种方式解决：</w:t>
      </w:r>
    </w:p>
    <w:p w14:paraId="7E30DDE9">
      <w:pPr>
        <w:pStyle w:val="122"/>
        <w:spacing w:after="120"/>
        <w:rPr>
          <w:rFonts w:hint="eastAsia" w:cs="宋体"/>
          <w:b w:val="0"/>
          <w:bCs/>
          <w:color w:val="000000"/>
          <w:sz w:val="21"/>
          <w:szCs w:val="21"/>
        </w:rPr>
      </w:pPr>
      <w:r>
        <w:rPr>
          <w:rFonts w:hint="eastAsia" w:cs="宋体"/>
          <w:b w:val="0"/>
          <w:bCs/>
          <w:color w:val="000000"/>
          <w:sz w:val="21"/>
          <w:szCs w:val="21"/>
        </w:rPr>
        <w:t>（1）向/仲裁委员会申请仲裁；</w:t>
      </w:r>
    </w:p>
    <w:p w14:paraId="050BEF67">
      <w:pPr>
        <w:rPr>
          <w:rFonts w:hint="eastAsia" w:ascii="宋体" w:hAnsi="宋体" w:cs="宋体"/>
          <w:color w:val="000000"/>
          <w:szCs w:val="21"/>
        </w:rPr>
        <w:sectPr>
          <w:headerReference r:id="rId10" w:type="default"/>
          <w:pgSz w:w="11906" w:h="16838"/>
          <w:pgMar w:top="1440" w:right="1800" w:bottom="1440" w:left="1800" w:header="720" w:footer="998" w:gutter="0"/>
          <w:pgNumType w:fmt="decimal"/>
          <w:cols w:space="720" w:num="1"/>
          <w:docGrid w:linePitch="326" w:charSpace="0"/>
        </w:sectPr>
      </w:pPr>
      <w:r>
        <w:rPr>
          <w:rFonts w:hint="eastAsia" w:cs="宋体"/>
          <w:b w:val="0"/>
          <w:bCs/>
          <w:color w:val="000000"/>
          <w:sz w:val="21"/>
          <w:szCs w:val="21"/>
        </w:rPr>
        <w:t>（2）向项目所在地人民法院起诉。</w:t>
      </w:r>
    </w:p>
    <w:p w14:paraId="52CCDAD1">
      <w:pPr>
        <w:pStyle w:val="2"/>
        <w:jc w:val="center"/>
        <w:rPr>
          <w:rFonts w:hint="eastAsia" w:cs="宋体"/>
          <w:color w:val="000000" w:themeColor="text1"/>
          <w:sz w:val="21"/>
          <w:szCs w:val="21"/>
          <w14:textFill>
            <w14:solidFill>
              <w14:schemeClr w14:val="tx1"/>
            </w14:solidFill>
          </w14:textFill>
        </w:rPr>
      </w:pPr>
      <w:bookmarkStart w:id="1326" w:name="_Toc100907493"/>
      <w:bookmarkStart w:id="1327" w:name="_Toc18342"/>
      <w:bookmarkStart w:id="1328" w:name="_Toc100907167"/>
      <w:r>
        <w:rPr>
          <w:rFonts w:hint="eastAsia" w:cs="宋体"/>
          <w:color w:val="000000" w:themeColor="text1"/>
          <w:sz w:val="21"/>
          <w:szCs w:val="21"/>
          <w14:textFill>
            <w14:solidFill>
              <w14:schemeClr w14:val="tx1"/>
            </w14:solidFill>
          </w14:textFill>
        </w:rPr>
        <w:t>专用合同条件附件</w:t>
      </w:r>
      <w:bookmarkEnd w:id="1326"/>
      <w:bookmarkEnd w:id="1327"/>
      <w:bookmarkEnd w:id="1328"/>
    </w:p>
    <w:p w14:paraId="7639AD77">
      <w:pPr>
        <w:rPr>
          <w:rFonts w:hint="eastAsia" w:ascii="宋体" w:hAnsi="宋体" w:cs="宋体"/>
          <w:color w:val="000000" w:themeColor="text1"/>
          <w:szCs w:val="21"/>
          <w14:textFill>
            <w14:solidFill>
              <w14:schemeClr w14:val="tx1"/>
            </w14:solidFill>
          </w14:textFill>
        </w:rPr>
      </w:pPr>
    </w:p>
    <w:p w14:paraId="2525180C">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附件1：发包人要求</w:t>
      </w:r>
    </w:p>
    <w:p w14:paraId="169830FF">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附件2：发包人供应材料设备一览表</w:t>
      </w:r>
    </w:p>
    <w:p w14:paraId="4B8EC45D">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附件3：工程质量保修书</w:t>
      </w:r>
    </w:p>
    <w:p w14:paraId="012D62F4">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附件4：主要建设工程文件目录</w:t>
      </w:r>
    </w:p>
    <w:p w14:paraId="0C5934B8">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附件5：承包人主要管理人员表</w:t>
      </w:r>
    </w:p>
    <w:p w14:paraId="2F82543A">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附件6：价格指数权重表</w:t>
      </w:r>
    </w:p>
    <w:p w14:paraId="08EA188A">
      <w:pPr>
        <w:rPr>
          <w:rFonts w:hint="eastAsia" w:ascii="宋体" w:hAnsi="宋体" w:cs="宋体"/>
          <w:color w:val="000000" w:themeColor="text1"/>
          <w:szCs w:val="21"/>
          <w14:textFill>
            <w14:solidFill>
              <w14:schemeClr w14:val="tx1"/>
            </w14:solidFill>
          </w14:textFill>
        </w:rPr>
      </w:pPr>
    </w:p>
    <w:p w14:paraId="5FD23C8B">
      <w:pPr>
        <w:rPr>
          <w:rFonts w:hint="eastAsia" w:ascii="宋体" w:hAnsi="宋体" w:cs="宋体"/>
          <w:color w:val="000000" w:themeColor="text1"/>
          <w:szCs w:val="21"/>
          <w14:textFill>
            <w14:solidFill>
              <w14:schemeClr w14:val="tx1"/>
            </w14:solidFill>
          </w14:textFill>
        </w:rPr>
      </w:pPr>
    </w:p>
    <w:p w14:paraId="73CFE01A">
      <w:pPr>
        <w:rPr>
          <w:rFonts w:hint="eastAsia" w:ascii="宋体" w:hAnsi="宋体" w:cs="宋体"/>
          <w:color w:val="000000" w:themeColor="text1"/>
          <w:szCs w:val="21"/>
          <w14:textFill>
            <w14:solidFill>
              <w14:schemeClr w14:val="tx1"/>
            </w14:solidFill>
          </w14:textFill>
        </w:rPr>
      </w:pPr>
    </w:p>
    <w:p w14:paraId="52EA6B63">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br w:type="page"/>
      </w:r>
    </w:p>
    <w:p w14:paraId="636DA2F0">
      <w:pPr>
        <w:pStyle w:val="112"/>
        <w:numPr>
          <w:ilvl w:val="0"/>
          <w:numId w:val="0"/>
        </w:numPr>
        <w:spacing w:after="120"/>
        <w:rPr>
          <w:rFonts w:hint="eastAsia" w:ascii="宋体" w:hAnsi="宋体" w:eastAsia="宋体" w:cs="宋体"/>
          <w:color w:val="000000" w:themeColor="text1"/>
          <w:sz w:val="21"/>
          <w:szCs w:val="21"/>
          <w14:textFill>
            <w14:solidFill>
              <w14:schemeClr w14:val="tx1"/>
            </w14:solidFill>
          </w14:textFill>
        </w:rPr>
      </w:pPr>
      <w:bookmarkStart w:id="1329" w:name="_Toc100907494"/>
      <w:bookmarkStart w:id="1330" w:name="_Toc100907168"/>
      <w:bookmarkStart w:id="1331" w:name="_Toc32599"/>
      <w:r>
        <w:rPr>
          <w:rFonts w:hint="eastAsia" w:ascii="宋体" w:hAnsi="宋体" w:eastAsia="宋体" w:cs="宋体"/>
          <w:color w:val="000000" w:themeColor="text1"/>
          <w:sz w:val="21"/>
          <w:szCs w:val="21"/>
          <w14:textFill>
            <w14:solidFill>
              <w14:schemeClr w14:val="tx1"/>
            </w14:solidFill>
          </w14:textFill>
        </w:rPr>
        <w:t>附件1 《发包人要求》</w:t>
      </w:r>
      <w:bookmarkEnd w:id="1329"/>
      <w:bookmarkEnd w:id="1330"/>
      <w:bookmarkEnd w:id="1331"/>
    </w:p>
    <w:p w14:paraId="6D277E7F">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包人要求》应尽可能清晰准确，对于可以进行定量评估的工作，《发包人要求》不仅应明确规定其产能、功能、用途、质量、环境、安全，并且要规定偏离的范围和计算方法，以及检验、试验、试运行的具体要求。对于承包人负责提供的有关设备和服务，对发包人人员进行培训和提供一些消耗品等，在《发包人要求》中应一并明确规定。</w:t>
      </w:r>
    </w:p>
    <w:p w14:paraId="212338A5">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《发包人要求》通常包括但不限于以下内容：</w:t>
      </w:r>
    </w:p>
    <w:p w14:paraId="2A828525">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一、功能要求</w:t>
      </w:r>
    </w:p>
    <w:p w14:paraId="638C6690">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（一）工程目的。</w:t>
      </w:r>
    </w:p>
    <w:p w14:paraId="37ACB13A">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（二）工程规模。</w:t>
      </w:r>
    </w:p>
    <w:p w14:paraId="6A2D47C6">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（三）性能保证指标（性能保证表）。</w:t>
      </w:r>
    </w:p>
    <w:p w14:paraId="5119AB68">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（四）产能保证指标。</w:t>
      </w:r>
    </w:p>
    <w:p w14:paraId="0BE3F2A9">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二、工程范围</w:t>
      </w:r>
    </w:p>
    <w:p w14:paraId="613BFDFC">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（一）概述</w:t>
      </w:r>
    </w:p>
    <w:p w14:paraId="3B017F4D">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（二）包括的工作</w:t>
      </w:r>
    </w:p>
    <w:p w14:paraId="2B720F20">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 永久工程的设计、采购、施工范围。</w:t>
      </w:r>
    </w:p>
    <w:p w14:paraId="2616BEC8">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 临时工程的设计与施工范围。</w:t>
      </w:r>
    </w:p>
    <w:p w14:paraId="06453187">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 竣工验收工作范围。</w:t>
      </w:r>
    </w:p>
    <w:p w14:paraId="01C715BD">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 技术服务工作范围。</w:t>
      </w:r>
    </w:p>
    <w:p w14:paraId="12758E62">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 培训工作范围。</w:t>
      </w:r>
    </w:p>
    <w:p w14:paraId="3ED0FC04">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 保修工作范围。</w:t>
      </w:r>
    </w:p>
    <w:p w14:paraId="773BF6BA">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（三）工作界区</w:t>
      </w:r>
    </w:p>
    <w:p w14:paraId="1A3CF9A9">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（四）发包人提供的现场条件</w:t>
      </w:r>
    </w:p>
    <w:p w14:paraId="2AD9B500">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 施工用电。</w:t>
      </w:r>
    </w:p>
    <w:p w14:paraId="3859965A">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 施工用水。</w:t>
      </w:r>
    </w:p>
    <w:p w14:paraId="5DF1DC46">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 施工排水。</w:t>
      </w:r>
    </w:p>
    <w:p w14:paraId="0A7657A3">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 施工道路。</w:t>
      </w:r>
    </w:p>
    <w:p w14:paraId="3E70EC26">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（五）发包人提供的技术文件</w:t>
      </w:r>
    </w:p>
    <w:p w14:paraId="3453EAF8">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除另有批准外，承包人的工作需要遵照发包人的下列技术文件:</w:t>
      </w:r>
    </w:p>
    <w:p w14:paraId="29C7B0B5">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 发包人需求任务书。</w:t>
      </w:r>
    </w:p>
    <w:p w14:paraId="69CEE21D">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 发包人已完成的设计文件。</w:t>
      </w:r>
    </w:p>
    <w:p w14:paraId="3FE7C7DD">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三、工艺安排或要求（如有）</w:t>
      </w:r>
    </w:p>
    <w:p w14:paraId="3A7E0FF4">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四、时间要求</w:t>
      </w:r>
    </w:p>
    <w:p w14:paraId="066D2410">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（一）开始工作时间。</w:t>
      </w:r>
    </w:p>
    <w:p w14:paraId="235F5136">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（二）设计完成时间。</w:t>
      </w:r>
    </w:p>
    <w:p w14:paraId="033E0309">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（三）进度计划。</w:t>
      </w:r>
    </w:p>
    <w:p w14:paraId="2F38E7CF">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（四）竣工时间。</w:t>
      </w:r>
    </w:p>
    <w:p w14:paraId="16106A1C">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（五）缺陷责任期。</w:t>
      </w:r>
    </w:p>
    <w:p w14:paraId="5E9F3418">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（六）其他时间要求。</w:t>
      </w:r>
    </w:p>
    <w:p w14:paraId="21858D69">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五、技术要求</w:t>
      </w:r>
    </w:p>
    <w:p w14:paraId="203D52FA">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（一）设计阶段和设计任务。</w:t>
      </w:r>
    </w:p>
    <w:p w14:paraId="5D646467">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（二）设计标准和规范。</w:t>
      </w:r>
    </w:p>
    <w:p w14:paraId="70BE2108">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（三）技术标准和要求。</w:t>
      </w:r>
    </w:p>
    <w:p w14:paraId="1BD2C8A2">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（四）质量标准。</w:t>
      </w:r>
    </w:p>
    <w:p w14:paraId="07DF3EFC">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（五）设计、施工和设备监造、试验（如有）。</w:t>
      </w:r>
    </w:p>
    <w:p w14:paraId="41E118FB">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（六）样品。</w:t>
      </w:r>
    </w:p>
    <w:p w14:paraId="35C50659">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（七）发包人提供的其他条件，如发包人或其委托的第三人提供的设计、工艺包、用于试验检验的工器具等，以及据此对承包人提出的予以配套的要求。</w:t>
      </w:r>
    </w:p>
    <w:p w14:paraId="06067DF7">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六、竣工试验</w:t>
      </w:r>
    </w:p>
    <w:p w14:paraId="642D35B9">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（一）第一阶段，如对单车试验等的要求，包括试验前准备。</w:t>
      </w:r>
    </w:p>
    <w:p w14:paraId="46B23701">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（二）第二阶段，如对联动试车、投料试车等的要求，包括人员、设备、材料、燃料、电力、消耗品、工具等必要条件。</w:t>
      </w:r>
    </w:p>
    <w:p w14:paraId="4084964C">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（三）第三阶段，如对性能测试及其他竣工试验的要求，包括产能指标、产品质量标准、运营指标、环保指标等。</w:t>
      </w:r>
    </w:p>
    <w:p w14:paraId="3E553DC3">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七、竣工验收</w:t>
      </w:r>
    </w:p>
    <w:p w14:paraId="25D7A070">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八、竣工后试验（如有）</w:t>
      </w:r>
    </w:p>
    <w:p w14:paraId="155339C4">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九、文件要求</w:t>
      </w:r>
    </w:p>
    <w:p w14:paraId="64619273">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（一）设计文件，及其相关审批、核准、备案要求。</w:t>
      </w:r>
    </w:p>
    <w:p w14:paraId="41F59B36">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（二）沟通计划。</w:t>
      </w:r>
    </w:p>
    <w:p w14:paraId="27D9A8C1">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（三）风险管理计划。</w:t>
      </w:r>
    </w:p>
    <w:p w14:paraId="759A96C3">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（四）竣工文件和工程的其他记录。</w:t>
      </w:r>
    </w:p>
    <w:p w14:paraId="344C2EE5">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（五）操作和维修手册。</w:t>
      </w:r>
    </w:p>
    <w:p w14:paraId="00EBE722">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（六）其他承包人文件。</w:t>
      </w:r>
    </w:p>
    <w:p w14:paraId="36131F00">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十、工程项目管理规定</w:t>
      </w:r>
    </w:p>
    <w:p w14:paraId="523B8053">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（一）质量。</w:t>
      </w:r>
    </w:p>
    <w:p w14:paraId="6A622140">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（二）进度，包括里程碑进度计划（如果有）。</w:t>
      </w:r>
    </w:p>
    <w:p w14:paraId="1A1943E4">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（三）支付。</w:t>
      </w:r>
    </w:p>
    <w:p w14:paraId="4B839D04">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（四）HSE（健康、安全与环境管理体系）。</w:t>
      </w:r>
    </w:p>
    <w:p w14:paraId="2261DC3B">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（五）沟通。</w:t>
      </w:r>
    </w:p>
    <w:p w14:paraId="45047563">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（六）变更。</w:t>
      </w:r>
    </w:p>
    <w:p w14:paraId="666EBDCB">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十一、其他要求</w:t>
      </w:r>
    </w:p>
    <w:p w14:paraId="3CC6BE2D">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（一）对承包人的主要人员资格要求。</w:t>
      </w:r>
    </w:p>
    <w:p w14:paraId="668E42C2">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（二）相关审批、核准和备案手续的办理。</w:t>
      </w:r>
    </w:p>
    <w:p w14:paraId="689DEAFD">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（三）对项目业主人员的操作培训。</w:t>
      </w:r>
    </w:p>
    <w:p w14:paraId="73DFD933">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（四）分包。</w:t>
      </w:r>
    </w:p>
    <w:p w14:paraId="7528E018">
      <w:pPr>
        <w:ind w:firstLine="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（五）设备供应商。</w:t>
      </w:r>
    </w:p>
    <w:p w14:paraId="06463230">
      <w:pPr>
        <w:ind w:left="6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（六）缺陷责任期的服务要求。</w:t>
      </w:r>
    </w:p>
    <w:p w14:paraId="0013192F">
      <w:pPr>
        <w:jc w:val="left"/>
        <w:rPr>
          <w:rFonts w:hint="eastAsia" w:ascii="宋体" w:hAnsi="宋体" w:cs="宋体"/>
          <w:color w:val="000000" w:themeColor="text1"/>
          <w14:textFill>
            <w14:solidFill>
              <w14:schemeClr w14:val="tx1"/>
            </w14:solidFill>
          </w14:textFill>
        </w:rPr>
      </w:pPr>
    </w:p>
    <w:p w14:paraId="2E7DB9C3">
      <w:pPr>
        <w:jc w:val="left"/>
        <w:rPr>
          <w:rFonts w:hint="eastAsia" w:ascii="宋体" w:hAnsi="宋体" w:cs="宋体"/>
          <w:color w:val="000000" w:themeColor="text1"/>
          <w14:textFill>
            <w14:solidFill>
              <w14:schemeClr w14:val="tx1"/>
            </w14:solidFill>
          </w14:textFill>
        </w:rPr>
      </w:pPr>
    </w:p>
    <w:p w14:paraId="556E1C8E">
      <w:pPr>
        <w:pStyle w:val="112"/>
        <w:numPr>
          <w:ilvl w:val="0"/>
          <w:numId w:val="0"/>
        </w:numPr>
        <w:spacing w:after="120"/>
        <w:rPr>
          <w:rFonts w:hint="eastAsia" w:ascii="宋体" w:hAnsi="宋体" w:eastAsia="宋体" w:cs="宋体"/>
          <w:color w:val="000000" w:themeColor="text1"/>
          <w14:textFill>
            <w14:solidFill>
              <w14:schemeClr w14:val="tx1"/>
            </w14:solidFill>
          </w14:textFill>
        </w:rPr>
      </w:pPr>
      <w:bookmarkStart w:id="1332" w:name="_Toc3154"/>
      <w:bookmarkStart w:id="1333" w:name="_Toc100907495"/>
      <w:bookmarkStart w:id="1334" w:name="_Toc100907169"/>
      <w:r>
        <w:rPr>
          <w:rFonts w:hint="eastAsia" w:ascii="宋体" w:hAnsi="宋体" w:eastAsia="宋体" w:cs="宋体"/>
          <w:color w:val="000000" w:themeColor="text1"/>
          <w14:textFill>
            <w14:solidFill>
              <w14:schemeClr w14:val="tx1"/>
            </w14:solidFill>
          </w14:textFill>
        </w:rPr>
        <w:t>附件2 发包人供应材料设备一览表</w:t>
      </w:r>
      <w:bookmarkEnd w:id="1332"/>
      <w:bookmarkEnd w:id="1333"/>
      <w:bookmarkEnd w:id="1334"/>
    </w:p>
    <w:tbl>
      <w:tblPr>
        <w:tblStyle w:val="41"/>
        <w:tblW w:w="919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552"/>
        <w:gridCol w:w="1165"/>
        <w:gridCol w:w="1126"/>
        <w:gridCol w:w="567"/>
        <w:gridCol w:w="686"/>
        <w:gridCol w:w="992"/>
        <w:gridCol w:w="1134"/>
        <w:gridCol w:w="1134"/>
        <w:gridCol w:w="1134"/>
        <w:gridCol w:w="709"/>
      </w:tblGrid>
      <w:tr w14:paraId="09491C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52" w:type="dxa"/>
            <w:tcBorders>
              <w:top w:val="single" w:color="auto" w:sz="12" w:space="0"/>
              <w:bottom w:val="double" w:color="auto" w:sz="6" w:space="0"/>
            </w:tcBorders>
            <w:vAlign w:val="center"/>
          </w:tcPr>
          <w:p w14:paraId="18BFDD0B">
            <w:pPr>
              <w:pStyle w:val="16"/>
              <w:spacing w:after="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序号</w:t>
            </w:r>
          </w:p>
        </w:tc>
        <w:tc>
          <w:tcPr>
            <w:tcW w:w="1165" w:type="dxa"/>
            <w:tcBorders>
              <w:top w:val="single" w:color="auto" w:sz="12" w:space="0"/>
              <w:bottom w:val="double" w:color="auto" w:sz="6" w:space="0"/>
            </w:tcBorders>
            <w:vAlign w:val="center"/>
          </w:tcPr>
          <w:p w14:paraId="011B1432">
            <w:pPr>
              <w:pStyle w:val="16"/>
              <w:spacing w:after="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材料、设备品种</w:t>
            </w:r>
          </w:p>
        </w:tc>
        <w:tc>
          <w:tcPr>
            <w:tcW w:w="1126" w:type="dxa"/>
            <w:tcBorders>
              <w:top w:val="single" w:color="auto" w:sz="12" w:space="0"/>
              <w:bottom w:val="double" w:color="auto" w:sz="6" w:space="0"/>
            </w:tcBorders>
            <w:vAlign w:val="center"/>
          </w:tcPr>
          <w:p w14:paraId="4CDB9056">
            <w:pPr>
              <w:pStyle w:val="16"/>
              <w:spacing w:after="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规格型号</w:t>
            </w:r>
          </w:p>
        </w:tc>
        <w:tc>
          <w:tcPr>
            <w:tcW w:w="567" w:type="dxa"/>
            <w:tcBorders>
              <w:top w:val="single" w:color="auto" w:sz="12" w:space="0"/>
              <w:bottom w:val="double" w:color="auto" w:sz="6" w:space="0"/>
            </w:tcBorders>
            <w:vAlign w:val="center"/>
          </w:tcPr>
          <w:p w14:paraId="1D861DC0">
            <w:pPr>
              <w:pStyle w:val="16"/>
              <w:spacing w:after="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单位</w:t>
            </w:r>
          </w:p>
        </w:tc>
        <w:tc>
          <w:tcPr>
            <w:tcW w:w="686" w:type="dxa"/>
            <w:tcBorders>
              <w:top w:val="single" w:color="auto" w:sz="12" w:space="0"/>
              <w:bottom w:val="double" w:color="auto" w:sz="6" w:space="0"/>
            </w:tcBorders>
            <w:vAlign w:val="center"/>
          </w:tcPr>
          <w:p w14:paraId="07D66EB2">
            <w:pPr>
              <w:pStyle w:val="16"/>
              <w:spacing w:after="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数量</w:t>
            </w:r>
          </w:p>
        </w:tc>
        <w:tc>
          <w:tcPr>
            <w:tcW w:w="992" w:type="dxa"/>
            <w:tcBorders>
              <w:top w:val="single" w:color="auto" w:sz="12" w:space="0"/>
              <w:bottom w:val="double" w:color="auto" w:sz="6" w:space="0"/>
            </w:tcBorders>
            <w:vAlign w:val="center"/>
          </w:tcPr>
          <w:p w14:paraId="6C039DF4">
            <w:pPr>
              <w:pStyle w:val="16"/>
              <w:spacing w:after="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单价（元）</w:t>
            </w:r>
          </w:p>
        </w:tc>
        <w:tc>
          <w:tcPr>
            <w:tcW w:w="1134" w:type="dxa"/>
            <w:tcBorders>
              <w:top w:val="single" w:color="auto" w:sz="12" w:space="0"/>
              <w:bottom w:val="double" w:color="auto" w:sz="6" w:space="0"/>
            </w:tcBorders>
            <w:vAlign w:val="center"/>
          </w:tcPr>
          <w:p w14:paraId="6664A79E">
            <w:pPr>
              <w:pStyle w:val="16"/>
              <w:spacing w:after="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质量等级</w:t>
            </w:r>
          </w:p>
        </w:tc>
        <w:tc>
          <w:tcPr>
            <w:tcW w:w="1134" w:type="dxa"/>
            <w:tcBorders>
              <w:top w:val="single" w:color="auto" w:sz="12" w:space="0"/>
              <w:bottom w:val="double" w:color="auto" w:sz="6" w:space="0"/>
            </w:tcBorders>
            <w:vAlign w:val="center"/>
          </w:tcPr>
          <w:p w14:paraId="3A3658A9">
            <w:pPr>
              <w:pStyle w:val="16"/>
              <w:spacing w:after="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供应时间</w:t>
            </w:r>
          </w:p>
        </w:tc>
        <w:tc>
          <w:tcPr>
            <w:tcW w:w="1134" w:type="dxa"/>
            <w:tcBorders>
              <w:top w:val="single" w:color="auto" w:sz="12" w:space="0"/>
              <w:bottom w:val="double" w:color="auto" w:sz="6" w:space="0"/>
            </w:tcBorders>
            <w:vAlign w:val="center"/>
          </w:tcPr>
          <w:p w14:paraId="28570A55">
            <w:pPr>
              <w:pStyle w:val="16"/>
              <w:spacing w:after="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送达地点</w:t>
            </w:r>
          </w:p>
        </w:tc>
        <w:tc>
          <w:tcPr>
            <w:tcW w:w="709" w:type="dxa"/>
            <w:tcBorders>
              <w:top w:val="single" w:color="auto" w:sz="12" w:space="0"/>
              <w:bottom w:val="double" w:color="auto" w:sz="6" w:space="0"/>
            </w:tcBorders>
            <w:vAlign w:val="center"/>
          </w:tcPr>
          <w:p w14:paraId="5C8433FC">
            <w:pPr>
              <w:pStyle w:val="16"/>
              <w:spacing w:after="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备注</w:t>
            </w:r>
          </w:p>
        </w:tc>
      </w:tr>
      <w:tr w14:paraId="24E031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552" w:type="dxa"/>
            <w:tcBorders>
              <w:top w:val="double" w:color="auto" w:sz="6" w:space="0"/>
              <w:bottom w:val="single" w:color="auto" w:sz="6" w:space="0"/>
            </w:tcBorders>
            <w:vAlign w:val="center"/>
          </w:tcPr>
          <w:p w14:paraId="01283C35">
            <w:pPr>
              <w:pStyle w:val="16"/>
              <w:rPr>
                <w:rFonts w:hint="eastAsia" w:ascii="宋体" w:hAnsi="宋体" w:cs="宋体"/>
                <w:color w:val="000000" w:themeColor="text1"/>
                <w14:textFill>
                  <w14:solidFill>
                    <w14:schemeClr w14:val="tx1"/>
                  </w14:solidFill>
                </w14:textFill>
              </w:rPr>
            </w:pPr>
          </w:p>
        </w:tc>
        <w:tc>
          <w:tcPr>
            <w:tcW w:w="1165" w:type="dxa"/>
            <w:tcBorders>
              <w:top w:val="double" w:color="auto" w:sz="6" w:space="0"/>
              <w:bottom w:val="single" w:color="auto" w:sz="6" w:space="0"/>
            </w:tcBorders>
            <w:vAlign w:val="center"/>
          </w:tcPr>
          <w:p w14:paraId="563ADD6A">
            <w:pPr>
              <w:pStyle w:val="16"/>
              <w:rPr>
                <w:rFonts w:hint="eastAsia" w:ascii="宋体" w:hAnsi="宋体" w:cs="宋体"/>
                <w:color w:val="000000" w:themeColor="text1"/>
                <w14:textFill>
                  <w14:solidFill>
                    <w14:schemeClr w14:val="tx1"/>
                  </w14:solidFill>
                </w14:textFill>
              </w:rPr>
            </w:pPr>
          </w:p>
        </w:tc>
        <w:tc>
          <w:tcPr>
            <w:tcW w:w="1126" w:type="dxa"/>
            <w:tcBorders>
              <w:top w:val="double" w:color="auto" w:sz="6" w:space="0"/>
              <w:bottom w:val="single" w:color="auto" w:sz="6" w:space="0"/>
            </w:tcBorders>
            <w:vAlign w:val="center"/>
          </w:tcPr>
          <w:p w14:paraId="473FA21B">
            <w:pPr>
              <w:pStyle w:val="16"/>
              <w:rPr>
                <w:rFonts w:hint="eastAsia" w:ascii="宋体" w:hAnsi="宋体" w:cs="宋体"/>
                <w:color w:val="000000" w:themeColor="text1"/>
                <w14:textFill>
                  <w14:solidFill>
                    <w14:schemeClr w14:val="tx1"/>
                  </w14:solidFill>
                </w14:textFill>
              </w:rPr>
            </w:pPr>
          </w:p>
        </w:tc>
        <w:tc>
          <w:tcPr>
            <w:tcW w:w="567" w:type="dxa"/>
            <w:tcBorders>
              <w:top w:val="double" w:color="auto" w:sz="6" w:space="0"/>
              <w:bottom w:val="single" w:color="auto" w:sz="6" w:space="0"/>
            </w:tcBorders>
            <w:vAlign w:val="center"/>
          </w:tcPr>
          <w:p w14:paraId="2923E54E">
            <w:pPr>
              <w:pStyle w:val="16"/>
              <w:rPr>
                <w:rFonts w:hint="eastAsia" w:ascii="宋体" w:hAnsi="宋体" w:cs="宋体"/>
                <w:color w:val="000000" w:themeColor="text1"/>
                <w14:textFill>
                  <w14:solidFill>
                    <w14:schemeClr w14:val="tx1"/>
                  </w14:solidFill>
                </w14:textFill>
              </w:rPr>
            </w:pPr>
          </w:p>
        </w:tc>
        <w:tc>
          <w:tcPr>
            <w:tcW w:w="686" w:type="dxa"/>
            <w:tcBorders>
              <w:top w:val="double" w:color="auto" w:sz="6" w:space="0"/>
              <w:bottom w:val="single" w:color="auto" w:sz="6" w:space="0"/>
            </w:tcBorders>
            <w:vAlign w:val="center"/>
          </w:tcPr>
          <w:p w14:paraId="45E45822">
            <w:pPr>
              <w:pStyle w:val="16"/>
              <w:rPr>
                <w:rFonts w:hint="eastAsia" w:ascii="宋体" w:hAnsi="宋体" w:cs="宋体"/>
                <w:color w:val="000000" w:themeColor="text1"/>
                <w14:textFill>
                  <w14:solidFill>
                    <w14:schemeClr w14:val="tx1"/>
                  </w14:solidFill>
                </w14:textFill>
              </w:rPr>
            </w:pPr>
          </w:p>
        </w:tc>
        <w:tc>
          <w:tcPr>
            <w:tcW w:w="992" w:type="dxa"/>
            <w:tcBorders>
              <w:top w:val="double" w:color="auto" w:sz="6" w:space="0"/>
              <w:bottom w:val="single" w:color="auto" w:sz="6" w:space="0"/>
            </w:tcBorders>
          </w:tcPr>
          <w:p w14:paraId="12ED5847">
            <w:pPr>
              <w:pStyle w:val="16"/>
              <w:rPr>
                <w:rFonts w:hint="eastAsia" w:ascii="宋体" w:hAnsi="宋体" w:cs="宋体"/>
                <w:color w:val="000000" w:themeColor="text1"/>
                <w14:textFill>
                  <w14:solidFill>
                    <w14:schemeClr w14:val="tx1"/>
                  </w14:solidFill>
                </w14:textFill>
              </w:rPr>
            </w:pPr>
          </w:p>
        </w:tc>
        <w:tc>
          <w:tcPr>
            <w:tcW w:w="1134" w:type="dxa"/>
            <w:tcBorders>
              <w:top w:val="double" w:color="auto" w:sz="6" w:space="0"/>
              <w:bottom w:val="single" w:color="auto" w:sz="6" w:space="0"/>
            </w:tcBorders>
            <w:vAlign w:val="center"/>
          </w:tcPr>
          <w:p w14:paraId="70E1C0BE">
            <w:pPr>
              <w:pStyle w:val="16"/>
              <w:rPr>
                <w:rFonts w:hint="eastAsia" w:ascii="宋体" w:hAnsi="宋体" w:cs="宋体"/>
                <w:color w:val="000000" w:themeColor="text1"/>
                <w14:textFill>
                  <w14:solidFill>
                    <w14:schemeClr w14:val="tx1"/>
                  </w14:solidFill>
                </w14:textFill>
              </w:rPr>
            </w:pPr>
          </w:p>
        </w:tc>
        <w:tc>
          <w:tcPr>
            <w:tcW w:w="1134" w:type="dxa"/>
            <w:tcBorders>
              <w:top w:val="double" w:color="auto" w:sz="6" w:space="0"/>
              <w:bottom w:val="single" w:color="auto" w:sz="6" w:space="0"/>
            </w:tcBorders>
            <w:vAlign w:val="center"/>
          </w:tcPr>
          <w:p w14:paraId="16DC91F6">
            <w:pPr>
              <w:pStyle w:val="16"/>
              <w:rPr>
                <w:rFonts w:hint="eastAsia" w:ascii="宋体" w:hAnsi="宋体" w:cs="宋体"/>
                <w:color w:val="000000" w:themeColor="text1"/>
                <w14:textFill>
                  <w14:solidFill>
                    <w14:schemeClr w14:val="tx1"/>
                  </w14:solidFill>
                </w14:textFill>
              </w:rPr>
            </w:pPr>
          </w:p>
        </w:tc>
        <w:tc>
          <w:tcPr>
            <w:tcW w:w="1134" w:type="dxa"/>
            <w:tcBorders>
              <w:top w:val="double" w:color="auto" w:sz="6" w:space="0"/>
              <w:bottom w:val="single" w:color="auto" w:sz="6" w:space="0"/>
            </w:tcBorders>
            <w:vAlign w:val="center"/>
          </w:tcPr>
          <w:p w14:paraId="688E1F25">
            <w:pPr>
              <w:pStyle w:val="16"/>
              <w:rPr>
                <w:rFonts w:hint="eastAsia" w:ascii="宋体" w:hAnsi="宋体" w:cs="宋体"/>
                <w:color w:val="000000" w:themeColor="text1"/>
                <w14:textFill>
                  <w14:solidFill>
                    <w14:schemeClr w14:val="tx1"/>
                  </w14:solidFill>
                </w14:textFill>
              </w:rPr>
            </w:pPr>
          </w:p>
        </w:tc>
        <w:tc>
          <w:tcPr>
            <w:tcW w:w="709" w:type="dxa"/>
            <w:tcBorders>
              <w:top w:val="double" w:color="auto" w:sz="6" w:space="0"/>
              <w:bottom w:val="single" w:color="auto" w:sz="6" w:space="0"/>
            </w:tcBorders>
            <w:vAlign w:val="center"/>
          </w:tcPr>
          <w:p w14:paraId="265198E6">
            <w:pPr>
              <w:pStyle w:val="16"/>
              <w:rPr>
                <w:rFonts w:hint="eastAsia" w:ascii="宋体" w:hAnsi="宋体" w:cs="宋体"/>
                <w:color w:val="000000" w:themeColor="text1"/>
                <w14:textFill>
                  <w14:solidFill>
                    <w14:schemeClr w14:val="tx1"/>
                  </w14:solidFill>
                </w14:textFill>
              </w:rPr>
            </w:pPr>
          </w:p>
        </w:tc>
      </w:tr>
      <w:tr w14:paraId="1B1CF7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552" w:type="dxa"/>
            <w:tcBorders>
              <w:top w:val="nil"/>
            </w:tcBorders>
            <w:vAlign w:val="center"/>
          </w:tcPr>
          <w:p w14:paraId="48B2E5C6">
            <w:pPr>
              <w:pStyle w:val="16"/>
              <w:rPr>
                <w:rFonts w:hint="eastAsia" w:ascii="宋体" w:hAnsi="宋体" w:cs="宋体"/>
                <w:color w:val="000000" w:themeColor="text1"/>
                <w14:textFill>
                  <w14:solidFill>
                    <w14:schemeClr w14:val="tx1"/>
                  </w14:solidFill>
                </w14:textFill>
              </w:rPr>
            </w:pPr>
          </w:p>
        </w:tc>
        <w:tc>
          <w:tcPr>
            <w:tcW w:w="1165" w:type="dxa"/>
            <w:tcBorders>
              <w:top w:val="nil"/>
            </w:tcBorders>
            <w:vAlign w:val="center"/>
          </w:tcPr>
          <w:p w14:paraId="77A5B03A">
            <w:pPr>
              <w:pStyle w:val="16"/>
              <w:rPr>
                <w:rFonts w:hint="eastAsia" w:ascii="宋体" w:hAnsi="宋体" w:cs="宋体"/>
                <w:color w:val="000000" w:themeColor="text1"/>
                <w14:textFill>
                  <w14:solidFill>
                    <w14:schemeClr w14:val="tx1"/>
                  </w14:solidFill>
                </w14:textFill>
              </w:rPr>
            </w:pPr>
          </w:p>
        </w:tc>
        <w:tc>
          <w:tcPr>
            <w:tcW w:w="1126" w:type="dxa"/>
            <w:tcBorders>
              <w:top w:val="nil"/>
            </w:tcBorders>
            <w:vAlign w:val="center"/>
          </w:tcPr>
          <w:p w14:paraId="2F60355A">
            <w:pPr>
              <w:pStyle w:val="16"/>
              <w:rPr>
                <w:rFonts w:hint="eastAsia" w:ascii="宋体" w:hAnsi="宋体" w:cs="宋体"/>
                <w:color w:val="000000" w:themeColor="text1"/>
                <w14:textFill>
                  <w14:solidFill>
                    <w14:schemeClr w14:val="tx1"/>
                  </w14:solidFill>
                </w14:textFill>
              </w:rPr>
            </w:pPr>
          </w:p>
        </w:tc>
        <w:tc>
          <w:tcPr>
            <w:tcW w:w="567" w:type="dxa"/>
            <w:tcBorders>
              <w:top w:val="nil"/>
            </w:tcBorders>
            <w:vAlign w:val="center"/>
          </w:tcPr>
          <w:p w14:paraId="0B0C0D3B">
            <w:pPr>
              <w:pStyle w:val="16"/>
              <w:rPr>
                <w:rFonts w:hint="eastAsia" w:ascii="宋体" w:hAnsi="宋体" w:cs="宋体"/>
                <w:color w:val="000000" w:themeColor="text1"/>
                <w14:textFill>
                  <w14:solidFill>
                    <w14:schemeClr w14:val="tx1"/>
                  </w14:solidFill>
                </w14:textFill>
              </w:rPr>
            </w:pPr>
          </w:p>
        </w:tc>
        <w:tc>
          <w:tcPr>
            <w:tcW w:w="686" w:type="dxa"/>
            <w:tcBorders>
              <w:top w:val="nil"/>
            </w:tcBorders>
            <w:vAlign w:val="center"/>
          </w:tcPr>
          <w:p w14:paraId="08550F12">
            <w:pPr>
              <w:pStyle w:val="16"/>
              <w:rPr>
                <w:rFonts w:hint="eastAsia" w:ascii="宋体" w:hAnsi="宋体" w:cs="宋体"/>
                <w:color w:val="000000" w:themeColor="text1"/>
                <w14:textFill>
                  <w14:solidFill>
                    <w14:schemeClr w14:val="tx1"/>
                  </w14:solidFill>
                </w14:textFill>
              </w:rPr>
            </w:pPr>
          </w:p>
        </w:tc>
        <w:tc>
          <w:tcPr>
            <w:tcW w:w="992" w:type="dxa"/>
            <w:tcBorders>
              <w:top w:val="nil"/>
            </w:tcBorders>
          </w:tcPr>
          <w:p w14:paraId="484F960F">
            <w:pPr>
              <w:pStyle w:val="16"/>
              <w:rPr>
                <w:rFonts w:hint="eastAsia" w:ascii="宋体" w:hAnsi="宋体" w:cs="宋体"/>
                <w:color w:val="000000" w:themeColor="text1"/>
                <w14:textFill>
                  <w14:solidFill>
                    <w14:schemeClr w14:val="tx1"/>
                  </w14:solidFill>
                </w14:textFill>
              </w:rPr>
            </w:pPr>
          </w:p>
        </w:tc>
        <w:tc>
          <w:tcPr>
            <w:tcW w:w="1134" w:type="dxa"/>
            <w:tcBorders>
              <w:top w:val="nil"/>
            </w:tcBorders>
            <w:vAlign w:val="center"/>
          </w:tcPr>
          <w:p w14:paraId="35C70749">
            <w:pPr>
              <w:pStyle w:val="16"/>
              <w:rPr>
                <w:rFonts w:hint="eastAsia" w:ascii="宋体" w:hAnsi="宋体" w:cs="宋体"/>
                <w:color w:val="000000" w:themeColor="text1"/>
                <w14:textFill>
                  <w14:solidFill>
                    <w14:schemeClr w14:val="tx1"/>
                  </w14:solidFill>
                </w14:textFill>
              </w:rPr>
            </w:pPr>
          </w:p>
        </w:tc>
        <w:tc>
          <w:tcPr>
            <w:tcW w:w="1134" w:type="dxa"/>
            <w:tcBorders>
              <w:top w:val="nil"/>
            </w:tcBorders>
            <w:vAlign w:val="center"/>
          </w:tcPr>
          <w:p w14:paraId="6AC54D9C">
            <w:pPr>
              <w:pStyle w:val="16"/>
              <w:rPr>
                <w:rFonts w:hint="eastAsia" w:ascii="宋体" w:hAnsi="宋体" w:cs="宋体"/>
                <w:color w:val="000000" w:themeColor="text1"/>
                <w14:textFill>
                  <w14:solidFill>
                    <w14:schemeClr w14:val="tx1"/>
                  </w14:solidFill>
                </w14:textFill>
              </w:rPr>
            </w:pPr>
          </w:p>
        </w:tc>
        <w:tc>
          <w:tcPr>
            <w:tcW w:w="1134" w:type="dxa"/>
            <w:tcBorders>
              <w:top w:val="nil"/>
            </w:tcBorders>
            <w:vAlign w:val="center"/>
          </w:tcPr>
          <w:p w14:paraId="7D4A3500">
            <w:pPr>
              <w:pStyle w:val="16"/>
              <w:rPr>
                <w:rFonts w:hint="eastAsia" w:ascii="宋体" w:hAnsi="宋体" w:cs="宋体"/>
                <w:color w:val="000000" w:themeColor="text1"/>
                <w14:textFill>
                  <w14:solidFill>
                    <w14:schemeClr w14:val="tx1"/>
                  </w14:solidFill>
                </w14:textFill>
              </w:rPr>
            </w:pPr>
          </w:p>
        </w:tc>
        <w:tc>
          <w:tcPr>
            <w:tcW w:w="709" w:type="dxa"/>
            <w:tcBorders>
              <w:top w:val="nil"/>
            </w:tcBorders>
            <w:vAlign w:val="center"/>
          </w:tcPr>
          <w:p w14:paraId="7EA158F2">
            <w:pPr>
              <w:pStyle w:val="16"/>
              <w:rPr>
                <w:rFonts w:hint="eastAsia" w:ascii="宋体" w:hAnsi="宋体" w:cs="宋体"/>
                <w:color w:val="000000" w:themeColor="text1"/>
                <w14:textFill>
                  <w14:solidFill>
                    <w14:schemeClr w14:val="tx1"/>
                  </w14:solidFill>
                </w14:textFill>
              </w:rPr>
            </w:pPr>
          </w:p>
        </w:tc>
      </w:tr>
      <w:tr w14:paraId="07120F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552" w:type="dxa"/>
            <w:vAlign w:val="center"/>
          </w:tcPr>
          <w:p w14:paraId="696280F1">
            <w:pPr>
              <w:pStyle w:val="16"/>
              <w:rPr>
                <w:rFonts w:hint="eastAsia" w:ascii="宋体" w:hAnsi="宋体" w:cs="宋体"/>
                <w:color w:val="000000" w:themeColor="text1"/>
                <w14:textFill>
                  <w14:solidFill>
                    <w14:schemeClr w14:val="tx1"/>
                  </w14:solidFill>
                </w14:textFill>
              </w:rPr>
            </w:pPr>
          </w:p>
        </w:tc>
        <w:tc>
          <w:tcPr>
            <w:tcW w:w="1165" w:type="dxa"/>
            <w:vAlign w:val="center"/>
          </w:tcPr>
          <w:p w14:paraId="3162E48F">
            <w:pPr>
              <w:pStyle w:val="16"/>
              <w:rPr>
                <w:rFonts w:hint="eastAsia" w:ascii="宋体" w:hAnsi="宋体" w:cs="宋体"/>
                <w:color w:val="000000" w:themeColor="text1"/>
                <w14:textFill>
                  <w14:solidFill>
                    <w14:schemeClr w14:val="tx1"/>
                  </w14:solidFill>
                </w14:textFill>
              </w:rPr>
            </w:pPr>
          </w:p>
        </w:tc>
        <w:tc>
          <w:tcPr>
            <w:tcW w:w="1126" w:type="dxa"/>
            <w:vAlign w:val="center"/>
          </w:tcPr>
          <w:p w14:paraId="68567C48">
            <w:pPr>
              <w:pStyle w:val="16"/>
              <w:rPr>
                <w:rFonts w:hint="eastAsia" w:ascii="宋体" w:hAnsi="宋体" w:cs="宋体"/>
                <w:color w:val="000000" w:themeColor="text1"/>
                <w14:textFill>
                  <w14:solidFill>
                    <w14:schemeClr w14:val="tx1"/>
                  </w14:solidFill>
                </w14:textFill>
              </w:rPr>
            </w:pPr>
          </w:p>
        </w:tc>
        <w:tc>
          <w:tcPr>
            <w:tcW w:w="567" w:type="dxa"/>
            <w:vAlign w:val="center"/>
          </w:tcPr>
          <w:p w14:paraId="103F86B8">
            <w:pPr>
              <w:pStyle w:val="16"/>
              <w:rPr>
                <w:rFonts w:hint="eastAsia" w:ascii="宋体" w:hAnsi="宋体" w:cs="宋体"/>
                <w:color w:val="000000" w:themeColor="text1"/>
                <w14:textFill>
                  <w14:solidFill>
                    <w14:schemeClr w14:val="tx1"/>
                  </w14:solidFill>
                </w14:textFill>
              </w:rPr>
            </w:pPr>
          </w:p>
        </w:tc>
        <w:tc>
          <w:tcPr>
            <w:tcW w:w="686" w:type="dxa"/>
            <w:vAlign w:val="center"/>
          </w:tcPr>
          <w:p w14:paraId="25156709">
            <w:pPr>
              <w:pStyle w:val="16"/>
              <w:rPr>
                <w:rFonts w:hint="eastAsia" w:ascii="宋体" w:hAnsi="宋体" w:cs="宋体"/>
                <w:color w:val="000000" w:themeColor="text1"/>
                <w14:textFill>
                  <w14:solidFill>
                    <w14:schemeClr w14:val="tx1"/>
                  </w14:solidFill>
                </w14:textFill>
              </w:rPr>
            </w:pPr>
          </w:p>
        </w:tc>
        <w:tc>
          <w:tcPr>
            <w:tcW w:w="992" w:type="dxa"/>
          </w:tcPr>
          <w:p w14:paraId="059C9AD9">
            <w:pPr>
              <w:pStyle w:val="16"/>
              <w:rPr>
                <w:rFonts w:hint="eastAsia" w:ascii="宋体" w:hAnsi="宋体" w:cs="宋体"/>
                <w:color w:val="000000" w:themeColor="text1"/>
                <w14:textFill>
                  <w14:solidFill>
                    <w14:schemeClr w14:val="tx1"/>
                  </w14:solidFill>
                </w14:textFill>
              </w:rPr>
            </w:pPr>
          </w:p>
        </w:tc>
        <w:tc>
          <w:tcPr>
            <w:tcW w:w="1134" w:type="dxa"/>
            <w:vAlign w:val="center"/>
          </w:tcPr>
          <w:p w14:paraId="354C79C1">
            <w:pPr>
              <w:pStyle w:val="16"/>
              <w:rPr>
                <w:rFonts w:hint="eastAsia" w:ascii="宋体" w:hAnsi="宋体" w:cs="宋体"/>
                <w:color w:val="000000" w:themeColor="text1"/>
                <w14:textFill>
                  <w14:solidFill>
                    <w14:schemeClr w14:val="tx1"/>
                  </w14:solidFill>
                </w14:textFill>
              </w:rPr>
            </w:pPr>
          </w:p>
        </w:tc>
        <w:tc>
          <w:tcPr>
            <w:tcW w:w="1134" w:type="dxa"/>
            <w:vAlign w:val="center"/>
          </w:tcPr>
          <w:p w14:paraId="5B2DD62B">
            <w:pPr>
              <w:pStyle w:val="16"/>
              <w:rPr>
                <w:rFonts w:hint="eastAsia" w:ascii="宋体" w:hAnsi="宋体" w:cs="宋体"/>
                <w:color w:val="000000" w:themeColor="text1"/>
                <w14:textFill>
                  <w14:solidFill>
                    <w14:schemeClr w14:val="tx1"/>
                  </w14:solidFill>
                </w14:textFill>
              </w:rPr>
            </w:pPr>
          </w:p>
        </w:tc>
        <w:tc>
          <w:tcPr>
            <w:tcW w:w="1134" w:type="dxa"/>
            <w:vAlign w:val="center"/>
          </w:tcPr>
          <w:p w14:paraId="70085CD7">
            <w:pPr>
              <w:pStyle w:val="16"/>
              <w:rPr>
                <w:rFonts w:hint="eastAsia" w:ascii="宋体" w:hAnsi="宋体" w:cs="宋体"/>
                <w:color w:val="000000" w:themeColor="text1"/>
                <w14:textFill>
                  <w14:solidFill>
                    <w14:schemeClr w14:val="tx1"/>
                  </w14:solidFill>
                </w14:textFill>
              </w:rPr>
            </w:pPr>
          </w:p>
        </w:tc>
        <w:tc>
          <w:tcPr>
            <w:tcW w:w="709" w:type="dxa"/>
            <w:vAlign w:val="center"/>
          </w:tcPr>
          <w:p w14:paraId="779885C8">
            <w:pPr>
              <w:pStyle w:val="16"/>
              <w:rPr>
                <w:rFonts w:hint="eastAsia" w:ascii="宋体" w:hAnsi="宋体" w:cs="宋体"/>
                <w:color w:val="000000" w:themeColor="text1"/>
                <w14:textFill>
                  <w14:solidFill>
                    <w14:schemeClr w14:val="tx1"/>
                  </w14:solidFill>
                </w14:textFill>
              </w:rPr>
            </w:pPr>
          </w:p>
        </w:tc>
      </w:tr>
      <w:tr w14:paraId="10BFBF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552" w:type="dxa"/>
            <w:vAlign w:val="center"/>
          </w:tcPr>
          <w:p w14:paraId="124D74D4">
            <w:pPr>
              <w:pStyle w:val="16"/>
              <w:rPr>
                <w:rFonts w:hint="eastAsia" w:ascii="宋体" w:hAnsi="宋体" w:cs="宋体"/>
                <w:color w:val="000000" w:themeColor="text1"/>
                <w14:textFill>
                  <w14:solidFill>
                    <w14:schemeClr w14:val="tx1"/>
                  </w14:solidFill>
                </w14:textFill>
              </w:rPr>
            </w:pPr>
          </w:p>
        </w:tc>
        <w:tc>
          <w:tcPr>
            <w:tcW w:w="1165" w:type="dxa"/>
            <w:vAlign w:val="center"/>
          </w:tcPr>
          <w:p w14:paraId="378DB312">
            <w:pPr>
              <w:pStyle w:val="16"/>
              <w:rPr>
                <w:rFonts w:hint="eastAsia" w:ascii="宋体" w:hAnsi="宋体" w:cs="宋体"/>
                <w:color w:val="000000" w:themeColor="text1"/>
                <w14:textFill>
                  <w14:solidFill>
                    <w14:schemeClr w14:val="tx1"/>
                  </w14:solidFill>
                </w14:textFill>
              </w:rPr>
            </w:pPr>
          </w:p>
        </w:tc>
        <w:tc>
          <w:tcPr>
            <w:tcW w:w="1126" w:type="dxa"/>
            <w:vAlign w:val="center"/>
          </w:tcPr>
          <w:p w14:paraId="20D904A2">
            <w:pPr>
              <w:pStyle w:val="16"/>
              <w:rPr>
                <w:rFonts w:hint="eastAsia" w:ascii="宋体" w:hAnsi="宋体" w:cs="宋体"/>
                <w:color w:val="000000" w:themeColor="text1"/>
                <w14:textFill>
                  <w14:solidFill>
                    <w14:schemeClr w14:val="tx1"/>
                  </w14:solidFill>
                </w14:textFill>
              </w:rPr>
            </w:pPr>
          </w:p>
        </w:tc>
        <w:tc>
          <w:tcPr>
            <w:tcW w:w="567" w:type="dxa"/>
            <w:vAlign w:val="center"/>
          </w:tcPr>
          <w:p w14:paraId="17D7C6E8">
            <w:pPr>
              <w:pStyle w:val="16"/>
              <w:rPr>
                <w:rFonts w:hint="eastAsia" w:ascii="宋体" w:hAnsi="宋体" w:cs="宋体"/>
                <w:color w:val="000000" w:themeColor="text1"/>
                <w14:textFill>
                  <w14:solidFill>
                    <w14:schemeClr w14:val="tx1"/>
                  </w14:solidFill>
                </w14:textFill>
              </w:rPr>
            </w:pPr>
          </w:p>
        </w:tc>
        <w:tc>
          <w:tcPr>
            <w:tcW w:w="686" w:type="dxa"/>
            <w:vAlign w:val="center"/>
          </w:tcPr>
          <w:p w14:paraId="4FE959EB">
            <w:pPr>
              <w:pStyle w:val="16"/>
              <w:rPr>
                <w:rFonts w:hint="eastAsia" w:ascii="宋体" w:hAnsi="宋体" w:cs="宋体"/>
                <w:color w:val="000000" w:themeColor="text1"/>
                <w14:textFill>
                  <w14:solidFill>
                    <w14:schemeClr w14:val="tx1"/>
                  </w14:solidFill>
                </w14:textFill>
              </w:rPr>
            </w:pPr>
          </w:p>
        </w:tc>
        <w:tc>
          <w:tcPr>
            <w:tcW w:w="992" w:type="dxa"/>
          </w:tcPr>
          <w:p w14:paraId="6C0ADCB6">
            <w:pPr>
              <w:pStyle w:val="16"/>
              <w:rPr>
                <w:rFonts w:hint="eastAsia" w:ascii="宋体" w:hAnsi="宋体" w:cs="宋体"/>
                <w:color w:val="000000" w:themeColor="text1"/>
                <w14:textFill>
                  <w14:solidFill>
                    <w14:schemeClr w14:val="tx1"/>
                  </w14:solidFill>
                </w14:textFill>
              </w:rPr>
            </w:pPr>
          </w:p>
        </w:tc>
        <w:tc>
          <w:tcPr>
            <w:tcW w:w="1134" w:type="dxa"/>
            <w:vAlign w:val="center"/>
          </w:tcPr>
          <w:p w14:paraId="5CEB9F50">
            <w:pPr>
              <w:pStyle w:val="16"/>
              <w:rPr>
                <w:rFonts w:hint="eastAsia" w:ascii="宋体" w:hAnsi="宋体" w:cs="宋体"/>
                <w:color w:val="000000" w:themeColor="text1"/>
                <w14:textFill>
                  <w14:solidFill>
                    <w14:schemeClr w14:val="tx1"/>
                  </w14:solidFill>
                </w14:textFill>
              </w:rPr>
            </w:pPr>
          </w:p>
        </w:tc>
        <w:tc>
          <w:tcPr>
            <w:tcW w:w="1134" w:type="dxa"/>
            <w:vAlign w:val="center"/>
          </w:tcPr>
          <w:p w14:paraId="191816FB">
            <w:pPr>
              <w:pStyle w:val="16"/>
              <w:rPr>
                <w:rFonts w:hint="eastAsia" w:ascii="宋体" w:hAnsi="宋体" w:cs="宋体"/>
                <w:color w:val="000000" w:themeColor="text1"/>
                <w14:textFill>
                  <w14:solidFill>
                    <w14:schemeClr w14:val="tx1"/>
                  </w14:solidFill>
                </w14:textFill>
              </w:rPr>
            </w:pPr>
          </w:p>
        </w:tc>
        <w:tc>
          <w:tcPr>
            <w:tcW w:w="1134" w:type="dxa"/>
            <w:vAlign w:val="center"/>
          </w:tcPr>
          <w:p w14:paraId="75C20647">
            <w:pPr>
              <w:pStyle w:val="16"/>
              <w:rPr>
                <w:rFonts w:hint="eastAsia" w:ascii="宋体" w:hAnsi="宋体" w:cs="宋体"/>
                <w:color w:val="000000" w:themeColor="text1"/>
                <w14:textFill>
                  <w14:solidFill>
                    <w14:schemeClr w14:val="tx1"/>
                  </w14:solidFill>
                </w14:textFill>
              </w:rPr>
            </w:pPr>
          </w:p>
        </w:tc>
        <w:tc>
          <w:tcPr>
            <w:tcW w:w="709" w:type="dxa"/>
            <w:vAlign w:val="center"/>
          </w:tcPr>
          <w:p w14:paraId="3A87E7FE">
            <w:pPr>
              <w:pStyle w:val="16"/>
              <w:rPr>
                <w:rFonts w:hint="eastAsia" w:ascii="宋体" w:hAnsi="宋体" w:cs="宋体"/>
                <w:color w:val="000000" w:themeColor="text1"/>
                <w14:textFill>
                  <w14:solidFill>
                    <w14:schemeClr w14:val="tx1"/>
                  </w14:solidFill>
                </w14:textFill>
              </w:rPr>
            </w:pPr>
          </w:p>
        </w:tc>
      </w:tr>
      <w:tr w14:paraId="3DDD05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552" w:type="dxa"/>
            <w:vAlign w:val="center"/>
          </w:tcPr>
          <w:p w14:paraId="7F48893A">
            <w:pPr>
              <w:pStyle w:val="16"/>
              <w:rPr>
                <w:rFonts w:hint="eastAsia" w:ascii="宋体" w:hAnsi="宋体" w:cs="宋体"/>
                <w:color w:val="000000" w:themeColor="text1"/>
                <w14:textFill>
                  <w14:solidFill>
                    <w14:schemeClr w14:val="tx1"/>
                  </w14:solidFill>
                </w14:textFill>
              </w:rPr>
            </w:pPr>
          </w:p>
        </w:tc>
        <w:tc>
          <w:tcPr>
            <w:tcW w:w="1165" w:type="dxa"/>
            <w:vAlign w:val="center"/>
          </w:tcPr>
          <w:p w14:paraId="034271C2">
            <w:pPr>
              <w:pStyle w:val="16"/>
              <w:rPr>
                <w:rFonts w:hint="eastAsia" w:ascii="宋体" w:hAnsi="宋体" w:cs="宋体"/>
                <w:color w:val="000000" w:themeColor="text1"/>
                <w14:textFill>
                  <w14:solidFill>
                    <w14:schemeClr w14:val="tx1"/>
                  </w14:solidFill>
                </w14:textFill>
              </w:rPr>
            </w:pPr>
          </w:p>
        </w:tc>
        <w:tc>
          <w:tcPr>
            <w:tcW w:w="1126" w:type="dxa"/>
            <w:vAlign w:val="center"/>
          </w:tcPr>
          <w:p w14:paraId="4DAEAA5D">
            <w:pPr>
              <w:pStyle w:val="16"/>
              <w:rPr>
                <w:rFonts w:hint="eastAsia" w:ascii="宋体" w:hAnsi="宋体" w:cs="宋体"/>
                <w:color w:val="000000" w:themeColor="text1"/>
                <w14:textFill>
                  <w14:solidFill>
                    <w14:schemeClr w14:val="tx1"/>
                  </w14:solidFill>
                </w14:textFill>
              </w:rPr>
            </w:pPr>
          </w:p>
        </w:tc>
        <w:tc>
          <w:tcPr>
            <w:tcW w:w="567" w:type="dxa"/>
            <w:vAlign w:val="center"/>
          </w:tcPr>
          <w:p w14:paraId="07B4D331">
            <w:pPr>
              <w:pStyle w:val="16"/>
              <w:rPr>
                <w:rFonts w:hint="eastAsia" w:ascii="宋体" w:hAnsi="宋体" w:cs="宋体"/>
                <w:color w:val="000000" w:themeColor="text1"/>
                <w14:textFill>
                  <w14:solidFill>
                    <w14:schemeClr w14:val="tx1"/>
                  </w14:solidFill>
                </w14:textFill>
              </w:rPr>
            </w:pPr>
          </w:p>
        </w:tc>
        <w:tc>
          <w:tcPr>
            <w:tcW w:w="686" w:type="dxa"/>
            <w:vAlign w:val="center"/>
          </w:tcPr>
          <w:p w14:paraId="0F7FA738">
            <w:pPr>
              <w:pStyle w:val="16"/>
              <w:rPr>
                <w:rFonts w:hint="eastAsia" w:ascii="宋体" w:hAnsi="宋体" w:cs="宋体"/>
                <w:color w:val="000000" w:themeColor="text1"/>
                <w14:textFill>
                  <w14:solidFill>
                    <w14:schemeClr w14:val="tx1"/>
                  </w14:solidFill>
                </w14:textFill>
              </w:rPr>
            </w:pPr>
          </w:p>
        </w:tc>
        <w:tc>
          <w:tcPr>
            <w:tcW w:w="992" w:type="dxa"/>
          </w:tcPr>
          <w:p w14:paraId="74037B42">
            <w:pPr>
              <w:pStyle w:val="16"/>
              <w:rPr>
                <w:rFonts w:hint="eastAsia" w:ascii="宋体" w:hAnsi="宋体" w:cs="宋体"/>
                <w:color w:val="000000" w:themeColor="text1"/>
                <w14:textFill>
                  <w14:solidFill>
                    <w14:schemeClr w14:val="tx1"/>
                  </w14:solidFill>
                </w14:textFill>
              </w:rPr>
            </w:pPr>
          </w:p>
        </w:tc>
        <w:tc>
          <w:tcPr>
            <w:tcW w:w="1134" w:type="dxa"/>
            <w:vAlign w:val="center"/>
          </w:tcPr>
          <w:p w14:paraId="0D4AAA69">
            <w:pPr>
              <w:pStyle w:val="16"/>
              <w:rPr>
                <w:rFonts w:hint="eastAsia" w:ascii="宋体" w:hAnsi="宋体" w:cs="宋体"/>
                <w:color w:val="000000" w:themeColor="text1"/>
                <w14:textFill>
                  <w14:solidFill>
                    <w14:schemeClr w14:val="tx1"/>
                  </w14:solidFill>
                </w14:textFill>
              </w:rPr>
            </w:pPr>
          </w:p>
        </w:tc>
        <w:tc>
          <w:tcPr>
            <w:tcW w:w="1134" w:type="dxa"/>
            <w:vAlign w:val="center"/>
          </w:tcPr>
          <w:p w14:paraId="3952E8C8">
            <w:pPr>
              <w:pStyle w:val="16"/>
              <w:rPr>
                <w:rFonts w:hint="eastAsia" w:ascii="宋体" w:hAnsi="宋体" w:cs="宋体"/>
                <w:color w:val="000000" w:themeColor="text1"/>
                <w14:textFill>
                  <w14:solidFill>
                    <w14:schemeClr w14:val="tx1"/>
                  </w14:solidFill>
                </w14:textFill>
              </w:rPr>
            </w:pPr>
          </w:p>
        </w:tc>
        <w:tc>
          <w:tcPr>
            <w:tcW w:w="1134" w:type="dxa"/>
            <w:vAlign w:val="center"/>
          </w:tcPr>
          <w:p w14:paraId="6435C930">
            <w:pPr>
              <w:pStyle w:val="16"/>
              <w:rPr>
                <w:rFonts w:hint="eastAsia" w:ascii="宋体" w:hAnsi="宋体" w:cs="宋体"/>
                <w:color w:val="000000" w:themeColor="text1"/>
                <w14:textFill>
                  <w14:solidFill>
                    <w14:schemeClr w14:val="tx1"/>
                  </w14:solidFill>
                </w14:textFill>
              </w:rPr>
            </w:pPr>
          </w:p>
        </w:tc>
        <w:tc>
          <w:tcPr>
            <w:tcW w:w="709" w:type="dxa"/>
            <w:vAlign w:val="center"/>
          </w:tcPr>
          <w:p w14:paraId="01F0D509">
            <w:pPr>
              <w:pStyle w:val="16"/>
              <w:rPr>
                <w:rFonts w:hint="eastAsia" w:ascii="宋体" w:hAnsi="宋体" w:cs="宋体"/>
                <w:color w:val="000000" w:themeColor="text1"/>
                <w14:textFill>
                  <w14:solidFill>
                    <w14:schemeClr w14:val="tx1"/>
                  </w14:solidFill>
                </w14:textFill>
              </w:rPr>
            </w:pPr>
          </w:p>
        </w:tc>
      </w:tr>
      <w:tr w14:paraId="3F94B4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552" w:type="dxa"/>
            <w:vAlign w:val="center"/>
          </w:tcPr>
          <w:p w14:paraId="3243A65E">
            <w:pPr>
              <w:pStyle w:val="16"/>
              <w:rPr>
                <w:rFonts w:hint="eastAsia" w:ascii="宋体" w:hAnsi="宋体" w:cs="宋体"/>
                <w:color w:val="000000" w:themeColor="text1"/>
                <w14:textFill>
                  <w14:solidFill>
                    <w14:schemeClr w14:val="tx1"/>
                  </w14:solidFill>
                </w14:textFill>
              </w:rPr>
            </w:pPr>
          </w:p>
        </w:tc>
        <w:tc>
          <w:tcPr>
            <w:tcW w:w="1165" w:type="dxa"/>
            <w:vAlign w:val="center"/>
          </w:tcPr>
          <w:p w14:paraId="7E3898CF">
            <w:pPr>
              <w:pStyle w:val="16"/>
              <w:rPr>
                <w:rFonts w:hint="eastAsia" w:ascii="宋体" w:hAnsi="宋体" w:cs="宋体"/>
                <w:color w:val="000000" w:themeColor="text1"/>
                <w14:textFill>
                  <w14:solidFill>
                    <w14:schemeClr w14:val="tx1"/>
                  </w14:solidFill>
                </w14:textFill>
              </w:rPr>
            </w:pPr>
          </w:p>
        </w:tc>
        <w:tc>
          <w:tcPr>
            <w:tcW w:w="1126" w:type="dxa"/>
            <w:vAlign w:val="center"/>
          </w:tcPr>
          <w:p w14:paraId="08432BBD">
            <w:pPr>
              <w:pStyle w:val="16"/>
              <w:rPr>
                <w:rFonts w:hint="eastAsia" w:ascii="宋体" w:hAnsi="宋体" w:cs="宋体"/>
                <w:color w:val="000000" w:themeColor="text1"/>
                <w14:textFill>
                  <w14:solidFill>
                    <w14:schemeClr w14:val="tx1"/>
                  </w14:solidFill>
                </w14:textFill>
              </w:rPr>
            </w:pPr>
          </w:p>
        </w:tc>
        <w:tc>
          <w:tcPr>
            <w:tcW w:w="567" w:type="dxa"/>
            <w:vAlign w:val="center"/>
          </w:tcPr>
          <w:p w14:paraId="5E323C81">
            <w:pPr>
              <w:pStyle w:val="16"/>
              <w:rPr>
                <w:rFonts w:hint="eastAsia" w:ascii="宋体" w:hAnsi="宋体" w:cs="宋体"/>
                <w:color w:val="000000" w:themeColor="text1"/>
                <w14:textFill>
                  <w14:solidFill>
                    <w14:schemeClr w14:val="tx1"/>
                  </w14:solidFill>
                </w14:textFill>
              </w:rPr>
            </w:pPr>
          </w:p>
        </w:tc>
        <w:tc>
          <w:tcPr>
            <w:tcW w:w="686" w:type="dxa"/>
            <w:vAlign w:val="center"/>
          </w:tcPr>
          <w:p w14:paraId="22C4FF36">
            <w:pPr>
              <w:pStyle w:val="16"/>
              <w:rPr>
                <w:rFonts w:hint="eastAsia" w:ascii="宋体" w:hAnsi="宋体" w:cs="宋体"/>
                <w:color w:val="000000" w:themeColor="text1"/>
                <w14:textFill>
                  <w14:solidFill>
                    <w14:schemeClr w14:val="tx1"/>
                  </w14:solidFill>
                </w14:textFill>
              </w:rPr>
            </w:pPr>
          </w:p>
        </w:tc>
        <w:tc>
          <w:tcPr>
            <w:tcW w:w="992" w:type="dxa"/>
          </w:tcPr>
          <w:p w14:paraId="352D6520">
            <w:pPr>
              <w:pStyle w:val="16"/>
              <w:rPr>
                <w:rFonts w:hint="eastAsia" w:ascii="宋体" w:hAnsi="宋体" w:cs="宋体"/>
                <w:color w:val="000000" w:themeColor="text1"/>
                <w14:textFill>
                  <w14:solidFill>
                    <w14:schemeClr w14:val="tx1"/>
                  </w14:solidFill>
                </w14:textFill>
              </w:rPr>
            </w:pPr>
          </w:p>
        </w:tc>
        <w:tc>
          <w:tcPr>
            <w:tcW w:w="1134" w:type="dxa"/>
            <w:vAlign w:val="center"/>
          </w:tcPr>
          <w:p w14:paraId="546845C2">
            <w:pPr>
              <w:pStyle w:val="16"/>
              <w:rPr>
                <w:rFonts w:hint="eastAsia" w:ascii="宋体" w:hAnsi="宋体" w:cs="宋体"/>
                <w:color w:val="000000" w:themeColor="text1"/>
                <w14:textFill>
                  <w14:solidFill>
                    <w14:schemeClr w14:val="tx1"/>
                  </w14:solidFill>
                </w14:textFill>
              </w:rPr>
            </w:pPr>
          </w:p>
        </w:tc>
        <w:tc>
          <w:tcPr>
            <w:tcW w:w="1134" w:type="dxa"/>
            <w:vAlign w:val="center"/>
          </w:tcPr>
          <w:p w14:paraId="3E757DFD">
            <w:pPr>
              <w:pStyle w:val="16"/>
              <w:rPr>
                <w:rFonts w:hint="eastAsia" w:ascii="宋体" w:hAnsi="宋体" w:cs="宋体"/>
                <w:color w:val="000000" w:themeColor="text1"/>
                <w14:textFill>
                  <w14:solidFill>
                    <w14:schemeClr w14:val="tx1"/>
                  </w14:solidFill>
                </w14:textFill>
              </w:rPr>
            </w:pPr>
          </w:p>
        </w:tc>
        <w:tc>
          <w:tcPr>
            <w:tcW w:w="1134" w:type="dxa"/>
            <w:vAlign w:val="center"/>
          </w:tcPr>
          <w:p w14:paraId="5D6ED1EB">
            <w:pPr>
              <w:pStyle w:val="16"/>
              <w:rPr>
                <w:rFonts w:hint="eastAsia" w:ascii="宋体" w:hAnsi="宋体" w:cs="宋体"/>
                <w:color w:val="000000" w:themeColor="text1"/>
                <w14:textFill>
                  <w14:solidFill>
                    <w14:schemeClr w14:val="tx1"/>
                  </w14:solidFill>
                </w14:textFill>
              </w:rPr>
            </w:pPr>
          </w:p>
        </w:tc>
        <w:tc>
          <w:tcPr>
            <w:tcW w:w="709" w:type="dxa"/>
            <w:vAlign w:val="center"/>
          </w:tcPr>
          <w:p w14:paraId="393F1C11">
            <w:pPr>
              <w:pStyle w:val="16"/>
              <w:rPr>
                <w:rFonts w:hint="eastAsia" w:ascii="宋体" w:hAnsi="宋体" w:cs="宋体"/>
                <w:color w:val="000000" w:themeColor="text1"/>
                <w14:textFill>
                  <w14:solidFill>
                    <w14:schemeClr w14:val="tx1"/>
                  </w14:solidFill>
                </w14:textFill>
              </w:rPr>
            </w:pPr>
          </w:p>
        </w:tc>
      </w:tr>
      <w:tr w14:paraId="726152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552" w:type="dxa"/>
            <w:vAlign w:val="center"/>
          </w:tcPr>
          <w:p w14:paraId="638DABDB">
            <w:pPr>
              <w:rPr>
                <w:rFonts w:hint="eastAsia" w:ascii="宋体" w:hAnsi="宋体" w:cs="宋体"/>
                <w:color w:val="000000" w:themeColor="text1"/>
                <w14:textFill>
                  <w14:solidFill>
                    <w14:schemeClr w14:val="tx1"/>
                  </w14:solidFill>
                </w14:textFill>
              </w:rPr>
            </w:pPr>
          </w:p>
        </w:tc>
        <w:tc>
          <w:tcPr>
            <w:tcW w:w="1165" w:type="dxa"/>
            <w:vAlign w:val="center"/>
          </w:tcPr>
          <w:p w14:paraId="5C3066BD">
            <w:pPr>
              <w:rPr>
                <w:rFonts w:hint="eastAsia" w:ascii="宋体" w:hAnsi="宋体" w:cs="宋体"/>
                <w:color w:val="000000" w:themeColor="text1"/>
                <w14:textFill>
                  <w14:solidFill>
                    <w14:schemeClr w14:val="tx1"/>
                  </w14:solidFill>
                </w14:textFill>
              </w:rPr>
            </w:pPr>
          </w:p>
        </w:tc>
        <w:tc>
          <w:tcPr>
            <w:tcW w:w="1126" w:type="dxa"/>
            <w:vAlign w:val="center"/>
          </w:tcPr>
          <w:p w14:paraId="13D6697C">
            <w:pPr>
              <w:rPr>
                <w:rFonts w:hint="eastAsia" w:ascii="宋体" w:hAnsi="宋体" w:cs="宋体"/>
                <w:color w:val="000000" w:themeColor="text1"/>
                <w14:textFill>
                  <w14:solidFill>
                    <w14:schemeClr w14:val="tx1"/>
                  </w14:solidFill>
                </w14:textFill>
              </w:rPr>
            </w:pPr>
          </w:p>
        </w:tc>
        <w:tc>
          <w:tcPr>
            <w:tcW w:w="567" w:type="dxa"/>
            <w:vAlign w:val="center"/>
          </w:tcPr>
          <w:p w14:paraId="68F97AA2">
            <w:pPr>
              <w:rPr>
                <w:rFonts w:hint="eastAsia" w:ascii="宋体" w:hAnsi="宋体" w:cs="宋体"/>
                <w:color w:val="000000" w:themeColor="text1"/>
                <w14:textFill>
                  <w14:solidFill>
                    <w14:schemeClr w14:val="tx1"/>
                  </w14:solidFill>
                </w14:textFill>
              </w:rPr>
            </w:pPr>
          </w:p>
        </w:tc>
        <w:tc>
          <w:tcPr>
            <w:tcW w:w="686" w:type="dxa"/>
            <w:vAlign w:val="center"/>
          </w:tcPr>
          <w:p w14:paraId="09375542">
            <w:pPr>
              <w:rPr>
                <w:rFonts w:hint="eastAsia" w:ascii="宋体" w:hAnsi="宋体" w:cs="宋体"/>
                <w:color w:val="000000" w:themeColor="text1"/>
                <w14:textFill>
                  <w14:solidFill>
                    <w14:schemeClr w14:val="tx1"/>
                  </w14:solidFill>
                </w14:textFill>
              </w:rPr>
            </w:pPr>
          </w:p>
        </w:tc>
        <w:tc>
          <w:tcPr>
            <w:tcW w:w="992" w:type="dxa"/>
          </w:tcPr>
          <w:p w14:paraId="519C336F">
            <w:pPr>
              <w:rPr>
                <w:rFonts w:hint="eastAsia" w:ascii="宋体" w:hAnsi="宋体" w:cs="宋体"/>
                <w:color w:val="000000" w:themeColor="text1"/>
                <w14:textFill>
                  <w14:solidFill>
                    <w14:schemeClr w14:val="tx1"/>
                  </w14:solidFill>
                </w14:textFill>
              </w:rPr>
            </w:pPr>
          </w:p>
        </w:tc>
        <w:tc>
          <w:tcPr>
            <w:tcW w:w="1134" w:type="dxa"/>
            <w:vAlign w:val="center"/>
          </w:tcPr>
          <w:p w14:paraId="2C83C064">
            <w:pPr>
              <w:rPr>
                <w:rFonts w:hint="eastAsia" w:ascii="宋体" w:hAnsi="宋体" w:cs="宋体"/>
                <w:color w:val="000000" w:themeColor="text1"/>
                <w14:textFill>
                  <w14:solidFill>
                    <w14:schemeClr w14:val="tx1"/>
                  </w14:solidFill>
                </w14:textFill>
              </w:rPr>
            </w:pPr>
          </w:p>
        </w:tc>
        <w:tc>
          <w:tcPr>
            <w:tcW w:w="1134" w:type="dxa"/>
            <w:vAlign w:val="center"/>
          </w:tcPr>
          <w:p w14:paraId="6E3C59FF">
            <w:pPr>
              <w:rPr>
                <w:rFonts w:hint="eastAsia" w:ascii="宋体" w:hAnsi="宋体" w:cs="宋体"/>
                <w:color w:val="000000" w:themeColor="text1"/>
                <w14:textFill>
                  <w14:solidFill>
                    <w14:schemeClr w14:val="tx1"/>
                  </w14:solidFill>
                </w14:textFill>
              </w:rPr>
            </w:pPr>
          </w:p>
        </w:tc>
        <w:tc>
          <w:tcPr>
            <w:tcW w:w="1134" w:type="dxa"/>
            <w:vAlign w:val="center"/>
          </w:tcPr>
          <w:p w14:paraId="74F5D87D">
            <w:pPr>
              <w:rPr>
                <w:rFonts w:hint="eastAsia" w:ascii="宋体" w:hAnsi="宋体" w:cs="宋体"/>
                <w:color w:val="000000" w:themeColor="text1"/>
                <w14:textFill>
                  <w14:solidFill>
                    <w14:schemeClr w14:val="tx1"/>
                  </w14:solidFill>
                </w14:textFill>
              </w:rPr>
            </w:pPr>
          </w:p>
        </w:tc>
        <w:tc>
          <w:tcPr>
            <w:tcW w:w="709" w:type="dxa"/>
            <w:vAlign w:val="center"/>
          </w:tcPr>
          <w:p w14:paraId="5B9C4803">
            <w:pPr>
              <w:rPr>
                <w:rFonts w:hint="eastAsia" w:ascii="宋体" w:hAnsi="宋体" w:cs="宋体"/>
                <w:color w:val="000000" w:themeColor="text1"/>
                <w14:textFill>
                  <w14:solidFill>
                    <w14:schemeClr w14:val="tx1"/>
                  </w14:solidFill>
                </w14:textFill>
              </w:rPr>
            </w:pPr>
          </w:p>
        </w:tc>
      </w:tr>
    </w:tbl>
    <w:p w14:paraId="553F5D32">
      <w:pPr>
        <w:pStyle w:val="112"/>
        <w:numPr>
          <w:ilvl w:val="0"/>
          <w:numId w:val="0"/>
        </w:numPr>
        <w:spacing w:after="120"/>
        <w:jc w:val="both"/>
        <w:rPr>
          <w:rFonts w:hint="eastAsia" w:ascii="宋体" w:hAnsi="宋体" w:eastAsia="宋体" w:cs="宋体"/>
          <w:color w:val="000000" w:themeColor="text1"/>
          <w14:textFill>
            <w14:solidFill>
              <w14:schemeClr w14:val="tx1"/>
            </w14:solidFill>
          </w14:textFill>
        </w:rPr>
      </w:pPr>
      <w:bookmarkStart w:id="1335" w:name="_Toc100907170"/>
      <w:bookmarkStart w:id="1336" w:name="_Toc100907496"/>
      <w:bookmarkStart w:id="1337" w:name="_Toc15018"/>
      <w:r>
        <w:rPr>
          <w:rFonts w:hint="eastAsia" w:ascii="宋体" w:hAnsi="宋体" w:eastAsia="宋体" w:cs="宋体"/>
          <w:color w:val="000000" w:themeColor="text1"/>
          <w14:textFill>
            <w14:solidFill>
              <w14:schemeClr w14:val="tx1"/>
            </w14:solidFill>
          </w14:textFill>
        </w:rPr>
        <w:t>附件3 工程质量保修书</w:t>
      </w:r>
      <w:bookmarkEnd w:id="1335"/>
      <w:bookmarkEnd w:id="1336"/>
      <w:bookmarkEnd w:id="1337"/>
    </w:p>
    <w:p w14:paraId="2D0CC171">
      <w:pP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发包人（全称）：</w:t>
      </w:r>
      <w:r>
        <w:rPr>
          <w:rFonts w:hint="eastAsia" w:ascii="宋体" w:hAnsi="宋体" w:cs="宋体"/>
          <w:color w:val="000000" w:themeColor="text1"/>
          <w:sz w:val="21"/>
          <w:szCs w:val="21"/>
          <w:u w:val="single"/>
          <w14:textFill>
            <w14:solidFill>
              <w14:schemeClr w14:val="tx1"/>
            </w14:solidFill>
          </w14:textFill>
        </w:rPr>
        <w:t xml:space="preserve">                                  </w:t>
      </w:r>
    </w:p>
    <w:p w14:paraId="26A186A1">
      <w:pP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承包人（全称）：</w:t>
      </w:r>
      <w:r>
        <w:rPr>
          <w:rFonts w:hint="eastAsia" w:ascii="宋体" w:hAnsi="宋体" w:cs="宋体"/>
          <w:color w:val="000000" w:themeColor="text1"/>
          <w:sz w:val="21"/>
          <w:szCs w:val="21"/>
          <w:u w:val="single"/>
          <w14:textFill>
            <w14:solidFill>
              <w14:schemeClr w14:val="tx1"/>
            </w14:solidFill>
          </w14:textFill>
        </w:rPr>
        <w:t xml:space="preserve">                                  </w:t>
      </w:r>
    </w:p>
    <w:p w14:paraId="2EE8F901">
      <w:pPr>
        <w:ind w:firstLine="60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发包人和承包人根据《中华人民共和国建筑法》和《建设工程质量管理条例》，经协商一致就</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（工程全称）订立工程质量保修书。</w:t>
      </w:r>
    </w:p>
    <w:p w14:paraId="2850AC13">
      <w:pPr>
        <w:ind w:firstLine="60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一、工程质量保修范围和内容</w:t>
      </w:r>
    </w:p>
    <w:p w14:paraId="471F5FE7">
      <w:pPr>
        <w:ind w:firstLine="60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承包人在质量保修期内，按照有关法律规定和合同约定，承担工程质量保修责任。</w:t>
      </w:r>
    </w:p>
    <w:p w14:paraId="0B3FDF0A">
      <w:pPr>
        <w:ind w:firstLine="60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w:t>
      </w:r>
    </w:p>
    <w:p w14:paraId="7B3220FC">
      <w:pPr>
        <w:ind w:firstLine="60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二、质量保修期</w:t>
      </w:r>
    </w:p>
    <w:p w14:paraId="65BCCFFA">
      <w:pPr>
        <w:ind w:firstLine="60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根据《建设工程质量管理条例》及有关规定，工程的质量保修期如下：</w:t>
      </w:r>
    </w:p>
    <w:p w14:paraId="45E1CD80">
      <w:pPr>
        <w:ind w:firstLine="60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1．地基基础工程和主体结构工程为设计文件规定的工程合理使用年限；</w:t>
      </w:r>
    </w:p>
    <w:p w14:paraId="096A3B29">
      <w:pPr>
        <w:ind w:firstLine="60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2．屋面防水工程、有防水要求的卫生间、房间和外墙面的防渗为</w:t>
      </w:r>
      <w:r>
        <w:rPr>
          <w:rFonts w:hint="eastAsia" w:ascii="宋体" w:hAnsi="宋体" w:cs="宋体"/>
          <w:color w:val="000000" w:themeColor="text1"/>
          <w:sz w:val="21"/>
          <w:szCs w:val="21"/>
          <w:u w:val="single"/>
          <w14:textFill>
            <w14:solidFill>
              <w14:schemeClr w14:val="tx1"/>
            </w14:solidFill>
          </w14:textFill>
        </w:rPr>
        <w:t xml:space="preserve">  5     </w:t>
      </w:r>
      <w:r>
        <w:rPr>
          <w:rFonts w:hint="eastAsia" w:ascii="宋体" w:hAnsi="宋体" w:cs="宋体"/>
          <w:color w:val="000000" w:themeColor="text1"/>
          <w:sz w:val="21"/>
          <w:szCs w:val="21"/>
          <w14:textFill>
            <w14:solidFill>
              <w14:schemeClr w14:val="tx1"/>
            </w14:solidFill>
          </w14:textFill>
        </w:rPr>
        <w:t>年；</w:t>
      </w:r>
    </w:p>
    <w:p w14:paraId="4E0189AB">
      <w:pPr>
        <w:ind w:firstLine="60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3．装修工程为</w:t>
      </w:r>
      <w:r>
        <w:rPr>
          <w:rFonts w:hint="eastAsia" w:ascii="宋体" w:hAnsi="宋体" w:cs="宋体"/>
          <w:color w:val="000000" w:themeColor="text1"/>
          <w:sz w:val="21"/>
          <w:szCs w:val="21"/>
          <w:u w:val="single"/>
          <w14:textFill>
            <w14:solidFill>
              <w14:schemeClr w14:val="tx1"/>
            </w14:solidFill>
          </w14:textFill>
        </w:rPr>
        <w:t xml:space="preserve">     2    </w:t>
      </w:r>
      <w:r>
        <w:rPr>
          <w:rFonts w:hint="eastAsia" w:ascii="宋体" w:hAnsi="宋体" w:cs="宋体"/>
          <w:color w:val="000000" w:themeColor="text1"/>
          <w:sz w:val="21"/>
          <w:szCs w:val="21"/>
          <w14:textFill>
            <w14:solidFill>
              <w14:schemeClr w14:val="tx1"/>
            </w14:solidFill>
          </w14:textFill>
        </w:rPr>
        <w:t>年；</w:t>
      </w:r>
    </w:p>
    <w:p w14:paraId="531C89E5">
      <w:pPr>
        <w:ind w:firstLine="60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4．电气管线、给排水管道、设备安装工程为</w:t>
      </w:r>
      <w:r>
        <w:rPr>
          <w:rFonts w:hint="eastAsia" w:ascii="宋体" w:hAnsi="宋体" w:cs="宋体"/>
          <w:color w:val="000000" w:themeColor="text1"/>
          <w:sz w:val="21"/>
          <w:szCs w:val="21"/>
          <w:u w:val="single"/>
          <w14:textFill>
            <w14:solidFill>
              <w14:schemeClr w14:val="tx1"/>
            </w14:solidFill>
          </w14:textFill>
        </w:rPr>
        <w:t xml:space="preserve">     2      </w:t>
      </w:r>
      <w:r>
        <w:rPr>
          <w:rFonts w:hint="eastAsia" w:ascii="宋体" w:hAnsi="宋体" w:cs="宋体"/>
          <w:color w:val="000000" w:themeColor="text1"/>
          <w:sz w:val="21"/>
          <w:szCs w:val="21"/>
          <w14:textFill>
            <w14:solidFill>
              <w14:schemeClr w14:val="tx1"/>
            </w14:solidFill>
          </w14:textFill>
        </w:rPr>
        <w:t>年；</w:t>
      </w:r>
    </w:p>
    <w:p w14:paraId="02618D79">
      <w:pPr>
        <w:ind w:firstLine="60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5．供热与供冷系统为</w:t>
      </w:r>
      <w:r>
        <w:rPr>
          <w:rFonts w:hint="eastAsia" w:ascii="宋体" w:hAnsi="宋体" w:cs="宋体"/>
          <w:color w:val="000000" w:themeColor="text1"/>
          <w:sz w:val="21"/>
          <w:szCs w:val="21"/>
          <w:u w:val="single"/>
          <w14:textFill>
            <w14:solidFill>
              <w14:schemeClr w14:val="tx1"/>
            </w14:solidFill>
          </w14:textFill>
        </w:rPr>
        <w:t xml:space="preserve">    2    </w:t>
      </w:r>
      <w:r>
        <w:rPr>
          <w:rFonts w:hint="eastAsia" w:ascii="宋体" w:hAnsi="宋体" w:cs="宋体"/>
          <w:color w:val="000000" w:themeColor="text1"/>
          <w:sz w:val="21"/>
          <w:szCs w:val="21"/>
          <w14:textFill>
            <w14:solidFill>
              <w14:schemeClr w14:val="tx1"/>
            </w14:solidFill>
          </w14:textFill>
        </w:rPr>
        <w:t>个采暖期、供冷期；</w:t>
      </w:r>
    </w:p>
    <w:p w14:paraId="0E9AAC7C">
      <w:pPr>
        <w:ind w:firstLine="60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6．住宅小区内的给排水设施、道路等配套工程为</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年；</w:t>
      </w:r>
    </w:p>
    <w:p w14:paraId="14584121">
      <w:pPr>
        <w:ind w:firstLine="60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7．其他项目保修期限约定如下：</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w:t>
      </w:r>
    </w:p>
    <w:p w14:paraId="423FF5C9">
      <w:pPr>
        <w:ind w:firstLine="60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质量保修期自工程竣工验收合格之日起计算。</w:t>
      </w:r>
    </w:p>
    <w:p w14:paraId="53212478">
      <w:pPr>
        <w:ind w:firstLine="60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三、缺陷责任期</w:t>
      </w:r>
    </w:p>
    <w:p w14:paraId="3E230493">
      <w:pPr>
        <w:ind w:firstLine="60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工程缺陷责任期为</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个月，缺陷责任期自工程通过竣工验收之日起计算。单位/区段工程先于全部工程进行验收，单位/区段工程缺陷责任期自单位/区段工程验收合格之日起算。</w:t>
      </w:r>
    </w:p>
    <w:p w14:paraId="4B948781">
      <w:pPr>
        <w:ind w:firstLine="60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缺陷责任期终止后，发包人应返还剩余的质量保证金。</w:t>
      </w:r>
    </w:p>
    <w:p w14:paraId="26285DC4">
      <w:pPr>
        <w:ind w:firstLine="60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四、质量保修责任</w:t>
      </w:r>
    </w:p>
    <w:p w14:paraId="78A43D6C">
      <w:pPr>
        <w:ind w:firstLine="60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1．属于保修范围、内容的项目，承包人应当在接到保修通知之日起7天内派人保修。承包人不在约定期限内派人保修的，发包人可以委托他人修理。</w:t>
      </w:r>
    </w:p>
    <w:p w14:paraId="2C2D9CB6">
      <w:pPr>
        <w:ind w:firstLine="60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2．发生紧急事故需抢修的，承包人在接到事故通知后，应当立即到达事故现场抢修。</w:t>
      </w:r>
    </w:p>
    <w:p w14:paraId="2966FEDC">
      <w:pPr>
        <w:ind w:firstLine="60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p>
    <w:p w14:paraId="5341FB45">
      <w:pPr>
        <w:ind w:firstLine="60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4．质量保修完成后，由发包人组织验收。</w:t>
      </w:r>
    </w:p>
    <w:p w14:paraId="0282BAC5">
      <w:pPr>
        <w:ind w:firstLine="60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五、保修费用</w:t>
      </w:r>
    </w:p>
    <w:p w14:paraId="4A0E7DF3">
      <w:pPr>
        <w:ind w:firstLine="60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保修费用由造成质量缺陷的责任方承担。</w:t>
      </w:r>
    </w:p>
    <w:p w14:paraId="60E144D9">
      <w:pPr>
        <w:ind w:firstLine="600"/>
        <w:rPr>
          <w:rFonts w:hint="eastAsia" w:ascii="宋体" w:hAnsi="宋体" w:cs="宋体"/>
          <w:color w:val="000000" w:themeColor="text1"/>
          <w:sz w:val="21"/>
          <w:szCs w:val="21"/>
          <w:u w:val="single"/>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六、双方约定的其他工程质量保修事项：</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w:t>
      </w:r>
    </w:p>
    <w:p w14:paraId="2B95234D">
      <w:pPr>
        <w:ind w:firstLine="60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工程质量保修书由发包人、承包人在工程竣工验收前共同签署，作为工程总承包合同附件，其有效期限至保修期满。</w:t>
      </w:r>
    </w:p>
    <w:p w14:paraId="00F0DDC4">
      <w:pPr>
        <w:ind w:firstLine="600"/>
        <w:rPr>
          <w:rFonts w:hint="eastAsia" w:ascii="宋体" w:hAnsi="宋体" w:cs="宋体"/>
          <w:color w:val="000000" w:themeColor="text1"/>
          <w:sz w:val="21"/>
          <w:szCs w:val="21"/>
          <w14:textFill>
            <w14:solidFill>
              <w14:schemeClr w14:val="tx1"/>
            </w14:solidFill>
          </w14:textFill>
        </w:rPr>
      </w:pPr>
    </w:p>
    <w:p w14:paraId="01610544">
      <w:pPr>
        <w:ind w:firstLine="60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发包人(公章)：               承包人(公章)：          </w:t>
      </w:r>
    </w:p>
    <w:p w14:paraId="4263DE90">
      <w:pPr>
        <w:ind w:firstLine="60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地  址：                     地  址：       </w:t>
      </w:r>
    </w:p>
    <w:p w14:paraId="1BE2E786">
      <w:pPr>
        <w:ind w:firstLine="60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法定代表人(签字)：           法定代表人(签字)：       </w:t>
      </w:r>
    </w:p>
    <w:p w14:paraId="68C1E9D0">
      <w:pPr>
        <w:ind w:firstLine="60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委托代理人(签字)：           委托代理人(签字)：       </w:t>
      </w:r>
    </w:p>
    <w:p w14:paraId="246E970E">
      <w:pPr>
        <w:ind w:firstLine="60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电  话：                     电  话：</w:t>
      </w:r>
    </w:p>
    <w:p w14:paraId="53E68FB8">
      <w:pPr>
        <w:ind w:firstLine="60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传  真：                     传  真：  </w:t>
      </w:r>
    </w:p>
    <w:p w14:paraId="09699D68">
      <w:pPr>
        <w:ind w:firstLine="60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开户银行：                   开户银行：</w:t>
      </w:r>
    </w:p>
    <w:p w14:paraId="549093C8">
      <w:pPr>
        <w:ind w:firstLine="60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账  号：                     账  号： </w:t>
      </w:r>
    </w:p>
    <w:p w14:paraId="2ACC6795">
      <w:pPr>
        <w:ind w:firstLine="60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邮政编码：                   邮政编码：   </w:t>
      </w:r>
    </w:p>
    <w:p w14:paraId="3B9632CA">
      <w:pPr>
        <w:jc w:val="left"/>
        <w:rPr>
          <w:rFonts w:hint="eastAsia" w:ascii="宋体" w:hAnsi="宋体" w:cs="宋体"/>
          <w:color w:val="000000" w:themeColor="text1"/>
          <w:sz w:val="30"/>
          <w:szCs w:val="30"/>
          <w14:textFill>
            <w14:solidFill>
              <w14:schemeClr w14:val="tx1"/>
            </w14:solidFill>
          </w14:textFill>
        </w:rPr>
      </w:pPr>
    </w:p>
    <w:p w14:paraId="03265F6F">
      <w:pPr>
        <w:pStyle w:val="112"/>
        <w:numPr>
          <w:ilvl w:val="0"/>
          <w:numId w:val="0"/>
        </w:numPr>
        <w:spacing w:after="120"/>
        <w:rPr>
          <w:rFonts w:hint="eastAsia" w:ascii="宋体" w:hAnsi="宋体" w:eastAsia="宋体" w:cs="宋体"/>
          <w:color w:val="000000" w:themeColor="text1"/>
          <w14:textFill>
            <w14:solidFill>
              <w14:schemeClr w14:val="tx1"/>
            </w14:solidFill>
          </w14:textFill>
        </w:rPr>
      </w:pPr>
      <w:bookmarkStart w:id="1338" w:name="_Toc100907497"/>
      <w:bookmarkStart w:id="1339" w:name="_Toc100907171"/>
      <w:bookmarkStart w:id="1340" w:name="_Toc7037"/>
      <w:r>
        <w:rPr>
          <w:rFonts w:hint="eastAsia" w:ascii="宋体" w:hAnsi="宋体" w:eastAsia="宋体" w:cs="宋体"/>
          <w:color w:val="000000" w:themeColor="text1"/>
          <w14:textFill>
            <w14:solidFill>
              <w14:schemeClr w14:val="tx1"/>
            </w14:solidFill>
          </w14:textFill>
        </w:rPr>
        <w:t>附件4 主要建设工程文件目录</w:t>
      </w:r>
      <w:bookmarkEnd w:id="1338"/>
      <w:bookmarkEnd w:id="1339"/>
      <w:bookmarkEnd w:id="1340"/>
    </w:p>
    <w:tbl>
      <w:tblPr>
        <w:tblStyle w:val="4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2125"/>
        <w:gridCol w:w="1276"/>
        <w:gridCol w:w="1450"/>
        <w:gridCol w:w="1243"/>
        <w:gridCol w:w="1450"/>
        <w:gridCol w:w="1670"/>
      </w:tblGrid>
      <w:tr w14:paraId="5CB866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125" w:type="dxa"/>
            <w:tcBorders>
              <w:top w:val="single" w:color="auto" w:sz="12" w:space="0"/>
              <w:bottom w:val="double" w:color="auto" w:sz="6" w:space="0"/>
            </w:tcBorders>
            <w:vAlign w:val="center"/>
          </w:tcPr>
          <w:p w14:paraId="7CDE60E3">
            <w:pPr>
              <w:pStyle w:val="16"/>
              <w:spacing w:after="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文件名称</w:t>
            </w:r>
          </w:p>
        </w:tc>
        <w:tc>
          <w:tcPr>
            <w:tcW w:w="1276" w:type="dxa"/>
            <w:tcBorders>
              <w:top w:val="single" w:color="auto" w:sz="12" w:space="0"/>
              <w:bottom w:val="double" w:color="auto" w:sz="6" w:space="0"/>
            </w:tcBorders>
            <w:vAlign w:val="center"/>
          </w:tcPr>
          <w:p w14:paraId="76493217">
            <w:pPr>
              <w:pStyle w:val="16"/>
              <w:spacing w:after="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套数</w:t>
            </w:r>
          </w:p>
        </w:tc>
        <w:tc>
          <w:tcPr>
            <w:tcW w:w="1450" w:type="dxa"/>
            <w:tcBorders>
              <w:top w:val="single" w:color="auto" w:sz="12" w:space="0"/>
              <w:bottom w:val="double" w:color="auto" w:sz="6" w:space="0"/>
            </w:tcBorders>
            <w:vAlign w:val="center"/>
          </w:tcPr>
          <w:p w14:paraId="192A96EA">
            <w:pPr>
              <w:pStyle w:val="16"/>
              <w:spacing w:after="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费用（元）</w:t>
            </w:r>
          </w:p>
        </w:tc>
        <w:tc>
          <w:tcPr>
            <w:tcW w:w="1243" w:type="dxa"/>
            <w:tcBorders>
              <w:top w:val="single" w:color="auto" w:sz="12" w:space="0"/>
              <w:bottom w:val="double" w:color="auto" w:sz="6" w:space="0"/>
            </w:tcBorders>
            <w:vAlign w:val="center"/>
          </w:tcPr>
          <w:p w14:paraId="2EE7E762">
            <w:pPr>
              <w:pStyle w:val="16"/>
              <w:spacing w:after="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质量</w:t>
            </w:r>
          </w:p>
        </w:tc>
        <w:tc>
          <w:tcPr>
            <w:tcW w:w="1450" w:type="dxa"/>
            <w:tcBorders>
              <w:top w:val="single" w:color="auto" w:sz="12" w:space="0"/>
              <w:bottom w:val="double" w:color="auto" w:sz="6" w:space="0"/>
            </w:tcBorders>
          </w:tcPr>
          <w:p w14:paraId="4E88E1B9">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移交时间</w:t>
            </w:r>
          </w:p>
        </w:tc>
        <w:tc>
          <w:tcPr>
            <w:tcW w:w="1670" w:type="dxa"/>
            <w:tcBorders>
              <w:top w:val="single" w:color="auto" w:sz="12" w:space="0"/>
              <w:bottom w:val="double" w:color="auto" w:sz="6" w:space="0"/>
            </w:tcBorders>
          </w:tcPr>
          <w:p w14:paraId="0BAC6457">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责任人</w:t>
            </w:r>
          </w:p>
        </w:tc>
      </w:tr>
      <w:tr w14:paraId="2ABCB7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Borders>
              <w:top w:val="double" w:color="auto" w:sz="6" w:space="0"/>
              <w:bottom w:val="single" w:color="auto" w:sz="6" w:space="0"/>
            </w:tcBorders>
            <w:vAlign w:val="center"/>
          </w:tcPr>
          <w:p w14:paraId="5A2540AD">
            <w:pPr>
              <w:pStyle w:val="16"/>
              <w:rPr>
                <w:rFonts w:hint="eastAsia" w:ascii="宋体" w:hAnsi="宋体" w:cs="宋体"/>
                <w:color w:val="000000" w:themeColor="text1"/>
                <w14:textFill>
                  <w14:solidFill>
                    <w14:schemeClr w14:val="tx1"/>
                  </w14:solidFill>
                </w14:textFill>
              </w:rPr>
            </w:pPr>
          </w:p>
        </w:tc>
        <w:tc>
          <w:tcPr>
            <w:tcW w:w="1276" w:type="dxa"/>
            <w:tcBorders>
              <w:top w:val="double" w:color="auto" w:sz="6" w:space="0"/>
              <w:bottom w:val="single" w:color="auto" w:sz="6" w:space="0"/>
            </w:tcBorders>
            <w:vAlign w:val="center"/>
          </w:tcPr>
          <w:p w14:paraId="2D754B6C">
            <w:pPr>
              <w:pStyle w:val="16"/>
              <w:rPr>
                <w:rFonts w:hint="eastAsia" w:ascii="宋体" w:hAnsi="宋体" w:cs="宋体"/>
                <w:color w:val="000000" w:themeColor="text1"/>
                <w14:textFill>
                  <w14:solidFill>
                    <w14:schemeClr w14:val="tx1"/>
                  </w14:solidFill>
                </w14:textFill>
              </w:rPr>
            </w:pPr>
          </w:p>
        </w:tc>
        <w:tc>
          <w:tcPr>
            <w:tcW w:w="1450" w:type="dxa"/>
            <w:tcBorders>
              <w:top w:val="double" w:color="auto" w:sz="6" w:space="0"/>
              <w:bottom w:val="single" w:color="auto" w:sz="6" w:space="0"/>
            </w:tcBorders>
            <w:vAlign w:val="center"/>
          </w:tcPr>
          <w:p w14:paraId="0F0A4213">
            <w:pPr>
              <w:pStyle w:val="16"/>
              <w:rPr>
                <w:rFonts w:hint="eastAsia" w:ascii="宋体" w:hAnsi="宋体" w:cs="宋体"/>
                <w:color w:val="000000" w:themeColor="text1"/>
                <w14:textFill>
                  <w14:solidFill>
                    <w14:schemeClr w14:val="tx1"/>
                  </w14:solidFill>
                </w14:textFill>
              </w:rPr>
            </w:pPr>
          </w:p>
        </w:tc>
        <w:tc>
          <w:tcPr>
            <w:tcW w:w="1243" w:type="dxa"/>
            <w:tcBorders>
              <w:top w:val="double" w:color="auto" w:sz="6" w:space="0"/>
              <w:bottom w:val="single" w:color="auto" w:sz="6" w:space="0"/>
            </w:tcBorders>
            <w:vAlign w:val="center"/>
          </w:tcPr>
          <w:p w14:paraId="3DF08425">
            <w:pPr>
              <w:pStyle w:val="16"/>
              <w:rPr>
                <w:rFonts w:hint="eastAsia" w:ascii="宋体" w:hAnsi="宋体" w:cs="宋体"/>
                <w:color w:val="000000" w:themeColor="text1"/>
                <w14:textFill>
                  <w14:solidFill>
                    <w14:schemeClr w14:val="tx1"/>
                  </w14:solidFill>
                </w14:textFill>
              </w:rPr>
            </w:pPr>
          </w:p>
        </w:tc>
        <w:tc>
          <w:tcPr>
            <w:tcW w:w="1450" w:type="dxa"/>
            <w:tcBorders>
              <w:top w:val="double" w:color="auto" w:sz="6" w:space="0"/>
              <w:bottom w:val="single" w:color="auto" w:sz="6" w:space="0"/>
            </w:tcBorders>
            <w:vAlign w:val="center"/>
          </w:tcPr>
          <w:p w14:paraId="0E1A1453">
            <w:pPr>
              <w:pStyle w:val="16"/>
              <w:rPr>
                <w:rFonts w:hint="eastAsia" w:ascii="宋体" w:hAnsi="宋体" w:cs="宋体"/>
                <w:color w:val="000000" w:themeColor="text1"/>
                <w14:textFill>
                  <w14:solidFill>
                    <w14:schemeClr w14:val="tx1"/>
                  </w14:solidFill>
                </w14:textFill>
              </w:rPr>
            </w:pPr>
          </w:p>
        </w:tc>
        <w:tc>
          <w:tcPr>
            <w:tcW w:w="1670" w:type="dxa"/>
            <w:tcBorders>
              <w:top w:val="double" w:color="auto" w:sz="6" w:space="0"/>
              <w:bottom w:val="single" w:color="auto" w:sz="6" w:space="0"/>
            </w:tcBorders>
            <w:vAlign w:val="center"/>
          </w:tcPr>
          <w:p w14:paraId="6B3CF6CE">
            <w:pPr>
              <w:pStyle w:val="16"/>
              <w:rPr>
                <w:rFonts w:hint="eastAsia" w:ascii="宋体" w:hAnsi="宋体" w:cs="宋体"/>
                <w:color w:val="000000" w:themeColor="text1"/>
                <w14:textFill>
                  <w14:solidFill>
                    <w14:schemeClr w14:val="tx1"/>
                  </w14:solidFill>
                </w14:textFill>
              </w:rPr>
            </w:pPr>
          </w:p>
        </w:tc>
      </w:tr>
      <w:tr w14:paraId="6DAF85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Borders>
              <w:top w:val="nil"/>
            </w:tcBorders>
            <w:vAlign w:val="center"/>
          </w:tcPr>
          <w:p w14:paraId="5C064659">
            <w:pPr>
              <w:pStyle w:val="16"/>
              <w:rPr>
                <w:rFonts w:hint="eastAsia" w:ascii="宋体" w:hAnsi="宋体" w:cs="宋体"/>
                <w:color w:val="000000" w:themeColor="text1"/>
                <w14:textFill>
                  <w14:solidFill>
                    <w14:schemeClr w14:val="tx1"/>
                  </w14:solidFill>
                </w14:textFill>
              </w:rPr>
            </w:pPr>
          </w:p>
        </w:tc>
        <w:tc>
          <w:tcPr>
            <w:tcW w:w="1276" w:type="dxa"/>
            <w:tcBorders>
              <w:top w:val="nil"/>
            </w:tcBorders>
            <w:vAlign w:val="center"/>
          </w:tcPr>
          <w:p w14:paraId="54206083">
            <w:pPr>
              <w:pStyle w:val="16"/>
              <w:rPr>
                <w:rFonts w:hint="eastAsia" w:ascii="宋体" w:hAnsi="宋体" w:cs="宋体"/>
                <w:color w:val="000000" w:themeColor="text1"/>
                <w14:textFill>
                  <w14:solidFill>
                    <w14:schemeClr w14:val="tx1"/>
                  </w14:solidFill>
                </w14:textFill>
              </w:rPr>
            </w:pPr>
          </w:p>
        </w:tc>
        <w:tc>
          <w:tcPr>
            <w:tcW w:w="1450" w:type="dxa"/>
            <w:tcBorders>
              <w:top w:val="nil"/>
            </w:tcBorders>
            <w:vAlign w:val="center"/>
          </w:tcPr>
          <w:p w14:paraId="6DBE1030">
            <w:pPr>
              <w:pStyle w:val="16"/>
              <w:rPr>
                <w:rFonts w:hint="eastAsia" w:ascii="宋体" w:hAnsi="宋体" w:cs="宋体"/>
                <w:color w:val="000000" w:themeColor="text1"/>
                <w14:textFill>
                  <w14:solidFill>
                    <w14:schemeClr w14:val="tx1"/>
                  </w14:solidFill>
                </w14:textFill>
              </w:rPr>
            </w:pPr>
          </w:p>
        </w:tc>
        <w:tc>
          <w:tcPr>
            <w:tcW w:w="1243" w:type="dxa"/>
            <w:tcBorders>
              <w:top w:val="nil"/>
            </w:tcBorders>
            <w:vAlign w:val="center"/>
          </w:tcPr>
          <w:p w14:paraId="07B5EA7E">
            <w:pPr>
              <w:pStyle w:val="16"/>
              <w:rPr>
                <w:rFonts w:hint="eastAsia" w:ascii="宋体" w:hAnsi="宋体" w:cs="宋体"/>
                <w:color w:val="000000" w:themeColor="text1"/>
                <w14:textFill>
                  <w14:solidFill>
                    <w14:schemeClr w14:val="tx1"/>
                  </w14:solidFill>
                </w14:textFill>
              </w:rPr>
            </w:pPr>
          </w:p>
        </w:tc>
        <w:tc>
          <w:tcPr>
            <w:tcW w:w="1450" w:type="dxa"/>
            <w:tcBorders>
              <w:top w:val="nil"/>
            </w:tcBorders>
            <w:vAlign w:val="center"/>
          </w:tcPr>
          <w:p w14:paraId="59C44866">
            <w:pPr>
              <w:pStyle w:val="16"/>
              <w:rPr>
                <w:rFonts w:hint="eastAsia" w:ascii="宋体" w:hAnsi="宋体" w:cs="宋体"/>
                <w:color w:val="000000" w:themeColor="text1"/>
                <w14:textFill>
                  <w14:solidFill>
                    <w14:schemeClr w14:val="tx1"/>
                  </w14:solidFill>
                </w14:textFill>
              </w:rPr>
            </w:pPr>
          </w:p>
        </w:tc>
        <w:tc>
          <w:tcPr>
            <w:tcW w:w="1670" w:type="dxa"/>
            <w:tcBorders>
              <w:top w:val="nil"/>
            </w:tcBorders>
            <w:vAlign w:val="center"/>
          </w:tcPr>
          <w:p w14:paraId="402D68B4">
            <w:pPr>
              <w:pStyle w:val="16"/>
              <w:rPr>
                <w:rFonts w:hint="eastAsia" w:ascii="宋体" w:hAnsi="宋体" w:cs="宋体"/>
                <w:color w:val="000000" w:themeColor="text1"/>
                <w14:textFill>
                  <w14:solidFill>
                    <w14:schemeClr w14:val="tx1"/>
                  </w14:solidFill>
                </w14:textFill>
              </w:rPr>
            </w:pPr>
          </w:p>
        </w:tc>
      </w:tr>
      <w:tr w14:paraId="4AD2E8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center"/>
          </w:tcPr>
          <w:p w14:paraId="15CD7385">
            <w:pPr>
              <w:pStyle w:val="16"/>
              <w:rPr>
                <w:rFonts w:hint="eastAsia" w:ascii="宋体" w:hAnsi="宋体" w:cs="宋体"/>
                <w:color w:val="000000" w:themeColor="text1"/>
                <w14:textFill>
                  <w14:solidFill>
                    <w14:schemeClr w14:val="tx1"/>
                  </w14:solidFill>
                </w14:textFill>
              </w:rPr>
            </w:pPr>
          </w:p>
        </w:tc>
        <w:tc>
          <w:tcPr>
            <w:tcW w:w="1276" w:type="dxa"/>
            <w:vAlign w:val="center"/>
          </w:tcPr>
          <w:p w14:paraId="754E41E0">
            <w:pPr>
              <w:pStyle w:val="16"/>
              <w:rPr>
                <w:rFonts w:hint="eastAsia" w:ascii="宋体" w:hAnsi="宋体" w:cs="宋体"/>
                <w:color w:val="000000" w:themeColor="text1"/>
                <w14:textFill>
                  <w14:solidFill>
                    <w14:schemeClr w14:val="tx1"/>
                  </w14:solidFill>
                </w14:textFill>
              </w:rPr>
            </w:pPr>
          </w:p>
        </w:tc>
        <w:tc>
          <w:tcPr>
            <w:tcW w:w="1450" w:type="dxa"/>
            <w:vAlign w:val="center"/>
          </w:tcPr>
          <w:p w14:paraId="18996FD2">
            <w:pPr>
              <w:pStyle w:val="16"/>
              <w:rPr>
                <w:rFonts w:hint="eastAsia" w:ascii="宋体" w:hAnsi="宋体" w:cs="宋体"/>
                <w:color w:val="000000" w:themeColor="text1"/>
                <w14:textFill>
                  <w14:solidFill>
                    <w14:schemeClr w14:val="tx1"/>
                  </w14:solidFill>
                </w14:textFill>
              </w:rPr>
            </w:pPr>
          </w:p>
        </w:tc>
        <w:tc>
          <w:tcPr>
            <w:tcW w:w="1243" w:type="dxa"/>
            <w:vAlign w:val="center"/>
          </w:tcPr>
          <w:p w14:paraId="69E869C5">
            <w:pPr>
              <w:pStyle w:val="16"/>
              <w:rPr>
                <w:rFonts w:hint="eastAsia" w:ascii="宋体" w:hAnsi="宋体" w:cs="宋体"/>
                <w:color w:val="000000" w:themeColor="text1"/>
                <w14:textFill>
                  <w14:solidFill>
                    <w14:schemeClr w14:val="tx1"/>
                  </w14:solidFill>
                </w14:textFill>
              </w:rPr>
            </w:pPr>
          </w:p>
        </w:tc>
        <w:tc>
          <w:tcPr>
            <w:tcW w:w="1450" w:type="dxa"/>
            <w:vAlign w:val="center"/>
          </w:tcPr>
          <w:p w14:paraId="0B261276">
            <w:pPr>
              <w:pStyle w:val="16"/>
              <w:rPr>
                <w:rFonts w:hint="eastAsia" w:ascii="宋体" w:hAnsi="宋体" w:cs="宋体"/>
                <w:color w:val="000000" w:themeColor="text1"/>
                <w14:textFill>
                  <w14:solidFill>
                    <w14:schemeClr w14:val="tx1"/>
                  </w14:solidFill>
                </w14:textFill>
              </w:rPr>
            </w:pPr>
          </w:p>
        </w:tc>
        <w:tc>
          <w:tcPr>
            <w:tcW w:w="1670" w:type="dxa"/>
            <w:vAlign w:val="center"/>
          </w:tcPr>
          <w:p w14:paraId="0E867187">
            <w:pPr>
              <w:pStyle w:val="16"/>
              <w:rPr>
                <w:rFonts w:hint="eastAsia" w:ascii="宋体" w:hAnsi="宋体" w:cs="宋体"/>
                <w:color w:val="000000" w:themeColor="text1"/>
                <w14:textFill>
                  <w14:solidFill>
                    <w14:schemeClr w14:val="tx1"/>
                  </w14:solidFill>
                </w14:textFill>
              </w:rPr>
            </w:pPr>
          </w:p>
        </w:tc>
      </w:tr>
      <w:tr w14:paraId="51DFA5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center"/>
          </w:tcPr>
          <w:p w14:paraId="2D4E961C">
            <w:pPr>
              <w:pStyle w:val="16"/>
              <w:rPr>
                <w:rFonts w:hint="eastAsia" w:ascii="宋体" w:hAnsi="宋体" w:cs="宋体"/>
                <w:color w:val="000000" w:themeColor="text1"/>
                <w14:textFill>
                  <w14:solidFill>
                    <w14:schemeClr w14:val="tx1"/>
                  </w14:solidFill>
                </w14:textFill>
              </w:rPr>
            </w:pPr>
          </w:p>
        </w:tc>
        <w:tc>
          <w:tcPr>
            <w:tcW w:w="1276" w:type="dxa"/>
            <w:vAlign w:val="center"/>
          </w:tcPr>
          <w:p w14:paraId="22FE02CB">
            <w:pPr>
              <w:pStyle w:val="16"/>
              <w:rPr>
                <w:rFonts w:hint="eastAsia" w:ascii="宋体" w:hAnsi="宋体" w:cs="宋体"/>
                <w:color w:val="000000" w:themeColor="text1"/>
                <w14:textFill>
                  <w14:solidFill>
                    <w14:schemeClr w14:val="tx1"/>
                  </w14:solidFill>
                </w14:textFill>
              </w:rPr>
            </w:pPr>
          </w:p>
        </w:tc>
        <w:tc>
          <w:tcPr>
            <w:tcW w:w="1450" w:type="dxa"/>
            <w:vAlign w:val="center"/>
          </w:tcPr>
          <w:p w14:paraId="72654557">
            <w:pPr>
              <w:pStyle w:val="16"/>
              <w:rPr>
                <w:rFonts w:hint="eastAsia" w:ascii="宋体" w:hAnsi="宋体" w:cs="宋体"/>
                <w:color w:val="000000" w:themeColor="text1"/>
                <w14:textFill>
                  <w14:solidFill>
                    <w14:schemeClr w14:val="tx1"/>
                  </w14:solidFill>
                </w14:textFill>
              </w:rPr>
            </w:pPr>
          </w:p>
        </w:tc>
        <w:tc>
          <w:tcPr>
            <w:tcW w:w="1243" w:type="dxa"/>
            <w:vAlign w:val="center"/>
          </w:tcPr>
          <w:p w14:paraId="111D6ABB">
            <w:pPr>
              <w:pStyle w:val="16"/>
              <w:rPr>
                <w:rFonts w:hint="eastAsia" w:ascii="宋体" w:hAnsi="宋体" w:cs="宋体"/>
                <w:color w:val="000000" w:themeColor="text1"/>
                <w14:textFill>
                  <w14:solidFill>
                    <w14:schemeClr w14:val="tx1"/>
                  </w14:solidFill>
                </w14:textFill>
              </w:rPr>
            </w:pPr>
          </w:p>
        </w:tc>
        <w:tc>
          <w:tcPr>
            <w:tcW w:w="1450" w:type="dxa"/>
            <w:vAlign w:val="center"/>
          </w:tcPr>
          <w:p w14:paraId="1150ED96">
            <w:pPr>
              <w:pStyle w:val="16"/>
              <w:rPr>
                <w:rFonts w:hint="eastAsia" w:ascii="宋体" w:hAnsi="宋体" w:cs="宋体"/>
                <w:color w:val="000000" w:themeColor="text1"/>
                <w14:textFill>
                  <w14:solidFill>
                    <w14:schemeClr w14:val="tx1"/>
                  </w14:solidFill>
                </w14:textFill>
              </w:rPr>
            </w:pPr>
          </w:p>
        </w:tc>
        <w:tc>
          <w:tcPr>
            <w:tcW w:w="1670" w:type="dxa"/>
            <w:vAlign w:val="center"/>
          </w:tcPr>
          <w:p w14:paraId="60C141D4">
            <w:pPr>
              <w:pStyle w:val="16"/>
              <w:rPr>
                <w:rFonts w:hint="eastAsia" w:ascii="宋体" w:hAnsi="宋体" w:cs="宋体"/>
                <w:color w:val="000000" w:themeColor="text1"/>
                <w14:textFill>
                  <w14:solidFill>
                    <w14:schemeClr w14:val="tx1"/>
                  </w14:solidFill>
                </w14:textFill>
              </w:rPr>
            </w:pPr>
          </w:p>
        </w:tc>
      </w:tr>
      <w:tr w14:paraId="26751F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center"/>
          </w:tcPr>
          <w:p w14:paraId="33F91249">
            <w:pPr>
              <w:pStyle w:val="16"/>
              <w:rPr>
                <w:rFonts w:hint="eastAsia" w:ascii="宋体" w:hAnsi="宋体" w:cs="宋体"/>
                <w:color w:val="000000" w:themeColor="text1"/>
                <w14:textFill>
                  <w14:solidFill>
                    <w14:schemeClr w14:val="tx1"/>
                  </w14:solidFill>
                </w14:textFill>
              </w:rPr>
            </w:pPr>
          </w:p>
        </w:tc>
        <w:tc>
          <w:tcPr>
            <w:tcW w:w="1276" w:type="dxa"/>
            <w:vAlign w:val="center"/>
          </w:tcPr>
          <w:p w14:paraId="214B11D8">
            <w:pPr>
              <w:pStyle w:val="16"/>
              <w:rPr>
                <w:rFonts w:hint="eastAsia" w:ascii="宋体" w:hAnsi="宋体" w:cs="宋体"/>
                <w:color w:val="000000" w:themeColor="text1"/>
                <w14:textFill>
                  <w14:solidFill>
                    <w14:schemeClr w14:val="tx1"/>
                  </w14:solidFill>
                </w14:textFill>
              </w:rPr>
            </w:pPr>
          </w:p>
        </w:tc>
        <w:tc>
          <w:tcPr>
            <w:tcW w:w="1450" w:type="dxa"/>
            <w:vAlign w:val="center"/>
          </w:tcPr>
          <w:p w14:paraId="262CA156">
            <w:pPr>
              <w:pStyle w:val="16"/>
              <w:rPr>
                <w:rFonts w:hint="eastAsia" w:ascii="宋体" w:hAnsi="宋体" w:cs="宋体"/>
                <w:color w:val="000000" w:themeColor="text1"/>
                <w14:textFill>
                  <w14:solidFill>
                    <w14:schemeClr w14:val="tx1"/>
                  </w14:solidFill>
                </w14:textFill>
              </w:rPr>
            </w:pPr>
          </w:p>
        </w:tc>
        <w:tc>
          <w:tcPr>
            <w:tcW w:w="1243" w:type="dxa"/>
            <w:vAlign w:val="center"/>
          </w:tcPr>
          <w:p w14:paraId="5B8BE83A">
            <w:pPr>
              <w:pStyle w:val="16"/>
              <w:rPr>
                <w:rFonts w:hint="eastAsia" w:ascii="宋体" w:hAnsi="宋体" w:cs="宋体"/>
                <w:color w:val="000000" w:themeColor="text1"/>
                <w14:textFill>
                  <w14:solidFill>
                    <w14:schemeClr w14:val="tx1"/>
                  </w14:solidFill>
                </w14:textFill>
              </w:rPr>
            </w:pPr>
          </w:p>
        </w:tc>
        <w:tc>
          <w:tcPr>
            <w:tcW w:w="1450" w:type="dxa"/>
            <w:vAlign w:val="center"/>
          </w:tcPr>
          <w:p w14:paraId="2B9A4DAA">
            <w:pPr>
              <w:pStyle w:val="16"/>
              <w:rPr>
                <w:rFonts w:hint="eastAsia" w:ascii="宋体" w:hAnsi="宋体" w:cs="宋体"/>
                <w:color w:val="000000" w:themeColor="text1"/>
                <w14:textFill>
                  <w14:solidFill>
                    <w14:schemeClr w14:val="tx1"/>
                  </w14:solidFill>
                </w14:textFill>
              </w:rPr>
            </w:pPr>
          </w:p>
        </w:tc>
        <w:tc>
          <w:tcPr>
            <w:tcW w:w="1670" w:type="dxa"/>
            <w:vAlign w:val="center"/>
          </w:tcPr>
          <w:p w14:paraId="34C9670C">
            <w:pPr>
              <w:pStyle w:val="16"/>
              <w:rPr>
                <w:rFonts w:hint="eastAsia" w:ascii="宋体" w:hAnsi="宋体" w:cs="宋体"/>
                <w:color w:val="000000" w:themeColor="text1"/>
                <w14:textFill>
                  <w14:solidFill>
                    <w14:schemeClr w14:val="tx1"/>
                  </w14:solidFill>
                </w14:textFill>
              </w:rPr>
            </w:pPr>
          </w:p>
        </w:tc>
      </w:tr>
      <w:tr w14:paraId="159FAF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center"/>
          </w:tcPr>
          <w:p w14:paraId="5292EF60">
            <w:pPr>
              <w:pStyle w:val="16"/>
              <w:rPr>
                <w:rFonts w:hint="eastAsia" w:ascii="宋体" w:hAnsi="宋体" w:cs="宋体"/>
                <w:color w:val="000000" w:themeColor="text1"/>
                <w14:textFill>
                  <w14:solidFill>
                    <w14:schemeClr w14:val="tx1"/>
                  </w14:solidFill>
                </w14:textFill>
              </w:rPr>
            </w:pPr>
          </w:p>
        </w:tc>
        <w:tc>
          <w:tcPr>
            <w:tcW w:w="1276" w:type="dxa"/>
            <w:vAlign w:val="center"/>
          </w:tcPr>
          <w:p w14:paraId="6351C910">
            <w:pPr>
              <w:pStyle w:val="16"/>
              <w:rPr>
                <w:rFonts w:hint="eastAsia" w:ascii="宋体" w:hAnsi="宋体" w:cs="宋体"/>
                <w:color w:val="000000" w:themeColor="text1"/>
                <w14:textFill>
                  <w14:solidFill>
                    <w14:schemeClr w14:val="tx1"/>
                  </w14:solidFill>
                </w14:textFill>
              </w:rPr>
            </w:pPr>
          </w:p>
        </w:tc>
        <w:tc>
          <w:tcPr>
            <w:tcW w:w="1450" w:type="dxa"/>
            <w:vAlign w:val="center"/>
          </w:tcPr>
          <w:p w14:paraId="2C5FDB57">
            <w:pPr>
              <w:pStyle w:val="16"/>
              <w:rPr>
                <w:rFonts w:hint="eastAsia" w:ascii="宋体" w:hAnsi="宋体" w:cs="宋体"/>
                <w:color w:val="000000" w:themeColor="text1"/>
                <w14:textFill>
                  <w14:solidFill>
                    <w14:schemeClr w14:val="tx1"/>
                  </w14:solidFill>
                </w14:textFill>
              </w:rPr>
            </w:pPr>
          </w:p>
        </w:tc>
        <w:tc>
          <w:tcPr>
            <w:tcW w:w="1243" w:type="dxa"/>
            <w:vAlign w:val="center"/>
          </w:tcPr>
          <w:p w14:paraId="64933262">
            <w:pPr>
              <w:pStyle w:val="16"/>
              <w:rPr>
                <w:rFonts w:hint="eastAsia" w:ascii="宋体" w:hAnsi="宋体" w:cs="宋体"/>
                <w:color w:val="000000" w:themeColor="text1"/>
                <w14:textFill>
                  <w14:solidFill>
                    <w14:schemeClr w14:val="tx1"/>
                  </w14:solidFill>
                </w14:textFill>
              </w:rPr>
            </w:pPr>
          </w:p>
        </w:tc>
        <w:tc>
          <w:tcPr>
            <w:tcW w:w="1450" w:type="dxa"/>
            <w:vAlign w:val="center"/>
          </w:tcPr>
          <w:p w14:paraId="0D8C9F52">
            <w:pPr>
              <w:pStyle w:val="16"/>
              <w:rPr>
                <w:rFonts w:hint="eastAsia" w:ascii="宋体" w:hAnsi="宋体" w:cs="宋体"/>
                <w:color w:val="000000" w:themeColor="text1"/>
                <w14:textFill>
                  <w14:solidFill>
                    <w14:schemeClr w14:val="tx1"/>
                  </w14:solidFill>
                </w14:textFill>
              </w:rPr>
            </w:pPr>
          </w:p>
        </w:tc>
        <w:tc>
          <w:tcPr>
            <w:tcW w:w="1670" w:type="dxa"/>
            <w:vAlign w:val="center"/>
          </w:tcPr>
          <w:p w14:paraId="6D438455">
            <w:pPr>
              <w:pStyle w:val="16"/>
              <w:rPr>
                <w:rFonts w:hint="eastAsia" w:ascii="宋体" w:hAnsi="宋体" w:cs="宋体"/>
                <w:color w:val="000000" w:themeColor="text1"/>
                <w14:textFill>
                  <w14:solidFill>
                    <w14:schemeClr w14:val="tx1"/>
                  </w14:solidFill>
                </w14:textFill>
              </w:rPr>
            </w:pPr>
          </w:p>
        </w:tc>
      </w:tr>
      <w:tr w14:paraId="27520C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center"/>
          </w:tcPr>
          <w:p w14:paraId="4C187F84">
            <w:pPr>
              <w:pStyle w:val="16"/>
              <w:rPr>
                <w:rFonts w:hint="eastAsia" w:ascii="宋体" w:hAnsi="宋体" w:cs="宋体"/>
                <w:color w:val="000000" w:themeColor="text1"/>
                <w14:textFill>
                  <w14:solidFill>
                    <w14:schemeClr w14:val="tx1"/>
                  </w14:solidFill>
                </w14:textFill>
              </w:rPr>
            </w:pPr>
          </w:p>
        </w:tc>
        <w:tc>
          <w:tcPr>
            <w:tcW w:w="1276" w:type="dxa"/>
            <w:vAlign w:val="center"/>
          </w:tcPr>
          <w:p w14:paraId="27613128">
            <w:pPr>
              <w:pStyle w:val="16"/>
              <w:rPr>
                <w:rFonts w:hint="eastAsia" w:ascii="宋体" w:hAnsi="宋体" w:cs="宋体"/>
                <w:color w:val="000000" w:themeColor="text1"/>
                <w14:textFill>
                  <w14:solidFill>
                    <w14:schemeClr w14:val="tx1"/>
                  </w14:solidFill>
                </w14:textFill>
              </w:rPr>
            </w:pPr>
          </w:p>
        </w:tc>
        <w:tc>
          <w:tcPr>
            <w:tcW w:w="1450" w:type="dxa"/>
            <w:vAlign w:val="center"/>
          </w:tcPr>
          <w:p w14:paraId="551E336C">
            <w:pPr>
              <w:pStyle w:val="16"/>
              <w:rPr>
                <w:rFonts w:hint="eastAsia" w:ascii="宋体" w:hAnsi="宋体" w:cs="宋体"/>
                <w:color w:val="000000" w:themeColor="text1"/>
                <w14:textFill>
                  <w14:solidFill>
                    <w14:schemeClr w14:val="tx1"/>
                  </w14:solidFill>
                </w14:textFill>
              </w:rPr>
            </w:pPr>
          </w:p>
        </w:tc>
        <w:tc>
          <w:tcPr>
            <w:tcW w:w="1243" w:type="dxa"/>
            <w:vAlign w:val="center"/>
          </w:tcPr>
          <w:p w14:paraId="52A86902">
            <w:pPr>
              <w:pStyle w:val="16"/>
              <w:rPr>
                <w:rFonts w:hint="eastAsia" w:ascii="宋体" w:hAnsi="宋体" w:cs="宋体"/>
                <w:color w:val="000000" w:themeColor="text1"/>
                <w14:textFill>
                  <w14:solidFill>
                    <w14:schemeClr w14:val="tx1"/>
                  </w14:solidFill>
                </w14:textFill>
              </w:rPr>
            </w:pPr>
          </w:p>
        </w:tc>
        <w:tc>
          <w:tcPr>
            <w:tcW w:w="1450" w:type="dxa"/>
            <w:vAlign w:val="center"/>
          </w:tcPr>
          <w:p w14:paraId="3F012564">
            <w:pPr>
              <w:pStyle w:val="16"/>
              <w:rPr>
                <w:rFonts w:hint="eastAsia" w:ascii="宋体" w:hAnsi="宋体" w:cs="宋体"/>
                <w:color w:val="000000" w:themeColor="text1"/>
                <w14:textFill>
                  <w14:solidFill>
                    <w14:schemeClr w14:val="tx1"/>
                  </w14:solidFill>
                </w14:textFill>
              </w:rPr>
            </w:pPr>
          </w:p>
        </w:tc>
        <w:tc>
          <w:tcPr>
            <w:tcW w:w="1670" w:type="dxa"/>
            <w:vAlign w:val="center"/>
          </w:tcPr>
          <w:p w14:paraId="27BD5FA9">
            <w:pPr>
              <w:pStyle w:val="16"/>
              <w:rPr>
                <w:rFonts w:hint="eastAsia" w:ascii="宋体" w:hAnsi="宋体" w:cs="宋体"/>
                <w:color w:val="000000" w:themeColor="text1"/>
                <w14:textFill>
                  <w14:solidFill>
                    <w14:schemeClr w14:val="tx1"/>
                  </w14:solidFill>
                </w14:textFill>
              </w:rPr>
            </w:pPr>
          </w:p>
        </w:tc>
      </w:tr>
      <w:tr w14:paraId="4D8845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center"/>
          </w:tcPr>
          <w:p w14:paraId="1D5347B6">
            <w:pPr>
              <w:pStyle w:val="16"/>
              <w:rPr>
                <w:rFonts w:hint="eastAsia" w:ascii="宋体" w:hAnsi="宋体" w:cs="宋体"/>
                <w:color w:val="000000" w:themeColor="text1"/>
                <w14:textFill>
                  <w14:solidFill>
                    <w14:schemeClr w14:val="tx1"/>
                  </w14:solidFill>
                </w14:textFill>
              </w:rPr>
            </w:pPr>
          </w:p>
        </w:tc>
        <w:tc>
          <w:tcPr>
            <w:tcW w:w="1276" w:type="dxa"/>
            <w:vAlign w:val="center"/>
          </w:tcPr>
          <w:p w14:paraId="01299054">
            <w:pPr>
              <w:pStyle w:val="16"/>
              <w:rPr>
                <w:rFonts w:hint="eastAsia" w:ascii="宋体" w:hAnsi="宋体" w:cs="宋体"/>
                <w:color w:val="000000" w:themeColor="text1"/>
                <w14:textFill>
                  <w14:solidFill>
                    <w14:schemeClr w14:val="tx1"/>
                  </w14:solidFill>
                </w14:textFill>
              </w:rPr>
            </w:pPr>
          </w:p>
        </w:tc>
        <w:tc>
          <w:tcPr>
            <w:tcW w:w="1450" w:type="dxa"/>
            <w:vAlign w:val="center"/>
          </w:tcPr>
          <w:p w14:paraId="664C5C06">
            <w:pPr>
              <w:pStyle w:val="16"/>
              <w:rPr>
                <w:rFonts w:hint="eastAsia" w:ascii="宋体" w:hAnsi="宋体" w:cs="宋体"/>
                <w:color w:val="000000" w:themeColor="text1"/>
                <w14:textFill>
                  <w14:solidFill>
                    <w14:schemeClr w14:val="tx1"/>
                  </w14:solidFill>
                </w14:textFill>
              </w:rPr>
            </w:pPr>
          </w:p>
        </w:tc>
        <w:tc>
          <w:tcPr>
            <w:tcW w:w="1243" w:type="dxa"/>
            <w:vAlign w:val="center"/>
          </w:tcPr>
          <w:p w14:paraId="10C3E55F">
            <w:pPr>
              <w:pStyle w:val="16"/>
              <w:rPr>
                <w:rFonts w:hint="eastAsia" w:ascii="宋体" w:hAnsi="宋体" w:cs="宋体"/>
                <w:color w:val="000000" w:themeColor="text1"/>
                <w14:textFill>
                  <w14:solidFill>
                    <w14:schemeClr w14:val="tx1"/>
                  </w14:solidFill>
                </w14:textFill>
              </w:rPr>
            </w:pPr>
          </w:p>
        </w:tc>
        <w:tc>
          <w:tcPr>
            <w:tcW w:w="1450" w:type="dxa"/>
            <w:vAlign w:val="center"/>
          </w:tcPr>
          <w:p w14:paraId="6A714446">
            <w:pPr>
              <w:pStyle w:val="16"/>
              <w:rPr>
                <w:rFonts w:hint="eastAsia" w:ascii="宋体" w:hAnsi="宋体" w:cs="宋体"/>
                <w:color w:val="000000" w:themeColor="text1"/>
                <w14:textFill>
                  <w14:solidFill>
                    <w14:schemeClr w14:val="tx1"/>
                  </w14:solidFill>
                </w14:textFill>
              </w:rPr>
            </w:pPr>
          </w:p>
        </w:tc>
        <w:tc>
          <w:tcPr>
            <w:tcW w:w="1670" w:type="dxa"/>
            <w:vAlign w:val="center"/>
          </w:tcPr>
          <w:p w14:paraId="05C650C3">
            <w:pPr>
              <w:pStyle w:val="16"/>
              <w:rPr>
                <w:rFonts w:hint="eastAsia" w:ascii="宋体" w:hAnsi="宋体" w:cs="宋体"/>
                <w:color w:val="000000" w:themeColor="text1"/>
                <w14:textFill>
                  <w14:solidFill>
                    <w14:schemeClr w14:val="tx1"/>
                  </w14:solidFill>
                </w14:textFill>
              </w:rPr>
            </w:pPr>
          </w:p>
        </w:tc>
      </w:tr>
      <w:tr w14:paraId="1EAC4B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6C6B7927">
            <w:pPr>
              <w:rPr>
                <w:rFonts w:hint="eastAsia" w:ascii="宋体" w:hAnsi="宋体" w:cs="宋体"/>
                <w:color w:val="000000" w:themeColor="text1"/>
                <w14:textFill>
                  <w14:solidFill>
                    <w14:schemeClr w14:val="tx1"/>
                  </w14:solidFill>
                </w14:textFill>
              </w:rPr>
            </w:pPr>
          </w:p>
        </w:tc>
        <w:tc>
          <w:tcPr>
            <w:tcW w:w="1276" w:type="dxa"/>
          </w:tcPr>
          <w:p w14:paraId="1DA2F9AE">
            <w:pPr>
              <w:rPr>
                <w:rFonts w:hint="eastAsia" w:ascii="宋体" w:hAnsi="宋体" w:cs="宋体"/>
                <w:color w:val="000000" w:themeColor="text1"/>
                <w14:textFill>
                  <w14:solidFill>
                    <w14:schemeClr w14:val="tx1"/>
                  </w14:solidFill>
                </w14:textFill>
              </w:rPr>
            </w:pPr>
          </w:p>
        </w:tc>
        <w:tc>
          <w:tcPr>
            <w:tcW w:w="1450" w:type="dxa"/>
          </w:tcPr>
          <w:p w14:paraId="4061A067">
            <w:pPr>
              <w:rPr>
                <w:rFonts w:hint="eastAsia" w:ascii="宋体" w:hAnsi="宋体" w:cs="宋体"/>
                <w:color w:val="000000" w:themeColor="text1"/>
                <w14:textFill>
                  <w14:solidFill>
                    <w14:schemeClr w14:val="tx1"/>
                  </w14:solidFill>
                </w14:textFill>
              </w:rPr>
            </w:pPr>
          </w:p>
        </w:tc>
        <w:tc>
          <w:tcPr>
            <w:tcW w:w="1243" w:type="dxa"/>
          </w:tcPr>
          <w:p w14:paraId="33A258C0">
            <w:pPr>
              <w:rPr>
                <w:rFonts w:hint="eastAsia" w:ascii="宋体" w:hAnsi="宋体" w:cs="宋体"/>
                <w:color w:val="000000" w:themeColor="text1"/>
                <w14:textFill>
                  <w14:solidFill>
                    <w14:schemeClr w14:val="tx1"/>
                  </w14:solidFill>
                </w14:textFill>
              </w:rPr>
            </w:pPr>
          </w:p>
        </w:tc>
        <w:tc>
          <w:tcPr>
            <w:tcW w:w="1450" w:type="dxa"/>
          </w:tcPr>
          <w:p w14:paraId="02DE83B7">
            <w:pPr>
              <w:rPr>
                <w:rFonts w:hint="eastAsia" w:ascii="宋体" w:hAnsi="宋体" w:cs="宋体"/>
                <w:color w:val="000000" w:themeColor="text1"/>
                <w14:textFill>
                  <w14:solidFill>
                    <w14:schemeClr w14:val="tx1"/>
                  </w14:solidFill>
                </w14:textFill>
              </w:rPr>
            </w:pPr>
          </w:p>
        </w:tc>
        <w:tc>
          <w:tcPr>
            <w:tcW w:w="1670" w:type="dxa"/>
          </w:tcPr>
          <w:p w14:paraId="458D4185">
            <w:pPr>
              <w:rPr>
                <w:rFonts w:hint="eastAsia" w:ascii="宋体" w:hAnsi="宋体" w:cs="宋体"/>
                <w:color w:val="000000" w:themeColor="text1"/>
                <w14:textFill>
                  <w14:solidFill>
                    <w14:schemeClr w14:val="tx1"/>
                  </w14:solidFill>
                </w14:textFill>
              </w:rPr>
            </w:pPr>
          </w:p>
        </w:tc>
      </w:tr>
      <w:tr w14:paraId="40B04B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center"/>
          </w:tcPr>
          <w:p w14:paraId="33DA7B6F">
            <w:pPr>
              <w:pStyle w:val="16"/>
              <w:rPr>
                <w:rFonts w:hint="eastAsia" w:ascii="宋体" w:hAnsi="宋体" w:cs="宋体"/>
                <w:color w:val="000000" w:themeColor="text1"/>
                <w14:textFill>
                  <w14:solidFill>
                    <w14:schemeClr w14:val="tx1"/>
                  </w14:solidFill>
                </w14:textFill>
              </w:rPr>
            </w:pPr>
          </w:p>
        </w:tc>
        <w:tc>
          <w:tcPr>
            <w:tcW w:w="1276" w:type="dxa"/>
            <w:vAlign w:val="center"/>
          </w:tcPr>
          <w:p w14:paraId="304D818A">
            <w:pPr>
              <w:pStyle w:val="16"/>
              <w:rPr>
                <w:rFonts w:hint="eastAsia" w:ascii="宋体" w:hAnsi="宋体" w:cs="宋体"/>
                <w:color w:val="000000" w:themeColor="text1"/>
                <w14:textFill>
                  <w14:solidFill>
                    <w14:schemeClr w14:val="tx1"/>
                  </w14:solidFill>
                </w14:textFill>
              </w:rPr>
            </w:pPr>
          </w:p>
        </w:tc>
        <w:tc>
          <w:tcPr>
            <w:tcW w:w="1450" w:type="dxa"/>
            <w:vAlign w:val="center"/>
          </w:tcPr>
          <w:p w14:paraId="4708386C">
            <w:pPr>
              <w:pStyle w:val="16"/>
              <w:rPr>
                <w:rFonts w:hint="eastAsia" w:ascii="宋体" w:hAnsi="宋体" w:cs="宋体"/>
                <w:color w:val="000000" w:themeColor="text1"/>
                <w14:textFill>
                  <w14:solidFill>
                    <w14:schemeClr w14:val="tx1"/>
                  </w14:solidFill>
                </w14:textFill>
              </w:rPr>
            </w:pPr>
          </w:p>
        </w:tc>
        <w:tc>
          <w:tcPr>
            <w:tcW w:w="1243" w:type="dxa"/>
            <w:vAlign w:val="center"/>
          </w:tcPr>
          <w:p w14:paraId="5581676E">
            <w:pPr>
              <w:pStyle w:val="16"/>
              <w:rPr>
                <w:rFonts w:hint="eastAsia" w:ascii="宋体" w:hAnsi="宋体" w:cs="宋体"/>
                <w:color w:val="000000" w:themeColor="text1"/>
                <w14:textFill>
                  <w14:solidFill>
                    <w14:schemeClr w14:val="tx1"/>
                  </w14:solidFill>
                </w14:textFill>
              </w:rPr>
            </w:pPr>
          </w:p>
        </w:tc>
        <w:tc>
          <w:tcPr>
            <w:tcW w:w="1450" w:type="dxa"/>
            <w:vAlign w:val="center"/>
          </w:tcPr>
          <w:p w14:paraId="434163AA">
            <w:pPr>
              <w:pStyle w:val="16"/>
              <w:rPr>
                <w:rFonts w:hint="eastAsia" w:ascii="宋体" w:hAnsi="宋体" w:cs="宋体"/>
                <w:color w:val="000000" w:themeColor="text1"/>
                <w14:textFill>
                  <w14:solidFill>
                    <w14:schemeClr w14:val="tx1"/>
                  </w14:solidFill>
                </w14:textFill>
              </w:rPr>
            </w:pPr>
          </w:p>
        </w:tc>
        <w:tc>
          <w:tcPr>
            <w:tcW w:w="1670" w:type="dxa"/>
            <w:vAlign w:val="center"/>
          </w:tcPr>
          <w:p w14:paraId="0D407F5C">
            <w:pPr>
              <w:pStyle w:val="16"/>
              <w:rPr>
                <w:rFonts w:hint="eastAsia" w:ascii="宋体" w:hAnsi="宋体" w:cs="宋体"/>
                <w:color w:val="000000" w:themeColor="text1"/>
                <w14:textFill>
                  <w14:solidFill>
                    <w14:schemeClr w14:val="tx1"/>
                  </w14:solidFill>
                </w14:textFill>
              </w:rPr>
            </w:pPr>
          </w:p>
        </w:tc>
      </w:tr>
      <w:tr w14:paraId="6781A9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4DA5F82F">
            <w:pPr>
              <w:rPr>
                <w:rFonts w:hint="eastAsia" w:ascii="宋体" w:hAnsi="宋体" w:cs="宋体"/>
                <w:color w:val="000000" w:themeColor="text1"/>
                <w14:textFill>
                  <w14:solidFill>
                    <w14:schemeClr w14:val="tx1"/>
                  </w14:solidFill>
                </w14:textFill>
              </w:rPr>
            </w:pPr>
          </w:p>
        </w:tc>
        <w:tc>
          <w:tcPr>
            <w:tcW w:w="1276" w:type="dxa"/>
          </w:tcPr>
          <w:p w14:paraId="3D6C229E">
            <w:pPr>
              <w:rPr>
                <w:rFonts w:hint="eastAsia" w:ascii="宋体" w:hAnsi="宋体" w:cs="宋体"/>
                <w:color w:val="000000" w:themeColor="text1"/>
                <w14:textFill>
                  <w14:solidFill>
                    <w14:schemeClr w14:val="tx1"/>
                  </w14:solidFill>
                </w14:textFill>
              </w:rPr>
            </w:pPr>
          </w:p>
        </w:tc>
        <w:tc>
          <w:tcPr>
            <w:tcW w:w="1450" w:type="dxa"/>
          </w:tcPr>
          <w:p w14:paraId="7539F1FC">
            <w:pPr>
              <w:rPr>
                <w:rFonts w:hint="eastAsia" w:ascii="宋体" w:hAnsi="宋体" w:cs="宋体"/>
                <w:color w:val="000000" w:themeColor="text1"/>
                <w14:textFill>
                  <w14:solidFill>
                    <w14:schemeClr w14:val="tx1"/>
                  </w14:solidFill>
                </w14:textFill>
              </w:rPr>
            </w:pPr>
          </w:p>
        </w:tc>
        <w:tc>
          <w:tcPr>
            <w:tcW w:w="1243" w:type="dxa"/>
          </w:tcPr>
          <w:p w14:paraId="40044502">
            <w:pPr>
              <w:rPr>
                <w:rFonts w:hint="eastAsia" w:ascii="宋体" w:hAnsi="宋体" w:cs="宋体"/>
                <w:color w:val="000000" w:themeColor="text1"/>
                <w14:textFill>
                  <w14:solidFill>
                    <w14:schemeClr w14:val="tx1"/>
                  </w14:solidFill>
                </w14:textFill>
              </w:rPr>
            </w:pPr>
          </w:p>
        </w:tc>
        <w:tc>
          <w:tcPr>
            <w:tcW w:w="1450" w:type="dxa"/>
          </w:tcPr>
          <w:p w14:paraId="31537C82">
            <w:pPr>
              <w:rPr>
                <w:rFonts w:hint="eastAsia" w:ascii="宋体" w:hAnsi="宋体" w:cs="宋体"/>
                <w:color w:val="000000" w:themeColor="text1"/>
                <w14:textFill>
                  <w14:solidFill>
                    <w14:schemeClr w14:val="tx1"/>
                  </w14:solidFill>
                </w14:textFill>
              </w:rPr>
            </w:pPr>
          </w:p>
        </w:tc>
        <w:tc>
          <w:tcPr>
            <w:tcW w:w="1670" w:type="dxa"/>
          </w:tcPr>
          <w:p w14:paraId="6713A7E0">
            <w:pPr>
              <w:rPr>
                <w:rFonts w:hint="eastAsia" w:ascii="宋体" w:hAnsi="宋体" w:cs="宋体"/>
                <w:color w:val="000000" w:themeColor="text1"/>
                <w14:textFill>
                  <w14:solidFill>
                    <w14:schemeClr w14:val="tx1"/>
                  </w14:solidFill>
                </w14:textFill>
              </w:rPr>
            </w:pPr>
          </w:p>
        </w:tc>
      </w:tr>
      <w:tr w14:paraId="195A3B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7A77D495">
            <w:pPr>
              <w:rPr>
                <w:rFonts w:hint="eastAsia" w:ascii="宋体" w:hAnsi="宋体" w:cs="宋体"/>
                <w:color w:val="000000" w:themeColor="text1"/>
                <w14:textFill>
                  <w14:solidFill>
                    <w14:schemeClr w14:val="tx1"/>
                  </w14:solidFill>
                </w14:textFill>
              </w:rPr>
            </w:pPr>
          </w:p>
        </w:tc>
        <w:tc>
          <w:tcPr>
            <w:tcW w:w="1276" w:type="dxa"/>
          </w:tcPr>
          <w:p w14:paraId="59A0AAA6">
            <w:pPr>
              <w:rPr>
                <w:rFonts w:hint="eastAsia" w:ascii="宋体" w:hAnsi="宋体" w:cs="宋体"/>
                <w:color w:val="000000" w:themeColor="text1"/>
                <w14:textFill>
                  <w14:solidFill>
                    <w14:schemeClr w14:val="tx1"/>
                  </w14:solidFill>
                </w14:textFill>
              </w:rPr>
            </w:pPr>
          </w:p>
        </w:tc>
        <w:tc>
          <w:tcPr>
            <w:tcW w:w="1450" w:type="dxa"/>
          </w:tcPr>
          <w:p w14:paraId="15A473C8">
            <w:pPr>
              <w:rPr>
                <w:rFonts w:hint="eastAsia" w:ascii="宋体" w:hAnsi="宋体" w:cs="宋体"/>
                <w:color w:val="000000" w:themeColor="text1"/>
                <w14:textFill>
                  <w14:solidFill>
                    <w14:schemeClr w14:val="tx1"/>
                  </w14:solidFill>
                </w14:textFill>
              </w:rPr>
            </w:pPr>
          </w:p>
        </w:tc>
        <w:tc>
          <w:tcPr>
            <w:tcW w:w="1243" w:type="dxa"/>
          </w:tcPr>
          <w:p w14:paraId="34CB1C04">
            <w:pPr>
              <w:rPr>
                <w:rFonts w:hint="eastAsia" w:ascii="宋体" w:hAnsi="宋体" w:cs="宋体"/>
                <w:color w:val="000000" w:themeColor="text1"/>
                <w14:textFill>
                  <w14:solidFill>
                    <w14:schemeClr w14:val="tx1"/>
                  </w14:solidFill>
                </w14:textFill>
              </w:rPr>
            </w:pPr>
          </w:p>
        </w:tc>
        <w:tc>
          <w:tcPr>
            <w:tcW w:w="1450" w:type="dxa"/>
          </w:tcPr>
          <w:p w14:paraId="3F8BFF55">
            <w:pPr>
              <w:rPr>
                <w:rFonts w:hint="eastAsia" w:ascii="宋体" w:hAnsi="宋体" w:cs="宋体"/>
                <w:color w:val="000000" w:themeColor="text1"/>
                <w14:textFill>
                  <w14:solidFill>
                    <w14:schemeClr w14:val="tx1"/>
                  </w14:solidFill>
                </w14:textFill>
              </w:rPr>
            </w:pPr>
          </w:p>
        </w:tc>
        <w:tc>
          <w:tcPr>
            <w:tcW w:w="1670" w:type="dxa"/>
          </w:tcPr>
          <w:p w14:paraId="3C87E813">
            <w:pPr>
              <w:rPr>
                <w:rFonts w:hint="eastAsia" w:ascii="宋体" w:hAnsi="宋体" w:cs="宋体"/>
                <w:color w:val="000000" w:themeColor="text1"/>
                <w14:textFill>
                  <w14:solidFill>
                    <w14:schemeClr w14:val="tx1"/>
                  </w14:solidFill>
                </w14:textFill>
              </w:rPr>
            </w:pPr>
          </w:p>
        </w:tc>
      </w:tr>
      <w:tr w14:paraId="0B7CE5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61A778D4">
            <w:pPr>
              <w:rPr>
                <w:rFonts w:hint="eastAsia" w:ascii="宋体" w:hAnsi="宋体" w:cs="宋体"/>
                <w:color w:val="000000" w:themeColor="text1"/>
                <w14:textFill>
                  <w14:solidFill>
                    <w14:schemeClr w14:val="tx1"/>
                  </w14:solidFill>
                </w14:textFill>
              </w:rPr>
            </w:pPr>
          </w:p>
        </w:tc>
        <w:tc>
          <w:tcPr>
            <w:tcW w:w="1276" w:type="dxa"/>
          </w:tcPr>
          <w:p w14:paraId="6AE40596">
            <w:pPr>
              <w:rPr>
                <w:rFonts w:hint="eastAsia" w:ascii="宋体" w:hAnsi="宋体" w:cs="宋体"/>
                <w:color w:val="000000" w:themeColor="text1"/>
                <w14:textFill>
                  <w14:solidFill>
                    <w14:schemeClr w14:val="tx1"/>
                  </w14:solidFill>
                </w14:textFill>
              </w:rPr>
            </w:pPr>
          </w:p>
        </w:tc>
        <w:tc>
          <w:tcPr>
            <w:tcW w:w="1450" w:type="dxa"/>
          </w:tcPr>
          <w:p w14:paraId="1AD8C4D8">
            <w:pPr>
              <w:rPr>
                <w:rFonts w:hint="eastAsia" w:ascii="宋体" w:hAnsi="宋体" w:cs="宋体"/>
                <w:color w:val="000000" w:themeColor="text1"/>
                <w14:textFill>
                  <w14:solidFill>
                    <w14:schemeClr w14:val="tx1"/>
                  </w14:solidFill>
                </w14:textFill>
              </w:rPr>
            </w:pPr>
          </w:p>
        </w:tc>
        <w:tc>
          <w:tcPr>
            <w:tcW w:w="1243" w:type="dxa"/>
          </w:tcPr>
          <w:p w14:paraId="0EF3CD59">
            <w:pPr>
              <w:rPr>
                <w:rFonts w:hint="eastAsia" w:ascii="宋体" w:hAnsi="宋体" w:cs="宋体"/>
                <w:color w:val="000000" w:themeColor="text1"/>
                <w14:textFill>
                  <w14:solidFill>
                    <w14:schemeClr w14:val="tx1"/>
                  </w14:solidFill>
                </w14:textFill>
              </w:rPr>
            </w:pPr>
          </w:p>
        </w:tc>
        <w:tc>
          <w:tcPr>
            <w:tcW w:w="1450" w:type="dxa"/>
          </w:tcPr>
          <w:p w14:paraId="2EB160F8">
            <w:pPr>
              <w:rPr>
                <w:rFonts w:hint="eastAsia" w:ascii="宋体" w:hAnsi="宋体" w:cs="宋体"/>
                <w:color w:val="000000" w:themeColor="text1"/>
                <w14:textFill>
                  <w14:solidFill>
                    <w14:schemeClr w14:val="tx1"/>
                  </w14:solidFill>
                </w14:textFill>
              </w:rPr>
            </w:pPr>
          </w:p>
        </w:tc>
        <w:tc>
          <w:tcPr>
            <w:tcW w:w="1670" w:type="dxa"/>
          </w:tcPr>
          <w:p w14:paraId="1FAED165">
            <w:pPr>
              <w:rPr>
                <w:rFonts w:hint="eastAsia" w:ascii="宋体" w:hAnsi="宋体" w:cs="宋体"/>
                <w:color w:val="000000" w:themeColor="text1"/>
                <w14:textFill>
                  <w14:solidFill>
                    <w14:schemeClr w14:val="tx1"/>
                  </w14:solidFill>
                </w14:textFill>
              </w:rPr>
            </w:pPr>
          </w:p>
        </w:tc>
      </w:tr>
      <w:tr w14:paraId="5EBB2D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02116A4B">
            <w:pPr>
              <w:rPr>
                <w:rFonts w:hint="eastAsia" w:ascii="宋体" w:hAnsi="宋体" w:cs="宋体"/>
                <w:color w:val="000000" w:themeColor="text1"/>
                <w14:textFill>
                  <w14:solidFill>
                    <w14:schemeClr w14:val="tx1"/>
                  </w14:solidFill>
                </w14:textFill>
              </w:rPr>
            </w:pPr>
          </w:p>
        </w:tc>
        <w:tc>
          <w:tcPr>
            <w:tcW w:w="1276" w:type="dxa"/>
          </w:tcPr>
          <w:p w14:paraId="31A5328E">
            <w:pPr>
              <w:rPr>
                <w:rFonts w:hint="eastAsia" w:ascii="宋体" w:hAnsi="宋体" w:cs="宋体"/>
                <w:color w:val="000000" w:themeColor="text1"/>
                <w14:textFill>
                  <w14:solidFill>
                    <w14:schemeClr w14:val="tx1"/>
                  </w14:solidFill>
                </w14:textFill>
              </w:rPr>
            </w:pPr>
          </w:p>
        </w:tc>
        <w:tc>
          <w:tcPr>
            <w:tcW w:w="1450" w:type="dxa"/>
          </w:tcPr>
          <w:p w14:paraId="1B38044D">
            <w:pPr>
              <w:rPr>
                <w:rFonts w:hint="eastAsia" w:ascii="宋体" w:hAnsi="宋体" w:cs="宋体"/>
                <w:color w:val="000000" w:themeColor="text1"/>
                <w14:textFill>
                  <w14:solidFill>
                    <w14:schemeClr w14:val="tx1"/>
                  </w14:solidFill>
                </w14:textFill>
              </w:rPr>
            </w:pPr>
          </w:p>
        </w:tc>
        <w:tc>
          <w:tcPr>
            <w:tcW w:w="1243" w:type="dxa"/>
          </w:tcPr>
          <w:p w14:paraId="7392685C">
            <w:pPr>
              <w:rPr>
                <w:rFonts w:hint="eastAsia" w:ascii="宋体" w:hAnsi="宋体" w:cs="宋体"/>
                <w:color w:val="000000" w:themeColor="text1"/>
                <w14:textFill>
                  <w14:solidFill>
                    <w14:schemeClr w14:val="tx1"/>
                  </w14:solidFill>
                </w14:textFill>
              </w:rPr>
            </w:pPr>
          </w:p>
        </w:tc>
        <w:tc>
          <w:tcPr>
            <w:tcW w:w="1450" w:type="dxa"/>
          </w:tcPr>
          <w:p w14:paraId="32A20A3A">
            <w:pPr>
              <w:rPr>
                <w:rFonts w:hint="eastAsia" w:ascii="宋体" w:hAnsi="宋体" w:cs="宋体"/>
                <w:color w:val="000000" w:themeColor="text1"/>
                <w14:textFill>
                  <w14:solidFill>
                    <w14:schemeClr w14:val="tx1"/>
                  </w14:solidFill>
                </w14:textFill>
              </w:rPr>
            </w:pPr>
          </w:p>
        </w:tc>
        <w:tc>
          <w:tcPr>
            <w:tcW w:w="1670" w:type="dxa"/>
          </w:tcPr>
          <w:p w14:paraId="1A0286ED">
            <w:pPr>
              <w:rPr>
                <w:rFonts w:hint="eastAsia" w:ascii="宋体" w:hAnsi="宋体" w:cs="宋体"/>
                <w:color w:val="000000" w:themeColor="text1"/>
                <w14:textFill>
                  <w14:solidFill>
                    <w14:schemeClr w14:val="tx1"/>
                  </w14:solidFill>
                </w14:textFill>
              </w:rPr>
            </w:pPr>
          </w:p>
        </w:tc>
      </w:tr>
      <w:tr w14:paraId="097B47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737FFD01">
            <w:pPr>
              <w:rPr>
                <w:rFonts w:hint="eastAsia" w:ascii="宋体" w:hAnsi="宋体" w:cs="宋体"/>
                <w:color w:val="000000" w:themeColor="text1"/>
                <w14:textFill>
                  <w14:solidFill>
                    <w14:schemeClr w14:val="tx1"/>
                  </w14:solidFill>
                </w14:textFill>
              </w:rPr>
            </w:pPr>
          </w:p>
        </w:tc>
        <w:tc>
          <w:tcPr>
            <w:tcW w:w="1276" w:type="dxa"/>
          </w:tcPr>
          <w:p w14:paraId="708AF89E">
            <w:pPr>
              <w:rPr>
                <w:rFonts w:hint="eastAsia" w:ascii="宋体" w:hAnsi="宋体" w:cs="宋体"/>
                <w:color w:val="000000" w:themeColor="text1"/>
                <w14:textFill>
                  <w14:solidFill>
                    <w14:schemeClr w14:val="tx1"/>
                  </w14:solidFill>
                </w14:textFill>
              </w:rPr>
            </w:pPr>
          </w:p>
        </w:tc>
        <w:tc>
          <w:tcPr>
            <w:tcW w:w="1450" w:type="dxa"/>
          </w:tcPr>
          <w:p w14:paraId="4C61B0F3">
            <w:pPr>
              <w:rPr>
                <w:rFonts w:hint="eastAsia" w:ascii="宋体" w:hAnsi="宋体" w:cs="宋体"/>
                <w:color w:val="000000" w:themeColor="text1"/>
                <w14:textFill>
                  <w14:solidFill>
                    <w14:schemeClr w14:val="tx1"/>
                  </w14:solidFill>
                </w14:textFill>
              </w:rPr>
            </w:pPr>
          </w:p>
        </w:tc>
        <w:tc>
          <w:tcPr>
            <w:tcW w:w="1243" w:type="dxa"/>
          </w:tcPr>
          <w:p w14:paraId="06C11B00">
            <w:pPr>
              <w:rPr>
                <w:rFonts w:hint="eastAsia" w:ascii="宋体" w:hAnsi="宋体" w:cs="宋体"/>
                <w:color w:val="000000" w:themeColor="text1"/>
                <w14:textFill>
                  <w14:solidFill>
                    <w14:schemeClr w14:val="tx1"/>
                  </w14:solidFill>
                </w14:textFill>
              </w:rPr>
            </w:pPr>
          </w:p>
        </w:tc>
        <w:tc>
          <w:tcPr>
            <w:tcW w:w="1450" w:type="dxa"/>
          </w:tcPr>
          <w:p w14:paraId="0009AF5F">
            <w:pPr>
              <w:rPr>
                <w:rFonts w:hint="eastAsia" w:ascii="宋体" w:hAnsi="宋体" w:cs="宋体"/>
                <w:color w:val="000000" w:themeColor="text1"/>
                <w14:textFill>
                  <w14:solidFill>
                    <w14:schemeClr w14:val="tx1"/>
                  </w14:solidFill>
                </w14:textFill>
              </w:rPr>
            </w:pPr>
          </w:p>
        </w:tc>
        <w:tc>
          <w:tcPr>
            <w:tcW w:w="1670" w:type="dxa"/>
          </w:tcPr>
          <w:p w14:paraId="4B47F27D">
            <w:pPr>
              <w:rPr>
                <w:rFonts w:hint="eastAsia" w:ascii="宋体" w:hAnsi="宋体" w:cs="宋体"/>
                <w:color w:val="000000" w:themeColor="text1"/>
                <w14:textFill>
                  <w14:solidFill>
                    <w14:schemeClr w14:val="tx1"/>
                  </w14:solidFill>
                </w14:textFill>
              </w:rPr>
            </w:pPr>
          </w:p>
        </w:tc>
      </w:tr>
      <w:tr w14:paraId="7A4147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05DC3FF9">
            <w:pPr>
              <w:rPr>
                <w:rFonts w:hint="eastAsia" w:ascii="宋体" w:hAnsi="宋体" w:cs="宋体"/>
                <w:color w:val="000000" w:themeColor="text1"/>
                <w14:textFill>
                  <w14:solidFill>
                    <w14:schemeClr w14:val="tx1"/>
                  </w14:solidFill>
                </w14:textFill>
              </w:rPr>
            </w:pPr>
          </w:p>
        </w:tc>
        <w:tc>
          <w:tcPr>
            <w:tcW w:w="1276" w:type="dxa"/>
          </w:tcPr>
          <w:p w14:paraId="410257DC">
            <w:pPr>
              <w:rPr>
                <w:rFonts w:hint="eastAsia" w:ascii="宋体" w:hAnsi="宋体" w:cs="宋体"/>
                <w:color w:val="000000" w:themeColor="text1"/>
                <w14:textFill>
                  <w14:solidFill>
                    <w14:schemeClr w14:val="tx1"/>
                  </w14:solidFill>
                </w14:textFill>
              </w:rPr>
            </w:pPr>
          </w:p>
        </w:tc>
        <w:tc>
          <w:tcPr>
            <w:tcW w:w="1450" w:type="dxa"/>
          </w:tcPr>
          <w:p w14:paraId="7AB19E1C">
            <w:pPr>
              <w:rPr>
                <w:rFonts w:hint="eastAsia" w:ascii="宋体" w:hAnsi="宋体" w:cs="宋体"/>
                <w:color w:val="000000" w:themeColor="text1"/>
                <w14:textFill>
                  <w14:solidFill>
                    <w14:schemeClr w14:val="tx1"/>
                  </w14:solidFill>
                </w14:textFill>
              </w:rPr>
            </w:pPr>
          </w:p>
        </w:tc>
        <w:tc>
          <w:tcPr>
            <w:tcW w:w="1243" w:type="dxa"/>
          </w:tcPr>
          <w:p w14:paraId="4086F90F">
            <w:pPr>
              <w:rPr>
                <w:rFonts w:hint="eastAsia" w:ascii="宋体" w:hAnsi="宋体" w:cs="宋体"/>
                <w:color w:val="000000" w:themeColor="text1"/>
                <w14:textFill>
                  <w14:solidFill>
                    <w14:schemeClr w14:val="tx1"/>
                  </w14:solidFill>
                </w14:textFill>
              </w:rPr>
            </w:pPr>
          </w:p>
        </w:tc>
        <w:tc>
          <w:tcPr>
            <w:tcW w:w="1450" w:type="dxa"/>
          </w:tcPr>
          <w:p w14:paraId="51DD5910">
            <w:pPr>
              <w:rPr>
                <w:rFonts w:hint="eastAsia" w:ascii="宋体" w:hAnsi="宋体" w:cs="宋体"/>
                <w:color w:val="000000" w:themeColor="text1"/>
                <w14:textFill>
                  <w14:solidFill>
                    <w14:schemeClr w14:val="tx1"/>
                  </w14:solidFill>
                </w14:textFill>
              </w:rPr>
            </w:pPr>
          </w:p>
        </w:tc>
        <w:tc>
          <w:tcPr>
            <w:tcW w:w="1670" w:type="dxa"/>
          </w:tcPr>
          <w:p w14:paraId="6C432466">
            <w:pPr>
              <w:rPr>
                <w:rFonts w:hint="eastAsia" w:ascii="宋体" w:hAnsi="宋体" w:cs="宋体"/>
                <w:color w:val="000000" w:themeColor="text1"/>
                <w14:textFill>
                  <w14:solidFill>
                    <w14:schemeClr w14:val="tx1"/>
                  </w14:solidFill>
                </w14:textFill>
              </w:rPr>
            </w:pPr>
          </w:p>
        </w:tc>
      </w:tr>
      <w:tr w14:paraId="03E22C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35147383">
            <w:pPr>
              <w:rPr>
                <w:rFonts w:hint="eastAsia" w:ascii="宋体" w:hAnsi="宋体" w:cs="宋体"/>
                <w:color w:val="000000" w:themeColor="text1"/>
                <w14:textFill>
                  <w14:solidFill>
                    <w14:schemeClr w14:val="tx1"/>
                  </w14:solidFill>
                </w14:textFill>
              </w:rPr>
            </w:pPr>
          </w:p>
        </w:tc>
        <w:tc>
          <w:tcPr>
            <w:tcW w:w="1276" w:type="dxa"/>
          </w:tcPr>
          <w:p w14:paraId="49DA49D7">
            <w:pPr>
              <w:rPr>
                <w:rFonts w:hint="eastAsia" w:ascii="宋体" w:hAnsi="宋体" w:cs="宋体"/>
                <w:color w:val="000000" w:themeColor="text1"/>
                <w14:textFill>
                  <w14:solidFill>
                    <w14:schemeClr w14:val="tx1"/>
                  </w14:solidFill>
                </w14:textFill>
              </w:rPr>
            </w:pPr>
          </w:p>
        </w:tc>
        <w:tc>
          <w:tcPr>
            <w:tcW w:w="1450" w:type="dxa"/>
          </w:tcPr>
          <w:p w14:paraId="4C015FBA">
            <w:pPr>
              <w:rPr>
                <w:rFonts w:hint="eastAsia" w:ascii="宋体" w:hAnsi="宋体" w:cs="宋体"/>
                <w:color w:val="000000" w:themeColor="text1"/>
                <w14:textFill>
                  <w14:solidFill>
                    <w14:schemeClr w14:val="tx1"/>
                  </w14:solidFill>
                </w14:textFill>
              </w:rPr>
            </w:pPr>
          </w:p>
        </w:tc>
        <w:tc>
          <w:tcPr>
            <w:tcW w:w="1243" w:type="dxa"/>
          </w:tcPr>
          <w:p w14:paraId="2C384D41">
            <w:pPr>
              <w:rPr>
                <w:rFonts w:hint="eastAsia" w:ascii="宋体" w:hAnsi="宋体" w:cs="宋体"/>
                <w:color w:val="000000" w:themeColor="text1"/>
                <w14:textFill>
                  <w14:solidFill>
                    <w14:schemeClr w14:val="tx1"/>
                  </w14:solidFill>
                </w14:textFill>
              </w:rPr>
            </w:pPr>
          </w:p>
        </w:tc>
        <w:tc>
          <w:tcPr>
            <w:tcW w:w="1450" w:type="dxa"/>
          </w:tcPr>
          <w:p w14:paraId="4B5AE954">
            <w:pPr>
              <w:rPr>
                <w:rFonts w:hint="eastAsia" w:ascii="宋体" w:hAnsi="宋体" w:cs="宋体"/>
                <w:color w:val="000000" w:themeColor="text1"/>
                <w14:textFill>
                  <w14:solidFill>
                    <w14:schemeClr w14:val="tx1"/>
                  </w14:solidFill>
                </w14:textFill>
              </w:rPr>
            </w:pPr>
          </w:p>
        </w:tc>
        <w:tc>
          <w:tcPr>
            <w:tcW w:w="1670" w:type="dxa"/>
          </w:tcPr>
          <w:p w14:paraId="1781E2A9">
            <w:pPr>
              <w:rPr>
                <w:rFonts w:hint="eastAsia" w:ascii="宋体" w:hAnsi="宋体" w:cs="宋体"/>
                <w:color w:val="000000" w:themeColor="text1"/>
                <w14:textFill>
                  <w14:solidFill>
                    <w14:schemeClr w14:val="tx1"/>
                  </w14:solidFill>
                </w14:textFill>
              </w:rPr>
            </w:pPr>
          </w:p>
        </w:tc>
      </w:tr>
      <w:tr w14:paraId="6B847E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2BA6B5A4">
            <w:pPr>
              <w:rPr>
                <w:rFonts w:hint="eastAsia" w:ascii="宋体" w:hAnsi="宋体" w:cs="宋体"/>
                <w:color w:val="000000" w:themeColor="text1"/>
                <w14:textFill>
                  <w14:solidFill>
                    <w14:schemeClr w14:val="tx1"/>
                  </w14:solidFill>
                </w14:textFill>
              </w:rPr>
            </w:pPr>
          </w:p>
        </w:tc>
        <w:tc>
          <w:tcPr>
            <w:tcW w:w="1276" w:type="dxa"/>
          </w:tcPr>
          <w:p w14:paraId="2F5C911B">
            <w:pPr>
              <w:rPr>
                <w:rFonts w:hint="eastAsia" w:ascii="宋体" w:hAnsi="宋体" w:cs="宋体"/>
                <w:color w:val="000000" w:themeColor="text1"/>
                <w14:textFill>
                  <w14:solidFill>
                    <w14:schemeClr w14:val="tx1"/>
                  </w14:solidFill>
                </w14:textFill>
              </w:rPr>
            </w:pPr>
          </w:p>
        </w:tc>
        <w:tc>
          <w:tcPr>
            <w:tcW w:w="1450" w:type="dxa"/>
          </w:tcPr>
          <w:p w14:paraId="327C7049">
            <w:pPr>
              <w:rPr>
                <w:rFonts w:hint="eastAsia" w:ascii="宋体" w:hAnsi="宋体" w:cs="宋体"/>
                <w:color w:val="000000" w:themeColor="text1"/>
                <w14:textFill>
                  <w14:solidFill>
                    <w14:schemeClr w14:val="tx1"/>
                  </w14:solidFill>
                </w14:textFill>
              </w:rPr>
            </w:pPr>
          </w:p>
        </w:tc>
        <w:tc>
          <w:tcPr>
            <w:tcW w:w="1243" w:type="dxa"/>
          </w:tcPr>
          <w:p w14:paraId="68AE5719">
            <w:pPr>
              <w:rPr>
                <w:rFonts w:hint="eastAsia" w:ascii="宋体" w:hAnsi="宋体" w:cs="宋体"/>
                <w:color w:val="000000" w:themeColor="text1"/>
                <w14:textFill>
                  <w14:solidFill>
                    <w14:schemeClr w14:val="tx1"/>
                  </w14:solidFill>
                </w14:textFill>
              </w:rPr>
            </w:pPr>
          </w:p>
        </w:tc>
        <w:tc>
          <w:tcPr>
            <w:tcW w:w="1450" w:type="dxa"/>
          </w:tcPr>
          <w:p w14:paraId="17FC15CF">
            <w:pPr>
              <w:rPr>
                <w:rFonts w:hint="eastAsia" w:ascii="宋体" w:hAnsi="宋体" w:cs="宋体"/>
                <w:color w:val="000000" w:themeColor="text1"/>
                <w14:textFill>
                  <w14:solidFill>
                    <w14:schemeClr w14:val="tx1"/>
                  </w14:solidFill>
                </w14:textFill>
              </w:rPr>
            </w:pPr>
          </w:p>
        </w:tc>
        <w:tc>
          <w:tcPr>
            <w:tcW w:w="1670" w:type="dxa"/>
          </w:tcPr>
          <w:p w14:paraId="525078D6">
            <w:pPr>
              <w:rPr>
                <w:rFonts w:hint="eastAsia" w:ascii="宋体" w:hAnsi="宋体" w:cs="宋体"/>
                <w:color w:val="000000" w:themeColor="text1"/>
                <w14:textFill>
                  <w14:solidFill>
                    <w14:schemeClr w14:val="tx1"/>
                  </w14:solidFill>
                </w14:textFill>
              </w:rPr>
            </w:pPr>
          </w:p>
        </w:tc>
      </w:tr>
      <w:tr w14:paraId="77786D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28C518E8">
            <w:pPr>
              <w:rPr>
                <w:rFonts w:hint="eastAsia" w:ascii="宋体" w:hAnsi="宋体" w:cs="宋体"/>
                <w:color w:val="000000" w:themeColor="text1"/>
                <w14:textFill>
                  <w14:solidFill>
                    <w14:schemeClr w14:val="tx1"/>
                  </w14:solidFill>
                </w14:textFill>
              </w:rPr>
            </w:pPr>
          </w:p>
        </w:tc>
        <w:tc>
          <w:tcPr>
            <w:tcW w:w="1276" w:type="dxa"/>
          </w:tcPr>
          <w:p w14:paraId="538F45B0">
            <w:pPr>
              <w:rPr>
                <w:rFonts w:hint="eastAsia" w:ascii="宋体" w:hAnsi="宋体" w:cs="宋体"/>
                <w:color w:val="000000" w:themeColor="text1"/>
                <w14:textFill>
                  <w14:solidFill>
                    <w14:schemeClr w14:val="tx1"/>
                  </w14:solidFill>
                </w14:textFill>
              </w:rPr>
            </w:pPr>
          </w:p>
        </w:tc>
        <w:tc>
          <w:tcPr>
            <w:tcW w:w="1450" w:type="dxa"/>
          </w:tcPr>
          <w:p w14:paraId="47A60B1E">
            <w:pPr>
              <w:rPr>
                <w:rFonts w:hint="eastAsia" w:ascii="宋体" w:hAnsi="宋体" w:cs="宋体"/>
                <w:color w:val="000000" w:themeColor="text1"/>
                <w14:textFill>
                  <w14:solidFill>
                    <w14:schemeClr w14:val="tx1"/>
                  </w14:solidFill>
                </w14:textFill>
              </w:rPr>
            </w:pPr>
          </w:p>
        </w:tc>
        <w:tc>
          <w:tcPr>
            <w:tcW w:w="1243" w:type="dxa"/>
          </w:tcPr>
          <w:p w14:paraId="1A096A71">
            <w:pPr>
              <w:rPr>
                <w:rFonts w:hint="eastAsia" w:ascii="宋体" w:hAnsi="宋体" w:cs="宋体"/>
                <w:color w:val="000000" w:themeColor="text1"/>
                <w14:textFill>
                  <w14:solidFill>
                    <w14:schemeClr w14:val="tx1"/>
                  </w14:solidFill>
                </w14:textFill>
              </w:rPr>
            </w:pPr>
          </w:p>
        </w:tc>
        <w:tc>
          <w:tcPr>
            <w:tcW w:w="1450" w:type="dxa"/>
          </w:tcPr>
          <w:p w14:paraId="3F4AE661">
            <w:pPr>
              <w:rPr>
                <w:rFonts w:hint="eastAsia" w:ascii="宋体" w:hAnsi="宋体" w:cs="宋体"/>
                <w:color w:val="000000" w:themeColor="text1"/>
                <w14:textFill>
                  <w14:solidFill>
                    <w14:schemeClr w14:val="tx1"/>
                  </w14:solidFill>
                </w14:textFill>
              </w:rPr>
            </w:pPr>
          </w:p>
        </w:tc>
        <w:tc>
          <w:tcPr>
            <w:tcW w:w="1670" w:type="dxa"/>
          </w:tcPr>
          <w:p w14:paraId="466CBE6B">
            <w:pPr>
              <w:rPr>
                <w:rFonts w:hint="eastAsia" w:ascii="宋体" w:hAnsi="宋体" w:cs="宋体"/>
                <w:color w:val="000000" w:themeColor="text1"/>
                <w14:textFill>
                  <w14:solidFill>
                    <w14:schemeClr w14:val="tx1"/>
                  </w14:solidFill>
                </w14:textFill>
              </w:rPr>
            </w:pPr>
          </w:p>
        </w:tc>
      </w:tr>
    </w:tbl>
    <w:p w14:paraId="6737EC20">
      <w:pPr>
        <w:rPr>
          <w:rFonts w:hint="eastAsia" w:ascii="宋体" w:hAnsi="宋体" w:cs="宋体"/>
          <w:color w:val="000000" w:themeColor="text1"/>
          <w14:textFill>
            <w14:solidFill>
              <w14:schemeClr w14:val="tx1"/>
            </w14:solidFill>
          </w14:textFill>
        </w:rPr>
      </w:pPr>
    </w:p>
    <w:p w14:paraId="698B104B">
      <w:pPr>
        <w:rPr>
          <w:rFonts w:hint="eastAsia" w:ascii="宋体" w:hAnsi="宋体" w:cs="宋体"/>
          <w:color w:val="000000" w:themeColor="text1"/>
          <w14:textFill>
            <w14:solidFill>
              <w14:schemeClr w14:val="tx1"/>
            </w14:solidFill>
          </w14:textFill>
        </w:rPr>
      </w:pPr>
    </w:p>
    <w:p w14:paraId="350201DB">
      <w:pPr>
        <w:rPr>
          <w:rFonts w:hint="eastAsia" w:ascii="宋体" w:hAnsi="宋体" w:cs="宋体"/>
          <w:color w:val="000000" w:themeColor="text1"/>
          <w14:textFill>
            <w14:solidFill>
              <w14:schemeClr w14:val="tx1"/>
            </w14:solidFill>
          </w14:textFill>
        </w:rPr>
        <w:sectPr>
          <w:headerReference r:id="rId11" w:type="default"/>
          <w:pgSz w:w="11906" w:h="16838"/>
          <w:pgMar w:top="1440" w:right="1800" w:bottom="1440" w:left="1800" w:header="720" w:footer="998" w:gutter="0"/>
          <w:pgNumType w:fmt="decimal"/>
          <w:cols w:space="720" w:num="1"/>
          <w:docGrid w:linePitch="326" w:charSpace="0"/>
        </w:sectPr>
      </w:pPr>
    </w:p>
    <w:p w14:paraId="76C1FED4">
      <w:pPr>
        <w:pStyle w:val="112"/>
        <w:numPr>
          <w:ilvl w:val="0"/>
          <w:numId w:val="0"/>
        </w:numPr>
        <w:spacing w:after="156"/>
        <w:rPr>
          <w:rFonts w:hint="eastAsia" w:ascii="宋体" w:hAnsi="宋体" w:eastAsia="宋体" w:cs="宋体"/>
          <w:color w:val="000000" w:themeColor="text1"/>
          <w14:textFill>
            <w14:solidFill>
              <w14:schemeClr w14:val="tx1"/>
            </w14:solidFill>
          </w14:textFill>
        </w:rPr>
      </w:pPr>
      <w:bookmarkStart w:id="1341" w:name="_Toc12900"/>
      <w:bookmarkStart w:id="1342" w:name="_Toc100907172"/>
      <w:bookmarkStart w:id="1343" w:name="_Toc100907498"/>
      <w:r>
        <w:rPr>
          <w:rFonts w:hint="eastAsia" w:ascii="宋体" w:hAnsi="宋体" w:eastAsia="宋体" w:cs="宋体"/>
          <w:color w:val="000000" w:themeColor="text1"/>
          <w14:textFill>
            <w14:solidFill>
              <w14:schemeClr w14:val="tx1"/>
            </w14:solidFill>
          </w14:textFill>
        </w:rPr>
        <w:t>附件5 承包人主要管理人员表</w:t>
      </w:r>
      <w:bookmarkEnd w:id="1341"/>
      <w:bookmarkEnd w:id="1342"/>
      <w:bookmarkEnd w:id="1343"/>
    </w:p>
    <w:tbl>
      <w:tblPr>
        <w:tblStyle w:val="4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505"/>
        <w:gridCol w:w="1418"/>
        <w:gridCol w:w="1134"/>
        <w:gridCol w:w="1134"/>
        <w:gridCol w:w="3896"/>
      </w:tblGrid>
      <w:tr w14:paraId="11C8EB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12" w:space="0"/>
              <w:bottom w:val="double" w:color="auto" w:sz="6" w:space="0"/>
            </w:tcBorders>
            <w:vAlign w:val="center"/>
          </w:tcPr>
          <w:p w14:paraId="043D1914">
            <w:pPr>
              <w:pStyle w:val="16"/>
              <w:spacing w:after="0"/>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名    称</w:t>
            </w:r>
          </w:p>
        </w:tc>
        <w:tc>
          <w:tcPr>
            <w:tcW w:w="1418" w:type="dxa"/>
            <w:tcBorders>
              <w:top w:val="single" w:color="auto" w:sz="12" w:space="0"/>
              <w:bottom w:val="double" w:color="auto" w:sz="6" w:space="0"/>
            </w:tcBorders>
            <w:vAlign w:val="center"/>
          </w:tcPr>
          <w:p w14:paraId="13526865">
            <w:pPr>
              <w:pStyle w:val="16"/>
              <w:spacing w:after="0"/>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姓名</w:t>
            </w:r>
          </w:p>
        </w:tc>
        <w:tc>
          <w:tcPr>
            <w:tcW w:w="1134" w:type="dxa"/>
            <w:tcBorders>
              <w:top w:val="single" w:color="auto" w:sz="12" w:space="0"/>
              <w:bottom w:val="double" w:color="auto" w:sz="6" w:space="0"/>
            </w:tcBorders>
            <w:vAlign w:val="center"/>
          </w:tcPr>
          <w:p w14:paraId="34A5B33F">
            <w:pPr>
              <w:pStyle w:val="16"/>
              <w:spacing w:after="0"/>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职务</w:t>
            </w:r>
          </w:p>
        </w:tc>
        <w:tc>
          <w:tcPr>
            <w:tcW w:w="1134" w:type="dxa"/>
            <w:tcBorders>
              <w:top w:val="single" w:color="auto" w:sz="12" w:space="0"/>
              <w:bottom w:val="double" w:color="auto" w:sz="6" w:space="0"/>
            </w:tcBorders>
            <w:vAlign w:val="center"/>
          </w:tcPr>
          <w:p w14:paraId="2C59FFD5">
            <w:pPr>
              <w:pStyle w:val="16"/>
              <w:spacing w:after="0"/>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职称</w:t>
            </w:r>
          </w:p>
        </w:tc>
        <w:tc>
          <w:tcPr>
            <w:tcW w:w="3896" w:type="dxa"/>
            <w:tcBorders>
              <w:top w:val="single" w:color="auto" w:sz="12" w:space="0"/>
              <w:bottom w:val="double" w:color="auto" w:sz="6" w:space="0"/>
            </w:tcBorders>
            <w:vAlign w:val="center"/>
          </w:tcPr>
          <w:p w14:paraId="5B8707CF">
            <w:pPr>
              <w:pStyle w:val="16"/>
              <w:spacing w:after="0"/>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主要资历、经验及承担过的项目</w:t>
            </w:r>
          </w:p>
        </w:tc>
      </w:tr>
      <w:tr w14:paraId="528C31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087" w:type="dxa"/>
            <w:gridSpan w:val="5"/>
            <w:tcBorders>
              <w:top w:val="double" w:color="auto" w:sz="6" w:space="0"/>
              <w:bottom w:val="single" w:color="auto" w:sz="6" w:space="0"/>
            </w:tcBorders>
            <w:vAlign w:val="center"/>
          </w:tcPr>
          <w:p w14:paraId="14085C92">
            <w:pPr>
              <w:pStyle w:val="16"/>
              <w:spacing w:after="0"/>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一、总部人员</w:t>
            </w:r>
          </w:p>
        </w:tc>
      </w:tr>
      <w:tr w14:paraId="70A922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nil"/>
              <w:bottom w:val="nil"/>
            </w:tcBorders>
            <w:vAlign w:val="center"/>
          </w:tcPr>
          <w:p w14:paraId="6FDE0995">
            <w:pPr>
              <w:pStyle w:val="16"/>
              <w:spacing w:after="0"/>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项目主管</w:t>
            </w:r>
          </w:p>
        </w:tc>
        <w:tc>
          <w:tcPr>
            <w:tcW w:w="1418" w:type="dxa"/>
            <w:tcBorders>
              <w:top w:val="nil"/>
            </w:tcBorders>
            <w:vAlign w:val="center"/>
          </w:tcPr>
          <w:p w14:paraId="59FC1B8F">
            <w:pPr>
              <w:pStyle w:val="16"/>
              <w:spacing w:after="0"/>
              <w:ind w:firstLine="420"/>
              <w:rPr>
                <w:rFonts w:hint="eastAsia" w:ascii="宋体" w:hAnsi="宋体" w:cs="宋体"/>
                <w:color w:val="000000" w:themeColor="text1"/>
                <w:szCs w:val="21"/>
                <w14:textFill>
                  <w14:solidFill>
                    <w14:schemeClr w14:val="tx1"/>
                  </w14:solidFill>
                </w14:textFill>
              </w:rPr>
            </w:pPr>
          </w:p>
        </w:tc>
        <w:tc>
          <w:tcPr>
            <w:tcW w:w="1134" w:type="dxa"/>
            <w:tcBorders>
              <w:top w:val="nil"/>
            </w:tcBorders>
            <w:vAlign w:val="center"/>
          </w:tcPr>
          <w:p w14:paraId="6A3472BB">
            <w:pPr>
              <w:pStyle w:val="16"/>
              <w:spacing w:after="0"/>
              <w:ind w:firstLine="420"/>
              <w:rPr>
                <w:rFonts w:hint="eastAsia" w:ascii="宋体" w:hAnsi="宋体" w:cs="宋体"/>
                <w:color w:val="000000" w:themeColor="text1"/>
                <w:szCs w:val="21"/>
                <w14:textFill>
                  <w14:solidFill>
                    <w14:schemeClr w14:val="tx1"/>
                  </w14:solidFill>
                </w14:textFill>
              </w:rPr>
            </w:pPr>
          </w:p>
        </w:tc>
        <w:tc>
          <w:tcPr>
            <w:tcW w:w="1134" w:type="dxa"/>
            <w:tcBorders>
              <w:top w:val="nil"/>
            </w:tcBorders>
            <w:vAlign w:val="center"/>
          </w:tcPr>
          <w:p w14:paraId="6DA66436">
            <w:pPr>
              <w:pStyle w:val="16"/>
              <w:spacing w:after="0"/>
              <w:ind w:firstLine="420"/>
              <w:rPr>
                <w:rFonts w:hint="eastAsia" w:ascii="宋体" w:hAnsi="宋体" w:cs="宋体"/>
                <w:color w:val="000000" w:themeColor="text1"/>
                <w:szCs w:val="21"/>
                <w14:textFill>
                  <w14:solidFill>
                    <w14:schemeClr w14:val="tx1"/>
                  </w14:solidFill>
                </w14:textFill>
              </w:rPr>
            </w:pPr>
          </w:p>
        </w:tc>
        <w:tc>
          <w:tcPr>
            <w:tcW w:w="3896" w:type="dxa"/>
            <w:tcBorders>
              <w:top w:val="nil"/>
            </w:tcBorders>
            <w:vAlign w:val="center"/>
          </w:tcPr>
          <w:p w14:paraId="6CE1A28B">
            <w:pPr>
              <w:pStyle w:val="16"/>
              <w:spacing w:after="0"/>
              <w:ind w:firstLine="420"/>
              <w:rPr>
                <w:rFonts w:hint="eastAsia" w:ascii="宋体" w:hAnsi="宋体" w:cs="宋体"/>
                <w:color w:val="000000" w:themeColor="text1"/>
                <w:szCs w:val="21"/>
                <w14:textFill>
                  <w14:solidFill>
                    <w14:schemeClr w14:val="tx1"/>
                  </w14:solidFill>
                </w14:textFill>
              </w:rPr>
            </w:pPr>
          </w:p>
        </w:tc>
      </w:tr>
      <w:tr w14:paraId="0AC2BF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nil"/>
            </w:tcBorders>
            <w:vAlign w:val="center"/>
          </w:tcPr>
          <w:p w14:paraId="7B071040">
            <w:pPr>
              <w:pStyle w:val="16"/>
              <w:spacing w:after="0"/>
              <w:ind w:firstLine="420"/>
              <w:rPr>
                <w:rFonts w:hint="eastAsia" w:ascii="宋体" w:hAnsi="宋体" w:cs="宋体"/>
                <w:color w:val="000000" w:themeColor="text1"/>
                <w:szCs w:val="21"/>
                <w14:textFill>
                  <w14:solidFill>
                    <w14:schemeClr w14:val="tx1"/>
                  </w14:solidFill>
                </w14:textFill>
              </w:rPr>
            </w:pPr>
          </w:p>
        </w:tc>
        <w:tc>
          <w:tcPr>
            <w:tcW w:w="1418" w:type="dxa"/>
            <w:vAlign w:val="center"/>
          </w:tcPr>
          <w:p w14:paraId="0AD006C9">
            <w:pPr>
              <w:pStyle w:val="16"/>
              <w:spacing w:after="0"/>
              <w:ind w:firstLine="420"/>
              <w:rPr>
                <w:rFonts w:hint="eastAsia" w:ascii="宋体" w:hAnsi="宋体" w:cs="宋体"/>
                <w:color w:val="000000" w:themeColor="text1"/>
                <w:szCs w:val="21"/>
                <w14:textFill>
                  <w14:solidFill>
                    <w14:schemeClr w14:val="tx1"/>
                  </w14:solidFill>
                </w14:textFill>
              </w:rPr>
            </w:pPr>
          </w:p>
        </w:tc>
        <w:tc>
          <w:tcPr>
            <w:tcW w:w="1134" w:type="dxa"/>
            <w:vAlign w:val="center"/>
          </w:tcPr>
          <w:p w14:paraId="35209A5B">
            <w:pPr>
              <w:pStyle w:val="16"/>
              <w:spacing w:after="0"/>
              <w:ind w:firstLine="420"/>
              <w:rPr>
                <w:rFonts w:hint="eastAsia" w:ascii="宋体" w:hAnsi="宋体" w:cs="宋体"/>
                <w:color w:val="000000" w:themeColor="text1"/>
                <w:szCs w:val="21"/>
                <w14:textFill>
                  <w14:solidFill>
                    <w14:schemeClr w14:val="tx1"/>
                  </w14:solidFill>
                </w14:textFill>
              </w:rPr>
            </w:pPr>
          </w:p>
        </w:tc>
        <w:tc>
          <w:tcPr>
            <w:tcW w:w="1134" w:type="dxa"/>
            <w:vAlign w:val="center"/>
          </w:tcPr>
          <w:p w14:paraId="33DB2113">
            <w:pPr>
              <w:pStyle w:val="16"/>
              <w:spacing w:after="0"/>
              <w:ind w:firstLine="420"/>
              <w:rPr>
                <w:rFonts w:hint="eastAsia" w:ascii="宋体" w:hAnsi="宋体" w:cs="宋体"/>
                <w:color w:val="000000" w:themeColor="text1"/>
                <w:szCs w:val="21"/>
                <w14:textFill>
                  <w14:solidFill>
                    <w14:schemeClr w14:val="tx1"/>
                  </w14:solidFill>
                </w14:textFill>
              </w:rPr>
            </w:pPr>
          </w:p>
        </w:tc>
        <w:tc>
          <w:tcPr>
            <w:tcW w:w="3896" w:type="dxa"/>
            <w:vAlign w:val="center"/>
          </w:tcPr>
          <w:p w14:paraId="08D7867C">
            <w:pPr>
              <w:pStyle w:val="16"/>
              <w:spacing w:after="0"/>
              <w:ind w:firstLine="420"/>
              <w:rPr>
                <w:rFonts w:hint="eastAsia" w:ascii="宋体" w:hAnsi="宋体" w:cs="宋体"/>
                <w:color w:val="000000" w:themeColor="text1"/>
                <w:szCs w:val="21"/>
                <w14:textFill>
                  <w14:solidFill>
                    <w14:schemeClr w14:val="tx1"/>
                  </w14:solidFill>
                </w14:textFill>
              </w:rPr>
            </w:pPr>
          </w:p>
        </w:tc>
      </w:tr>
      <w:tr w14:paraId="3737DE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nil"/>
              <w:bottom w:val="nil"/>
            </w:tcBorders>
            <w:vAlign w:val="center"/>
          </w:tcPr>
          <w:p w14:paraId="0CD0FD46">
            <w:pPr>
              <w:pStyle w:val="16"/>
              <w:spacing w:after="0"/>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其他人员</w:t>
            </w:r>
          </w:p>
        </w:tc>
        <w:tc>
          <w:tcPr>
            <w:tcW w:w="1418" w:type="dxa"/>
            <w:vAlign w:val="center"/>
          </w:tcPr>
          <w:p w14:paraId="0815042F">
            <w:pPr>
              <w:pStyle w:val="16"/>
              <w:spacing w:after="0"/>
              <w:ind w:firstLine="420"/>
              <w:rPr>
                <w:rFonts w:hint="eastAsia" w:ascii="宋体" w:hAnsi="宋体" w:cs="宋体"/>
                <w:color w:val="000000" w:themeColor="text1"/>
                <w:szCs w:val="21"/>
                <w14:textFill>
                  <w14:solidFill>
                    <w14:schemeClr w14:val="tx1"/>
                  </w14:solidFill>
                </w14:textFill>
              </w:rPr>
            </w:pPr>
          </w:p>
        </w:tc>
        <w:tc>
          <w:tcPr>
            <w:tcW w:w="1134" w:type="dxa"/>
            <w:vAlign w:val="center"/>
          </w:tcPr>
          <w:p w14:paraId="64B100B8">
            <w:pPr>
              <w:pStyle w:val="16"/>
              <w:spacing w:after="0"/>
              <w:ind w:firstLine="420"/>
              <w:rPr>
                <w:rFonts w:hint="eastAsia" w:ascii="宋体" w:hAnsi="宋体" w:cs="宋体"/>
                <w:color w:val="000000" w:themeColor="text1"/>
                <w:szCs w:val="21"/>
                <w14:textFill>
                  <w14:solidFill>
                    <w14:schemeClr w14:val="tx1"/>
                  </w14:solidFill>
                </w14:textFill>
              </w:rPr>
            </w:pPr>
          </w:p>
        </w:tc>
        <w:tc>
          <w:tcPr>
            <w:tcW w:w="1134" w:type="dxa"/>
            <w:vAlign w:val="center"/>
          </w:tcPr>
          <w:p w14:paraId="146FC69E">
            <w:pPr>
              <w:pStyle w:val="16"/>
              <w:spacing w:after="0"/>
              <w:ind w:firstLine="420"/>
              <w:rPr>
                <w:rFonts w:hint="eastAsia" w:ascii="宋体" w:hAnsi="宋体" w:cs="宋体"/>
                <w:color w:val="000000" w:themeColor="text1"/>
                <w:szCs w:val="21"/>
                <w14:textFill>
                  <w14:solidFill>
                    <w14:schemeClr w14:val="tx1"/>
                  </w14:solidFill>
                </w14:textFill>
              </w:rPr>
            </w:pPr>
          </w:p>
        </w:tc>
        <w:tc>
          <w:tcPr>
            <w:tcW w:w="3896" w:type="dxa"/>
            <w:vAlign w:val="center"/>
          </w:tcPr>
          <w:p w14:paraId="32DB3260">
            <w:pPr>
              <w:pStyle w:val="16"/>
              <w:spacing w:after="0"/>
              <w:ind w:firstLine="420"/>
              <w:rPr>
                <w:rFonts w:hint="eastAsia" w:ascii="宋体" w:hAnsi="宋体" w:cs="宋体"/>
                <w:color w:val="000000" w:themeColor="text1"/>
                <w:szCs w:val="21"/>
                <w14:textFill>
                  <w14:solidFill>
                    <w14:schemeClr w14:val="tx1"/>
                  </w14:solidFill>
                </w14:textFill>
              </w:rPr>
            </w:pPr>
          </w:p>
        </w:tc>
      </w:tr>
      <w:tr w14:paraId="0588AE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nil"/>
              <w:bottom w:val="nil"/>
            </w:tcBorders>
            <w:vAlign w:val="center"/>
          </w:tcPr>
          <w:p w14:paraId="6BE9D001">
            <w:pPr>
              <w:pStyle w:val="16"/>
              <w:spacing w:after="0"/>
              <w:ind w:firstLine="420"/>
              <w:rPr>
                <w:rFonts w:hint="eastAsia" w:ascii="宋体" w:hAnsi="宋体" w:cs="宋体"/>
                <w:color w:val="000000" w:themeColor="text1"/>
                <w:szCs w:val="21"/>
                <w14:textFill>
                  <w14:solidFill>
                    <w14:schemeClr w14:val="tx1"/>
                  </w14:solidFill>
                </w14:textFill>
              </w:rPr>
            </w:pPr>
          </w:p>
        </w:tc>
        <w:tc>
          <w:tcPr>
            <w:tcW w:w="1418" w:type="dxa"/>
            <w:vAlign w:val="center"/>
          </w:tcPr>
          <w:p w14:paraId="0F045C89">
            <w:pPr>
              <w:pStyle w:val="16"/>
              <w:spacing w:after="0"/>
              <w:ind w:firstLine="420"/>
              <w:rPr>
                <w:rFonts w:hint="eastAsia" w:ascii="宋体" w:hAnsi="宋体" w:cs="宋体"/>
                <w:color w:val="000000" w:themeColor="text1"/>
                <w:szCs w:val="21"/>
                <w14:textFill>
                  <w14:solidFill>
                    <w14:schemeClr w14:val="tx1"/>
                  </w14:solidFill>
                </w14:textFill>
              </w:rPr>
            </w:pPr>
          </w:p>
        </w:tc>
        <w:tc>
          <w:tcPr>
            <w:tcW w:w="1134" w:type="dxa"/>
            <w:vAlign w:val="center"/>
          </w:tcPr>
          <w:p w14:paraId="48F007F6">
            <w:pPr>
              <w:pStyle w:val="16"/>
              <w:spacing w:after="0"/>
              <w:ind w:firstLine="420"/>
              <w:rPr>
                <w:rFonts w:hint="eastAsia" w:ascii="宋体" w:hAnsi="宋体" w:cs="宋体"/>
                <w:color w:val="000000" w:themeColor="text1"/>
                <w:szCs w:val="21"/>
                <w14:textFill>
                  <w14:solidFill>
                    <w14:schemeClr w14:val="tx1"/>
                  </w14:solidFill>
                </w14:textFill>
              </w:rPr>
            </w:pPr>
          </w:p>
        </w:tc>
        <w:tc>
          <w:tcPr>
            <w:tcW w:w="1134" w:type="dxa"/>
            <w:vAlign w:val="center"/>
          </w:tcPr>
          <w:p w14:paraId="5643A138">
            <w:pPr>
              <w:pStyle w:val="16"/>
              <w:spacing w:after="0"/>
              <w:ind w:firstLine="420"/>
              <w:rPr>
                <w:rFonts w:hint="eastAsia" w:ascii="宋体" w:hAnsi="宋体" w:cs="宋体"/>
                <w:color w:val="000000" w:themeColor="text1"/>
                <w:szCs w:val="21"/>
                <w14:textFill>
                  <w14:solidFill>
                    <w14:schemeClr w14:val="tx1"/>
                  </w14:solidFill>
                </w14:textFill>
              </w:rPr>
            </w:pPr>
          </w:p>
        </w:tc>
        <w:tc>
          <w:tcPr>
            <w:tcW w:w="3896" w:type="dxa"/>
            <w:vAlign w:val="center"/>
          </w:tcPr>
          <w:p w14:paraId="0D452450">
            <w:pPr>
              <w:pStyle w:val="16"/>
              <w:spacing w:after="0"/>
              <w:ind w:firstLine="420"/>
              <w:rPr>
                <w:rFonts w:hint="eastAsia" w:ascii="宋体" w:hAnsi="宋体" w:cs="宋体"/>
                <w:color w:val="000000" w:themeColor="text1"/>
                <w:szCs w:val="21"/>
                <w14:textFill>
                  <w14:solidFill>
                    <w14:schemeClr w14:val="tx1"/>
                  </w14:solidFill>
                </w14:textFill>
              </w:rPr>
            </w:pPr>
          </w:p>
        </w:tc>
      </w:tr>
      <w:tr w14:paraId="3E90AD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087" w:type="dxa"/>
            <w:gridSpan w:val="5"/>
            <w:tcBorders>
              <w:top w:val="single" w:color="auto" w:sz="6" w:space="0"/>
              <w:bottom w:val="single" w:color="auto" w:sz="6" w:space="0"/>
            </w:tcBorders>
            <w:vAlign w:val="center"/>
          </w:tcPr>
          <w:p w14:paraId="18F12C27">
            <w:pPr>
              <w:pStyle w:val="16"/>
              <w:spacing w:after="0"/>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二、现场人员</w:t>
            </w:r>
          </w:p>
        </w:tc>
      </w:tr>
      <w:tr w14:paraId="62757A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vAlign w:val="center"/>
          </w:tcPr>
          <w:p w14:paraId="69C2C7BF">
            <w:pPr>
              <w:pStyle w:val="16"/>
              <w:spacing w:after="0"/>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工程总承包</w:t>
            </w:r>
          </w:p>
          <w:p w14:paraId="0C4C7DB0">
            <w:pPr>
              <w:pStyle w:val="16"/>
              <w:spacing w:after="0"/>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项目经理</w:t>
            </w:r>
          </w:p>
        </w:tc>
        <w:tc>
          <w:tcPr>
            <w:tcW w:w="1418" w:type="dxa"/>
            <w:vAlign w:val="center"/>
          </w:tcPr>
          <w:p w14:paraId="1F145A7A">
            <w:pPr>
              <w:pStyle w:val="16"/>
              <w:spacing w:after="0"/>
              <w:ind w:firstLine="420"/>
              <w:rPr>
                <w:rFonts w:hint="eastAsia" w:ascii="宋体" w:hAnsi="宋体" w:cs="宋体"/>
                <w:color w:val="000000" w:themeColor="text1"/>
                <w:szCs w:val="21"/>
                <w14:textFill>
                  <w14:solidFill>
                    <w14:schemeClr w14:val="tx1"/>
                  </w14:solidFill>
                </w14:textFill>
              </w:rPr>
            </w:pPr>
          </w:p>
        </w:tc>
        <w:tc>
          <w:tcPr>
            <w:tcW w:w="1134" w:type="dxa"/>
            <w:vAlign w:val="center"/>
          </w:tcPr>
          <w:p w14:paraId="4BC7412C">
            <w:pPr>
              <w:pStyle w:val="16"/>
              <w:spacing w:after="0"/>
              <w:ind w:firstLine="420"/>
              <w:rPr>
                <w:rFonts w:hint="eastAsia" w:ascii="宋体" w:hAnsi="宋体" w:cs="宋体"/>
                <w:color w:val="000000" w:themeColor="text1"/>
                <w:szCs w:val="21"/>
                <w14:textFill>
                  <w14:solidFill>
                    <w14:schemeClr w14:val="tx1"/>
                  </w14:solidFill>
                </w14:textFill>
              </w:rPr>
            </w:pPr>
          </w:p>
        </w:tc>
        <w:tc>
          <w:tcPr>
            <w:tcW w:w="1134" w:type="dxa"/>
            <w:vAlign w:val="center"/>
          </w:tcPr>
          <w:p w14:paraId="01C3A51B">
            <w:pPr>
              <w:pStyle w:val="16"/>
              <w:spacing w:after="0"/>
              <w:ind w:firstLine="420"/>
              <w:rPr>
                <w:rFonts w:hint="eastAsia" w:ascii="宋体" w:hAnsi="宋体" w:cs="宋体"/>
                <w:color w:val="000000" w:themeColor="text1"/>
                <w:szCs w:val="21"/>
                <w14:textFill>
                  <w14:solidFill>
                    <w14:schemeClr w14:val="tx1"/>
                  </w14:solidFill>
                </w14:textFill>
              </w:rPr>
            </w:pPr>
          </w:p>
        </w:tc>
        <w:tc>
          <w:tcPr>
            <w:tcW w:w="3896" w:type="dxa"/>
            <w:vAlign w:val="center"/>
          </w:tcPr>
          <w:p w14:paraId="709FF911">
            <w:pPr>
              <w:pStyle w:val="16"/>
              <w:spacing w:after="0"/>
              <w:ind w:firstLine="420"/>
              <w:rPr>
                <w:rFonts w:hint="eastAsia" w:ascii="宋体" w:hAnsi="宋体" w:cs="宋体"/>
                <w:color w:val="000000" w:themeColor="text1"/>
                <w:szCs w:val="21"/>
                <w14:textFill>
                  <w14:solidFill>
                    <w14:schemeClr w14:val="tx1"/>
                  </w14:solidFill>
                </w14:textFill>
              </w:rPr>
            </w:pPr>
          </w:p>
          <w:p w14:paraId="31289017">
            <w:pPr>
              <w:pStyle w:val="16"/>
              <w:spacing w:after="0"/>
              <w:ind w:firstLine="420"/>
              <w:rPr>
                <w:rFonts w:hint="eastAsia" w:ascii="宋体" w:hAnsi="宋体" w:cs="宋体"/>
                <w:color w:val="000000" w:themeColor="text1"/>
                <w:szCs w:val="21"/>
                <w14:textFill>
                  <w14:solidFill>
                    <w14:schemeClr w14:val="tx1"/>
                  </w14:solidFill>
                </w14:textFill>
              </w:rPr>
            </w:pPr>
          </w:p>
        </w:tc>
      </w:tr>
      <w:tr w14:paraId="710E46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vAlign w:val="center"/>
          </w:tcPr>
          <w:p w14:paraId="4297FC8D">
            <w:pPr>
              <w:pStyle w:val="16"/>
              <w:spacing w:after="0"/>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项目副经理</w:t>
            </w:r>
          </w:p>
        </w:tc>
        <w:tc>
          <w:tcPr>
            <w:tcW w:w="1418" w:type="dxa"/>
            <w:vAlign w:val="center"/>
          </w:tcPr>
          <w:p w14:paraId="061ACF94">
            <w:pPr>
              <w:pStyle w:val="16"/>
              <w:spacing w:after="0"/>
              <w:ind w:firstLine="420"/>
              <w:rPr>
                <w:rFonts w:hint="eastAsia" w:ascii="宋体" w:hAnsi="宋体" w:cs="宋体"/>
                <w:color w:val="000000" w:themeColor="text1"/>
                <w:szCs w:val="21"/>
                <w14:textFill>
                  <w14:solidFill>
                    <w14:schemeClr w14:val="tx1"/>
                  </w14:solidFill>
                </w14:textFill>
              </w:rPr>
            </w:pPr>
          </w:p>
        </w:tc>
        <w:tc>
          <w:tcPr>
            <w:tcW w:w="1134" w:type="dxa"/>
            <w:vAlign w:val="center"/>
          </w:tcPr>
          <w:p w14:paraId="507AD013">
            <w:pPr>
              <w:pStyle w:val="16"/>
              <w:spacing w:after="0"/>
              <w:ind w:firstLine="420"/>
              <w:rPr>
                <w:rFonts w:hint="eastAsia" w:ascii="宋体" w:hAnsi="宋体" w:cs="宋体"/>
                <w:color w:val="000000" w:themeColor="text1"/>
                <w:szCs w:val="21"/>
                <w14:textFill>
                  <w14:solidFill>
                    <w14:schemeClr w14:val="tx1"/>
                  </w14:solidFill>
                </w14:textFill>
              </w:rPr>
            </w:pPr>
          </w:p>
        </w:tc>
        <w:tc>
          <w:tcPr>
            <w:tcW w:w="1134" w:type="dxa"/>
            <w:vAlign w:val="center"/>
          </w:tcPr>
          <w:p w14:paraId="7CF97FDC">
            <w:pPr>
              <w:pStyle w:val="16"/>
              <w:spacing w:after="0"/>
              <w:ind w:firstLine="420"/>
              <w:rPr>
                <w:rFonts w:hint="eastAsia" w:ascii="宋体" w:hAnsi="宋体" w:cs="宋体"/>
                <w:color w:val="000000" w:themeColor="text1"/>
                <w:szCs w:val="21"/>
                <w14:textFill>
                  <w14:solidFill>
                    <w14:schemeClr w14:val="tx1"/>
                  </w14:solidFill>
                </w14:textFill>
              </w:rPr>
            </w:pPr>
          </w:p>
        </w:tc>
        <w:tc>
          <w:tcPr>
            <w:tcW w:w="3896" w:type="dxa"/>
            <w:vAlign w:val="center"/>
          </w:tcPr>
          <w:p w14:paraId="08FC69B0">
            <w:pPr>
              <w:pStyle w:val="16"/>
              <w:spacing w:after="0"/>
              <w:ind w:firstLine="420"/>
              <w:rPr>
                <w:rFonts w:hint="eastAsia" w:ascii="宋体" w:hAnsi="宋体" w:cs="宋体"/>
                <w:color w:val="000000" w:themeColor="text1"/>
                <w:szCs w:val="21"/>
                <w14:textFill>
                  <w14:solidFill>
                    <w14:schemeClr w14:val="tx1"/>
                  </w14:solidFill>
                </w14:textFill>
              </w:rPr>
            </w:pPr>
          </w:p>
        </w:tc>
      </w:tr>
      <w:tr w14:paraId="6D0F76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vAlign w:val="center"/>
          </w:tcPr>
          <w:p w14:paraId="6A1C0EDD">
            <w:pPr>
              <w:pStyle w:val="16"/>
              <w:spacing w:after="0"/>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设计负责人</w:t>
            </w:r>
          </w:p>
        </w:tc>
        <w:tc>
          <w:tcPr>
            <w:tcW w:w="1418" w:type="dxa"/>
            <w:vAlign w:val="center"/>
          </w:tcPr>
          <w:p w14:paraId="2C37BF22">
            <w:pPr>
              <w:pStyle w:val="16"/>
              <w:spacing w:after="0"/>
              <w:ind w:firstLine="420"/>
              <w:rPr>
                <w:rFonts w:hint="eastAsia" w:ascii="宋体" w:hAnsi="宋体" w:cs="宋体"/>
                <w:color w:val="000000" w:themeColor="text1"/>
                <w:szCs w:val="21"/>
                <w14:textFill>
                  <w14:solidFill>
                    <w14:schemeClr w14:val="tx1"/>
                  </w14:solidFill>
                </w14:textFill>
              </w:rPr>
            </w:pPr>
          </w:p>
        </w:tc>
        <w:tc>
          <w:tcPr>
            <w:tcW w:w="1134" w:type="dxa"/>
            <w:vAlign w:val="center"/>
          </w:tcPr>
          <w:p w14:paraId="51596EE2">
            <w:pPr>
              <w:pStyle w:val="16"/>
              <w:spacing w:after="0"/>
              <w:ind w:firstLine="420"/>
              <w:rPr>
                <w:rFonts w:hint="eastAsia" w:ascii="宋体" w:hAnsi="宋体" w:cs="宋体"/>
                <w:color w:val="000000" w:themeColor="text1"/>
                <w:szCs w:val="21"/>
                <w14:textFill>
                  <w14:solidFill>
                    <w14:schemeClr w14:val="tx1"/>
                  </w14:solidFill>
                </w14:textFill>
              </w:rPr>
            </w:pPr>
          </w:p>
        </w:tc>
        <w:tc>
          <w:tcPr>
            <w:tcW w:w="1134" w:type="dxa"/>
            <w:vAlign w:val="center"/>
          </w:tcPr>
          <w:p w14:paraId="0DD78E31">
            <w:pPr>
              <w:pStyle w:val="16"/>
              <w:spacing w:after="0"/>
              <w:ind w:firstLine="420"/>
              <w:rPr>
                <w:rFonts w:hint="eastAsia" w:ascii="宋体" w:hAnsi="宋体" w:cs="宋体"/>
                <w:color w:val="000000" w:themeColor="text1"/>
                <w:szCs w:val="21"/>
                <w14:textFill>
                  <w14:solidFill>
                    <w14:schemeClr w14:val="tx1"/>
                  </w14:solidFill>
                </w14:textFill>
              </w:rPr>
            </w:pPr>
          </w:p>
        </w:tc>
        <w:tc>
          <w:tcPr>
            <w:tcW w:w="3896" w:type="dxa"/>
            <w:vAlign w:val="center"/>
          </w:tcPr>
          <w:p w14:paraId="7A5581C6">
            <w:pPr>
              <w:pStyle w:val="16"/>
              <w:spacing w:after="0"/>
              <w:ind w:firstLine="420"/>
              <w:rPr>
                <w:rFonts w:hint="eastAsia" w:ascii="宋体" w:hAnsi="宋体" w:cs="宋体"/>
                <w:color w:val="000000" w:themeColor="text1"/>
                <w:szCs w:val="21"/>
                <w14:textFill>
                  <w14:solidFill>
                    <w14:schemeClr w14:val="tx1"/>
                  </w14:solidFill>
                </w14:textFill>
              </w:rPr>
            </w:pPr>
          </w:p>
        </w:tc>
      </w:tr>
      <w:tr w14:paraId="17EF30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vAlign w:val="center"/>
          </w:tcPr>
          <w:p w14:paraId="4BCA8D69">
            <w:pPr>
              <w:pStyle w:val="16"/>
              <w:spacing w:after="0"/>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采购负责人</w:t>
            </w:r>
          </w:p>
        </w:tc>
        <w:tc>
          <w:tcPr>
            <w:tcW w:w="1418" w:type="dxa"/>
            <w:vAlign w:val="center"/>
          </w:tcPr>
          <w:p w14:paraId="0CD472CB">
            <w:pPr>
              <w:pStyle w:val="16"/>
              <w:spacing w:after="0"/>
              <w:ind w:firstLine="420"/>
              <w:rPr>
                <w:rFonts w:hint="eastAsia" w:ascii="宋体" w:hAnsi="宋体" w:cs="宋体"/>
                <w:color w:val="000000" w:themeColor="text1"/>
                <w:szCs w:val="21"/>
                <w14:textFill>
                  <w14:solidFill>
                    <w14:schemeClr w14:val="tx1"/>
                  </w14:solidFill>
                </w14:textFill>
              </w:rPr>
            </w:pPr>
          </w:p>
        </w:tc>
        <w:tc>
          <w:tcPr>
            <w:tcW w:w="1134" w:type="dxa"/>
            <w:vAlign w:val="center"/>
          </w:tcPr>
          <w:p w14:paraId="27DE7F44">
            <w:pPr>
              <w:pStyle w:val="16"/>
              <w:spacing w:after="0"/>
              <w:ind w:firstLine="420"/>
              <w:rPr>
                <w:rFonts w:hint="eastAsia" w:ascii="宋体" w:hAnsi="宋体" w:cs="宋体"/>
                <w:color w:val="000000" w:themeColor="text1"/>
                <w:szCs w:val="21"/>
                <w14:textFill>
                  <w14:solidFill>
                    <w14:schemeClr w14:val="tx1"/>
                  </w14:solidFill>
                </w14:textFill>
              </w:rPr>
            </w:pPr>
          </w:p>
        </w:tc>
        <w:tc>
          <w:tcPr>
            <w:tcW w:w="1134" w:type="dxa"/>
            <w:vAlign w:val="center"/>
          </w:tcPr>
          <w:p w14:paraId="70A30B9D">
            <w:pPr>
              <w:pStyle w:val="16"/>
              <w:spacing w:after="0"/>
              <w:ind w:firstLine="420"/>
              <w:rPr>
                <w:rFonts w:hint="eastAsia" w:ascii="宋体" w:hAnsi="宋体" w:cs="宋体"/>
                <w:color w:val="000000" w:themeColor="text1"/>
                <w:szCs w:val="21"/>
                <w14:textFill>
                  <w14:solidFill>
                    <w14:schemeClr w14:val="tx1"/>
                  </w14:solidFill>
                </w14:textFill>
              </w:rPr>
            </w:pPr>
          </w:p>
        </w:tc>
        <w:tc>
          <w:tcPr>
            <w:tcW w:w="3896" w:type="dxa"/>
            <w:vAlign w:val="center"/>
          </w:tcPr>
          <w:p w14:paraId="5F0EDC40">
            <w:pPr>
              <w:pStyle w:val="16"/>
              <w:spacing w:after="0"/>
              <w:ind w:firstLine="420"/>
              <w:rPr>
                <w:rFonts w:hint="eastAsia" w:ascii="宋体" w:hAnsi="宋体" w:cs="宋体"/>
                <w:color w:val="000000" w:themeColor="text1"/>
                <w:szCs w:val="21"/>
                <w14:textFill>
                  <w14:solidFill>
                    <w14:schemeClr w14:val="tx1"/>
                  </w14:solidFill>
                </w14:textFill>
              </w:rPr>
            </w:pPr>
          </w:p>
        </w:tc>
      </w:tr>
      <w:tr w14:paraId="7B59DE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vAlign w:val="center"/>
          </w:tcPr>
          <w:p w14:paraId="64515E4F">
            <w:pPr>
              <w:pStyle w:val="16"/>
              <w:spacing w:after="0"/>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施工负责人</w:t>
            </w:r>
          </w:p>
        </w:tc>
        <w:tc>
          <w:tcPr>
            <w:tcW w:w="1418" w:type="dxa"/>
            <w:vAlign w:val="center"/>
          </w:tcPr>
          <w:p w14:paraId="70436E2F">
            <w:pPr>
              <w:pStyle w:val="16"/>
              <w:spacing w:after="0"/>
              <w:ind w:firstLine="420"/>
              <w:rPr>
                <w:rFonts w:hint="eastAsia" w:ascii="宋体" w:hAnsi="宋体" w:cs="宋体"/>
                <w:color w:val="000000" w:themeColor="text1"/>
                <w:szCs w:val="21"/>
                <w14:textFill>
                  <w14:solidFill>
                    <w14:schemeClr w14:val="tx1"/>
                  </w14:solidFill>
                </w14:textFill>
              </w:rPr>
            </w:pPr>
          </w:p>
        </w:tc>
        <w:tc>
          <w:tcPr>
            <w:tcW w:w="1134" w:type="dxa"/>
            <w:vAlign w:val="center"/>
          </w:tcPr>
          <w:p w14:paraId="0234C259">
            <w:pPr>
              <w:pStyle w:val="16"/>
              <w:spacing w:after="0"/>
              <w:ind w:firstLine="420"/>
              <w:rPr>
                <w:rFonts w:hint="eastAsia" w:ascii="宋体" w:hAnsi="宋体" w:cs="宋体"/>
                <w:color w:val="000000" w:themeColor="text1"/>
                <w:szCs w:val="21"/>
                <w14:textFill>
                  <w14:solidFill>
                    <w14:schemeClr w14:val="tx1"/>
                  </w14:solidFill>
                </w14:textFill>
              </w:rPr>
            </w:pPr>
          </w:p>
        </w:tc>
        <w:tc>
          <w:tcPr>
            <w:tcW w:w="1134" w:type="dxa"/>
            <w:vAlign w:val="center"/>
          </w:tcPr>
          <w:p w14:paraId="53E3E9D7">
            <w:pPr>
              <w:pStyle w:val="16"/>
              <w:spacing w:after="0"/>
              <w:ind w:firstLine="420"/>
              <w:rPr>
                <w:rFonts w:hint="eastAsia" w:ascii="宋体" w:hAnsi="宋体" w:cs="宋体"/>
                <w:color w:val="000000" w:themeColor="text1"/>
                <w:szCs w:val="21"/>
                <w14:textFill>
                  <w14:solidFill>
                    <w14:schemeClr w14:val="tx1"/>
                  </w14:solidFill>
                </w14:textFill>
              </w:rPr>
            </w:pPr>
          </w:p>
        </w:tc>
        <w:tc>
          <w:tcPr>
            <w:tcW w:w="3896" w:type="dxa"/>
            <w:vAlign w:val="center"/>
          </w:tcPr>
          <w:p w14:paraId="4BD58B36">
            <w:pPr>
              <w:pStyle w:val="16"/>
              <w:spacing w:after="0"/>
              <w:ind w:firstLine="420"/>
              <w:rPr>
                <w:rFonts w:hint="eastAsia" w:ascii="宋体" w:hAnsi="宋体" w:cs="宋体"/>
                <w:color w:val="000000" w:themeColor="text1"/>
                <w:szCs w:val="21"/>
                <w14:textFill>
                  <w14:solidFill>
                    <w14:schemeClr w14:val="tx1"/>
                  </w14:solidFill>
                </w14:textFill>
              </w:rPr>
            </w:pPr>
          </w:p>
        </w:tc>
      </w:tr>
      <w:tr w14:paraId="3B1588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vAlign w:val="center"/>
          </w:tcPr>
          <w:p w14:paraId="0E96AA7D">
            <w:pPr>
              <w:pStyle w:val="16"/>
              <w:spacing w:after="0"/>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技术负责人</w:t>
            </w:r>
          </w:p>
        </w:tc>
        <w:tc>
          <w:tcPr>
            <w:tcW w:w="1418" w:type="dxa"/>
            <w:vAlign w:val="center"/>
          </w:tcPr>
          <w:p w14:paraId="702E1B4D">
            <w:pPr>
              <w:pStyle w:val="16"/>
              <w:spacing w:after="0"/>
              <w:ind w:firstLine="420"/>
              <w:rPr>
                <w:rFonts w:hint="eastAsia" w:ascii="宋体" w:hAnsi="宋体" w:cs="宋体"/>
                <w:color w:val="000000" w:themeColor="text1"/>
                <w:szCs w:val="21"/>
                <w14:textFill>
                  <w14:solidFill>
                    <w14:schemeClr w14:val="tx1"/>
                  </w14:solidFill>
                </w14:textFill>
              </w:rPr>
            </w:pPr>
          </w:p>
        </w:tc>
        <w:tc>
          <w:tcPr>
            <w:tcW w:w="1134" w:type="dxa"/>
            <w:vAlign w:val="center"/>
          </w:tcPr>
          <w:p w14:paraId="56B39F55">
            <w:pPr>
              <w:pStyle w:val="16"/>
              <w:spacing w:after="0"/>
              <w:ind w:firstLine="420"/>
              <w:rPr>
                <w:rFonts w:hint="eastAsia" w:ascii="宋体" w:hAnsi="宋体" w:cs="宋体"/>
                <w:color w:val="000000" w:themeColor="text1"/>
                <w:szCs w:val="21"/>
                <w14:textFill>
                  <w14:solidFill>
                    <w14:schemeClr w14:val="tx1"/>
                  </w14:solidFill>
                </w14:textFill>
              </w:rPr>
            </w:pPr>
          </w:p>
        </w:tc>
        <w:tc>
          <w:tcPr>
            <w:tcW w:w="1134" w:type="dxa"/>
            <w:vAlign w:val="center"/>
          </w:tcPr>
          <w:p w14:paraId="331149E8">
            <w:pPr>
              <w:pStyle w:val="16"/>
              <w:spacing w:after="0"/>
              <w:ind w:firstLine="420"/>
              <w:rPr>
                <w:rFonts w:hint="eastAsia" w:ascii="宋体" w:hAnsi="宋体" w:cs="宋体"/>
                <w:color w:val="000000" w:themeColor="text1"/>
                <w:szCs w:val="21"/>
                <w14:textFill>
                  <w14:solidFill>
                    <w14:schemeClr w14:val="tx1"/>
                  </w14:solidFill>
                </w14:textFill>
              </w:rPr>
            </w:pPr>
          </w:p>
        </w:tc>
        <w:tc>
          <w:tcPr>
            <w:tcW w:w="3896" w:type="dxa"/>
            <w:vAlign w:val="center"/>
          </w:tcPr>
          <w:p w14:paraId="303B7773">
            <w:pPr>
              <w:pStyle w:val="16"/>
              <w:spacing w:after="0"/>
              <w:ind w:firstLine="420"/>
              <w:rPr>
                <w:rFonts w:hint="eastAsia" w:ascii="宋体" w:hAnsi="宋体" w:cs="宋体"/>
                <w:color w:val="000000" w:themeColor="text1"/>
                <w:szCs w:val="21"/>
                <w14:textFill>
                  <w14:solidFill>
                    <w14:schemeClr w14:val="tx1"/>
                  </w14:solidFill>
                </w14:textFill>
              </w:rPr>
            </w:pPr>
          </w:p>
        </w:tc>
      </w:tr>
      <w:tr w14:paraId="34F460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vAlign w:val="center"/>
          </w:tcPr>
          <w:p w14:paraId="0CCBCA75">
            <w:pPr>
              <w:pStyle w:val="16"/>
              <w:spacing w:after="0"/>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造价管理</w:t>
            </w:r>
          </w:p>
        </w:tc>
        <w:tc>
          <w:tcPr>
            <w:tcW w:w="1418" w:type="dxa"/>
            <w:vAlign w:val="center"/>
          </w:tcPr>
          <w:p w14:paraId="2B1ABDC9">
            <w:pPr>
              <w:pStyle w:val="16"/>
              <w:spacing w:after="0"/>
              <w:ind w:firstLine="420"/>
              <w:rPr>
                <w:rFonts w:hint="eastAsia" w:ascii="宋体" w:hAnsi="宋体" w:cs="宋体"/>
                <w:color w:val="000000" w:themeColor="text1"/>
                <w:szCs w:val="21"/>
                <w14:textFill>
                  <w14:solidFill>
                    <w14:schemeClr w14:val="tx1"/>
                  </w14:solidFill>
                </w14:textFill>
              </w:rPr>
            </w:pPr>
          </w:p>
        </w:tc>
        <w:tc>
          <w:tcPr>
            <w:tcW w:w="1134" w:type="dxa"/>
            <w:vAlign w:val="center"/>
          </w:tcPr>
          <w:p w14:paraId="6A46B69B">
            <w:pPr>
              <w:pStyle w:val="16"/>
              <w:spacing w:after="0"/>
              <w:ind w:firstLine="420"/>
              <w:rPr>
                <w:rFonts w:hint="eastAsia" w:ascii="宋体" w:hAnsi="宋体" w:cs="宋体"/>
                <w:color w:val="000000" w:themeColor="text1"/>
                <w:szCs w:val="21"/>
                <w14:textFill>
                  <w14:solidFill>
                    <w14:schemeClr w14:val="tx1"/>
                  </w14:solidFill>
                </w14:textFill>
              </w:rPr>
            </w:pPr>
          </w:p>
        </w:tc>
        <w:tc>
          <w:tcPr>
            <w:tcW w:w="1134" w:type="dxa"/>
            <w:vAlign w:val="center"/>
          </w:tcPr>
          <w:p w14:paraId="113F8A6C">
            <w:pPr>
              <w:pStyle w:val="16"/>
              <w:spacing w:after="0"/>
              <w:ind w:firstLine="420"/>
              <w:rPr>
                <w:rFonts w:hint="eastAsia" w:ascii="宋体" w:hAnsi="宋体" w:cs="宋体"/>
                <w:color w:val="000000" w:themeColor="text1"/>
                <w:szCs w:val="21"/>
                <w14:textFill>
                  <w14:solidFill>
                    <w14:schemeClr w14:val="tx1"/>
                  </w14:solidFill>
                </w14:textFill>
              </w:rPr>
            </w:pPr>
          </w:p>
        </w:tc>
        <w:tc>
          <w:tcPr>
            <w:tcW w:w="3896" w:type="dxa"/>
            <w:vAlign w:val="center"/>
          </w:tcPr>
          <w:p w14:paraId="31FD2CDB">
            <w:pPr>
              <w:pStyle w:val="16"/>
              <w:spacing w:after="0"/>
              <w:ind w:firstLine="420"/>
              <w:rPr>
                <w:rFonts w:hint="eastAsia" w:ascii="宋体" w:hAnsi="宋体" w:cs="宋体"/>
                <w:color w:val="000000" w:themeColor="text1"/>
                <w:szCs w:val="21"/>
                <w14:textFill>
                  <w14:solidFill>
                    <w14:schemeClr w14:val="tx1"/>
                  </w14:solidFill>
                </w14:textFill>
              </w:rPr>
            </w:pPr>
          </w:p>
        </w:tc>
      </w:tr>
      <w:tr w14:paraId="73D9EC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vAlign w:val="center"/>
          </w:tcPr>
          <w:p w14:paraId="7C1B5D3A">
            <w:pPr>
              <w:pStyle w:val="16"/>
              <w:spacing w:after="0"/>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质量管理</w:t>
            </w:r>
          </w:p>
        </w:tc>
        <w:tc>
          <w:tcPr>
            <w:tcW w:w="1418" w:type="dxa"/>
            <w:vAlign w:val="center"/>
          </w:tcPr>
          <w:p w14:paraId="347207E4">
            <w:pPr>
              <w:pStyle w:val="16"/>
              <w:spacing w:after="0"/>
              <w:ind w:firstLine="420"/>
              <w:rPr>
                <w:rFonts w:hint="eastAsia" w:ascii="宋体" w:hAnsi="宋体" w:cs="宋体"/>
                <w:color w:val="000000" w:themeColor="text1"/>
                <w:szCs w:val="21"/>
                <w14:textFill>
                  <w14:solidFill>
                    <w14:schemeClr w14:val="tx1"/>
                  </w14:solidFill>
                </w14:textFill>
              </w:rPr>
            </w:pPr>
          </w:p>
        </w:tc>
        <w:tc>
          <w:tcPr>
            <w:tcW w:w="1134" w:type="dxa"/>
            <w:vAlign w:val="center"/>
          </w:tcPr>
          <w:p w14:paraId="3DB8C00A">
            <w:pPr>
              <w:pStyle w:val="16"/>
              <w:spacing w:after="0"/>
              <w:ind w:firstLine="420"/>
              <w:rPr>
                <w:rFonts w:hint="eastAsia" w:ascii="宋体" w:hAnsi="宋体" w:cs="宋体"/>
                <w:color w:val="000000" w:themeColor="text1"/>
                <w:szCs w:val="21"/>
                <w14:textFill>
                  <w14:solidFill>
                    <w14:schemeClr w14:val="tx1"/>
                  </w14:solidFill>
                </w14:textFill>
              </w:rPr>
            </w:pPr>
          </w:p>
        </w:tc>
        <w:tc>
          <w:tcPr>
            <w:tcW w:w="1134" w:type="dxa"/>
            <w:vAlign w:val="center"/>
          </w:tcPr>
          <w:p w14:paraId="70D28C34">
            <w:pPr>
              <w:pStyle w:val="16"/>
              <w:spacing w:after="0"/>
              <w:ind w:firstLine="420"/>
              <w:rPr>
                <w:rFonts w:hint="eastAsia" w:ascii="宋体" w:hAnsi="宋体" w:cs="宋体"/>
                <w:color w:val="000000" w:themeColor="text1"/>
                <w:szCs w:val="21"/>
                <w14:textFill>
                  <w14:solidFill>
                    <w14:schemeClr w14:val="tx1"/>
                  </w14:solidFill>
                </w14:textFill>
              </w:rPr>
            </w:pPr>
          </w:p>
        </w:tc>
        <w:tc>
          <w:tcPr>
            <w:tcW w:w="3896" w:type="dxa"/>
            <w:vAlign w:val="center"/>
          </w:tcPr>
          <w:p w14:paraId="4856F4D4">
            <w:pPr>
              <w:pStyle w:val="16"/>
              <w:spacing w:after="0"/>
              <w:ind w:firstLine="420"/>
              <w:rPr>
                <w:rFonts w:hint="eastAsia" w:ascii="宋体" w:hAnsi="宋体" w:cs="宋体"/>
                <w:color w:val="000000" w:themeColor="text1"/>
                <w:szCs w:val="21"/>
                <w14:textFill>
                  <w14:solidFill>
                    <w14:schemeClr w14:val="tx1"/>
                  </w14:solidFill>
                </w14:textFill>
              </w:rPr>
            </w:pPr>
          </w:p>
        </w:tc>
      </w:tr>
      <w:tr w14:paraId="7C0264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vAlign w:val="center"/>
          </w:tcPr>
          <w:p w14:paraId="12BD5FB4">
            <w:pPr>
              <w:pStyle w:val="16"/>
              <w:spacing w:after="0"/>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计划管理</w:t>
            </w:r>
          </w:p>
        </w:tc>
        <w:tc>
          <w:tcPr>
            <w:tcW w:w="1418" w:type="dxa"/>
            <w:vAlign w:val="center"/>
          </w:tcPr>
          <w:p w14:paraId="0AF95FB2">
            <w:pPr>
              <w:pStyle w:val="16"/>
              <w:spacing w:after="0"/>
              <w:ind w:firstLine="420"/>
              <w:rPr>
                <w:rFonts w:hint="eastAsia" w:ascii="宋体" w:hAnsi="宋体" w:cs="宋体"/>
                <w:color w:val="000000" w:themeColor="text1"/>
                <w:szCs w:val="21"/>
                <w14:textFill>
                  <w14:solidFill>
                    <w14:schemeClr w14:val="tx1"/>
                  </w14:solidFill>
                </w14:textFill>
              </w:rPr>
            </w:pPr>
          </w:p>
        </w:tc>
        <w:tc>
          <w:tcPr>
            <w:tcW w:w="1134" w:type="dxa"/>
            <w:vAlign w:val="center"/>
          </w:tcPr>
          <w:p w14:paraId="56DEA375">
            <w:pPr>
              <w:pStyle w:val="16"/>
              <w:spacing w:after="0"/>
              <w:ind w:firstLine="420"/>
              <w:rPr>
                <w:rFonts w:hint="eastAsia" w:ascii="宋体" w:hAnsi="宋体" w:cs="宋体"/>
                <w:color w:val="000000" w:themeColor="text1"/>
                <w:szCs w:val="21"/>
                <w14:textFill>
                  <w14:solidFill>
                    <w14:schemeClr w14:val="tx1"/>
                  </w14:solidFill>
                </w14:textFill>
              </w:rPr>
            </w:pPr>
          </w:p>
        </w:tc>
        <w:tc>
          <w:tcPr>
            <w:tcW w:w="1134" w:type="dxa"/>
            <w:vAlign w:val="center"/>
          </w:tcPr>
          <w:p w14:paraId="68EDB953">
            <w:pPr>
              <w:pStyle w:val="16"/>
              <w:spacing w:after="0"/>
              <w:ind w:firstLine="420"/>
              <w:rPr>
                <w:rFonts w:hint="eastAsia" w:ascii="宋体" w:hAnsi="宋体" w:cs="宋体"/>
                <w:color w:val="000000" w:themeColor="text1"/>
                <w:szCs w:val="21"/>
                <w14:textFill>
                  <w14:solidFill>
                    <w14:schemeClr w14:val="tx1"/>
                  </w14:solidFill>
                </w14:textFill>
              </w:rPr>
            </w:pPr>
          </w:p>
        </w:tc>
        <w:tc>
          <w:tcPr>
            <w:tcW w:w="3896" w:type="dxa"/>
            <w:vAlign w:val="center"/>
          </w:tcPr>
          <w:p w14:paraId="069C0ABA">
            <w:pPr>
              <w:pStyle w:val="16"/>
              <w:spacing w:after="0"/>
              <w:ind w:firstLine="420"/>
              <w:rPr>
                <w:rFonts w:hint="eastAsia" w:ascii="宋体" w:hAnsi="宋体" w:cs="宋体"/>
                <w:color w:val="000000" w:themeColor="text1"/>
                <w:szCs w:val="21"/>
                <w14:textFill>
                  <w14:solidFill>
                    <w14:schemeClr w14:val="tx1"/>
                  </w14:solidFill>
                </w14:textFill>
              </w:rPr>
            </w:pPr>
          </w:p>
        </w:tc>
      </w:tr>
      <w:tr w14:paraId="6F372A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vAlign w:val="center"/>
          </w:tcPr>
          <w:p w14:paraId="3AD2F669">
            <w:pPr>
              <w:pStyle w:val="16"/>
              <w:spacing w:after="0"/>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安全管理</w:t>
            </w:r>
          </w:p>
        </w:tc>
        <w:tc>
          <w:tcPr>
            <w:tcW w:w="1418" w:type="dxa"/>
            <w:vAlign w:val="center"/>
          </w:tcPr>
          <w:p w14:paraId="1B9FC476">
            <w:pPr>
              <w:pStyle w:val="16"/>
              <w:spacing w:after="0"/>
              <w:ind w:firstLine="420"/>
              <w:rPr>
                <w:rFonts w:hint="eastAsia" w:ascii="宋体" w:hAnsi="宋体" w:cs="宋体"/>
                <w:color w:val="000000" w:themeColor="text1"/>
                <w:szCs w:val="21"/>
                <w14:textFill>
                  <w14:solidFill>
                    <w14:schemeClr w14:val="tx1"/>
                  </w14:solidFill>
                </w14:textFill>
              </w:rPr>
            </w:pPr>
          </w:p>
        </w:tc>
        <w:tc>
          <w:tcPr>
            <w:tcW w:w="1134" w:type="dxa"/>
            <w:vAlign w:val="center"/>
          </w:tcPr>
          <w:p w14:paraId="79F74501">
            <w:pPr>
              <w:pStyle w:val="16"/>
              <w:spacing w:after="0"/>
              <w:ind w:firstLine="420"/>
              <w:rPr>
                <w:rFonts w:hint="eastAsia" w:ascii="宋体" w:hAnsi="宋体" w:cs="宋体"/>
                <w:color w:val="000000" w:themeColor="text1"/>
                <w:szCs w:val="21"/>
                <w14:textFill>
                  <w14:solidFill>
                    <w14:schemeClr w14:val="tx1"/>
                  </w14:solidFill>
                </w14:textFill>
              </w:rPr>
            </w:pPr>
          </w:p>
        </w:tc>
        <w:tc>
          <w:tcPr>
            <w:tcW w:w="1134" w:type="dxa"/>
            <w:vAlign w:val="center"/>
          </w:tcPr>
          <w:p w14:paraId="76AB14B5">
            <w:pPr>
              <w:pStyle w:val="16"/>
              <w:spacing w:after="0"/>
              <w:ind w:firstLine="420"/>
              <w:rPr>
                <w:rFonts w:hint="eastAsia" w:ascii="宋体" w:hAnsi="宋体" w:cs="宋体"/>
                <w:color w:val="000000" w:themeColor="text1"/>
                <w:szCs w:val="21"/>
                <w14:textFill>
                  <w14:solidFill>
                    <w14:schemeClr w14:val="tx1"/>
                  </w14:solidFill>
                </w14:textFill>
              </w:rPr>
            </w:pPr>
          </w:p>
        </w:tc>
        <w:tc>
          <w:tcPr>
            <w:tcW w:w="3896" w:type="dxa"/>
            <w:vAlign w:val="center"/>
          </w:tcPr>
          <w:p w14:paraId="34920303">
            <w:pPr>
              <w:pStyle w:val="16"/>
              <w:spacing w:after="0"/>
              <w:ind w:firstLine="420"/>
              <w:rPr>
                <w:rFonts w:hint="eastAsia" w:ascii="宋体" w:hAnsi="宋体" w:cs="宋体"/>
                <w:color w:val="000000" w:themeColor="text1"/>
                <w:szCs w:val="21"/>
                <w14:textFill>
                  <w14:solidFill>
                    <w14:schemeClr w14:val="tx1"/>
                  </w14:solidFill>
                </w14:textFill>
              </w:rPr>
            </w:pPr>
          </w:p>
        </w:tc>
      </w:tr>
      <w:tr w14:paraId="79A3C2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vAlign w:val="center"/>
          </w:tcPr>
          <w:p w14:paraId="4715788B">
            <w:pPr>
              <w:pStyle w:val="16"/>
              <w:spacing w:after="0"/>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环境管理</w:t>
            </w:r>
          </w:p>
        </w:tc>
        <w:tc>
          <w:tcPr>
            <w:tcW w:w="1418" w:type="dxa"/>
            <w:vAlign w:val="center"/>
          </w:tcPr>
          <w:p w14:paraId="1C2F7EE2">
            <w:pPr>
              <w:pStyle w:val="16"/>
              <w:spacing w:after="0"/>
              <w:ind w:firstLine="420"/>
              <w:rPr>
                <w:rFonts w:hint="eastAsia" w:ascii="宋体" w:hAnsi="宋体" w:cs="宋体"/>
                <w:color w:val="000000" w:themeColor="text1"/>
                <w:szCs w:val="21"/>
                <w14:textFill>
                  <w14:solidFill>
                    <w14:schemeClr w14:val="tx1"/>
                  </w14:solidFill>
                </w14:textFill>
              </w:rPr>
            </w:pPr>
          </w:p>
        </w:tc>
        <w:tc>
          <w:tcPr>
            <w:tcW w:w="1134" w:type="dxa"/>
            <w:vAlign w:val="center"/>
          </w:tcPr>
          <w:p w14:paraId="49D8EB32">
            <w:pPr>
              <w:pStyle w:val="16"/>
              <w:spacing w:after="0"/>
              <w:ind w:firstLine="420"/>
              <w:rPr>
                <w:rFonts w:hint="eastAsia" w:ascii="宋体" w:hAnsi="宋体" w:cs="宋体"/>
                <w:color w:val="000000" w:themeColor="text1"/>
                <w:szCs w:val="21"/>
                <w14:textFill>
                  <w14:solidFill>
                    <w14:schemeClr w14:val="tx1"/>
                  </w14:solidFill>
                </w14:textFill>
              </w:rPr>
            </w:pPr>
          </w:p>
        </w:tc>
        <w:tc>
          <w:tcPr>
            <w:tcW w:w="1134" w:type="dxa"/>
            <w:vAlign w:val="center"/>
          </w:tcPr>
          <w:p w14:paraId="4C633AF2">
            <w:pPr>
              <w:pStyle w:val="16"/>
              <w:spacing w:after="0"/>
              <w:ind w:firstLine="420"/>
              <w:rPr>
                <w:rFonts w:hint="eastAsia" w:ascii="宋体" w:hAnsi="宋体" w:cs="宋体"/>
                <w:color w:val="000000" w:themeColor="text1"/>
                <w:szCs w:val="21"/>
                <w14:textFill>
                  <w14:solidFill>
                    <w14:schemeClr w14:val="tx1"/>
                  </w14:solidFill>
                </w14:textFill>
              </w:rPr>
            </w:pPr>
          </w:p>
        </w:tc>
        <w:tc>
          <w:tcPr>
            <w:tcW w:w="3896" w:type="dxa"/>
            <w:vAlign w:val="center"/>
          </w:tcPr>
          <w:p w14:paraId="0C790DE0">
            <w:pPr>
              <w:pStyle w:val="16"/>
              <w:spacing w:after="0"/>
              <w:ind w:firstLine="420"/>
              <w:rPr>
                <w:rFonts w:hint="eastAsia" w:ascii="宋体" w:hAnsi="宋体" w:cs="宋体"/>
                <w:color w:val="000000" w:themeColor="text1"/>
                <w:szCs w:val="21"/>
                <w14:textFill>
                  <w14:solidFill>
                    <w14:schemeClr w14:val="tx1"/>
                  </w14:solidFill>
                </w14:textFill>
              </w:rPr>
            </w:pPr>
          </w:p>
        </w:tc>
      </w:tr>
      <w:tr w14:paraId="4E180D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restart"/>
            <w:tcBorders>
              <w:top w:val="single" w:color="auto" w:sz="6" w:space="0"/>
            </w:tcBorders>
            <w:vAlign w:val="center"/>
          </w:tcPr>
          <w:p w14:paraId="637BCAA6">
            <w:pPr>
              <w:pStyle w:val="16"/>
              <w:spacing w:after="0"/>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其他人员</w:t>
            </w:r>
          </w:p>
        </w:tc>
        <w:tc>
          <w:tcPr>
            <w:tcW w:w="1418" w:type="dxa"/>
            <w:vAlign w:val="center"/>
          </w:tcPr>
          <w:p w14:paraId="3B6AC35E">
            <w:pPr>
              <w:pStyle w:val="16"/>
              <w:spacing w:after="0"/>
              <w:ind w:firstLine="420"/>
              <w:rPr>
                <w:rFonts w:hint="eastAsia" w:ascii="宋体" w:hAnsi="宋体" w:cs="宋体"/>
                <w:color w:val="000000" w:themeColor="text1"/>
                <w:szCs w:val="21"/>
                <w14:textFill>
                  <w14:solidFill>
                    <w14:schemeClr w14:val="tx1"/>
                  </w14:solidFill>
                </w14:textFill>
              </w:rPr>
            </w:pPr>
          </w:p>
        </w:tc>
        <w:tc>
          <w:tcPr>
            <w:tcW w:w="1134" w:type="dxa"/>
            <w:vAlign w:val="center"/>
          </w:tcPr>
          <w:p w14:paraId="6D548F4D">
            <w:pPr>
              <w:pStyle w:val="16"/>
              <w:spacing w:after="0"/>
              <w:ind w:firstLine="420"/>
              <w:rPr>
                <w:rFonts w:hint="eastAsia" w:ascii="宋体" w:hAnsi="宋体" w:cs="宋体"/>
                <w:color w:val="000000" w:themeColor="text1"/>
                <w:szCs w:val="21"/>
                <w14:textFill>
                  <w14:solidFill>
                    <w14:schemeClr w14:val="tx1"/>
                  </w14:solidFill>
                </w14:textFill>
              </w:rPr>
            </w:pPr>
          </w:p>
        </w:tc>
        <w:tc>
          <w:tcPr>
            <w:tcW w:w="1134" w:type="dxa"/>
            <w:vAlign w:val="center"/>
          </w:tcPr>
          <w:p w14:paraId="634E3CB3">
            <w:pPr>
              <w:pStyle w:val="16"/>
              <w:spacing w:after="0"/>
              <w:ind w:firstLine="420"/>
              <w:rPr>
                <w:rFonts w:hint="eastAsia" w:ascii="宋体" w:hAnsi="宋体" w:cs="宋体"/>
                <w:color w:val="000000" w:themeColor="text1"/>
                <w:szCs w:val="21"/>
                <w14:textFill>
                  <w14:solidFill>
                    <w14:schemeClr w14:val="tx1"/>
                  </w14:solidFill>
                </w14:textFill>
              </w:rPr>
            </w:pPr>
          </w:p>
        </w:tc>
        <w:tc>
          <w:tcPr>
            <w:tcW w:w="3896" w:type="dxa"/>
            <w:vAlign w:val="center"/>
          </w:tcPr>
          <w:p w14:paraId="4A9F7E17">
            <w:pPr>
              <w:pStyle w:val="16"/>
              <w:spacing w:after="0"/>
              <w:ind w:firstLine="420"/>
              <w:rPr>
                <w:rFonts w:hint="eastAsia" w:ascii="宋体" w:hAnsi="宋体" w:cs="宋体"/>
                <w:color w:val="000000" w:themeColor="text1"/>
                <w:szCs w:val="21"/>
                <w14:textFill>
                  <w14:solidFill>
                    <w14:schemeClr w14:val="tx1"/>
                  </w14:solidFill>
                </w14:textFill>
              </w:rPr>
            </w:pPr>
          </w:p>
        </w:tc>
      </w:tr>
      <w:tr w14:paraId="20D2D7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vAlign w:val="center"/>
          </w:tcPr>
          <w:p w14:paraId="5133C72E">
            <w:pPr>
              <w:pStyle w:val="16"/>
              <w:spacing w:after="0"/>
              <w:ind w:firstLine="420"/>
              <w:rPr>
                <w:rFonts w:hint="eastAsia" w:ascii="宋体" w:hAnsi="宋体" w:cs="宋体"/>
                <w:color w:val="000000" w:themeColor="text1"/>
                <w:szCs w:val="21"/>
                <w14:textFill>
                  <w14:solidFill>
                    <w14:schemeClr w14:val="tx1"/>
                  </w14:solidFill>
                </w14:textFill>
              </w:rPr>
            </w:pPr>
          </w:p>
        </w:tc>
        <w:tc>
          <w:tcPr>
            <w:tcW w:w="1418" w:type="dxa"/>
            <w:tcBorders>
              <w:bottom w:val="nil"/>
            </w:tcBorders>
            <w:vAlign w:val="center"/>
          </w:tcPr>
          <w:p w14:paraId="15168E14">
            <w:pPr>
              <w:pStyle w:val="16"/>
              <w:spacing w:after="0"/>
              <w:ind w:firstLine="420"/>
              <w:rPr>
                <w:rFonts w:hint="eastAsia" w:ascii="宋体" w:hAnsi="宋体" w:cs="宋体"/>
                <w:color w:val="000000" w:themeColor="text1"/>
                <w:szCs w:val="21"/>
                <w14:textFill>
                  <w14:solidFill>
                    <w14:schemeClr w14:val="tx1"/>
                  </w14:solidFill>
                </w14:textFill>
              </w:rPr>
            </w:pPr>
          </w:p>
        </w:tc>
        <w:tc>
          <w:tcPr>
            <w:tcW w:w="1134" w:type="dxa"/>
            <w:tcBorders>
              <w:bottom w:val="nil"/>
            </w:tcBorders>
            <w:vAlign w:val="center"/>
          </w:tcPr>
          <w:p w14:paraId="4C819C69">
            <w:pPr>
              <w:pStyle w:val="16"/>
              <w:spacing w:after="0"/>
              <w:ind w:firstLine="420"/>
              <w:rPr>
                <w:rFonts w:hint="eastAsia" w:ascii="宋体" w:hAnsi="宋体" w:cs="宋体"/>
                <w:color w:val="000000" w:themeColor="text1"/>
                <w:szCs w:val="21"/>
                <w14:textFill>
                  <w14:solidFill>
                    <w14:schemeClr w14:val="tx1"/>
                  </w14:solidFill>
                </w14:textFill>
              </w:rPr>
            </w:pPr>
          </w:p>
        </w:tc>
        <w:tc>
          <w:tcPr>
            <w:tcW w:w="1134" w:type="dxa"/>
            <w:tcBorders>
              <w:bottom w:val="nil"/>
            </w:tcBorders>
            <w:vAlign w:val="center"/>
          </w:tcPr>
          <w:p w14:paraId="45ECDE72">
            <w:pPr>
              <w:pStyle w:val="16"/>
              <w:spacing w:after="0"/>
              <w:ind w:firstLine="420"/>
              <w:rPr>
                <w:rFonts w:hint="eastAsia" w:ascii="宋体" w:hAnsi="宋体" w:cs="宋体"/>
                <w:color w:val="000000" w:themeColor="text1"/>
                <w:szCs w:val="21"/>
                <w14:textFill>
                  <w14:solidFill>
                    <w14:schemeClr w14:val="tx1"/>
                  </w14:solidFill>
                </w14:textFill>
              </w:rPr>
            </w:pPr>
          </w:p>
        </w:tc>
        <w:tc>
          <w:tcPr>
            <w:tcW w:w="3896" w:type="dxa"/>
            <w:tcBorders>
              <w:bottom w:val="nil"/>
            </w:tcBorders>
            <w:vAlign w:val="center"/>
          </w:tcPr>
          <w:p w14:paraId="742B5E27">
            <w:pPr>
              <w:pStyle w:val="16"/>
              <w:spacing w:after="0"/>
              <w:ind w:firstLine="420"/>
              <w:rPr>
                <w:rFonts w:hint="eastAsia" w:ascii="宋体" w:hAnsi="宋体" w:cs="宋体"/>
                <w:color w:val="000000" w:themeColor="text1"/>
                <w:szCs w:val="21"/>
                <w14:textFill>
                  <w14:solidFill>
                    <w14:schemeClr w14:val="tx1"/>
                  </w14:solidFill>
                </w14:textFill>
              </w:rPr>
            </w:pPr>
          </w:p>
        </w:tc>
      </w:tr>
      <w:tr w14:paraId="7985C5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vAlign w:val="center"/>
          </w:tcPr>
          <w:p w14:paraId="2440A832">
            <w:pPr>
              <w:pStyle w:val="16"/>
              <w:spacing w:after="0"/>
              <w:ind w:firstLine="420"/>
              <w:rPr>
                <w:rFonts w:hint="eastAsia" w:ascii="宋体" w:hAnsi="宋体" w:cs="宋体"/>
                <w:color w:val="000000" w:themeColor="text1"/>
                <w:szCs w:val="21"/>
                <w14:textFill>
                  <w14:solidFill>
                    <w14:schemeClr w14:val="tx1"/>
                  </w14:solidFill>
                </w14:textFill>
              </w:rPr>
            </w:pPr>
          </w:p>
        </w:tc>
        <w:tc>
          <w:tcPr>
            <w:tcW w:w="1418" w:type="dxa"/>
            <w:vAlign w:val="center"/>
          </w:tcPr>
          <w:p w14:paraId="6EB7308B">
            <w:pPr>
              <w:pStyle w:val="16"/>
              <w:spacing w:after="0"/>
              <w:ind w:firstLine="420"/>
              <w:rPr>
                <w:rFonts w:hint="eastAsia" w:ascii="宋体" w:hAnsi="宋体" w:cs="宋体"/>
                <w:color w:val="000000" w:themeColor="text1"/>
                <w:szCs w:val="21"/>
                <w14:textFill>
                  <w14:solidFill>
                    <w14:schemeClr w14:val="tx1"/>
                  </w14:solidFill>
                </w14:textFill>
              </w:rPr>
            </w:pPr>
          </w:p>
        </w:tc>
        <w:tc>
          <w:tcPr>
            <w:tcW w:w="1134" w:type="dxa"/>
            <w:vAlign w:val="center"/>
          </w:tcPr>
          <w:p w14:paraId="23580B86">
            <w:pPr>
              <w:pStyle w:val="16"/>
              <w:spacing w:after="0"/>
              <w:ind w:firstLine="420"/>
              <w:rPr>
                <w:rFonts w:hint="eastAsia" w:ascii="宋体" w:hAnsi="宋体" w:cs="宋体"/>
                <w:color w:val="000000" w:themeColor="text1"/>
                <w:szCs w:val="21"/>
                <w14:textFill>
                  <w14:solidFill>
                    <w14:schemeClr w14:val="tx1"/>
                  </w14:solidFill>
                </w14:textFill>
              </w:rPr>
            </w:pPr>
          </w:p>
        </w:tc>
        <w:tc>
          <w:tcPr>
            <w:tcW w:w="1134" w:type="dxa"/>
            <w:vAlign w:val="center"/>
          </w:tcPr>
          <w:p w14:paraId="3EC544CA">
            <w:pPr>
              <w:pStyle w:val="16"/>
              <w:spacing w:after="0"/>
              <w:ind w:firstLine="420"/>
              <w:rPr>
                <w:rFonts w:hint="eastAsia" w:ascii="宋体" w:hAnsi="宋体" w:cs="宋体"/>
                <w:color w:val="000000" w:themeColor="text1"/>
                <w:szCs w:val="21"/>
                <w14:textFill>
                  <w14:solidFill>
                    <w14:schemeClr w14:val="tx1"/>
                  </w14:solidFill>
                </w14:textFill>
              </w:rPr>
            </w:pPr>
          </w:p>
        </w:tc>
        <w:tc>
          <w:tcPr>
            <w:tcW w:w="3896" w:type="dxa"/>
            <w:vAlign w:val="center"/>
          </w:tcPr>
          <w:p w14:paraId="5237FE62">
            <w:pPr>
              <w:pStyle w:val="16"/>
              <w:spacing w:after="0"/>
              <w:ind w:firstLine="420"/>
              <w:rPr>
                <w:rFonts w:hint="eastAsia" w:ascii="宋体" w:hAnsi="宋体" w:cs="宋体"/>
                <w:color w:val="000000" w:themeColor="text1"/>
                <w:szCs w:val="21"/>
                <w14:textFill>
                  <w14:solidFill>
                    <w14:schemeClr w14:val="tx1"/>
                  </w14:solidFill>
                </w14:textFill>
              </w:rPr>
            </w:pPr>
          </w:p>
        </w:tc>
      </w:tr>
      <w:tr w14:paraId="02EE85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vAlign w:val="center"/>
          </w:tcPr>
          <w:p w14:paraId="745B2F22">
            <w:pPr>
              <w:pStyle w:val="16"/>
              <w:spacing w:after="0"/>
              <w:ind w:firstLine="420"/>
              <w:rPr>
                <w:rFonts w:hint="eastAsia" w:ascii="宋体" w:hAnsi="宋体" w:cs="宋体"/>
                <w:color w:val="000000" w:themeColor="text1"/>
                <w:szCs w:val="21"/>
                <w14:textFill>
                  <w14:solidFill>
                    <w14:schemeClr w14:val="tx1"/>
                  </w14:solidFill>
                </w14:textFill>
              </w:rPr>
            </w:pPr>
          </w:p>
        </w:tc>
        <w:tc>
          <w:tcPr>
            <w:tcW w:w="1418" w:type="dxa"/>
            <w:vAlign w:val="center"/>
          </w:tcPr>
          <w:p w14:paraId="6F3DE237">
            <w:pPr>
              <w:pStyle w:val="16"/>
              <w:spacing w:after="0"/>
              <w:ind w:firstLine="420"/>
              <w:rPr>
                <w:rFonts w:hint="eastAsia" w:ascii="宋体" w:hAnsi="宋体" w:cs="宋体"/>
                <w:color w:val="000000" w:themeColor="text1"/>
                <w:szCs w:val="21"/>
                <w14:textFill>
                  <w14:solidFill>
                    <w14:schemeClr w14:val="tx1"/>
                  </w14:solidFill>
                </w14:textFill>
              </w:rPr>
            </w:pPr>
          </w:p>
        </w:tc>
        <w:tc>
          <w:tcPr>
            <w:tcW w:w="1134" w:type="dxa"/>
            <w:vAlign w:val="center"/>
          </w:tcPr>
          <w:p w14:paraId="3E8A982D">
            <w:pPr>
              <w:pStyle w:val="16"/>
              <w:spacing w:after="0"/>
              <w:ind w:firstLine="420"/>
              <w:rPr>
                <w:rFonts w:hint="eastAsia" w:ascii="宋体" w:hAnsi="宋体" w:cs="宋体"/>
                <w:color w:val="000000" w:themeColor="text1"/>
                <w:szCs w:val="21"/>
                <w14:textFill>
                  <w14:solidFill>
                    <w14:schemeClr w14:val="tx1"/>
                  </w14:solidFill>
                </w14:textFill>
              </w:rPr>
            </w:pPr>
          </w:p>
        </w:tc>
        <w:tc>
          <w:tcPr>
            <w:tcW w:w="1134" w:type="dxa"/>
            <w:vAlign w:val="center"/>
          </w:tcPr>
          <w:p w14:paraId="63C96D3D">
            <w:pPr>
              <w:pStyle w:val="16"/>
              <w:spacing w:after="0"/>
              <w:ind w:firstLine="420"/>
              <w:rPr>
                <w:rFonts w:hint="eastAsia" w:ascii="宋体" w:hAnsi="宋体" w:cs="宋体"/>
                <w:color w:val="000000" w:themeColor="text1"/>
                <w:szCs w:val="21"/>
                <w14:textFill>
                  <w14:solidFill>
                    <w14:schemeClr w14:val="tx1"/>
                  </w14:solidFill>
                </w14:textFill>
              </w:rPr>
            </w:pPr>
          </w:p>
        </w:tc>
        <w:tc>
          <w:tcPr>
            <w:tcW w:w="3896" w:type="dxa"/>
            <w:vAlign w:val="center"/>
          </w:tcPr>
          <w:p w14:paraId="161B7D53">
            <w:pPr>
              <w:pStyle w:val="16"/>
              <w:spacing w:after="0"/>
              <w:ind w:firstLine="420"/>
              <w:rPr>
                <w:rFonts w:hint="eastAsia" w:ascii="宋体" w:hAnsi="宋体" w:cs="宋体"/>
                <w:color w:val="000000" w:themeColor="text1"/>
                <w:szCs w:val="21"/>
                <w14:textFill>
                  <w14:solidFill>
                    <w14:schemeClr w14:val="tx1"/>
                  </w14:solidFill>
                </w14:textFill>
              </w:rPr>
            </w:pPr>
          </w:p>
        </w:tc>
      </w:tr>
      <w:tr w14:paraId="4FE4E6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vAlign w:val="center"/>
          </w:tcPr>
          <w:p w14:paraId="61B0E4C8">
            <w:pPr>
              <w:pStyle w:val="16"/>
              <w:spacing w:after="0"/>
              <w:ind w:firstLine="420"/>
              <w:rPr>
                <w:rFonts w:hint="eastAsia" w:ascii="宋体" w:hAnsi="宋体" w:cs="宋体"/>
                <w:color w:val="000000" w:themeColor="text1"/>
                <w:szCs w:val="21"/>
                <w14:textFill>
                  <w14:solidFill>
                    <w14:schemeClr w14:val="tx1"/>
                  </w14:solidFill>
                </w14:textFill>
              </w:rPr>
            </w:pPr>
          </w:p>
        </w:tc>
        <w:tc>
          <w:tcPr>
            <w:tcW w:w="1418" w:type="dxa"/>
            <w:vAlign w:val="center"/>
          </w:tcPr>
          <w:p w14:paraId="32CD0B17">
            <w:pPr>
              <w:pStyle w:val="16"/>
              <w:spacing w:after="0"/>
              <w:ind w:firstLine="420"/>
              <w:rPr>
                <w:rFonts w:hint="eastAsia" w:ascii="宋体" w:hAnsi="宋体" w:cs="宋体"/>
                <w:color w:val="000000" w:themeColor="text1"/>
                <w:szCs w:val="21"/>
                <w14:textFill>
                  <w14:solidFill>
                    <w14:schemeClr w14:val="tx1"/>
                  </w14:solidFill>
                </w14:textFill>
              </w:rPr>
            </w:pPr>
          </w:p>
        </w:tc>
        <w:tc>
          <w:tcPr>
            <w:tcW w:w="1134" w:type="dxa"/>
            <w:vAlign w:val="center"/>
          </w:tcPr>
          <w:p w14:paraId="639F0E01">
            <w:pPr>
              <w:pStyle w:val="16"/>
              <w:spacing w:after="0"/>
              <w:ind w:firstLine="420"/>
              <w:rPr>
                <w:rFonts w:hint="eastAsia" w:ascii="宋体" w:hAnsi="宋体" w:cs="宋体"/>
                <w:color w:val="000000" w:themeColor="text1"/>
                <w:szCs w:val="21"/>
                <w14:textFill>
                  <w14:solidFill>
                    <w14:schemeClr w14:val="tx1"/>
                  </w14:solidFill>
                </w14:textFill>
              </w:rPr>
            </w:pPr>
          </w:p>
        </w:tc>
        <w:tc>
          <w:tcPr>
            <w:tcW w:w="1134" w:type="dxa"/>
            <w:vAlign w:val="center"/>
          </w:tcPr>
          <w:p w14:paraId="310EB499">
            <w:pPr>
              <w:pStyle w:val="16"/>
              <w:spacing w:after="0"/>
              <w:ind w:firstLine="420"/>
              <w:rPr>
                <w:rFonts w:hint="eastAsia" w:ascii="宋体" w:hAnsi="宋体" w:cs="宋体"/>
                <w:color w:val="000000" w:themeColor="text1"/>
                <w:szCs w:val="21"/>
                <w14:textFill>
                  <w14:solidFill>
                    <w14:schemeClr w14:val="tx1"/>
                  </w14:solidFill>
                </w14:textFill>
              </w:rPr>
            </w:pPr>
          </w:p>
        </w:tc>
        <w:tc>
          <w:tcPr>
            <w:tcW w:w="3896" w:type="dxa"/>
            <w:vAlign w:val="center"/>
          </w:tcPr>
          <w:p w14:paraId="7AFBBC6A">
            <w:pPr>
              <w:pStyle w:val="16"/>
              <w:spacing w:after="0"/>
              <w:ind w:firstLine="420"/>
              <w:rPr>
                <w:rFonts w:hint="eastAsia" w:ascii="宋体" w:hAnsi="宋体" w:cs="宋体"/>
                <w:color w:val="000000" w:themeColor="text1"/>
                <w:szCs w:val="21"/>
                <w14:textFill>
                  <w14:solidFill>
                    <w14:schemeClr w14:val="tx1"/>
                  </w14:solidFill>
                </w14:textFill>
              </w:rPr>
            </w:pPr>
          </w:p>
        </w:tc>
      </w:tr>
      <w:tr w14:paraId="3DDF17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tcBorders>
              <w:bottom w:val="single" w:color="auto" w:sz="12" w:space="0"/>
            </w:tcBorders>
            <w:vAlign w:val="center"/>
          </w:tcPr>
          <w:p w14:paraId="0A5C9AB0">
            <w:pPr>
              <w:pStyle w:val="16"/>
              <w:rPr>
                <w:rFonts w:hint="eastAsia" w:ascii="宋体" w:hAnsi="宋体" w:cs="宋体"/>
                <w:color w:val="000000" w:themeColor="text1"/>
                <w14:textFill>
                  <w14:solidFill>
                    <w14:schemeClr w14:val="tx1"/>
                  </w14:solidFill>
                </w14:textFill>
              </w:rPr>
            </w:pPr>
          </w:p>
        </w:tc>
        <w:tc>
          <w:tcPr>
            <w:tcW w:w="1418" w:type="dxa"/>
            <w:tcBorders>
              <w:bottom w:val="single" w:color="auto" w:sz="12" w:space="0"/>
            </w:tcBorders>
            <w:vAlign w:val="center"/>
          </w:tcPr>
          <w:p w14:paraId="29E6D89D">
            <w:pPr>
              <w:pStyle w:val="16"/>
              <w:rPr>
                <w:rFonts w:hint="eastAsia" w:ascii="宋体" w:hAnsi="宋体" w:cs="宋体"/>
                <w:color w:val="000000" w:themeColor="text1"/>
                <w14:textFill>
                  <w14:solidFill>
                    <w14:schemeClr w14:val="tx1"/>
                  </w14:solidFill>
                </w14:textFill>
              </w:rPr>
            </w:pPr>
          </w:p>
        </w:tc>
        <w:tc>
          <w:tcPr>
            <w:tcW w:w="1134" w:type="dxa"/>
            <w:tcBorders>
              <w:bottom w:val="single" w:color="auto" w:sz="12" w:space="0"/>
            </w:tcBorders>
            <w:vAlign w:val="center"/>
          </w:tcPr>
          <w:p w14:paraId="63BD0312">
            <w:pPr>
              <w:pStyle w:val="16"/>
              <w:rPr>
                <w:rFonts w:hint="eastAsia" w:ascii="宋体" w:hAnsi="宋体" w:cs="宋体"/>
                <w:color w:val="000000" w:themeColor="text1"/>
                <w14:textFill>
                  <w14:solidFill>
                    <w14:schemeClr w14:val="tx1"/>
                  </w14:solidFill>
                </w14:textFill>
              </w:rPr>
            </w:pPr>
          </w:p>
        </w:tc>
        <w:tc>
          <w:tcPr>
            <w:tcW w:w="1134" w:type="dxa"/>
            <w:tcBorders>
              <w:bottom w:val="single" w:color="auto" w:sz="12" w:space="0"/>
            </w:tcBorders>
            <w:vAlign w:val="center"/>
          </w:tcPr>
          <w:p w14:paraId="3B099947">
            <w:pPr>
              <w:pStyle w:val="16"/>
              <w:rPr>
                <w:rFonts w:hint="eastAsia" w:ascii="宋体" w:hAnsi="宋体" w:cs="宋体"/>
                <w:color w:val="000000" w:themeColor="text1"/>
                <w14:textFill>
                  <w14:solidFill>
                    <w14:schemeClr w14:val="tx1"/>
                  </w14:solidFill>
                </w14:textFill>
              </w:rPr>
            </w:pPr>
          </w:p>
        </w:tc>
        <w:tc>
          <w:tcPr>
            <w:tcW w:w="3896" w:type="dxa"/>
            <w:tcBorders>
              <w:bottom w:val="single" w:color="auto" w:sz="12" w:space="0"/>
            </w:tcBorders>
            <w:vAlign w:val="center"/>
          </w:tcPr>
          <w:p w14:paraId="2420A5A5">
            <w:pPr>
              <w:pStyle w:val="16"/>
              <w:rPr>
                <w:rFonts w:hint="eastAsia" w:ascii="宋体" w:hAnsi="宋体" w:cs="宋体"/>
                <w:color w:val="000000" w:themeColor="text1"/>
                <w14:textFill>
                  <w14:solidFill>
                    <w14:schemeClr w14:val="tx1"/>
                  </w14:solidFill>
                </w14:textFill>
              </w:rPr>
            </w:pPr>
          </w:p>
        </w:tc>
      </w:tr>
    </w:tbl>
    <w:p w14:paraId="6B1D2B86">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p>
    <w:p w14:paraId="0B3483F0">
      <w:pPr>
        <w:pStyle w:val="112"/>
        <w:numPr>
          <w:ilvl w:val="0"/>
          <w:numId w:val="0"/>
        </w:numPr>
        <w:spacing w:after="156"/>
        <w:rPr>
          <w:rFonts w:hint="eastAsia" w:ascii="宋体" w:hAnsi="宋体" w:eastAsia="宋体" w:cs="宋体"/>
          <w:color w:val="000000" w:themeColor="text1"/>
          <w14:textFill>
            <w14:solidFill>
              <w14:schemeClr w14:val="tx1"/>
            </w14:solidFill>
          </w14:textFill>
        </w:rPr>
      </w:pPr>
      <w:bookmarkStart w:id="1344" w:name="_Toc2747"/>
      <w:bookmarkStart w:id="1345" w:name="_Toc100907173"/>
      <w:bookmarkStart w:id="1346" w:name="_Toc100907499"/>
      <w:r>
        <w:rPr>
          <w:rFonts w:hint="eastAsia" w:ascii="宋体" w:hAnsi="宋体" w:eastAsia="宋体" w:cs="宋体"/>
          <w:color w:val="000000" w:themeColor="text1"/>
          <w14:textFill>
            <w14:solidFill>
              <w14:schemeClr w14:val="tx1"/>
            </w14:solidFill>
          </w14:textFill>
        </w:rPr>
        <w:t>附件6 价格指数权重表</w:t>
      </w:r>
      <w:bookmarkEnd w:id="1344"/>
      <w:bookmarkEnd w:id="1345"/>
      <w:bookmarkEnd w:id="1346"/>
    </w:p>
    <w:p w14:paraId="210E5974">
      <w:pPr>
        <w:rPr>
          <w:rFonts w:hint="eastAsia" w:ascii="宋体" w:hAnsi="宋体" w:cs="宋体"/>
          <w:color w:val="000000" w:themeColor="text1"/>
          <w14:textFill>
            <w14:solidFill>
              <w14:schemeClr w14:val="tx1"/>
            </w14:solidFill>
          </w14:textFill>
        </w:rPr>
      </w:pPr>
    </w:p>
    <w:p w14:paraId="2A43FF03">
      <w:pPr>
        <w:pStyle w:val="16"/>
        <w:rPr>
          <w:rFonts w:hint="eastAsia" w:ascii="宋体" w:hAnsi="宋体" w:cs="宋体"/>
          <w:color w:val="000000" w:themeColor="text1"/>
          <w14:textFill>
            <w14:solidFill>
              <w14:schemeClr w14:val="tx1"/>
            </w14:solidFill>
          </w14:textFill>
        </w:rPr>
      </w:pPr>
      <w:bookmarkStart w:id="1347" w:name="_Toc48853209"/>
      <w:bookmarkStart w:id="1348" w:name="_Toc247527819"/>
      <w:bookmarkStart w:id="1349" w:name="_Toc247514232"/>
      <w:bookmarkStart w:id="1350" w:name="_Toc492316428"/>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584"/>
        <w:gridCol w:w="876"/>
        <w:gridCol w:w="1215"/>
        <w:gridCol w:w="1080"/>
        <w:gridCol w:w="1215"/>
        <w:gridCol w:w="1230"/>
        <w:gridCol w:w="1380"/>
      </w:tblGrid>
      <w:tr w14:paraId="5022D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829" w:type="dxa"/>
            <w:vMerge w:val="restart"/>
            <w:vAlign w:val="top"/>
          </w:tcPr>
          <w:p w14:paraId="10D26101">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序号</w:t>
            </w:r>
          </w:p>
        </w:tc>
        <w:tc>
          <w:tcPr>
            <w:tcW w:w="1460" w:type="dxa"/>
            <w:gridSpan w:val="2"/>
            <w:vMerge w:val="restart"/>
            <w:vAlign w:val="top"/>
          </w:tcPr>
          <w:p w14:paraId="30310659">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名称</w:t>
            </w:r>
          </w:p>
        </w:tc>
        <w:tc>
          <w:tcPr>
            <w:tcW w:w="2295" w:type="dxa"/>
            <w:gridSpan w:val="2"/>
            <w:vAlign w:val="top"/>
          </w:tcPr>
          <w:p w14:paraId="1B6036D6">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变更权重B</w:t>
            </w:r>
          </w:p>
        </w:tc>
        <w:tc>
          <w:tcPr>
            <w:tcW w:w="2445" w:type="dxa"/>
            <w:gridSpan w:val="2"/>
            <w:vAlign w:val="top"/>
          </w:tcPr>
          <w:p w14:paraId="520A3838">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基本价格指数F0</w:t>
            </w:r>
          </w:p>
        </w:tc>
        <w:tc>
          <w:tcPr>
            <w:tcW w:w="1380" w:type="dxa"/>
            <w:vAlign w:val="top"/>
          </w:tcPr>
          <w:p w14:paraId="5FBC81F7">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备注</w:t>
            </w:r>
          </w:p>
        </w:tc>
      </w:tr>
      <w:tr w14:paraId="1F5B1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829" w:type="dxa"/>
            <w:vMerge w:val="continue"/>
            <w:vAlign w:val="top"/>
          </w:tcPr>
          <w:p w14:paraId="423F013A">
            <w:pPr>
              <w:rPr>
                <w:rFonts w:hint="eastAsia" w:ascii="宋体" w:hAnsi="宋体" w:cs="宋体"/>
                <w:color w:val="000000" w:themeColor="text1"/>
                <w14:textFill>
                  <w14:solidFill>
                    <w14:schemeClr w14:val="tx1"/>
                  </w14:solidFill>
                </w14:textFill>
              </w:rPr>
            </w:pPr>
          </w:p>
        </w:tc>
        <w:tc>
          <w:tcPr>
            <w:tcW w:w="1460" w:type="dxa"/>
            <w:gridSpan w:val="2"/>
            <w:vMerge w:val="continue"/>
            <w:vAlign w:val="top"/>
          </w:tcPr>
          <w:p w14:paraId="0567A199">
            <w:pPr>
              <w:rPr>
                <w:rFonts w:hint="eastAsia" w:ascii="宋体" w:hAnsi="宋体" w:cs="宋体"/>
                <w:color w:val="000000" w:themeColor="text1"/>
                <w14:textFill>
                  <w14:solidFill>
                    <w14:schemeClr w14:val="tx1"/>
                  </w14:solidFill>
                </w14:textFill>
              </w:rPr>
            </w:pPr>
          </w:p>
        </w:tc>
        <w:tc>
          <w:tcPr>
            <w:tcW w:w="1215" w:type="dxa"/>
            <w:vAlign w:val="top"/>
          </w:tcPr>
          <w:p w14:paraId="67DED9A6">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代号</w:t>
            </w:r>
          </w:p>
        </w:tc>
        <w:tc>
          <w:tcPr>
            <w:tcW w:w="1080" w:type="dxa"/>
            <w:vAlign w:val="top"/>
          </w:tcPr>
          <w:p w14:paraId="73E9C17C">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权重</w:t>
            </w:r>
          </w:p>
        </w:tc>
        <w:tc>
          <w:tcPr>
            <w:tcW w:w="1215" w:type="dxa"/>
            <w:vAlign w:val="top"/>
          </w:tcPr>
          <w:p w14:paraId="407D6DEA">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代号</w:t>
            </w:r>
          </w:p>
        </w:tc>
        <w:tc>
          <w:tcPr>
            <w:tcW w:w="1230" w:type="dxa"/>
            <w:vAlign w:val="top"/>
          </w:tcPr>
          <w:p w14:paraId="0D013BEB">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指数</w:t>
            </w:r>
          </w:p>
        </w:tc>
        <w:tc>
          <w:tcPr>
            <w:tcW w:w="1380" w:type="dxa"/>
            <w:vAlign w:val="top"/>
          </w:tcPr>
          <w:p w14:paraId="4D63F9F0">
            <w:pPr>
              <w:rPr>
                <w:rFonts w:hint="eastAsia" w:ascii="宋体" w:hAnsi="宋体" w:cs="宋体"/>
                <w:color w:val="000000" w:themeColor="text1"/>
                <w14:textFill>
                  <w14:solidFill>
                    <w14:schemeClr w14:val="tx1"/>
                  </w14:solidFill>
                </w14:textFill>
              </w:rPr>
            </w:pPr>
          </w:p>
        </w:tc>
      </w:tr>
      <w:tr w14:paraId="640AC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vAlign w:val="top"/>
          </w:tcPr>
          <w:p w14:paraId="15A7EE67">
            <w:pPr>
              <w:rPr>
                <w:rFonts w:hint="eastAsia" w:ascii="宋体" w:hAnsi="宋体" w:cs="宋体"/>
                <w:color w:val="000000" w:themeColor="text1"/>
                <w14:textFill>
                  <w14:solidFill>
                    <w14:schemeClr w14:val="tx1"/>
                  </w14:solidFill>
                </w14:textFill>
              </w:rPr>
            </w:pPr>
          </w:p>
        </w:tc>
        <w:tc>
          <w:tcPr>
            <w:tcW w:w="584" w:type="dxa"/>
            <w:vMerge w:val="restart"/>
            <w:vAlign w:val="top"/>
          </w:tcPr>
          <w:p w14:paraId="5B6CE678">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变</w:t>
            </w:r>
          </w:p>
          <w:p w14:paraId="4A1FC568">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值</w:t>
            </w:r>
          </w:p>
          <w:p w14:paraId="67C1B8F9">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部</w:t>
            </w:r>
          </w:p>
          <w:p w14:paraId="61FE465A">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分</w:t>
            </w:r>
          </w:p>
        </w:tc>
        <w:tc>
          <w:tcPr>
            <w:tcW w:w="876" w:type="dxa"/>
            <w:vAlign w:val="top"/>
          </w:tcPr>
          <w:p w14:paraId="58D98E52">
            <w:pPr>
              <w:rPr>
                <w:rFonts w:hint="eastAsia" w:ascii="宋体" w:hAnsi="宋体" w:cs="宋体"/>
                <w:color w:val="000000" w:themeColor="text1"/>
                <w14:textFill>
                  <w14:solidFill>
                    <w14:schemeClr w14:val="tx1"/>
                  </w14:solidFill>
                </w14:textFill>
              </w:rPr>
            </w:pPr>
          </w:p>
        </w:tc>
        <w:tc>
          <w:tcPr>
            <w:tcW w:w="1215" w:type="dxa"/>
            <w:vAlign w:val="top"/>
          </w:tcPr>
          <w:p w14:paraId="22254E61">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B1</w:t>
            </w:r>
          </w:p>
        </w:tc>
        <w:tc>
          <w:tcPr>
            <w:tcW w:w="1080" w:type="dxa"/>
            <w:vAlign w:val="top"/>
          </w:tcPr>
          <w:p w14:paraId="7FFFD666">
            <w:pPr>
              <w:rPr>
                <w:rFonts w:hint="eastAsia" w:ascii="宋体" w:hAnsi="宋体" w:cs="宋体"/>
                <w:color w:val="000000" w:themeColor="text1"/>
                <w14:textFill>
                  <w14:solidFill>
                    <w14:schemeClr w14:val="tx1"/>
                  </w14:solidFill>
                </w14:textFill>
              </w:rPr>
            </w:pPr>
          </w:p>
        </w:tc>
        <w:tc>
          <w:tcPr>
            <w:tcW w:w="1215" w:type="dxa"/>
            <w:vAlign w:val="top"/>
          </w:tcPr>
          <w:p w14:paraId="7271A7F8">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F01</w:t>
            </w:r>
          </w:p>
        </w:tc>
        <w:tc>
          <w:tcPr>
            <w:tcW w:w="1230" w:type="dxa"/>
            <w:vAlign w:val="top"/>
          </w:tcPr>
          <w:p w14:paraId="4895B333">
            <w:pPr>
              <w:rPr>
                <w:rFonts w:hint="eastAsia" w:ascii="宋体" w:hAnsi="宋体" w:cs="宋体"/>
                <w:color w:val="000000" w:themeColor="text1"/>
                <w14:textFill>
                  <w14:solidFill>
                    <w14:schemeClr w14:val="tx1"/>
                  </w14:solidFill>
                </w14:textFill>
              </w:rPr>
            </w:pPr>
          </w:p>
        </w:tc>
        <w:tc>
          <w:tcPr>
            <w:tcW w:w="1380" w:type="dxa"/>
            <w:vAlign w:val="top"/>
          </w:tcPr>
          <w:p w14:paraId="1887074D">
            <w:pPr>
              <w:rPr>
                <w:rFonts w:hint="eastAsia" w:ascii="宋体" w:hAnsi="宋体" w:cs="宋体"/>
                <w:color w:val="000000" w:themeColor="text1"/>
                <w14:textFill>
                  <w14:solidFill>
                    <w14:schemeClr w14:val="tx1"/>
                  </w14:solidFill>
                </w14:textFill>
              </w:rPr>
            </w:pPr>
          </w:p>
        </w:tc>
      </w:tr>
      <w:tr w14:paraId="2D6B8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vAlign w:val="top"/>
          </w:tcPr>
          <w:p w14:paraId="486E36AB">
            <w:pPr>
              <w:rPr>
                <w:rFonts w:hint="eastAsia" w:ascii="宋体" w:hAnsi="宋体" w:cs="宋体"/>
                <w:color w:val="000000" w:themeColor="text1"/>
                <w14:textFill>
                  <w14:solidFill>
                    <w14:schemeClr w14:val="tx1"/>
                  </w14:solidFill>
                </w14:textFill>
              </w:rPr>
            </w:pPr>
          </w:p>
        </w:tc>
        <w:tc>
          <w:tcPr>
            <w:tcW w:w="584" w:type="dxa"/>
            <w:vMerge w:val="continue"/>
            <w:vAlign w:val="top"/>
          </w:tcPr>
          <w:p w14:paraId="263CF7A0">
            <w:pPr>
              <w:rPr>
                <w:rFonts w:hint="eastAsia" w:ascii="宋体" w:hAnsi="宋体" w:cs="宋体"/>
                <w:color w:val="000000" w:themeColor="text1"/>
                <w14:textFill>
                  <w14:solidFill>
                    <w14:schemeClr w14:val="tx1"/>
                  </w14:solidFill>
                </w14:textFill>
              </w:rPr>
            </w:pPr>
          </w:p>
        </w:tc>
        <w:tc>
          <w:tcPr>
            <w:tcW w:w="876" w:type="dxa"/>
            <w:vAlign w:val="top"/>
          </w:tcPr>
          <w:p w14:paraId="2D3E3D99">
            <w:pPr>
              <w:rPr>
                <w:rFonts w:hint="eastAsia" w:ascii="宋体" w:hAnsi="宋体" w:cs="宋体"/>
                <w:color w:val="000000" w:themeColor="text1"/>
                <w14:textFill>
                  <w14:solidFill>
                    <w14:schemeClr w14:val="tx1"/>
                  </w14:solidFill>
                </w14:textFill>
              </w:rPr>
            </w:pPr>
          </w:p>
        </w:tc>
        <w:tc>
          <w:tcPr>
            <w:tcW w:w="1215" w:type="dxa"/>
            <w:vAlign w:val="top"/>
          </w:tcPr>
          <w:p w14:paraId="198D08AD">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B2</w:t>
            </w:r>
          </w:p>
        </w:tc>
        <w:tc>
          <w:tcPr>
            <w:tcW w:w="1080" w:type="dxa"/>
            <w:vAlign w:val="top"/>
          </w:tcPr>
          <w:p w14:paraId="5889289F">
            <w:pPr>
              <w:rPr>
                <w:rFonts w:hint="eastAsia" w:ascii="宋体" w:hAnsi="宋体" w:cs="宋体"/>
                <w:color w:val="000000" w:themeColor="text1"/>
                <w14:textFill>
                  <w14:solidFill>
                    <w14:schemeClr w14:val="tx1"/>
                  </w14:solidFill>
                </w14:textFill>
              </w:rPr>
            </w:pPr>
          </w:p>
        </w:tc>
        <w:tc>
          <w:tcPr>
            <w:tcW w:w="1215" w:type="dxa"/>
            <w:vAlign w:val="top"/>
          </w:tcPr>
          <w:p w14:paraId="51B883DF">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F02</w:t>
            </w:r>
          </w:p>
        </w:tc>
        <w:tc>
          <w:tcPr>
            <w:tcW w:w="1230" w:type="dxa"/>
            <w:vAlign w:val="top"/>
          </w:tcPr>
          <w:p w14:paraId="25C5B63B">
            <w:pPr>
              <w:rPr>
                <w:rFonts w:hint="eastAsia" w:ascii="宋体" w:hAnsi="宋体" w:cs="宋体"/>
                <w:color w:val="000000" w:themeColor="text1"/>
                <w14:textFill>
                  <w14:solidFill>
                    <w14:schemeClr w14:val="tx1"/>
                  </w14:solidFill>
                </w14:textFill>
              </w:rPr>
            </w:pPr>
          </w:p>
        </w:tc>
        <w:tc>
          <w:tcPr>
            <w:tcW w:w="1380" w:type="dxa"/>
            <w:vAlign w:val="top"/>
          </w:tcPr>
          <w:p w14:paraId="18008FD6">
            <w:pPr>
              <w:rPr>
                <w:rFonts w:hint="eastAsia" w:ascii="宋体" w:hAnsi="宋体" w:cs="宋体"/>
                <w:color w:val="000000" w:themeColor="text1"/>
                <w14:textFill>
                  <w14:solidFill>
                    <w14:schemeClr w14:val="tx1"/>
                  </w14:solidFill>
                </w14:textFill>
              </w:rPr>
            </w:pPr>
          </w:p>
        </w:tc>
      </w:tr>
      <w:tr w14:paraId="409CF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vAlign w:val="top"/>
          </w:tcPr>
          <w:p w14:paraId="39EEC80E">
            <w:pPr>
              <w:rPr>
                <w:rFonts w:hint="eastAsia" w:ascii="宋体" w:hAnsi="宋体" w:cs="宋体"/>
                <w:color w:val="000000" w:themeColor="text1"/>
                <w14:textFill>
                  <w14:solidFill>
                    <w14:schemeClr w14:val="tx1"/>
                  </w14:solidFill>
                </w14:textFill>
              </w:rPr>
            </w:pPr>
          </w:p>
        </w:tc>
        <w:tc>
          <w:tcPr>
            <w:tcW w:w="584" w:type="dxa"/>
            <w:vMerge w:val="continue"/>
            <w:vAlign w:val="top"/>
          </w:tcPr>
          <w:p w14:paraId="5C7E2D43">
            <w:pPr>
              <w:rPr>
                <w:rFonts w:hint="eastAsia" w:ascii="宋体" w:hAnsi="宋体" w:cs="宋体"/>
                <w:color w:val="000000" w:themeColor="text1"/>
                <w14:textFill>
                  <w14:solidFill>
                    <w14:schemeClr w14:val="tx1"/>
                  </w14:solidFill>
                </w14:textFill>
              </w:rPr>
            </w:pPr>
          </w:p>
        </w:tc>
        <w:tc>
          <w:tcPr>
            <w:tcW w:w="876" w:type="dxa"/>
            <w:vAlign w:val="top"/>
          </w:tcPr>
          <w:p w14:paraId="0E9B176D">
            <w:pPr>
              <w:rPr>
                <w:rFonts w:hint="eastAsia" w:ascii="宋体" w:hAnsi="宋体" w:cs="宋体"/>
                <w:color w:val="000000" w:themeColor="text1"/>
                <w14:textFill>
                  <w14:solidFill>
                    <w14:schemeClr w14:val="tx1"/>
                  </w14:solidFill>
                </w14:textFill>
              </w:rPr>
            </w:pPr>
          </w:p>
        </w:tc>
        <w:tc>
          <w:tcPr>
            <w:tcW w:w="1215" w:type="dxa"/>
            <w:vAlign w:val="top"/>
          </w:tcPr>
          <w:p w14:paraId="65DDA55D">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B3</w:t>
            </w:r>
          </w:p>
        </w:tc>
        <w:tc>
          <w:tcPr>
            <w:tcW w:w="1080" w:type="dxa"/>
            <w:vAlign w:val="top"/>
          </w:tcPr>
          <w:p w14:paraId="16087956">
            <w:pPr>
              <w:rPr>
                <w:rFonts w:hint="eastAsia" w:ascii="宋体" w:hAnsi="宋体" w:cs="宋体"/>
                <w:color w:val="000000" w:themeColor="text1"/>
                <w14:textFill>
                  <w14:solidFill>
                    <w14:schemeClr w14:val="tx1"/>
                  </w14:solidFill>
                </w14:textFill>
              </w:rPr>
            </w:pPr>
          </w:p>
        </w:tc>
        <w:tc>
          <w:tcPr>
            <w:tcW w:w="1215" w:type="dxa"/>
            <w:vAlign w:val="top"/>
          </w:tcPr>
          <w:p w14:paraId="28E0DB12">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F03</w:t>
            </w:r>
          </w:p>
        </w:tc>
        <w:tc>
          <w:tcPr>
            <w:tcW w:w="1230" w:type="dxa"/>
            <w:vAlign w:val="top"/>
          </w:tcPr>
          <w:p w14:paraId="55A598F1">
            <w:pPr>
              <w:rPr>
                <w:rFonts w:hint="eastAsia" w:ascii="宋体" w:hAnsi="宋体" w:cs="宋体"/>
                <w:color w:val="000000" w:themeColor="text1"/>
                <w14:textFill>
                  <w14:solidFill>
                    <w14:schemeClr w14:val="tx1"/>
                  </w14:solidFill>
                </w14:textFill>
              </w:rPr>
            </w:pPr>
          </w:p>
        </w:tc>
        <w:tc>
          <w:tcPr>
            <w:tcW w:w="1380" w:type="dxa"/>
            <w:vAlign w:val="top"/>
          </w:tcPr>
          <w:p w14:paraId="4EDEF014">
            <w:pPr>
              <w:rPr>
                <w:rFonts w:hint="eastAsia" w:ascii="宋体" w:hAnsi="宋体" w:cs="宋体"/>
                <w:color w:val="000000" w:themeColor="text1"/>
                <w14:textFill>
                  <w14:solidFill>
                    <w14:schemeClr w14:val="tx1"/>
                  </w14:solidFill>
                </w14:textFill>
              </w:rPr>
            </w:pPr>
          </w:p>
        </w:tc>
      </w:tr>
      <w:tr w14:paraId="028A6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vAlign w:val="top"/>
          </w:tcPr>
          <w:p w14:paraId="76E5E101">
            <w:pPr>
              <w:rPr>
                <w:rFonts w:hint="eastAsia" w:ascii="宋体" w:hAnsi="宋体" w:cs="宋体"/>
                <w:color w:val="000000" w:themeColor="text1"/>
                <w14:textFill>
                  <w14:solidFill>
                    <w14:schemeClr w14:val="tx1"/>
                  </w14:solidFill>
                </w14:textFill>
              </w:rPr>
            </w:pPr>
          </w:p>
        </w:tc>
        <w:tc>
          <w:tcPr>
            <w:tcW w:w="584" w:type="dxa"/>
            <w:vMerge w:val="continue"/>
            <w:vAlign w:val="top"/>
          </w:tcPr>
          <w:p w14:paraId="3E314564">
            <w:pPr>
              <w:rPr>
                <w:rFonts w:hint="eastAsia" w:ascii="宋体" w:hAnsi="宋体" w:cs="宋体"/>
                <w:color w:val="000000" w:themeColor="text1"/>
                <w14:textFill>
                  <w14:solidFill>
                    <w14:schemeClr w14:val="tx1"/>
                  </w14:solidFill>
                </w14:textFill>
              </w:rPr>
            </w:pPr>
          </w:p>
        </w:tc>
        <w:tc>
          <w:tcPr>
            <w:tcW w:w="876" w:type="dxa"/>
            <w:vAlign w:val="top"/>
          </w:tcPr>
          <w:p w14:paraId="0C293003">
            <w:pPr>
              <w:rPr>
                <w:rFonts w:hint="eastAsia" w:ascii="宋体" w:hAnsi="宋体" w:cs="宋体"/>
                <w:color w:val="000000" w:themeColor="text1"/>
                <w14:textFill>
                  <w14:solidFill>
                    <w14:schemeClr w14:val="tx1"/>
                  </w14:solidFill>
                </w14:textFill>
              </w:rPr>
            </w:pPr>
          </w:p>
        </w:tc>
        <w:tc>
          <w:tcPr>
            <w:tcW w:w="1215" w:type="dxa"/>
            <w:vAlign w:val="top"/>
          </w:tcPr>
          <w:p w14:paraId="5F06C431">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B4</w:t>
            </w:r>
          </w:p>
        </w:tc>
        <w:tc>
          <w:tcPr>
            <w:tcW w:w="1080" w:type="dxa"/>
            <w:vAlign w:val="top"/>
          </w:tcPr>
          <w:p w14:paraId="4954106D">
            <w:pPr>
              <w:rPr>
                <w:rFonts w:hint="eastAsia" w:ascii="宋体" w:hAnsi="宋体" w:cs="宋体"/>
                <w:color w:val="000000" w:themeColor="text1"/>
                <w14:textFill>
                  <w14:solidFill>
                    <w14:schemeClr w14:val="tx1"/>
                  </w14:solidFill>
                </w14:textFill>
              </w:rPr>
            </w:pPr>
          </w:p>
        </w:tc>
        <w:tc>
          <w:tcPr>
            <w:tcW w:w="1215" w:type="dxa"/>
            <w:vAlign w:val="top"/>
          </w:tcPr>
          <w:p w14:paraId="400D213F">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F04</w:t>
            </w:r>
          </w:p>
        </w:tc>
        <w:tc>
          <w:tcPr>
            <w:tcW w:w="1230" w:type="dxa"/>
            <w:vAlign w:val="top"/>
          </w:tcPr>
          <w:p w14:paraId="1DFEDEAE">
            <w:pPr>
              <w:rPr>
                <w:rFonts w:hint="eastAsia" w:ascii="宋体" w:hAnsi="宋体" w:cs="宋体"/>
                <w:color w:val="000000" w:themeColor="text1"/>
                <w14:textFill>
                  <w14:solidFill>
                    <w14:schemeClr w14:val="tx1"/>
                  </w14:solidFill>
                </w14:textFill>
              </w:rPr>
            </w:pPr>
          </w:p>
        </w:tc>
        <w:tc>
          <w:tcPr>
            <w:tcW w:w="1380" w:type="dxa"/>
            <w:vAlign w:val="top"/>
          </w:tcPr>
          <w:p w14:paraId="6DA82108">
            <w:pPr>
              <w:rPr>
                <w:rFonts w:hint="eastAsia" w:ascii="宋体" w:hAnsi="宋体" w:cs="宋体"/>
                <w:color w:val="000000" w:themeColor="text1"/>
                <w14:textFill>
                  <w14:solidFill>
                    <w14:schemeClr w14:val="tx1"/>
                  </w14:solidFill>
                </w14:textFill>
              </w:rPr>
            </w:pPr>
          </w:p>
        </w:tc>
      </w:tr>
      <w:tr w14:paraId="6E812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vAlign w:val="top"/>
          </w:tcPr>
          <w:p w14:paraId="008BA293">
            <w:pPr>
              <w:rPr>
                <w:rFonts w:hint="eastAsia" w:ascii="宋体" w:hAnsi="宋体" w:cs="宋体"/>
                <w:color w:val="000000" w:themeColor="text1"/>
                <w14:textFill>
                  <w14:solidFill>
                    <w14:schemeClr w14:val="tx1"/>
                  </w14:solidFill>
                </w14:textFill>
              </w:rPr>
            </w:pPr>
          </w:p>
        </w:tc>
        <w:tc>
          <w:tcPr>
            <w:tcW w:w="584" w:type="dxa"/>
            <w:vMerge w:val="continue"/>
            <w:vAlign w:val="top"/>
          </w:tcPr>
          <w:p w14:paraId="689DF832">
            <w:pPr>
              <w:rPr>
                <w:rFonts w:hint="eastAsia" w:ascii="宋体" w:hAnsi="宋体" w:cs="宋体"/>
                <w:color w:val="000000" w:themeColor="text1"/>
                <w14:textFill>
                  <w14:solidFill>
                    <w14:schemeClr w14:val="tx1"/>
                  </w14:solidFill>
                </w14:textFill>
              </w:rPr>
            </w:pPr>
          </w:p>
        </w:tc>
        <w:tc>
          <w:tcPr>
            <w:tcW w:w="876" w:type="dxa"/>
            <w:vAlign w:val="top"/>
          </w:tcPr>
          <w:p w14:paraId="0303D573">
            <w:pPr>
              <w:rPr>
                <w:rFonts w:hint="eastAsia" w:ascii="宋体" w:hAnsi="宋体" w:cs="宋体"/>
                <w:color w:val="000000" w:themeColor="text1"/>
                <w14:textFill>
                  <w14:solidFill>
                    <w14:schemeClr w14:val="tx1"/>
                  </w14:solidFill>
                </w14:textFill>
              </w:rPr>
            </w:pPr>
          </w:p>
        </w:tc>
        <w:tc>
          <w:tcPr>
            <w:tcW w:w="1215" w:type="dxa"/>
            <w:vAlign w:val="top"/>
          </w:tcPr>
          <w:p w14:paraId="0CE7373D">
            <w:pPr>
              <w:rPr>
                <w:rFonts w:hint="eastAsia" w:ascii="宋体" w:hAnsi="宋体" w:cs="宋体"/>
                <w:color w:val="000000" w:themeColor="text1"/>
                <w14:textFill>
                  <w14:solidFill>
                    <w14:schemeClr w14:val="tx1"/>
                  </w14:solidFill>
                </w14:textFill>
              </w:rPr>
            </w:pPr>
          </w:p>
        </w:tc>
        <w:tc>
          <w:tcPr>
            <w:tcW w:w="1080" w:type="dxa"/>
            <w:vAlign w:val="top"/>
          </w:tcPr>
          <w:p w14:paraId="609F206C">
            <w:pPr>
              <w:rPr>
                <w:rFonts w:hint="eastAsia" w:ascii="宋体" w:hAnsi="宋体" w:cs="宋体"/>
                <w:color w:val="000000" w:themeColor="text1"/>
                <w14:textFill>
                  <w14:solidFill>
                    <w14:schemeClr w14:val="tx1"/>
                  </w14:solidFill>
                </w14:textFill>
              </w:rPr>
            </w:pPr>
          </w:p>
        </w:tc>
        <w:tc>
          <w:tcPr>
            <w:tcW w:w="1215" w:type="dxa"/>
            <w:vAlign w:val="top"/>
          </w:tcPr>
          <w:p w14:paraId="176AA4AC">
            <w:pPr>
              <w:rPr>
                <w:rFonts w:hint="eastAsia" w:ascii="宋体" w:hAnsi="宋体" w:cs="宋体"/>
                <w:color w:val="000000" w:themeColor="text1"/>
                <w14:textFill>
                  <w14:solidFill>
                    <w14:schemeClr w14:val="tx1"/>
                  </w14:solidFill>
                </w14:textFill>
              </w:rPr>
            </w:pPr>
          </w:p>
        </w:tc>
        <w:tc>
          <w:tcPr>
            <w:tcW w:w="1230" w:type="dxa"/>
            <w:vAlign w:val="top"/>
          </w:tcPr>
          <w:p w14:paraId="63B5C09B">
            <w:pPr>
              <w:rPr>
                <w:rFonts w:hint="eastAsia" w:ascii="宋体" w:hAnsi="宋体" w:cs="宋体"/>
                <w:color w:val="000000" w:themeColor="text1"/>
                <w14:textFill>
                  <w14:solidFill>
                    <w14:schemeClr w14:val="tx1"/>
                  </w14:solidFill>
                </w14:textFill>
              </w:rPr>
            </w:pPr>
          </w:p>
        </w:tc>
        <w:tc>
          <w:tcPr>
            <w:tcW w:w="1380" w:type="dxa"/>
            <w:vAlign w:val="top"/>
          </w:tcPr>
          <w:p w14:paraId="313CB19C">
            <w:pPr>
              <w:rPr>
                <w:rFonts w:hint="eastAsia" w:ascii="宋体" w:hAnsi="宋体" w:cs="宋体"/>
                <w:color w:val="000000" w:themeColor="text1"/>
                <w14:textFill>
                  <w14:solidFill>
                    <w14:schemeClr w14:val="tx1"/>
                  </w14:solidFill>
                </w14:textFill>
              </w:rPr>
            </w:pPr>
          </w:p>
        </w:tc>
      </w:tr>
      <w:tr w14:paraId="40EC9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vAlign w:val="top"/>
          </w:tcPr>
          <w:p w14:paraId="0792A014">
            <w:pPr>
              <w:rPr>
                <w:rFonts w:hint="eastAsia" w:ascii="宋体" w:hAnsi="宋体" w:cs="宋体"/>
                <w:color w:val="000000" w:themeColor="text1"/>
                <w14:textFill>
                  <w14:solidFill>
                    <w14:schemeClr w14:val="tx1"/>
                  </w14:solidFill>
                </w14:textFill>
              </w:rPr>
            </w:pPr>
          </w:p>
        </w:tc>
        <w:tc>
          <w:tcPr>
            <w:tcW w:w="584" w:type="dxa"/>
            <w:vMerge w:val="continue"/>
            <w:vAlign w:val="top"/>
          </w:tcPr>
          <w:p w14:paraId="75E3FDC6">
            <w:pPr>
              <w:rPr>
                <w:rFonts w:hint="eastAsia" w:ascii="宋体" w:hAnsi="宋体" w:cs="宋体"/>
                <w:color w:val="000000" w:themeColor="text1"/>
                <w14:textFill>
                  <w14:solidFill>
                    <w14:schemeClr w14:val="tx1"/>
                  </w14:solidFill>
                </w14:textFill>
              </w:rPr>
            </w:pPr>
          </w:p>
        </w:tc>
        <w:tc>
          <w:tcPr>
            <w:tcW w:w="876" w:type="dxa"/>
            <w:vAlign w:val="top"/>
          </w:tcPr>
          <w:p w14:paraId="2B8DE229">
            <w:pPr>
              <w:rPr>
                <w:rFonts w:hint="eastAsia" w:ascii="宋体" w:hAnsi="宋体" w:cs="宋体"/>
                <w:color w:val="000000" w:themeColor="text1"/>
                <w14:textFill>
                  <w14:solidFill>
                    <w14:schemeClr w14:val="tx1"/>
                  </w14:solidFill>
                </w14:textFill>
              </w:rPr>
            </w:pPr>
          </w:p>
        </w:tc>
        <w:tc>
          <w:tcPr>
            <w:tcW w:w="1215" w:type="dxa"/>
            <w:vAlign w:val="top"/>
          </w:tcPr>
          <w:p w14:paraId="5B6AE3FB">
            <w:pPr>
              <w:rPr>
                <w:rFonts w:hint="eastAsia" w:ascii="宋体" w:hAnsi="宋体" w:cs="宋体"/>
                <w:color w:val="000000" w:themeColor="text1"/>
                <w14:textFill>
                  <w14:solidFill>
                    <w14:schemeClr w14:val="tx1"/>
                  </w14:solidFill>
                </w14:textFill>
              </w:rPr>
            </w:pPr>
          </w:p>
        </w:tc>
        <w:tc>
          <w:tcPr>
            <w:tcW w:w="1080" w:type="dxa"/>
            <w:vAlign w:val="top"/>
          </w:tcPr>
          <w:p w14:paraId="03030F82">
            <w:pPr>
              <w:rPr>
                <w:rFonts w:hint="eastAsia" w:ascii="宋体" w:hAnsi="宋体" w:cs="宋体"/>
                <w:color w:val="000000" w:themeColor="text1"/>
                <w14:textFill>
                  <w14:solidFill>
                    <w14:schemeClr w14:val="tx1"/>
                  </w14:solidFill>
                </w14:textFill>
              </w:rPr>
            </w:pPr>
          </w:p>
        </w:tc>
        <w:tc>
          <w:tcPr>
            <w:tcW w:w="1215" w:type="dxa"/>
            <w:vAlign w:val="top"/>
          </w:tcPr>
          <w:p w14:paraId="114644BE">
            <w:pPr>
              <w:rPr>
                <w:rFonts w:hint="eastAsia" w:ascii="宋体" w:hAnsi="宋体" w:cs="宋体"/>
                <w:color w:val="000000" w:themeColor="text1"/>
                <w14:textFill>
                  <w14:solidFill>
                    <w14:schemeClr w14:val="tx1"/>
                  </w14:solidFill>
                </w14:textFill>
              </w:rPr>
            </w:pPr>
          </w:p>
        </w:tc>
        <w:tc>
          <w:tcPr>
            <w:tcW w:w="1230" w:type="dxa"/>
            <w:vAlign w:val="top"/>
          </w:tcPr>
          <w:p w14:paraId="7A677FE9">
            <w:pPr>
              <w:rPr>
                <w:rFonts w:hint="eastAsia" w:ascii="宋体" w:hAnsi="宋体" w:cs="宋体"/>
                <w:color w:val="000000" w:themeColor="text1"/>
                <w14:textFill>
                  <w14:solidFill>
                    <w14:schemeClr w14:val="tx1"/>
                  </w14:solidFill>
                </w14:textFill>
              </w:rPr>
            </w:pPr>
          </w:p>
        </w:tc>
        <w:tc>
          <w:tcPr>
            <w:tcW w:w="1380" w:type="dxa"/>
            <w:vAlign w:val="top"/>
          </w:tcPr>
          <w:p w14:paraId="268BCA28">
            <w:pPr>
              <w:rPr>
                <w:rFonts w:hint="eastAsia" w:ascii="宋体" w:hAnsi="宋体" w:cs="宋体"/>
                <w:color w:val="000000" w:themeColor="text1"/>
                <w14:textFill>
                  <w14:solidFill>
                    <w14:schemeClr w14:val="tx1"/>
                  </w14:solidFill>
                </w14:textFill>
              </w:rPr>
            </w:pPr>
          </w:p>
        </w:tc>
      </w:tr>
      <w:tr w14:paraId="5DC9D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9" w:type="dxa"/>
            <w:gridSpan w:val="3"/>
            <w:vAlign w:val="top"/>
          </w:tcPr>
          <w:p w14:paraId="7AC59832">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定值部分权重A</w:t>
            </w:r>
          </w:p>
        </w:tc>
        <w:tc>
          <w:tcPr>
            <w:tcW w:w="1215" w:type="dxa"/>
            <w:vAlign w:val="top"/>
          </w:tcPr>
          <w:p w14:paraId="571199E2">
            <w:pPr>
              <w:rPr>
                <w:rFonts w:hint="eastAsia" w:ascii="宋体" w:hAnsi="宋体" w:cs="宋体"/>
                <w:color w:val="000000" w:themeColor="text1"/>
                <w14:textFill>
                  <w14:solidFill>
                    <w14:schemeClr w14:val="tx1"/>
                  </w14:solidFill>
                </w14:textFill>
              </w:rPr>
            </w:pPr>
          </w:p>
        </w:tc>
        <w:tc>
          <w:tcPr>
            <w:tcW w:w="1080" w:type="dxa"/>
            <w:vAlign w:val="top"/>
          </w:tcPr>
          <w:p w14:paraId="5052DA24">
            <w:pPr>
              <w:rPr>
                <w:rFonts w:hint="eastAsia" w:ascii="宋体" w:hAnsi="宋体" w:cs="宋体"/>
                <w:color w:val="000000" w:themeColor="text1"/>
                <w14:textFill>
                  <w14:solidFill>
                    <w14:schemeClr w14:val="tx1"/>
                  </w14:solidFill>
                </w14:textFill>
              </w:rPr>
            </w:pPr>
          </w:p>
        </w:tc>
        <w:tc>
          <w:tcPr>
            <w:tcW w:w="1215" w:type="dxa"/>
            <w:vAlign w:val="top"/>
          </w:tcPr>
          <w:p w14:paraId="236D348A">
            <w:pPr>
              <w:rPr>
                <w:rFonts w:hint="eastAsia" w:ascii="宋体" w:hAnsi="宋体" w:cs="宋体"/>
                <w:color w:val="000000" w:themeColor="text1"/>
                <w14:textFill>
                  <w14:solidFill>
                    <w14:schemeClr w14:val="tx1"/>
                  </w14:solidFill>
                </w14:textFill>
              </w:rPr>
            </w:pPr>
          </w:p>
        </w:tc>
        <w:tc>
          <w:tcPr>
            <w:tcW w:w="1230" w:type="dxa"/>
            <w:vAlign w:val="top"/>
          </w:tcPr>
          <w:p w14:paraId="35888EBF">
            <w:pPr>
              <w:rPr>
                <w:rFonts w:hint="eastAsia" w:ascii="宋体" w:hAnsi="宋体" w:cs="宋体"/>
                <w:color w:val="000000" w:themeColor="text1"/>
                <w14:textFill>
                  <w14:solidFill>
                    <w14:schemeClr w14:val="tx1"/>
                  </w14:solidFill>
                </w14:textFill>
              </w:rPr>
            </w:pPr>
          </w:p>
        </w:tc>
        <w:tc>
          <w:tcPr>
            <w:tcW w:w="1380" w:type="dxa"/>
            <w:vAlign w:val="top"/>
          </w:tcPr>
          <w:p w14:paraId="1CBC691D">
            <w:pPr>
              <w:rPr>
                <w:rFonts w:hint="eastAsia" w:ascii="宋体" w:hAnsi="宋体" w:cs="宋体"/>
                <w:color w:val="000000" w:themeColor="text1"/>
                <w14:textFill>
                  <w14:solidFill>
                    <w14:schemeClr w14:val="tx1"/>
                  </w14:solidFill>
                </w14:textFill>
              </w:rPr>
            </w:pPr>
          </w:p>
        </w:tc>
      </w:tr>
      <w:tr w14:paraId="01A91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9" w:type="dxa"/>
            <w:gridSpan w:val="3"/>
            <w:vAlign w:val="top"/>
          </w:tcPr>
          <w:p w14:paraId="6EB8A3FE">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合计</w:t>
            </w:r>
          </w:p>
        </w:tc>
        <w:tc>
          <w:tcPr>
            <w:tcW w:w="2295" w:type="dxa"/>
            <w:gridSpan w:val="2"/>
            <w:vAlign w:val="top"/>
          </w:tcPr>
          <w:p w14:paraId="4173AEFD">
            <w:pPr>
              <w:rPr>
                <w:rFonts w:hint="eastAsia" w:ascii="宋体" w:hAnsi="宋体" w:cs="宋体"/>
                <w:color w:val="000000" w:themeColor="text1"/>
                <w14:textFill>
                  <w14:solidFill>
                    <w14:schemeClr w14:val="tx1"/>
                  </w14:solidFill>
                </w14:textFill>
              </w:rPr>
            </w:pPr>
          </w:p>
        </w:tc>
        <w:tc>
          <w:tcPr>
            <w:tcW w:w="2445" w:type="dxa"/>
            <w:gridSpan w:val="2"/>
            <w:vAlign w:val="top"/>
          </w:tcPr>
          <w:p w14:paraId="1FC2BCEB">
            <w:pPr>
              <w:rPr>
                <w:rFonts w:hint="eastAsia" w:ascii="宋体" w:hAnsi="宋体" w:cs="宋体"/>
                <w:color w:val="000000" w:themeColor="text1"/>
                <w14:textFill>
                  <w14:solidFill>
                    <w14:schemeClr w14:val="tx1"/>
                  </w14:solidFill>
                </w14:textFill>
              </w:rPr>
            </w:pPr>
          </w:p>
        </w:tc>
        <w:tc>
          <w:tcPr>
            <w:tcW w:w="1380" w:type="dxa"/>
            <w:vAlign w:val="top"/>
          </w:tcPr>
          <w:p w14:paraId="40467E04">
            <w:pPr>
              <w:rPr>
                <w:rFonts w:hint="eastAsia" w:ascii="宋体" w:hAnsi="宋体" w:cs="宋体"/>
                <w:color w:val="000000" w:themeColor="text1"/>
                <w14:textFill>
                  <w14:solidFill>
                    <w14:schemeClr w14:val="tx1"/>
                  </w14:solidFill>
                </w14:textFill>
              </w:rPr>
            </w:pPr>
          </w:p>
        </w:tc>
      </w:tr>
    </w:tbl>
    <w:p w14:paraId="355EBC6B">
      <w:pPr>
        <w:pStyle w:val="16"/>
        <w:rPr>
          <w:rFonts w:hint="eastAsia" w:ascii="宋体" w:hAnsi="宋体" w:cs="宋体"/>
          <w:color w:val="000000" w:themeColor="text1"/>
          <w14:textFill>
            <w14:solidFill>
              <w14:schemeClr w14:val="tx1"/>
            </w14:solidFill>
          </w14:textFill>
        </w:rPr>
      </w:pPr>
    </w:p>
    <w:p w14:paraId="38295669">
      <w:pPr>
        <w:pStyle w:val="16"/>
        <w:rPr>
          <w:rFonts w:hint="eastAsia" w:ascii="宋体" w:hAnsi="宋体" w:cs="宋体"/>
          <w:color w:val="000000" w:themeColor="text1"/>
          <w14:textFill>
            <w14:solidFill>
              <w14:schemeClr w14:val="tx1"/>
            </w14:solidFill>
          </w14:textFill>
        </w:rPr>
      </w:pPr>
    </w:p>
    <w:p w14:paraId="3192353B">
      <w:pPr>
        <w:pStyle w:val="16"/>
        <w:rPr>
          <w:rFonts w:hint="eastAsia" w:ascii="宋体" w:hAnsi="宋体" w:cs="宋体"/>
          <w:color w:val="000000" w:themeColor="text1"/>
          <w14:textFill>
            <w14:solidFill>
              <w14:schemeClr w14:val="tx1"/>
            </w14:solidFill>
          </w14:textFill>
        </w:rPr>
      </w:pPr>
    </w:p>
    <w:p w14:paraId="7D9B34CE">
      <w:pPr>
        <w:pStyle w:val="16"/>
        <w:rPr>
          <w:rFonts w:hint="eastAsia" w:ascii="宋体" w:hAnsi="宋体" w:cs="宋体"/>
          <w:color w:val="000000" w:themeColor="text1"/>
          <w14:textFill>
            <w14:solidFill>
              <w14:schemeClr w14:val="tx1"/>
            </w14:solidFill>
          </w14:textFill>
        </w:rPr>
      </w:pPr>
    </w:p>
    <w:p w14:paraId="469E196A">
      <w:pPr>
        <w:pStyle w:val="16"/>
        <w:rPr>
          <w:rFonts w:hint="eastAsia" w:ascii="宋体" w:hAnsi="宋体" w:cs="宋体"/>
          <w:color w:val="000000" w:themeColor="text1"/>
          <w14:textFill>
            <w14:solidFill>
              <w14:schemeClr w14:val="tx1"/>
            </w14:solidFill>
          </w14:textFill>
        </w:rPr>
      </w:pPr>
    </w:p>
    <w:p w14:paraId="13AE6CEE">
      <w:pPr>
        <w:pStyle w:val="2"/>
        <w:jc w:val="center"/>
        <w:rPr>
          <w:rFonts w:hint="eastAsia" w:ascii="宋体" w:hAnsi="宋体" w:cs="宋体"/>
          <w:color w:val="000000" w:themeColor="text1"/>
          <w14:textFill>
            <w14:solidFill>
              <w14:schemeClr w14:val="tx1"/>
            </w14:solidFill>
          </w14:textFill>
        </w:rPr>
      </w:pPr>
    </w:p>
    <w:p w14:paraId="7AB60F6A">
      <w:pPr>
        <w:pStyle w:val="2"/>
        <w:rPr>
          <w:rFonts w:hint="eastAsia"/>
          <w:color w:val="000000" w:themeColor="text1"/>
          <w14:textFill>
            <w14:solidFill>
              <w14:schemeClr w14:val="tx1"/>
            </w14:solidFill>
          </w14:textFill>
        </w:rPr>
      </w:pPr>
    </w:p>
    <w:p w14:paraId="72F4E28D">
      <w:pPr>
        <w:pStyle w:val="2"/>
        <w:jc w:val="center"/>
        <w:rPr>
          <w:rFonts w:hint="eastAsia" w:ascii="宋体" w:hAnsi="宋体" w:cs="宋体"/>
          <w:color w:val="000000" w:themeColor="text1"/>
          <w14:textFill>
            <w14:solidFill>
              <w14:schemeClr w14:val="tx1"/>
            </w14:solidFill>
          </w14:textFill>
        </w:rPr>
      </w:pPr>
      <w:bookmarkStart w:id="1351" w:name="_Toc3704"/>
    </w:p>
    <w:p w14:paraId="4835ED83">
      <w:pPr>
        <w:pStyle w:val="2"/>
        <w:jc w:val="center"/>
        <w:rPr>
          <w:rFonts w:hint="eastAsia" w:ascii="宋体" w:hAnsi="宋体" w:cs="宋体"/>
          <w:color w:val="000000" w:themeColor="text1"/>
          <w14:textFill>
            <w14:solidFill>
              <w14:schemeClr w14:val="tx1"/>
            </w14:solidFill>
          </w14:textFill>
        </w:rPr>
      </w:pPr>
    </w:p>
    <w:p w14:paraId="2899C599">
      <w:pPr>
        <w:pStyle w:val="2"/>
        <w:jc w:val="center"/>
        <w:rPr>
          <w:rFonts w:hint="eastAsia" w:ascii="宋体" w:hAnsi="宋体" w:cs="宋体"/>
          <w:color w:val="000000" w:themeColor="text1"/>
          <w14:textFill>
            <w14:solidFill>
              <w14:schemeClr w14:val="tx1"/>
            </w14:solidFill>
          </w14:textFill>
        </w:rPr>
      </w:pPr>
    </w:p>
    <w:p w14:paraId="6820F487">
      <w:pPr>
        <w:pStyle w:val="131"/>
        <w:spacing w:after="120"/>
        <w:jc w:val="left"/>
        <w:rPr>
          <w:rFonts w:hint="eastAsia" w:ascii="宋体" w:hAnsi="宋体" w:cs="宋体"/>
          <w:color w:val="000000" w:themeColor="text1"/>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注：</w:t>
      </w:r>
      <w:r>
        <w:rPr>
          <w:rFonts w:hint="eastAsia" w:ascii="宋体" w:hAnsi="宋体" w:eastAsia="宋体" w:cs="宋体"/>
          <w:color w:val="000000" w:themeColor="text1"/>
          <w:sz w:val="24"/>
          <w:szCs w:val="24"/>
          <w14:textFill>
            <w14:solidFill>
              <w14:schemeClr w14:val="tx1"/>
            </w14:solidFill>
          </w14:textFill>
        </w:rPr>
        <w:t>（该示范文本仅供参考使用，具体合同内容需结合中标人投标文件及发包人根据项目具体情况最终签署的内容</w:t>
      </w:r>
      <w:r>
        <w:rPr>
          <w:rFonts w:hint="eastAsia" w:ascii="宋体" w:hAnsi="宋体" w:eastAsia="宋体" w:cs="宋体"/>
          <w:color w:val="000000" w:themeColor="text1"/>
          <w:sz w:val="24"/>
          <w:szCs w:val="24"/>
          <w:lang w:val="en-US" w:eastAsia="zh-CN"/>
          <w14:textFill>
            <w14:solidFill>
              <w14:schemeClr w14:val="tx1"/>
            </w14:solidFill>
          </w14:textFill>
        </w:rPr>
        <w:t>为准）</w:t>
      </w:r>
      <w:r>
        <w:rPr>
          <w:rFonts w:hint="eastAsia" w:ascii="宋体" w:hAnsi="宋体" w:cs="宋体"/>
          <w:color w:val="000000" w:themeColor="text1"/>
          <w14:textFill>
            <w14:solidFill>
              <w14:schemeClr w14:val="tx1"/>
            </w14:solidFill>
          </w14:textFill>
        </w:rPr>
        <w:br w:type="page"/>
      </w:r>
    </w:p>
    <w:p w14:paraId="3DA120FF">
      <w:pPr>
        <w:pStyle w:val="2"/>
        <w:jc w:val="center"/>
        <w:rPr>
          <w:rFonts w:hint="eastAsia" w:ascii="宋体" w:hAnsi="宋体" w:cs="宋体"/>
          <w:color w:val="000000" w:themeColor="text1"/>
          <w14:textFill>
            <w14:solidFill>
              <w14:schemeClr w14:val="tx1"/>
            </w14:solidFill>
          </w14:textFill>
        </w:rPr>
      </w:pPr>
    </w:p>
    <w:p w14:paraId="54030461">
      <w:pPr>
        <w:pStyle w:val="2"/>
        <w:jc w:val="center"/>
        <w:rPr>
          <w:rFonts w:hint="eastAsia" w:ascii="宋体" w:hAnsi="宋体" w:cs="宋体"/>
          <w:color w:val="000000" w:themeColor="text1"/>
          <w14:textFill>
            <w14:solidFill>
              <w14:schemeClr w14:val="tx1"/>
            </w14:solidFill>
          </w14:textFill>
        </w:rPr>
      </w:pPr>
    </w:p>
    <w:p w14:paraId="3E780038">
      <w:pPr>
        <w:pStyle w:val="2"/>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第二卷</w:t>
      </w:r>
      <w:bookmarkEnd w:id="1347"/>
      <w:bookmarkEnd w:id="1348"/>
      <w:bookmarkEnd w:id="1349"/>
      <w:bookmarkEnd w:id="1351"/>
      <w:bookmarkStart w:id="1352" w:name="_Toc152042571"/>
      <w:bookmarkStart w:id="1353" w:name="_Toc247514233"/>
      <w:bookmarkStart w:id="1354" w:name="_Toc247527820"/>
      <w:bookmarkStart w:id="1355" w:name="_Toc152045782"/>
      <w:bookmarkStart w:id="1356" w:name="_Toc144974851"/>
    </w:p>
    <w:p w14:paraId="2AD2F10D">
      <w:pPr>
        <w:pStyle w:val="2"/>
        <w:numPr>
          <w:ilvl w:val="0"/>
          <w:numId w:val="9"/>
        </w:numPr>
        <w:jc w:val="center"/>
        <w:rPr>
          <w:rFonts w:hint="default" w:ascii="宋体" w:hAnsi="宋体" w:eastAsia="宋体" w:cs="宋体"/>
          <w:sz w:val="44"/>
          <w:szCs w:val="44"/>
          <w:highlight w:val="none"/>
          <w:lang w:val="en-US" w:eastAsia="zh-CN"/>
        </w:rPr>
      </w:pPr>
      <w:r>
        <w:rPr>
          <w:rFonts w:hint="eastAsia" w:ascii="宋体" w:hAnsi="宋体" w:cs="宋体"/>
          <w:color w:val="000000" w:themeColor="text1"/>
          <w14:textFill>
            <w14:solidFill>
              <w14:schemeClr w14:val="tx1"/>
            </w14:solidFill>
          </w14:textFill>
        </w:rPr>
        <w:br w:type="page"/>
      </w:r>
      <w:bookmarkEnd w:id="1350"/>
      <w:bookmarkEnd w:id="1352"/>
      <w:bookmarkEnd w:id="1353"/>
      <w:bookmarkEnd w:id="1354"/>
      <w:bookmarkEnd w:id="1355"/>
      <w:bookmarkEnd w:id="1356"/>
      <w:bookmarkStart w:id="1357" w:name="_Toc48853210"/>
      <w:bookmarkStart w:id="1358" w:name="_Toc27345"/>
      <w:r>
        <w:rPr>
          <w:rFonts w:hint="eastAsia" w:ascii="宋体" w:hAnsi="宋体" w:cs="宋体"/>
          <w:color w:val="000000" w:themeColor="text1"/>
          <w:highlight w:val="none"/>
          <w14:textFill>
            <w14:solidFill>
              <w14:schemeClr w14:val="tx1"/>
            </w14:solidFill>
          </w14:textFill>
        </w:rPr>
        <w:t>发包人要求</w:t>
      </w:r>
      <w:bookmarkEnd w:id="1357"/>
      <w:bookmarkEnd w:id="1358"/>
      <w:bookmarkStart w:id="1359" w:name="_Toc22714"/>
      <w:bookmarkStart w:id="1360" w:name="_Toc14218"/>
    </w:p>
    <w:p w14:paraId="4BA7461D">
      <w:pPr>
        <w:pStyle w:val="2"/>
        <w:numPr>
          <w:ilvl w:val="0"/>
          <w:numId w:val="0"/>
        </w:num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一、规划及设计要求</w:t>
      </w:r>
      <w:bookmarkEnd w:id="1359"/>
      <w:bookmarkEnd w:id="1360"/>
    </w:p>
    <w:p w14:paraId="4ED2EE4C">
      <w:pPr>
        <w:numPr>
          <w:ilvl w:val="0"/>
          <w:numId w:val="10"/>
        </w:numPr>
        <w:spacing w:line="360" w:lineRule="auto"/>
        <w:outlineLvl w:val="1"/>
        <w:rPr>
          <w:rFonts w:hint="eastAsia" w:ascii="宋体" w:hAnsi="宋体" w:eastAsia="宋体" w:cs="宋体"/>
          <w:b/>
          <w:bCs/>
          <w:sz w:val="21"/>
          <w:szCs w:val="21"/>
          <w:lang w:val="en-US" w:eastAsia="zh-CN"/>
        </w:rPr>
      </w:pPr>
      <w:bookmarkStart w:id="1361" w:name="_Toc26074"/>
      <w:bookmarkStart w:id="1362" w:name="_Toc10394"/>
      <w:r>
        <w:rPr>
          <w:rFonts w:hint="eastAsia" w:ascii="宋体" w:hAnsi="宋体" w:eastAsia="宋体" w:cs="宋体"/>
          <w:b/>
          <w:bCs/>
          <w:sz w:val="21"/>
          <w:szCs w:val="21"/>
          <w:lang w:val="en-US" w:eastAsia="zh-CN"/>
        </w:rPr>
        <w:t>工程概况</w:t>
      </w:r>
      <w:bookmarkEnd w:id="1361"/>
      <w:bookmarkEnd w:id="1362"/>
    </w:p>
    <w:p w14:paraId="6E2AB5B9">
      <w:pPr>
        <w:pStyle w:val="31"/>
        <w:numPr>
          <w:ilvl w:val="1"/>
          <w:numId w:val="11"/>
        </w:numPr>
        <w:spacing w:line="36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工程名称：蒙自（新亚太）零碳智慧冷链物流产业园项目</w:t>
      </w:r>
    </w:p>
    <w:p w14:paraId="14634DD9">
      <w:pPr>
        <w:pStyle w:val="31"/>
        <w:numPr>
          <w:ilvl w:val="1"/>
          <w:numId w:val="11"/>
        </w:numPr>
        <w:spacing w:line="36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项目地址：红河州蒙自市雨过铺街道田心村云南新亚太物流港</w:t>
      </w:r>
    </w:p>
    <w:p w14:paraId="761E8342">
      <w:pPr>
        <w:pStyle w:val="31"/>
        <w:numPr>
          <w:ilvl w:val="1"/>
          <w:numId w:val="11"/>
        </w:numPr>
        <w:spacing w:line="36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项目建设规模：项目总占地面积约159.7亩（划分为126.791亩+12.855亩+17.30亩+2.744亩，共计四个地块建筑用地）。</w:t>
      </w:r>
    </w:p>
    <w:p w14:paraId="48B2C338">
      <w:pPr>
        <w:pStyle w:val="31"/>
        <w:numPr>
          <w:ilvl w:val="0"/>
          <w:numId w:val="0"/>
        </w:numPr>
        <w:spacing w:line="360" w:lineRule="auto"/>
        <w:ind w:leftChars="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一期建设用地：</w:t>
      </w:r>
      <w:r>
        <w:rPr>
          <w:rFonts w:hint="default" w:ascii="宋体" w:hAnsi="宋体" w:eastAsia="宋体" w:cs="宋体"/>
          <w:sz w:val="21"/>
          <w:szCs w:val="21"/>
          <w:lang w:val="en-US" w:eastAsia="zh-CN"/>
        </w:rPr>
        <w:t>126.</w:t>
      </w:r>
      <w:r>
        <w:rPr>
          <w:rFonts w:hint="eastAsia" w:ascii="宋体" w:hAnsi="宋体" w:eastAsia="宋体" w:cs="宋体"/>
          <w:sz w:val="21"/>
          <w:szCs w:val="21"/>
          <w:lang w:val="en-US" w:eastAsia="zh-CN"/>
        </w:rPr>
        <w:t xml:space="preserve">791亩 </w:t>
      </w:r>
      <w:r>
        <w:rPr>
          <w:rFonts w:hint="default" w:ascii="宋体" w:hAnsi="宋体" w:eastAsia="宋体" w:cs="宋体"/>
          <w:sz w:val="21"/>
          <w:szCs w:val="21"/>
          <w:lang w:val="en-US" w:eastAsia="zh-CN"/>
        </w:rPr>
        <w:t>84527.5880</w:t>
      </w:r>
      <w:r>
        <w:rPr>
          <w:rFonts w:hint="eastAsia" w:ascii="宋体" w:hAnsi="宋体" w:eastAsia="宋体" w:cs="宋体"/>
          <w:sz w:val="21"/>
          <w:szCs w:val="21"/>
          <w:lang w:val="en-US" w:eastAsia="zh-CN"/>
        </w:rPr>
        <w:t>平方米（其他商服用地）和</w:t>
      </w:r>
      <w:r>
        <w:rPr>
          <w:rFonts w:hint="default" w:ascii="宋体" w:hAnsi="宋体" w:eastAsia="宋体" w:cs="宋体"/>
          <w:sz w:val="21"/>
          <w:szCs w:val="21"/>
          <w:lang w:val="en-US" w:eastAsia="zh-CN"/>
        </w:rPr>
        <w:t>2.7</w:t>
      </w:r>
      <w:r>
        <w:rPr>
          <w:rFonts w:hint="eastAsia" w:ascii="宋体" w:hAnsi="宋体" w:eastAsia="宋体" w:cs="宋体"/>
          <w:sz w:val="21"/>
          <w:szCs w:val="21"/>
          <w:lang w:val="en-US" w:eastAsia="zh-CN"/>
        </w:rPr>
        <w:t>44亩</w:t>
      </w:r>
      <w:r>
        <w:rPr>
          <w:rFonts w:hint="default" w:ascii="宋体" w:hAnsi="宋体" w:eastAsia="宋体" w:cs="宋体"/>
          <w:sz w:val="21"/>
          <w:szCs w:val="21"/>
          <w:lang w:val="en-US" w:eastAsia="zh-CN"/>
        </w:rPr>
        <w:t>1,829.68</w:t>
      </w:r>
      <w:r>
        <w:rPr>
          <w:rFonts w:hint="eastAsia" w:ascii="宋体" w:hAnsi="宋体" w:eastAsia="宋体" w:cs="宋体"/>
          <w:sz w:val="21"/>
          <w:szCs w:val="21"/>
          <w:lang w:val="en-US" w:eastAsia="zh-CN"/>
        </w:rPr>
        <w:t xml:space="preserve">平方米（住宅用地）。 </w:t>
      </w:r>
    </w:p>
    <w:p w14:paraId="5613683F">
      <w:pPr>
        <w:pStyle w:val="31"/>
        <w:numPr>
          <w:ilvl w:val="0"/>
          <w:numId w:val="0"/>
        </w:numPr>
        <w:spacing w:line="360" w:lineRule="auto"/>
        <w:ind w:leftChars="0" w:firstLine="420" w:firstLineChars="200"/>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二期建设用地：</w:t>
      </w:r>
      <w:r>
        <w:rPr>
          <w:rFonts w:hint="default" w:ascii="宋体" w:hAnsi="宋体" w:eastAsia="宋体" w:cs="宋体"/>
          <w:sz w:val="21"/>
          <w:szCs w:val="21"/>
          <w:lang w:val="en-US" w:eastAsia="zh-CN"/>
        </w:rPr>
        <w:t>12.</w:t>
      </w:r>
      <w:r>
        <w:rPr>
          <w:rFonts w:hint="eastAsia" w:ascii="宋体" w:hAnsi="宋体" w:eastAsia="宋体" w:cs="宋体"/>
          <w:sz w:val="21"/>
          <w:szCs w:val="21"/>
          <w:lang w:val="en-US" w:eastAsia="zh-CN"/>
        </w:rPr>
        <w:t>855</w:t>
      </w:r>
      <w:r>
        <w:rPr>
          <w:rFonts w:hint="default" w:ascii="宋体" w:hAnsi="宋体" w:eastAsia="宋体" w:cs="宋体"/>
          <w:sz w:val="21"/>
          <w:szCs w:val="21"/>
          <w:lang w:val="en-US" w:eastAsia="zh-CN"/>
        </w:rPr>
        <w:t xml:space="preserve"> </w:t>
      </w:r>
      <w:r>
        <w:rPr>
          <w:rFonts w:hint="eastAsia" w:ascii="宋体" w:hAnsi="宋体" w:eastAsia="宋体" w:cs="宋体"/>
          <w:sz w:val="21"/>
          <w:szCs w:val="21"/>
          <w:lang w:val="en-US" w:eastAsia="zh-CN"/>
        </w:rPr>
        <w:t xml:space="preserve">亩 </w:t>
      </w:r>
      <w:r>
        <w:rPr>
          <w:rFonts w:hint="default" w:ascii="宋体" w:hAnsi="宋体" w:eastAsia="宋体" w:cs="宋体"/>
          <w:sz w:val="21"/>
          <w:szCs w:val="21"/>
          <w:lang w:val="en-US" w:eastAsia="zh-CN"/>
        </w:rPr>
        <w:t xml:space="preserve">8569.995 </w:t>
      </w:r>
      <w:r>
        <w:rPr>
          <w:rFonts w:hint="eastAsia" w:ascii="宋体" w:hAnsi="宋体" w:eastAsia="宋体" w:cs="宋体"/>
          <w:sz w:val="21"/>
          <w:szCs w:val="21"/>
          <w:lang w:val="en-US" w:eastAsia="zh-CN"/>
        </w:rPr>
        <w:t xml:space="preserve">平方米（其他商服用地）和 </w:t>
      </w:r>
      <w:r>
        <w:rPr>
          <w:rFonts w:hint="default" w:ascii="宋体" w:hAnsi="宋体" w:eastAsia="宋体" w:cs="宋体"/>
          <w:sz w:val="21"/>
          <w:szCs w:val="21"/>
          <w:lang w:val="en-US" w:eastAsia="zh-CN"/>
        </w:rPr>
        <w:t>17.30</w:t>
      </w:r>
      <w:r>
        <w:rPr>
          <w:rFonts w:hint="eastAsia" w:ascii="宋体" w:hAnsi="宋体" w:eastAsia="宋体" w:cs="宋体"/>
          <w:sz w:val="21"/>
          <w:szCs w:val="21"/>
          <w:lang w:val="en-US" w:eastAsia="zh-CN"/>
        </w:rPr>
        <w:t>亩</w:t>
      </w:r>
      <w:r>
        <w:rPr>
          <w:rFonts w:hint="default" w:ascii="宋体" w:hAnsi="宋体" w:eastAsia="宋体" w:cs="宋体"/>
          <w:sz w:val="21"/>
          <w:szCs w:val="21"/>
          <w:lang w:val="en-US" w:eastAsia="zh-CN"/>
        </w:rPr>
        <w:t>11,521.13</w:t>
      </w:r>
      <w:r>
        <w:rPr>
          <w:rFonts w:hint="eastAsia" w:ascii="宋体" w:hAnsi="宋体" w:eastAsia="宋体" w:cs="宋体"/>
          <w:sz w:val="21"/>
          <w:szCs w:val="21"/>
          <w:lang w:val="en-US" w:eastAsia="zh-CN"/>
        </w:rPr>
        <w:t>平方米（集体用地，正在办理土地证）。</w:t>
      </w:r>
    </w:p>
    <w:p w14:paraId="62E46005">
      <w:pPr>
        <w:pStyle w:val="31"/>
        <w:numPr>
          <w:ilvl w:val="1"/>
          <w:numId w:val="11"/>
        </w:numPr>
        <w:spacing w:line="36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项目投资要求：128420.00万元人民币。</w:t>
      </w:r>
    </w:p>
    <w:p w14:paraId="4342616B">
      <w:pPr>
        <w:numPr>
          <w:ilvl w:val="0"/>
          <w:numId w:val="10"/>
        </w:numPr>
        <w:spacing w:line="360" w:lineRule="auto"/>
        <w:outlineLvl w:val="1"/>
        <w:rPr>
          <w:rFonts w:hint="eastAsia" w:ascii="宋体" w:hAnsi="宋体" w:eastAsia="宋体" w:cs="宋体"/>
          <w:b/>
          <w:bCs/>
          <w:sz w:val="21"/>
          <w:szCs w:val="21"/>
          <w:lang w:val="en-US" w:eastAsia="zh-CN"/>
        </w:rPr>
      </w:pPr>
      <w:bookmarkStart w:id="1363" w:name="_Toc26335"/>
      <w:bookmarkStart w:id="1364" w:name="_Toc15325"/>
      <w:r>
        <w:rPr>
          <w:rFonts w:hint="eastAsia" w:ascii="宋体" w:hAnsi="宋体" w:eastAsia="宋体" w:cs="宋体"/>
          <w:b/>
          <w:bCs/>
          <w:sz w:val="21"/>
          <w:szCs w:val="21"/>
          <w:lang w:val="en-US" w:eastAsia="zh-CN"/>
        </w:rPr>
        <w:t>设计范围</w:t>
      </w:r>
      <w:bookmarkEnd w:id="1363"/>
      <w:bookmarkEnd w:id="1364"/>
    </w:p>
    <w:p w14:paraId="7959861B">
      <w:pPr>
        <w:pStyle w:val="31"/>
        <w:numPr>
          <w:ilvl w:val="0"/>
          <w:numId w:val="0"/>
        </w:numPr>
        <w:spacing w:line="360" w:lineRule="auto"/>
        <w:ind w:left="0" w:leftChars="0" w:firstLine="0" w:firstLineChars="0"/>
        <w:outlineLvl w:val="2"/>
        <w:rPr>
          <w:rFonts w:hint="eastAsia" w:ascii="宋体" w:hAnsi="宋体" w:eastAsia="宋体" w:cs="宋体"/>
          <w:b/>
          <w:bCs/>
          <w:sz w:val="21"/>
          <w:szCs w:val="21"/>
          <w:lang w:val="en-US" w:eastAsia="zh-CN"/>
        </w:rPr>
      </w:pPr>
      <w:bookmarkStart w:id="1365" w:name="_Toc26544"/>
      <w:r>
        <w:rPr>
          <w:rFonts w:hint="eastAsia" w:ascii="宋体" w:hAnsi="宋体" w:eastAsia="宋体" w:cs="宋体"/>
          <w:b/>
          <w:bCs/>
          <w:sz w:val="21"/>
          <w:szCs w:val="21"/>
          <w:lang w:val="en-US" w:eastAsia="zh-CN"/>
        </w:rPr>
        <w:t>2.1设计总体要求</w:t>
      </w:r>
      <w:bookmarkEnd w:id="1365"/>
    </w:p>
    <w:p w14:paraId="3890C411">
      <w:pPr>
        <w:pStyle w:val="31"/>
        <w:numPr>
          <w:ilvl w:val="0"/>
          <w:numId w:val="0"/>
        </w:numPr>
        <w:spacing w:line="360" w:lineRule="auto"/>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2.1.1 对全期159.7亩进行整体总图规划设计及施工图设计，设计内容包含但不限于：</w:t>
      </w:r>
    </w:p>
    <w:p w14:paraId="09BE8527">
      <w:pPr>
        <w:pStyle w:val="31"/>
        <w:numPr>
          <w:ilvl w:val="0"/>
          <w:numId w:val="0"/>
        </w:numPr>
        <w:spacing w:line="360" w:lineRule="auto"/>
        <w:ind w:leftChars="0"/>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（1）方案规划设计、参与方案规划评审会议。</w:t>
      </w:r>
    </w:p>
    <w:p w14:paraId="77467EC8">
      <w:pPr>
        <w:pStyle w:val="31"/>
        <w:numPr>
          <w:ilvl w:val="0"/>
          <w:numId w:val="0"/>
        </w:numPr>
        <w:spacing w:line="360" w:lineRule="auto"/>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（2）初步设计、参与初步设计评审会议。</w:t>
      </w:r>
    </w:p>
    <w:p w14:paraId="682C51A0">
      <w:pPr>
        <w:pStyle w:val="31"/>
        <w:numPr>
          <w:ilvl w:val="0"/>
          <w:numId w:val="0"/>
        </w:numPr>
        <w:spacing w:line="360" w:lineRule="auto"/>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（3）各单体各专业施工图设计并通过审图办审核；</w:t>
      </w:r>
    </w:p>
    <w:p w14:paraId="3AFF4650">
      <w:pPr>
        <w:pStyle w:val="31"/>
        <w:numPr>
          <w:ilvl w:val="0"/>
          <w:numId w:val="0"/>
        </w:numPr>
        <w:spacing w:line="360" w:lineRule="auto"/>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（4）编制建筑节能设计专篇、绿色建筑设计专篇、消防设计专篇并通过评审；</w:t>
      </w:r>
    </w:p>
    <w:p w14:paraId="3D75ACB1">
      <w:pPr>
        <w:pStyle w:val="31"/>
        <w:numPr>
          <w:ilvl w:val="0"/>
          <w:numId w:val="0"/>
        </w:numPr>
        <w:spacing w:line="360" w:lineRule="auto"/>
        <w:ind w:leftChars="0"/>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（5）编制零碳智慧园区设计文件，并满足零碳智慧园区评审要求。</w:t>
      </w:r>
    </w:p>
    <w:p w14:paraId="1BE58AA2">
      <w:pPr>
        <w:pStyle w:val="31"/>
        <w:numPr>
          <w:ilvl w:val="0"/>
          <w:numId w:val="0"/>
        </w:numPr>
        <w:spacing w:line="360" w:lineRule="auto"/>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（6）提供设计技术交底、解决施工中设计技术问题；</w:t>
      </w:r>
    </w:p>
    <w:p w14:paraId="02CC49E6">
      <w:pPr>
        <w:pStyle w:val="31"/>
        <w:numPr>
          <w:ilvl w:val="0"/>
          <w:numId w:val="0"/>
        </w:numPr>
        <w:spacing w:line="360" w:lineRule="auto"/>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（7）各阶段设计形成的设计成果按设计周期时间提供给当地规划部门及建设单位；</w:t>
      </w:r>
    </w:p>
    <w:p w14:paraId="2D75BE85">
      <w:pPr>
        <w:pStyle w:val="31"/>
        <w:numPr>
          <w:ilvl w:val="0"/>
          <w:numId w:val="0"/>
        </w:numPr>
        <w:spacing w:line="360" w:lineRule="auto"/>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（8）提供施工图审查合格蓝图6套、提交电子版设计文件CAD版及PDF格式各1份；</w:t>
      </w:r>
    </w:p>
    <w:p w14:paraId="6EBE57F0">
      <w:pPr>
        <w:pStyle w:val="31"/>
        <w:numPr>
          <w:ilvl w:val="0"/>
          <w:numId w:val="0"/>
        </w:numPr>
        <w:spacing w:line="360" w:lineRule="auto"/>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（9）竣工图审核等；</w:t>
      </w:r>
    </w:p>
    <w:p w14:paraId="7DA5D949">
      <w:pPr>
        <w:pStyle w:val="31"/>
        <w:numPr>
          <w:ilvl w:val="0"/>
          <w:numId w:val="0"/>
        </w:numPr>
        <w:spacing w:line="360" w:lineRule="auto"/>
        <w:ind w:left="0" w:leftChars="0" w:firstLine="0" w:firstLineChars="0"/>
        <w:outlineLvl w:val="2"/>
        <w:rPr>
          <w:rFonts w:hint="eastAsia" w:ascii="宋体" w:hAnsi="宋体" w:eastAsia="宋体" w:cs="宋体"/>
          <w:b/>
          <w:bCs/>
          <w:sz w:val="21"/>
          <w:szCs w:val="21"/>
          <w:lang w:val="en-US" w:eastAsia="zh-CN"/>
        </w:rPr>
      </w:pPr>
      <w:bookmarkStart w:id="1366" w:name="_Toc10387"/>
      <w:r>
        <w:rPr>
          <w:rFonts w:hint="eastAsia" w:ascii="宋体" w:hAnsi="宋体" w:eastAsia="宋体" w:cs="宋体"/>
          <w:b/>
          <w:bCs/>
          <w:sz w:val="21"/>
          <w:szCs w:val="21"/>
          <w:lang w:val="en-US" w:eastAsia="zh-CN"/>
        </w:rPr>
        <w:t>2.2土建工程设计内容</w:t>
      </w:r>
      <w:bookmarkEnd w:id="1366"/>
    </w:p>
    <w:p w14:paraId="60C9CFD1">
      <w:pPr>
        <w:pStyle w:val="31"/>
        <w:numPr>
          <w:ilvl w:val="0"/>
          <w:numId w:val="0"/>
        </w:numPr>
        <w:spacing w:line="360" w:lineRule="auto"/>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2.2.1本项目所有建筑、结构、总图、绿化设计等。包括但不限于：智能立体冷库、分拣加工中心、农产品集采集配中心、现代服务区等配套建筑（构筑）物及相应设备基础，及周边道路、围墙、管廊、给排水（含自来水、雨污水、消防水）、室外总图规划等。</w:t>
      </w:r>
    </w:p>
    <w:p w14:paraId="047B1F80">
      <w:pPr>
        <w:pStyle w:val="31"/>
        <w:numPr>
          <w:ilvl w:val="0"/>
          <w:numId w:val="0"/>
        </w:numPr>
        <w:spacing w:line="360" w:lineRule="auto"/>
        <w:ind w:left="0" w:leftChars="0" w:firstLine="0" w:firstLineChars="0"/>
        <w:outlineLvl w:val="2"/>
        <w:rPr>
          <w:rFonts w:hint="eastAsia" w:ascii="宋体" w:hAnsi="宋体" w:eastAsia="宋体" w:cs="宋体"/>
          <w:color w:val="7030A0"/>
          <w:sz w:val="21"/>
          <w:szCs w:val="21"/>
          <w:lang w:val="en-US" w:eastAsia="zh-CN"/>
        </w:rPr>
      </w:pPr>
      <w:bookmarkStart w:id="1367" w:name="_Toc26739"/>
      <w:bookmarkStart w:id="1368" w:name="_Toc31042"/>
      <w:r>
        <w:rPr>
          <w:rFonts w:hint="eastAsia" w:ascii="宋体" w:hAnsi="宋体" w:eastAsia="宋体" w:cs="宋体"/>
          <w:b/>
          <w:bCs/>
          <w:sz w:val="21"/>
          <w:szCs w:val="21"/>
          <w:lang w:val="en-US" w:eastAsia="zh-CN"/>
        </w:rPr>
        <w:t>2.3机电工程设计内容</w:t>
      </w:r>
      <w:bookmarkEnd w:id="1367"/>
      <w:bookmarkEnd w:id="1368"/>
    </w:p>
    <w:p w14:paraId="6CEE6776">
      <w:pPr>
        <w:pStyle w:val="31"/>
        <w:numPr>
          <w:ilvl w:val="0"/>
          <w:numId w:val="0"/>
        </w:numPr>
        <w:pBdr>
          <w:bottom w:val="none" w:color="auto" w:sz="0" w:space="0"/>
        </w:pBdr>
        <w:spacing w:line="360" w:lineRule="auto"/>
        <w:ind w:leftChars="0"/>
        <w:rPr>
          <w:rFonts w:hint="eastAsia" w:ascii="宋体" w:hAnsi="宋体" w:eastAsia="宋体" w:cs="宋体"/>
          <w:color w:val="7030A0"/>
          <w:sz w:val="21"/>
          <w:szCs w:val="21"/>
          <w:lang w:val="en-US" w:eastAsia="zh-CN"/>
        </w:rPr>
      </w:pPr>
      <w:r>
        <w:rPr>
          <w:rFonts w:hint="eastAsia" w:ascii="宋体" w:hAnsi="宋体" w:eastAsia="宋体" w:cs="宋体"/>
          <w:sz w:val="21"/>
          <w:szCs w:val="21"/>
          <w:lang w:val="en-US" w:eastAsia="zh-CN"/>
        </w:rPr>
        <w:t>2.3.1电气工程（10/0.4kV变配电/电力/照明/防雷接地/应急发电系统）、给排水工程（包括室内外给水、排水设计，海绵城市政设计）、暖通工程、气动工程、消防工程（含消防排烟送风、消防给水系统、火灾报警及火灾联动、消防应急广播、消防控制室等）；弱电工程（含厂务系统自控FMCS、计算机网络系统、电话/数据综合布线系统、广播系统、视频监控系统、门禁控制及考勤系统、停车场系统、周界报警系统）。</w:t>
      </w:r>
    </w:p>
    <w:p w14:paraId="6AB5876A">
      <w:pPr>
        <w:pStyle w:val="31"/>
        <w:numPr>
          <w:ilvl w:val="0"/>
          <w:numId w:val="0"/>
        </w:numPr>
        <w:spacing w:line="360" w:lineRule="auto"/>
        <w:ind w:left="0" w:leftChars="0" w:firstLine="0" w:firstLineChars="0"/>
        <w:outlineLvl w:val="2"/>
        <w:rPr>
          <w:rFonts w:hint="eastAsia" w:ascii="宋体" w:hAnsi="宋体" w:eastAsia="宋体" w:cs="宋体"/>
          <w:sz w:val="21"/>
          <w:szCs w:val="21"/>
          <w:lang w:val="en-US" w:eastAsia="zh-CN"/>
        </w:rPr>
      </w:pPr>
      <w:bookmarkStart w:id="1369" w:name="_Toc27615"/>
      <w:bookmarkStart w:id="1370" w:name="_Toc28217"/>
      <w:r>
        <w:rPr>
          <w:rFonts w:hint="eastAsia" w:ascii="宋体" w:hAnsi="宋体" w:eastAsia="宋体" w:cs="宋体"/>
          <w:b/>
          <w:bCs/>
          <w:sz w:val="21"/>
          <w:szCs w:val="21"/>
          <w:lang w:val="en-US" w:eastAsia="zh-CN"/>
        </w:rPr>
        <w:t>2.4工艺设计内容</w:t>
      </w:r>
      <w:bookmarkEnd w:id="1369"/>
      <w:bookmarkEnd w:id="1370"/>
    </w:p>
    <w:p w14:paraId="1FAFCC71">
      <w:pPr>
        <w:pStyle w:val="31"/>
        <w:numPr>
          <w:ilvl w:val="0"/>
          <w:numId w:val="0"/>
        </w:numPr>
        <w:spacing w:line="360" w:lineRule="auto"/>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2.4.1温区规划：按需求划分多温区，明确面积、容量及适用物资，保障布局科学节能。</w:t>
      </w:r>
    </w:p>
    <w:p w14:paraId="1EC9C665">
      <w:pPr>
        <w:pStyle w:val="31"/>
        <w:numPr>
          <w:ilvl w:val="0"/>
          <w:numId w:val="0"/>
        </w:numPr>
        <w:spacing w:line="360" w:lineRule="auto"/>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制冷系统：选型适配设备与技术，优化流程及管道布局，确保稳定节能。</w:t>
      </w:r>
    </w:p>
    <w:p w14:paraId="233F5A13">
      <w:pPr>
        <w:pStyle w:val="31"/>
        <w:numPr>
          <w:ilvl w:val="0"/>
          <w:numId w:val="0"/>
        </w:numPr>
        <w:spacing w:line="360" w:lineRule="auto"/>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保温设计：选用优质材料，做好全结构保温及冷桥处理，减少冷量损耗。</w:t>
      </w:r>
    </w:p>
    <w:p w14:paraId="42708EE8">
      <w:pPr>
        <w:pStyle w:val="31"/>
        <w:numPr>
          <w:ilvl w:val="0"/>
          <w:numId w:val="0"/>
        </w:numPr>
        <w:spacing w:line="360" w:lineRule="auto"/>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智慧仓储分拣：设计自动化货架与分拣设备布局，提升出入库及分拣效率。</w:t>
      </w:r>
    </w:p>
    <w:p w14:paraId="664BD3DA">
      <w:pPr>
        <w:pStyle w:val="31"/>
        <w:numPr>
          <w:ilvl w:val="0"/>
          <w:numId w:val="0"/>
        </w:numPr>
        <w:spacing w:line="360" w:lineRule="auto"/>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全程追溯监控：构建全流程追溯系统，布设传感与监控设备，实现信息实时采集预警。</w:t>
      </w:r>
    </w:p>
    <w:p w14:paraId="47873F3D">
      <w:pPr>
        <w:pStyle w:val="31"/>
        <w:numPr>
          <w:ilvl w:val="0"/>
          <w:numId w:val="0"/>
        </w:numPr>
        <w:spacing w:line="360" w:lineRule="auto"/>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节能环保：选用节能设备材料，设计余热回收、污水处理等系统，降低能耗与污染。</w:t>
      </w:r>
    </w:p>
    <w:p w14:paraId="293B7571">
      <w:pPr>
        <w:pStyle w:val="31"/>
        <w:numPr>
          <w:ilvl w:val="0"/>
          <w:numId w:val="0"/>
        </w:numPr>
        <w:spacing w:line="360" w:lineRule="auto"/>
        <w:ind w:left="0" w:leftChars="0" w:firstLine="0" w:firstLineChars="0"/>
        <w:outlineLvl w:val="2"/>
        <w:rPr>
          <w:rFonts w:hint="eastAsia" w:ascii="宋体" w:hAnsi="宋体" w:eastAsia="宋体" w:cs="宋体"/>
          <w:b/>
          <w:bCs/>
          <w:sz w:val="21"/>
          <w:szCs w:val="21"/>
          <w:lang w:val="en-US" w:eastAsia="zh-CN"/>
        </w:rPr>
      </w:pPr>
      <w:bookmarkStart w:id="1371" w:name="_Toc26263"/>
      <w:bookmarkStart w:id="1372" w:name="_Toc18942"/>
      <w:r>
        <w:rPr>
          <w:rFonts w:hint="eastAsia" w:ascii="宋体" w:hAnsi="宋体" w:eastAsia="宋体" w:cs="宋体"/>
          <w:b/>
          <w:bCs/>
          <w:sz w:val="21"/>
          <w:szCs w:val="21"/>
          <w:lang w:val="en-US" w:eastAsia="zh-CN"/>
        </w:rPr>
        <w:t>2.5 配合内容</w:t>
      </w:r>
      <w:bookmarkEnd w:id="1371"/>
      <w:bookmarkEnd w:id="1372"/>
    </w:p>
    <w:p w14:paraId="64F42566">
      <w:pPr>
        <w:pStyle w:val="31"/>
        <w:numPr>
          <w:ilvl w:val="0"/>
          <w:numId w:val="0"/>
        </w:numPr>
        <w:spacing w:line="360" w:lineRule="auto"/>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2.5.1 工程量清单及施工图预算的编制由专业咨询公司出具，设计单位配合完成。</w:t>
      </w:r>
    </w:p>
    <w:p w14:paraId="38B9E7CB">
      <w:pPr>
        <w:pStyle w:val="31"/>
        <w:numPr>
          <w:ilvl w:val="0"/>
          <w:numId w:val="0"/>
        </w:numPr>
        <w:spacing w:line="360" w:lineRule="auto"/>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2.5.2 配合屋面光伏电站，设计在变配电室预留光伏并网位置；厂房需要考虑屋面光伏电站的安装及荷载。</w:t>
      </w:r>
    </w:p>
    <w:p w14:paraId="1C2974D2">
      <w:pPr>
        <w:pStyle w:val="31"/>
        <w:numPr>
          <w:ilvl w:val="0"/>
          <w:numId w:val="0"/>
        </w:numPr>
        <w:spacing w:line="360" w:lineRule="auto"/>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2.5.3 废水、废气处理、弱电系统、幕墙设计、精装修设计等由专业工程深化设计，设计配合完成土建及机电需求条件。</w:t>
      </w:r>
    </w:p>
    <w:p w14:paraId="7652DA1B">
      <w:pPr>
        <w:pStyle w:val="31"/>
        <w:numPr>
          <w:ilvl w:val="0"/>
          <w:numId w:val="0"/>
        </w:numPr>
        <w:spacing w:line="360" w:lineRule="auto"/>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2.5.4 在工程施工阶段结合项目实际进度，根据业主工作需要，安排建筑、结构、暖通、气动、给排水等专业的设计人员进行指导配合各专业施工，协助业主进行施工管理。</w:t>
      </w:r>
    </w:p>
    <w:p w14:paraId="4B5F3E3D">
      <w:pPr>
        <w:numPr>
          <w:ilvl w:val="0"/>
          <w:numId w:val="10"/>
        </w:numPr>
        <w:spacing w:line="360" w:lineRule="auto"/>
        <w:outlineLvl w:val="1"/>
        <w:rPr>
          <w:rFonts w:hint="default" w:ascii="宋体" w:hAnsi="宋体" w:eastAsia="宋体" w:cs="宋体"/>
          <w:b/>
          <w:bCs/>
          <w:sz w:val="21"/>
          <w:szCs w:val="21"/>
          <w:lang w:val="en-US" w:eastAsia="zh-CN"/>
        </w:rPr>
      </w:pPr>
      <w:bookmarkStart w:id="1373" w:name="_Toc26336"/>
      <w:bookmarkStart w:id="1374" w:name="_Toc8684"/>
      <w:r>
        <w:rPr>
          <w:rFonts w:hint="eastAsia" w:ascii="宋体" w:hAnsi="宋体" w:eastAsia="宋体" w:cs="宋体"/>
          <w:b/>
          <w:bCs/>
          <w:sz w:val="21"/>
          <w:szCs w:val="21"/>
          <w:lang w:val="en-US" w:eastAsia="zh-CN"/>
        </w:rPr>
        <w:t>建筑设计</w:t>
      </w:r>
      <w:bookmarkEnd w:id="1373"/>
      <w:bookmarkEnd w:id="1374"/>
    </w:p>
    <w:p w14:paraId="43A1AACD">
      <w:pPr>
        <w:pStyle w:val="31"/>
        <w:numPr>
          <w:ilvl w:val="0"/>
          <w:numId w:val="0"/>
        </w:numPr>
        <w:spacing w:line="360" w:lineRule="auto"/>
        <w:ind w:left="0" w:leftChars="0" w:firstLine="0" w:firstLineChars="0"/>
        <w:outlineLvl w:val="2"/>
        <w:rPr>
          <w:rFonts w:hint="eastAsia" w:ascii="宋体" w:hAnsi="宋体" w:eastAsia="宋体" w:cs="宋体"/>
          <w:b/>
          <w:bCs/>
          <w:sz w:val="21"/>
          <w:szCs w:val="21"/>
          <w:lang w:val="en-US" w:eastAsia="zh-CN"/>
        </w:rPr>
      </w:pPr>
      <w:bookmarkStart w:id="1375" w:name="_Toc18098"/>
      <w:bookmarkStart w:id="1376" w:name="_Toc22156"/>
      <w:r>
        <w:rPr>
          <w:rFonts w:hint="eastAsia" w:ascii="宋体" w:hAnsi="宋体" w:eastAsia="宋体" w:cs="宋体"/>
          <w:b/>
          <w:bCs/>
          <w:sz w:val="21"/>
          <w:szCs w:val="21"/>
          <w:lang w:val="en-US" w:eastAsia="zh-CN"/>
        </w:rPr>
        <w:t>3.1总图规划设计依据</w:t>
      </w:r>
      <w:bookmarkEnd w:id="1375"/>
      <w:bookmarkEnd w:id="1376"/>
    </w:p>
    <w:p w14:paraId="440ED5CC">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（1）《蒙自市国土空间总体规划（2021-2035年）》</w:t>
      </w:r>
    </w:p>
    <w:p w14:paraId="635B9BF8">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（2）《蒙自市国土空间规划管理技术规定》（2025年01月）</w:t>
      </w:r>
    </w:p>
    <w:p w14:paraId="583C4739">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（3）《云南蒙自产业园区国土空间详细规划》</w:t>
      </w:r>
    </w:p>
    <w:p w14:paraId="447501C0">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（4）《蒙自市消防专项规划（2021-2035年）》</w:t>
      </w:r>
    </w:p>
    <w:p w14:paraId="72E5CCC1">
      <w:pPr>
        <w:pStyle w:val="31"/>
        <w:numPr>
          <w:ilvl w:val="0"/>
          <w:numId w:val="0"/>
        </w:numPr>
        <w:spacing w:line="36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（5）《总图制图标准》       GB T50103-2010</w:t>
      </w:r>
    </w:p>
    <w:p w14:paraId="29CC1753">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（6）《建筑设计防火规范》   GB 50016-2014（2018年版）</w:t>
      </w:r>
    </w:p>
    <w:p w14:paraId="3AFF3EBB">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（7）《建筑防火通用规范》   GB 55037-2022</w:t>
      </w:r>
    </w:p>
    <w:p w14:paraId="190AFCEB">
      <w:pPr>
        <w:pStyle w:val="31"/>
        <w:numPr>
          <w:ilvl w:val="0"/>
          <w:numId w:val="0"/>
        </w:numPr>
        <w:spacing w:line="36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（8）《城乡建设用地竖向规划规范》CJJ83-2016</w:t>
      </w:r>
    </w:p>
    <w:p w14:paraId="1D162A13">
      <w:pPr>
        <w:pStyle w:val="31"/>
        <w:numPr>
          <w:ilvl w:val="0"/>
          <w:numId w:val="0"/>
        </w:numPr>
        <w:spacing w:line="360" w:lineRule="auto"/>
        <w:rPr>
          <w:rFonts w:hint="default" w:ascii="宋体" w:hAnsi="宋体" w:eastAsia="宋体" w:cs="宋体"/>
          <w:b/>
          <w:bCs/>
          <w:sz w:val="21"/>
          <w:szCs w:val="21"/>
          <w:lang w:val="en-US" w:eastAsia="zh-CN"/>
        </w:rPr>
      </w:pPr>
      <w:r>
        <w:rPr>
          <w:rFonts w:hint="eastAsia" w:ascii="宋体" w:hAnsi="宋体" w:eastAsia="宋体" w:cs="宋体"/>
          <w:sz w:val="21"/>
          <w:szCs w:val="21"/>
          <w:lang w:val="en-US" w:eastAsia="zh-CN"/>
        </w:rPr>
        <w:t>（9）《物流建筑设计规范》  GB 51157-2016</w:t>
      </w:r>
    </w:p>
    <w:p w14:paraId="3AC6928B">
      <w:pPr>
        <w:pStyle w:val="31"/>
        <w:numPr>
          <w:ilvl w:val="0"/>
          <w:numId w:val="0"/>
        </w:numPr>
        <w:spacing w:line="360" w:lineRule="auto"/>
        <w:ind w:left="0" w:leftChars="0" w:firstLine="0" w:firstLineChars="0"/>
        <w:outlineLvl w:val="2"/>
        <w:rPr>
          <w:rFonts w:hint="eastAsia" w:ascii="宋体" w:hAnsi="宋体" w:eastAsia="宋体" w:cs="宋体"/>
          <w:b/>
          <w:bCs/>
          <w:sz w:val="21"/>
          <w:szCs w:val="21"/>
          <w:lang w:val="en-US" w:eastAsia="zh-CN"/>
        </w:rPr>
      </w:pPr>
      <w:bookmarkStart w:id="1377" w:name="_Toc52099779"/>
      <w:bookmarkStart w:id="1378" w:name="_Toc28646"/>
      <w:bookmarkStart w:id="1379" w:name="_Toc2141"/>
      <w:r>
        <w:rPr>
          <w:rFonts w:hint="eastAsia" w:ascii="宋体" w:hAnsi="宋体" w:eastAsia="宋体" w:cs="宋体"/>
          <w:b/>
          <w:bCs/>
          <w:sz w:val="21"/>
          <w:szCs w:val="21"/>
          <w:lang w:val="en-US" w:eastAsia="zh-CN"/>
        </w:rPr>
        <w:t>3.2建筑设计基础及依据</w:t>
      </w:r>
      <w:bookmarkEnd w:id="1377"/>
      <w:bookmarkEnd w:id="1378"/>
      <w:bookmarkEnd w:id="1379"/>
    </w:p>
    <w:p w14:paraId="17B8FB75">
      <w:pPr>
        <w:pStyle w:val="31"/>
        <w:numPr>
          <w:ilvl w:val="0"/>
          <w:numId w:val="0"/>
        </w:numPr>
        <w:spacing w:line="360" w:lineRule="auto"/>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（1）《建筑设计防火规范》GB50016-2014（2018 年版）；</w:t>
      </w:r>
    </w:p>
    <w:p w14:paraId="562D878D">
      <w:pPr>
        <w:pStyle w:val="31"/>
        <w:numPr>
          <w:ilvl w:val="0"/>
          <w:numId w:val="0"/>
        </w:numPr>
        <w:spacing w:line="360" w:lineRule="auto"/>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（2）《冷库设计规范》GB50072-2021；</w:t>
      </w:r>
    </w:p>
    <w:p w14:paraId="2FBACD69">
      <w:pPr>
        <w:pStyle w:val="31"/>
        <w:numPr>
          <w:ilvl w:val="0"/>
          <w:numId w:val="0"/>
        </w:numPr>
        <w:spacing w:line="360" w:lineRule="auto"/>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（3）《民用建筑设计统一标准》GB50352-2019；</w:t>
      </w:r>
    </w:p>
    <w:p w14:paraId="34930681">
      <w:pPr>
        <w:pStyle w:val="31"/>
        <w:numPr>
          <w:ilvl w:val="0"/>
          <w:numId w:val="0"/>
        </w:numPr>
        <w:spacing w:line="360" w:lineRule="auto"/>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（4）《汽车库、修车库、停车场设计防火规范》GB50067-2014；</w:t>
      </w:r>
    </w:p>
    <w:p w14:paraId="705B5237">
      <w:pPr>
        <w:pStyle w:val="31"/>
        <w:numPr>
          <w:ilvl w:val="0"/>
          <w:numId w:val="0"/>
        </w:numPr>
        <w:spacing w:line="360" w:lineRule="auto"/>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（5）《汽车库建筑设计规范》JGJ100-2015；</w:t>
      </w:r>
    </w:p>
    <w:p w14:paraId="23D937FA">
      <w:pPr>
        <w:pStyle w:val="31"/>
        <w:numPr>
          <w:ilvl w:val="0"/>
          <w:numId w:val="0"/>
        </w:numPr>
        <w:spacing w:line="360" w:lineRule="auto"/>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（6）《工业企业总平面设计规范》GB50187-2012；</w:t>
      </w:r>
    </w:p>
    <w:p w14:paraId="010D067B">
      <w:pPr>
        <w:pStyle w:val="31"/>
        <w:numPr>
          <w:ilvl w:val="0"/>
          <w:numId w:val="0"/>
        </w:numPr>
        <w:spacing w:line="360" w:lineRule="auto"/>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（7）《工业企业设计卫生标准》GBZ1-2010；</w:t>
      </w:r>
    </w:p>
    <w:p w14:paraId="0195A95E">
      <w:pPr>
        <w:pStyle w:val="31"/>
        <w:numPr>
          <w:ilvl w:val="0"/>
          <w:numId w:val="0"/>
        </w:numPr>
        <w:spacing w:line="360" w:lineRule="auto"/>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（8）建设单位提供的电子版的地形图；</w:t>
      </w:r>
    </w:p>
    <w:p w14:paraId="69EF769A">
      <w:pPr>
        <w:pStyle w:val="31"/>
        <w:numPr>
          <w:ilvl w:val="0"/>
          <w:numId w:val="0"/>
        </w:numPr>
        <w:spacing w:line="360" w:lineRule="auto"/>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（9）国家和地方现行的有关工程设计规范规定标准</w:t>
      </w:r>
    </w:p>
    <w:p w14:paraId="57623172">
      <w:pPr>
        <w:pStyle w:val="31"/>
        <w:numPr>
          <w:ilvl w:val="0"/>
          <w:numId w:val="0"/>
        </w:numPr>
        <w:spacing w:line="360" w:lineRule="auto"/>
        <w:ind w:left="0" w:leftChars="0" w:firstLine="0" w:firstLineChars="0"/>
        <w:outlineLvl w:val="2"/>
        <w:rPr>
          <w:rFonts w:hint="eastAsia" w:ascii="宋体" w:hAnsi="宋体" w:eastAsia="宋体" w:cs="宋体"/>
          <w:b/>
          <w:bCs/>
          <w:sz w:val="21"/>
          <w:szCs w:val="21"/>
          <w:lang w:val="en-US" w:eastAsia="zh-CN"/>
        </w:rPr>
      </w:pPr>
      <w:bookmarkStart w:id="1380" w:name="_Toc31978"/>
      <w:bookmarkStart w:id="1381" w:name="_Toc21083"/>
      <w:r>
        <w:rPr>
          <w:rFonts w:hint="eastAsia" w:ascii="宋体" w:hAnsi="宋体" w:eastAsia="宋体" w:cs="宋体"/>
          <w:b/>
          <w:bCs/>
          <w:sz w:val="21"/>
          <w:szCs w:val="21"/>
          <w:lang w:val="en-US" w:eastAsia="zh-CN"/>
        </w:rPr>
        <w:t>3.3设计原则及指导思想</w:t>
      </w:r>
      <w:bookmarkEnd w:id="1380"/>
      <w:bookmarkEnd w:id="1381"/>
    </w:p>
    <w:p w14:paraId="3AF35AFD">
      <w:pPr>
        <w:pStyle w:val="31"/>
        <w:numPr>
          <w:ilvl w:val="0"/>
          <w:numId w:val="0"/>
        </w:numPr>
        <w:spacing w:line="360" w:lineRule="auto"/>
        <w:ind w:left="0" w:leftChars="0" w:firstLine="0" w:firstLineChars="0"/>
        <w:outlineLvl w:val="3"/>
        <w:rPr>
          <w:rFonts w:hint="default" w:ascii="宋体" w:hAnsi="宋体" w:eastAsia="宋体" w:cs="宋体"/>
          <w:sz w:val="21"/>
          <w:szCs w:val="21"/>
          <w:lang w:val="en-US" w:eastAsia="zh-CN"/>
        </w:rPr>
      </w:pPr>
      <w:bookmarkStart w:id="1382" w:name="_Toc21524"/>
      <w:bookmarkStart w:id="1383" w:name="_Toc10898"/>
      <w:r>
        <w:rPr>
          <w:rFonts w:hint="eastAsia" w:ascii="宋体" w:hAnsi="宋体" w:eastAsia="宋体" w:cs="宋体"/>
          <w:sz w:val="21"/>
          <w:szCs w:val="21"/>
          <w:lang w:val="en-US" w:eastAsia="zh-CN"/>
        </w:rPr>
        <w:t>3.3.1设计原则</w:t>
      </w:r>
      <w:bookmarkEnd w:id="1382"/>
      <w:bookmarkEnd w:id="1383"/>
    </w:p>
    <w:p w14:paraId="3BCE90A2">
      <w:pPr>
        <w:pStyle w:val="31"/>
        <w:numPr>
          <w:ilvl w:val="0"/>
          <w:numId w:val="0"/>
        </w:numPr>
        <w:spacing w:line="360" w:lineRule="auto"/>
        <w:ind w:leftChars="0" w:firstLine="420" w:firstLineChars="200"/>
        <w:rPr>
          <w:rFonts w:hint="eastAsia" w:ascii="宋体" w:hAnsi="宋体" w:eastAsia="宋体" w:cs="宋体"/>
          <w:sz w:val="21"/>
          <w:szCs w:val="21"/>
          <w:lang w:val="en-US" w:eastAsia="zh-CN"/>
        </w:rPr>
      </w:pPr>
      <w:bookmarkStart w:id="1384" w:name="_Toc517663411"/>
      <w:bookmarkStart w:id="1385" w:name="_Toc478440144"/>
      <w:bookmarkStart w:id="1386" w:name="_Toc490921937"/>
      <w:bookmarkStart w:id="1387" w:name="_Toc517837054"/>
      <w:bookmarkStart w:id="1388" w:name="_Toc509632584"/>
      <w:bookmarkStart w:id="1389" w:name="_Toc487784798"/>
      <w:bookmarkStart w:id="1390" w:name="_Toc517838592"/>
      <w:bookmarkStart w:id="1391" w:name="_Toc490639876"/>
      <w:bookmarkStart w:id="1392" w:name="_Toc287365515"/>
      <w:bookmarkStart w:id="1393" w:name="_Toc490639906"/>
      <w:r>
        <w:rPr>
          <w:rFonts w:hint="eastAsia" w:ascii="宋体" w:hAnsi="宋体" w:eastAsia="宋体" w:cs="宋体"/>
          <w:sz w:val="21"/>
          <w:szCs w:val="21"/>
          <w:lang w:val="en-US" w:eastAsia="zh-CN"/>
        </w:rPr>
        <w:t>各专业遵照国家相关的规范、标准及业主方的建设要求，功能分区明确、布局合理，交通流线便捷顺畅，空间环境优美舒适，满足卫生防疫、消防、环保、安全等方面的要求。</w:t>
      </w:r>
    </w:p>
    <w:p w14:paraId="34674F12">
      <w:pPr>
        <w:pStyle w:val="31"/>
        <w:numPr>
          <w:ilvl w:val="0"/>
          <w:numId w:val="0"/>
        </w:numPr>
        <w:spacing w:line="360" w:lineRule="auto"/>
        <w:ind w:leftChars="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满足业主提供的规模、功能及使用要求，做到功能实用，物流建筑标准化，整体效果现代化。</w:t>
      </w:r>
    </w:p>
    <w:p w14:paraId="4E25999B">
      <w:pPr>
        <w:pStyle w:val="31"/>
        <w:numPr>
          <w:ilvl w:val="0"/>
          <w:numId w:val="0"/>
        </w:numPr>
        <w:spacing w:line="360" w:lineRule="auto"/>
        <w:ind w:leftChars="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整体工程体现现代、简洁、动感、实用的建筑设计特点，多层次、多视角彰显建筑文化的内涵。</w:t>
      </w:r>
    </w:p>
    <w:p w14:paraId="55774160">
      <w:pPr>
        <w:pStyle w:val="31"/>
        <w:numPr>
          <w:ilvl w:val="0"/>
          <w:numId w:val="0"/>
        </w:numPr>
        <w:spacing w:line="360" w:lineRule="auto"/>
        <w:ind w:leftChars="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充分利用现有环境进行绿化和景观设计，构筑环保型物流园区。</w:t>
      </w:r>
    </w:p>
    <w:p w14:paraId="17AAE2C1">
      <w:pPr>
        <w:pStyle w:val="31"/>
        <w:numPr>
          <w:ilvl w:val="0"/>
          <w:numId w:val="0"/>
        </w:numPr>
        <w:spacing w:line="360" w:lineRule="auto"/>
        <w:ind w:leftChars="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结合冷藏库使用特点，满足生鲜食品进出库和贮藏的食品安全，达到冷链连续环节要求。</w:t>
      </w:r>
    </w:p>
    <w:p w14:paraId="5154D067">
      <w:pPr>
        <w:pStyle w:val="31"/>
        <w:numPr>
          <w:ilvl w:val="0"/>
          <w:numId w:val="0"/>
        </w:numPr>
        <w:spacing w:line="360" w:lineRule="auto"/>
        <w:ind w:leftChars="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加强节能降耗技术措施，对建筑、工艺、设备、系统等进行优化，采用国内外先进的工艺和设备，实现节能的目的。</w:t>
      </w:r>
    </w:p>
    <w:p w14:paraId="4D7B01CC">
      <w:pPr>
        <w:pStyle w:val="31"/>
        <w:numPr>
          <w:ilvl w:val="0"/>
          <w:numId w:val="0"/>
        </w:numPr>
        <w:spacing w:line="360" w:lineRule="auto"/>
        <w:ind w:leftChars="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兼顾工程造价的经济性，从结构选型和建筑的空间利用，以及建筑材料的使用都充分的体现建筑的经济合理性。同时提高性价比，达到投资合理和经济运行，体现现代冷链物流建筑的技术水平。</w:t>
      </w:r>
    </w:p>
    <w:p w14:paraId="5AA2F8F5">
      <w:pPr>
        <w:pStyle w:val="31"/>
        <w:numPr>
          <w:ilvl w:val="0"/>
          <w:numId w:val="0"/>
        </w:numPr>
        <w:spacing w:line="360" w:lineRule="auto"/>
        <w:ind w:left="0" w:leftChars="0" w:firstLine="0" w:firstLineChars="0"/>
        <w:outlineLvl w:val="3"/>
        <w:rPr>
          <w:rFonts w:hint="eastAsia" w:ascii="宋体" w:hAnsi="宋体" w:eastAsia="宋体" w:cs="宋体"/>
          <w:sz w:val="21"/>
          <w:szCs w:val="21"/>
          <w:lang w:val="en-US" w:eastAsia="zh-CN"/>
        </w:rPr>
      </w:pPr>
      <w:bookmarkStart w:id="1394" w:name="_Toc30631"/>
      <w:bookmarkStart w:id="1395" w:name="_Toc5574"/>
      <w:r>
        <w:rPr>
          <w:rFonts w:hint="eastAsia" w:ascii="宋体" w:hAnsi="宋体" w:eastAsia="宋体" w:cs="宋体"/>
          <w:sz w:val="21"/>
          <w:szCs w:val="21"/>
          <w:lang w:val="en-US" w:eastAsia="zh-CN"/>
        </w:rPr>
        <w:t>3.3.2指导思想</w:t>
      </w:r>
      <w:bookmarkEnd w:id="1394"/>
      <w:bookmarkEnd w:id="1395"/>
    </w:p>
    <w:p w14:paraId="1C5B4EF1">
      <w:pPr>
        <w:pStyle w:val="31"/>
        <w:numPr>
          <w:ilvl w:val="0"/>
          <w:numId w:val="0"/>
        </w:numPr>
        <w:spacing w:line="360" w:lineRule="auto"/>
        <w:ind w:leftChars="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依据国家政策，顺应市场需求，力求实现现代都市型农产品流通服务业的升级。同时有赖于雄厚而稳定的市场基础、优越的地理位置、便捷的交通，打造集商流、物流、信息流和资金流于一体的畅销中转平台、农产品流通的创新和示范中心。</w:t>
      </w:r>
    </w:p>
    <w:p w14:paraId="60EFBF0D">
      <w:pPr>
        <w:pStyle w:val="31"/>
        <w:numPr>
          <w:ilvl w:val="0"/>
          <w:numId w:val="0"/>
        </w:numPr>
        <w:spacing w:line="360" w:lineRule="auto"/>
        <w:ind w:leftChars="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在总体设计中贯彻“开放、交流、发展；生态、环保、节能；实用、经济、美观”的原则，努力营造仓储、物流企业的立体多功能空间。从而在总体上延续并提升企业经营管理的超前理念及未来发展目标方针。</w:t>
      </w:r>
    </w:p>
    <w:p w14:paraId="7F8BDAB1">
      <w:pPr>
        <w:pStyle w:val="31"/>
        <w:numPr>
          <w:ilvl w:val="0"/>
          <w:numId w:val="0"/>
        </w:numPr>
        <w:spacing w:line="360" w:lineRule="auto"/>
        <w:ind w:leftChars="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以业主的经营目标及发展战略为指导思想，坚持高起点、高技术、高质量，以使园区的建筑布局，建筑形式适应现代冷链物流业的发展需要。</w:t>
      </w:r>
    </w:p>
    <w:p w14:paraId="7B75EFA2">
      <w:pPr>
        <w:pStyle w:val="31"/>
        <w:numPr>
          <w:ilvl w:val="0"/>
          <w:numId w:val="0"/>
        </w:numPr>
        <w:spacing w:line="360" w:lineRule="auto"/>
        <w:ind w:left="0" w:leftChars="0" w:firstLine="0" w:firstLineChars="0"/>
        <w:outlineLvl w:val="2"/>
        <w:rPr>
          <w:rFonts w:hint="eastAsia" w:ascii="宋体" w:hAnsi="宋体" w:eastAsia="宋体" w:cs="宋体"/>
          <w:b/>
          <w:bCs/>
          <w:sz w:val="21"/>
          <w:szCs w:val="21"/>
          <w:lang w:val="en-US" w:eastAsia="zh-CN"/>
        </w:rPr>
      </w:pPr>
      <w:bookmarkStart w:id="1396" w:name="_Toc26283"/>
      <w:bookmarkStart w:id="1397" w:name="_Toc30035"/>
      <w:r>
        <w:rPr>
          <w:rFonts w:hint="eastAsia" w:ascii="宋体" w:hAnsi="宋体" w:eastAsia="宋体" w:cs="宋体"/>
          <w:b/>
          <w:bCs/>
          <w:sz w:val="21"/>
          <w:szCs w:val="21"/>
          <w:lang w:val="en-US" w:eastAsia="zh-CN"/>
        </w:rPr>
        <w:t>3.4总平面布置</w:t>
      </w:r>
      <w:bookmarkEnd w:id="1396"/>
      <w:bookmarkEnd w:id="1397"/>
    </w:p>
    <w:p w14:paraId="23B69614">
      <w:pPr>
        <w:pStyle w:val="31"/>
        <w:numPr>
          <w:ilvl w:val="0"/>
          <w:numId w:val="0"/>
        </w:numPr>
        <w:spacing w:line="360" w:lineRule="auto"/>
        <w:ind w:left="0" w:leftChars="0" w:firstLine="0" w:firstLineChars="0"/>
        <w:outlineLvl w:val="3"/>
        <w:rPr>
          <w:rFonts w:hint="eastAsia" w:ascii="宋体" w:hAnsi="宋体" w:eastAsia="宋体" w:cs="宋体"/>
          <w:b/>
          <w:bCs/>
          <w:sz w:val="21"/>
          <w:szCs w:val="21"/>
          <w:lang w:val="en-US" w:eastAsia="zh-CN"/>
        </w:rPr>
      </w:pPr>
      <w:bookmarkStart w:id="1398" w:name="_Toc15648"/>
      <w:bookmarkStart w:id="1399" w:name="_Toc19859"/>
      <w:r>
        <w:rPr>
          <w:rFonts w:hint="eastAsia" w:ascii="宋体" w:hAnsi="宋体" w:eastAsia="宋体" w:cs="宋体"/>
          <w:b/>
          <w:bCs/>
          <w:sz w:val="21"/>
          <w:szCs w:val="21"/>
          <w:lang w:val="en-US" w:eastAsia="zh-CN"/>
        </w:rPr>
        <w:t>3.4.1场地概述</w:t>
      </w:r>
      <w:bookmarkEnd w:id="1398"/>
      <w:bookmarkEnd w:id="1399"/>
    </w:p>
    <w:p w14:paraId="0DA25C5C">
      <w:pPr>
        <w:pStyle w:val="31"/>
        <w:numPr>
          <w:ilvl w:val="0"/>
          <w:numId w:val="0"/>
        </w:numPr>
        <w:spacing w:line="360" w:lineRule="auto"/>
        <w:ind w:leftChars="0"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蒙自(新亚太)零碳智慧冷链物流产业园区项目(原云南新亚太物流港)位于云南省红河州蒙自国家级经济技术开发区。</w:t>
      </w:r>
      <w:r>
        <w:rPr>
          <w:rFonts w:hint="eastAsia" w:ascii="宋体" w:hAnsi="宋体" w:eastAsia="宋体" w:cs="宋体"/>
          <w:sz w:val="21"/>
          <w:szCs w:val="21"/>
          <w:lang w:val="en-US" w:eastAsia="zh-CN"/>
        </w:rPr>
        <w:t>项目计划用地 159.7 亩106448.39 平方米。所有土地已获建设用地规划许可证，其中：142.4 亩 94927.26 平方米土地，持有国有建设用地使用权证，土地用途：其他商服用地。17.30 亩11,521.13 平方米土地为集体用地（办理出让中）</w:t>
      </w:r>
      <w:r>
        <w:rPr>
          <w:rFonts w:hint="default" w:ascii="宋体" w:hAnsi="宋体" w:eastAsia="宋体" w:cs="宋体"/>
          <w:sz w:val="21"/>
          <w:szCs w:val="21"/>
          <w:lang w:val="en-US" w:eastAsia="zh-CN"/>
        </w:rPr>
        <w:t>。</w:t>
      </w:r>
    </w:p>
    <w:p w14:paraId="7F1E74CE">
      <w:pPr>
        <w:pStyle w:val="31"/>
        <w:numPr>
          <w:ilvl w:val="0"/>
          <w:numId w:val="0"/>
        </w:numPr>
        <w:spacing w:line="360" w:lineRule="auto"/>
        <w:ind w:left="0" w:leftChars="0" w:firstLine="0" w:firstLineChars="0"/>
        <w:outlineLvl w:val="3"/>
        <w:rPr>
          <w:rFonts w:hint="default" w:ascii="宋体" w:hAnsi="宋体" w:eastAsia="宋体" w:cs="宋体"/>
          <w:sz w:val="21"/>
          <w:szCs w:val="21"/>
          <w:lang w:val="en-US" w:eastAsia="zh-CN"/>
        </w:rPr>
      </w:pPr>
      <w:bookmarkStart w:id="1400" w:name="_Toc31088"/>
      <w:bookmarkStart w:id="1401" w:name="_Toc5264"/>
      <w:r>
        <w:rPr>
          <w:rFonts w:hint="eastAsia" w:ascii="宋体" w:hAnsi="宋体" w:eastAsia="宋体" w:cs="宋体"/>
          <w:b/>
          <w:bCs/>
          <w:sz w:val="21"/>
          <w:szCs w:val="21"/>
          <w:lang w:val="en-US" w:eastAsia="zh-CN"/>
        </w:rPr>
        <w:t>3.4.2功能分区</w:t>
      </w:r>
      <w:bookmarkEnd w:id="1400"/>
      <w:bookmarkEnd w:id="1401"/>
    </w:p>
    <w:p w14:paraId="708A6FDB">
      <w:pPr>
        <w:pStyle w:val="31"/>
        <w:numPr>
          <w:ilvl w:val="0"/>
          <w:numId w:val="0"/>
        </w:numPr>
        <w:spacing w:line="360" w:lineRule="auto"/>
        <w:ind w:leftChars="0" w:firstLine="420" w:firstLineChars="20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一期建设用地：126.</w:t>
      </w:r>
      <w:r>
        <w:rPr>
          <w:rFonts w:hint="eastAsia" w:ascii="宋体" w:hAnsi="宋体" w:eastAsia="宋体" w:cs="宋体"/>
          <w:sz w:val="21"/>
          <w:szCs w:val="21"/>
          <w:lang w:val="en-US" w:eastAsia="zh-CN"/>
        </w:rPr>
        <w:t>791</w:t>
      </w:r>
      <w:r>
        <w:rPr>
          <w:rFonts w:hint="default" w:ascii="宋体" w:hAnsi="宋体" w:eastAsia="宋体" w:cs="宋体"/>
          <w:sz w:val="21"/>
          <w:szCs w:val="21"/>
          <w:lang w:val="en-US" w:eastAsia="zh-CN"/>
        </w:rPr>
        <w:t xml:space="preserve"> 亩 </w:t>
      </w:r>
      <w:r>
        <w:rPr>
          <w:rFonts w:hint="eastAsia" w:ascii="宋体" w:hAnsi="宋体" w:eastAsia="宋体" w:cs="宋体"/>
          <w:sz w:val="21"/>
          <w:szCs w:val="21"/>
          <w:lang w:val="en-US" w:eastAsia="zh-CN"/>
        </w:rPr>
        <w:t>84527.588</w:t>
      </w:r>
      <w:r>
        <w:rPr>
          <w:rFonts w:hint="default" w:ascii="宋体" w:hAnsi="宋体" w:eastAsia="宋体" w:cs="宋体"/>
          <w:sz w:val="21"/>
          <w:szCs w:val="21"/>
          <w:lang w:val="en-US" w:eastAsia="zh-CN"/>
        </w:rPr>
        <w:t xml:space="preserve"> 平方米（其他商服用地）2.7</w:t>
      </w:r>
      <w:r>
        <w:rPr>
          <w:rFonts w:hint="eastAsia" w:ascii="宋体" w:hAnsi="宋体" w:eastAsia="宋体" w:cs="宋体"/>
          <w:sz w:val="21"/>
          <w:szCs w:val="21"/>
          <w:lang w:val="en-US" w:eastAsia="zh-CN"/>
        </w:rPr>
        <w:t>44</w:t>
      </w:r>
      <w:r>
        <w:rPr>
          <w:rFonts w:hint="default" w:ascii="宋体" w:hAnsi="宋体" w:eastAsia="宋体" w:cs="宋体"/>
          <w:sz w:val="21"/>
          <w:szCs w:val="21"/>
          <w:lang w:val="en-US" w:eastAsia="zh-CN"/>
        </w:rPr>
        <w:t>亩 1,829.68 平方米（住宅用地）。</w:t>
      </w:r>
    </w:p>
    <w:p w14:paraId="7E96A875">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default" w:ascii="宋体" w:hAnsi="宋体" w:eastAsia="宋体" w:cs="宋体"/>
          <w:sz w:val="21"/>
          <w:szCs w:val="21"/>
          <w:lang w:val="en-US" w:eastAsia="zh-CN"/>
        </w:rPr>
        <w:t>二期建设用地：12.8</w:t>
      </w:r>
      <w:r>
        <w:rPr>
          <w:rFonts w:hint="eastAsia" w:ascii="宋体" w:hAnsi="宋体" w:eastAsia="宋体" w:cs="宋体"/>
          <w:sz w:val="21"/>
          <w:szCs w:val="21"/>
          <w:lang w:val="en-US" w:eastAsia="zh-CN"/>
        </w:rPr>
        <w:t>55</w:t>
      </w:r>
      <w:r>
        <w:rPr>
          <w:rFonts w:hint="default" w:ascii="宋体" w:hAnsi="宋体" w:eastAsia="宋体" w:cs="宋体"/>
          <w:sz w:val="21"/>
          <w:szCs w:val="21"/>
          <w:lang w:val="en-US" w:eastAsia="zh-CN"/>
        </w:rPr>
        <w:t xml:space="preserve"> 亩 </w:t>
      </w:r>
      <w:r>
        <w:rPr>
          <w:rFonts w:hint="eastAsia" w:ascii="宋体" w:hAnsi="宋体" w:eastAsia="宋体" w:cs="宋体"/>
          <w:sz w:val="21"/>
          <w:szCs w:val="21"/>
          <w:lang w:val="en-US" w:eastAsia="zh-CN"/>
        </w:rPr>
        <w:t>8569.995</w:t>
      </w:r>
      <w:r>
        <w:rPr>
          <w:rFonts w:hint="default" w:ascii="宋体" w:hAnsi="宋体" w:eastAsia="宋体" w:cs="宋体"/>
          <w:sz w:val="21"/>
          <w:szCs w:val="21"/>
          <w:lang w:val="en-US" w:eastAsia="zh-CN"/>
        </w:rPr>
        <w:t xml:space="preserve"> 平方米（其他商服用地）和 17.30亩 11,521.13 平方米</w:t>
      </w:r>
      <w:r>
        <w:rPr>
          <w:rFonts w:hint="eastAsia" w:ascii="宋体" w:hAnsi="宋体" w:eastAsia="宋体" w:cs="宋体"/>
          <w:sz w:val="21"/>
          <w:szCs w:val="21"/>
          <w:lang w:val="en-US" w:eastAsia="zh-CN"/>
        </w:rPr>
        <w:t>。</w:t>
      </w:r>
    </w:p>
    <w:p w14:paraId="4344274A">
      <w:pPr>
        <w:pStyle w:val="31"/>
        <w:numPr>
          <w:ilvl w:val="0"/>
          <w:numId w:val="0"/>
        </w:numPr>
        <w:spacing w:line="360" w:lineRule="auto"/>
        <w:ind w:left="0" w:leftChars="0" w:firstLine="0" w:firstLineChars="0"/>
        <w:outlineLvl w:val="3"/>
        <w:rPr>
          <w:rFonts w:hint="eastAsia" w:ascii="宋体" w:hAnsi="宋体" w:eastAsia="宋体" w:cs="宋体"/>
          <w:b/>
          <w:bCs/>
          <w:sz w:val="21"/>
          <w:szCs w:val="21"/>
          <w:lang w:val="en-US" w:eastAsia="zh-CN"/>
        </w:rPr>
      </w:pPr>
      <w:bookmarkStart w:id="1402" w:name="_Toc7888"/>
      <w:bookmarkStart w:id="1403" w:name="_Toc6953"/>
      <w:r>
        <w:rPr>
          <w:rFonts w:hint="eastAsia" w:ascii="宋体" w:hAnsi="宋体" w:eastAsia="宋体" w:cs="宋体"/>
          <w:b/>
          <w:bCs/>
          <w:sz w:val="21"/>
          <w:szCs w:val="21"/>
          <w:lang w:val="en-US" w:eastAsia="zh-CN"/>
        </w:rPr>
        <w:t>3.4.3交通组织</w:t>
      </w:r>
      <w:bookmarkEnd w:id="1402"/>
      <w:bookmarkEnd w:id="1403"/>
    </w:p>
    <w:p w14:paraId="51CD0415">
      <w:pPr>
        <w:pStyle w:val="31"/>
        <w:numPr>
          <w:ilvl w:val="0"/>
          <w:numId w:val="0"/>
        </w:numPr>
        <w:spacing w:line="360" w:lineRule="auto"/>
        <w:ind w:leftChars="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交通顺畅是保证物流园区快速运转、提高效率的重要因素。</w:t>
      </w:r>
    </w:p>
    <w:p w14:paraId="71133428">
      <w:pPr>
        <w:pStyle w:val="31"/>
        <w:numPr>
          <w:ilvl w:val="0"/>
          <w:numId w:val="0"/>
        </w:numPr>
        <w:spacing w:line="360" w:lineRule="auto"/>
        <w:ind w:leftChars="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根据人流、车流、货流的实际流向，园区共设置了 3 个出入口，包括 1 个主要出入口（园区西侧），2个次要出入口（园区北侧东侧）。出入口设置与园区内的道路紧密结合，满足园区的使用。</w:t>
      </w:r>
    </w:p>
    <w:p w14:paraId="26E3955D">
      <w:pPr>
        <w:pStyle w:val="31"/>
        <w:numPr>
          <w:ilvl w:val="0"/>
          <w:numId w:val="0"/>
        </w:numPr>
        <w:spacing w:line="360" w:lineRule="auto"/>
        <w:ind w:leftChars="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对于大型冷库及交易市场类场区，其内部有高容量的各类交通工具，本设计拟通过以下方案缓解其高强的交通压力：</w:t>
      </w:r>
    </w:p>
    <w:p w14:paraId="05C744E1">
      <w:pPr>
        <w:pStyle w:val="31"/>
        <w:numPr>
          <w:ilvl w:val="0"/>
          <w:numId w:val="0"/>
        </w:numPr>
        <w:spacing w:line="360" w:lineRule="auto"/>
        <w:ind w:leftChars="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主要道路宽10m以上，双向两车道，沿建筑物环形布置，各单体建筑用道路和回车场连接，形成消防环路。</w:t>
      </w:r>
    </w:p>
    <w:p w14:paraId="2063E4CA">
      <w:pPr>
        <w:pStyle w:val="31"/>
        <w:numPr>
          <w:ilvl w:val="0"/>
          <w:numId w:val="0"/>
        </w:numPr>
        <w:spacing w:line="360" w:lineRule="auto"/>
        <w:ind w:leftChars="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冷库设单面站台，设大面积冷库用回车场，回车场为 50 米宽，东西贯通，供各接收区、发货区、交易区停车、回车使用，方便货物的进出、配送及交易。</w:t>
      </w:r>
    </w:p>
    <w:p w14:paraId="674F74CC">
      <w:pPr>
        <w:pStyle w:val="31"/>
        <w:numPr>
          <w:ilvl w:val="0"/>
          <w:numId w:val="0"/>
        </w:numPr>
        <w:spacing w:line="360" w:lineRule="auto"/>
        <w:ind w:leftChars="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另外，消防流线贯穿在场区的交通体系中，便捷通畅。</w:t>
      </w:r>
    </w:p>
    <w:p w14:paraId="45FC9608">
      <w:pPr>
        <w:pStyle w:val="31"/>
        <w:numPr>
          <w:ilvl w:val="0"/>
          <w:numId w:val="0"/>
        </w:numPr>
        <w:spacing w:line="360" w:lineRule="auto"/>
        <w:ind w:left="0" w:leftChars="0" w:firstLine="0" w:firstLineChars="0"/>
        <w:outlineLvl w:val="3"/>
        <w:rPr>
          <w:rFonts w:hint="default" w:ascii="宋体" w:hAnsi="宋体" w:eastAsia="宋体" w:cs="宋体"/>
          <w:sz w:val="21"/>
          <w:szCs w:val="21"/>
          <w:lang w:val="en-US" w:eastAsia="zh-CN"/>
        </w:rPr>
      </w:pPr>
      <w:bookmarkStart w:id="1404" w:name="_Toc5049"/>
      <w:bookmarkStart w:id="1405" w:name="_Toc21586"/>
      <w:r>
        <w:rPr>
          <w:rFonts w:hint="eastAsia" w:ascii="宋体" w:hAnsi="宋体" w:eastAsia="宋体" w:cs="宋体"/>
          <w:b/>
          <w:bCs/>
          <w:sz w:val="21"/>
          <w:szCs w:val="21"/>
          <w:lang w:val="en-US" w:eastAsia="zh-CN"/>
        </w:rPr>
        <w:t>3.4.4竖向设计</w:t>
      </w:r>
      <w:bookmarkEnd w:id="1404"/>
      <w:bookmarkEnd w:id="1405"/>
    </w:p>
    <w:p w14:paraId="18528731">
      <w:pPr>
        <w:pStyle w:val="31"/>
        <w:numPr>
          <w:ilvl w:val="0"/>
          <w:numId w:val="0"/>
        </w:numPr>
        <w:spacing w:line="360" w:lineRule="auto"/>
        <w:ind w:leftChars="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拟结合场地状况，采用平坡式布置方式，地表雨水采用有组织排除。</w:t>
      </w:r>
    </w:p>
    <w:p w14:paraId="78A6E36E">
      <w:pPr>
        <w:pStyle w:val="31"/>
        <w:numPr>
          <w:ilvl w:val="0"/>
          <w:numId w:val="0"/>
        </w:numPr>
        <w:spacing w:line="360" w:lineRule="auto"/>
        <w:ind w:left="0" w:leftChars="0" w:firstLine="0" w:firstLineChars="0"/>
        <w:outlineLvl w:val="3"/>
        <w:rPr>
          <w:rFonts w:hint="default" w:ascii="宋体" w:hAnsi="宋体" w:eastAsia="宋体" w:cs="宋体"/>
          <w:sz w:val="21"/>
          <w:szCs w:val="21"/>
          <w:lang w:val="en-US" w:eastAsia="zh-CN"/>
        </w:rPr>
      </w:pPr>
      <w:bookmarkStart w:id="1406" w:name="_Toc9742"/>
      <w:bookmarkStart w:id="1407" w:name="_Toc9963"/>
      <w:r>
        <w:rPr>
          <w:rFonts w:hint="eastAsia" w:ascii="宋体" w:hAnsi="宋体" w:eastAsia="宋体" w:cs="宋体"/>
          <w:b/>
          <w:bCs/>
          <w:sz w:val="21"/>
          <w:szCs w:val="21"/>
          <w:lang w:val="en-US" w:eastAsia="zh-CN"/>
        </w:rPr>
        <w:t>3.4.5绿化与景观</w:t>
      </w:r>
      <w:bookmarkEnd w:id="1406"/>
      <w:bookmarkEnd w:id="1407"/>
    </w:p>
    <w:p w14:paraId="43AAD1DB">
      <w:pPr>
        <w:pStyle w:val="31"/>
        <w:numPr>
          <w:ilvl w:val="0"/>
          <w:numId w:val="0"/>
        </w:numPr>
        <w:spacing w:line="360" w:lineRule="auto"/>
        <w:ind w:leftChars="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结合大型冷库、交易市场的特点，在场地主入口处、停车位周边进行集中绿化布置；除此以外，充分利用场地周边及场地内建筑四周零星地段进行绿化。以此点片结合，利用花坛、绿植、草坪、小品等园林处理手法，力求营造宜人的场区环境。</w:t>
      </w:r>
    </w:p>
    <w:p w14:paraId="3496FC7B">
      <w:pPr>
        <w:pStyle w:val="31"/>
        <w:numPr>
          <w:ilvl w:val="0"/>
          <w:numId w:val="0"/>
        </w:numPr>
        <w:spacing w:line="360" w:lineRule="auto"/>
        <w:ind w:left="0" w:leftChars="0" w:firstLine="0" w:firstLineChars="0"/>
        <w:outlineLvl w:val="3"/>
        <w:rPr>
          <w:rFonts w:hint="eastAsia" w:ascii="宋体" w:hAnsi="宋体" w:eastAsia="宋体" w:cs="宋体"/>
          <w:b/>
          <w:bCs/>
          <w:sz w:val="21"/>
          <w:szCs w:val="21"/>
          <w:lang w:val="en-US" w:eastAsia="zh-CN"/>
        </w:rPr>
      </w:pPr>
      <w:bookmarkStart w:id="1408" w:name="_Toc31565"/>
      <w:r>
        <w:rPr>
          <w:rFonts w:hint="eastAsia" w:ascii="宋体" w:hAnsi="宋体" w:eastAsia="宋体" w:cs="宋体"/>
          <w:b/>
          <w:bCs/>
          <w:sz w:val="21"/>
          <w:szCs w:val="21"/>
          <w:lang w:val="en-US" w:eastAsia="zh-CN"/>
        </w:rPr>
        <w:t>3.4.6平面设计构思</w:t>
      </w:r>
      <w:bookmarkEnd w:id="1408"/>
    </w:p>
    <w:p w14:paraId="33CFA363">
      <w:pPr>
        <w:pStyle w:val="31"/>
        <w:numPr>
          <w:ilvl w:val="0"/>
          <w:numId w:val="0"/>
        </w:numPr>
        <w:spacing w:line="360" w:lineRule="auto"/>
        <w:ind w:leftChars="0" w:firstLine="420" w:firstLineChars="200"/>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园区初步计划两栋冷库，一栋分拣加工中心、一栋集采集配区及现代服务区。合计总库容量≧10万吨，需合理划分高温库、中温库、低温库及超低温库，满足本项目可行性研究报告整体要求。一层柱网间距划分不得小于10m、二层柱网间距划分不得小于20m。合理采用智慧货架及高架立体库方式储存。</w:t>
      </w:r>
    </w:p>
    <w:p w14:paraId="7AFCF62F">
      <w:pPr>
        <w:pStyle w:val="31"/>
        <w:numPr>
          <w:ilvl w:val="0"/>
          <w:numId w:val="0"/>
        </w:numPr>
        <w:spacing w:line="360" w:lineRule="auto"/>
        <w:ind w:left="0" w:leftChars="0" w:firstLine="0" w:firstLineChars="0"/>
        <w:outlineLvl w:val="1"/>
        <w:rPr>
          <w:rFonts w:hint="eastAsia" w:ascii="宋体" w:hAnsi="宋体" w:eastAsia="宋体" w:cs="宋体"/>
          <w:b/>
          <w:bCs/>
          <w:sz w:val="21"/>
          <w:szCs w:val="21"/>
          <w:lang w:val="en-US" w:eastAsia="zh-CN"/>
        </w:rPr>
      </w:pPr>
      <w:bookmarkStart w:id="1409" w:name="_Toc12313"/>
      <w:bookmarkStart w:id="1410" w:name="_Toc30859"/>
      <w:r>
        <w:rPr>
          <w:rFonts w:hint="eastAsia" w:ascii="宋体" w:hAnsi="宋体" w:eastAsia="宋体" w:cs="宋体"/>
          <w:b/>
          <w:bCs/>
          <w:sz w:val="21"/>
          <w:szCs w:val="21"/>
          <w:lang w:val="en-US" w:eastAsia="zh-CN"/>
        </w:rPr>
        <w:t>4结构设计</w:t>
      </w:r>
      <w:bookmarkEnd w:id="1409"/>
      <w:bookmarkEnd w:id="1410"/>
    </w:p>
    <w:p w14:paraId="60DF6129">
      <w:pPr>
        <w:pStyle w:val="31"/>
        <w:numPr>
          <w:ilvl w:val="0"/>
          <w:numId w:val="0"/>
        </w:numPr>
        <w:spacing w:line="360" w:lineRule="auto"/>
        <w:ind w:left="0" w:leftChars="0" w:firstLine="0" w:firstLineChars="0"/>
        <w:outlineLvl w:val="2"/>
        <w:rPr>
          <w:rFonts w:hint="eastAsia" w:ascii="宋体" w:hAnsi="宋体" w:eastAsia="宋体" w:cs="宋体"/>
          <w:b/>
          <w:bCs/>
          <w:sz w:val="21"/>
          <w:szCs w:val="21"/>
          <w:lang w:val="en-US" w:eastAsia="zh-CN"/>
        </w:rPr>
      </w:pPr>
      <w:bookmarkStart w:id="1411" w:name="_Toc25811"/>
      <w:bookmarkStart w:id="1412" w:name="_Toc13872"/>
      <w:r>
        <w:rPr>
          <w:rFonts w:hint="eastAsia" w:ascii="宋体" w:hAnsi="宋体" w:eastAsia="宋体" w:cs="宋体"/>
          <w:b/>
          <w:bCs/>
          <w:sz w:val="21"/>
          <w:szCs w:val="21"/>
          <w:lang w:val="en-US" w:eastAsia="zh-CN"/>
        </w:rPr>
        <w:t>4.1总则</w:t>
      </w:r>
      <w:bookmarkEnd w:id="1411"/>
      <w:bookmarkEnd w:id="1412"/>
    </w:p>
    <w:p w14:paraId="2C7BAB2A">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4.1.1结构设计按现行国家及地方相关设计规范、规程、标准及规定进行。</w:t>
      </w:r>
    </w:p>
    <w:p w14:paraId="5A743D30">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4.1.2结构方案应合理，设计应兼顾质量与成本，在保证结构安全的前提下力求节约。</w:t>
      </w:r>
    </w:p>
    <w:p w14:paraId="307DAE1E">
      <w:pPr>
        <w:pStyle w:val="31"/>
        <w:numPr>
          <w:ilvl w:val="0"/>
          <w:numId w:val="0"/>
        </w:numPr>
        <w:spacing w:line="360" w:lineRule="auto"/>
        <w:ind w:left="0" w:leftChars="0" w:firstLine="0" w:firstLineChars="0"/>
        <w:outlineLvl w:val="2"/>
        <w:rPr>
          <w:rFonts w:hint="eastAsia" w:ascii="宋体" w:hAnsi="宋体" w:eastAsia="宋体" w:cs="宋体"/>
          <w:b/>
          <w:bCs/>
          <w:sz w:val="21"/>
          <w:szCs w:val="21"/>
          <w:lang w:val="en-US" w:eastAsia="zh-CN"/>
        </w:rPr>
      </w:pPr>
      <w:bookmarkStart w:id="1413" w:name="_Toc18313"/>
      <w:bookmarkStart w:id="1414" w:name="_Toc8997"/>
      <w:r>
        <w:rPr>
          <w:rFonts w:hint="eastAsia" w:ascii="宋体" w:hAnsi="宋体" w:eastAsia="宋体" w:cs="宋体"/>
          <w:b/>
          <w:bCs/>
          <w:sz w:val="21"/>
          <w:szCs w:val="21"/>
          <w:lang w:val="en-US" w:eastAsia="zh-CN"/>
        </w:rPr>
        <w:t>4.2技术要求</w:t>
      </w:r>
      <w:bookmarkEnd w:id="1413"/>
      <w:bookmarkEnd w:id="1414"/>
    </w:p>
    <w:p w14:paraId="08786821">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（1）设计合理使用年限：主体结构 50 年。建筑结构的安全等级为：二级。</w:t>
      </w:r>
    </w:p>
    <w:p w14:paraId="7D4799C5">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（2）基本风压 Wo＝0.35kN/m2（n=50 年）。</w:t>
      </w:r>
    </w:p>
    <w:p w14:paraId="3BDEC3F3">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（3）抗震设防烈度为 7 度,设计地震分组：第三组。</w:t>
      </w:r>
    </w:p>
    <w:p w14:paraId="74A790BB">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（4）场地类别：待勘察报告提供后确定。特征周期：待勘察报告提供后确定。</w:t>
      </w:r>
    </w:p>
    <w:p w14:paraId="481CAEB1">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（5）场地的工程地质条件待勘察报告提供后确定。</w:t>
      </w:r>
    </w:p>
    <w:p w14:paraId="0CA844AA">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（6）本工程结构设计执行的主要国家和地区规范、规程、标准。</w:t>
      </w:r>
    </w:p>
    <w:p w14:paraId="7CB437DC">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《建筑结构可靠性设计统一标准》（GB50068-2018）</w:t>
      </w:r>
    </w:p>
    <w:p w14:paraId="0258DE42">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《建筑工程抗震设防分类标准》（GB50223-2008）</w:t>
      </w:r>
    </w:p>
    <w:p w14:paraId="66761F88">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《建筑结构荷载规范》（GB50009-2012）</w:t>
      </w:r>
    </w:p>
    <w:p w14:paraId="0A9FDBBB">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《建筑抗震设计标准》（GB/T50011-2010）（2024年版）</w:t>
      </w:r>
    </w:p>
    <w:p w14:paraId="5EB6DAF9">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《冷库设计标准》（GB50072-2021）</w:t>
      </w:r>
    </w:p>
    <w:p w14:paraId="66F829E0">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《建筑地基基础设计规范》（GB50007-2011）</w:t>
      </w:r>
    </w:p>
    <w:p w14:paraId="1BD8C139">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《建筑地基处理技术规范》（JGJ 79-2012）</w:t>
      </w:r>
    </w:p>
    <w:p w14:paraId="541DE322">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《混凝土结构设计标准》（GB/T50010-2010）（2024 年版）</w:t>
      </w:r>
    </w:p>
    <w:p w14:paraId="17F0C2CD">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《钢结构设计标准》（GB50017-2017）</w:t>
      </w:r>
    </w:p>
    <w:p w14:paraId="4F808B63">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《砌体结构设计规范》（GB50003-2011）</w:t>
      </w:r>
    </w:p>
    <w:p w14:paraId="3D786325">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《岩土工程勘察规范》（GB50021-2001）（2009 年版）</w:t>
      </w:r>
    </w:p>
    <w:p w14:paraId="30FA4E09">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《建筑设计防火规范》（</w:t>
      </w:r>
      <w:r>
        <w:rPr>
          <w:rFonts w:hint="eastAsia" w:ascii="宋体" w:hAnsi="宋体" w:eastAsia="宋体" w:cs="宋体"/>
          <w:sz w:val="21"/>
          <w:szCs w:val="21"/>
          <w:lang w:val="en-US" w:eastAsia="zh-CN"/>
        </w:rPr>
        <w:fldChar w:fldCharType="begin"/>
      </w:r>
      <w:r>
        <w:rPr>
          <w:rFonts w:hint="eastAsia" w:ascii="宋体" w:hAnsi="宋体" w:eastAsia="宋体" w:cs="宋体"/>
          <w:sz w:val="21"/>
          <w:szCs w:val="21"/>
          <w:lang w:val="en-US" w:eastAsia="zh-CN"/>
        </w:rPr>
        <w:instrText xml:space="preserve"> HYPERLINK "http://www.baidu.com/link?url=QWea81l8wHugbMjhl5NpWu45uWafjaxLzxo4QbRo3pUzFlEr3kaG-mGASkpPhBH0JRsJAa0T5ixeu52HXHwaCq" \h </w:instrText>
      </w:r>
      <w:r>
        <w:rPr>
          <w:rFonts w:hint="eastAsia" w:ascii="宋体" w:hAnsi="宋体" w:eastAsia="宋体" w:cs="宋体"/>
          <w:sz w:val="21"/>
          <w:szCs w:val="21"/>
          <w:lang w:val="en-US" w:eastAsia="zh-CN"/>
        </w:rPr>
        <w:fldChar w:fldCharType="separate"/>
      </w:r>
      <w:r>
        <w:rPr>
          <w:rFonts w:hint="eastAsia" w:ascii="宋体" w:hAnsi="宋体" w:eastAsia="宋体" w:cs="宋体"/>
          <w:sz w:val="21"/>
          <w:szCs w:val="21"/>
          <w:lang w:val="en-US" w:eastAsia="zh-CN"/>
        </w:rPr>
        <w:t>GB50016-2014)</w:t>
      </w:r>
      <w:r>
        <w:rPr>
          <w:rFonts w:hint="eastAsia" w:ascii="宋体" w:hAnsi="宋体" w:eastAsia="宋体" w:cs="宋体"/>
          <w:sz w:val="21"/>
          <w:szCs w:val="21"/>
          <w:lang w:val="en-US" w:eastAsia="zh-CN"/>
        </w:rPr>
        <w:fldChar w:fldCharType="end"/>
      </w:r>
      <w:r>
        <w:rPr>
          <w:rFonts w:hint="eastAsia" w:ascii="宋体" w:hAnsi="宋体" w:eastAsia="宋体" w:cs="宋体"/>
          <w:sz w:val="21"/>
          <w:szCs w:val="21"/>
          <w:lang w:val="en-US" w:eastAsia="zh-CN"/>
        </w:rPr>
        <w:t>（2018 年版）</w:t>
      </w:r>
    </w:p>
    <w:p w14:paraId="1258275C">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《地下工程防水技术规范》（GB50108-2008）</w:t>
      </w:r>
    </w:p>
    <w:p w14:paraId="08F3DA3B">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《工业建筑防腐蚀设计标准》（GB/T50046-2018）</w:t>
      </w:r>
    </w:p>
    <w:p w14:paraId="20ED0EC1">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《门式刚架轻型房屋钢结构技术规范》(GB51022-2015)</w:t>
      </w:r>
    </w:p>
    <w:p w14:paraId="2F9C57BB">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《建筑工程设计文件编制深度规定》</w:t>
      </w:r>
    </w:p>
    <w:p w14:paraId="6ABD9985">
      <w:pPr>
        <w:pStyle w:val="31"/>
        <w:numPr>
          <w:ilvl w:val="0"/>
          <w:numId w:val="0"/>
        </w:numPr>
        <w:spacing w:line="360" w:lineRule="auto"/>
        <w:ind w:left="0" w:leftChars="0" w:firstLine="0" w:firstLineChars="0"/>
        <w:outlineLvl w:val="2"/>
        <w:rPr>
          <w:rFonts w:hint="eastAsia" w:ascii="宋体" w:hAnsi="宋体" w:eastAsia="宋体" w:cs="宋体"/>
          <w:b/>
          <w:bCs/>
          <w:sz w:val="21"/>
          <w:szCs w:val="21"/>
          <w:lang w:val="en-US" w:eastAsia="zh-CN"/>
        </w:rPr>
      </w:pPr>
      <w:bookmarkStart w:id="1415" w:name="_Toc6353"/>
      <w:bookmarkStart w:id="1416" w:name="_Toc4383"/>
      <w:r>
        <w:rPr>
          <w:rFonts w:hint="eastAsia" w:ascii="宋体" w:hAnsi="宋体" w:eastAsia="宋体" w:cs="宋体"/>
          <w:b/>
          <w:bCs/>
          <w:sz w:val="21"/>
          <w:szCs w:val="21"/>
          <w:lang w:val="en-US" w:eastAsia="zh-CN"/>
        </w:rPr>
        <w:t>4.3建筑结构方案</w:t>
      </w:r>
      <w:bookmarkEnd w:id="1415"/>
      <w:bookmarkEnd w:id="1416"/>
    </w:p>
    <w:p w14:paraId="168A24FC">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（1）建筑分类等级</w:t>
      </w:r>
    </w:p>
    <w:p w14:paraId="20EF9407">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建筑结构安全等级为二级。</w:t>
      </w:r>
    </w:p>
    <w:p w14:paraId="39A3E6B9">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建筑抗震设防类别：标准设防类（丙类）。</w:t>
      </w:r>
    </w:p>
    <w:p w14:paraId="49177B35">
      <w:pPr>
        <w:pStyle w:val="31"/>
        <w:numPr>
          <w:ilvl w:val="0"/>
          <w:numId w:val="0"/>
        </w:numPr>
        <w:spacing w:line="36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钢筋混凝土结构的抗震等级：三级。建筑物耐火等级：二级。</w:t>
      </w:r>
    </w:p>
    <w:p w14:paraId="6D44728F">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（2）建筑物防震缝与伸缩缝统一布置，其缝宽不小于 100mm，并按《建筑抗震设计标准》（GB/T50011-2010）第 6.1.4 条确定各结构单元的防震缝宽度。</w:t>
      </w:r>
    </w:p>
    <w:p w14:paraId="2AE9EA71">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（3）各单体建筑物的基础、墙、柱、梁的截面及配筋将按结构分析计算结果确定。结构的底部嵌固位置取至基础顶面。</w:t>
      </w:r>
    </w:p>
    <w:p w14:paraId="1ABCC2E6">
      <w:pPr>
        <w:pStyle w:val="31"/>
        <w:numPr>
          <w:ilvl w:val="0"/>
          <w:numId w:val="0"/>
        </w:numPr>
        <w:spacing w:line="360" w:lineRule="auto"/>
        <w:ind w:left="0" w:leftChars="0" w:firstLine="0" w:firstLineChars="0"/>
        <w:outlineLvl w:val="2"/>
        <w:rPr>
          <w:rFonts w:hint="eastAsia" w:ascii="宋体" w:hAnsi="宋体" w:eastAsia="宋体" w:cs="宋体"/>
          <w:b/>
          <w:bCs/>
          <w:sz w:val="21"/>
          <w:szCs w:val="21"/>
          <w:lang w:val="en-US" w:eastAsia="zh-CN"/>
        </w:rPr>
      </w:pPr>
      <w:bookmarkStart w:id="1417" w:name="_Toc1130"/>
      <w:bookmarkStart w:id="1418" w:name="_Toc29963"/>
      <w:r>
        <w:rPr>
          <w:rFonts w:hint="eastAsia" w:ascii="宋体" w:hAnsi="宋体" w:eastAsia="宋体" w:cs="宋体"/>
          <w:b/>
          <w:bCs/>
          <w:sz w:val="21"/>
          <w:szCs w:val="21"/>
          <w:lang w:val="en-US" w:eastAsia="zh-CN"/>
        </w:rPr>
        <w:t>4.4主要结构材料</w:t>
      </w:r>
      <w:bookmarkEnd w:id="1417"/>
      <w:bookmarkEnd w:id="1418"/>
    </w:p>
    <w:p w14:paraId="199A6D09">
      <w:pPr>
        <w:pStyle w:val="31"/>
        <w:numPr>
          <w:ilvl w:val="0"/>
          <w:numId w:val="0"/>
        </w:numPr>
        <w:spacing w:line="360" w:lineRule="auto"/>
        <w:ind w:left="0" w:leftChars="0" w:firstLine="0" w:firstLineChars="0"/>
        <w:outlineLvl w:val="3"/>
        <w:rPr>
          <w:rFonts w:hint="eastAsia" w:ascii="宋体" w:hAnsi="宋体" w:eastAsia="宋体" w:cs="宋体"/>
          <w:sz w:val="21"/>
          <w:szCs w:val="21"/>
          <w:lang w:val="en-US" w:eastAsia="zh-CN"/>
        </w:rPr>
      </w:pPr>
      <w:bookmarkStart w:id="1419" w:name="_Toc1454"/>
      <w:bookmarkStart w:id="1420" w:name="_Toc5374"/>
      <w:r>
        <w:rPr>
          <w:rFonts w:hint="eastAsia" w:ascii="宋体" w:hAnsi="宋体" w:eastAsia="宋体" w:cs="宋体"/>
          <w:sz w:val="21"/>
          <w:szCs w:val="21"/>
          <w:lang w:val="en-US" w:eastAsia="zh-CN"/>
        </w:rPr>
        <w:t>（1）混凝土强度等级</w:t>
      </w:r>
      <w:bookmarkEnd w:id="1419"/>
      <w:bookmarkEnd w:id="1420"/>
    </w:p>
    <w:p w14:paraId="28D6C252">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基础垫层：C20。</w:t>
      </w:r>
    </w:p>
    <w:p w14:paraId="4C498374">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穿堂的基础、梁、板、柱、墙：C30~C45。</w:t>
      </w:r>
    </w:p>
    <w:p w14:paraId="24C416AB">
      <w:pPr>
        <w:pStyle w:val="31"/>
        <w:numPr>
          <w:ilvl w:val="0"/>
          <w:numId w:val="0"/>
        </w:numPr>
        <w:spacing w:line="360" w:lineRule="auto"/>
        <w:ind w:left="0" w:leftChars="0" w:firstLine="0" w:firstLineChars="0"/>
        <w:outlineLvl w:val="3"/>
        <w:rPr>
          <w:rFonts w:hint="eastAsia" w:ascii="宋体" w:hAnsi="宋体" w:eastAsia="宋体" w:cs="宋体"/>
          <w:sz w:val="21"/>
          <w:szCs w:val="21"/>
          <w:lang w:val="en-US" w:eastAsia="zh-CN"/>
        </w:rPr>
      </w:pPr>
      <w:bookmarkStart w:id="1421" w:name="_Toc21530"/>
      <w:bookmarkStart w:id="1422" w:name="_Toc3266"/>
      <w:r>
        <w:rPr>
          <w:rFonts w:hint="eastAsia" w:ascii="宋体" w:hAnsi="宋体" w:eastAsia="宋体" w:cs="宋体"/>
          <w:sz w:val="21"/>
          <w:szCs w:val="21"/>
          <w:lang w:val="en-US" w:eastAsia="zh-CN"/>
        </w:rPr>
        <w:t>（2）圈梁、构造柱等二次结构构件为 C25。</w:t>
      </w:r>
      <w:bookmarkEnd w:id="1421"/>
      <w:bookmarkEnd w:id="1422"/>
    </w:p>
    <w:p w14:paraId="1C04A3BD">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钢材、钢筋：HPB300（一）级、HRB400（三）级、HRB500（四）级。</w:t>
      </w:r>
    </w:p>
    <w:p w14:paraId="2B8204A8">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钢板、型钢：Q355B、Q235B钢。</w:t>
      </w:r>
    </w:p>
    <w:p w14:paraId="70A20CE7">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吊钩、吊环均采用HPB300级钢筋, 不得采用冷加工钢筋。</w:t>
      </w:r>
    </w:p>
    <w:p w14:paraId="572C9045">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焊条：采用E43型、E50型焊条。</w:t>
      </w:r>
    </w:p>
    <w:p w14:paraId="25ECE84B">
      <w:pPr>
        <w:pStyle w:val="31"/>
        <w:numPr>
          <w:ilvl w:val="0"/>
          <w:numId w:val="0"/>
        </w:numPr>
        <w:spacing w:line="360" w:lineRule="auto"/>
        <w:ind w:left="0" w:leftChars="0" w:firstLine="0" w:firstLineChars="0"/>
        <w:outlineLvl w:val="3"/>
        <w:rPr>
          <w:rFonts w:hint="eastAsia" w:ascii="宋体" w:hAnsi="宋体" w:eastAsia="宋体" w:cs="宋体"/>
          <w:sz w:val="21"/>
          <w:szCs w:val="21"/>
          <w:lang w:val="en-US" w:eastAsia="zh-CN"/>
        </w:rPr>
      </w:pPr>
      <w:bookmarkStart w:id="1423" w:name="_Toc17267"/>
      <w:bookmarkStart w:id="1424" w:name="_Toc16891"/>
      <w:r>
        <w:rPr>
          <w:rFonts w:hint="eastAsia" w:ascii="宋体" w:hAnsi="宋体" w:eastAsia="宋体" w:cs="宋体"/>
          <w:sz w:val="21"/>
          <w:szCs w:val="21"/>
          <w:lang w:val="en-US" w:eastAsia="zh-CN"/>
        </w:rPr>
        <w:t>（3）砌体及砂浆</w:t>
      </w:r>
      <w:bookmarkEnd w:id="1423"/>
      <w:bookmarkEnd w:id="1424"/>
    </w:p>
    <w:p w14:paraId="2DDC216D">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砌体工程施工质量控制等级：B 级。</w:t>
      </w:r>
    </w:p>
    <w:p w14:paraId="32B4CB86">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砌体：所有单体建构筑物的±0.000以下采用MU15的烧结普通砖(黏土砖除外)；冷库穿堂±0.000 以上全部采用 A5.0的加气混凝土砌块。</w:t>
      </w:r>
    </w:p>
    <w:p w14:paraId="2FA86B23">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砂浆：所有单体建构筑物的±0.000以下采用M10的水泥砂浆；冷库穿堂±0.000以上全部采用 Ma5.0的砌筑砂浆。</w:t>
      </w:r>
    </w:p>
    <w:p w14:paraId="7AE8ED9C">
      <w:pPr>
        <w:pStyle w:val="31"/>
        <w:numPr>
          <w:ilvl w:val="0"/>
          <w:numId w:val="0"/>
        </w:numPr>
        <w:spacing w:line="360" w:lineRule="auto"/>
        <w:ind w:left="0" w:leftChars="0" w:firstLine="0" w:firstLineChars="0"/>
        <w:outlineLvl w:val="2"/>
        <w:rPr>
          <w:rFonts w:hint="eastAsia" w:ascii="宋体" w:hAnsi="宋体" w:eastAsia="宋体" w:cs="宋体"/>
          <w:b/>
          <w:bCs/>
          <w:sz w:val="21"/>
          <w:szCs w:val="21"/>
          <w:lang w:val="en-US" w:eastAsia="zh-CN"/>
        </w:rPr>
      </w:pPr>
      <w:bookmarkStart w:id="1425" w:name="_Toc8868"/>
      <w:bookmarkStart w:id="1426" w:name="_Toc12750"/>
      <w:r>
        <w:rPr>
          <w:rFonts w:hint="eastAsia" w:ascii="宋体" w:hAnsi="宋体" w:eastAsia="宋体" w:cs="宋体"/>
          <w:b/>
          <w:bCs/>
          <w:sz w:val="21"/>
          <w:szCs w:val="21"/>
          <w:lang w:val="en-US" w:eastAsia="zh-CN"/>
        </w:rPr>
        <w:t>4.5设计荷载</w:t>
      </w:r>
      <w:bookmarkEnd w:id="1425"/>
      <w:bookmarkEnd w:id="1426"/>
    </w:p>
    <w:p w14:paraId="095A1C46">
      <w:pPr>
        <w:snapToGrid/>
        <w:spacing w:before="0" w:after="0" w:line="360" w:lineRule="auto"/>
        <w:ind w:right="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楼板荷载取值：与建筑配合考虑二次装修面层。</w:t>
      </w:r>
    </w:p>
    <w:p w14:paraId="10DAB6DB">
      <w:pPr>
        <w:snapToGrid/>
        <w:spacing w:before="0" w:after="0" w:line="360" w:lineRule="auto"/>
        <w:ind w:right="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活荷载标准值见下表：</w:t>
      </w:r>
    </w:p>
    <w:p w14:paraId="1E5BC703">
      <w:pPr>
        <w:snapToGrid/>
        <w:spacing w:before="0" w:after="0" w:line="360" w:lineRule="auto"/>
        <w:ind w:left="0" w:right="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各单体楼层主要活荷载标准值</w:t>
      </w:r>
    </w:p>
    <w:tbl>
      <w:tblPr>
        <w:tblStyle w:val="42"/>
        <w:tblW w:w="0" w:type="auto"/>
        <w:tblInd w:w="0" w:type="dxa"/>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fixed"/>
        <w:tblCellMar>
          <w:top w:w="0" w:type="dxa"/>
          <w:left w:w="108" w:type="dxa"/>
          <w:bottom w:w="0" w:type="dxa"/>
          <w:right w:w="108" w:type="dxa"/>
        </w:tblCellMar>
      </w:tblPr>
      <w:tblGrid>
        <w:gridCol w:w="2622"/>
        <w:gridCol w:w="1473"/>
        <w:gridCol w:w="4259"/>
      </w:tblGrid>
      <w:tr w14:paraId="6CE883A0">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c>
          <w:tcPr>
            <w:tcW w:w="2622" w:type="dxa"/>
            <w:vMerge w:val="restart"/>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EE4F14E">
            <w:pPr>
              <w:snapToGrid/>
              <w:spacing w:before="0" w:after="0" w:line="360" w:lineRule="auto"/>
              <w:ind w:left="0" w:right="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楼号</w:t>
            </w:r>
          </w:p>
        </w:tc>
        <w:tc>
          <w:tcPr>
            <w:tcW w:w="5732"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08020D5">
            <w:pPr>
              <w:snapToGrid/>
              <w:spacing w:before="0" w:after="0" w:line="360" w:lineRule="auto"/>
              <w:ind w:left="0" w:right="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活荷载值KN/m2</w:t>
            </w:r>
          </w:p>
        </w:tc>
      </w:tr>
      <w:tr w14:paraId="7C293288">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c>
          <w:tcPr>
            <w:tcW w:w="2622" w:type="dxa"/>
            <w:vMerge w:val="continue"/>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B1D598A">
            <w:pPr>
              <w:snapToGrid/>
              <w:spacing w:line="240" w:lineRule="auto"/>
              <w:rPr>
                <w:rFonts w:hint="eastAsia" w:ascii="宋体" w:hAnsi="宋体" w:eastAsia="宋体" w:cs="宋体"/>
                <w:kern w:val="2"/>
                <w:sz w:val="21"/>
                <w:szCs w:val="21"/>
                <w:lang w:val="en-US" w:eastAsia="zh-CN" w:bidi="ar-SA"/>
              </w:rPr>
            </w:pPr>
          </w:p>
        </w:tc>
        <w:tc>
          <w:tcPr>
            <w:tcW w:w="1473" w:type="dxa"/>
            <w:tcBorders>
              <w:top w:val="single" w:color="000000" w:sz="0"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58CA551">
            <w:pPr>
              <w:snapToGrid/>
              <w:spacing w:before="0" w:after="0" w:line="360" w:lineRule="auto"/>
              <w:ind w:left="0" w:right="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首层</w:t>
            </w:r>
          </w:p>
        </w:tc>
        <w:tc>
          <w:tcPr>
            <w:tcW w:w="425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14D3820">
            <w:pPr>
              <w:snapToGrid/>
              <w:spacing w:before="0" w:after="0" w:line="360" w:lineRule="auto"/>
              <w:ind w:left="0" w:right="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标准层</w:t>
            </w:r>
          </w:p>
        </w:tc>
      </w:tr>
      <w:tr w14:paraId="4B7EA5E9">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c>
          <w:tcPr>
            <w:tcW w:w="2622" w:type="dxa"/>
            <w:tcBorders>
              <w:top w:val="single" w:color="000000" w:sz="0"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52DCF73">
            <w:pPr>
              <w:snapToGrid/>
              <w:spacing w:before="0" w:after="0" w:line="360" w:lineRule="auto"/>
              <w:ind w:left="0" w:right="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冷库仓</w:t>
            </w:r>
          </w:p>
        </w:tc>
        <w:tc>
          <w:tcPr>
            <w:tcW w:w="1473" w:type="dxa"/>
            <w:tcBorders>
              <w:top w:val="single" w:color="000000" w:sz="0"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0898DD9">
            <w:pPr>
              <w:snapToGrid/>
              <w:spacing w:before="0" w:after="0" w:line="360" w:lineRule="auto"/>
              <w:ind w:left="0" w:right="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30</w:t>
            </w:r>
          </w:p>
        </w:tc>
        <w:tc>
          <w:tcPr>
            <w:tcW w:w="4259" w:type="dxa"/>
            <w:tcBorders>
              <w:top w:val="single" w:color="000000" w:sz="0"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0C94C62">
            <w:pPr>
              <w:snapToGrid/>
              <w:spacing w:before="0" w:after="0" w:line="360" w:lineRule="auto"/>
              <w:ind w:left="0" w:right="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20</w:t>
            </w:r>
          </w:p>
        </w:tc>
      </w:tr>
      <w:tr w14:paraId="7160C049">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c>
          <w:tcPr>
            <w:tcW w:w="2622" w:type="dxa"/>
            <w:tcBorders>
              <w:top w:val="single" w:color="000000" w:sz="0"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235ADD7">
            <w:pPr>
              <w:snapToGrid/>
              <w:spacing w:before="0" w:after="0" w:line="360" w:lineRule="auto"/>
              <w:ind w:left="0" w:right="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穿堂</w:t>
            </w:r>
          </w:p>
        </w:tc>
        <w:tc>
          <w:tcPr>
            <w:tcW w:w="1473" w:type="dxa"/>
            <w:tcBorders>
              <w:top w:val="single" w:color="000000" w:sz="0"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8EEF524">
            <w:pPr>
              <w:snapToGrid/>
              <w:spacing w:before="0" w:after="0" w:line="360" w:lineRule="auto"/>
              <w:ind w:left="0" w:right="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30</w:t>
            </w:r>
          </w:p>
        </w:tc>
        <w:tc>
          <w:tcPr>
            <w:tcW w:w="4259" w:type="dxa"/>
            <w:tcBorders>
              <w:top w:val="single" w:color="000000" w:sz="0"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9B57201">
            <w:pPr>
              <w:snapToGrid/>
              <w:spacing w:before="0" w:after="0" w:line="360" w:lineRule="auto"/>
              <w:ind w:left="0" w:right="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20</w:t>
            </w:r>
          </w:p>
        </w:tc>
      </w:tr>
      <w:tr w14:paraId="372178E9">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18" w:hRule="atLeast"/>
        </w:trPr>
        <w:tc>
          <w:tcPr>
            <w:tcW w:w="2622" w:type="dxa"/>
            <w:tcBorders>
              <w:top w:val="single" w:color="000000" w:sz="0"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9476960">
            <w:pPr>
              <w:snapToGrid/>
              <w:spacing w:before="0" w:after="0" w:line="360" w:lineRule="auto"/>
              <w:ind w:left="0" w:right="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分拣区</w:t>
            </w:r>
          </w:p>
        </w:tc>
        <w:tc>
          <w:tcPr>
            <w:tcW w:w="1473" w:type="dxa"/>
            <w:tcBorders>
              <w:top w:val="single" w:color="000000" w:sz="0"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8BAC2D9">
            <w:pPr>
              <w:snapToGrid/>
              <w:spacing w:before="0" w:after="0" w:line="360" w:lineRule="auto"/>
              <w:ind w:left="0" w:right="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w:t>
            </w:r>
          </w:p>
        </w:tc>
        <w:tc>
          <w:tcPr>
            <w:tcW w:w="4259" w:type="dxa"/>
            <w:tcBorders>
              <w:top w:val="single" w:color="000000" w:sz="0"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6765BB7">
            <w:pPr>
              <w:snapToGrid/>
              <w:spacing w:before="0" w:after="0" w:line="360" w:lineRule="auto"/>
              <w:ind w:left="0" w:right="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10</w:t>
            </w:r>
          </w:p>
        </w:tc>
      </w:tr>
      <w:tr w14:paraId="54454D09">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c>
          <w:tcPr>
            <w:tcW w:w="2622" w:type="dxa"/>
            <w:tcBorders>
              <w:top w:val="single" w:color="000000" w:sz="0"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8879E24">
            <w:pPr>
              <w:snapToGrid/>
              <w:spacing w:before="0" w:after="0" w:line="360" w:lineRule="auto"/>
              <w:ind w:left="0" w:right="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制冷机房</w:t>
            </w:r>
          </w:p>
        </w:tc>
        <w:tc>
          <w:tcPr>
            <w:tcW w:w="1473" w:type="dxa"/>
            <w:tcBorders>
              <w:top w:val="single" w:color="000000" w:sz="0"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7E5C651">
            <w:pPr>
              <w:snapToGrid/>
              <w:spacing w:before="0" w:after="0" w:line="360" w:lineRule="auto"/>
              <w:ind w:left="0" w:right="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30</w:t>
            </w:r>
          </w:p>
        </w:tc>
        <w:tc>
          <w:tcPr>
            <w:tcW w:w="4259" w:type="dxa"/>
            <w:tcBorders>
              <w:top w:val="single" w:color="000000" w:sz="0"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8869EFC">
            <w:pPr>
              <w:snapToGrid/>
              <w:spacing w:before="0" w:after="0" w:line="360" w:lineRule="auto"/>
              <w:ind w:left="0" w:right="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屋顶设备重量由厂家提供</w:t>
            </w:r>
          </w:p>
        </w:tc>
      </w:tr>
      <w:tr w14:paraId="3B43EBFB">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c>
          <w:tcPr>
            <w:tcW w:w="2622" w:type="dxa"/>
            <w:tcBorders>
              <w:top w:val="single" w:color="000000" w:sz="0"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59CEB90">
            <w:pPr>
              <w:snapToGrid/>
              <w:spacing w:before="0" w:after="0" w:line="360" w:lineRule="auto"/>
              <w:ind w:left="0" w:right="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发电机房/变配电间</w:t>
            </w:r>
          </w:p>
        </w:tc>
        <w:tc>
          <w:tcPr>
            <w:tcW w:w="1473" w:type="dxa"/>
            <w:tcBorders>
              <w:top w:val="single" w:color="000000" w:sz="0"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7B0D64A">
            <w:pPr>
              <w:snapToGrid/>
              <w:spacing w:before="0" w:after="0" w:line="360" w:lineRule="auto"/>
              <w:ind w:left="0" w:right="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10</w:t>
            </w:r>
          </w:p>
        </w:tc>
        <w:tc>
          <w:tcPr>
            <w:tcW w:w="4259" w:type="dxa"/>
            <w:tcBorders>
              <w:top w:val="single" w:color="000000" w:sz="0"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F0CC443">
            <w:pPr>
              <w:snapToGrid/>
              <w:spacing w:before="0" w:after="0" w:line="360" w:lineRule="auto"/>
              <w:ind w:left="0" w:right="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10</w:t>
            </w:r>
          </w:p>
        </w:tc>
      </w:tr>
      <w:tr w14:paraId="4BAEB3A1">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c>
          <w:tcPr>
            <w:tcW w:w="2622" w:type="dxa"/>
            <w:tcBorders>
              <w:top w:val="single" w:color="000000" w:sz="0"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0481A20">
            <w:pPr>
              <w:snapToGrid/>
              <w:spacing w:before="0" w:after="0" w:line="360" w:lineRule="auto"/>
              <w:ind w:left="0" w:right="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楼梯间</w:t>
            </w:r>
          </w:p>
        </w:tc>
        <w:tc>
          <w:tcPr>
            <w:tcW w:w="1473" w:type="dxa"/>
            <w:tcBorders>
              <w:top w:val="single" w:color="000000" w:sz="0"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47B5FB2">
            <w:pPr>
              <w:snapToGrid/>
              <w:spacing w:before="0" w:after="0" w:line="360" w:lineRule="auto"/>
              <w:ind w:left="0" w:right="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3.5</w:t>
            </w:r>
          </w:p>
        </w:tc>
        <w:tc>
          <w:tcPr>
            <w:tcW w:w="4259" w:type="dxa"/>
            <w:tcBorders>
              <w:top w:val="single" w:color="000000" w:sz="0"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9051B9F">
            <w:pPr>
              <w:snapToGrid/>
              <w:spacing w:before="0" w:after="0" w:line="360" w:lineRule="auto"/>
              <w:ind w:left="0" w:right="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3.5</w:t>
            </w:r>
          </w:p>
        </w:tc>
      </w:tr>
      <w:tr w14:paraId="65209D73">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c>
          <w:tcPr>
            <w:tcW w:w="2622" w:type="dxa"/>
            <w:tcBorders>
              <w:top w:val="single" w:color="000000" w:sz="0"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8F7F38A">
            <w:pPr>
              <w:snapToGrid/>
              <w:spacing w:before="0" w:after="0" w:line="360" w:lineRule="auto"/>
              <w:ind w:left="0" w:right="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上人屋面</w:t>
            </w:r>
          </w:p>
        </w:tc>
        <w:tc>
          <w:tcPr>
            <w:tcW w:w="1473" w:type="dxa"/>
            <w:tcBorders>
              <w:top w:val="single" w:color="000000" w:sz="0"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21B93ED">
            <w:pPr>
              <w:snapToGrid/>
              <w:spacing w:before="0" w:after="0" w:line="360" w:lineRule="auto"/>
              <w:ind w:left="0" w:right="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w:t>
            </w:r>
          </w:p>
        </w:tc>
        <w:tc>
          <w:tcPr>
            <w:tcW w:w="4259" w:type="dxa"/>
            <w:tcBorders>
              <w:top w:val="single" w:color="000000" w:sz="0"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6CBE2D2">
            <w:pPr>
              <w:snapToGrid/>
              <w:spacing w:before="0" w:after="0" w:line="360" w:lineRule="auto"/>
              <w:ind w:left="0" w:right="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w:t>
            </w:r>
          </w:p>
        </w:tc>
      </w:tr>
      <w:tr w14:paraId="141EF643">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385" w:hRule="atLeast"/>
        </w:trPr>
        <w:tc>
          <w:tcPr>
            <w:tcW w:w="2622" w:type="dxa"/>
            <w:tcBorders>
              <w:top w:val="single" w:color="000000" w:sz="0"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9FC779B">
            <w:pPr>
              <w:snapToGrid/>
              <w:spacing w:before="0" w:after="0" w:line="360" w:lineRule="auto"/>
              <w:ind w:left="0" w:right="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不上人屋面</w:t>
            </w:r>
          </w:p>
        </w:tc>
        <w:tc>
          <w:tcPr>
            <w:tcW w:w="1473" w:type="dxa"/>
            <w:tcBorders>
              <w:top w:val="single" w:color="000000" w:sz="0"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07446C4">
            <w:pPr>
              <w:snapToGrid/>
              <w:spacing w:before="0" w:after="0" w:line="360" w:lineRule="auto"/>
              <w:ind w:left="0" w:right="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w:t>
            </w:r>
          </w:p>
        </w:tc>
        <w:tc>
          <w:tcPr>
            <w:tcW w:w="4259" w:type="dxa"/>
            <w:tcBorders>
              <w:top w:val="single" w:color="000000" w:sz="0"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2564847">
            <w:pPr>
              <w:snapToGrid/>
              <w:spacing w:before="0" w:after="0" w:line="360" w:lineRule="auto"/>
              <w:ind w:left="0" w:right="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0.5</w:t>
            </w:r>
          </w:p>
        </w:tc>
      </w:tr>
    </w:tbl>
    <w:p w14:paraId="375F4CA7">
      <w:pPr>
        <w:snapToGrid/>
        <w:spacing w:before="0" w:after="0" w:line="360" w:lineRule="auto"/>
        <w:ind w:left="0" w:right="0" w:firstLineChars="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其他未列荷载按《工程结构通用规范》GB55001-2021和《建筑结构荷载规范》GB50009-2012取值。</w:t>
      </w:r>
    </w:p>
    <w:p w14:paraId="6161A7B1">
      <w:pPr>
        <w:pBdr>
          <w:bottom w:val="none" w:color="auto" w:sz="0" w:space="0"/>
        </w:pBdr>
        <w:snapToGrid/>
        <w:spacing w:before="0" w:after="0" w:line="360" w:lineRule="auto"/>
        <w:ind w:left="0" w:right="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消防车荷载按照总图所示的消防车道及登高救援场地布置。</w:t>
      </w:r>
    </w:p>
    <w:p w14:paraId="34072667">
      <w:pPr>
        <w:pStyle w:val="31"/>
        <w:numPr>
          <w:ilvl w:val="0"/>
          <w:numId w:val="0"/>
        </w:numPr>
        <w:spacing w:line="360" w:lineRule="auto"/>
        <w:ind w:left="0" w:leftChars="0" w:firstLine="0" w:firstLineChars="0"/>
        <w:outlineLvl w:val="2"/>
        <w:rPr>
          <w:rFonts w:hint="eastAsia" w:ascii="宋体" w:hAnsi="宋体" w:eastAsia="宋体" w:cs="宋体"/>
          <w:b/>
          <w:bCs/>
          <w:sz w:val="21"/>
          <w:szCs w:val="21"/>
          <w:lang w:val="en-US" w:eastAsia="zh-CN"/>
        </w:rPr>
      </w:pPr>
      <w:bookmarkStart w:id="1427" w:name="_Toc10810"/>
      <w:bookmarkStart w:id="1428" w:name="_Toc8349"/>
      <w:r>
        <w:rPr>
          <w:rFonts w:hint="eastAsia" w:ascii="宋体" w:hAnsi="宋体" w:eastAsia="宋体" w:cs="宋体"/>
          <w:b/>
          <w:bCs/>
          <w:sz w:val="21"/>
          <w:szCs w:val="21"/>
          <w:lang w:val="en-US" w:eastAsia="zh-CN"/>
        </w:rPr>
        <w:t>4.6冷库的冷间内采用的水泥必须符合下列规定：</w:t>
      </w:r>
      <w:bookmarkEnd w:id="1427"/>
      <w:bookmarkEnd w:id="1428"/>
    </w:p>
    <w:p w14:paraId="24290BF7">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（1）应采用普通硅酸盐水泥。不得采用矿渣硅酸盐水泥、火山灰质硅酸盐水泥或粉煤灰硅酸盐水泥。</w:t>
      </w:r>
    </w:p>
    <w:p w14:paraId="51C20B5F">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（2）不同品种水泥不得混合使用，同一构件不得使用两种以上品种的水泥。</w:t>
      </w:r>
    </w:p>
    <w:p w14:paraId="0461F03E">
      <w:pPr>
        <w:pStyle w:val="31"/>
        <w:numPr>
          <w:ilvl w:val="0"/>
          <w:numId w:val="0"/>
        </w:numPr>
        <w:spacing w:line="360" w:lineRule="auto"/>
        <w:ind w:left="0" w:leftChars="0" w:firstLine="0" w:firstLineChars="0"/>
        <w:outlineLvl w:val="2"/>
        <w:rPr>
          <w:rFonts w:hint="eastAsia" w:ascii="宋体" w:hAnsi="宋体" w:eastAsia="宋体" w:cs="宋体"/>
          <w:b/>
          <w:bCs/>
          <w:sz w:val="21"/>
          <w:szCs w:val="21"/>
          <w:lang w:val="en-US" w:eastAsia="zh-CN"/>
        </w:rPr>
      </w:pPr>
      <w:bookmarkStart w:id="1429" w:name="_Toc19567"/>
      <w:bookmarkStart w:id="1430" w:name="_Toc9218"/>
      <w:r>
        <w:rPr>
          <w:rFonts w:hint="eastAsia" w:ascii="宋体" w:hAnsi="宋体" w:eastAsia="宋体" w:cs="宋体"/>
          <w:b/>
          <w:bCs/>
          <w:sz w:val="21"/>
          <w:szCs w:val="21"/>
          <w:lang w:val="en-US" w:eastAsia="zh-CN"/>
        </w:rPr>
        <w:t>4.7混凝土结构的环境类别及结构混凝土耐久性的基本要求:</w:t>
      </w:r>
      <w:bookmarkEnd w:id="1429"/>
      <w:bookmarkEnd w:id="1430"/>
    </w:p>
    <w:p w14:paraId="7E063D63">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（1）所有建构筑物±0.000以下（地下）结构构件的环境类别均为二a类。</w:t>
      </w:r>
    </w:p>
    <w:p w14:paraId="3616B2E0">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（2）冷库穿堂的环境类别为二a类。</w:t>
      </w:r>
    </w:p>
    <w:p w14:paraId="2857E85E">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（3）室外露天环境混凝土结构构件的环境类别为二a类。</w:t>
      </w:r>
    </w:p>
    <w:p w14:paraId="13ECBC0F">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（4）各种环境类别对结构混凝土耐久性的基本要求按《混凝土结构设计规范》（GB50010-2010）第3.5节的要求执行。</w:t>
      </w:r>
    </w:p>
    <w:p w14:paraId="77DBEA8B">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（5）冷间内的混凝土提高抗冻融破坏能力时，可掺入适宜的混凝土外加剂。</w:t>
      </w:r>
    </w:p>
    <w:p w14:paraId="7FD0506E">
      <w:pPr>
        <w:numPr>
          <w:ilvl w:val="0"/>
          <w:numId w:val="0"/>
        </w:numPr>
        <w:spacing w:line="360" w:lineRule="auto"/>
        <w:ind w:left="0" w:leftChars="0" w:firstLine="0" w:firstLineChars="0"/>
        <w:outlineLvl w:val="1"/>
        <w:rPr>
          <w:rFonts w:hint="eastAsia" w:ascii="宋体" w:hAnsi="宋体" w:eastAsia="宋体" w:cs="宋体"/>
          <w:b/>
          <w:bCs/>
          <w:sz w:val="21"/>
          <w:szCs w:val="21"/>
          <w:lang w:val="en-US" w:eastAsia="zh-CN"/>
        </w:rPr>
      </w:pPr>
      <w:bookmarkStart w:id="1431" w:name="_Toc402"/>
      <w:bookmarkStart w:id="1432" w:name="_Toc19030"/>
      <w:r>
        <w:rPr>
          <w:rFonts w:hint="eastAsia" w:ascii="宋体" w:hAnsi="宋体" w:eastAsia="宋体" w:cs="宋体"/>
          <w:b/>
          <w:bCs/>
          <w:sz w:val="21"/>
          <w:szCs w:val="21"/>
          <w:lang w:val="en-US" w:eastAsia="zh-CN"/>
        </w:rPr>
        <w:t>6、给排水设计</w:t>
      </w:r>
      <w:bookmarkEnd w:id="1431"/>
      <w:bookmarkEnd w:id="1432"/>
    </w:p>
    <w:p w14:paraId="4E6648D7">
      <w:pPr>
        <w:numPr>
          <w:ilvl w:val="0"/>
          <w:numId w:val="0"/>
        </w:numPr>
        <w:spacing w:line="360" w:lineRule="auto"/>
        <w:ind w:left="0" w:leftChars="0" w:firstLine="0" w:firstLineChars="0"/>
        <w:outlineLvl w:val="2"/>
        <w:rPr>
          <w:rFonts w:hint="default" w:ascii="宋体" w:hAnsi="宋体" w:eastAsia="宋体" w:cs="宋体"/>
          <w:b/>
          <w:bCs/>
          <w:kern w:val="2"/>
          <w:sz w:val="21"/>
          <w:szCs w:val="21"/>
          <w:lang w:val="en-US" w:eastAsia="zh-CN" w:bidi="ar-SA"/>
        </w:rPr>
      </w:pPr>
      <w:bookmarkStart w:id="1433" w:name="_Toc5203"/>
      <w:r>
        <w:rPr>
          <w:rFonts w:hint="eastAsia" w:ascii="宋体" w:hAnsi="宋体" w:eastAsia="宋体" w:cs="宋体"/>
          <w:b/>
          <w:bCs/>
          <w:kern w:val="2"/>
          <w:sz w:val="21"/>
          <w:szCs w:val="21"/>
          <w:lang w:val="en-US" w:eastAsia="zh-CN" w:bidi="ar-SA"/>
        </w:rPr>
        <w:t>6.1设计依据</w:t>
      </w:r>
      <w:bookmarkEnd w:id="1433"/>
    </w:p>
    <w:p w14:paraId="681E0366">
      <w:pPr>
        <w:pStyle w:val="31"/>
        <w:numPr>
          <w:ilvl w:val="0"/>
          <w:numId w:val="0"/>
        </w:numPr>
        <w:spacing w:line="360" w:lineRule="auto"/>
        <w:jc w:val="left"/>
        <w:rPr>
          <w:rFonts w:hint="eastAsia" w:ascii="宋体" w:hAnsi="宋体" w:eastAsia="宋体" w:cs="宋体"/>
          <w:sz w:val="21"/>
          <w:szCs w:val="21"/>
          <w:lang w:val="en-US" w:eastAsia="zh-CN"/>
        </w:rPr>
      </w:pPr>
      <w:r>
        <w:rPr>
          <w:rFonts w:ascii="宋体" w:hAnsi="宋体" w:eastAsia="宋体" w:cs="宋体"/>
          <w:i w:val="0"/>
          <w:strike w:val="0"/>
          <w:spacing w:val="0"/>
          <w:sz w:val="21"/>
          <w:szCs w:val="21"/>
          <w:u w:val="none"/>
        </w:rPr>
        <w:t>《建筑给水排水设计标准》（GB50015-2019）</w:t>
      </w:r>
    </w:p>
    <w:p w14:paraId="4D48B9A1">
      <w:pPr>
        <w:pStyle w:val="31"/>
        <w:numPr>
          <w:ilvl w:val="0"/>
          <w:numId w:val="0"/>
        </w:numPr>
        <w:spacing w:line="360" w:lineRule="auto"/>
        <w:jc w:val="left"/>
        <w:rPr>
          <w:rFonts w:hint="eastAsia" w:ascii="宋体" w:hAnsi="宋体" w:eastAsia="宋体" w:cs="宋体"/>
          <w:sz w:val="21"/>
          <w:szCs w:val="21"/>
          <w:lang w:val="en-US" w:eastAsia="zh-CN"/>
        </w:rPr>
      </w:pPr>
      <w:r>
        <w:rPr>
          <w:rFonts w:ascii="宋体" w:hAnsi="宋体" w:eastAsia="宋体" w:cs="宋体"/>
          <w:i w:val="0"/>
          <w:strike w:val="0"/>
          <w:spacing w:val="0"/>
          <w:sz w:val="21"/>
          <w:szCs w:val="21"/>
          <w:u w:val="none"/>
        </w:rPr>
        <w:t>《节水型生活用水器具》(CJ/T 164-2014)</w:t>
      </w:r>
    </w:p>
    <w:p w14:paraId="47DC7735">
      <w:pPr>
        <w:pStyle w:val="31"/>
        <w:numPr>
          <w:ilvl w:val="0"/>
          <w:numId w:val="0"/>
        </w:numPr>
        <w:spacing w:line="360" w:lineRule="auto"/>
        <w:jc w:val="left"/>
        <w:rPr>
          <w:rFonts w:hint="eastAsia" w:ascii="宋体" w:hAnsi="宋体" w:eastAsia="宋体" w:cs="宋体"/>
          <w:i w:val="0"/>
          <w:strike w:val="0"/>
          <w:spacing w:val="0"/>
          <w:sz w:val="21"/>
          <w:szCs w:val="21"/>
          <w:u w:val="none"/>
          <w:lang w:val="en-US" w:eastAsia="zh-CN"/>
        </w:rPr>
      </w:pPr>
      <w:r>
        <w:rPr>
          <w:rFonts w:ascii="宋体" w:hAnsi="宋体" w:eastAsia="宋体" w:cs="宋体"/>
          <w:i w:val="0"/>
          <w:strike w:val="0"/>
          <w:spacing w:val="0"/>
          <w:sz w:val="21"/>
          <w:szCs w:val="21"/>
          <w:u w:val="none"/>
        </w:rPr>
        <w:t>《建筑设计防火规范》（GB50016-2014）2018年版</w:t>
      </w:r>
    </w:p>
    <w:p w14:paraId="1F269237">
      <w:pPr>
        <w:pStyle w:val="31"/>
        <w:numPr>
          <w:ilvl w:val="0"/>
          <w:numId w:val="0"/>
        </w:numPr>
        <w:spacing w:line="360" w:lineRule="auto"/>
        <w:jc w:val="left"/>
        <w:rPr>
          <w:rFonts w:hint="eastAsia" w:ascii="宋体" w:hAnsi="宋体" w:eastAsia="宋体" w:cs="宋体"/>
          <w:i w:val="0"/>
          <w:strike w:val="0"/>
          <w:spacing w:val="0"/>
          <w:sz w:val="21"/>
          <w:szCs w:val="21"/>
          <w:u w:val="none"/>
          <w:lang w:val="en-US" w:eastAsia="zh-CN"/>
        </w:rPr>
      </w:pPr>
      <w:r>
        <w:rPr>
          <w:rFonts w:ascii="宋体" w:hAnsi="宋体" w:eastAsia="宋体" w:cs="宋体"/>
          <w:i w:val="0"/>
          <w:strike w:val="0"/>
          <w:spacing w:val="0"/>
          <w:sz w:val="21"/>
          <w:szCs w:val="21"/>
          <w:u w:val="none"/>
        </w:rPr>
        <w:t>《建筑给水排水与节水通用规范》(GB55020-2021)</w:t>
      </w:r>
    </w:p>
    <w:p w14:paraId="0EC0EF82">
      <w:pPr>
        <w:pStyle w:val="31"/>
        <w:numPr>
          <w:ilvl w:val="0"/>
          <w:numId w:val="0"/>
        </w:numPr>
        <w:spacing w:line="360" w:lineRule="auto"/>
        <w:jc w:val="left"/>
        <w:rPr>
          <w:rFonts w:hint="eastAsia" w:ascii="宋体" w:hAnsi="宋体" w:eastAsia="宋体" w:cs="宋体"/>
          <w:i w:val="0"/>
          <w:strike w:val="0"/>
          <w:spacing w:val="0"/>
          <w:sz w:val="21"/>
          <w:szCs w:val="21"/>
          <w:u w:val="none"/>
          <w:lang w:val="en-US" w:eastAsia="zh-CN"/>
        </w:rPr>
      </w:pPr>
      <w:r>
        <w:rPr>
          <w:rFonts w:ascii="宋体" w:hAnsi="宋体" w:eastAsia="宋体" w:cs="宋体"/>
          <w:i w:val="0"/>
          <w:strike w:val="0"/>
          <w:spacing w:val="0"/>
          <w:sz w:val="21"/>
          <w:szCs w:val="21"/>
          <w:u w:val="none"/>
        </w:rPr>
        <w:t>《建筑节能与可再生能源利用通用规范》（GB55015-2021）</w:t>
      </w:r>
    </w:p>
    <w:p w14:paraId="18CC32F7">
      <w:pPr>
        <w:pStyle w:val="31"/>
        <w:numPr>
          <w:ilvl w:val="0"/>
          <w:numId w:val="0"/>
        </w:numPr>
        <w:spacing w:line="360" w:lineRule="auto"/>
        <w:jc w:val="left"/>
        <w:rPr>
          <w:rFonts w:hint="eastAsia" w:ascii="宋体" w:hAnsi="宋体" w:eastAsia="宋体" w:cs="宋体"/>
          <w:i w:val="0"/>
          <w:strike w:val="0"/>
          <w:spacing w:val="0"/>
          <w:sz w:val="21"/>
          <w:szCs w:val="21"/>
          <w:u w:val="none"/>
          <w:lang w:val="en-US" w:eastAsia="zh-CN"/>
        </w:rPr>
      </w:pPr>
      <w:r>
        <w:rPr>
          <w:rFonts w:ascii="宋体" w:hAnsi="宋体" w:eastAsia="宋体" w:cs="宋体"/>
          <w:i w:val="0"/>
          <w:strike w:val="0"/>
          <w:spacing w:val="0"/>
          <w:sz w:val="21"/>
          <w:szCs w:val="21"/>
          <w:u w:val="none"/>
        </w:rPr>
        <w:t>《建筑机电工程抗震设计规范》（GB50981-2014）</w:t>
      </w:r>
    </w:p>
    <w:p w14:paraId="4D449DE0">
      <w:pPr>
        <w:pStyle w:val="31"/>
        <w:numPr>
          <w:ilvl w:val="0"/>
          <w:numId w:val="0"/>
        </w:numPr>
        <w:spacing w:line="360" w:lineRule="auto"/>
        <w:jc w:val="left"/>
        <w:rPr>
          <w:rFonts w:hint="eastAsia" w:ascii="宋体" w:hAnsi="宋体" w:eastAsia="宋体" w:cs="宋体"/>
          <w:i w:val="0"/>
          <w:strike w:val="0"/>
          <w:spacing w:val="0"/>
          <w:sz w:val="21"/>
          <w:szCs w:val="21"/>
          <w:u w:val="none"/>
          <w:lang w:val="en-US" w:eastAsia="zh-CN"/>
        </w:rPr>
      </w:pPr>
      <w:r>
        <w:rPr>
          <w:rFonts w:ascii="宋体" w:hAnsi="宋体" w:eastAsia="宋体" w:cs="宋体"/>
          <w:i w:val="0"/>
          <w:strike w:val="0"/>
          <w:spacing w:val="0"/>
          <w:sz w:val="21"/>
          <w:szCs w:val="21"/>
          <w:u w:val="none"/>
        </w:rPr>
        <w:t xml:space="preserve">《建筑灭火器配置规范》（GB50140-2005）   </w:t>
      </w:r>
    </w:p>
    <w:p w14:paraId="0115267C">
      <w:pPr>
        <w:pStyle w:val="31"/>
        <w:numPr>
          <w:ilvl w:val="0"/>
          <w:numId w:val="0"/>
        </w:numPr>
        <w:spacing w:line="360" w:lineRule="auto"/>
        <w:jc w:val="left"/>
        <w:rPr>
          <w:rFonts w:hint="eastAsia" w:ascii="宋体" w:hAnsi="宋体" w:eastAsia="宋体" w:cs="宋体"/>
          <w:i w:val="0"/>
          <w:strike w:val="0"/>
          <w:spacing w:val="0"/>
          <w:sz w:val="21"/>
          <w:szCs w:val="21"/>
          <w:u w:val="none"/>
          <w:lang w:val="en-US" w:eastAsia="zh-CN"/>
        </w:rPr>
      </w:pPr>
      <w:r>
        <w:rPr>
          <w:rFonts w:ascii="宋体" w:hAnsi="宋体" w:eastAsia="宋体" w:cs="宋体"/>
          <w:i w:val="0"/>
          <w:strike w:val="0"/>
          <w:spacing w:val="0"/>
          <w:sz w:val="21"/>
          <w:szCs w:val="21"/>
          <w:u w:val="none"/>
        </w:rPr>
        <w:t>《建筑与市政工程抗震通用规范》(GB55002-2021)</w:t>
      </w:r>
    </w:p>
    <w:p w14:paraId="08421347">
      <w:pPr>
        <w:pStyle w:val="31"/>
        <w:numPr>
          <w:ilvl w:val="0"/>
          <w:numId w:val="0"/>
        </w:numPr>
        <w:spacing w:line="360" w:lineRule="auto"/>
        <w:jc w:val="left"/>
        <w:rPr>
          <w:rFonts w:hint="eastAsia" w:ascii="宋体" w:hAnsi="宋体" w:eastAsia="宋体" w:cs="宋体"/>
          <w:i w:val="0"/>
          <w:strike w:val="0"/>
          <w:spacing w:val="0"/>
          <w:sz w:val="21"/>
          <w:szCs w:val="21"/>
          <w:u w:val="none"/>
          <w:lang w:val="en-US" w:eastAsia="zh-CN"/>
        </w:rPr>
      </w:pPr>
      <w:r>
        <w:rPr>
          <w:rFonts w:ascii="宋体" w:hAnsi="宋体" w:eastAsia="宋体" w:cs="宋体"/>
          <w:i w:val="0"/>
          <w:strike w:val="0"/>
          <w:spacing w:val="0"/>
          <w:sz w:val="21"/>
          <w:szCs w:val="21"/>
          <w:u w:val="none"/>
        </w:rPr>
        <w:t>《消防给水及消火栓系统技术规范》</w:t>
      </w:r>
      <w:r>
        <w:rPr>
          <w:rFonts w:hint="eastAsia" w:ascii="宋体" w:hAnsi="宋体" w:eastAsia="宋体" w:cs="宋体"/>
          <w:i w:val="0"/>
          <w:strike w:val="0"/>
          <w:spacing w:val="0"/>
          <w:sz w:val="21"/>
          <w:szCs w:val="21"/>
          <w:u w:val="none"/>
          <w:lang w:eastAsia="zh-CN"/>
        </w:rPr>
        <w:t>（</w:t>
      </w:r>
      <w:r>
        <w:rPr>
          <w:rFonts w:ascii="宋体" w:hAnsi="宋体" w:eastAsia="宋体" w:cs="宋体"/>
          <w:i w:val="0"/>
          <w:strike w:val="0"/>
          <w:spacing w:val="0"/>
          <w:sz w:val="21"/>
          <w:szCs w:val="21"/>
          <w:u w:val="none"/>
        </w:rPr>
        <w:t xml:space="preserve">GB50974-2014） </w:t>
      </w:r>
    </w:p>
    <w:p w14:paraId="0725A7C0">
      <w:pPr>
        <w:pStyle w:val="31"/>
        <w:numPr>
          <w:ilvl w:val="0"/>
          <w:numId w:val="0"/>
        </w:numPr>
        <w:spacing w:line="360" w:lineRule="auto"/>
        <w:jc w:val="left"/>
        <w:rPr>
          <w:rFonts w:hint="eastAsia" w:ascii="宋体" w:hAnsi="宋体" w:eastAsia="宋体" w:cs="宋体"/>
          <w:i w:val="0"/>
          <w:strike w:val="0"/>
          <w:spacing w:val="0"/>
          <w:sz w:val="21"/>
          <w:szCs w:val="21"/>
          <w:u w:val="none"/>
          <w:lang w:val="en-US" w:eastAsia="zh-CN"/>
        </w:rPr>
      </w:pPr>
      <w:r>
        <w:rPr>
          <w:rFonts w:ascii="宋体" w:hAnsi="宋体" w:eastAsia="宋体" w:cs="宋体"/>
          <w:i w:val="0"/>
          <w:strike w:val="0"/>
          <w:spacing w:val="0"/>
          <w:sz w:val="21"/>
          <w:szCs w:val="21"/>
          <w:u w:val="none"/>
        </w:rPr>
        <w:t>《建筑防火通用规范》</w:t>
      </w:r>
      <w:r>
        <w:rPr>
          <w:rFonts w:hint="eastAsia" w:ascii="宋体" w:hAnsi="宋体" w:eastAsia="宋体" w:cs="宋体"/>
          <w:i w:val="0"/>
          <w:strike w:val="0"/>
          <w:spacing w:val="0"/>
          <w:sz w:val="21"/>
          <w:szCs w:val="21"/>
          <w:u w:val="none"/>
          <w:lang w:eastAsia="zh-CN"/>
        </w:rPr>
        <w:t>（</w:t>
      </w:r>
      <w:r>
        <w:rPr>
          <w:rFonts w:ascii="宋体" w:hAnsi="宋体" w:eastAsia="宋体" w:cs="宋体"/>
          <w:i w:val="0"/>
          <w:strike w:val="0"/>
          <w:spacing w:val="0"/>
          <w:sz w:val="21"/>
          <w:szCs w:val="21"/>
          <w:u w:val="none"/>
        </w:rPr>
        <w:t>GB 55037-2022</w:t>
      </w:r>
      <w:r>
        <w:rPr>
          <w:rFonts w:hint="eastAsia" w:ascii="宋体" w:hAnsi="宋体" w:eastAsia="宋体" w:cs="宋体"/>
          <w:i w:val="0"/>
          <w:strike w:val="0"/>
          <w:spacing w:val="0"/>
          <w:sz w:val="21"/>
          <w:szCs w:val="21"/>
          <w:u w:val="none"/>
          <w:lang w:eastAsia="zh-CN"/>
        </w:rPr>
        <w:t>）</w:t>
      </w:r>
    </w:p>
    <w:p w14:paraId="0A9FF237">
      <w:pPr>
        <w:pStyle w:val="31"/>
        <w:numPr>
          <w:ilvl w:val="0"/>
          <w:numId w:val="0"/>
        </w:numPr>
        <w:spacing w:line="360" w:lineRule="auto"/>
        <w:jc w:val="left"/>
        <w:rPr>
          <w:rFonts w:hint="eastAsia" w:ascii="宋体" w:hAnsi="宋体" w:eastAsia="宋体" w:cs="宋体"/>
          <w:i w:val="0"/>
          <w:strike w:val="0"/>
          <w:spacing w:val="0"/>
          <w:sz w:val="21"/>
          <w:szCs w:val="21"/>
          <w:u w:val="none"/>
          <w:lang w:val="en-US" w:eastAsia="zh-CN"/>
        </w:rPr>
      </w:pPr>
      <w:r>
        <w:rPr>
          <w:rFonts w:ascii="宋体" w:hAnsi="宋体" w:eastAsia="宋体" w:cs="宋体"/>
          <w:i w:val="0"/>
          <w:strike w:val="0"/>
          <w:spacing w:val="0"/>
          <w:sz w:val="21"/>
          <w:szCs w:val="21"/>
          <w:u w:val="none"/>
        </w:rPr>
        <w:t xml:space="preserve">《消防设施通用规范》（GB55036－2022） </w:t>
      </w:r>
    </w:p>
    <w:p w14:paraId="55B4175A">
      <w:pPr>
        <w:pStyle w:val="31"/>
        <w:numPr>
          <w:ilvl w:val="0"/>
          <w:numId w:val="0"/>
        </w:numPr>
        <w:spacing w:line="360" w:lineRule="auto"/>
        <w:jc w:val="left"/>
        <w:rPr>
          <w:rFonts w:hint="eastAsia" w:ascii="宋体" w:hAnsi="宋体" w:eastAsia="宋体" w:cs="宋体"/>
          <w:i w:val="0"/>
          <w:strike w:val="0"/>
          <w:spacing w:val="0"/>
          <w:sz w:val="21"/>
          <w:szCs w:val="21"/>
          <w:u w:val="none"/>
          <w:lang w:val="en-US" w:eastAsia="zh-CN"/>
        </w:rPr>
      </w:pPr>
      <w:r>
        <w:rPr>
          <w:rFonts w:ascii="宋体" w:hAnsi="宋体" w:eastAsia="宋体" w:cs="宋体"/>
          <w:i w:val="0"/>
          <w:strike w:val="0"/>
          <w:spacing w:val="0"/>
          <w:sz w:val="21"/>
          <w:szCs w:val="21"/>
          <w:u w:val="none"/>
        </w:rPr>
        <w:t xml:space="preserve">《冷库设计标准》（GB50072-2021） </w:t>
      </w:r>
    </w:p>
    <w:p w14:paraId="72794DD7">
      <w:pPr>
        <w:pStyle w:val="31"/>
        <w:numPr>
          <w:ilvl w:val="0"/>
          <w:numId w:val="0"/>
        </w:numPr>
        <w:spacing w:line="360" w:lineRule="auto"/>
        <w:jc w:val="left"/>
        <w:rPr>
          <w:rFonts w:hint="eastAsia" w:ascii="宋体" w:hAnsi="宋体" w:eastAsia="宋体" w:cs="宋体"/>
          <w:i w:val="0"/>
          <w:strike w:val="0"/>
          <w:spacing w:val="0"/>
          <w:sz w:val="21"/>
          <w:szCs w:val="21"/>
          <w:u w:val="none"/>
          <w:lang w:val="en-US" w:eastAsia="zh-CN"/>
        </w:rPr>
      </w:pPr>
      <w:r>
        <w:rPr>
          <w:rFonts w:ascii="宋体" w:hAnsi="宋体" w:eastAsia="宋体" w:cs="宋体"/>
          <w:i w:val="0"/>
          <w:strike w:val="0"/>
          <w:spacing w:val="0"/>
          <w:sz w:val="21"/>
          <w:szCs w:val="21"/>
          <w:u w:val="none"/>
        </w:rPr>
        <w:t>《自动喷水灭火系统设计规范》（GB50084-2017）</w:t>
      </w:r>
    </w:p>
    <w:p w14:paraId="70894578">
      <w:pPr>
        <w:pStyle w:val="31"/>
        <w:numPr>
          <w:ilvl w:val="0"/>
          <w:numId w:val="0"/>
        </w:numPr>
        <w:spacing w:line="360" w:lineRule="auto"/>
        <w:jc w:val="left"/>
        <w:rPr>
          <w:rFonts w:hint="eastAsia" w:ascii="宋体" w:hAnsi="宋体" w:eastAsia="宋体" w:cs="宋体"/>
          <w:i w:val="0"/>
          <w:strike w:val="0"/>
          <w:spacing w:val="0"/>
          <w:sz w:val="21"/>
          <w:szCs w:val="21"/>
          <w:u w:val="none"/>
          <w:lang w:val="en-US" w:eastAsia="zh-CN"/>
        </w:rPr>
      </w:pPr>
      <w:r>
        <w:rPr>
          <w:rFonts w:ascii="宋体" w:hAnsi="宋体" w:eastAsia="宋体" w:cs="宋体"/>
          <w:i w:val="0"/>
          <w:strike w:val="0"/>
          <w:spacing w:val="0"/>
          <w:sz w:val="21"/>
          <w:szCs w:val="21"/>
          <w:u w:val="none"/>
        </w:rPr>
        <w:t>《建筑防火封堵应用技术标准》（GB/T51410-2020）</w:t>
      </w:r>
    </w:p>
    <w:p w14:paraId="0E9AEACF">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建设单位及其他专业提供的相关资料、设计条件</w:t>
      </w:r>
    </w:p>
    <w:p w14:paraId="79872D19">
      <w:pPr>
        <w:numPr>
          <w:ilvl w:val="0"/>
          <w:numId w:val="0"/>
        </w:numPr>
        <w:spacing w:line="360" w:lineRule="auto"/>
        <w:ind w:left="0" w:leftChars="0" w:firstLine="0" w:firstLineChars="0"/>
        <w:outlineLvl w:val="2"/>
        <w:rPr>
          <w:rFonts w:hint="eastAsia" w:ascii="宋体" w:hAnsi="宋体" w:eastAsia="宋体" w:cs="宋体"/>
          <w:b/>
          <w:bCs/>
          <w:kern w:val="2"/>
          <w:sz w:val="21"/>
          <w:szCs w:val="21"/>
          <w:lang w:val="en-US" w:eastAsia="zh-CN" w:bidi="ar-SA"/>
        </w:rPr>
      </w:pPr>
      <w:bookmarkStart w:id="1434" w:name="_Toc30022"/>
      <w:bookmarkStart w:id="1435" w:name="_Toc4718"/>
      <w:r>
        <w:rPr>
          <w:rFonts w:hint="eastAsia" w:ascii="宋体" w:hAnsi="宋体" w:eastAsia="宋体" w:cs="宋体"/>
          <w:b/>
          <w:bCs/>
          <w:kern w:val="2"/>
          <w:sz w:val="21"/>
          <w:szCs w:val="21"/>
          <w:lang w:val="en-US" w:eastAsia="zh-CN" w:bidi="ar-SA"/>
        </w:rPr>
        <w:t>6.2消防系统</w:t>
      </w:r>
      <w:bookmarkEnd w:id="1434"/>
      <w:bookmarkEnd w:id="1435"/>
    </w:p>
    <w:p w14:paraId="3784F6D3">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（1）根据《</w:t>
      </w:r>
      <w:r>
        <w:rPr>
          <w:rFonts w:ascii="宋体" w:hAnsi="宋体" w:eastAsia="宋体" w:cs="宋体"/>
          <w:i w:val="0"/>
          <w:strike w:val="0"/>
          <w:spacing w:val="0"/>
          <w:sz w:val="21"/>
          <w:szCs w:val="21"/>
          <w:u w:val="none"/>
        </w:rPr>
        <w:t>建筑防火通用规范</w:t>
      </w:r>
      <w:r>
        <w:rPr>
          <w:rFonts w:hint="eastAsia" w:ascii="宋体" w:hAnsi="宋体" w:eastAsia="宋体" w:cs="宋体"/>
          <w:sz w:val="21"/>
          <w:szCs w:val="21"/>
          <w:lang w:val="en-US" w:eastAsia="zh-CN"/>
        </w:rPr>
        <w:t>》规定，本工程设有室外消火栓给水、室内消火栓给水和移动灭火器系统。</w:t>
      </w:r>
    </w:p>
    <w:p w14:paraId="1C4FDFA7">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（2）根据《消防给水及消火栓系统技术规范》规定，新建冷库建筑高度＜24m，建筑体积&gt;50000m³，火灾危险性等级为丙类2项，设计耐火等级为二级。室内消火栓用水量为25L/s，室外消火栓用水量 45L/s。火灾延续时间为3小时。。</w:t>
      </w:r>
    </w:p>
    <w:p w14:paraId="484236F0">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（3）消火栓系统采用临时高压制，室内外设专用的消火栓给水管道，不与生产生活供水系统共用管道。</w:t>
      </w:r>
    </w:p>
    <w:p w14:paraId="2EF1058E">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（4）室外消火栓给水系统</w:t>
      </w:r>
    </w:p>
    <w:p w14:paraId="01645BC5">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室外消火栓系统在冷链物流区内设置环状管网，由冷链物流园区内设置的消防水池、消水泵联合供水。在环状管网上沿建筑物周围均匀布置室外消火栓，其间距不超过120m，保护半径不超过150米，距道路边不大于2.0m，距建筑物外墙不小于5.0m。管网用阀门分成若干独立段，每段内室外消火栓数量不超过5个。室外消火栓：当位于绿地内时，采用 SS100/65-1.0 型地上式消火栓；当位于道路或回车场时，采用 SA100/65-1.0 型地下式消火栓。</w:t>
      </w:r>
    </w:p>
    <w:p w14:paraId="17D9481B">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（5）室内消火栓给水系统</w:t>
      </w:r>
    </w:p>
    <w:p w14:paraId="41A3ADD3">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室内消火栓系统由园内消防水池、消防水泵、屋顶消防水箱（包含增压稳压设备）联合供水。</w:t>
      </w:r>
    </w:p>
    <w:p w14:paraId="04F9B192">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冷库内设置室内消火栓系统。室内消火栓管网环状布置，设两条进水管与室外消火栓管网相连。</w:t>
      </w:r>
    </w:p>
    <w:p w14:paraId="199A8287">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除冷藏间外，室内消火栓的布置保证有两支水枪的充实水柱同时到达室内任何部位，并尽量设置于明显易于取用的地点。灭火水枪的充实水柱为13m。管道上用阀门分为若干独立段，当某段损坏时，停止使用的消火栓数量不超过5个。所有消防管道上的检修阀门平时常开，用铅封或链条锁住，并有开启标识。室内消火栓箱内设有单出口消火栓1个，DN65长25米衬胶水带1根，φ19mm水枪1支,消防软管卷盘一套。每个室内消火栓处均设置报警按扭，并有保护设施。</w:t>
      </w:r>
    </w:p>
    <w:p w14:paraId="0A5DB0EA">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（6）消防泵控制方式</w:t>
      </w:r>
    </w:p>
    <w:p w14:paraId="01E621FA">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消火栓水泵由消防水泵出水干管上设置的压力开关、高位消防水箱出水管上的流量开关等开关信号直接启动。</w:t>
      </w:r>
    </w:p>
    <w:p w14:paraId="3F08BA6A">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消防水泵应能手动启停和自动启动。</w:t>
      </w:r>
    </w:p>
    <w:p w14:paraId="388E05E9">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消防控制室在平时应使消防水泵处于自动启泵状态。</w:t>
      </w:r>
    </w:p>
    <w:p w14:paraId="02B261DE">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系统稳压泵的启停由设在系统管网上的压力联动装置自动控制。</w:t>
      </w:r>
    </w:p>
    <w:p w14:paraId="0AE753C9">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消防水泵房控制柜（盘）上设置专用线路连接的手动直接启泵按钮。</w:t>
      </w:r>
    </w:p>
    <w:p w14:paraId="6A6903E9">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消防水泵、稳压泵应设置就地强制启停泵按钮，并应有保护措施。</w:t>
      </w:r>
    </w:p>
    <w:p w14:paraId="36BAD68F">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（7）建筑灭火器配置</w:t>
      </w:r>
    </w:p>
    <w:p w14:paraId="20E09013">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变配电间按E类火灾中危险级配置灭火器，其余均按A类火灾中危险级配置灭火器，采用手提式或推车式磷酸铵盐干粉灭火器。</w:t>
      </w:r>
    </w:p>
    <w:p w14:paraId="64E5ED17">
      <w:pPr>
        <w:numPr>
          <w:ilvl w:val="0"/>
          <w:numId w:val="0"/>
        </w:numPr>
        <w:spacing w:line="360" w:lineRule="auto"/>
        <w:ind w:left="0" w:leftChars="0" w:firstLine="0" w:firstLineChars="0"/>
        <w:outlineLvl w:val="2"/>
        <w:rPr>
          <w:rFonts w:hint="eastAsia" w:ascii="宋体" w:hAnsi="宋体" w:eastAsia="宋体" w:cs="宋体"/>
          <w:b/>
          <w:bCs/>
          <w:kern w:val="2"/>
          <w:sz w:val="21"/>
          <w:szCs w:val="21"/>
          <w:lang w:val="en-US" w:eastAsia="zh-CN" w:bidi="ar-SA"/>
        </w:rPr>
      </w:pPr>
      <w:bookmarkStart w:id="1436" w:name="_Toc6026"/>
      <w:bookmarkStart w:id="1437" w:name="_Toc14263"/>
      <w:r>
        <w:rPr>
          <w:rFonts w:hint="eastAsia" w:ascii="宋体" w:hAnsi="宋体" w:eastAsia="宋体" w:cs="宋体"/>
          <w:b/>
          <w:bCs/>
          <w:kern w:val="2"/>
          <w:sz w:val="21"/>
          <w:szCs w:val="21"/>
          <w:lang w:val="en-US" w:eastAsia="zh-CN" w:bidi="ar-SA"/>
        </w:rPr>
        <w:t>6.3排水系统</w:t>
      </w:r>
      <w:bookmarkEnd w:id="1436"/>
      <w:bookmarkEnd w:id="1437"/>
    </w:p>
    <w:p w14:paraId="55F6EC2A">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本工程室外采用雨、污分流制排水系统。冷库排水主要为制冷设备的废水，最高日生产、生活污水量为11m</w:t>
      </w:r>
      <w:r>
        <w:rPr>
          <w:rFonts w:hint="eastAsia" w:ascii="宋体" w:hAnsi="宋体" w:eastAsia="宋体" w:cs="宋体"/>
          <w:strike w:val="0"/>
          <w:sz w:val="21"/>
          <w:szCs w:val="21"/>
          <w:lang w:val="en-US" w:eastAsia="zh-CN"/>
        </w:rPr>
        <w:t>3</w:t>
      </w:r>
      <w:r>
        <w:rPr>
          <w:rFonts w:hint="eastAsia" w:ascii="宋体" w:hAnsi="宋体" w:eastAsia="宋体" w:cs="宋体"/>
          <w:sz w:val="21"/>
          <w:szCs w:val="21"/>
          <w:lang w:val="en-US" w:eastAsia="zh-CN"/>
        </w:rPr>
        <w:t>/d。</w:t>
      </w:r>
    </w:p>
    <w:p w14:paraId="5C9E9021">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冷库废水直接排入厂区排水管网，经管道收集的污水最终排至项目东南侧园区污水管网。</w:t>
      </w:r>
    </w:p>
    <w:p w14:paraId="7D51E3FA">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地下通风层等地下室废水采用潜污泵提升排至室外雨水管或污水管。</w:t>
      </w:r>
    </w:p>
    <w:p w14:paraId="1562BF13">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各设备、水池的泄水、溢流管采用间接排水方式，不与排水管道直接连接。</w:t>
      </w:r>
    </w:p>
    <w:p w14:paraId="21DC3C52">
      <w:pPr>
        <w:numPr>
          <w:ilvl w:val="0"/>
          <w:numId w:val="0"/>
        </w:numPr>
        <w:spacing w:line="360" w:lineRule="auto"/>
        <w:ind w:left="0" w:leftChars="0" w:firstLine="0" w:firstLineChars="0"/>
        <w:outlineLvl w:val="2"/>
        <w:rPr>
          <w:rFonts w:hint="eastAsia" w:ascii="宋体" w:hAnsi="宋体" w:eastAsia="宋体" w:cs="宋体"/>
          <w:b/>
          <w:bCs/>
          <w:kern w:val="2"/>
          <w:sz w:val="21"/>
          <w:szCs w:val="21"/>
          <w:lang w:val="en-US" w:eastAsia="zh-CN" w:bidi="ar-SA"/>
        </w:rPr>
      </w:pPr>
      <w:bookmarkStart w:id="1438" w:name="_bookmark99"/>
      <w:bookmarkEnd w:id="1438"/>
      <w:bookmarkStart w:id="1439" w:name="_Toc3856"/>
      <w:bookmarkStart w:id="1440" w:name="_Toc28087"/>
      <w:r>
        <w:rPr>
          <w:rFonts w:hint="eastAsia" w:ascii="宋体" w:hAnsi="宋体" w:eastAsia="宋体" w:cs="宋体"/>
          <w:b/>
          <w:bCs/>
          <w:kern w:val="2"/>
          <w:sz w:val="21"/>
          <w:szCs w:val="21"/>
          <w:lang w:val="en-US" w:eastAsia="zh-CN" w:bidi="ar-SA"/>
        </w:rPr>
        <w:t>6.4雨水系统</w:t>
      </w:r>
      <w:bookmarkEnd w:id="1439"/>
      <w:bookmarkEnd w:id="1440"/>
    </w:p>
    <w:p w14:paraId="76E4B108">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冷库屋面雨水采用外落式排水。厂区雨水采用有组织排放，室外道路及回车场设雨水口，雨水经管道排至市政雨水管。屋面雨水设计重现期为10a，厂区雨水设计重现期为3a。</w:t>
      </w:r>
    </w:p>
    <w:p w14:paraId="662ED19C">
      <w:pPr>
        <w:numPr>
          <w:ilvl w:val="0"/>
          <w:numId w:val="0"/>
        </w:numPr>
        <w:spacing w:line="360" w:lineRule="auto"/>
        <w:ind w:left="0" w:leftChars="0" w:firstLine="0" w:firstLineChars="0"/>
        <w:outlineLvl w:val="2"/>
        <w:rPr>
          <w:rFonts w:hint="eastAsia" w:ascii="宋体" w:hAnsi="宋体" w:eastAsia="宋体" w:cs="宋体"/>
          <w:b/>
          <w:bCs/>
          <w:kern w:val="2"/>
          <w:sz w:val="21"/>
          <w:szCs w:val="21"/>
          <w:lang w:val="en-US" w:eastAsia="zh-CN" w:bidi="ar-SA"/>
        </w:rPr>
      </w:pPr>
      <w:bookmarkStart w:id="1441" w:name="_Toc29085"/>
      <w:bookmarkStart w:id="1442" w:name="_Toc3117"/>
      <w:r>
        <w:rPr>
          <w:rFonts w:hint="eastAsia" w:ascii="宋体" w:hAnsi="宋体" w:eastAsia="宋体" w:cs="宋体"/>
          <w:b/>
          <w:bCs/>
          <w:kern w:val="2"/>
          <w:sz w:val="21"/>
          <w:szCs w:val="21"/>
          <w:lang w:val="en-US" w:eastAsia="zh-CN" w:bidi="ar-SA"/>
        </w:rPr>
        <w:t>6.5给水排水节能环保</w:t>
      </w:r>
      <w:bookmarkEnd w:id="1441"/>
      <w:bookmarkEnd w:id="1442"/>
    </w:p>
    <w:p w14:paraId="75A7B213">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水泵选用高效、低噪声型，并设隔振基础。水泵进出口管上设置减振软接头、柔性支吊架、缓闭止回阀等。</w:t>
      </w:r>
    </w:p>
    <w:p w14:paraId="4570B31D">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卫生洁具选用节水型。</w:t>
      </w:r>
    </w:p>
    <w:p w14:paraId="639ED31B">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给水系统采用分区供水，充分利用市政压力。</w:t>
      </w:r>
    </w:p>
    <w:p w14:paraId="4EA862F2">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水箱、水池，溢流水位均设有报警装置，防止进水阀门故障时溢流排水。</w:t>
      </w:r>
    </w:p>
    <w:p w14:paraId="62B534E1">
      <w:pPr>
        <w:pStyle w:val="31"/>
        <w:numPr>
          <w:ilvl w:val="0"/>
          <w:numId w:val="0"/>
        </w:numPr>
        <w:spacing w:line="360" w:lineRule="auto"/>
        <w:ind w:firstLine="420" w:firstLineChars="200"/>
        <w:rPr>
          <w:rFonts w:hint="eastAsia" w:ascii="宋体" w:hAnsi="宋体" w:eastAsia="宋体" w:cs="宋体"/>
          <w:b/>
          <w:bCs/>
          <w:kern w:val="2"/>
          <w:sz w:val="21"/>
          <w:szCs w:val="21"/>
          <w:lang w:val="en-US" w:eastAsia="zh-CN" w:bidi="ar-SA"/>
        </w:rPr>
      </w:pPr>
      <w:r>
        <w:rPr>
          <w:rFonts w:hint="eastAsia" w:ascii="宋体" w:hAnsi="宋体" w:eastAsia="宋体" w:cs="宋体"/>
          <w:sz w:val="21"/>
          <w:szCs w:val="21"/>
          <w:lang w:val="en-US" w:eastAsia="zh-CN"/>
        </w:rPr>
        <w:t>机房屋顶蒸发冷循环水设电化学水处理器，提高水利用率，节能减排。</w:t>
      </w:r>
    </w:p>
    <w:p w14:paraId="2F00BB45">
      <w:pPr>
        <w:numPr>
          <w:ilvl w:val="0"/>
          <w:numId w:val="0"/>
        </w:numPr>
        <w:spacing w:line="360" w:lineRule="auto"/>
        <w:ind w:left="0" w:leftChars="0" w:firstLine="0" w:firstLineChars="0"/>
        <w:outlineLvl w:val="2"/>
        <w:rPr>
          <w:rFonts w:hint="eastAsia" w:ascii="宋体" w:hAnsi="宋体" w:eastAsia="宋体" w:cs="宋体"/>
          <w:b/>
          <w:bCs/>
          <w:kern w:val="2"/>
          <w:sz w:val="21"/>
          <w:szCs w:val="21"/>
          <w:lang w:val="en-US" w:eastAsia="zh-CN" w:bidi="ar-SA"/>
        </w:rPr>
      </w:pPr>
      <w:bookmarkStart w:id="1443" w:name="_bookmark102"/>
      <w:bookmarkEnd w:id="1443"/>
      <w:bookmarkStart w:id="1444" w:name="_Toc5518"/>
      <w:bookmarkStart w:id="1445" w:name="_Toc1561"/>
      <w:r>
        <w:rPr>
          <w:rFonts w:hint="eastAsia" w:ascii="宋体" w:hAnsi="宋体" w:eastAsia="宋体" w:cs="宋体"/>
          <w:b/>
          <w:bCs/>
          <w:kern w:val="2"/>
          <w:sz w:val="21"/>
          <w:szCs w:val="21"/>
          <w:lang w:val="en-US" w:eastAsia="zh-CN" w:bidi="ar-SA"/>
        </w:rPr>
        <w:t>6.6卫生防疫</w:t>
      </w:r>
      <w:bookmarkEnd w:id="1444"/>
      <w:bookmarkEnd w:id="1445"/>
    </w:p>
    <w:p w14:paraId="39AB7CE9">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各单体给水入户管设止回阀或倒流防止器。</w:t>
      </w:r>
    </w:p>
    <w:p w14:paraId="4BACB01D">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室内各排水点均设水封或存水弯。</w:t>
      </w:r>
    </w:p>
    <w:p w14:paraId="6C2480D3">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冷库用水点配水龙头选用陶瓷芯节水龙头。</w:t>
      </w:r>
    </w:p>
    <w:p w14:paraId="65D4D2DA">
      <w:pPr>
        <w:numPr>
          <w:ilvl w:val="0"/>
          <w:numId w:val="0"/>
        </w:numPr>
        <w:spacing w:line="360" w:lineRule="auto"/>
        <w:ind w:left="0" w:leftChars="0" w:firstLine="0" w:firstLineChars="0"/>
        <w:outlineLvl w:val="1"/>
        <w:rPr>
          <w:rFonts w:hint="default" w:ascii="宋体" w:hAnsi="宋体" w:eastAsia="宋体" w:cs="宋体"/>
          <w:b/>
          <w:bCs/>
          <w:sz w:val="21"/>
          <w:szCs w:val="21"/>
          <w:lang w:val="en-US" w:eastAsia="zh-CN"/>
        </w:rPr>
      </w:pPr>
      <w:bookmarkStart w:id="1446" w:name="_Toc5211"/>
      <w:bookmarkStart w:id="1447" w:name="_Toc4638"/>
      <w:r>
        <w:rPr>
          <w:rFonts w:hint="eastAsia" w:ascii="宋体" w:hAnsi="宋体" w:eastAsia="宋体" w:cs="宋体"/>
          <w:b/>
          <w:bCs/>
          <w:sz w:val="21"/>
          <w:szCs w:val="21"/>
          <w:lang w:val="en-US" w:eastAsia="zh-CN"/>
        </w:rPr>
        <w:t>7、通风、防排烟设计</w:t>
      </w:r>
      <w:bookmarkEnd w:id="1446"/>
      <w:bookmarkEnd w:id="1447"/>
    </w:p>
    <w:p w14:paraId="75ED59C9">
      <w:pPr>
        <w:numPr>
          <w:ilvl w:val="0"/>
          <w:numId w:val="0"/>
        </w:numPr>
        <w:spacing w:line="360" w:lineRule="auto"/>
        <w:ind w:left="0" w:leftChars="0" w:firstLine="0" w:firstLineChars="0"/>
        <w:outlineLvl w:val="2"/>
        <w:rPr>
          <w:rFonts w:hint="eastAsia" w:ascii="宋体" w:hAnsi="宋体" w:eastAsia="宋体" w:cs="宋体"/>
          <w:b/>
          <w:bCs/>
          <w:kern w:val="2"/>
          <w:sz w:val="21"/>
          <w:szCs w:val="21"/>
          <w:lang w:val="en-US" w:eastAsia="zh-CN" w:bidi="ar-SA"/>
        </w:rPr>
      </w:pPr>
      <w:bookmarkStart w:id="1448" w:name="_Toc16817"/>
      <w:bookmarkStart w:id="1449" w:name="_Toc16821"/>
      <w:r>
        <w:rPr>
          <w:rFonts w:hint="eastAsia" w:ascii="宋体" w:hAnsi="宋体" w:eastAsia="宋体" w:cs="宋体"/>
          <w:b/>
          <w:bCs/>
          <w:kern w:val="2"/>
          <w:sz w:val="21"/>
          <w:szCs w:val="21"/>
          <w:lang w:val="en-US" w:eastAsia="zh-CN" w:bidi="ar-SA"/>
        </w:rPr>
        <w:t>7.1设计依据：</w:t>
      </w:r>
      <w:bookmarkEnd w:id="1448"/>
      <w:bookmarkEnd w:id="1449"/>
    </w:p>
    <w:p w14:paraId="6084DB2F">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《工业建筑供暖通风与空气调节设计规范》GB 50019-2015</w:t>
      </w:r>
    </w:p>
    <w:p w14:paraId="56ECF6CD">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《建筑设计防火规范》GB 50016-2014（2018 版）</w:t>
      </w:r>
    </w:p>
    <w:p w14:paraId="721EC2C8">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《建筑防烟排烟系统技术标准》GB 51251-2017</w:t>
      </w:r>
    </w:p>
    <w:p w14:paraId="70D0E798">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《建筑机电工程抗震设计规范》GB 50981-2014</w:t>
      </w:r>
    </w:p>
    <w:p w14:paraId="373DB953">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《冷库设计规范》GB 50072-2010</w:t>
      </w:r>
    </w:p>
    <w:p w14:paraId="2A5B6F16">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《工业建筑节能设计统一标准》GB 51245-2017</w:t>
      </w:r>
    </w:p>
    <w:p w14:paraId="49B85C00">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《通风与空调工程施工质量验收规范》GB 50243-2016</w:t>
      </w:r>
    </w:p>
    <w:p w14:paraId="655C487C">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《建筑给水排水及供暖工程施工质量验收规范》GB 50242-2002</w:t>
      </w:r>
    </w:p>
    <w:p w14:paraId="6F726721">
      <w:pPr>
        <w:numPr>
          <w:ilvl w:val="0"/>
          <w:numId w:val="0"/>
        </w:numPr>
        <w:spacing w:line="360" w:lineRule="auto"/>
        <w:ind w:left="0" w:leftChars="0" w:firstLine="0" w:firstLineChars="0"/>
        <w:outlineLvl w:val="2"/>
        <w:rPr>
          <w:rFonts w:hint="eastAsia" w:ascii="宋体" w:hAnsi="宋体" w:eastAsia="宋体" w:cs="宋体"/>
          <w:b/>
          <w:bCs/>
          <w:kern w:val="2"/>
          <w:sz w:val="21"/>
          <w:szCs w:val="21"/>
          <w:lang w:val="en-US" w:eastAsia="zh-CN" w:bidi="ar-SA"/>
        </w:rPr>
      </w:pPr>
      <w:bookmarkStart w:id="1450" w:name="_Toc3254"/>
      <w:bookmarkStart w:id="1451" w:name="_Toc26597"/>
      <w:r>
        <w:rPr>
          <w:rFonts w:hint="eastAsia" w:ascii="宋体" w:hAnsi="宋体" w:eastAsia="宋体" w:cs="宋体"/>
          <w:b/>
          <w:bCs/>
          <w:kern w:val="2"/>
          <w:sz w:val="21"/>
          <w:szCs w:val="21"/>
          <w:lang w:val="en-US" w:eastAsia="zh-CN" w:bidi="ar-SA"/>
        </w:rPr>
        <w:t>7.2通风系统</w:t>
      </w:r>
      <w:bookmarkEnd w:id="1450"/>
      <w:bookmarkEnd w:id="1451"/>
    </w:p>
    <w:p w14:paraId="5DEBAAC5">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（1）事故通风</w:t>
      </w:r>
    </w:p>
    <w:p w14:paraId="6A1181E6">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（氟）制冷机房、叉车充电间设事故排风。</w:t>
      </w:r>
    </w:p>
    <w:p w14:paraId="339AD821">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制冷机房事故通风按换气次数大于12 次/h 计算。事故排风机置于外墙低处，排风口距离机房地面不大于 0.3m。</w:t>
      </w:r>
    </w:p>
    <w:p w14:paraId="230097AE">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叉车充电间事故通风按换气次数大于 12 次/h 计算。事故排风机采用防爆型排风机。事故排风机均置于外墙高处；事故通风设施均安装导除静电的接地装置。</w:t>
      </w:r>
    </w:p>
    <w:p w14:paraId="282AF00E">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（2）冷藏间（高温库）均设通风换气系统。</w:t>
      </w:r>
    </w:p>
    <w:p w14:paraId="70123036">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（3）卫生间、更衣室设置机械通风系统。卫生间换气次数按不小于 8-10 次/小时计算，更衣室换气次数按不小于 5-8 次/小时计算。排风设备带防倒流装置。</w:t>
      </w:r>
    </w:p>
    <w:p w14:paraId="1A2ED343">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（4）变配电间设置机械通风系统，通风量按不小于 15-18 次/小时计算，同时机房设置分体空调，保证设备正常运行。</w:t>
      </w:r>
    </w:p>
    <w:p w14:paraId="0873DAD7">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（5）室外新风口、送风口距排风口距离 10m 以上，或排风口高出新风口、送风口 3 米。</w:t>
      </w:r>
    </w:p>
    <w:p w14:paraId="3B7C7109">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（6）与低温房间有关的一切风道，皆采取防结露及防冷桥措施；送、排风道皆考虑防结露、防冷桥及凝结水的排放。为防止“结露”通风换气阀门均采用密闭型阀门。</w:t>
      </w:r>
    </w:p>
    <w:p w14:paraId="7471DB03">
      <w:pPr>
        <w:numPr>
          <w:ilvl w:val="0"/>
          <w:numId w:val="0"/>
        </w:numPr>
        <w:spacing w:line="360" w:lineRule="auto"/>
        <w:ind w:left="0" w:leftChars="0" w:firstLine="0" w:firstLineChars="0"/>
        <w:outlineLvl w:val="2"/>
        <w:rPr>
          <w:rFonts w:hint="eastAsia" w:ascii="宋体" w:hAnsi="宋体" w:eastAsia="宋体" w:cs="宋体"/>
          <w:b/>
          <w:bCs/>
          <w:kern w:val="2"/>
          <w:sz w:val="21"/>
          <w:szCs w:val="21"/>
          <w:lang w:val="en-US" w:eastAsia="zh-CN" w:bidi="ar-SA"/>
        </w:rPr>
      </w:pPr>
      <w:bookmarkStart w:id="1452" w:name="_Toc24629"/>
      <w:r>
        <w:rPr>
          <w:rFonts w:hint="eastAsia" w:ascii="宋体" w:hAnsi="宋体" w:eastAsia="宋体" w:cs="宋体"/>
          <w:b/>
          <w:bCs/>
          <w:kern w:val="2"/>
          <w:sz w:val="21"/>
          <w:szCs w:val="21"/>
          <w:lang w:val="en-US" w:eastAsia="zh-CN" w:bidi="ar-SA"/>
        </w:rPr>
        <w:t>7.3防排烟系统</w:t>
      </w:r>
      <w:bookmarkEnd w:id="1452"/>
    </w:p>
    <w:p w14:paraId="1175F3C3">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各单体建筑将按《建筑设计防火规范》、《建筑防烟排烟系统技术标准》的要求设置防、排烟系统。</w:t>
      </w:r>
    </w:p>
    <w:p w14:paraId="764B3E24">
      <w:pPr>
        <w:numPr>
          <w:ilvl w:val="0"/>
          <w:numId w:val="0"/>
        </w:numPr>
        <w:spacing w:line="360" w:lineRule="auto"/>
        <w:ind w:left="0" w:leftChars="0" w:firstLine="0" w:firstLineChars="0"/>
        <w:outlineLvl w:val="2"/>
        <w:rPr>
          <w:rFonts w:hint="eastAsia" w:ascii="宋体" w:hAnsi="宋体" w:eastAsia="宋体" w:cs="宋体"/>
          <w:b/>
          <w:bCs/>
          <w:kern w:val="2"/>
          <w:sz w:val="21"/>
          <w:szCs w:val="21"/>
          <w:lang w:val="en-US" w:eastAsia="zh-CN" w:bidi="ar-SA"/>
        </w:rPr>
      </w:pPr>
      <w:bookmarkStart w:id="1453" w:name="_bookmark112"/>
      <w:bookmarkEnd w:id="1453"/>
      <w:bookmarkStart w:id="1454" w:name="_Toc6000"/>
      <w:bookmarkStart w:id="1455" w:name="_Toc32550"/>
      <w:r>
        <w:rPr>
          <w:rFonts w:hint="eastAsia" w:ascii="宋体" w:hAnsi="宋体" w:eastAsia="宋体" w:cs="宋体"/>
          <w:b/>
          <w:bCs/>
          <w:kern w:val="2"/>
          <w:sz w:val="21"/>
          <w:szCs w:val="21"/>
          <w:lang w:val="en-US" w:eastAsia="zh-CN" w:bidi="ar-SA"/>
        </w:rPr>
        <w:t>7.4节能及环保措施</w:t>
      </w:r>
      <w:bookmarkEnd w:id="1454"/>
      <w:bookmarkEnd w:id="1455"/>
    </w:p>
    <w:p w14:paraId="74236D18">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1、按照功能区域的实际温度要求，尽量提高房间的空调设计温度，分区确定温度，最大程度降低热力消耗量。</w:t>
      </w:r>
    </w:p>
    <w:p w14:paraId="27428EA6">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2、空调风管及水管做好保温处理，以降低冷损失 。</w:t>
      </w:r>
    </w:p>
    <w:p w14:paraId="28EF72EE">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3、空调主机的制冷工质为新型环保冷媒 R134a，有利于保护环境。</w:t>
      </w:r>
    </w:p>
    <w:p w14:paraId="72CA29DE">
      <w:pPr>
        <w:numPr>
          <w:ilvl w:val="0"/>
          <w:numId w:val="0"/>
        </w:numPr>
        <w:spacing w:line="360" w:lineRule="auto"/>
        <w:ind w:left="0" w:leftChars="0" w:firstLine="0" w:firstLineChars="0"/>
        <w:outlineLvl w:val="1"/>
        <w:rPr>
          <w:rFonts w:hint="default" w:ascii="宋体" w:hAnsi="宋体" w:eastAsia="宋体" w:cs="宋体"/>
          <w:b/>
          <w:bCs/>
          <w:sz w:val="21"/>
          <w:szCs w:val="21"/>
          <w:lang w:val="en-US" w:eastAsia="zh-CN"/>
        </w:rPr>
      </w:pPr>
      <w:bookmarkStart w:id="1456" w:name="_Toc6642"/>
      <w:bookmarkStart w:id="1457" w:name="_Toc28986"/>
      <w:r>
        <w:rPr>
          <w:rFonts w:hint="eastAsia" w:ascii="宋体" w:hAnsi="宋体" w:eastAsia="宋体" w:cs="宋体"/>
          <w:b/>
          <w:bCs/>
          <w:sz w:val="21"/>
          <w:szCs w:val="21"/>
          <w:lang w:val="en-US" w:eastAsia="zh-CN"/>
        </w:rPr>
        <w:t>8、电气设计</w:t>
      </w:r>
      <w:bookmarkEnd w:id="1456"/>
      <w:bookmarkEnd w:id="1457"/>
    </w:p>
    <w:p w14:paraId="71765804">
      <w:pPr>
        <w:numPr>
          <w:ilvl w:val="0"/>
          <w:numId w:val="0"/>
        </w:numPr>
        <w:spacing w:line="360" w:lineRule="auto"/>
        <w:ind w:left="0" w:leftChars="0" w:firstLine="0" w:firstLineChars="0"/>
        <w:outlineLvl w:val="2"/>
        <w:rPr>
          <w:rFonts w:hint="eastAsia" w:ascii="宋体" w:hAnsi="宋体" w:eastAsia="宋体" w:cs="宋体"/>
          <w:b/>
          <w:bCs/>
          <w:kern w:val="2"/>
          <w:sz w:val="21"/>
          <w:szCs w:val="21"/>
          <w:lang w:val="en-US" w:eastAsia="zh-CN" w:bidi="ar-SA"/>
        </w:rPr>
      </w:pPr>
      <w:bookmarkStart w:id="1458" w:name="_Toc7347"/>
      <w:bookmarkStart w:id="1459" w:name="_Toc16322"/>
      <w:r>
        <w:rPr>
          <w:rFonts w:hint="eastAsia" w:ascii="宋体" w:hAnsi="宋体" w:eastAsia="宋体" w:cs="宋体"/>
          <w:b/>
          <w:bCs/>
          <w:kern w:val="2"/>
          <w:sz w:val="21"/>
          <w:szCs w:val="21"/>
          <w:lang w:val="en-US" w:eastAsia="zh-CN" w:bidi="ar-SA"/>
        </w:rPr>
        <w:t>8.1设计依据</w:t>
      </w:r>
      <w:bookmarkEnd w:id="1458"/>
      <w:bookmarkEnd w:id="1459"/>
    </w:p>
    <w:p w14:paraId="113B5952">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国家现行的有关规范、规程及相关行业标准</w:t>
      </w:r>
    </w:p>
    <w:p w14:paraId="5276D1E2">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《供配电系统设计规范》GB 50052－2009</w:t>
      </w:r>
    </w:p>
    <w:p w14:paraId="295EBBAB">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《20kV及以下变电所设计规范》GB 50053-2013</w:t>
      </w:r>
    </w:p>
    <w:p w14:paraId="6FB5878A">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《低压配电设计规范》GB 50054－2011</w:t>
      </w:r>
    </w:p>
    <w:p w14:paraId="13A8E03C">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《电力工程电缆设计标准》GB 50217－2018</w:t>
      </w:r>
    </w:p>
    <w:p w14:paraId="28525A33">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《通用用电设备配电设计规范》GB 50055－2011</w:t>
      </w:r>
    </w:p>
    <w:p w14:paraId="18A8ED80">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《建筑物防雷设计规范》GB 50057-2010</w:t>
      </w:r>
    </w:p>
    <w:p w14:paraId="046BB6C5">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《建筑设计防火规范》GB 50016-2014（2018 年版）</w:t>
      </w:r>
    </w:p>
    <w:p w14:paraId="2BF65A64">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《冷库设计标准》GB 50072－2021</w:t>
      </w:r>
    </w:p>
    <w:p w14:paraId="40AAF9E6">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《建筑照明设计标准》GB 50034－2024</w:t>
      </w:r>
    </w:p>
    <w:p w14:paraId="2605BD93">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《火灾自动报警系统设计规范》GB 50116-2013</w:t>
      </w:r>
    </w:p>
    <w:p w14:paraId="6095B34E">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《消防应急照明和疏散指示系统技术标准》GB 51309-2018</w:t>
      </w:r>
    </w:p>
    <w:p w14:paraId="3116DF67">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《建筑机电工程抗震设计规范》GB 50981-2014</w:t>
      </w:r>
    </w:p>
    <w:p w14:paraId="33A14D84">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《建筑电气与智能化通用规范》GB 55024-2022</w:t>
      </w:r>
    </w:p>
    <w:p w14:paraId="6F81ECAA">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《消防设施通用规范》GB 55036-2022</w:t>
      </w:r>
    </w:p>
    <w:p w14:paraId="720B4307">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《工业建筑节能设计统一标准》GB 51245-2017 </w:t>
      </w:r>
    </w:p>
    <w:p w14:paraId="5D819B48">
      <w:pPr>
        <w:numPr>
          <w:ilvl w:val="0"/>
          <w:numId w:val="0"/>
        </w:numPr>
        <w:spacing w:line="360" w:lineRule="auto"/>
        <w:ind w:left="0" w:leftChars="0" w:firstLine="0" w:firstLineChars="0"/>
        <w:outlineLvl w:val="2"/>
        <w:rPr>
          <w:rFonts w:hint="eastAsia" w:ascii="宋体" w:hAnsi="宋体" w:eastAsia="宋体" w:cs="宋体"/>
          <w:b/>
          <w:bCs/>
          <w:kern w:val="2"/>
          <w:sz w:val="21"/>
          <w:szCs w:val="21"/>
          <w:lang w:val="en-US" w:eastAsia="zh-CN" w:bidi="ar-SA"/>
        </w:rPr>
      </w:pPr>
      <w:bookmarkStart w:id="1460" w:name="_Toc13117"/>
      <w:bookmarkStart w:id="1461" w:name="_Toc2520"/>
      <w:r>
        <w:rPr>
          <w:rFonts w:hint="eastAsia" w:ascii="宋体" w:hAnsi="宋体" w:eastAsia="宋体" w:cs="宋体"/>
          <w:b/>
          <w:bCs/>
          <w:kern w:val="2"/>
          <w:sz w:val="21"/>
          <w:szCs w:val="21"/>
          <w:lang w:val="en-US" w:eastAsia="zh-CN" w:bidi="ar-SA"/>
        </w:rPr>
        <w:t>8.2  10/0.4kV变配电系统</w:t>
      </w:r>
      <w:bookmarkEnd w:id="1460"/>
      <w:bookmarkEnd w:id="1461"/>
    </w:p>
    <w:p w14:paraId="555A5A60">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（1）负荷等级：本工程消防用电设备、应急照明及疏散指示、冷库保温负荷及相关物流用电为二级负荷，其他为三级负荷。</w:t>
      </w:r>
    </w:p>
    <w:p w14:paraId="05E1E346">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（2）供电电源及电压等级：本工程由园区外市政电网提供 2 路 10kV电源设置在变配电间，外线由业主负责，分界点为变配电间外墙。</w:t>
      </w:r>
    </w:p>
    <w:p w14:paraId="5B79BE38">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10kV电源侧采用单母线分段运行，两端母线间设母联开关。0.4kV电源侧采用单母线分段运行，两段母线间设置联络开关（手投手复）。变压器均为分列运行，一台变压器检修或故障时，由另一台变压器承担其重要负荷的供电。</w:t>
      </w:r>
    </w:p>
    <w:p w14:paraId="0ABD5072">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无功补偿采用低压侧集中自动补偿方式，补偿后功率因数不低于0.90。无功补偿采用智能模块式混合滤波补偿装置，由无源模块动态调节无功功率并抑制特征次负载谐波电流，同时有源滤波模块动态消除谐波。提高功率因数，抑制系统谐波，改善电能质量，节能增效。</w:t>
      </w:r>
    </w:p>
    <w:p w14:paraId="7AD417AA">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本工程采用高压计量，高压设备为直流电源操作，采用铅酸免维护电池作为操作、继电保护及信号用工作电源。低压配电柜各出线回路设置分项智能计量仪表，对其电压、电流、有功功率、功率因数等参数监测，满足用电分项计量的要求。</w:t>
      </w:r>
    </w:p>
    <w:p w14:paraId="1FFC962C">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（6）变配电系统采用电力监控系统，对配电系统进行实时系统监测,提供数据采集与处理、状态监测、故障报警、事件记录、历史数据查询及报表打印等众多功能。</w:t>
      </w:r>
    </w:p>
    <w:p w14:paraId="7CCEA53F">
      <w:pPr>
        <w:numPr>
          <w:ilvl w:val="0"/>
          <w:numId w:val="0"/>
        </w:numPr>
        <w:spacing w:line="360" w:lineRule="auto"/>
        <w:ind w:left="0" w:leftChars="0" w:firstLine="0" w:firstLineChars="0"/>
        <w:outlineLvl w:val="2"/>
        <w:rPr>
          <w:rFonts w:hint="eastAsia" w:ascii="宋体" w:hAnsi="宋体" w:eastAsia="宋体" w:cs="宋体"/>
          <w:b/>
          <w:bCs/>
          <w:kern w:val="2"/>
          <w:sz w:val="21"/>
          <w:szCs w:val="21"/>
          <w:lang w:val="en-US" w:eastAsia="zh-CN" w:bidi="ar-SA"/>
        </w:rPr>
      </w:pPr>
      <w:bookmarkStart w:id="1462" w:name="_bookmark119"/>
      <w:bookmarkEnd w:id="1462"/>
      <w:bookmarkStart w:id="1463" w:name="_Toc9013"/>
      <w:bookmarkStart w:id="1464" w:name="_Toc21929"/>
      <w:r>
        <w:rPr>
          <w:rFonts w:hint="eastAsia" w:ascii="宋体" w:hAnsi="宋体" w:eastAsia="宋体" w:cs="宋体"/>
          <w:b/>
          <w:bCs/>
          <w:kern w:val="2"/>
          <w:sz w:val="21"/>
          <w:szCs w:val="21"/>
          <w:lang w:val="en-US" w:eastAsia="zh-CN" w:bidi="ar-SA"/>
        </w:rPr>
        <w:t>8.3低压配电系统</w:t>
      </w:r>
      <w:bookmarkEnd w:id="1463"/>
      <w:bookmarkEnd w:id="1464"/>
    </w:p>
    <w:p w14:paraId="22533A5B">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（1）低压配电系统采用放射式与树干式相结合的方式。对制冷压缩机等主要设备采用放射式供电，一般负荷采用树干式与放射式相结合的供电方式。消防设备用电采用两回路供电，末端互投。</w:t>
      </w:r>
    </w:p>
    <w:p w14:paraId="38F8FD97">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（2）由变配电间至各单体的配电线路采用铜芯电缆室外穿管埋地敷设。各建筑内配电线路采</w:t>
      </w:r>
      <w:r>
        <w:rPr>
          <w:rFonts w:hint="eastAsia" w:ascii="宋体" w:hAnsi="宋体" w:eastAsia="宋体" w:cs="宋体"/>
          <w:color w:val="000000"/>
          <w:sz w:val="21"/>
          <w:szCs w:val="21"/>
          <w:lang w:val="en-US" w:eastAsia="zh-CN"/>
        </w:rPr>
        <w:t>用交联聚乙烯电缆或铝合金电缆沿</w:t>
      </w:r>
      <w:r>
        <w:rPr>
          <w:rFonts w:hint="eastAsia" w:ascii="宋体" w:hAnsi="宋体" w:eastAsia="宋体" w:cs="宋体"/>
          <w:sz w:val="21"/>
          <w:szCs w:val="21"/>
          <w:lang w:val="en-US" w:eastAsia="zh-CN"/>
        </w:rPr>
        <w:t>电缆槽盒敷设，引出电缆槽盒沿墙、顶板或梁穿管敷设。冷藏间采用硅橡胶绝缘硅橡胶护套电力电缆配电。</w:t>
      </w:r>
    </w:p>
    <w:p w14:paraId="488ED72C">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消防负荷采用双电源供电，末端自动切换。消防用电设备配线采用耐火电缆或矿物绝缘电缆（线），沿专用密闭电缆线槽敷设或穿钢管敷设。明敷时电缆线槽及穿管需外涂防火涂料，暗敷时应敷设在不小于30mm的非燃烧体结构保护层内。向同一消防负荷供电的两回路电源设在一个密闭槽盒时用隔板隔开。</w:t>
      </w:r>
    </w:p>
    <w:p w14:paraId="6A932B81">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消防设备的控制箱（柜）上应有明显的“消防”标志，并符合消防规范要求。消防设备过载报警不跳闸。</w:t>
      </w:r>
    </w:p>
    <w:p w14:paraId="41034CEE">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（4）事故排风机控制按钮安装在机房门外，事故排风机过载只报警不跳闸。</w:t>
      </w:r>
    </w:p>
    <w:p w14:paraId="36171190">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（5）本工程小于15kW的电动机采用直接启动；18.5kW（含18.5kW）以上电动机采用软启动（消防用电设备除外）。</w:t>
      </w:r>
    </w:p>
    <w:p w14:paraId="5A4FDB41">
      <w:pPr>
        <w:numPr>
          <w:ilvl w:val="0"/>
          <w:numId w:val="0"/>
        </w:numPr>
        <w:spacing w:line="360" w:lineRule="auto"/>
        <w:ind w:left="0" w:leftChars="0" w:firstLine="0" w:firstLineChars="0"/>
        <w:outlineLvl w:val="2"/>
        <w:rPr>
          <w:rFonts w:hint="eastAsia" w:ascii="宋体" w:hAnsi="宋体" w:eastAsia="宋体" w:cs="宋体"/>
          <w:b/>
          <w:bCs/>
          <w:kern w:val="2"/>
          <w:sz w:val="21"/>
          <w:szCs w:val="21"/>
          <w:lang w:val="en-US" w:eastAsia="zh-CN" w:bidi="ar-SA"/>
        </w:rPr>
      </w:pPr>
      <w:bookmarkStart w:id="1465" w:name="_bookmark120"/>
      <w:bookmarkEnd w:id="1465"/>
      <w:bookmarkStart w:id="1466" w:name="_Toc21157"/>
      <w:bookmarkStart w:id="1467" w:name="_Toc18559"/>
      <w:r>
        <w:rPr>
          <w:rFonts w:hint="eastAsia" w:ascii="宋体" w:hAnsi="宋体" w:eastAsia="宋体" w:cs="宋体"/>
          <w:b/>
          <w:bCs/>
          <w:kern w:val="2"/>
          <w:sz w:val="21"/>
          <w:szCs w:val="21"/>
          <w:lang w:val="en-US" w:eastAsia="zh-CN" w:bidi="ar-SA"/>
        </w:rPr>
        <w:t>8.4照明配电系统</w:t>
      </w:r>
      <w:bookmarkEnd w:id="1466"/>
      <w:bookmarkEnd w:id="1467"/>
    </w:p>
    <w:p w14:paraId="67FA1701">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（1）照明种类及照度标准</w:t>
      </w:r>
    </w:p>
    <w:p w14:paraId="0365337E">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照明种类：照明分正常照明和应急照明。</w:t>
      </w:r>
    </w:p>
    <w:p w14:paraId="6B5A74F8">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照度标准：按现行国家标准《建筑照明设计标准》GB/T50034-2024及《冷库设计标准》GB50072-2021执行</w:t>
      </w:r>
    </w:p>
    <w:p w14:paraId="67B3E805">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（2）光源、灯具选择及控制方式</w:t>
      </w:r>
    </w:p>
    <w:p w14:paraId="61AE2A27">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冷藏间采用冷库专用LED照明灯具；穿堂及冲霜泵房采用防潮型LED灯，其它场所按常规设计。</w:t>
      </w:r>
    </w:p>
    <w:p w14:paraId="32B9E12A">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灯具光源选用高效节能型LED灯，冷藏间内照明在穿堂照明配电箱上集中控制，楼梯间采用自熄式开关，其它场所均为就地控制。</w:t>
      </w:r>
    </w:p>
    <w:p w14:paraId="267124C9">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（3）应急照明及疏散指示系统</w:t>
      </w:r>
    </w:p>
    <w:p w14:paraId="2F66251C">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建筑内疏散照明的地面最低水平照度应符合下列规定:疏散走道不应低于为 3.0lx；疏散楼梯间及其前室或合用前室、避难走道、消防专用通道不应低于10.0lx。</w:t>
      </w:r>
    </w:p>
    <w:p w14:paraId="074714C0">
      <w:pPr>
        <w:pStyle w:val="31"/>
        <w:numPr>
          <w:ilvl w:val="0"/>
          <w:numId w:val="0"/>
        </w:numPr>
        <w:spacing w:line="360" w:lineRule="auto"/>
        <w:ind w:firstLine="420" w:firstLineChars="200"/>
        <w:rPr>
          <w:rFonts w:hint="eastAsia" w:ascii="宋体" w:hAnsi="宋体" w:eastAsia="宋体" w:cs="宋体"/>
          <w:color w:val="7030A0"/>
          <w:sz w:val="21"/>
          <w:szCs w:val="21"/>
          <w:lang w:val="en-US" w:eastAsia="zh-CN"/>
        </w:rPr>
      </w:pPr>
      <w:r>
        <w:rPr>
          <w:rFonts w:hint="eastAsia" w:ascii="宋体" w:hAnsi="宋体" w:eastAsia="宋体" w:cs="宋体"/>
          <w:sz w:val="21"/>
          <w:szCs w:val="21"/>
          <w:lang w:val="en-US" w:eastAsia="zh-CN"/>
        </w:rPr>
        <w:t>应急照明系统采用集中电源供电方式的集中控制型（A型）消防应急疏散照明系统,保证系统所有设备灯具受到监控，以使火灾发生时能够确保提供快速可靠的照明。应急照明灯具采用非持续型；疏散指示（标志灯）采用持续型。火灾时应急照明系统连续供电时间不少于30min；非火灾状态正常照明停电时，应急照明系统连续供电时间不少于30min。</w:t>
      </w:r>
    </w:p>
    <w:p w14:paraId="03DDCC01">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变配电间、消防设备用房照明采用双路电源供电，设备用照明、疏散照明和疏散指示标志，备用照明火灾时保证正常照度，疏散照明的地面最低水平照度不应低于1.0lx。</w:t>
      </w:r>
    </w:p>
    <w:p w14:paraId="1B4DFF04">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应急照明灯具不应采用玻璃或其他易碎材料制作的保护罩，并应符合GB13495.1-2015和GB51309-2018的规定.</w:t>
      </w:r>
    </w:p>
    <w:p w14:paraId="3C7442E7">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（4）照明、插座分别由不同的支路供电，冷间及插座支路（空调插座除外）均设置剩余电流保护装置。</w:t>
      </w:r>
    </w:p>
    <w:p w14:paraId="53963BB2">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（5）所有灯具均应增加一根 PE 线。</w:t>
      </w:r>
    </w:p>
    <w:p w14:paraId="66B26CCA">
      <w:pPr>
        <w:numPr>
          <w:ilvl w:val="0"/>
          <w:numId w:val="0"/>
        </w:numPr>
        <w:spacing w:line="360" w:lineRule="auto"/>
        <w:ind w:left="0" w:leftChars="0" w:firstLine="0" w:firstLineChars="0"/>
        <w:outlineLvl w:val="2"/>
        <w:rPr>
          <w:rFonts w:hint="eastAsia" w:ascii="宋体" w:hAnsi="宋体" w:eastAsia="宋体" w:cs="宋体"/>
          <w:b/>
          <w:bCs/>
          <w:color w:val="auto"/>
          <w:kern w:val="2"/>
          <w:sz w:val="21"/>
          <w:szCs w:val="21"/>
          <w:lang w:val="en-US" w:eastAsia="zh-CN" w:bidi="ar-SA"/>
        </w:rPr>
      </w:pPr>
      <w:bookmarkStart w:id="1468" w:name="_Toc11225"/>
      <w:bookmarkStart w:id="1469" w:name="_Toc15296"/>
      <w:r>
        <w:rPr>
          <w:rFonts w:hint="eastAsia" w:ascii="宋体" w:hAnsi="宋体" w:eastAsia="宋体" w:cs="宋体"/>
          <w:b/>
          <w:bCs/>
          <w:color w:val="auto"/>
          <w:kern w:val="2"/>
          <w:sz w:val="21"/>
          <w:szCs w:val="21"/>
          <w:lang w:val="en-US" w:eastAsia="zh-CN" w:bidi="ar-SA"/>
        </w:rPr>
        <w:t>8.5防雷保护、安全措施及接地系统</w:t>
      </w:r>
      <w:bookmarkEnd w:id="1468"/>
      <w:bookmarkEnd w:id="1469"/>
    </w:p>
    <w:p w14:paraId="494BB6C5">
      <w:pPr>
        <w:pStyle w:val="31"/>
        <w:numPr>
          <w:ilvl w:val="0"/>
          <w:numId w:val="0"/>
        </w:numPr>
        <w:spacing w:line="360" w:lineRule="auto"/>
        <w:ind w:left="0" w:leftChars="0" w:firstLine="420" w:firstLineChars="200"/>
        <w:outlineLvl w:val="3"/>
        <w:rPr>
          <w:rFonts w:hint="eastAsia" w:ascii="宋体" w:hAnsi="宋体" w:eastAsia="宋体" w:cs="宋体"/>
          <w:sz w:val="21"/>
          <w:szCs w:val="21"/>
          <w:lang w:val="en-US" w:eastAsia="zh-CN"/>
        </w:rPr>
      </w:pPr>
      <w:bookmarkStart w:id="1470" w:name="_Toc7031"/>
      <w:bookmarkStart w:id="1471" w:name="_Toc12436"/>
      <w:r>
        <w:rPr>
          <w:rFonts w:hint="eastAsia" w:ascii="宋体" w:hAnsi="宋体" w:eastAsia="宋体" w:cs="宋体"/>
          <w:sz w:val="21"/>
          <w:szCs w:val="21"/>
          <w:lang w:val="en-US" w:eastAsia="zh-CN"/>
        </w:rPr>
        <w:t>1、防雷保护</w:t>
      </w:r>
      <w:bookmarkEnd w:id="1470"/>
      <w:bookmarkEnd w:id="1471"/>
    </w:p>
    <w:p w14:paraId="368009E8">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本工程屋顶设接闪带（二类防雷敷设10m*10m或12m*8m接闪网格，三类防雷敷设20m*20m或24m*16m的接闪网格），或利用金属物面作为防直击雷的接闪器；利用建筑物结构柱内的主筋或钢柱作引下线，利用结构基础内钢筋网作接地体。</w:t>
      </w:r>
    </w:p>
    <w:p w14:paraId="58F1134E">
      <w:pPr>
        <w:pStyle w:val="31"/>
        <w:numPr>
          <w:ilvl w:val="0"/>
          <w:numId w:val="0"/>
        </w:numPr>
        <w:spacing w:line="360" w:lineRule="auto"/>
        <w:ind w:left="0" w:leftChars="0" w:firstLine="420" w:firstLineChars="200"/>
        <w:outlineLvl w:val="3"/>
        <w:rPr>
          <w:rFonts w:hint="eastAsia" w:ascii="宋体" w:hAnsi="宋体" w:eastAsia="宋体" w:cs="宋体"/>
          <w:sz w:val="21"/>
          <w:szCs w:val="21"/>
          <w:lang w:val="en-US" w:eastAsia="zh-CN"/>
        </w:rPr>
      </w:pPr>
      <w:bookmarkStart w:id="1472" w:name="_Toc22494"/>
      <w:bookmarkStart w:id="1473" w:name="_Toc15998"/>
      <w:r>
        <w:rPr>
          <w:rFonts w:hint="eastAsia" w:ascii="宋体" w:hAnsi="宋体" w:eastAsia="宋体" w:cs="宋体"/>
          <w:sz w:val="21"/>
          <w:szCs w:val="21"/>
          <w:lang w:val="en-US" w:eastAsia="zh-CN"/>
        </w:rPr>
        <w:t>2、安全措施</w:t>
      </w:r>
      <w:bookmarkEnd w:id="1472"/>
      <w:bookmarkEnd w:id="1473"/>
    </w:p>
    <w:p w14:paraId="0C71F081">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(1)各建筑物内接地系统采用TN-S系统，防雷接地、保护接地及弱电系统接地等共用同一接地系统，要求接地电阻不大于1欧姆，否则增设人工接地体。</w:t>
      </w:r>
    </w:p>
    <w:p w14:paraId="68078321">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(2)本工程防雷等电位联结系统，在建筑物的地下室或地面层处，以下物体:建筑物金属体、金属装置、建筑物内系统、进出建筑物的金属管线均应与防雷装置做防雷等电位连接。</w:t>
      </w:r>
    </w:p>
    <w:p w14:paraId="76992EA7">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(3)电梯机房的接地利用本建筑物共用接地装置，独立设引下线。</w:t>
      </w:r>
    </w:p>
    <w:p w14:paraId="7A21020A">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(4)过电压保护:电源引入处及屋顶室外风机、计算机电源系统引入端设电涌保护器，防止高电位侵入。</w:t>
      </w:r>
    </w:p>
    <w:p w14:paraId="0C42C37B">
      <w:pPr>
        <w:numPr>
          <w:ilvl w:val="0"/>
          <w:numId w:val="0"/>
        </w:numPr>
        <w:spacing w:line="360" w:lineRule="auto"/>
        <w:ind w:left="0" w:leftChars="0" w:firstLine="0" w:firstLineChars="0"/>
        <w:outlineLvl w:val="2"/>
        <w:rPr>
          <w:rFonts w:hint="eastAsia" w:ascii="宋体" w:hAnsi="宋体" w:eastAsia="宋体" w:cs="宋体"/>
          <w:b/>
          <w:bCs/>
          <w:kern w:val="2"/>
          <w:sz w:val="21"/>
          <w:szCs w:val="21"/>
          <w:lang w:val="en-US" w:eastAsia="zh-CN" w:bidi="ar-SA"/>
        </w:rPr>
      </w:pPr>
      <w:bookmarkStart w:id="1474" w:name="_Toc1787"/>
      <w:bookmarkStart w:id="1475" w:name="_Toc18967"/>
      <w:r>
        <w:rPr>
          <w:rFonts w:hint="eastAsia" w:ascii="宋体" w:hAnsi="宋体" w:eastAsia="宋体" w:cs="宋体"/>
          <w:b/>
          <w:bCs/>
          <w:kern w:val="2"/>
          <w:sz w:val="21"/>
          <w:szCs w:val="21"/>
          <w:lang w:val="en-US" w:eastAsia="zh-CN" w:bidi="ar-SA"/>
        </w:rPr>
        <w:t>8.6制冷自动化控制系统</w:t>
      </w:r>
      <w:bookmarkEnd w:id="1474"/>
      <w:bookmarkEnd w:id="1475"/>
    </w:p>
    <w:p w14:paraId="26B7CA8E">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本工程制冷监控系统采用基于现场工业总线 PROFIBUS 的 PLC 集散控制系统，对冷库制冷系统及其它机电设备进行监视、控制与管理。监控系统中心设有上位管理计算机、大屏幕显示器（根据业主要求设置）、打印机等，可由中央监控计算机对整个制冷系统及其它机电设备进行监控与管理，实现整个制冷系统的生产过程进行集中监控与管理。监控系统具备设备的状态监视，启停及过程逻辑控制，故障报警，事件记录和报表打印功能。</w:t>
      </w:r>
    </w:p>
    <w:p w14:paraId="1C2AF063">
      <w:pPr>
        <w:numPr>
          <w:ilvl w:val="0"/>
          <w:numId w:val="0"/>
        </w:numPr>
        <w:spacing w:line="360" w:lineRule="auto"/>
        <w:ind w:left="0" w:leftChars="0" w:firstLine="0" w:firstLineChars="0"/>
        <w:outlineLvl w:val="2"/>
        <w:rPr>
          <w:rFonts w:hint="eastAsia" w:ascii="宋体" w:hAnsi="宋体" w:eastAsia="宋体" w:cs="宋体"/>
          <w:b/>
          <w:bCs/>
          <w:kern w:val="2"/>
          <w:sz w:val="21"/>
          <w:szCs w:val="21"/>
          <w:lang w:val="en-US" w:eastAsia="zh-CN" w:bidi="ar-SA"/>
        </w:rPr>
      </w:pPr>
      <w:bookmarkStart w:id="1476" w:name="_Toc24976"/>
      <w:bookmarkStart w:id="1477" w:name="_Toc28806"/>
      <w:r>
        <w:rPr>
          <w:rFonts w:hint="eastAsia" w:ascii="宋体" w:hAnsi="宋体" w:eastAsia="宋体" w:cs="宋体"/>
          <w:b/>
          <w:bCs/>
          <w:kern w:val="2"/>
          <w:sz w:val="21"/>
          <w:szCs w:val="21"/>
          <w:lang w:val="en-US" w:eastAsia="zh-CN" w:bidi="ar-SA"/>
        </w:rPr>
        <w:t>8.7消防电气系统</w:t>
      </w:r>
      <w:bookmarkEnd w:id="1476"/>
      <w:bookmarkEnd w:id="1477"/>
    </w:p>
    <w:p w14:paraId="47C175B5">
      <w:pPr>
        <w:numPr>
          <w:ilvl w:val="0"/>
          <w:numId w:val="0"/>
        </w:numPr>
        <w:spacing w:line="360" w:lineRule="auto"/>
        <w:ind w:left="0" w:leftChars="0" w:firstLine="0" w:firstLineChars="0"/>
        <w:outlineLvl w:val="3"/>
        <w:rPr>
          <w:rFonts w:hint="eastAsia" w:ascii="宋体" w:hAnsi="宋体" w:eastAsia="宋体" w:cs="宋体"/>
          <w:sz w:val="21"/>
          <w:szCs w:val="21"/>
          <w:lang w:val="en-US" w:eastAsia="zh-CN"/>
        </w:rPr>
      </w:pPr>
      <w:bookmarkStart w:id="1478" w:name="_Toc24021"/>
      <w:bookmarkStart w:id="1479" w:name="_Toc25448"/>
      <w:r>
        <w:rPr>
          <w:rFonts w:hint="eastAsia" w:ascii="宋体" w:hAnsi="宋体" w:eastAsia="宋体" w:cs="宋体"/>
          <w:sz w:val="21"/>
          <w:szCs w:val="21"/>
          <w:lang w:val="en-US" w:eastAsia="zh-CN"/>
        </w:rPr>
        <w:t>（1）火灾集中报警及联动控制系统</w:t>
      </w:r>
      <w:bookmarkEnd w:id="1478"/>
      <w:bookmarkEnd w:id="1479"/>
    </w:p>
    <w:p w14:paraId="542C3701">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火灾报警及联动控制系统采用集中报警控制系统。园区设消防控制室，对园区内各建筑物的火灾信号及消防设备进行监控，可显示火灾信号的位置，打印、记录火灾地址、状态、时间、日期。消防控制室设有直接报警的外线电话。</w:t>
      </w:r>
    </w:p>
    <w:p w14:paraId="5CB4F176">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在穿堂等处设置吸气式感烟探测器，在建筑内适当位置设置手动报警按钮及火灾声光警报器，消火栓箱处设消火栓按钮。火灾报警后，通过联动控制台可对消火栓系统、防排烟系统等实行监控。联动消防水泵、相关部位排烟风机及相关的消防送风机；电梯归首；用于防火分隔的卷帘门下降到底；确认火灾后，切断相关部位的非消防电源，强制点亮应急照明灯。排烟风机等可通过现场模块自动控制，也可在联动盘上手动控制，并接受其反馈信号。</w:t>
      </w:r>
    </w:p>
    <w:p w14:paraId="4569EF36">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排烟风机、消防水泵过载保护只报警，不跳闸。</w:t>
      </w:r>
    </w:p>
    <w:p w14:paraId="6F1C0ECF">
      <w:pPr>
        <w:pStyle w:val="31"/>
        <w:numPr>
          <w:ilvl w:val="0"/>
          <w:numId w:val="0"/>
        </w:numPr>
        <w:spacing w:line="360" w:lineRule="auto"/>
        <w:ind w:left="0" w:leftChars="0" w:firstLine="0" w:firstLineChars="0"/>
        <w:outlineLvl w:val="3"/>
        <w:rPr>
          <w:rFonts w:hint="eastAsia" w:ascii="宋体" w:hAnsi="宋体" w:eastAsia="宋体" w:cs="宋体"/>
          <w:sz w:val="21"/>
          <w:szCs w:val="21"/>
          <w:lang w:val="en-US" w:eastAsia="zh-CN"/>
        </w:rPr>
      </w:pPr>
      <w:bookmarkStart w:id="1480" w:name="_Toc3339"/>
      <w:bookmarkStart w:id="1481" w:name="_Toc32582"/>
      <w:r>
        <w:rPr>
          <w:rFonts w:hint="eastAsia" w:ascii="宋体" w:hAnsi="宋体" w:eastAsia="宋体" w:cs="宋体"/>
          <w:sz w:val="21"/>
          <w:szCs w:val="21"/>
          <w:lang w:val="en-US" w:eastAsia="zh-CN"/>
        </w:rPr>
        <w:t>（2）应急照明及疏散指示系统</w:t>
      </w:r>
      <w:bookmarkEnd w:id="1480"/>
      <w:bookmarkEnd w:id="1481"/>
    </w:p>
    <w:p w14:paraId="20423709">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建筑内疏散照明的地面最低水平照度应符合下列规定:疏散走道不应低于为 3.0lx；穿堂为非人员密集的生产场所，不应低于3.0lx；疏散楼梯间及其前室或合用前室、避难走道、消防专用通道不应低于10.0lx。</w:t>
      </w:r>
    </w:p>
    <w:p w14:paraId="70ED1D90">
      <w:pPr>
        <w:pStyle w:val="31"/>
        <w:numPr>
          <w:ilvl w:val="0"/>
          <w:numId w:val="0"/>
        </w:numPr>
        <w:spacing w:line="360" w:lineRule="auto"/>
        <w:ind w:firstLine="420" w:firstLineChars="200"/>
        <w:rPr>
          <w:rFonts w:hint="eastAsia" w:ascii="宋体" w:hAnsi="宋体" w:eastAsia="宋体" w:cs="宋体"/>
          <w:color w:val="7030A0"/>
          <w:sz w:val="21"/>
          <w:szCs w:val="21"/>
          <w:lang w:val="en-US" w:eastAsia="zh-CN"/>
        </w:rPr>
      </w:pPr>
      <w:r>
        <w:rPr>
          <w:rFonts w:hint="eastAsia" w:ascii="宋体" w:hAnsi="宋体" w:eastAsia="宋体" w:cs="宋体"/>
          <w:sz w:val="21"/>
          <w:szCs w:val="21"/>
          <w:lang w:val="en-US" w:eastAsia="zh-CN"/>
        </w:rPr>
        <w:t>应急照明系统采用集中电源供电方式的集中控制型（A型）消防应急疏散照明系统,保证系统所有设备灯具受到监控，以使火灾发生时能够确保提供快速可靠的照明。应急照明灯具采用非持续型；疏散指示（标志灯）采用持续型。火灾时应急照明系统连续供电时间不少于30min；非火灾状态正常照明停电时，应急照明系统连续供电时间为30min。</w:t>
      </w:r>
    </w:p>
    <w:p w14:paraId="233D7094">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变配电间、消防设备用房照明采用双路电源供电，设备用照明、疏散照明和疏散指示标志，备用照明火灾时保证正常照度，疏散照明的地面最低水平照度不应低于1.0lx。</w:t>
      </w:r>
    </w:p>
    <w:p w14:paraId="15BF3F4B">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应急照明灯具不应采用玻璃或其他易碎材料制作的保护罩，并应符合GB13495.1-2015和GB51309-2018的规定。</w:t>
      </w:r>
    </w:p>
    <w:p w14:paraId="5F1620B7">
      <w:pPr>
        <w:numPr>
          <w:ilvl w:val="0"/>
          <w:numId w:val="0"/>
        </w:numPr>
        <w:spacing w:line="360" w:lineRule="auto"/>
        <w:ind w:left="0" w:leftChars="0" w:firstLine="0" w:firstLineChars="0"/>
        <w:outlineLvl w:val="2"/>
        <w:rPr>
          <w:rFonts w:hint="eastAsia" w:ascii="宋体" w:hAnsi="宋体" w:eastAsia="宋体" w:cs="宋体"/>
          <w:b/>
          <w:bCs/>
          <w:kern w:val="2"/>
          <w:sz w:val="21"/>
          <w:szCs w:val="21"/>
          <w:lang w:val="en-US" w:eastAsia="zh-CN" w:bidi="ar-SA"/>
        </w:rPr>
      </w:pPr>
      <w:bookmarkStart w:id="1482" w:name="_Toc26948"/>
      <w:bookmarkStart w:id="1483" w:name="_Toc10957"/>
      <w:r>
        <w:rPr>
          <w:rFonts w:hint="eastAsia" w:ascii="宋体" w:hAnsi="宋体" w:eastAsia="宋体" w:cs="宋体"/>
          <w:b/>
          <w:bCs/>
          <w:kern w:val="2"/>
          <w:sz w:val="21"/>
          <w:szCs w:val="21"/>
          <w:lang w:val="en-US" w:eastAsia="zh-CN" w:bidi="ar-SA"/>
        </w:rPr>
        <w:t>8.8消防电源监控系统</w:t>
      </w:r>
      <w:bookmarkEnd w:id="1482"/>
      <w:bookmarkEnd w:id="1483"/>
    </w:p>
    <w:p w14:paraId="2F570356">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本建筑物消防控制室设有消防电源监控系统，系统由监控器（主机）、中继器、传感器（监控模块）和传输缆线组成。通过检测消防设备电源的电流、电压值和开关状态等状态，监测各消防用电设备的供电电源和备用电源的工作状态和欠压报警信息，消防应急照明和疏散指示系统的故障状态和应急工作状态信息，并进行报警和记录。</w:t>
      </w:r>
    </w:p>
    <w:p w14:paraId="14DCBB89">
      <w:pPr>
        <w:numPr>
          <w:ilvl w:val="0"/>
          <w:numId w:val="0"/>
        </w:numPr>
        <w:spacing w:line="360" w:lineRule="auto"/>
        <w:ind w:left="0" w:leftChars="0" w:firstLine="0" w:firstLineChars="0"/>
        <w:outlineLvl w:val="2"/>
        <w:rPr>
          <w:rFonts w:hint="eastAsia" w:ascii="宋体" w:hAnsi="宋体" w:eastAsia="宋体" w:cs="宋体"/>
          <w:b/>
          <w:bCs/>
          <w:kern w:val="2"/>
          <w:sz w:val="21"/>
          <w:szCs w:val="21"/>
          <w:lang w:val="en-US" w:eastAsia="zh-CN" w:bidi="ar-SA"/>
        </w:rPr>
      </w:pPr>
      <w:bookmarkStart w:id="1484" w:name="_Toc18678"/>
      <w:bookmarkStart w:id="1485" w:name="_Toc24840"/>
      <w:r>
        <w:rPr>
          <w:rFonts w:hint="eastAsia" w:ascii="宋体" w:hAnsi="宋体" w:eastAsia="宋体" w:cs="宋体"/>
          <w:b/>
          <w:bCs/>
          <w:kern w:val="2"/>
          <w:sz w:val="21"/>
          <w:szCs w:val="21"/>
          <w:lang w:val="en-US" w:eastAsia="zh-CN" w:bidi="ar-SA"/>
        </w:rPr>
        <w:t>8.9电气火灾监控系统</w:t>
      </w:r>
      <w:bookmarkEnd w:id="1484"/>
      <w:bookmarkEnd w:id="1485"/>
    </w:p>
    <w:p w14:paraId="228401CF">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变配电间内装设电气火灾监控装置，设置剩余电流监测器，其动作电流不大于 500mA；动作于信号，可发出声光报警信号，显示报警地址并保存记录。电气火灾监控系统报警信息和故障信息应在消防控制室图形显示装置上显示，应与火灾报警信息的显示有区别。</w:t>
      </w:r>
    </w:p>
    <w:p w14:paraId="25ADA9AA">
      <w:pPr>
        <w:numPr>
          <w:ilvl w:val="0"/>
          <w:numId w:val="0"/>
        </w:numPr>
        <w:spacing w:line="360" w:lineRule="auto"/>
        <w:ind w:left="0" w:leftChars="0" w:firstLine="0" w:firstLineChars="0"/>
        <w:outlineLvl w:val="2"/>
        <w:rPr>
          <w:rFonts w:hint="eastAsia" w:ascii="宋体" w:hAnsi="宋体" w:eastAsia="宋体" w:cs="宋体"/>
          <w:b/>
          <w:bCs/>
          <w:kern w:val="2"/>
          <w:sz w:val="21"/>
          <w:szCs w:val="21"/>
          <w:lang w:val="en-US" w:eastAsia="zh-CN" w:bidi="ar-SA"/>
        </w:rPr>
      </w:pPr>
      <w:bookmarkStart w:id="1486" w:name="_Toc29151"/>
      <w:bookmarkStart w:id="1487" w:name="_Toc13938"/>
      <w:r>
        <w:rPr>
          <w:rFonts w:hint="eastAsia" w:ascii="宋体" w:hAnsi="宋体" w:eastAsia="宋体" w:cs="宋体"/>
          <w:b/>
          <w:bCs/>
          <w:kern w:val="2"/>
          <w:sz w:val="21"/>
          <w:szCs w:val="21"/>
          <w:lang w:val="en-US" w:eastAsia="zh-CN" w:bidi="ar-SA"/>
        </w:rPr>
        <w:t>8.10防火门监控系统</w:t>
      </w:r>
      <w:bookmarkEnd w:id="1486"/>
      <w:bookmarkEnd w:id="1487"/>
    </w:p>
    <w:p w14:paraId="00AB4A1A">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本工程设置防火门监控系统分机，对防火门实时监控的系统。疏散通道上的常闭防火门通过其监控模块向监控器发出信号，提示防火门的开启状态。常开防火门由其所在防火分区内的两只独立的火灾探测器或一只火灾探测器与一只手报按钮的报警信号，作为常开防火门关闭的联动触发信号，并应由消防联动控制器或防火门监控器联动控制防火门关闭。</w:t>
      </w:r>
    </w:p>
    <w:p w14:paraId="3E3AD1A6">
      <w:pPr>
        <w:numPr>
          <w:ilvl w:val="0"/>
          <w:numId w:val="0"/>
        </w:numPr>
        <w:spacing w:line="360" w:lineRule="auto"/>
        <w:ind w:left="0" w:leftChars="0" w:firstLine="0" w:firstLineChars="0"/>
        <w:outlineLvl w:val="1"/>
        <w:rPr>
          <w:rFonts w:hint="default" w:ascii="宋体" w:hAnsi="宋体" w:eastAsia="宋体" w:cs="宋体"/>
          <w:b/>
          <w:bCs/>
          <w:sz w:val="21"/>
          <w:szCs w:val="21"/>
          <w:lang w:val="en-US" w:eastAsia="zh-CN"/>
        </w:rPr>
      </w:pPr>
      <w:bookmarkStart w:id="1488" w:name="_Toc9799"/>
      <w:bookmarkStart w:id="1489" w:name="_Toc28649"/>
      <w:r>
        <w:rPr>
          <w:rFonts w:hint="eastAsia" w:ascii="宋体" w:hAnsi="宋体" w:eastAsia="宋体" w:cs="宋体"/>
          <w:b/>
          <w:bCs/>
          <w:sz w:val="21"/>
          <w:szCs w:val="21"/>
          <w:lang w:val="en-US" w:eastAsia="zh-CN"/>
        </w:rPr>
        <w:t>9、节约能源</w:t>
      </w:r>
      <w:bookmarkEnd w:id="1488"/>
      <w:bookmarkEnd w:id="1489"/>
    </w:p>
    <w:p w14:paraId="29091C34">
      <w:pPr>
        <w:numPr>
          <w:ilvl w:val="0"/>
          <w:numId w:val="0"/>
        </w:numPr>
        <w:spacing w:line="360" w:lineRule="auto"/>
        <w:ind w:left="0" w:leftChars="0" w:firstLine="0" w:firstLineChars="0"/>
        <w:outlineLvl w:val="2"/>
        <w:rPr>
          <w:rFonts w:hint="default" w:ascii="宋体" w:hAnsi="宋体" w:eastAsia="宋体" w:cs="宋体"/>
          <w:b/>
          <w:bCs/>
          <w:kern w:val="2"/>
          <w:sz w:val="21"/>
          <w:szCs w:val="21"/>
          <w:lang w:val="en-US" w:eastAsia="zh-CN" w:bidi="ar-SA"/>
        </w:rPr>
      </w:pPr>
      <w:bookmarkStart w:id="1490" w:name="_Toc21497"/>
      <w:bookmarkStart w:id="1491" w:name="_Toc17069"/>
      <w:r>
        <w:rPr>
          <w:rFonts w:hint="eastAsia" w:ascii="宋体" w:hAnsi="宋体" w:eastAsia="宋体" w:cs="宋体"/>
          <w:b/>
          <w:bCs/>
          <w:kern w:val="2"/>
          <w:sz w:val="21"/>
          <w:szCs w:val="21"/>
          <w:lang w:val="en-US" w:eastAsia="zh-CN" w:bidi="ar-SA"/>
        </w:rPr>
        <w:t>9.1节能标准与法规</w:t>
      </w:r>
      <w:bookmarkEnd w:id="1490"/>
      <w:bookmarkEnd w:id="1491"/>
    </w:p>
    <w:p w14:paraId="0DE8E787">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《中华人民共和国节约能源法》（2018 年修正）</w:t>
      </w:r>
    </w:p>
    <w:p w14:paraId="54C5FA1A">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《中华人民共和国可再生能源法》（2006 年）</w:t>
      </w:r>
    </w:p>
    <w:p w14:paraId="2AD1A766">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《中华人民共和国电力法》（2018 年修正）</w:t>
      </w:r>
    </w:p>
    <w:p w14:paraId="43445D77">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《中华人民共和国建筑法》（2011 年修正）</w:t>
      </w:r>
    </w:p>
    <w:p w14:paraId="5D9DDC90">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《中华人民共和国清洁生产促进法》（2012 年修正）</w:t>
      </w:r>
    </w:p>
    <w:p w14:paraId="1AA3EA60">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《清洁生产审核办法》（2016 年）</w:t>
      </w:r>
    </w:p>
    <w:p w14:paraId="16DC9DCF">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《国务院关于加强节能工作的决定》（2006 年）</w:t>
      </w:r>
    </w:p>
    <w:p w14:paraId="2016ED06">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《节能中长期专项规划》（发改环资[2004]2505 号）（2004 年）</w:t>
      </w:r>
    </w:p>
    <w:p w14:paraId="6C368DCC">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《中国节能技术政策大纲》（2004 年）</w:t>
      </w:r>
    </w:p>
    <w:p w14:paraId="100B7151">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《国务院关于印发节能减排综合性工作方案的通知》（2016 年）</w:t>
      </w:r>
    </w:p>
    <w:p w14:paraId="3B6A7390">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《民用建筑节能管理规定》（2008 年）</w:t>
      </w:r>
    </w:p>
    <w:p w14:paraId="282889D1">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《固定资产投资项目节能审查办法》（2017 年）</w:t>
      </w:r>
    </w:p>
    <w:p w14:paraId="5708973A">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《工业企业能源管理导则》（GB/T 15587-2008）</w:t>
      </w:r>
    </w:p>
    <w:p w14:paraId="3CC43116">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《建筑采光设计标准》（GB50033-2013）</w:t>
      </w:r>
    </w:p>
    <w:p w14:paraId="1518A308">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《综合能耗计算通则》（GB/T 2589-2008）</w:t>
      </w:r>
    </w:p>
    <w:p w14:paraId="6B6C9811">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《用能单位能源计量器具配备和管理通则》（GB17167-2006）</w:t>
      </w:r>
    </w:p>
    <w:p w14:paraId="5B714F99">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《评价企业合理用电技术导则》（GB/T3485-1998）</w:t>
      </w:r>
    </w:p>
    <w:p w14:paraId="660682C1">
      <w:pPr>
        <w:numPr>
          <w:ilvl w:val="0"/>
          <w:numId w:val="0"/>
        </w:numPr>
        <w:spacing w:line="360" w:lineRule="auto"/>
        <w:ind w:left="0" w:leftChars="0" w:firstLine="0" w:firstLineChars="0"/>
        <w:outlineLvl w:val="2"/>
        <w:rPr>
          <w:rFonts w:hint="eastAsia" w:ascii="宋体" w:hAnsi="宋体" w:eastAsia="宋体" w:cs="宋体"/>
          <w:b/>
          <w:bCs/>
          <w:kern w:val="2"/>
          <w:sz w:val="21"/>
          <w:szCs w:val="21"/>
          <w:lang w:val="en-US" w:eastAsia="zh-CN" w:bidi="ar-SA"/>
        </w:rPr>
      </w:pPr>
      <w:bookmarkStart w:id="1492" w:name="_Toc11005"/>
      <w:bookmarkStart w:id="1493" w:name="_Toc32295"/>
      <w:r>
        <w:rPr>
          <w:rFonts w:hint="eastAsia" w:ascii="宋体" w:hAnsi="宋体" w:eastAsia="宋体" w:cs="宋体"/>
          <w:b/>
          <w:bCs/>
          <w:kern w:val="2"/>
          <w:sz w:val="21"/>
          <w:szCs w:val="21"/>
          <w:lang w:val="en-US" w:eastAsia="zh-CN" w:bidi="ar-SA"/>
        </w:rPr>
        <w:t>9.2节能设计原则</w:t>
      </w:r>
      <w:bookmarkEnd w:id="1492"/>
      <w:bookmarkEnd w:id="1493"/>
    </w:p>
    <w:p w14:paraId="1199C450">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（1）认真贯彻国家产业政策和行业节能规范，努力做到合理利用和节约使用能源。</w:t>
      </w:r>
    </w:p>
    <w:p w14:paraId="147999BA">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（2）积极采用先进的节能新工艺、新技术、新设备，严禁采用已淘汰机电产品。</w:t>
      </w:r>
    </w:p>
    <w:p w14:paraId="08998B33">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（3）设置能源检测仪表，加强企业对能源的计量和管理。</w:t>
      </w:r>
    </w:p>
    <w:p w14:paraId="7B6E5615">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（4）根据当地用电实行峰谷制，鼓励低谷用电，冷库等用电量大的设备运行利用夜间低谷时开机，高峰时可节能。</w:t>
      </w:r>
    </w:p>
    <w:p w14:paraId="628A1BEB">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（5）对制冷系统蒸发式冷凝器等设备所排放的废热合理回收利用，对制冷系统冷却水实行循环利用。</w:t>
      </w:r>
    </w:p>
    <w:p w14:paraId="05385026">
      <w:pPr>
        <w:numPr>
          <w:ilvl w:val="0"/>
          <w:numId w:val="0"/>
        </w:numPr>
        <w:spacing w:line="360" w:lineRule="auto"/>
        <w:ind w:left="0" w:leftChars="0" w:firstLine="0" w:firstLineChars="0"/>
        <w:outlineLvl w:val="2"/>
        <w:rPr>
          <w:rFonts w:hint="eastAsia" w:ascii="宋体" w:hAnsi="宋体" w:eastAsia="宋体" w:cs="宋体"/>
          <w:b/>
          <w:bCs/>
          <w:kern w:val="2"/>
          <w:sz w:val="21"/>
          <w:szCs w:val="21"/>
          <w:lang w:val="en-US" w:eastAsia="zh-CN" w:bidi="ar-SA"/>
        </w:rPr>
      </w:pPr>
      <w:bookmarkStart w:id="1494" w:name="_Toc8475"/>
      <w:bookmarkStart w:id="1495" w:name="_Toc16021"/>
      <w:r>
        <w:rPr>
          <w:rFonts w:hint="eastAsia" w:ascii="宋体" w:hAnsi="宋体" w:eastAsia="宋体" w:cs="宋体"/>
          <w:b/>
          <w:bCs/>
          <w:kern w:val="2"/>
          <w:sz w:val="21"/>
          <w:szCs w:val="21"/>
          <w:lang w:val="en-US" w:eastAsia="zh-CN" w:bidi="ar-SA"/>
        </w:rPr>
        <w:t>9.3节能措施</w:t>
      </w:r>
      <w:bookmarkEnd w:id="1494"/>
      <w:bookmarkEnd w:id="1495"/>
    </w:p>
    <w:p w14:paraId="2F53C001">
      <w:pPr>
        <w:pStyle w:val="31"/>
        <w:numPr>
          <w:ilvl w:val="0"/>
          <w:numId w:val="0"/>
        </w:numPr>
        <w:spacing w:line="360" w:lineRule="auto"/>
        <w:ind w:left="0" w:leftChars="0" w:firstLine="0" w:firstLineChars="0"/>
        <w:outlineLvl w:val="3"/>
        <w:rPr>
          <w:rFonts w:hint="eastAsia" w:ascii="宋体" w:hAnsi="宋体" w:eastAsia="宋体" w:cs="宋体"/>
          <w:sz w:val="21"/>
          <w:szCs w:val="21"/>
          <w:lang w:val="en-US" w:eastAsia="zh-CN"/>
        </w:rPr>
      </w:pPr>
      <w:bookmarkStart w:id="1496" w:name="_bookmark134"/>
      <w:bookmarkEnd w:id="1496"/>
      <w:bookmarkStart w:id="1497" w:name="_Toc20243"/>
      <w:bookmarkStart w:id="1498" w:name="_Toc9734"/>
      <w:r>
        <w:rPr>
          <w:rFonts w:hint="eastAsia" w:ascii="宋体" w:hAnsi="宋体" w:eastAsia="宋体" w:cs="宋体"/>
          <w:sz w:val="21"/>
          <w:szCs w:val="21"/>
          <w:lang w:val="en-US" w:eastAsia="zh-CN"/>
        </w:rPr>
        <w:t>（1）节能措施综述</w:t>
      </w:r>
      <w:bookmarkEnd w:id="1497"/>
      <w:bookmarkEnd w:id="1498"/>
    </w:p>
    <w:p w14:paraId="2D49CBD1">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为了进一步降低能源，减少生产成本，必须采取节能措施，无论是设备选择、工艺流程布置及工程设计中，还是企业今后的实际生产，都要在思想上重视节能，这对节约能源、提高企业经济效益，将起到很重要的作用，综合措施如下：</w:t>
      </w:r>
    </w:p>
    <w:p w14:paraId="25E12324">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所有设备的选型要求合理，尽可能选用节能型产品。</w:t>
      </w:r>
    </w:p>
    <w:p w14:paraId="6755FD52">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做好建筑、设备、管道的保温、保冷层，合理减少冷、热能损失。</w:t>
      </w:r>
    </w:p>
    <w:p w14:paraId="1D8DCDBA">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变配电间应尽量靠近负荷中心布置，尽量减少线路损耗。</w:t>
      </w:r>
    </w:p>
    <w:p w14:paraId="10163629">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根据当地用电实行峰谷制，鼓励低谷用电，冷库等用电量大的设备运行合理利用夜间低谷时开机，避开高峰用电而节能，也可降低运行成本。</w:t>
      </w:r>
    </w:p>
    <w:p w14:paraId="5CAA836E">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科学运行管理，合理调整工作时间，避免冷、热负荷波动过大，避免多台设备同时启动。</w:t>
      </w:r>
    </w:p>
    <w:p w14:paraId="72FDA5A9">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加强生产管理，减少因操作不当带来的材料及能源的损失。</w:t>
      </w:r>
    </w:p>
    <w:p w14:paraId="0FE17DC8">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设置专门的能源及材料管理机构，经常检测各部门的能源消耗及节能情况，并制定奖惩制度。</w:t>
      </w:r>
    </w:p>
    <w:p w14:paraId="2358F48A">
      <w:pPr>
        <w:pStyle w:val="31"/>
        <w:numPr>
          <w:ilvl w:val="0"/>
          <w:numId w:val="0"/>
        </w:numPr>
        <w:spacing w:line="360" w:lineRule="auto"/>
        <w:ind w:left="0" w:leftChars="0" w:firstLine="0" w:firstLineChars="0"/>
        <w:outlineLvl w:val="3"/>
        <w:rPr>
          <w:rFonts w:hint="eastAsia" w:ascii="宋体" w:hAnsi="宋体" w:eastAsia="宋体" w:cs="宋体"/>
          <w:sz w:val="21"/>
          <w:szCs w:val="21"/>
          <w:lang w:val="en-US" w:eastAsia="zh-CN"/>
        </w:rPr>
      </w:pPr>
      <w:bookmarkStart w:id="1499" w:name="_Toc17438"/>
      <w:bookmarkStart w:id="1500" w:name="_Toc15418"/>
      <w:r>
        <w:rPr>
          <w:rFonts w:hint="eastAsia" w:ascii="宋体" w:hAnsi="宋体" w:eastAsia="宋体" w:cs="宋体"/>
          <w:sz w:val="21"/>
          <w:szCs w:val="21"/>
          <w:lang w:val="en-US" w:eastAsia="zh-CN"/>
        </w:rPr>
        <w:t>（2）建筑及节能措施</w:t>
      </w:r>
      <w:bookmarkEnd w:id="1499"/>
      <w:bookmarkEnd w:id="1500"/>
    </w:p>
    <w:p w14:paraId="5A72E66D">
      <w:pPr>
        <w:pStyle w:val="31"/>
        <w:numPr>
          <w:ilvl w:val="0"/>
          <w:numId w:val="0"/>
        </w:numPr>
        <w:spacing w:line="360" w:lineRule="auto"/>
        <w:ind w:left="0" w:leftChars="0" w:firstLine="420" w:firstLineChars="200"/>
        <w:outlineLvl w:val="4"/>
        <w:rPr>
          <w:rFonts w:hint="eastAsia" w:ascii="宋体" w:hAnsi="宋体" w:eastAsia="宋体" w:cs="宋体"/>
          <w:sz w:val="21"/>
          <w:szCs w:val="21"/>
          <w:lang w:val="en-US" w:eastAsia="zh-CN"/>
        </w:rPr>
      </w:pPr>
      <w:bookmarkStart w:id="1501" w:name="_Toc22420"/>
      <w:bookmarkStart w:id="1502" w:name="_Toc16572"/>
      <w:r>
        <w:rPr>
          <w:rFonts w:hint="eastAsia" w:ascii="宋体" w:hAnsi="宋体" w:eastAsia="宋体" w:cs="宋体"/>
          <w:sz w:val="21"/>
          <w:szCs w:val="21"/>
          <w:lang w:val="en-US" w:eastAsia="zh-CN"/>
        </w:rPr>
        <w:t>a、合理布置平面、确定合理层高</w:t>
      </w:r>
      <w:bookmarkEnd w:id="1501"/>
      <w:bookmarkEnd w:id="1502"/>
    </w:p>
    <w:p w14:paraId="34380302">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各个建筑单体要根据工艺、通风、设备尺寸、堆码方式、堆码高度、以及防爆、防火、通风统筹综合考虑，以确定最佳的开间、进深和层高，提高房间的利用率。加工间和附属用房，除要按工艺流程布置平面外， 还要根据温度不同，合理调整房间布局。一般采用自然通风的生活用房，布局应宽敞，窗户要大，尽量布置在房屋边缘；而有温度要求和卫生要求的房间，则应尽量少开窗，以减少空调负荷。</w:t>
      </w:r>
    </w:p>
    <w:p w14:paraId="285E4334">
      <w:pPr>
        <w:pStyle w:val="31"/>
        <w:numPr>
          <w:ilvl w:val="0"/>
          <w:numId w:val="0"/>
        </w:numPr>
        <w:spacing w:line="360" w:lineRule="auto"/>
        <w:ind w:left="0" w:leftChars="0" w:firstLine="420" w:firstLineChars="200"/>
        <w:outlineLvl w:val="4"/>
        <w:rPr>
          <w:rFonts w:hint="eastAsia" w:ascii="宋体" w:hAnsi="宋体" w:eastAsia="宋体" w:cs="宋体"/>
          <w:sz w:val="21"/>
          <w:szCs w:val="21"/>
          <w:lang w:val="en-US" w:eastAsia="zh-CN"/>
        </w:rPr>
      </w:pPr>
      <w:bookmarkStart w:id="1503" w:name="_Toc28129"/>
      <w:bookmarkStart w:id="1504" w:name="_Toc24839"/>
      <w:r>
        <w:rPr>
          <w:rFonts w:hint="eastAsia" w:ascii="宋体" w:hAnsi="宋体" w:eastAsia="宋体" w:cs="宋体"/>
          <w:sz w:val="21"/>
          <w:szCs w:val="21"/>
          <w:lang w:val="en-US" w:eastAsia="zh-CN"/>
        </w:rPr>
        <w:t>b、合理确定荷载和结构形式</w:t>
      </w:r>
      <w:bookmarkEnd w:id="1503"/>
      <w:bookmarkEnd w:id="1504"/>
    </w:p>
    <w:p w14:paraId="20A1B1E9">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冷库荷载，应综合计算，荷载过大，造成资源及原材料浪费；荷载考虑不足，容易造成缺陷和不安全隐患。</w:t>
      </w:r>
    </w:p>
    <w:p w14:paraId="547A28BC">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结构形式的不同，所消耗的能源不尽相同，直接影响着工程造价和建筑效果。设计人员在进行结构选型时，应经过充分的验算和经济分析比较，为用户得出最经济合理的结构设计方案。</w:t>
      </w:r>
    </w:p>
    <w:p w14:paraId="7DCAD5BA">
      <w:pPr>
        <w:pStyle w:val="31"/>
        <w:numPr>
          <w:ilvl w:val="0"/>
          <w:numId w:val="0"/>
        </w:numPr>
        <w:spacing w:line="360" w:lineRule="auto"/>
        <w:ind w:left="0" w:leftChars="0" w:firstLine="420" w:firstLineChars="200"/>
        <w:outlineLvl w:val="4"/>
        <w:rPr>
          <w:rFonts w:hint="eastAsia" w:ascii="宋体" w:hAnsi="宋体" w:eastAsia="宋体" w:cs="宋体"/>
          <w:sz w:val="21"/>
          <w:szCs w:val="21"/>
          <w:lang w:val="en-US" w:eastAsia="zh-CN"/>
        </w:rPr>
      </w:pPr>
      <w:bookmarkStart w:id="1505" w:name="_Toc26207"/>
      <w:bookmarkStart w:id="1506" w:name="_Toc18024"/>
      <w:r>
        <w:rPr>
          <w:rFonts w:hint="eastAsia" w:ascii="宋体" w:hAnsi="宋体" w:eastAsia="宋体" w:cs="宋体"/>
          <w:sz w:val="21"/>
          <w:szCs w:val="21"/>
          <w:lang w:val="en-US" w:eastAsia="zh-CN"/>
        </w:rPr>
        <w:t>c、重视围护结构设计，合理选择节能材料</w:t>
      </w:r>
      <w:bookmarkEnd w:id="1505"/>
      <w:bookmarkEnd w:id="1506"/>
    </w:p>
    <w:p w14:paraId="09D2A572">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围护结构是建筑物主要的热量损失部位，改善其保温隔热性能可以从根本上提高建筑物的热稳定性，降低采暖、空调耗能，实现建筑节能。</w:t>
      </w:r>
    </w:p>
    <w:p w14:paraId="222A4852">
      <w:pPr>
        <w:pStyle w:val="31"/>
        <w:numPr>
          <w:ilvl w:val="0"/>
          <w:numId w:val="0"/>
        </w:numPr>
        <w:spacing w:line="360" w:lineRule="auto"/>
        <w:ind w:left="0" w:leftChars="0" w:firstLine="0" w:firstLineChars="0"/>
        <w:outlineLvl w:val="3"/>
        <w:rPr>
          <w:rFonts w:hint="eastAsia" w:ascii="宋体" w:hAnsi="宋体" w:eastAsia="宋体" w:cs="宋体"/>
          <w:sz w:val="21"/>
          <w:szCs w:val="21"/>
          <w:lang w:val="en-US" w:eastAsia="zh-CN"/>
        </w:rPr>
      </w:pPr>
      <w:bookmarkStart w:id="1507" w:name="_Toc541"/>
      <w:bookmarkStart w:id="1508" w:name="_Toc5295"/>
      <w:r>
        <w:rPr>
          <w:rFonts w:hint="eastAsia" w:ascii="宋体" w:hAnsi="宋体" w:eastAsia="宋体" w:cs="宋体"/>
          <w:sz w:val="21"/>
          <w:szCs w:val="21"/>
          <w:lang w:val="en-US" w:eastAsia="zh-CN"/>
        </w:rPr>
        <w:t>（3）冷库建筑</w:t>
      </w:r>
      <w:bookmarkEnd w:id="1507"/>
      <w:bookmarkEnd w:id="1508"/>
    </w:p>
    <w:p w14:paraId="7C3D8AC5">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为了降低冷库能耗，本工程在执行现行《冷库设计规范》的同时，适当增加冷库冷间墙面、屋面保温层厚度，以保持库温稳定，改善冻品储存质量，可取得较好节能效果。墙面保温层采用聚氨酯现场喷涂发泡材料或聚异三聚氰酸酯夹心保温板。库房部分屋面采用聚氨酯发泡保温层。（以实际设计为准）</w:t>
      </w:r>
    </w:p>
    <w:p w14:paraId="5937A732">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墙体保温层热阻在《冷库设计规范》要求的基础上适当增加保温层厚度。库房部分外墙体材料为烧结普通砖内侧聚氨酯喷涂或聚异三聚氰酸酯夹心保温板。</w:t>
      </w:r>
    </w:p>
    <w:p w14:paraId="69E41816">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外门（除冷藏门、保温门等特殊用途门外）选用钢制门或加厚铝合金门；外窗选用塑钢框，双层中空玻璃。</w:t>
      </w:r>
    </w:p>
    <w:p w14:paraId="2D4A6F68">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控制建筑物体形系数，不采用过多凹凸面。</w:t>
      </w:r>
    </w:p>
    <w:p w14:paraId="174EF984">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一般建筑围护结构采用浅色外表面，以反射夏季太阳辐射热，减少外墙面吸收热量。</w:t>
      </w:r>
    </w:p>
    <w:p w14:paraId="79FEF598">
      <w:pPr>
        <w:pStyle w:val="31"/>
        <w:numPr>
          <w:ilvl w:val="0"/>
          <w:numId w:val="0"/>
        </w:numPr>
        <w:spacing w:line="360" w:lineRule="auto"/>
        <w:ind w:left="0" w:leftChars="0" w:firstLine="0" w:firstLineChars="0"/>
        <w:outlineLvl w:val="3"/>
        <w:rPr>
          <w:rFonts w:hint="eastAsia" w:ascii="宋体" w:hAnsi="宋体" w:eastAsia="宋体" w:cs="宋体"/>
          <w:sz w:val="21"/>
          <w:szCs w:val="21"/>
          <w:lang w:val="en-US" w:eastAsia="zh-CN"/>
        </w:rPr>
      </w:pPr>
      <w:bookmarkStart w:id="1509" w:name="_Toc3985"/>
      <w:bookmarkStart w:id="1510" w:name="_Toc9314"/>
      <w:r>
        <w:rPr>
          <w:rFonts w:hint="eastAsia" w:ascii="宋体" w:hAnsi="宋体" w:eastAsia="宋体" w:cs="宋体"/>
          <w:sz w:val="21"/>
          <w:szCs w:val="21"/>
          <w:lang w:val="en-US" w:eastAsia="zh-CN"/>
        </w:rPr>
        <w:t>（4）制冷工艺节能措施</w:t>
      </w:r>
      <w:bookmarkEnd w:id="1509"/>
      <w:bookmarkEnd w:id="1510"/>
    </w:p>
    <w:p w14:paraId="080BA707">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制冷系统采用蒸发式冷凝器，耗水量、耗电量均比其他形式的冷凝器少，比较经济。</w:t>
      </w:r>
    </w:p>
    <w:p w14:paraId="6AD3AC96">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冷间温度自动检测、显示，自动降温和冷风机冲霜可用手指令或全自动程序控制，计算机管理,避免了人为的误操作。</w:t>
      </w:r>
    </w:p>
    <w:p w14:paraId="08D37C4A">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压缩机组为多机头并联中央机组，根据实际的负荷变动自动调节压缩机组 各机头的工作台数或进行变频调节，即制冷量的输出与实际所需的负荷自动相配匹。以上均能提高机组的运行效率，节约能源。</w:t>
      </w:r>
    </w:p>
    <w:p w14:paraId="1B7CF1AE">
      <w:pPr>
        <w:pStyle w:val="31"/>
        <w:numPr>
          <w:ilvl w:val="0"/>
          <w:numId w:val="0"/>
        </w:numPr>
        <w:spacing w:line="360" w:lineRule="auto"/>
        <w:ind w:left="0" w:leftChars="0" w:firstLine="0" w:firstLineChars="0"/>
        <w:outlineLvl w:val="3"/>
        <w:rPr>
          <w:rFonts w:hint="eastAsia" w:ascii="宋体" w:hAnsi="宋体" w:eastAsia="宋体" w:cs="宋体"/>
          <w:sz w:val="21"/>
          <w:szCs w:val="21"/>
          <w:lang w:val="en-US" w:eastAsia="zh-CN"/>
        </w:rPr>
      </w:pPr>
      <w:bookmarkStart w:id="1511" w:name="_Toc13354"/>
      <w:bookmarkStart w:id="1512" w:name="_Toc25680"/>
      <w:r>
        <w:rPr>
          <w:rFonts w:hint="eastAsia" w:ascii="宋体" w:hAnsi="宋体" w:eastAsia="宋体" w:cs="宋体"/>
          <w:sz w:val="21"/>
          <w:szCs w:val="21"/>
          <w:lang w:val="en-US" w:eastAsia="zh-CN"/>
        </w:rPr>
        <w:t>（5）给排水节能措施</w:t>
      </w:r>
      <w:bookmarkEnd w:id="1511"/>
      <w:bookmarkEnd w:id="1512"/>
    </w:p>
    <w:p w14:paraId="3CC1E8C2">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合理使用施工用水，严格控制长流水，要经常检查水管和阀门泄漏；采用节水型施工设备，提高水资源利用率，降低水资源无效消耗。</w:t>
      </w:r>
    </w:p>
    <w:p w14:paraId="32618D62">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合理设计给水、排水设施；供水系统采取防渗、防漏措施，选择高质量严密接口的管材管件，减少管道渗漏，杜绝水量流失。</w:t>
      </w:r>
    </w:p>
    <w:p w14:paraId="725552AF">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优先采用环保节水型卫生洁具及配件：公共卫生间采用感应式水龙头、感应式小便器冲洗阀，蹲便器采用脚踏式冲洗阀。水龙头采用陶瓷节水型。</w:t>
      </w:r>
    </w:p>
    <w:p w14:paraId="47F3F09C">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卫生间采用水冲式卫生设施，水箱容积符合节水要求。</w:t>
      </w:r>
    </w:p>
    <w:p w14:paraId="4DC634C2">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水泵采用无泄漏高效节能型。</w:t>
      </w:r>
    </w:p>
    <w:p w14:paraId="1E8CD440">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水池设溢流水位报警装置。</w:t>
      </w:r>
    </w:p>
    <w:p w14:paraId="425A8BAE">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配置充足的水流量计量器具，对用水量进行精确计量。</w:t>
      </w:r>
    </w:p>
    <w:p w14:paraId="72BB575E">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对于对供热管道、法兰、阀门及附件按国家有关标准采取保温措施。</w:t>
      </w:r>
    </w:p>
    <w:p w14:paraId="3CE2611F">
      <w:pPr>
        <w:pStyle w:val="31"/>
        <w:numPr>
          <w:ilvl w:val="0"/>
          <w:numId w:val="0"/>
        </w:numPr>
        <w:spacing w:line="360" w:lineRule="auto"/>
        <w:ind w:left="0" w:leftChars="0" w:firstLine="0" w:firstLineChars="0"/>
        <w:outlineLvl w:val="3"/>
        <w:rPr>
          <w:rFonts w:hint="eastAsia" w:ascii="宋体" w:hAnsi="宋体" w:eastAsia="宋体" w:cs="宋体"/>
          <w:sz w:val="21"/>
          <w:szCs w:val="21"/>
          <w:lang w:val="en-US" w:eastAsia="zh-CN"/>
        </w:rPr>
      </w:pPr>
      <w:bookmarkStart w:id="1513" w:name="_Toc29555"/>
      <w:bookmarkStart w:id="1514" w:name="_Toc23202"/>
      <w:r>
        <w:rPr>
          <w:rFonts w:hint="eastAsia" w:ascii="宋体" w:hAnsi="宋体" w:eastAsia="宋体" w:cs="宋体"/>
          <w:sz w:val="21"/>
          <w:szCs w:val="21"/>
          <w:lang w:val="en-US" w:eastAsia="zh-CN"/>
        </w:rPr>
        <w:t>（6）通风空调节能措施</w:t>
      </w:r>
      <w:bookmarkEnd w:id="1513"/>
      <w:bookmarkEnd w:id="1514"/>
    </w:p>
    <w:p w14:paraId="63F769FD">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按照功能区域的实际温度要求，尽量提高房间的空调设计温度，分区确定温度，最大程度降低热力消耗量。</w:t>
      </w:r>
    </w:p>
    <w:p w14:paraId="35B1BFB7">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空调风管及水管做好保温处理，以降低冷损失 。</w:t>
      </w:r>
    </w:p>
    <w:p w14:paraId="5A3360BA">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空调主机的制冷工质为新型环保冷媒 R134a，有利于保护环境。</w:t>
      </w:r>
    </w:p>
    <w:p w14:paraId="4E2027B7">
      <w:pPr>
        <w:pStyle w:val="31"/>
        <w:numPr>
          <w:ilvl w:val="0"/>
          <w:numId w:val="0"/>
        </w:numPr>
        <w:spacing w:line="360" w:lineRule="auto"/>
        <w:ind w:left="0" w:leftChars="0" w:firstLine="0" w:firstLineChars="0"/>
        <w:outlineLvl w:val="3"/>
        <w:rPr>
          <w:rFonts w:hint="eastAsia" w:ascii="宋体" w:hAnsi="宋体" w:eastAsia="宋体" w:cs="宋体"/>
          <w:sz w:val="21"/>
          <w:szCs w:val="21"/>
          <w:lang w:val="en-US" w:eastAsia="zh-CN"/>
        </w:rPr>
      </w:pPr>
      <w:bookmarkStart w:id="1515" w:name="_Toc12942"/>
      <w:bookmarkStart w:id="1516" w:name="_Toc3020"/>
      <w:r>
        <w:rPr>
          <w:rFonts w:hint="eastAsia" w:ascii="宋体" w:hAnsi="宋体" w:eastAsia="宋体" w:cs="宋体"/>
          <w:sz w:val="21"/>
          <w:szCs w:val="21"/>
          <w:lang w:val="en-US" w:eastAsia="zh-CN"/>
        </w:rPr>
        <w:t>（7）电气节能措施</w:t>
      </w:r>
      <w:bookmarkEnd w:id="1515"/>
      <w:bookmarkEnd w:id="1516"/>
    </w:p>
    <w:p w14:paraId="13BC7FC3">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根据用电性质、用电容量，选择合理的供电电压和供电方式；电力系统在设计、布置时力求减少线损，合理选择负荷中心，变配电间尽量靠近用电负荷中心以减少线路损耗，节约电能。</w:t>
      </w:r>
    </w:p>
    <w:p w14:paraId="2063422C">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在配电室低压侧集中装置电容补偿屏，进行无功功率补偿，补偿后功率因数高压侧不小于0.90。荧光灯、金属卤化物灯等采用就地补偿，采用电子整流器，荧光灯单灯功率因数不小于0.9，气体放电灯单灯功率因数不小于0.85。</w:t>
      </w:r>
    </w:p>
    <w:p w14:paraId="4DE94E7F">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采用节能型的高、低压开关柜、变压器、电动机、照明灯等电器元件，严禁使用电炉及非节能型的大功率用电器具，凡超过规定能源限制指标的机械设备，要限制购进，杜绝使用高耗能设备。选用低能耗、低噪音型变压器，采用节能型干式变压器和变配电计算机综合保护系统。</w:t>
      </w:r>
    </w:p>
    <w:p w14:paraId="384AD693">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低压配电系统按不同类型负荷设置分项智能计量仪表，并可通过微机打印。</w:t>
      </w:r>
    </w:p>
    <w:p w14:paraId="36EE73F3">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利用变频技术，实现压缩机等设备的能量调节，开发节能制冷设备。</w:t>
      </w:r>
    </w:p>
    <w:p w14:paraId="10EB9C5A">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电缆的选型与敷设应符合规范要求，应尽量减少电缆中间接头的数量。加强电缆运行中检查，防止电缆损坏或被老鼠等咬坏，防止电缆运行中过热，增加电力损耗。合理设计配电线路的导线截面，如果输电线路导线截面过小的，导致供电时电流增大，线路上的电压降增大，电能损耗也增大。</w:t>
      </w:r>
    </w:p>
    <w:p w14:paraId="1F3D5525">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照明灯具的安装功率限制，照明灯具的功率密度值符合《建筑照明设计标准 GB50034-2024》第 6 章要求。照明灯具采用高效节能灯具，冷间采用冷库专用 LED 灯，荧光灯采用细管径直管荧光灯和紧凑型荧光灯。楼梯间采用自熄式开关。 </w:t>
      </w:r>
    </w:p>
    <w:p w14:paraId="17775AEA">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如采用一般照明来满足整个车间不同区域、不同照度要求，则整个车间的照明功率就很大，浪费电能，所以应根据实际情况，减少一般照明，相应增加局部照明，即采用混合照明方式，不但能满足各种照度要求，而且能较大程度节约照明功率。</w:t>
      </w:r>
    </w:p>
    <w:p w14:paraId="2E69054D">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利用冷冻厂夜间用电量大的特点，实施错锋运行，在全市用电低谷的夜间，多投运机组。</w:t>
      </w:r>
    </w:p>
    <w:p w14:paraId="3E837BCE">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冷库设计方案推荐全自动或半自动控制，冷库中实现自控与手控相比，不仅节省了大量的人力物力，而且可节能 10%～15%。</w:t>
      </w:r>
    </w:p>
    <w:p w14:paraId="66208619">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采用绿色、环保且经国家认证的电气产品。</w:t>
      </w:r>
    </w:p>
    <w:p w14:paraId="46E53DCB">
      <w:pPr>
        <w:pStyle w:val="31"/>
        <w:numPr>
          <w:ilvl w:val="0"/>
          <w:numId w:val="0"/>
        </w:numPr>
        <w:spacing w:line="360" w:lineRule="auto"/>
        <w:ind w:left="0" w:leftChars="0" w:firstLine="0" w:firstLineChars="0"/>
        <w:outlineLvl w:val="3"/>
        <w:rPr>
          <w:rFonts w:hint="eastAsia" w:ascii="宋体" w:hAnsi="宋体" w:eastAsia="宋体" w:cs="宋体"/>
          <w:sz w:val="21"/>
          <w:szCs w:val="21"/>
          <w:lang w:val="en-US" w:eastAsia="zh-CN"/>
        </w:rPr>
      </w:pPr>
      <w:bookmarkStart w:id="1517" w:name="_Toc22687"/>
      <w:bookmarkStart w:id="1518" w:name="_Toc12748"/>
      <w:r>
        <w:rPr>
          <w:rFonts w:hint="eastAsia" w:ascii="宋体" w:hAnsi="宋体" w:eastAsia="宋体" w:cs="宋体"/>
          <w:sz w:val="21"/>
          <w:szCs w:val="21"/>
          <w:lang w:val="en-US" w:eastAsia="zh-CN"/>
        </w:rPr>
        <w:t>（8）能源管理措施</w:t>
      </w:r>
      <w:bookmarkEnd w:id="1517"/>
      <w:bookmarkEnd w:id="1518"/>
    </w:p>
    <w:p w14:paraId="059E5F69">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计量器具配备。计量器具的配备应按照《国家用能单位能源计量器具配备和管 理通则》标准和能源三级计量管理网络要求执行，一级计量器具配 备率达到 100%，二级计量器具配备率达 100%，三级计量器具配备率达 95%以上。</w:t>
      </w:r>
    </w:p>
    <w:p w14:paraId="47E2D1CC">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能源管理、使用和计量工作主要由各公司管理部专人负责。各项目在运营过程中将成立一个专门的节能领导小组，由公司总经理担任组长，其他部门为组员。节能领导小组负责制定水、电、煤、气的消耗定额，建立能源奖惩条例。下设节能领导小组，监督落实节能工作计划和目标；建立三级节能管理网，使节能工作落实到班组、个人；配备专、兼职节能管理人员，形成定期检测与核查制度；将节能工作纳入各级管理人员业绩考核以及员工岗位培训范围内，并形成制度。</w:t>
      </w:r>
    </w:p>
    <w:p w14:paraId="21B3C4D0">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贯彻上级节能工作要求和具体落实措施，并负责本车间节能工作的组织实施，定期进行能耗分析、报表。</w:t>
      </w:r>
    </w:p>
    <w:p w14:paraId="3F0951E9">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车间节能管理主责人员定期组织有关人员，制定年度节能工作计划，落实节能技术改造措施、推广采用切合本车间实际的节能经验和措施，部署其他节能有关工作。</w:t>
      </w:r>
    </w:p>
    <w:p w14:paraId="6853305C">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定期检测检查能源计量系统，做好车间能源消耗台帐记录，严格控制各班组能耗指标浮动范围，节能指标落实到班组。</w:t>
      </w:r>
    </w:p>
    <w:p w14:paraId="2A5FFE76">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严格管理检测每一台设备每一工段的运行，力争系统处于最佳的平稳运行状态，防止波动，努力降低生产过程的能源消耗。</w:t>
      </w:r>
    </w:p>
    <w:p w14:paraId="0AD8B208">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在能源管理上逐步细化，划分能源管理责任区，全厂各部门各责任区都有相关责任人负责。能源检查小组将每星期不定期检查一次，涉及全厂的各个角落，各个能耗点，发现问题，及时上报。对出现问题的部门、责任人进行通报，按企业制定的能源管理奖惩条例执行。</w:t>
      </w:r>
    </w:p>
    <w:p w14:paraId="28D012E0">
      <w:pPr>
        <w:numPr>
          <w:ilvl w:val="0"/>
          <w:numId w:val="0"/>
        </w:numPr>
        <w:spacing w:line="360" w:lineRule="auto"/>
        <w:ind w:left="0" w:leftChars="0" w:firstLine="0" w:firstLineChars="0"/>
        <w:outlineLvl w:val="1"/>
        <w:rPr>
          <w:rFonts w:hint="eastAsia" w:ascii="宋体" w:hAnsi="宋体" w:eastAsia="宋体" w:cs="宋体"/>
          <w:b/>
          <w:bCs/>
          <w:sz w:val="21"/>
          <w:szCs w:val="21"/>
          <w:lang w:val="en-US" w:eastAsia="zh-CN"/>
        </w:rPr>
      </w:pPr>
      <w:bookmarkStart w:id="1519" w:name="_Toc9241"/>
      <w:bookmarkStart w:id="1520" w:name="_Toc15136"/>
      <w:r>
        <w:rPr>
          <w:rFonts w:hint="eastAsia" w:ascii="宋体" w:hAnsi="宋体" w:eastAsia="宋体" w:cs="宋体"/>
          <w:b/>
          <w:bCs/>
          <w:sz w:val="21"/>
          <w:szCs w:val="21"/>
          <w:lang w:val="en-US" w:eastAsia="zh-CN"/>
        </w:rPr>
        <w:t>10、能源消耗指标分析及结论</w:t>
      </w:r>
      <w:bookmarkEnd w:id="1519"/>
      <w:bookmarkEnd w:id="1520"/>
    </w:p>
    <w:p w14:paraId="51D564B3">
      <w:pPr>
        <w:pStyle w:val="31"/>
        <w:numPr>
          <w:ilvl w:val="0"/>
          <w:numId w:val="0"/>
        </w:numPr>
        <w:spacing w:line="360" w:lineRule="auto"/>
        <w:ind w:left="0" w:leftChars="0" w:firstLine="0" w:firstLineChars="0"/>
        <w:outlineLvl w:val="2"/>
        <w:rPr>
          <w:rFonts w:hint="eastAsia" w:ascii="宋体" w:hAnsi="宋体" w:eastAsia="宋体" w:cs="宋体"/>
          <w:sz w:val="21"/>
          <w:szCs w:val="21"/>
          <w:lang w:val="en-US" w:eastAsia="zh-CN"/>
        </w:rPr>
      </w:pPr>
      <w:bookmarkStart w:id="1521" w:name="_Toc19469"/>
      <w:bookmarkStart w:id="1522" w:name="_Toc15071"/>
      <w:r>
        <w:rPr>
          <w:rFonts w:hint="eastAsia" w:ascii="宋体" w:hAnsi="宋体" w:eastAsia="宋体" w:cs="宋体"/>
          <w:sz w:val="21"/>
          <w:szCs w:val="21"/>
          <w:lang w:val="en-US" w:eastAsia="zh-CN"/>
        </w:rPr>
        <w:t>（1）冷库节能的意义</w:t>
      </w:r>
      <w:bookmarkEnd w:id="1521"/>
      <w:bookmarkEnd w:id="1522"/>
    </w:p>
    <w:p w14:paraId="24350B4D">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目前我国一些冷库的设计和建造只注重降低费用，造成制冷系统设计和设备配置不合理，以及保温性能差、漏冷严重、操作不规范，其能耗比国内先进水平高 2～ 3 倍。据有关资料，我国冷库年耗电量平均水平约为106kWh/m3，先进水平约62kWh/m3。日本平均水平约 48～56kWh/m3，先进水平约 32kWh/m3；英国平均水平 60kWh/m3，先进水平 16kWh/m3，我国冷库能耗水平与发达国家相比相差 2～4 倍。目前我国冷库容量已位居世界第二位（仅次于美国），冷库节能大有潜力，可以为我国节能降耗做出积极贡献。</w:t>
      </w:r>
    </w:p>
    <w:p w14:paraId="711B2076">
      <w:pPr>
        <w:pStyle w:val="31"/>
        <w:numPr>
          <w:ilvl w:val="0"/>
          <w:numId w:val="0"/>
        </w:numPr>
        <w:spacing w:line="360" w:lineRule="auto"/>
        <w:ind w:left="0" w:leftChars="0" w:firstLine="0" w:firstLineChars="0"/>
        <w:outlineLvl w:val="2"/>
        <w:rPr>
          <w:rFonts w:hint="eastAsia" w:ascii="宋体" w:hAnsi="宋体" w:eastAsia="宋体" w:cs="宋体"/>
          <w:sz w:val="21"/>
          <w:szCs w:val="21"/>
          <w:lang w:val="en-US" w:eastAsia="zh-CN"/>
        </w:rPr>
      </w:pPr>
      <w:bookmarkStart w:id="1523" w:name="_Toc10959"/>
      <w:bookmarkStart w:id="1524" w:name="_Toc32595"/>
      <w:r>
        <w:rPr>
          <w:rFonts w:hint="eastAsia" w:ascii="宋体" w:hAnsi="宋体" w:eastAsia="宋体" w:cs="宋体"/>
          <w:sz w:val="21"/>
          <w:szCs w:val="21"/>
          <w:lang w:val="en-US" w:eastAsia="zh-CN"/>
        </w:rPr>
        <w:t>（2）结论</w:t>
      </w:r>
      <w:bookmarkEnd w:id="1523"/>
      <w:bookmarkEnd w:id="1524"/>
    </w:p>
    <w:p w14:paraId="6ADAC7F7">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通过以上节能措施的实施和节能分析，本项目消耗的主要能源工质为电能，属于清洁型的优质能源，能源结构合理。</w:t>
      </w:r>
    </w:p>
    <w:p w14:paraId="195A6B09">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本项目生产选用了目前国内先进的工艺流程和设备，最终产品的单位综合能耗指标和主要工序能耗指标均达到了国内领先水平。经分析比较，企业针对本项目的具体情况，制定了利用能源及节能技术措施，有效降低了各类能源的消耗指标。</w:t>
      </w:r>
    </w:p>
    <w:p w14:paraId="6E5C95B5">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符合国家、地方和行业节能设计标准、规范。</w:t>
      </w:r>
    </w:p>
    <w:p w14:paraId="4C6EBDFC">
      <w:pPr>
        <w:numPr>
          <w:ilvl w:val="0"/>
          <w:numId w:val="0"/>
        </w:numPr>
        <w:spacing w:line="360" w:lineRule="auto"/>
        <w:ind w:left="0" w:leftChars="0" w:firstLine="0" w:firstLineChars="0"/>
        <w:outlineLvl w:val="1"/>
        <w:rPr>
          <w:rFonts w:hint="eastAsia" w:ascii="宋体" w:hAnsi="宋体" w:eastAsia="宋体" w:cs="宋体"/>
          <w:b/>
          <w:bCs/>
          <w:sz w:val="21"/>
          <w:szCs w:val="21"/>
          <w:lang w:val="en-US" w:eastAsia="zh-CN"/>
        </w:rPr>
      </w:pPr>
      <w:bookmarkStart w:id="1525" w:name="_Toc20762"/>
      <w:bookmarkStart w:id="1526" w:name="_Toc31379"/>
      <w:r>
        <w:rPr>
          <w:rFonts w:hint="eastAsia" w:ascii="宋体" w:hAnsi="宋体" w:eastAsia="宋体" w:cs="宋体"/>
          <w:b/>
          <w:bCs/>
          <w:sz w:val="21"/>
          <w:szCs w:val="21"/>
          <w:lang w:val="en-US" w:eastAsia="zh-CN"/>
        </w:rPr>
        <w:t>11、对设计成果的施工导向性要求</w:t>
      </w:r>
      <w:bookmarkEnd w:id="1525"/>
      <w:bookmarkEnd w:id="1526"/>
      <w:r>
        <w:rPr>
          <w:rFonts w:hint="eastAsia" w:ascii="宋体" w:hAnsi="宋体" w:eastAsia="宋体" w:cs="宋体"/>
          <w:b/>
          <w:bCs/>
          <w:sz w:val="21"/>
          <w:szCs w:val="21"/>
          <w:lang w:val="en-US" w:eastAsia="zh-CN"/>
        </w:rPr>
        <w:t xml:space="preserve"> </w:t>
      </w:r>
    </w:p>
    <w:p w14:paraId="52DBC229">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11.1模块化与标准化设计：建筑柱网、层高、主要构件尺寸应尽可能模数化、标准化，以利于预制构件（如预制楼板、钢构件、保温板）的工厂化生产与现场快速安装，提高施工效率，减少现场湿作业和建筑垃圾。</w:t>
      </w:r>
    </w:p>
    <w:p w14:paraId="583E63D2">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11.2季节性施工考量： 设计方案应充分考虑蒙自地区气候特点，对雨季、高温期施工可能带来的影响（如混凝土养护、钢结构焊接、防水施工）提出材料选择或构造措施上的应对建议。</w:t>
      </w:r>
    </w:p>
    <w:p w14:paraId="7EABD5A4">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11.3绿色低碳施工材料与工艺：在材料选型和技术说明中，应优先推荐绿色、低碳、先进、可回收的建筑材料，并说明其施工工艺，并提供相关使用案例的使用报告。鼓励采用减少扬尘、噪音、废水的构造做法。</w:t>
      </w:r>
    </w:p>
    <w:p w14:paraId="39C5F0BE">
      <w:pPr>
        <w:pStyle w:val="31"/>
        <w:numPr>
          <w:ilvl w:val="0"/>
          <w:numId w:val="0"/>
        </w:numPr>
        <w:spacing w:line="36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11.4对于本项目拟采用的新型环保制冷剂系统、高性能保温体系、智慧仓储系统，投标方应负责提供至少一个国内已竣工的、工艺类似、适用于项目当地环境的成功应用案例考察报告。</w:t>
      </w:r>
    </w:p>
    <w:p w14:paraId="448BBBC0">
      <w:pPr>
        <w:numPr>
          <w:ilvl w:val="0"/>
          <w:numId w:val="0"/>
        </w:numPr>
        <w:spacing w:line="360" w:lineRule="auto"/>
        <w:ind w:left="0" w:leftChars="0" w:firstLine="0" w:firstLineChars="0"/>
        <w:outlineLvl w:val="1"/>
        <w:rPr>
          <w:rFonts w:hint="eastAsia" w:ascii="宋体" w:hAnsi="宋体" w:eastAsia="宋体" w:cs="宋体"/>
          <w:b/>
          <w:bCs/>
          <w:sz w:val="21"/>
          <w:szCs w:val="21"/>
          <w:lang w:val="en-US" w:eastAsia="zh-CN"/>
        </w:rPr>
      </w:pPr>
      <w:bookmarkStart w:id="1527" w:name="_Toc30719"/>
      <w:bookmarkStart w:id="1528" w:name="_Toc13293"/>
      <w:r>
        <w:rPr>
          <w:rFonts w:hint="eastAsia" w:ascii="宋体" w:hAnsi="宋体" w:eastAsia="宋体" w:cs="宋体"/>
          <w:b/>
          <w:bCs/>
          <w:sz w:val="21"/>
          <w:szCs w:val="21"/>
          <w:lang w:val="en-US" w:eastAsia="zh-CN"/>
        </w:rPr>
        <w:t>12、</w:t>
      </w:r>
      <w:bookmarkStart w:id="1529" w:name="_Toc21234"/>
      <w:r>
        <w:rPr>
          <w:rFonts w:hint="eastAsia" w:ascii="宋体" w:hAnsi="宋体" w:eastAsia="宋体" w:cs="宋体"/>
          <w:b/>
          <w:bCs/>
          <w:sz w:val="21"/>
          <w:szCs w:val="21"/>
          <w:lang w:val="en-US" w:eastAsia="zh-CN"/>
        </w:rPr>
        <w:t>环境保护措施</w:t>
      </w:r>
      <w:bookmarkEnd w:id="1527"/>
      <w:bookmarkEnd w:id="1528"/>
      <w:bookmarkEnd w:id="1529"/>
    </w:p>
    <w:p w14:paraId="7C304E6D">
      <w:pPr>
        <w:spacing w:line="360" w:lineRule="auto"/>
        <w:outlineLvl w:val="2"/>
        <w:rPr>
          <w:rFonts w:ascii="宋体" w:hAnsi="宋体" w:eastAsia="宋体" w:cs="宋体"/>
          <w:b/>
          <w:bCs/>
          <w:color w:val="auto"/>
          <w:sz w:val="21"/>
          <w:szCs w:val="21"/>
        </w:rPr>
      </w:pPr>
      <w:bookmarkStart w:id="1530" w:name="_Toc815"/>
      <w:bookmarkEnd w:id="1530"/>
      <w:bookmarkStart w:id="1531" w:name="_Toc14270"/>
      <w:bookmarkStart w:id="1532" w:name="_Toc19091"/>
      <w:r>
        <w:rPr>
          <w:rFonts w:hint="eastAsia" w:ascii="宋体" w:hAnsi="宋体" w:eastAsia="宋体" w:cs="宋体"/>
          <w:b/>
          <w:bCs/>
          <w:color w:val="auto"/>
          <w:sz w:val="21"/>
          <w:szCs w:val="21"/>
        </w:rPr>
        <w:t>12.1</w:t>
      </w:r>
      <w:r>
        <w:rPr>
          <w:rFonts w:ascii="宋体" w:hAnsi="宋体" w:eastAsia="宋体" w:cs="宋体"/>
          <w:b/>
          <w:bCs/>
          <w:color w:val="auto"/>
          <w:sz w:val="21"/>
          <w:szCs w:val="21"/>
        </w:rPr>
        <w:t>设计依据</w:t>
      </w:r>
      <w:bookmarkEnd w:id="1531"/>
      <w:bookmarkEnd w:id="1532"/>
    </w:p>
    <w:p w14:paraId="1118F116">
      <w:pPr>
        <w:pStyle w:val="31"/>
        <w:spacing w:line="360" w:lineRule="auto"/>
        <w:ind w:left="0" w:leftChars="0"/>
        <w:outlineLvl w:val="3"/>
        <w:rPr>
          <w:rFonts w:ascii="宋体" w:hAnsi="宋体" w:eastAsia="宋体" w:cs="宋体"/>
          <w:color w:val="auto"/>
          <w:sz w:val="21"/>
          <w:szCs w:val="21"/>
        </w:rPr>
      </w:pPr>
      <w:bookmarkStart w:id="1533" w:name="_Toc1554"/>
      <w:bookmarkEnd w:id="1533"/>
      <w:bookmarkStart w:id="1534" w:name="_Toc2364"/>
      <w:bookmarkStart w:id="1535" w:name="_Toc155859575"/>
      <w:bookmarkStart w:id="1536" w:name="_Toc18714"/>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采用的主要技术规范、规程和标准</w:t>
      </w:r>
      <w:bookmarkEnd w:id="1534"/>
      <w:bookmarkEnd w:id="1535"/>
      <w:bookmarkEnd w:id="1536"/>
    </w:p>
    <w:p w14:paraId="656F9AF3">
      <w:pPr>
        <w:pStyle w:val="31"/>
        <w:spacing w:line="360" w:lineRule="auto"/>
        <w:ind w:left="0" w:leftChars="0"/>
        <w:rPr>
          <w:rFonts w:hint="eastAsia" w:ascii="宋体" w:hAnsi="宋体" w:eastAsia="宋体" w:cs="宋体"/>
          <w:color w:val="auto"/>
          <w:sz w:val="21"/>
          <w:szCs w:val="21"/>
        </w:rPr>
      </w:pPr>
      <w:r>
        <w:rPr>
          <w:rFonts w:hint="eastAsia" w:ascii="宋体" w:hAnsi="宋体" w:eastAsia="宋体" w:cs="宋体"/>
          <w:color w:val="auto"/>
          <w:sz w:val="21"/>
          <w:szCs w:val="21"/>
        </w:rPr>
        <w:t>《中华人民共和国环境保护法》（2015年1月施行）；</w:t>
      </w:r>
    </w:p>
    <w:p w14:paraId="182D0432">
      <w:pPr>
        <w:pStyle w:val="31"/>
        <w:spacing w:line="360" w:lineRule="auto"/>
        <w:ind w:left="0" w:leftChars="0"/>
        <w:rPr>
          <w:rFonts w:hint="eastAsia" w:ascii="宋体" w:hAnsi="宋体" w:eastAsia="宋体" w:cs="宋体"/>
          <w:color w:val="auto"/>
          <w:sz w:val="21"/>
          <w:szCs w:val="21"/>
        </w:rPr>
      </w:pPr>
      <w:r>
        <w:rPr>
          <w:rFonts w:hint="eastAsia" w:ascii="宋体" w:hAnsi="宋体" w:eastAsia="宋体" w:cs="宋体"/>
          <w:color w:val="auto"/>
          <w:sz w:val="21"/>
          <w:szCs w:val="21"/>
        </w:rPr>
        <w:t>《中华人民共和国水污染防治法》（2018年1月施行）；</w:t>
      </w:r>
    </w:p>
    <w:p w14:paraId="2D871F1F">
      <w:pPr>
        <w:pStyle w:val="31"/>
        <w:spacing w:line="360" w:lineRule="auto"/>
        <w:ind w:left="0" w:leftChars="0"/>
        <w:rPr>
          <w:rFonts w:hint="eastAsia" w:ascii="宋体" w:hAnsi="宋体" w:eastAsia="宋体" w:cs="宋体"/>
          <w:color w:val="auto"/>
          <w:sz w:val="21"/>
          <w:szCs w:val="21"/>
        </w:rPr>
      </w:pPr>
      <w:r>
        <w:rPr>
          <w:rFonts w:hint="eastAsia" w:ascii="宋体" w:hAnsi="宋体" w:eastAsia="宋体" w:cs="宋体"/>
          <w:color w:val="auto"/>
          <w:sz w:val="21"/>
          <w:szCs w:val="21"/>
        </w:rPr>
        <w:t>《中华人民共和国水法》（2016年7月修订）；</w:t>
      </w:r>
    </w:p>
    <w:p w14:paraId="51E3BA95">
      <w:pPr>
        <w:pStyle w:val="31"/>
        <w:spacing w:line="360" w:lineRule="auto"/>
        <w:ind w:left="0" w:leftChars="0"/>
        <w:rPr>
          <w:rFonts w:hint="eastAsia" w:ascii="宋体" w:hAnsi="宋体" w:eastAsia="宋体" w:cs="宋体"/>
          <w:color w:val="auto"/>
          <w:sz w:val="21"/>
          <w:szCs w:val="21"/>
        </w:rPr>
      </w:pPr>
      <w:r>
        <w:rPr>
          <w:rFonts w:hint="eastAsia" w:ascii="宋体" w:hAnsi="宋体" w:eastAsia="宋体" w:cs="宋体"/>
          <w:color w:val="auto"/>
          <w:sz w:val="21"/>
          <w:szCs w:val="21"/>
        </w:rPr>
        <w:t>《中华人民共和国固体废物污染环境防治法》（2020年9月施行）；</w:t>
      </w:r>
    </w:p>
    <w:p w14:paraId="46CE9640">
      <w:pPr>
        <w:pStyle w:val="31"/>
        <w:spacing w:line="360" w:lineRule="auto"/>
        <w:ind w:left="0" w:leftChars="0"/>
        <w:rPr>
          <w:rFonts w:hint="eastAsia" w:ascii="宋体" w:hAnsi="宋体" w:eastAsia="宋体" w:cs="宋体"/>
          <w:color w:val="auto"/>
          <w:sz w:val="21"/>
          <w:szCs w:val="21"/>
        </w:rPr>
      </w:pPr>
      <w:r>
        <w:rPr>
          <w:rFonts w:hint="eastAsia" w:ascii="宋体" w:hAnsi="宋体" w:eastAsia="宋体" w:cs="宋体"/>
          <w:color w:val="auto"/>
          <w:sz w:val="21"/>
          <w:szCs w:val="21"/>
        </w:rPr>
        <w:t>《中华人民共和国水土保持法》（2011年3月施行）；</w:t>
      </w:r>
    </w:p>
    <w:p w14:paraId="16D095C9">
      <w:pPr>
        <w:pStyle w:val="31"/>
        <w:spacing w:line="360" w:lineRule="auto"/>
        <w:ind w:left="0" w:leftChars="0"/>
        <w:rPr>
          <w:rFonts w:hint="eastAsia" w:ascii="宋体" w:hAnsi="宋体" w:eastAsia="宋体" w:cs="宋体"/>
          <w:color w:val="auto"/>
          <w:sz w:val="21"/>
          <w:szCs w:val="21"/>
        </w:rPr>
      </w:pPr>
      <w:r>
        <w:rPr>
          <w:rFonts w:hint="eastAsia" w:ascii="宋体" w:hAnsi="宋体" w:eastAsia="宋体" w:cs="宋体"/>
          <w:color w:val="auto"/>
          <w:sz w:val="21"/>
          <w:szCs w:val="21"/>
        </w:rPr>
        <w:t>《中华人民共和国水土保持法实施条例》（2011年1月修订）；</w:t>
      </w:r>
    </w:p>
    <w:p w14:paraId="75742EC1">
      <w:pPr>
        <w:pStyle w:val="31"/>
        <w:spacing w:line="360" w:lineRule="auto"/>
        <w:ind w:left="0" w:leftChars="0"/>
        <w:rPr>
          <w:rFonts w:hint="eastAsia" w:ascii="宋体" w:hAnsi="宋体" w:eastAsia="宋体" w:cs="宋体"/>
          <w:color w:val="auto"/>
          <w:sz w:val="21"/>
          <w:szCs w:val="21"/>
        </w:rPr>
      </w:pPr>
      <w:r>
        <w:rPr>
          <w:rFonts w:hint="eastAsia" w:ascii="宋体" w:hAnsi="宋体" w:eastAsia="宋体" w:cs="宋体"/>
          <w:color w:val="auto"/>
          <w:sz w:val="21"/>
          <w:szCs w:val="21"/>
        </w:rPr>
        <w:t>《中华人民共和国森林法》（2020年7月施行）；</w:t>
      </w:r>
    </w:p>
    <w:p w14:paraId="210DAA71">
      <w:pPr>
        <w:pStyle w:val="31"/>
        <w:spacing w:line="360" w:lineRule="auto"/>
        <w:ind w:left="0" w:leftChars="0"/>
        <w:rPr>
          <w:rFonts w:hint="eastAsia" w:ascii="宋体" w:hAnsi="宋体" w:eastAsia="宋体" w:cs="宋体"/>
          <w:color w:val="auto"/>
          <w:sz w:val="21"/>
          <w:szCs w:val="21"/>
        </w:rPr>
      </w:pPr>
      <w:r>
        <w:rPr>
          <w:rFonts w:hint="eastAsia" w:ascii="宋体" w:hAnsi="宋体" w:eastAsia="宋体" w:cs="宋体"/>
          <w:color w:val="auto"/>
          <w:sz w:val="21"/>
          <w:szCs w:val="21"/>
        </w:rPr>
        <w:t>《中华人民共和国基本农田保护条例》（1999年1月施行）；</w:t>
      </w:r>
    </w:p>
    <w:p w14:paraId="2E21114F">
      <w:pPr>
        <w:pStyle w:val="31"/>
        <w:spacing w:line="360" w:lineRule="auto"/>
        <w:ind w:left="0" w:leftChars="0"/>
        <w:rPr>
          <w:rFonts w:hint="eastAsia" w:ascii="宋体" w:hAnsi="宋体" w:eastAsia="宋体" w:cs="宋体"/>
          <w:color w:val="auto"/>
          <w:sz w:val="21"/>
          <w:szCs w:val="21"/>
        </w:rPr>
      </w:pPr>
      <w:r>
        <w:rPr>
          <w:rFonts w:hint="eastAsia" w:ascii="宋体" w:hAnsi="宋体" w:eastAsia="宋体" w:cs="宋体"/>
          <w:color w:val="auto"/>
          <w:sz w:val="21"/>
          <w:szCs w:val="21"/>
        </w:rPr>
        <w:t>《饮用水源保护区污染防治管理规定》（1989年7月实施）；</w:t>
      </w:r>
    </w:p>
    <w:p w14:paraId="18014262">
      <w:pPr>
        <w:pStyle w:val="31"/>
        <w:spacing w:line="360" w:lineRule="auto"/>
        <w:ind w:left="0" w:leftChars="0"/>
        <w:rPr>
          <w:rFonts w:hint="eastAsia" w:ascii="宋体" w:hAnsi="宋体" w:eastAsia="宋体" w:cs="宋体"/>
          <w:color w:val="auto"/>
          <w:sz w:val="21"/>
          <w:szCs w:val="21"/>
        </w:rPr>
      </w:pPr>
      <w:r>
        <w:rPr>
          <w:rFonts w:hint="eastAsia" w:ascii="宋体" w:hAnsi="宋体" w:eastAsia="宋体" w:cs="宋体"/>
          <w:color w:val="auto"/>
          <w:sz w:val="21"/>
          <w:szCs w:val="21"/>
        </w:rPr>
        <w:t>《中华人民共和国环境噪声污染防治法》（1997年3月施行）；</w:t>
      </w:r>
    </w:p>
    <w:p w14:paraId="727BD172">
      <w:pPr>
        <w:pStyle w:val="31"/>
        <w:spacing w:line="360" w:lineRule="auto"/>
        <w:ind w:left="0" w:leftChars="0"/>
        <w:rPr>
          <w:rFonts w:hint="eastAsia" w:ascii="宋体" w:hAnsi="宋体" w:eastAsia="宋体" w:cs="宋体"/>
          <w:color w:val="auto"/>
          <w:sz w:val="21"/>
          <w:szCs w:val="21"/>
        </w:rPr>
      </w:pPr>
      <w:r>
        <w:rPr>
          <w:rFonts w:hint="eastAsia" w:ascii="宋体" w:hAnsi="宋体" w:eastAsia="宋体" w:cs="宋体"/>
          <w:color w:val="auto"/>
          <w:sz w:val="21"/>
          <w:szCs w:val="21"/>
        </w:rPr>
        <w:t>《中华人民共和国乡村振兴促进法》（2021年6月1日起施行）</w:t>
      </w:r>
    </w:p>
    <w:p w14:paraId="65D07A5E">
      <w:pPr>
        <w:pStyle w:val="31"/>
        <w:spacing w:line="360" w:lineRule="auto"/>
        <w:ind w:left="0" w:leftChars="0"/>
        <w:rPr>
          <w:rFonts w:hint="eastAsia" w:ascii="宋体" w:hAnsi="宋体" w:eastAsia="宋体" w:cs="宋体"/>
          <w:color w:val="auto"/>
          <w:sz w:val="21"/>
          <w:szCs w:val="21"/>
        </w:rPr>
      </w:pPr>
      <w:r>
        <w:rPr>
          <w:rFonts w:hint="eastAsia" w:ascii="宋体" w:hAnsi="宋体" w:eastAsia="宋体" w:cs="宋体"/>
          <w:color w:val="auto"/>
          <w:sz w:val="21"/>
          <w:szCs w:val="21"/>
        </w:rPr>
        <w:t>《建设项目环境保护管理条例》（2017年10月1日起施行）</w:t>
      </w:r>
    </w:p>
    <w:p w14:paraId="1EFFE27F">
      <w:pPr>
        <w:pStyle w:val="31"/>
        <w:spacing w:line="360" w:lineRule="auto"/>
        <w:ind w:left="0" w:leftChars="0"/>
        <w:rPr>
          <w:rFonts w:hint="eastAsia" w:ascii="宋体" w:hAnsi="宋体" w:eastAsia="宋体" w:cs="宋体"/>
          <w:color w:val="auto"/>
          <w:sz w:val="21"/>
          <w:szCs w:val="21"/>
        </w:rPr>
      </w:pPr>
      <w:r>
        <w:rPr>
          <w:rFonts w:hint="eastAsia" w:ascii="宋体" w:hAnsi="宋体" w:eastAsia="宋体" w:cs="宋体"/>
          <w:color w:val="auto"/>
          <w:sz w:val="21"/>
          <w:szCs w:val="21"/>
        </w:rPr>
        <w:t>《中华人民共和国大气污染防治法》（2016 年 1 月施行）；</w:t>
      </w:r>
    </w:p>
    <w:p w14:paraId="60FF2EF4">
      <w:pPr>
        <w:pStyle w:val="31"/>
        <w:spacing w:line="360" w:lineRule="auto"/>
        <w:ind w:left="0" w:leftChars="0"/>
        <w:rPr>
          <w:rFonts w:hint="eastAsia" w:ascii="宋体" w:hAnsi="宋体" w:eastAsia="宋体" w:cs="宋体"/>
          <w:color w:val="auto"/>
          <w:sz w:val="21"/>
          <w:szCs w:val="21"/>
        </w:rPr>
      </w:pPr>
      <w:r>
        <w:rPr>
          <w:rFonts w:hint="eastAsia" w:ascii="宋体" w:hAnsi="宋体" w:eastAsia="宋体" w:cs="宋体"/>
          <w:color w:val="auto"/>
          <w:sz w:val="21"/>
          <w:szCs w:val="21"/>
        </w:rPr>
        <w:t>《中华人民共和国城市供水条例》（国务院令第158号）；</w:t>
      </w:r>
    </w:p>
    <w:p w14:paraId="46F68145">
      <w:pPr>
        <w:pStyle w:val="31"/>
        <w:spacing w:line="360" w:lineRule="auto"/>
        <w:ind w:left="0" w:leftChars="0"/>
        <w:rPr>
          <w:rFonts w:hint="eastAsia" w:ascii="宋体" w:hAnsi="宋体" w:eastAsia="宋体" w:cs="宋体"/>
          <w:color w:val="auto"/>
          <w:sz w:val="21"/>
          <w:szCs w:val="21"/>
        </w:rPr>
      </w:pPr>
      <w:r>
        <w:rPr>
          <w:rFonts w:hint="eastAsia" w:ascii="宋体" w:hAnsi="宋体" w:eastAsia="宋体" w:cs="宋体"/>
          <w:color w:val="auto"/>
          <w:sz w:val="21"/>
          <w:szCs w:val="21"/>
        </w:rPr>
        <w:t>《云南省水土保持条例》（2014 年 10 月施行）。</w:t>
      </w:r>
    </w:p>
    <w:p w14:paraId="06560FC6">
      <w:pPr>
        <w:pStyle w:val="31"/>
        <w:spacing w:line="360" w:lineRule="auto"/>
        <w:ind w:left="0" w:leftChars="0"/>
        <w:rPr>
          <w:rFonts w:ascii="宋体" w:hAnsi="宋体" w:eastAsia="宋体" w:cs="宋体"/>
          <w:color w:val="auto"/>
          <w:sz w:val="21"/>
          <w:szCs w:val="21"/>
        </w:rPr>
      </w:pPr>
      <w:r>
        <w:rPr>
          <w:rFonts w:ascii="宋体" w:hAnsi="宋体" w:eastAsia="宋体" w:cs="宋体"/>
          <w:color w:val="auto"/>
          <w:sz w:val="21"/>
          <w:szCs w:val="21"/>
        </w:rPr>
        <w:t>《污水综合排放标准》（GB8978-1996）；</w:t>
      </w:r>
    </w:p>
    <w:p w14:paraId="30C61E53">
      <w:pPr>
        <w:pStyle w:val="31"/>
        <w:spacing w:line="360" w:lineRule="auto"/>
        <w:ind w:left="0" w:leftChars="0"/>
        <w:rPr>
          <w:rFonts w:ascii="宋体" w:hAnsi="宋体" w:eastAsia="宋体" w:cs="宋体"/>
          <w:color w:val="auto"/>
          <w:sz w:val="21"/>
          <w:szCs w:val="21"/>
        </w:rPr>
      </w:pPr>
      <w:r>
        <w:rPr>
          <w:rFonts w:ascii="宋体" w:hAnsi="宋体" w:eastAsia="宋体" w:cs="宋体"/>
          <w:color w:val="auto"/>
          <w:sz w:val="21"/>
          <w:szCs w:val="21"/>
        </w:rPr>
        <w:t>《城市污水再生利用 城市杂用水水质》（GB/T18920-2020）；</w:t>
      </w:r>
    </w:p>
    <w:p w14:paraId="06DAEF4E">
      <w:pPr>
        <w:pStyle w:val="31"/>
        <w:spacing w:line="360" w:lineRule="auto"/>
        <w:ind w:left="0" w:leftChars="0"/>
        <w:rPr>
          <w:rFonts w:ascii="宋体" w:hAnsi="宋体" w:eastAsia="宋体" w:cs="宋体"/>
          <w:color w:val="auto"/>
          <w:sz w:val="21"/>
          <w:szCs w:val="21"/>
        </w:rPr>
      </w:pPr>
      <w:r>
        <w:rPr>
          <w:rFonts w:ascii="宋体" w:hAnsi="宋体" w:eastAsia="宋体" w:cs="宋体"/>
          <w:color w:val="auto"/>
          <w:sz w:val="21"/>
          <w:szCs w:val="21"/>
        </w:rPr>
        <w:t>《城镇污水处理厂污染物排放标准》（GB/T18918-2002）；</w:t>
      </w:r>
    </w:p>
    <w:p w14:paraId="299ECCAE">
      <w:pPr>
        <w:pStyle w:val="31"/>
        <w:spacing w:line="360" w:lineRule="auto"/>
        <w:ind w:left="0" w:leftChars="0"/>
        <w:rPr>
          <w:rFonts w:ascii="宋体" w:hAnsi="宋体" w:eastAsia="宋体" w:cs="宋体"/>
          <w:color w:val="auto"/>
          <w:sz w:val="21"/>
          <w:szCs w:val="21"/>
        </w:rPr>
      </w:pPr>
      <w:r>
        <w:rPr>
          <w:rFonts w:ascii="宋体" w:hAnsi="宋体" w:eastAsia="宋体" w:cs="宋体"/>
          <w:color w:val="auto"/>
          <w:sz w:val="21"/>
          <w:szCs w:val="21"/>
        </w:rPr>
        <w:t>《地表水环境质量标准》（GB3838-2002）；</w:t>
      </w:r>
    </w:p>
    <w:p w14:paraId="7AB942A3">
      <w:pPr>
        <w:pStyle w:val="31"/>
        <w:spacing w:line="360" w:lineRule="auto"/>
        <w:ind w:left="0" w:leftChars="0"/>
        <w:rPr>
          <w:rFonts w:ascii="宋体" w:hAnsi="宋体" w:eastAsia="宋体" w:cs="宋体"/>
          <w:color w:val="auto"/>
          <w:sz w:val="21"/>
          <w:szCs w:val="21"/>
        </w:rPr>
      </w:pPr>
      <w:r>
        <w:rPr>
          <w:rFonts w:ascii="宋体" w:hAnsi="宋体" w:eastAsia="宋体" w:cs="宋体"/>
          <w:color w:val="auto"/>
          <w:sz w:val="21"/>
          <w:szCs w:val="21"/>
        </w:rPr>
        <w:t>《污水排入城镇下水道水质标准》（GB/T 31962-2015）；</w:t>
      </w:r>
    </w:p>
    <w:p w14:paraId="7189F76A">
      <w:pPr>
        <w:pStyle w:val="31"/>
        <w:spacing w:line="360" w:lineRule="auto"/>
        <w:ind w:left="0" w:leftChars="0"/>
        <w:rPr>
          <w:rFonts w:ascii="宋体" w:hAnsi="宋体" w:eastAsia="宋体" w:cs="宋体"/>
          <w:color w:val="auto"/>
          <w:sz w:val="21"/>
          <w:szCs w:val="21"/>
        </w:rPr>
      </w:pPr>
      <w:r>
        <w:rPr>
          <w:rFonts w:ascii="宋体" w:hAnsi="宋体" w:eastAsia="宋体" w:cs="宋体"/>
          <w:color w:val="auto"/>
          <w:sz w:val="21"/>
          <w:szCs w:val="21"/>
        </w:rPr>
        <w:t>《室外给水设计标准》（GB50013-2018）；</w:t>
      </w:r>
    </w:p>
    <w:p w14:paraId="14D13483">
      <w:pPr>
        <w:pStyle w:val="31"/>
        <w:spacing w:line="360" w:lineRule="auto"/>
        <w:ind w:left="0" w:leftChars="0"/>
        <w:rPr>
          <w:rFonts w:ascii="宋体" w:hAnsi="宋体" w:eastAsia="宋体" w:cs="宋体"/>
          <w:color w:val="auto"/>
          <w:sz w:val="21"/>
          <w:szCs w:val="21"/>
        </w:rPr>
      </w:pPr>
      <w:r>
        <w:rPr>
          <w:rFonts w:ascii="宋体" w:hAnsi="宋体" w:eastAsia="宋体" w:cs="宋体"/>
          <w:color w:val="auto"/>
          <w:sz w:val="21"/>
          <w:szCs w:val="21"/>
        </w:rPr>
        <w:t>《室外排水设计标准》（GB50014-2021）；</w:t>
      </w:r>
    </w:p>
    <w:p w14:paraId="52D73511">
      <w:pPr>
        <w:pStyle w:val="31"/>
        <w:spacing w:line="360" w:lineRule="auto"/>
        <w:ind w:left="0" w:leftChars="0"/>
        <w:rPr>
          <w:rFonts w:ascii="宋体" w:hAnsi="宋体" w:eastAsia="宋体" w:cs="宋体"/>
          <w:color w:val="auto"/>
          <w:sz w:val="21"/>
          <w:szCs w:val="21"/>
        </w:rPr>
      </w:pPr>
      <w:r>
        <w:rPr>
          <w:rFonts w:ascii="宋体" w:hAnsi="宋体" w:eastAsia="宋体" w:cs="宋体"/>
          <w:color w:val="auto"/>
          <w:sz w:val="21"/>
          <w:szCs w:val="21"/>
        </w:rPr>
        <w:t>《建筑给水排水设计标准》（</w:t>
      </w:r>
      <w:bookmarkStart w:id="1537" w:name="_Hlk90996549"/>
      <w:r>
        <w:rPr>
          <w:rFonts w:ascii="宋体" w:hAnsi="宋体" w:eastAsia="宋体" w:cs="宋体"/>
          <w:color w:val="auto"/>
          <w:sz w:val="21"/>
          <w:szCs w:val="21"/>
        </w:rPr>
        <w:t>GB50015－2019）</w:t>
      </w:r>
      <w:bookmarkEnd w:id="1537"/>
      <w:r>
        <w:rPr>
          <w:rFonts w:ascii="宋体" w:hAnsi="宋体" w:eastAsia="宋体" w:cs="宋体"/>
          <w:color w:val="auto"/>
          <w:sz w:val="21"/>
          <w:szCs w:val="21"/>
        </w:rPr>
        <w:t>；</w:t>
      </w:r>
    </w:p>
    <w:p w14:paraId="1DAB65DE">
      <w:pPr>
        <w:pStyle w:val="31"/>
        <w:spacing w:line="360" w:lineRule="auto"/>
        <w:ind w:left="0" w:leftChars="0"/>
        <w:rPr>
          <w:rFonts w:ascii="宋体" w:hAnsi="宋体" w:eastAsia="宋体" w:cs="宋体"/>
          <w:color w:val="auto"/>
          <w:sz w:val="21"/>
          <w:szCs w:val="21"/>
        </w:rPr>
      </w:pPr>
      <w:r>
        <w:rPr>
          <w:rFonts w:ascii="宋体" w:hAnsi="宋体" w:eastAsia="宋体" w:cs="宋体"/>
          <w:color w:val="auto"/>
          <w:sz w:val="21"/>
          <w:szCs w:val="21"/>
        </w:rPr>
        <w:t>《民用建筑节水设计标准》（GB50555－2010）；</w:t>
      </w:r>
    </w:p>
    <w:p w14:paraId="636277B0">
      <w:pPr>
        <w:pStyle w:val="31"/>
        <w:spacing w:line="360" w:lineRule="auto"/>
        <w:ind w:left="0" w:leftChars="0"/>
        <w:rPr>
          <w:rFonts w:ascii="宋体" w:hAnsi="宋体" w:eastAsia="宋体" w:cs="宋体"/>
          <w:color w:val="auto"/>
          <w:sz w:val="21"/>
          <w:szCs w:val="21"/>
        </w:rPr>
      </w:pPr>
      <w:r>
        <w:rPr>
          <w:rFonts w:ascii="宋体" w:hAnsi="宋体" w:eastAsia="宋体" w:cs="宋体"/>
          <w:color w:val="auto"/>
          <w:sz w:val="21"/>
          <w:szCs w:val="21"/>
        </w:rPr>
        <w:t>《建筑中水设计标准》（GB50336-2018）；</w:t>
      </w:r>
    </w:p>
    <w:p w14:paraId="05E631F8">
      <w:pPr>
        <w:pStyle w:val="31"/>
        <w:spacing w:line="360" w:lineRule="auto"/>
        <w:ind w:left="0" w:leftChars="0"/>
        <w:rPr>
          <w:rFonts w:ascii="宋体" w:hAnsi="宋体" w:eastAsia="宋体" w:cs="宋体"/>
          <w:color w:val="auto"/>
          <w:sz w:val="21"/>
          <w:szCs w:val="21"/>
        </w:rPr>
      </w:pPr>
      <w:r>
        <w:rPr>
          <w:rFonts w:ascii="宋体" w:hAnsi="宋体" w:eastAsia="宋体" w:cs="宋体"/>
          <w:color w:val="auto"/>
          <w:sz w:val="21"/>
          <w:szCs w:val="21"/>
        </w:rPr>
        <w:t>《城市节水评价标准》（GB/T51083-2015，自2015年12月1日起实施）；</w:t>
      </w:r>
    </w:p>
    <w:p w14:paraId="30E15BD4">
      <w:pPr>
        <w:pStyle w:val="31"/>
        <w:spacing w:line="360" w:lineRule="auto"/>
        <w:ind w:left="0" w:leftChars="0"/>
        <w:rPr>
          <w:rFonts w:ascii="宋体" w:hAnsi="宋体" w:eastAsia="宋体" w:cs="宋体"/>
          <w:color w:val="auto"/>
          <w:sz w:val="21"/>
          <w:szCs w:val="21"/>
        </w:rPr>
      </w:pPr>
      <w:r>
        <w:rPr>
          <w:rFonts w:ascii="宋体" w:hAnsi="宋体" w:eastAsia="宋体" w:cs="宋体"/>
          <w:color w:val="auto"/>
          <w:sz w:val="21"/>
          <w:szCs w:val="21"/>
        </w:rPr>
        <w:t>《城市给水工程规划规范》（GB50282-2016）</w:t>
      </w:r>
    </w:p>
    <w:p w14:paraId="45113311">
      <w:pPr>
        <w:pStyle w:val="31"/>
        <w:spacing w:line="360" w:lineRule="auto"/>
        <w:ind w:left="0" w:leftChars="0"/>
        <w:rPr>
          <w:rFonts w:ascii="宋体" w:hAnsi="宋体" w:eastAsia="宋体" w:cs="宋体"/>
          <w:color w:val="auto"/>
          <w:sz w:val="21"/>
          <w:szCs w:val="21"/>
        </w:rPr>
      </w:pPr>
      <w:r>
        <w:rPr>
          <w:rFonts w:ascii="宋体" w:hAnsi="宋体" w:eastAsia="宋体" w:cs="宋体"/>
          <w:color w:val="auto"/>
          <w:sz w:val="21"/>
          <w:szCs w:val="21"/>
        </w:rPr>
        <w:t>《节水型企业评价导则》（GB/T7119-2018）；</w:t>
      </w:r>
    </w:p>
    <w:p w14:paraId="094CDB54">
      <w:pPr>
        <w:pStyle w:val="31"/>
        <w:spacing w:line="360" w:lineRule="auto"/>
        <w:ind w:left="0" w:leftChars="0"/>
        <w:rPr>
          <w:rFonts w:ascii="宋体" w:hAnsi="宋体" w:eastAsia="宋体" w:cs="宋体"/>
          <w:color w:val="auto"/>
          <w:sz w:val="21"/>
          <w:szCs w:val="21"/>
        </w:rPr>
      </w:pPr>
      <w:r>
        <w:rPr>
          <w:rFonts w:ascii="宋体" w:hAnsi="宋体" w:eastAsia="宋体" w:cs="宋体"/>
          <w:color w:val="auto"/>
          <w:sz w:val="21"/>
          <w:szCs w:val="21"/>
        </w:rPr>
        <w:t>《项目节水评估技术导则》（GB/T34147-2017）；</w:t>
      </w:r>
    </w:p>
    <w:p w14:paraId="76B7787D">
      <w:pPr>
        <w:pStyle w:val="31"/>
        <w:spacing w:line="360" w:lineRule="auto"/>
        <w:ind w:left="0" w:leftChars="0"/>
        <w:rPr>
          <w:rFonts w:ascii="宋体" w:hAnsi="宋体" w:eastAsia="宋体" w:cs="宋体"/>
          <w:color w:val="auto"/>
          <w:sz w:val="21"/>
          <w:szCs w:val="21"/>
        </w:rPr>
      </w:pPr>
      <w:r>
        <w:rPr>
          <w:rFonts w:ascii="宋体" w:hAnsi="宋体" w:eastAsia="宋体" w:cs="宋体"/>
          <w:color w:val="auto"/>
          <w:sz w:val="21"/>
          <w:szCs w:val="21"/>
        </w:rPr>
        <w:t>《建筑与小区雨水控制及利用工程技术规范》（GB50400-2016）；</w:t>
      </w:r>
    </w:p>
    <w:p w14:paraId="7F62B5B7">
      <w:pPr>
        <w:pStyle w:val="31"/>
        <w:spacing w:line="360" w:lineRule="auto"/>
        <w:ind w:left="0" w:leftChars="0"/>
        <w:rPr>
          <w:rFonts w:ascii="宋体" w:hAnsi="宋体" w:eastAsia="宋体" w:cs="宋体"/>
          <w:color w:val="auto"/>
          <w:sz w:val="21"/>
          <w:szCs w:val="21"/>
        </w:rPr>
      </w:pPr>
      <w:r>
        <w:rPr>
          <w:rFonts w:ascii="宋体" w:hAnsi="宋体" w:eastAsia="宋体" w:cs="宋体"/>
          <w:color w:val="auto"/>
          <w:sz w:val="21"/>
          <w:szCs w:val="21"/>
        </w:rPr>
        <w:t>《城镇污水再生利用工程设计规范》（GB50335-2016）；</w:t>
      </w:r>
    </w:p>
    <w:p w14:paraId="430415C5">
      <w:pPr>
        <w:pStyle w:val="31"/>
        <w:spacing w:line="360" w:lineRule="auto"/>
        <w:ind w:left="0" w:leftChars="0"/>
        <w:rPr>
          <w:rFonts w:ascii="宋体" w:hAnsi="宋体" w:eastAsia="宋体" w:cs="宋体"/>
          <w:color w:val="auto"/>
          <w:sz w:val="21"/>
          <w:szCs w:val="21"/>
        </w:rPr>
      </w:pPr>
      <w:r>
        <w:rPr>
          <w:rFonts w:ascii="宋体" w:hAnsi="宋体" w:eastAsia="宋体" w:cs="宋体"/>
          <w:color w:val="auto"/>
          <w:sz w:val="21"/>
          <w:szCs w:val="21"/>
        </w:rPr>
        <w:t>《云南省用水定额》（DB53/T168-2019）；</w:t>
      </w:r>
    </w:p>
    <w:p w14:paraId="03601974">
      <w:pPr>
        <w:pStyle w:val="31"/>
        <w:spacing w:line="360" w:lineRule="auto"/>
        <w:ind w:left="0" w:leftChars="0"/>
        <w:rPr>
          <w:rFonts w:ascii="宋体" w:hAnsi="宋体" w:eastAsia="宋体" w:cs="宋体"/>
          <w:color w:val="auto"/>
          <w:sz w:val="21"/>
          <w:szCs w:val="21"/>
        </w:rPr>
      </w:pPr>
      <w:r>
        <w:rPr>
          <w:rFonts w:ascii="宋体" w:hAnsi="宋体" w:eastAsia="宋体" w:cs="宋体"/>
          <w:color w:val="auto"/>
          <w:sz w:val="21"/>
          <w:szCs w:val="21"/>
        </w:rPr>
        <w:t>《节水型生活用水器具》（CJ/T164-2014）；</w:t>
      </w:r>
    </w:p>
    <w:p w14:paraId="5590BFAD">
      <w:pPr>
        <w:pStyle w:val="31"/>
        <w:spacing w:line="360" w:lineRule="auto"/>
        <w:ind w:left="0" w:leftChars="0"/>
        <w:rPr>
          <w:rFonts w:ascii="宋体" w:hAnsi="宋体" w:eastAsia="宋体" w:cs="宋体"/>
          <w:color w:val="auto"/>
          <w:sz w:val="21"/>
          <w:szCs w:val="21"/>
        </w:rPr>
      </w:pPr>
      <w:r>
        <w:rPr>
          <w:rFonts w:ascii="宋体" w:hAnsi="宋体" w:eastAsia="宋体" w:cs="宋体"/>
          <w:color w:val="auto"/>
          <w:sz w:val="21"/>
          <w:szCs w:val="21"/>
        </w:rPr>
        <w:t>《建筑设计防火规范》(GB50016-2014) （2018年版）；</w:t>
      </w:r>
    </w:p>
    <w:p w14:paraId="78190D27">
      <w:pPr>
        <w:pStyle w:val="31"/>
        <w:spacing w:line="360" w:lineRule="auto"/>
        <w:ind w:left="0" w:leftChars="0"/>
        <w:rPr>
          <w:rFonts w:ascii="宋体" w:hAnsi="宋体" w:eastAsia="宋体" w:cs="宋体"/>
          <w:color w:val="auto"/>
          <w:sz w:val="21"/>
          <w:szCs w:val="21"/>
        </w:rPr>
      </w:pPr>
      <w:r>
        <w:rPr>
          <w:rFonts w:ascii="宋体" w:hAnsi="宋体" w:eastAsia="宋体" w:cs="宋体"/>
          <w:color w:val="auto"/>
          <w:sz w:val="21"/>
          <w:szCs w:val="21"/>
        </w:rPr>
        <w:t>《建筑抗震设计规范》（GB50011-2010）（2016年版）；</w:t>
      </w:r>
    </w:p>
    <w:p w14:paraId="5314F434">
      <w:pPr>
        <w:pStyle w:val="31"/>
        <w:spacing w:line="360" w:lineRule="auto"/>
        <w:ind w:left="0" w:leftChars="0"/>
        <w:rPr>
          <w:rFonts w:ascii="宋体" w:hAnsi="宋体" w:eastAsia="宋体" w:cs="宋体"/>
          <w:color w:val="auto"/>
          <w:sz w:val="21"/>
          <w:szCs w:val="21"/>
        </w:rPr>
      </w:pPr>
      <w:r>
        <w:rPr>
          <w:rFonts w:ascii="宋体" w:hAnsi="宋体" w:eastAsia="宋体" w:cs="宋体"/>
          <w:color w:val="auto"/>
          <w:sz w:val="21"/>
          <w:szCs w:val="21"/>
        </w:rPr>
        <w:t>《消防给水及消火栓系统技术规范》（GB50974-2014）。</w:t>
      </w:r>
    </w:p>
    <w:p w14:paraId="28D3F668">
      <w:pPr>
        <w:pStyle w:val="31"/>
        <w:spacing w:line="360" w:lineRule="auto"/>
        <w:ind w:left="0" w:leftChars="0"/>
        <w:rPr>
          <w:rFonts w:ascii="宋体" w:hAnsi="宋体" w:eastAsia="宋体" w:cs="宋体"/>
          <w:color w:val="auto"/>
          <w:sz w:val="21"/>
          <w:szCs w:val="21"/>
        </w:rPr>
      </w:pPr>
      <w:r>
        <w:rPr>
          <w:rFonts w:ascii="宋体" w:hAnsi="宋体" w:eastAsia="宋体" w:cs="宋体"/>
          <w:color w:val="auto"/>
          <w:sz w:val="21"/>
          <w:szCs w:val="21"/>
        </w:rPr>
        <w:t>《给水排水工程构筑物结构设计规范》（GB50069-2002）；</w:t>
      </w:r>
    </w:p>
    <w:p w14:paraId="3FD60D27">
      <w:pPr>
        <w:pStyle w:val="31"/>
        <w:spacing w:line="360" w:lineRule="auto"/>
        <w:ind w:left="0" w:leftChars="0"/>
        <w:rPr>
          <w:rFonts w:ascii="宋体" w:hAnsi="宋体" w:eastAsia="宋体" w:cs="宋体"/>
          <w:color w:val="auto"/>
          <w:sz w:val="21"/>
          <w:szCs w:val="21"/>
        </w:rPr>
      </w:pPr>
      <w:r>
        <w:rPr>
          <w:rFonts w:ascii="宋体" w:hAnsi="宋体" w:eastAsia="宋体" w:cs="宋体"/>
          <w:color w:val="auto"/>
          <w:sz w:val="21"/>
          <w:szCs w:val="21"/>
        </w:rPr>
        <w:t>《给水排水工程管道工程施工及验收规范》（GB50268-2008）；</w:t>
      </w:r>
    </w:p>
    <w:p w14:paraId="38079284">
      <w:pPr>
        <w:pStyle w:val="31"/>
        <w:spacing w:line="360" w:lineRule="auto"/>
        <w:ind w:left="0" w:leftChars="0"/>
        <w:rPr>
          <w:rFonts w:ascii="宋体" w:hAnsi="宋体" w:eastAsia="宋体" w:cs="宋体"/>
          <w:color w:val="auto"/>
          <w:sz w:val="21"/>
          <w:szCs w:val="21"/>
        </w:rPr>
      </w:pPr>
      <w:r>
        <w:rPr>
          <w:rFonts w:ascii="宋体" w:hAnsi="宋体" w:eastAsia="宋体" w:cs="宋体"/>
          <w:color w:val="auto"/>
          <w:sz w:val="21"/>
          <w:szCs w:val="21"/>
        </w:rPr>
        <w:t>《给水排水工程管道结构设计规范》（GB50332-2002）；</w:t>
      </w:r>
    </w:p>
    <w:p w14:paraId="6D9C9C3E">
      <w:pPr>
        <w:pStyle w:val="31"/>
        <w:spacing w:line="360" w:lineRule="auto"/>
        <w:ind w:left="0" w:leftChars="0"/>
        <w:rPr>
          <w:rFonts w:ascii="宋体" w:hAnsi="宋体" w:eastAsia="宋体" w:cs="宋体"/>
          <w:color w:val="auto"/>
          <w:sz w:val="21"/>
          <w:szCs w:val="21"/>
        </w:rPr>
      </w:pPr>
      <w:r>
        <w:rPr>
          <w:rFonts w:ascii="宋体" w:hAnsi="宋体" w:eastAsia="宋体" w:cs="宋体"/>
          <w:color w:val="auto"/>
          <w:sz w:val="21"/>
          <w:szCs w:val="21"/>
        </w:rPr>
        <w:t>《给水排水构筑物工程施工及验收规范》（GB50141-2008）；</w:t>
      </w:r>
    </w:p>
    <w:p w14:paraId="7F7FE4C0">
      <w:pPr>
        <w:pStyle w:val="31"/>
        <w:spacing w:line="360" w:lineRule="auto"/>
        <w:ind w:left="0" w:leftChars="0"/>
        <w:rPr>
          <w:rFonts w:ascii="宋体" w:hAnsi="宋体" w:eastAsia="宋体" w:cs="宋体"/>
          <w:color w:val="auto"/>
          <w:sz w:val="21"/>
          <w:szCs w:val="21"/>
        </w:rPr>
      </w:pPr>
      <w:r>
        <w:rPr>
          <w:rFonts w:ascii="宋体" w:hAnsi="宋体" w:eastAsia="宋体" w:cs="宋体"/>
          <w:color w:val="auto"/>
          <w:sz w:val="21"/>
          <w:szCs w:val="21"/>
        </w:rPr>
        <w:t>《检查井盖》（GB/T23858-2009）；</w:t>
      </w:r>
    </w:p>
    <w:p w14:paraId="082CC877">
      <w:pPr>
        <w:pStyle w:val="31"/>
        <w:spacing w:line="360" w:lineRule="auto"/>
        <w:ind w:left="0" w:leftChars="0"/>
        <w:rPr>
          <w:rFonts w:ascii="宋体" w:hAnsi="宋体" w:eastAsia="宋体" w:cs="宋体"/>
          <w:color w:val="auto"/>
          <w:sz w:val="21"/>
          <w:szCs w:val="21"/>
        </w:rPr>
      </w:pPr>
      <w:r>
        <w:rPr>
          <w:rFonts w:ascii="宋体" w:hAnsi="宋体" w:eastAsia="宋体" w:cs="宋体"/>
          <w:color w:val="auto"/>
          <w:sz w:val="21"/>
          <w:szCs w:val="21"/>
        </w:rPr>
        <w:t>《建筑地基基础设计规范》（GB50007-2011）；</w:t>
      </w:r>
    </w:p>
    <w:p w14:paraId="4B8758E6">
      <w:pPr>
        <w:pStyle w:val="31"/>
        <w:spacing w:line="360" w:lineRule="auto"/>
        <w:ind w:left="0" w:leftChars="0"/>
        <w:rPr>
          <w:rFonts w:ascii="宋体" w:hAnsi="宋体" w:eastAsia="宋体" w:cs="宋体"/>
          <w:color w:val="auto"/>
          <w:sz w:val="21"/>
          <w:szCs w:val="21"/>
        </w:rPr>
      </w:pPr>
      <w:r>
        <w:rPr>
          <w:rFonts w:ascii="宋体" w:hAnsi="宋体" w:eastAsia="宋体" w:cs="宋体"/>
          <w:color w:val="auto"/>
          <w:sz w:val="21"/>
          <w:szCs w:val="21"/>
        </w:rPr>
        <w:t>《建筑结构荷载规范》（GB50009-2012）；</w:t>
      </w:r>
    </w:p>
    <w:p w14:paraId="4F8A4D92">
      <w:pPr>
        <w:pStyle w:val="31"/>
        <w:spacing w:line="360" w:lineRule="auto"/>
        <w:ind w:left="0" w:leftChars="0"/>
        <w:rPr>
          <w:rFonts w:ascii="宋体" w:hAnsi="宋体" w:eastAsia="宋体" w:cs="宋体"/>
          <w:color w:val="auto"/>
          <w:sz w:val="21"/>
          <w:szCs w:val="21"/>
        </w:rPr>
      </w:pPr>
      <w:r>
        <w:rPr>
          <w:rFonts w:ascii="宋体" w:hAnsi="宋体" w:eastAsia="宋体" w:cs="宋体"/>
          <w:color w:val="auto"/>
          <w:sz w:val="21"/>
          <w:szCs w:val="21"/>
        </w:rPr>
        <w:t>《混凝土结构设计规范》（GB50010-2010）；</w:t>
      </w:r>
    </w:p>
    <w:p w14:paraId="5AD451AC">
      <w:pPr>
        <w:pStyle w:val="31"/>
        <w:spacing w:line="360" w:lineRule="auto"/>
        <w:ind w:left="0" w:leftChars="0"/>
        <w:rPr>
          <w:rFonts w:ascii="宋体" w:hAnsi="宋体" w:eastAsia="宋体" w:cs="宋体"/>
          <w:color w:val="auto"/>
          <w:sz w:val="21"/>
          <w:szCs w:val="21"/>
        </w:rPr>
      </w:pPr>
      <w:r>
        <w:rPr>
          <w:rFonts w:ascii="宋体" w:hAnsi="宋体" w:eastAsia="宋体" w:cs="宋体"/>
          <w:color w:val="auto"/>
          <w:sz w:val="21"/>
          <w:szCs w:val="21"/>
        </w:rPr>
        <w:t>《建筑抗震设计规范》（GB50011-2010）；</w:t>
      </w:r>
    </w:p>
    <w:p w14:paraId="47D0A44D">
      <w:pPr>
        <w:pStyle w:val="31"/>
        <w:spacing w:line="360" w:lineRule="auto"/>
        <w:ind w:left="0" w:leftChars="0"/>
        <w:rPr>
          <w:rFonts w:ascii="宋体" w:hAnsi="宋体" w:eastAsia="宋体" w:cs="宋体"/>
          <w:color w:val="auto"/>
          <w:sz w:val="21"/>
          <w:szCs w:val="21"/>
        </w:rPr>
      </w:pPr>
      <w:r>
        <w:rPr>
          <w:rFonts w:ascii="宋体" w:hAnsi="宋体" w:eastAsia="宋体" w:cs="宋体"/>
          <w:color w:val="auto"/>
          <w:sz w:val="21"/>
          <w:szCs w:val="21"/>
        </w:rPr>
        <w:t>《建设工程工程量清单计价规范》（GB50500-2013）；</w:t>
      </w:r>
    </w:p>
    <w:p w14:paraId="4F6F4ED9">
      <w:pPr>
        <w:pStyle w:val="31"/>
        <w:spacing w:line="360" w:lineRule="auto"/>
        <w:ind w:left="0" w:leftChars="0"/>
        <w:rPr>
          <w:rFonts w:ascii="宋体" w:hAnsi="宋体" w:eastAsia="宋体" w:cs="宋体"/>
          <w:color w:val="auto"/>
          <w:sz w:val="21"/>
          <w:szCs w:val="21"/>
        </w:rPr>
      </w:pPr>
      <w:r>
        <w:rPr>
          <w:rFonts w:ascii="宋体" w:hAnsi="宋体" w:eastAsia="宋体" w:cs="宋体"/>
          <w:color w:val="auto"/>
          <w:sz w:val="21"/>
          <w:szCs w:val="21"/>
        </w:rPr>
        <w:t>《云南省市政基础设施工程施工质量验收统一规程》</w:t>
      </w:r>
    </w:p>
    <w:p w14:paraId="4DE17C48">
      <w:pPr>
        <w:pStyle w:val="31"/>
        <w:spacing w:line="360" w:lineRule="auto"/>
        <w:ind w:left="0" w:leftChars="0"/>
        <w:rPr>
          <w:rFonts w:hint="eastAsia" w:ascii="宋体" w:hAnsi="宋体" w:eastAsia="宋体" w:cs="宋体"/>
          <w:color w:val="auto"/>
          <w:sz w:val="21"/>
          <w:szCs w:val="21"/>
        </w:rPr>
      </w:pPr>
      <w:r>
        <w:rPr>
          <w:rFonts w:ascii="宋体" w:hAnsi="宋体" w:eastAsia="宋体" w:cs="宋体"/>
          <w:color w:val="auto"/>
          <w:sz w:val="21"/>
          <w:szCs w:val="21"/>
        </w:rPr>
        <w:t>（DBJ53/T-36-2011）。</w:t>
      </w:r>
    </w:p>
    <w:p w14:paraId="2C123DCB">
      <w:pPr>
        <w:spacing w:line="360" w:lineRule="auto"/>
        <w:outlineLvl w:val="2"/>
        <w:rPr>
          <w:rFonts w:ascii="宋体" w:hAnsi="宋体" w:eastAsia="宋体" w:cs="宋体"/>
          <w:b/>
          <w:bCs/>
          <w:color w:val="auto"/>
          <w:sz w:val="21"/>
          <w:szCs w:val="21"/>
        </w:rPr>
      </w:pPr>
      <w:bookmarkStart w:id="1538" w:name="_Toc3522"/>
      <w:bookmarkStart w:id="1539" w:name="_Toc31051"/>
      <w:r>
        <w:rPr>
          <w:rFonts w:hint="eastAsia" w:ascii="宋体" w:hAnsi="宋体" w:eastAsia="宋体" w:cs="宋体"/>
          <w:b/>
          <w:bCs/>
          <w:color w:val="auto"/>
          <w:sz w:val="21"/>
          <w:szCs w:val="21"/>
        </w:rPr>
        <w:t>12.2设计目标：</w:t>
      </w:r>
      <w:bookmarkEnd w:id="1538"/>
      <w:bookmarkEnd w:id="1539"/>
    </w:p>
    <w:p w14:paraId="676290E4">
      <w:pPr>
        <w:pStyle w:val="31"/>
        <w:spacing w:line="360" w:lineRule="auto"/>
        <w:ind w:left="0" w:leftChars="0"/>
        <w:outlineLvl w:val="3"/>
        <w:rPr>
          <w:rFonts w:ascii="宋体" w:hAnsi="宋体" w:eastAsia="宋体" w:cs="宋体"/>
          <w:color w:val="auto"/>
          <w:sz w:val="21"/>
          <w:szCs w:val="21"/>
        </w:rPr>
      </w:pPr>
      <w:bookmarkStart w:id="1540" w:name="_Toc21406"/>
      <w:bookmarkStart w:id="1541" w:name="_Toc19422"/>
      <w:r>
        <w:rPr>
          <w:rFonts w:hint="eastAsia" w:ascii="宋体" w:hAnsi="宋体" w:eastAsia="宋体" w:cs="宋体"/>
          <w:color w:val="auto"/>
          <w:sz w:val="21"/>
          <w:szCs w:val="21"/>
        </w:rPr>
        <w:t>（</w:t>
      </w:r>
      <w:r>
        <w:rPr>
          <w:rFonts w:ascii="宋体" w:hAnsi="宋体" w:eastAsia="宋体" w:cs="宋体"/>
          <w:color w:val="auto"/>
          <w:sz w:val="21"/>
          <w:szCs w:val="21"/>
        </w:rPr>
        <w:t>1</w:t>
      </w:r>
      <w:r>
        <w:rPr>
          <w:rFonts w:hint="eastAsia" w:ascii="宋体" w:hAnsi="宋体" w:eastAsia="宋体" w:cs="宋体"/>
          <w:color w:val="auto"/>
          <w:sz w:val="21"/>
          <w:szCs w:val="21"/>
        </w:rPr>
        <w:t>）废水治理及资源化利用工程</w:t>
      </w:r>
      <w:bookmarkEnd w:id="1540"/>
      <w:bookmarkEnd w:id="1541"/>
    </w:p>
    <w:p w14:paraId="3A3B0CEB">
      <w:pPr>
        <w:pStyle w:val="31"/>
        <w:spacing w:line="360" w:lineRule="auto"/>
        <w:ind w:left="0" w:leftChars="0"/>
        <w:rPr>
          <w:rFonts w:ascii="宋体" w:hAnsi="宋体" w:eastAsia="宋体" w:cs="宋体"/>
          <w:color w:val="auto"/>
          <w:sz w:val="21"/>
          <w:szCs w:val="21"/>
        </w:rPr>
      </w:pPr>
      <w:r>
        <w:rPr>
          <w:rFonts w:hint="eastAsia" w:ascii="宋体" w:hAnsi="宋体" w:eastAsia="宋体" w:cs="宋体"/>
          <w:color w:val="auto"/>
          <w:sz w:val="21"/>
          <w:szCs w:val="21"/>
        </w:rPr>
        <w:t>污水收集处理率：</w:t>
      </w:r>
      <w:r>
        <w:rPr>
          <w:rFonts w:ascii="宋体" w:hAnsi="宋体" w:eastAsia="宋体" w:cs="宋体"/>
          <w:color w:val="auto"/>
          <w:sz w:val="21"/>
          <w:szCs w:val="21"/>
        </w:rPr>
        <w:t>≥90%</w:t>
      </w:r>
    </w:p>
    <w:p w14:paraId="75AF2E8A">
      <w:pPr>
        <w:pStyle w:val="31"/>
        <w:spacing w:line="360" w:lineRule="auto"/>
        <w:ind w:left="0" w:leftChars="0"/>
        <w:rPr>
          <w:rFonts w:ascii="宋体" w:hAnsi="宋体" w:eastAsia="宋体" w:cs="宋体"/>
          <w:color w:val="auto"/>
          <w:sz w:val="21"/>
          <w:szCs w:val="21"/>
        </w:rPr>
      </w:pPr>
      <w:r>
        <w:rPr>
          <w:rFonts w:hint="eastAsia" w:ascii="宋体" w:hAnsi="宋体" w:eastAsia="宋体" w:cs="宋体"/>
          <w:color w:val="auto"/>
          <w:sz w:val="21"/>
          <w:szCs w:val="21"/>
        </w:rPr>
        <w:t>再生水循环利用率：</w:t>
      </w:r>
      <w:r>
        <w:rPr>
          <w:rFonts w:ascii="宋体" w:hAnsi="宋体" w:eastAsia="宋体" w:cs="宋体"/>
          <w:color w:val="auto"/>
          <w:sz w:val="21"/>
          <w:szCs w:val="21"/>
        </w:rPr>
        <w:t>≥90%</w:t>
      </w:r>
    </w:p>
    <w:p w14:paraId="2C36ADEE">
      <w:pPr>
        <w:pStyle w:val="31"/>
        <w:spacing w:line="360" w:lineRule="auto"/>
        <w:ind w:left="0" w:leftChars="0"/>
        <w:rPr>
          <w:rFonts w:ascii="宋体" w:hAnsi="宋体" w:eastAsia="宋体" w:cs="宋体"/>
          <w:color w:val="auto"/>
          <w:sz w:val="21"/>
          <w:szCs w:val="21"/>
        </w:rPr>
      </w:pPr>
      <w:r>
        <w:rPr>
          <w:rFonts w:hint="eastAsia" w:ascii="宋体" w:hAnsi="宋体" w:eastAsia="宋体" w:cs="宋体"/>
          <w:color w:val="auto"/>
          <w:sz w:val="21"/>
          <w:szCs w:val="21"/>
        </w:rPr>
        <w:t>雨水收集利用：海绵城市理念建设</w:t>
      </w:r>
    </w:p>
    <w:p w14:paraId="6478087D">
      <w:pPr>
        <w:pStyle w:val="31"/>
        <w:spacing w:line="360" w:lineRule="auto"/>
        <w:ind w:left="0" w:leftChars="0"/>
        <w:outlineLvl w:val="3"/>
        <w:rPr>
          <w:rFonts w:ascii="宋体" w:hAnsi="宋体" w:eastAsia="宋体" w:cs="宋体"/>
          <w:color w:val="auto"/>
          <w:sz w:val="21"/>
          <w:szCs w:val="21"/>
        </w:rPr>
      </w:pPr>
      <w:bookmarkStart w:id="1542" w:name="_Toc15074"/>
      <w:bookmarkStart w:id="1543" w:name="_Toc2286"/>
      <w:r>
        <w:rPr>
          <w:rFonts w:hint="eastAsia" w:ascii="宋体" w:hAnsi="宋体" w:eastAsia="宋体" w:cs="宋体"/>
          <w:color w:val="auto"/>
          <w:sz w:val="21"/>
          <w:szCs w:val="21"/>
        </w:rPr>
        <w:t>（</w:t>
      </w:r>
      <w:r>
        <w:rPr>
          <w:rFonts w:ascii="宋体" w:hAnsi="宋体" w:eastAsia="宋体" w:cs="宋体"/>
          <w:color w:val="auto"/>
          <w:sz w:val="21"/>
          <w:szCs w:val="21"/>
        </w:rPr>
        <w:t>2</w:t>
      </w:r>
      <w:r>
        <w:rPr>
          <w:rFonts w:hint="eastAsia" w:ascii="宋体" w:hAnsi="宋体" w:eastAsia="宋体" w:cs="宋体"/>
          <w:color w:val="auto"/>
          <w:sz w:val="21"/>
          <w:szCs w:val="21"/>
        </w:rPr>
        <w:t>）固废治理工程</w:t>
      </w:r>
      <w:bookmarkEnd w:id="1542"/>
      <w:bookmarkEnd w:id="1543"/>
    </w:p>
    <w:p w14:paraId="6BE0F540">
      <w:pPr>
        <w:pStyle w:val="31"/>
        <w:spacing w:line="360" w:lineRule="auto"/>
        <w:ind w:left="0" w:leftChars="0"/>
        <w:rPr>
          <w:rFonts w:ascii="宋体" w:hAnsi="宋体" w:eastAsia="宋体" w:cs="宋体"/>
          <w:color w:val="auto"/>
          <w:sz w:val="21"/>
          <w:szCs w:val="21"/>
        </w:rPr>
      </w:pPr>
      <w:r>
        <w:rPr>
          <w:rFonts w:hint="eastAsia" w:ascii="宋体" w:hAnsi="宋体" w:eastAsia="宋体" w:cs="宋体"/>
          <w:color w:val="auto"/>
          <w:sz w:val="21"/>
          <w:szCs w:val="21"/>
        </w:rPr>
        <w:t>生活垃圾无害化处置率：</w:t>
      </w:r>
      <w:r>
        <w:rPr>
          <w:rFonts w:ascii="宋体" w:hAnsi="宋体" w:eastAsia="宋体" w:cs="宋体"/>
          <w:color w:val="auto"/>
          <w:sz w:val="21"/>
          <w:szCs w:val="21"/>
        </w:rPr>
        <w:t>100%</w:t>
      </w:r>
    </w:p>
    <w:p w14:paraId="25B98EB9">
      <w:pPr>
        <w:pStyle w:val="31"/>
        <w:spacing w:line="360" w:lineRule="auto"/>
        <w:ind w:left="0" w:leftChars="0"/>
        <w:rPr>
          <w:rFonts w:ascii="宋体" w:hAnsi="宋体" w:eastAsia="宋体" w:cs="宋体"/>
          <w:color w:val="auto"/>
          <w:sz w:val="21"/>
          <w:szCs w:val="21"/>
        </w:rPr>
      </w:pPr>
      <w:r>
        <w:rPr>
          <w:rFonts w:hint="eastAsia" w:ascii="宋体" w:hAnsi="宋体" w:eastAsia="宋体" w:cs="宋体"/>
          <w:color w:val="auto"/>
          <w:sz w:val="21"/>
          <w:szCs w:val="21"/>
        </w:rPr>
        <w:t>餐厨垃圾资源化利用率：</w:t>
      </w:r>
      <w:r>
        <w:rPr>
          <w:rFonts w:ascii="宋体" w:hAnsi="宋体" w:eastAsia="宋体" w:cs="宋体"/>
          <w:color w:val="auto"/>
          <w:sz w:val="21"/>
          <w:szCs w:val="21"/>
        </w:rPr>
        <w:t>100%</w:t>
      </w:r>
    </w:p>
    <w:p w14:paraId="207CD847">
      <w:pPr>
        <w:pStyle w:val="31"/>
        <w:spacing w:line="360" w:lineRule="auto"/>
        <w:ind w:left="0" w:leftChars="0"/>
        <w:rPr>
          <w:rFonts w:ascii="宋体" w:hAnsi="宋体" w:eastAsia="宋体" w:cs="宋体"/>
          <w:color w:val="auto"/>
          <w:sz w:val="21"/>
          <w:szCs w:val="21"/>
        </w:rPr>
      </w:pPr>
      <w:r>
        <w:rPr>
          <w:rFonts w:hint="eastAsia" w:ascii="宋体" w:hAnsi="宋体" w:eastAsia="宋体" w:cs="宋体"/>
          <w:color w:val="auto"/>
          <w:sz w:val="21"/>
          <w:szCs w:val="21"/>
        </w:rPr>
        <w:t>果蔬垃圾资源化利用率：</w:t>
      </w:r>
      <w:r>
        <w:rPr>
          <w:rFonts w:ascii="宋体" w:hAnsi="宋体" w:eastAsia="宋体" w:cs="宋体"/>
          <w:color w:val="auto"/>
          <w:sz w:val="21"/>
          <w:szCs w:val="21"/>
        </w:rPr>
        <w:t>100%</w:t>
      </w:r>
    </w:p>
    <w:p w14:paraId="21B1F665">
      <w:pPr>
        <w:pStyle w:val="31"/>
        <w:spacing w:line="360" w:lineRule="auto"/>
        <w:ind w:left="0" w:leftChars="0"/>
        <w:rPr>
          <w:rFonts w:ascii="宋体" w:hAnsi="宋体" w:eastAsia="宋体" w:cs="宋体"/>
          <w:color w:val="auto"/>
          <w:sz w:val="21"/>
          <w:szCs w:val="21"/>
        </w:rPr>
      </w:pPr>
      <w:r>
        <w:rPr>
          <w:rFonts w:hint="eastAsia" w:ascii="宋体" w:hAnsi="宋体" w:eastAsia="宋体" w:cs="宋体"/>
          <w:color w:val="auto"/>
          <w:sz w:val="21"/>
          <w:szCs w:val="21"/>
        </w:rPr>
        <w:t>危险废物无害化处置率：</w:t>
      </w:r>
      <w:r>
        <w:rPr>
          <w:rFonts w:ascii="宋体" w:hAnsi="宋体" w:eastAsia="宋体" w:cs="宋体"/>
          <w:color w:val="auto"/>
          <w:sz w:val="21"/>
          <w:szCs w:val="21"/>
        </w:rPr>
        <w:t>100%</w:t>
      </w:r>
    </w:p>
    <w:p w14:paraId="7565F437">
      <w:pPr>
        <w:spacing w:line="360" w:lineRule="auto"/>
        <w:outlineLvl w:val="2"/>
        <w:rPr>
          <w:rFonts w:hint="eastAsia" w:ascii="宋体" w:hAnsi="宋体" w:eastAsia="宋体" w:cs="宋体"/>
          <w:b/>
          <w:bCs/>
          <w:color w:val="auto"/>
          <w:sz w:val="21"/>
          <w:szCs w:val="21"/>
        </w:rPr>
      </w:pPr>
      <w:bookmarkStart w:id="1544" w:name="_Toc4291"/>
      <w:bookmarkStart w:id="1545" w:name="_Toc18702"/>
      <w:r>
        <w:rPr>
          <w:rFonts w:hint="eastAsia" w:ascii="宋体" w:hAnsi="宋体" w:eastAsia="宋体" w:cs="宋体"/>
          <w:b/>
          <w:bCs/>
          <w:color w:val="auto"/>
          <w:sz w:val="21"/>
          <w:szCs w:val="21"/>
        </w:rPr>
        <w:t>12.3 设计范围与内容</w:t>
      </w:r>
      <w:bookmarkEnd w:id="1544"/>
      <w:bookmarkEnd w:id="1545"/>
    </w:p>
    <w:p w14:paraId="17699D5A">
      <w:pPr>
        <w:pStyle w:val="31"/>
        <w:spacing w:line="360" w:lineRule="auto"/>
        <w:ind w:left="0" w:leftChars="0"/>
        <w:outlineLvl w:val="3"/>
        <w:rPr>
          <w:rFonts w:hint="eastAsia" w:ascii="宋体" w:hAnsi="宋体" w:eastAsia="宋体" w:cs="宋体"/>
          <w:color w:val="auto"/>
          <w:sz w:val="21"/>
          <w:szCs w:val="21"/>
        </w:rPr>
      </w:pPr>
      <w:bookmarkStart w:id="1546" w:name="_Toc7824"/>
      <w:bookmarkStart w:id="1547" w:name="_Toc3243"/>
      <w:r>
        <w:rPr>
          <w:rFonts w:ascii="宋体" w:hAnsi="宋体" w:eastAsia="宋体" w:cs="宋体"/>
          <w:color w:val="auto"/>
          <w:sz w:val="21"/>
          <w:szCs w:val="21"/>
        </w:rPr>
        <w:t>（</w:t>
      </w:r>
      <w:r>
        <w:rPr>
          <w:rFonts w:hint="eastAsia" w:ascii="宋体" w:hAnsi="宋体" w:eastAsia="宋体" w:cs="宋体"/>
          <w:color w:val="auto"/>
          <w:sz w:val="21"/>
          <w:szCs w:val="21"/>
        </w:rPr>
        <w:t>1</w:t>
      </w:r>
      <w:r>
        <w:rPr>
          <w:rFonts w:ascii="宋体" w:hAnsi="宋体" w:eastAsia="宋体" w:cs="宋体"/>
          <w:color w:val="auto"/>
          <w:sz w:val="21"/>
          <w:szCs w:val="21"/>
        </w:rPr>
        <w:t>）</w:t>
      </w:r>
      <w:r>
        <w:rPr>
          <w:rFonts w:hint="eastAsia" w:ascii="宋体" w:hAnsi="宋体" w:eastAsia="宋体" w:cs="宋体"/>
          <w:color w:val="auto"/>
          <w:sz w:val="21"/>
          <w:szCs w:val="21"/>
        </w:rPr>
        <w:t>废水治理系统</w:t>
      </w:r>
      <w:bookmarkEnd w:id="1546"/>
      <w:bookmarkEnd w:id="1547"/>
    </w:p>
    <w:p w14:paraId="34902DAA">
      <w:pPr>
        <w:pStyle w:val="31"/>
        <w:spacing w:line="360" w:lineRule="auto"/>
        <w:ind w:left="0" w:leftChars="0"/>
        <w:outlineLvl w:val="4"/>
        <w:rPr>
          <w:rFonts w:ascii="宋体" w:hAnsi="宋体" w:eastAsia="宋体" w:cs="宋体"/>
          <w:color w:val="auto"/>
          <w:sz w:val="21"/>
          <w:szCs w:val="21"/>
        </w:rPr>
      </w:pPr>
      <w:bookmarkStart w:id="1548" w:name="_Toc10472"/>
      <w:bookmarkStart w:id="1549" w:name="_Toc32428"/>
      <w:r>
        <w:rPr>
          <w:rFonts w:hint="eastAsia" w:ascii="宋体" w:hAnsi="宋体" w:eastAsia="宋体" w:cs="宋体"/>
          <w:color w:val="auto"/>
          <w:sz w:val="21"/>
          <w:szCs w:val="21"/>
        </w:rPr>
        <w:t>1）用水量和排水量</w:t>
      </w:r>
      <w:bookmarkEnd w:id="1548"/>
      <w:bookmarkEnd w:id="1549"/>
    </w:p>
    <w:p w14:paraId="2F11E165">
      <w:pPr>
        <w:pStyle w:val="31"/>
        <w:spacing w:line="360" w:lineRule="auto"/>
        <w:ind w:left="0" w:leftChars="0"/>
        <w:rPr>
          <w:rFonts w:ascii="宋体" w:hAnsi="宋体" w:eastAsia="宋体" w:cs="宋体"/>
          <w:color w:val="auto"/>
          <w:sz w:val="21"/>
          <w:szCs w:val="21"/>
        </w:rPr>
      </w:pPr>
      <w:r>
        <w:rPr>
          <w:rFonts w:hint="eastAsia" w:ascii="宋体" w:hAnsi="宋体" w:eastAsia="宋体" w:cs="宋体"/>
          <w:color w:val="auto"/>
          <w:sz w:val="21"/>
          <w:szCs w:val="21"/>
        </w:rPr>
        <w:t>根据可研报告，</w:t>
      </w:r>
      <w:r>
        <w:rPr>
          <w:rFonts w:ascii="宋体" w:hAnsi="宋体" w:eastAsia="宋体" w:cs="宋体"/>
          <w:color w:val="auto"/>
          <w:sz w:val="21"/>
          <w:szCs w:val="21"/>
        </w:rPr>
        <w:t>项目建设完成后，</w:t>
      </w:r>
      <w:r>
        <w:rPr>
          <w:rFonts w:hint="eastAsia" w:ascii="宋体" w:hAnsi="宋体" w:eastAsia="宋体" w:cs="宋体"/>
          <w:color w:val="auto"/>
          <w:sz w:val="21"/>
          <w:szCs w:val="21"/>
        </w:rPr>
        <w:t>劳动定员300</w:t>
      </w:r>
      <w:r>
        <w:rPr>
          <w:rFonts w:ascii="宋体" w:hAnsi="宋体" w:eastAsia="宋体" w:cs="宋体"/>
          <w:color w:val="auto"/>
          <w:sz w:val="21"/>
          <w:szCs w:val="21"/>
        </w:rPr>
        <w:t>人，年工作时间</w:t>
      </w:r>
      <w:r>
        <w:rPr>
          <w:rFonts w:hint="eastAsia" w:ascii="宋体" w:hAnsi="宋体" w:eastAsia="宋体" w:cs="宋体"/>
          <w:color w:val="auto"/>
          <w:sz w:val="21"/>
          <w:szCs w:val="21"/>
        </w:rPr>
        <w:t>330</w:t>
      </w:r>
      <w:r>
        <w:rPr>
          <w:rFonts w:ascii="宋体" w:hAnsi="宋体" w:eastAsia="宋体" w:cs="宋体"/>
          <w:color w:val="auto"/>
          <w:sz w:val="21"/>
          <w:szCs w:val="21"/>
        </w:rPr>
        <w:t>天</w:t>
      </w:r>
      <w:r>
        <w:rPr>
          <w:rFonts w:hint="eastAsia" w:ascii="宋体" w:hAnsi="宋体" w:eastAsia="宋体" w:cs="宋体"/>
          <w:color w:val="auto"/>
          <w:sz w:val="21"/>
          <w:szCs w:val="21"/>
        </w:rPr>
        <w:t>，实行两班制，每班工作8小时，夜间不生产</w:t>
      </w:r>
      <w:r>
        <w:rPr>
          <w:rFonts w:ascii="宋体" w:hAnsi="宋体" w:eastAsia="宋体" w:cs="宋体"/>
          <w:color w:val="auto"/>
          <w:sz w:val="21"/>
          <w:szCs w:val="21"/>
        </w:rPr>
        <w:t>。</w:t>
      </w:r>
      <w:r>
        <w:rPr>
          <w:rFonts w:hint="eastAsia" w:ascii="宋体" w:hAnsi="宋体" w:eastAsia="宋体" w:cs="宋体"/>
          <w:color w:val="auto"/>
          <w:sz w:val="21"/>
          <w:szCs w:val="21"/>
        </w:rPr>
        <w:t>餐依托项目员工食堂，食堂供应三餐（早餐、午餐和晚餐）。</w:t>
      </w:r>
    </w:p>
    <w:p w14:paraId="3B28DF8F">
      <w:pPr>
        <w:pStyle w:val="31"/>
        <w:spacing w:line="360" w:lineRule="auto"/>
        <w:ind w:left="0" w:leftChars="0"/>
        <w:rPr>
          <w:rFonts w:hint="eastAsia" w:ascii="宋体" w:hAnsi="宋体" w:eastAsia="宋体" w:cs="宋体"/>
          <w:color w:val="auto"/>
          <w:sz w:val="21"/>
          <w:szCs w:val="21"/>
        </w:rPr>
      </w:pPr>
      <w:r>
        <w:rPr>
          <w:rFonts w:hint="eastAsia" w:ascii="宋体" w:hAnsi="宋体" w:eastAsia="宋体" w:cs="宋体"/>
          <w:color w:val="auto"/>
          <w:sz w:val="21"/>
          <w:szCs w:val="21"/>
        </w:rPr>
        <w:t>根据《建筑给水排水设计规范》（</w:t>
      </w:r>
      <w:r>
        <w:rPr>
          <w:rFonts w:ascii="宋体" w:hAnsi="宋体" w:eastAsia="宋体" w:cs="宋体"/>
          <w:color w:val="auto"/>
          <w:sz w:val="21"/>
          <w:szCs w:val="21"/>
        </w:rPr>
        <w:t>GB50015-2019</w:t>
      </w:r>
      <w:r>
        <w:rPr>
          <w:rFonts w:hint="eastAsia" w:ascii="宋体" w:hAnsi="宋体" w:eastAsia="宋体" w:cs="宋体"/>
          <w:color w:val="auto"/>
          <w:sz w:val="21"/>
          <w:szCs w:val="21"/>
        </w:rPr>
        <w:t>）和</w:t>
      </w:r>
      <w:r>
        <w:rPr>
          <w:rFonts w:ascii="宋体" w:hAnsi="宋体" w:eastAsia="宋体" w:cs="宋体"/>
          <w:color w:val="auto"/>
          <w:sz w:val="21"/>
          <w:szCs w:val="21"/>
        </w:rPr>
        <w:t>《云南省用水定额》（DB53/T168）及相关规范和标准</w:t>
      </w:r>
      <w:r>
        <w:rPr>
          <w:rFonts w:hint="eastAsia" w:ascii="宋体" w:hAnsi="宋体" w:eastAsia="宋体" w:cs="宋体"/>
          <w:color w:val="auto"/>
          <w:sz w:val="21"/>
          <w:szCs w:val="21"/>
        </w:rPr>
        <w:t>，</w:t>
      </w:r>
      <w:r>
        <w:rPr>
          <w:rFonts w:ascii="宋体" w:hAnsi="宋体" w:eastAsia="宋体" w:cs="宋体"/>
          <w:color w:val="auto"/>
          <w:sz w:val="21"/>
          <w:szCs w:val="21"/>
        </w:rPr>
        <w:t>并结合项目用水实际，合理确定各项用水定额。</w:t>
      </w:r>
    </w:p>
    <w:p w14:paraId="6650BED0">
      <w:pPr>
        <w:pStyle w:val="31"/>
        <w:spacing w:line="360" w:lineRule="auto"/>
        <w:ind w:left="0" w:leftChars="0" w:firstLine="560"/>
        <w:rPr>
          <w:rFonts w:hint="eastAsia" w:ascii="宋体" w:hAnsi="宋体" w:eastAsia="宋体" w:cs="宋体"/>
          <w:color w:val="auto"/>
          <w:sz w:val="21"/>
          <w:szCs w:val="21"/>
        </w:rPr>
      </w:pPr>
      <w:r>
        <w:rPr>
          <w:rFonts w:hint="eastAsia" w:ascii="宋体" w:hAnsi="宋体" w:eastAsia="宋体" w:cs="宋体"/>
          <w:color w:val="auto"/>
          <w:sz w:val="21"/>
          <w:szCs w:val="21"/>
        </w:rPr>
        <w:t>通过核算，园区建成投产后，每天生活污水产量为199.48m</w:t>
      </w:r>
      <w:r>
        <w:rPr>
          <w:rFonts w:hint="eastAsia" w:ascii="宋体" w:hAnsi="宋体" w:eastAsia="宋体" w:cs="宋体"/>
          <w:color w:val="auto"/>
          <w:sz w:val="21"/>
          <w:szCs w:val="21"/>
          <w:vertAlign w:val="superscript"/>
        </w:rPr>
        <w:t>3</w:t>
      </w:r>
      <w:r>
        <w:rPr>
          <w:rFonts w:hint="eastAsia" w:ascii="宋体" w:hAnsi="宋体" w:eastAsia="宋体" w:cs="宋体"/>
          <w:color w:val="auto"/>
          <w:sz w:val="21"/>
          <w:szCs w:val="21"/>
        </w:rPr>
        <w:t>，生产废水产量为1924.196m</w:t>
      </w:r>
      <w:r>
        <w:rPr>
          <w:rFonts w:hint="eastAsia" w:ascii="宋体" w:hAnsi="宋体" w:eastAsia="宋体" w:cs="宋体"/>
          <w:color w:val="auto"/>
          <w:sz w:val="21"/>
          <w:szCs w:val="21"/>
          <w:vertAlign w:val="superscript"/>
        </w:rPr>
        <w:t>3</w:t>
      </w:r>
      <w:r>
        <w:rPr>
          <w:rFonts w:hint="eastAsia" w:ascii="宋体" w:hAnsi="宋体" w:eastAsia="宋体" w:cs="宋体"/>
          <w:color w:val="auto"/>
          <w:sz w:val="21"/>
          <w:szCs w:val="21"/>
        </w:rPr>
        <w:t>。</w:t>
      </w:r>
    </w:p>
    <w:p w14:paraId="4FD984D1">
      <w:pPr>
        <w:pStyle w:val="31"/>
        <w:spacing w:line="360" w:lineRule="auto"/>
        <w:ind w:left="0" w:leftChars="0"/>
        <w:outlineLvl w:val="4"/>
        <w:rPr>
          <w:rFonts w:hint="eastAsia" w:ascii="宋体" w:hAnsi="宋体" w:eastAsia="宋体" w:cs="宋体"/>
          <w:color w:val="auto"/>
          <w:sz w:val="21"/>
          <w:szCs w:val="21"/>
        </w:rPr>
      </w:pPr>
      <w:bookmarkStart w:id="1550" w:name="_Toc2167"/>
      <w:bookmarkStart w:id="1551" w:name="_Toc22444"/>
      <w:r>
        <w:rPr>
          <w:rFonts w:hint="eastAsia" w:ascii="宋体" w:hAnsi="宋体" w:eastAsia="宋体" w:cs="宋体"/>
          <w:color w:val="auto"/>
          <w:sz w:val="21"/>
          <w:szCs w:val="21"/>
        </w:rPr>
        <w:t>2）排水体制</w:t>
      </w:r>
      <w:bookmarkEnd w:id="1550"/>
      <w:bookmarkEnd w:id="1551"/>
    </w:p>
    <w:p w14:paraId="53CC78D7">
      <w:pPr>
        <w:pStyle w:val="31"/>
        <w:spacing w:line="360" w:lineRule="auto"/>
        <w:ind w:left="0" w:leftChars="0"/>
        <w:rPr>
          <w:rFonts w:hint="eastAsia" w:ascii="宋体" w:hAnsi="宋体" w:eastAsia="宋体" w:cs="宋体"/>
          <w:color w:val="auto"/>
          <w:sz w:val="21"/>
          <w:szCs w:val="21"/>
        </w:rPr>
      </w:pPr>
      <w:r>
        <w:rPr>
          <w:rFonts w:hint="eastAsia" w:ascii="宋体" w:hAnsi="宋体" w:eastAsia="宋体" w:cs="宋体"/>
          <w:color w:val="auto"/>
          <w:sz w:val="21"/>
          <w:szCs w:val="21"/>
        </w:rPr>
        <w:t>根据《城市排水工程规划规范》（GB50318-2017），项目园区排水采用“雨污分流，清污分流、污污分流”制。污水及雨水管道沿着道路敷设，管材采用埋地HDPE管。厂区雨水排入新建及原有道路两侧的雨水收集口，汇至厂内的雨水管网中，统一进入雨水收集池存储利用，溢流部分雨水就近排入附件的市政雨水管或者雨水沟。收集管网覆盖冷链仓储区、分拣加工中心等全区域。</w:t>
      </w:r>
    </w:p>
    <w:p w14:paraId="274BDBB1">
      <w:pPr>
        <w:pStyle w:val="31"/>
        <w:spacing w:line="360" w:lineRule="auto"/>
        <w:ind w:left="0" w:leftChars="0"/>
        <w:outlineLvl w:val="4"/>
        <w:rPr>
          <w:rFonts w:hint="eastAsia" w:ascii="宋体" w:hAnsi="宋体" w:eastAsia="宋体" w:cs="宋体"/>
          <w:color w:val="auto"/>
          <w:sz w:val="21"/>
          <w:szCs w:val="21"/>
        </w:rPr>
      </w:pPr>
      <w:bookmarkStart w:id="1552" w:name="_Toc24343"/>
      <w:bookmarkStart w:id="1553" w:name="_Toc20600"/>
      <w:r>
        <w:rPr>
          <w:rFonts w:hint="eastAsia" w:ascii="宋体" w:hAnsi="宋体" w:eastAsia="宋体" w:cs="宋体"/>
          <w:color w:val="auto"/>
          <w:sz w:val="21"/>
          <w:szCs w:val="21"/>
        </w:rPr>
        <w:t>3）收集范围</w:t>
      </w:r>
      <w:bookmarkEnd w:id="1552"/>
      <w:bookmarkEnd w:id="1553"/>
    </w:p>
    <w:p w14:paraId="1D8ABAC3">
      <w:pPr>
        <w:pStyle w:val="31"/>
        <w:spacing w:line="360" w:lineRule="auto"/>
        <w:ind w:left="0" w:leftChars="0"/>
        <w:rPr>
          <w:rFonts w:hint="eastAsia" w:ascii="宋体" w:hAnsi="宋体" w:eastAsia="宋体" w:cs="宋体"/>
          <w:color w:val="auto"/>
          <w:sz w:val="21"/>
          <w:szCs w:val="21"/>
        </w:rPr>
      </w:pPr>
      <w:r>
        <w:rPr>
          <w:rFonts w:hint="eastAsia" w:ascii="宋体" w:hAnsi="宋体" w:eastAsia="宋体" w:cs="宋体"/>
          <w:color w:val="auto"/>
          <w:sz w:val="21"/>
          <w:szCs w:val="21"/>
        </w:rPr>
        <w:t>生活污水：包括生活污水及餐厨废水，分别经化粪池及隔油池预处理后，进入生活污水处理站处理。</w:t>
      </w:r>
    </w:p>
    <w:p w14:paraId="3A741E34">
      <w:pPr>
        <w:pStyle w:val="31"/>
        <w:spacing w:line="360" w:lineRule="auto"/>
        <w:ind w:left="0" w:leftChars="0"/>
        <w:rPr>
          <w:rFonts w:hint="eastAsia" w:ascii="宋体" w:hAnsi="宋体" w:eastAsia="宋体" w:cs="宋体"/>
          <w:color w:val="auto"/>
          <w:sz w:val="21"/>
          <w:szCs w:val="21"/>
        </w:rPr>
      </w:pPr>
      <w:r>
        <w:rPr>
          <w:rFonts w:hint="eastAsia" w:ascii="宋体" w:hAnsi="宋体" w:eastAsia="宋体" w:cs="宋体"/>
          <w:color w:val="auto"/>
          <w:sz w:val="21"/>
          <w:szCs w:val="21"/>
        </w:rPr>
        <w:t>生产废水：主要来自生产过程中净菜/果加工环节清洗废水、车间冲洗废水、锅炉废水、车辆冲洗废水、设备冲洗废水、光伏板清洗废水、冷凝水等，通过管网收集后，进入生产废水处理站进行处理。</w:t>
      </w:r>
    </w:p>
    <w:p w14:paraId="1829C5FB">
      <w:pPr>
        <w:pStyle w:val="31"/>
        <w:spacing w:line="360" w:lineRule="auto"/>
        <w:ind w:left="0" w:leftChars="0"/>
        <w:rPr>
          <w:rFonts w:hint="eastAsia" w:ascii="宋体" w:hAnsi="宋体" w:eastAsia="宋体" w:cs="宋体"/>
          <w:color w:val="auto"/>
          <w:sz w:val="21"/>
          <w:szCs w:val="21"/>
        </w:rPr>
      </w:pPr>
      <w:r>
        <w:rPr>
          <w:rFonts w:hint="eastAsia" w:ascii="宋体" w:hAnsi="宋体" w:eastAsia="宋体" w:cs="宋体"/>
          <w:color w:val="auto"/>
          <w:sz w:val="21"/>
          <w:szCs w:val="21"/>
        </w:rPr>
        <w:t>雨水：所有建筑屋面、道路等。</w:t>
      </w:r>
    </w:p>
    <w:p w14:paraId="2CD51339">
      <w:pPr>
        <w:pStyle w:val="31"/>
        <w:spacing w:line="360" w:lineRule="auto"/>
        <w:ind w:left="0" w:leftChars="0"/>
        <w:outlineLvl w:val="4"/>
        <w:rPr>
          <w:rFonts w:hint="eastAsia" w:ascii="宋体" w:hAnsi="宋体" w:eastAsia="宋体" w:cs="宋体"/>
          <w:color w:val="auto"/>
          <w:sz w:val="21"/>
          <w:szCs w:val="21"/>
        </w:rPr>
      </w:pPr>
      <w:bookmarkStart w:id="1554" w:name="_Toc29504"/>
      <w:bookmarkStart w:id="1555" w:name="_Toc23834"/>
      <w:r>
        <w:rPr>
          <w:rFonts w:hint="eastAsia" w:ascii="宋体" w:hAnsi="宋体" w:eastAsia="宋体" w:cs="宋体"/>
          <w:color w:val="auto"/>
          <w:sz w:val="21"/>
          <w:szCs w:val="21"/>
        </w:rPr>
        <w:t>4）管材选择</w:t>
      </w:r>
      <w:bookmarkEnd w:id="1554"/>
      <w:bookmarkEnd w:id="1555"/>
    </w:p>
    <w:p w14:paraId="27ECBF08">
      <w:pPr>
        <w:pStyle w:val="31"/>
        <w:spacing w:line="360" w:lineRule="auto"/>
        <w:ind w:left="0" w:leftChars="0"/>
        <w:rPr>
          <w:rFonts w:hint="eastAsia" w:ascii="宋体" w:hAnsi="宋体" w:eastAsia="宋体" w:cs="宋体"/>
          <w:color w:val="auto"/>
          <w:sz w:val="21"/>
          <w:szCs w:val="21"/>
        </w:rPr>
      </w:pPr>
      <w:r>
        <w:rPr>
          <w:rFonts w:hint="eastAsia" w:ascii="宋体" w:hAnsi="宋体" w:eastAsia="宋体" w:cs="宋体"/>
          <w:color w:val="auto"/>
          <w:sz w:val="21"/>
          <w:szCs w:val="21"/>
        </w:rPr>
        <w:t>本项目生活污水、生产废水、雨水收集管采用HDPE双壁波纹管；</w:t>
      </w:r>
    </w:p>
    <w:p w14:paraId="01935580">
      <w:pPr>
        <w:pStyle w:val="31"/>
        <w:spacing w:line="360" w:lineRule="auto"/>
        <w:ind w:left="0" w:leftChars="0"/>
        <w:rPr>
          <w:rFonts w:hint="eastAsia" w:ascii="宋体" w:hAnsi="宋体" w:eastAsia="宋体" w:cs="宋体"/>
          <w:color w:val="auto"/>
          <w:sz w:val="21"/>
          <w:szCs w:val="21"/>
        </w:rPr>
      </w:pPr>
      <w:r>
        <w:rPr>
          <w:rFonts w:hint="eastAsia" w:ascii="宋体" w:hAnsi="宋体" w:eastAsia="宋体" w:cs="宋体"/>
          <w:color w:val="auto"/>
          <w:sz w:val="21"/>
          <w:szCs w:val="21"/>
        </w:rPr>
        <w:t>回用管（压力管）采用高密度聚乙烯（HDPE）管，公称压力1.0MPa以上。</w:t>
      </w:r>
    </w:p>
    <w:p w14:paraId="4166B2A3">
      <w:pPr>
        <w:pStyle w:val="31"/>
        <w:spacing w:line="360" w:lineRule="auto"/>
        <w:ind w:left="0" w:leftChars="0"/>
        <w:outlineLvl w:val="4"/>
        <w:rPr>
          <w:rFonts w:hint="eastAsia" w:ascii="宋体" w:hAnsi="宋体" w:eastAsia="宋体" w:cs="宋体"/>
          <w:color w:val="auto"/>
          <w:sz w:val="21"/>
          <w:szCs w:val="21"/>
        </w:rPr>
      </w:pPr>
      <w:bookmarkStart w:id="1556" w:name="_Toc21113"/>
      <w:bookmarkStart w:id="1557" w:name="_Toc32567"/>
      <w:r>
        <w:rPr>
          <w:rFonts w:hint="eastAsia" w:ascii="宋体" w:hAnsi="宋体" w:eastAsia="宋体" w:cs="宋体"/>
          <w:color w:val="auto"/>
          <w:sz w:val="21"/>
          <w:szCs w:val="21"/>
        </w:rPr>
        <w:t>5）处理工艺要求</w:t>
      </w:r>
      <w:bookmarkEnd w:id="1556"/>
      <w:bookmarkEnd w:id="1557"/>
    </w:p>
    <w:p w14:paraId="272A4CC4">
      <w:pPr>
        <w:pStyle w:val="31"/>
        <w:spacing w:line="360" w:lineRule="auto"/>
        <w:ind w:left="0" w:leftChars="0"/>
        <w:rPr>
          <w:rFonts w:hint="eastAsia" w:ascii="宋体" w:hAnsi="宋体" w:eastAsia="宋体" w:cs="宋体"/>
          <w:color w:val="auto"/>
          <w:sz w:val="21"/>
          <w:szCs w:val="21"/>
        </w:rPr>
      </w:pPr>
      <w:bookmarkStart w:id="1558" w:name="OLE_LINK13"/>
      <w:r>
        <w:rPr>
          <w:rFonts w:hint="eastAsia" w:ascii="宋体" w:hAnsi="宋体" w:eastAsia="宋体" w:cs="宋体"/>
          <w:color w:val="auto"/>
          <w:sz w:val="21"/>
          <w:szCs w:val="21"/>
        </w:rPr>
        <w:t>①　</w:t>
      </w:r>
      <w:bookmarkEnd w:id="1558"/>
      <w:r>
        <w:rPr>
          <w:rFonts w:hint="eastAsia" w:ascii="宋体" w:hAnsi="宋体" w:eastAsia="宋体" w:cs="宋体"/>
          <w:color w:val="auto"/>
          <w:sz w:val="21"/>
          <w:szCs w:val="21"/>
        </w:rPr>
        <w:t>生活污水（日处理能力200m³）：化粪池预处理后进入生活污水处理站。本项生活污水主要包括进入园区行政工作人员、交易人员等产生的生活污水，生活污水经化粪池预处理，餐饮含油废水经隔油池处理后进入生活污水收集管网。</w:t>
      </w:r>
    </w:p>
    <w:p w14:paraId="1BA2BCBE">
      <w:pPr>
        <w:pStyle w:val="31"/>
        <w:spacing w:line="360" w:lineRule="auto"/>
        <w:ind w:left="0" w:leftChars="0" w:firstLine="560"/>
        <w:rPr>
          <w:rFonts w:hint="eastAsia" w:ascii="宋体" w:hAnsi="宋体" w:eastAsia="宋体" w:cs="宋体"/>
          <w:color w:val="auto"/>
          <w:sz w:val="21"/>
          <w:szCs w:val="21"/>
        </w:rPr>
      </w:pPr>
      <w:r>
        <w:rPr>
          <w:rFonts w:hint="eastAsia" w:ascii="宋体" w:hAnsi="宋体" w:eastAsia="宋体" w:cs="宋体"/>
          <w:color w:val="auto"/>
          <w:sz w:val="21"/>
          <w:szCs w:val="21"/>
        </w:rPr>
        <w:t>该部分污水有机物和营养物质浓度高，较适合采用生物方法处理。</w:t>
      </w:r>
    </w:p>
    <w:p w14:paraId="4B9C5B60">
      <w:pPr>
        <w:pStyle w:val="31"/>
        <w:spacing w:line="360" w:lineRule="auto"/>
        <w:ind w:left="0" w:leftChars="0"/>
        <w:rPr>
          <w:rFonts w:hint="eastAsia" w:ascii="宋体" w:hAnsi="宋体" w:eastAsia="宋体" w:cs="宋体"/>
          <w:color w:val="auto"/>
          <w:sz w:val="21"/>
          <w:szCs w:val="21"/>
        </w:rPr>
      </w:pPr>
      <w:r>
        <w:rPr>
          <w:rFonts w:hint="eastAsia" w:ascii="宋体" w:hAnsi="宋体" w:eastAsia="宋体" w:cs="宋体"/>
          <w:color w:val="auto"/>
          <w:sz w:val="21"/>
          <w:szCs w:val="21"/>
        </w:rPr>
        <w:t>由于本项目用地有限，规划紧凑，从节约用地、设备使用寿命等考虑，生活污水处理站采用地埋式一体化不锈钢设备，处理工艺推荐采用预处理+A2/O+消毒，出水优先用于项目区内绿化、地面冲洗用水，多余水量外排。</w:t>
      </w:r>
    </w:p>
    <w:p w14:paraId="422910A1">
      <w:pPr>
        <w:pStyle w:val="31"/>
        <w:spacing w:line="360" w:lineRule="auto"/>
        <w:ind w:left="0" w:leftChars="0"/>
        <w:rPr>
          <w:rFonts w:hint="eastAsia" w:ascii="宋体" w:hAnsi="宋体" w:eastAsia="宋体" w:cs="宋体"/>
          <w:color w:val="auto"/>
          <w:sz w:val="21"/>
          <w:szCs w:val="21"/>
        </w:rPr>
      </w:pPr>
      <w:bookmarkStart w:id="1559" w:name="OLE_LINK14"/>
      <w:bookmarkStart w:id="1560" w:name="OLE_LINK15"/>
      <w:r>
        <w:rPr>
          <w:rFonts w:hint="eastAsia" w:ascii="宋体" w:hAnsi="宋体" w:eastAsia="宋体" w:cs="宋体"/>
          <w:color w:val="auto"/>
          <w:sz w:val="21"/>
          <w:szCs w:val="21"/>
        </w:rPr>
        <w:t>②　</w:t>
      </w:r>
      <w:bookmarkEnd w:id="1559"/>
      <w:bookmarkEnd w:id="1560"/>
      <w:r>
        <w:rPr>
          <w:rFonts w:hint="eastAsia" w:ascii="宋体" w:hAnsi="宋体" w:eastAsia="宋体" w:cs="宋体"/>
          <w:color w:val="auto"/>
          <w:sz w:val="21"/>
          <w:szCs w:val="21"/>
        </w:rPr>
        <w:t>生产废水（日处理能力2000m³）</w:t>
      </w:r>
    </w:p>
    <w:p w14:paraId="5EE81FCE">
      <w:pPr>
        <w:pStyle w:val="31"/>
        <w:spacing w:line="360" w:lineRule="auto"/>
        <w:ind w:left="0" w:leftChars="0" w:firstLine="560"/>
        <w:rPr>
          <w:rFonts w:hint="eastAsia" w:ascii="宋体" w:hAnsi="宋体" w:eastAsia="宋体" w:cs="宋体"/>
          <w:color w:val="auto"/>
          <w:sz w:val="21"/>
          <w:szCs w:val="21"/>
        </w:rPr>
      </w:pPr>
      <w:r>
        <w:rPr>
          <w:rFonts w:hint="eastAsia" w:ascii="宋体" w:hAnsi="宋体" w:eastAsia="宋体" w:cs="宋体"/>
          <w:color w:val="auto"/>
          <w:sz w:val="21"/>
          <w:szCs w:val="21"/>
        </w:rPr>
        <w:t>本项目生产废水主要来自生产过程中净菜/果加工环节清洗废水、车间冲洗废水、锅炉废水、车辆冲洗废水、设备冲洗废水、光伏板清洗废水、冷凝水等。</w:t>
      </w:r>
    </w:p>
    <w:p w14:paraId="15BF4620">
      <w:pPr>
        <w:pStyle w:val="31"/>
        <w:spacing w:line="360" w:lineRule="auto"/>
        <w:ind w:left="0" w:leftChars="0" w:firstLine="560"/>
        <w:rPr>
          <w:rFonts w:hint="eastAsia" w:ascii="宋体" w:hAnsi="宋体" w:eastAsia="宋体" w:cs="宋体"/>
          <w:color w:val="auto"/>
          <w:sz w:val="21"/>
          <w:szCs w:val="21"/>
        </w:rPr>
      </w:pPr>
      <w:r>
        <w:rPr>
          <w:rFonts w:hint="eastAsia" w:ascii="宋体" w:hAnsi="宋体" w:eastAsia="宋体" w:cs="宋体"/>
          <w:color w:val="auto"/>
          <w:sz w:val="21"/>
          <w:szCs w:val="21"/>
        </w:rPr>
        <w:t>该部分废水主要来自</w:t>
      </w:r>
      <w:bookmarkStart w:id="1561" w:name="OLE_LINK19"/>
      <w:bookmarkStart w:id="1562" w:name="OLE_LINK18"/>
      <w:r>
        <w:rPr>
          <w:rFonts w:hint="eastAsia" w:ascii="宋体" w:hAnsi="宋体" w:eastAsia="宋体" w:cs="宋体"/>
          <w:color w:val="auto"/>
          <w:sz w:val="21"/>
          <w:szCs w:val="21"/>
        </w:rPr>
        <w:t>蔬果清洗</w:t>
      </w:r>
      <w:bookmarkEnd w:id="1561"/>
      <w:bookmarkEnd w:id="1562"/>
      <w:r>
        <w:rPr>
          <w:rFonts w:hint="eastAsia" w:ascii="宋体" w:hAnsi="宋体" w:eastAsia="宋体" w:cs="宋体"/>
          <w:color w:val="auto"/>
          <w:sz w:val="21"/>
          <w:szCs w:val="21"/>
        </w:rPr>
        <w:t>、车辆冲洗、光伏板清洗，其水质特征主要表现为悬浮物高；同时，在蔬果加工、设备清洗过程中，果蔬表面残留的糖分、淀粉、纤维素、果胶、蛋白质等可溶性及胶体状有机物，无难降解有毒物质（如未使用违规农药），BOD5/COD比值0.4-0.6，可生化性极佳，适合采用生物处理工艺。</w:t>
      </w:r>
    </w:p>
    <w:p w14:paraId="6A7A72B4">
      <w:pPr>
        <w:pStyle w:val="31"/>
        <w:spacing w:line="360" w:lineRule="auto"/>
        <w:ind w:left="0" w:leftChars="0" w:firstLine="560"/>
        <w:rPr>
          <w:rFonts w:hint="eastAsia" w:ascii="宋体" w:hAnsi="宋体" w:eastAsia="宋体" w:cs="宋体"/>
          <w:color w:val="auto"/>
          <w:sz w:val="21"/>
          <w:szCs w:val="21"/>
        </w:rPr>
      </w:pPr>
      <w:r>
        <w:rPr>
          <w:rFonts w:hint="eastAsia" w:ascii="宋体" w:hAnsi="宋体" w:eastAsia="宋体" w:cs="宋体"/>
          <w:color w:val="auto"/>
          <w:sz w:val="21"/>
          <w:szCs w:val="21"/>
        </w:rPr>
        <w:t>由于本项目用地有限，规划紧凑，从节约用地、设备使用寿命等考虑，生产废水处理站采用地埋式钢砼结构，处理工艺推荐采用一级处理+A3/O+消毒，出水用于蔬果清洗。</w:t>
      </w:r>
    </w:p>
    <w:p w14:paraId="7EEA66FE">
      <w:pPr>
        <w:pStyle w:val="31"/>
        <w:spacing w:line="360" w:lineRule="auto"/>
        <w:ind w:left="0" w:leftChars="0"/>
        <w:rPr>
          <w:rFonts w:hint="eastAsia" w:ascii="宋体" w:hAnsi="宋体" w:eastAsia="宋体" w:cs="宋体"/>
          <w:color w:val="auto"/>
          <w:sz w:val="21"/>
          <w:szCs w:val="21"/>
        </w:rPr>
      </w:pPr>
      <w:bookmarkStart w:id="1563" w:name="OLE_LINK16"/>
      <w:bookmarkStart w:id="1564" w:name="OLE_LINK17"/>
      <w:r>
        <w:rPr>
          <w:rFonts w:hint="eastAsia" w:ascii="宋体" w:hAnsi="宋体" w:eastAsia="宋体" w:cs="宋体"/>
          <w:color w:val="auto"/>
          <w:sz w:val="21"/>
          <w:szCs w:val="21"/>
        </w:rPr>
        <w:t>③　</w:t>
      </w:r>
      <w:bookmarkEnd w:id="1563"/>
      <w:bookmarkEnd w:id="1564"/>
      <w:r>
        <w:rPr>
          <w:rFonts w:hint="eastAsia" w:ascii="宋体" w:hAnsi="宋体" w:eastAsia="宋体" w:cs="宋体"/>
          <w:color w:val="auto"/>
          <w:sz w:val="21"/>
          <w:szCs w:val="21"/>
        </w:rPr>
        <w:t>雨水（处理能力10m³/h）</w:t>
      </w:r>
    </w:p>
    <w:p w14:paraId="3E12CAFE">
      <w:pPr>
        <w:pStyle w:val="31"/>
        <w:spacing w:line="360" w:lineRule="auto"/>
        <w:ind w:left="0" w:leftChars="0" w:firstLine="560"/>
        <w:rPr>
          <w:rFonts w:hint="eastAsia" w:ascii="宋体" w:hAnsi="宋体" w:eastAsia="宋体" w:cs="宋体"/>
          <w:color w:val="auto"/>
          <w:sz w:val="21"/>
          <w:szCs w:val="21"/>
        </w:rPr>
      </w:pPr>
      <w:r>
        <w:rPr>
          <w:rFonts w:hint="eastAsia" w:ascii="宋体" w:hAnsi="宋体" w:eastAsia="宋体" w:cs="宋体"/>
          <w:color w:val="auto"/>
          <w:sz w:val="21"/>
          <w:szCs w:val="21"/>
        </w:rPr>
        <w:t>本项目雨水水质兼具城市物流园区（交通密集、硬质下垫面多）与蔬果产业（含蔬果残留、轻微农业污染物）的双重特性，核心污染来源包括：装卸区蔬果碎屑/腐烂残留、停车场机动车污染物（油脂、重金属）、仓储区包装废弃物（塑料/纸箱碎片）、场地少量蔬果清洗废水渗漏、货物运输夹带的泥沙及微量农药残留。其水质核心特征为“高悬浮物、易降解有机物含量高、局部污染浓度波动大、含微量特征污染物”。</w:t>
      </w:r>
    </w:p>
    <w:p w14:paraId="73A76BD8">
      <w:pPr>
        <w:pStyle w:val="31"/>
        <w:spacing w:line="360" w:lineRule="auto"/>
        <w:ind w:left="0" w:leftChars="0" w:firstLine="560"/>
        <w:rPr>
          <w:rFonts w:hint="eastAsia" w:ascii="宋体" w:hAnsi="宋体" w:eastAsia="宋体" w:cs="宋体"/>
          <w:color w:val="auto"/>
          <w:sz w:val="21"/>
          <w:szCs w:val="21"/>
        </w:rPr>
      </w:pPr>
      <w:r>
        <w:rPr>
          <w:rFonts w:hint="eastAsia" w:ascii="宋体" w:hAnsi="宋体" w:eastAsia="宋体" w:cs="宋体"/>
          <w:color w:val="auto"/>
          <w:sz w:val="21"/>
          <w:szCs w:val="21"/>
        </w:rPr>
        <w:t>从该部分废水水质特征看，适合采用物化方法，通过混凝、沉淀、过滤、消毒等工段去除其中的污染物质，出水优先用于项目区内绿化、地面冲洗用水，多余水量外排。</w:t>
      </w:r>
    </w:p>
    <w:p w14:paraId="42441617">
      <w:pPr>
        <w:pStyle w:val="31"/>
        <w:spacing w:line="360" w:lineRule="auto"/>
        <w:ind w:left="0" w:leftChars="0"/>
        <w:rPr>
          <w:rFonts w:hint="eastAsia" w:ascii="宋体" w:hAnsi="宋体" w:eastAsia="宋体" w:cs="宋体"/>
          <w:color w:val="auto"/>
          <w:sz w:val="21"/>
          <w:szCs w:val="21"/>
        </w:rPr>
      </w:pPr>
      <w:r>
        <w:rPr>
          <w:rFonts w:hint="eastAsia" w:ascii="宋体" w:hAnsi="宋体" w:eastAsia="宋体" w:cs="宋体"/>
          <w:color w:val="auto"/>
          <w:sz w:val="21"/>
          <w:szCs w:val="21"/>
        </w:rPr>
        <w:t>④　再生水回用</w:t>
      </w:r>
    </w:p>
    <w:p w14:paraId="324D5E11">
      <w:pPr>
        <w:pStyle w:val="31"/>
        <w:spacing w:line="360" w:lineRule="auto"/>
        <w:ind w:left="0" w:leftChars="0" w:firstLine="560"/>
        <w:rPr>
          <w:rFonts w:hint="eastAsia" w:ascii="宋体" w:hAnsi="宋体" w:eastAsia="宋体" w:cs="宋体"/>
          <w:color w:val="auto"/>
          <w:sz w:val="21"/>
          <w:szCs w:val="21"/>
        </w:rPr>
      </w:pPr>
      <w:r>
        <w:rPr>
          <w:rFonts w:hint="eastAsia" w:ascii="宋体" w:hAnsi="宋体" w:eastAsia="宋体" w:cs="宋体"/>
          <w:color w:val="auto"/>
          <w:sz w:val="21"/>
          <w:szCs w:val="21"/>
        </w:rPr>
        <w:t>回用于车辆冲洗、绿化灌溉、道路冲洗、太阳能板冲洗等，配套智能灌溉系统及消毒设施。</w:t>
      </w:r>
    </w:p>
    <w:p w14:paraId="659A7127">
      <w:pPr>
        <w:pStyle w:val="31"/>
        <w:spacing w:line="360" w:lineRule="auto"/>
        <w:ind w:left="0" w:leftChars="0"/>
        <w:outlineLvl w:val="3"/>
        <w:rPr>
          <w:rFonts w:ascii="宋体" w:hAnsi="宋体" w:eastAsia="宋体" w:cs="宋体"/>
          <w:color w:val="auto"/>
          <w:sz w:val="21"/>
          <w:szCs w:val="21"/>
        </w:rPr>
      </w:pPr>
      <w:bookmarkStart w:id="1565" w:name="_Toc20711"/>
      <w:bookmarkStart w:id="1566" w:name="_Toc7946"/>
      <w:r>
        <w:rPr>
          <w:rFonts w:ascii="宋体" w:hAnsi="宋体" w:eastAsia="宋体" w:cs="宋体"/>
          <w:color w:val="auto"/>
          <w:sz w:val="21"/>
          <w:szCs w:val="21"/>
        </w:rPr>
        <w:t>（</w:t>
      </w:r>
      <w:r>
        <w:rPr>
          <w:rFonts w:hint="eastAsia" w:ascii="宋体" w:hAnsi="宋体" w:eastAsia="宋体" w:cs="宋体"/>
          <w:color w:val="auto"/>
          <w:sz w:val="21"/>
          <w:szCs w:val="21"/>
        </w:rPr>
        <w:t>2</w:t>
      </w:r>
      <w:r>
        <w:rPr>
          <w:rFonts w:ascii="宋体" w:hAnsi="宋体" w:eastAsia="宋体" w:cs="宋体"/>
          <w:color w:val="auto"/>
          <w:sz w:val="21"/>
          <w:szCs w:val="21"/>
        </w:rPr>
        <w:t>）固废处理系统</w:t>
      </w:r>
      <w:bookmarkEnd w:id="1565"/>
      <w:bookmarkEnd w:id="1566"/>
    </w:p>
    <w:p w14:paraId="22856147">
      <w:pPr>
        <w:pStyle w:val="31"/>
        <w:spacing w:line="360" w:lineRule="auto"/>
        <w:ind w:left="0" w:leftChars="0"/>
        <w:rPr>
          <w:rFonts w:ascii="宋体" w:hAnsi="宋体" w:eastAsia="宋体" w:cs="宋体"/>
          <w:color w:val="auto"/>
          <w:sz w:val="21"/>
          <w:szCs w:val="21"/>
        </w:rPr>
      </w:pPr>
      <w:r>
        <w:rPr>
          <w:rFonts w:ascii="宋体" w:hAnsi="宋体" w:eastAsia="宋体" w:cs="宋体"/>
          <w:color w:val="auto"/>
          <w:sz w:val="21"/>
          <w:szCs w:val="21"/>
        </w:rPr>
        <w:t>按照“减量化、资源化、无害化”原则，对固体废物实行分类管理。</w:t>
      </w:r>
    </w:p>
    <w:p w14:paraId="3D5005D5">
      <w:pPr>
        <w:pStyle w:val="31"/>
        <w:numPr>
          <w:ilvl w:val="0"/>
          <w:numId w:val="0"/>
        </w:numPr>
        <w:spacing w:line="360" w:lineRule="auto"/>
        <w:ind w:left="0" w:leftChars="0" w:firstLine="0" w:firstLineChars="0"/>
        <w:outlineLvl w:val="4"/>
        <w:rPr>
          <w:rFonts w:ascii="宋体" w:hAnsi="宋体" w:eastAsia="宋体" w:cs="宋体"/>
          <w:color w:val="auto"/>
          <w:sz w:val="21"/>
          <w:szCs w:val="21"/>
        </w:rPr>
      </w:pPr>
      <w:bookmarkStart w:id="1567" w:name="_Toc21119"/>
      <w:bookmarkStart w:id="1568" w:name="_Toc29630"/>
      <w:r>
        <w:rPr>
          <w:rFonts w:hint="eastAsia" w:ascii="宋体" w:hAnsi="宋体" w:eastAsia="宋体" w:cs="宋体"/>
          <w:color w:val="auto"/>
          <w:sz w:val="21"/>
          <w:szCs w:val="21"/>
        </w:rPr>
        <w:t>①　</w:t>
      </w:r>
      <w:r>
        <w:rPr>
          <w:rFonts w:ascii="宋体" w:hAnsi="宋体" w:eastAsia="宋体" w:cs="宋体"/>
          <w:color w:val="auto"/>
          <w:sz w:val="21"/>
          <w:szCs w:val="21"/>
        </w:rPr>
        <w:t>生活垃圾</w:t>
      </w:r>
      <w:bookmarkEnd w:id="1567"/>
      <w:bookmarkEnd w:id="1568"/>
    </w:p>
    <w:p w14:paraId="0BF7EA98">
      <w:pPr>
        <w:pStyle w:val="31"/>
        <w:spacing w:line="360" w:lineRule="auto"/>
        <w:ind w:left="0" w:leftChars="0" w:firstLine="560"/>
        <w:rPr>
          <w:rFonts w:ascii="宋体" w:hAnsi="宋体" w:eastAsia="宋体" w:cs="宋体"/>
          <w:color w:val="auto"/>
          <w:sz w:val="21"/>
          <w:szCs w:val="21"/>
        </w:rPr>
      </w:pPr>
      <w:r>
        <w:rPr>
          <w:rFonts w:ascii="宋体" w:hAnsi="宋体" w:eastAsia="宋体" w:cs="宋体"/>
          <w:color w:val="auto"/>
          <w:sz w:val="21"/>
          <w:szCs w:val="21"/>
        </w:rPr>
        <w:t>本项目工作人员数量为300人，交易人员1000人/d，根据城镇生活源产排污系数手册，人员生活垃圾产生量按1kg/d·人计算，交易人员在厂区时间相对较短，生活垃圾产生量减半计算，则生活垃圾的产生量为500kg/d，198t/a。生活垃圾由项目区工作人员使用带盖式生活垃圾收集桶统一收集后由当地环卫部门定期清运、处置。</w:t>
      </w:r>
    </w:p>
    <w:p w14:paraId="1F98E15F">
      <w:pPr>
        <w:pStyle w:val="31"/>
        <w:spacing w:line="360" w:lineRule="auto"/>
        <w:ind w:left="0" w:leftChars="0"/>
        <w:outlineLvl w:val="4"/>
        <w:rPr>
          <w:rFonts w:ascii="宋体" w:hAnsi="宋体" w:eastAsia="宋体" w:cs="宋体"/>
          <w:color w:val="auto"/>
          <w:sz w:val="21"/>
          <w:szCs w:val="21"/>
        </w:rPr>
      </w:pPr>
      <w:bookmarkStart w:id="1569" w:name="_Toc6530"/>
      <w:bookmarkStart w:id="1570" w:name="_Toc1513"/>
      <w:bookmarkStart w:id="1571" w:name="_Toc20224"/>
      <w:r>
        <w:rPr>
          <w:rFonts w:hint="eastAsia" w:ascii="宋体" w:hAnsi="宋体" w:eastAsia="宋体" w:cs="宋体"/>
          <w:color w:val="auto"/>
          <w:sz w:val="21"/>
          <w:szCs w:val="21"/>
        </w:rPr>
        <w:t>②　</w:t>
      </w:r>
      <w:r>
        <w:rPr>
          <w:rFonts w:ascii="宋体" w:hAnsi="宋体" w:eastAsia="宋体" w:cs="宋体"/>
          <w:color w:val="auto"/>
          <w:sz w:val="21"/>
          <w:szCs w:val="21"/>
        </w:rPr>
        <w:t>餐厨垃圾</w:t>
      </w:r>
      <w:bookmarkEnd w:id="1569"/>
      <w:bookmarkEnd w:id="1570"/>
      <w:bookmarkEnd w:id="1571"/>
    </w:p>
    <w:p w14:paraId="48F852BE">
      <w:pPr>
        <w:pStyle w:val="31"/>
        <w:spacing w:line="360" w:lineRule="auto"/>
        <w:ind w:left="0" w:leftChars="0" w:firstLine="560"/>
        <w:rPr>
          <w:rFonts w:ascii="宋体" w:hAnsi="宋体" w:eastAsia="宋体" w:cs="宋体"/>
          <w:color w:val="auto"/>
          <w:sz w:val="21"/>
          <w:szCs w:val="21"/>
        </w:rPr>
      </w:pPr>
      <w:r>
        <w:rPr>
          <w:rFonts w:ascii="宋体" w:hAnsi="宋体" w:eastAsia="宋体" w:cs="宋体"/>
          <w:color w:val="auto"/>
          <w:sz w:val="21"/>
          <w:szCs w:val="21"/>
        </w:rPr>
        <w:t>食堂餐厨垃圾主要为食品加工过程中产生的剩饭剩菜及隔油池废油，根据相关经验数据，餐厨垃圾以平均0.3kg/人次·d 计，食堂就餐人数300人/d，则产生餐厨垃圾为90kg/d。食堂餐厨垃圾通过加盖塑料桶收集后由有资质的单位定期清运、处置。</w:t>
      </w:r>
    </w:p>
    <w:p w14:paraId="7409108D">
      <w:pPr>
        <w:pStyle w:val="31"/>
        <w:spacing w:line="360" w:lineRule="auto"/>
        <w:ind w:left="0" w:leftChars="0"/>
        <w:outlineLvl w:val="4"/>
        <w:rPr>
          <w:rFonts w:ascii="宋体" w:hAnsi="宋体" w:eastAsia="宋体" w:cs="宋体"/>
          <w:color w:val="auto"/>
          <w:sz w:val="21"/>
          <w:szCs w:val="21"/>
        </w:rPr>
      </w:pPr>
      <w:bookmarkStart w:id="1572" w:name="_Toc11876"/>
      <w:bookmarkStart w:id="1573" w:name="_Toc26063"/>
      <w:bookmarkStart w:id="1574" w:name="_Toc845"/>
      <w:r>
        <w:rPr>
          <w:rFonts w:hint="eastAsia" w:ascii="宋体" w:hAnsi="宋体" w:eastAsia="宋体" w:cs="宋体"/>
          <w:color w:val="auto"/>
          <w:sz w:val="21"/>
          <w:szCs w:val="21"/>
        </w:rPr>
        <w:t>③　</w:t>
      </w:r>
      <w:r>
        <w:rPr>
          <w:rFonts w:ascii="宋体" w:hAnsi="宋体" w:eastAsia="宋体" w:cs="宋体"/>
          <w:color w:val="auto"/>
          <w:sz w:val="21"/>
          <w:szCs w:val="21"/>
        </w:rPr>
        <w:t>果蔬垃圾</w:t>
      </w:r>
      <w:bookmarkEnd w:id="1572"/>
      <w:bookmarkEnd w:id="1573"/>
      <w:bookmarkEnd w:id="1574"/>
    </w:p>
    <w:p w14:paraId="5592B556">
      <w:pPr>
        <w:pStyle w:val="31"/>
        <w:spacing w:line="360" w:lineRule="auto"/>
        <w:ind w:left="0" w:leftChars="0" w:firstLine="560"/>
        <w:rPr>
          <w:rFonts w:ascii="宋体" w:hAnsi="宋体" w:eastAsia="宋体" w:cs="宋体"/>
          <w:color w:val="auto"/>
          <w:sz w:val="21"/>
          <w:szCs w:val="21"/>
        </w:rPr>
      </w:pPr>
      <w:r>
        <w:rPr>
          <w:rFonts w:ascii="宋体" w:hAnsi="宋体" w:eastAsia="宋体" w:cs="宋体"/>
          <w:color w:val="auto"/>
          <w:sz w:val="21"/>
          <w:szCs w:val="21"/>
        </w:rPr>
        <w:t>项目建成后，每天处理2500t/d果蔬产品，冻干每年生产500t/a。项目主要为蔬菜水果交易及加工处理，交易人员将新鲜蔬菜和水果运至项目区冷库暂存，加工环节主要采用人工分选的方式进行，将品相不好的菜品和水果进行剔除，同时去除蔬菜的烂菜叶和烂果以及不合格副产品；通过分拣后的蔬菜和水果采用打包设备包装后进入冷库暂存，待售。</w:t>
      </w:r>
    </w:p>
    <w:p w14:paraId="7A95359C">
      <w:pPr>
        <w:pStyle w:val="31"/>
        <w:spacing w:line="360" w:lineRule="auto"/>
        <w:ind w:left="0" w:leftChars="0" w:firstLine="560"/>
        <w:rPr>
          <w:rFonts w:ascii="宋体" w:hAnsi="宋体" w:eastAsia="宋体" w:cs="宋体"/>
          <w:color w:val="auto"/>
          <w:sz w:val="21"/>
          <w:szCs w:val="21"/>
        </w:rPr>
      </w:pPr>
      <w:r>
        <w:rPr>
          <w:rFonts w:ascii="宋体" w:hAnsi="宋体" w:eastAsia="宋体" w:cs="宋体"/>
          <w:color w:val="auto"/>
          <w:sz w:val="21"/>
          <w:szCs w:val="21"/>
        </w:rPr>
        <w:t>交易及加工环节会产生大量的废菜叶和废果等，为确保废菜叶能得到妥善处置，需要建设有废菜叶暂存间，每日清运委托处置。</w:t>
      </w:r>
    </w:p>
    <w:p w14:paraId="49CF628D">
      <w:pPr>
        <w:pStyle w:val="31"/>
        <w:spacing w:line="360" w:lineRule="auto"/>
        <w:ind w:left="0" w:leftChars="0"/>
        <w:jc w:val="center"/>
        <w:rPr>
          <w:rFonts w:ascii="宋体" w:hAnsi="宋体" w:eastAsia="宋体" w:cs="宋体"/>
          <w:color w:val="auto"/>
          <w:sz w:val="21"/>
          <w:szCs w:val="21"/>
        </w:rPr>
      </w:pPr>
      <w:r>
        <w:rPr>
          <w:rFonts w:hint="eastAsia" w:ascii="宋体" w:hAnsi="宋体" w:eastAsia="宋体" w:cs="宋体"/>
          <w:color w:val="auto"/>
          <w:sz w:val="21"/>
          <w:szCs w:val="21"/>
        </w:rPr>
        <w:t>固废处理系统处理方案简表</w:t>
      </w:r>
    </w:p>
    <w:tbl>
      <w:tblPr>
        <w:tblStyle w:val="4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734"/>
        <w:gridCol w:w="4383"/>
        <w:gridCol w:w="2729"/>
      </w:tblGrid>
      <w:tr w14:paraId="4520C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tblHeader/>
        </w:trPr>
        <w:tc>
          <w:tcPr>
            <w:tcW w:w="980" w:type="pct"/>
            <w:tcMar>
              <w:top w:w="135" w:type="dxa"/>
              <w:left w:w="270" w:type="dxa"/>
              <w:bottom w:w="135" w:type="dxa"/>
              <w:right w:w="270" w:type="dxa"/>
            </w:tcMar>
            <w:vAlign w:val="center"/>
          </w:tcPr>
          <w:p w14:paraId="586E4E9A">
            <w:pPr>
              <w:pStyle w:val="31"/>
              <w:spacing w:line="240" w:lineRule="auto"/>
              <w:ind w:left="0" w:leftChars="0"/>
              <w:rPr>
                <w:rFonts w:ascii="宋体" w:hAnsi="宋体" w:eastAsia="宋体" w:cs="宋体"/>
                <w:color w:val="auto"/>
                <w:sz w:val="21"/>
                <w:szCs w:val="21"/>
              </w:rPr>
            </w:pPr>
            <w:r>
              <w:rPr>
                <w:rFonts w:ascii="宋体" w:hAnsi="宋体" w:eastAsia="宋体" w:cs="宋体"/>
                <w:color w:val="auto"/>
                <w:sz w:val="21"/>
                <w:szCs w:val="21"/>
              </w:rPr>
              <w:t>固废类型</w:t>
            </w:r>
          </w:p>
        </w:tc>
        <w:tc>
          <w:tcPr>
            <w:tcW w:w="2477" w:type="pct"/>
            <w:tcMar>
              <w:top w:w="135" w:type="dxa"/>
              <w:left w:w="270" w:type="dxa"/>
              <w:bottom w:w="135" w:type="dxa"/>
              <w:right w:w="270" w:type="dxa"/>
            </w:tcMar>
            <w:vAlign w:val="center"/>
          </w:tcPr>
          <w:p w14:paraId="4CEBD11C">
            <w:pPr>
              <w:pStyle w:val="31"/>
              <w:spacing w:line="240" w:lineRule="auto"/>
              <w:ind w:left="0" w:leftChars="0"/>
              <w:rPr>
                <w:rFonts w:ascii="宋体" w:hAnsi="宋体" w:eastAsia="宋体" w:cs="宋体"/>
                <w:color w:val="auto"/>
                <w:sz w:val="21"/>
                <w:szCs w:val="21"/>
              </w:rPr>
            </w:pPr>
            <w:r>
              <w:rPr>
                <w:rFonts w:ascii="宋体" w:hAnsi="宋体" w:eastAsia="宋体" w:cs="宋体"/>
                <w:color w:val="auto"/>
                <w:sz w:val="21"/>
                <w:szCs w:val="21"/>
              </w:rPr>
              <w:t>处理方案</w:t>
            </w:r>
          </w:p>
        </w:tc>
        <w:tc>
          <w:tcPr>
            <w:tcW w:w="1542" w:type="pct"/>
            <w:tcMar>
              <w:top w:w="135" w:type="dxa"/>
              <w:left w:w="270" w:type="dxa"/>
              <w:bottom w:w="135" w:type="dxa"/>
              <w:right w:w="270" w:type="dxa"/>
            </w:tcMar>
            <w:vAlign w:val="center"/>
          </w:tcPr>
          <w:p w14:paraId="72CAF3F5">
            <w:pPr>
              <w:pStyle w:val="31"/>
              <w:spacing w:line="240" w:lineRule="auto"/>
              <w:ind w:left="0" w:leftChars="0"/>
              <w:rPr>
                <w:rFonts w:ascii="宋体" w:hAnsi="宋体" w:eastAsia="宋体" w:cs="宋体"/>
                <w:color w:val="auto"/>
                <w:sz w:val="21"/>
                <w:szCs w:val="21"/>
              </w:rPr>
            </w:pPr>
            <w:r>
              <w:rPr>
                <w:rFonts w:ascii="宋体" w:hAnsi="宋体" w:eastAsia="宋体" w:cs="宋体"/>
                <w:color w:val="auto"/>
                <w:sz w:val="21"/>
                <w:szCs w:val="21"/>
              </w:rPr>
              <w:t>配套设备</w:t>
            </w:r>
          </w:p>
        </w:tc>
      </w:tr>
      <w:tr w14:paraId="59A48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980" w:type="pct"/>
            <w:tcMar>
              <w:top w:w="135" w:type="dxa"/>
              <w:left w:w="270" w:type="dxa"/>
              <w:bottom w:w="135" w:type="dxa"/>
              <w:right w:w="270" w:type="dxa"/>
            </w:tcMar>
            <w:vAlign w:val="center"/>
          </w:tcPr>
          <w:p w14:paraId="5432F771">
            <w:pPr>
              <w:pStyle w:val="31"/>
              <w:spacing w:line="240" w:lineRule="auto"/>
              <w:ind w:left="0" w:leftChars="0"/>
              <w:rPr>
                <w:rFonts w:ascii="宋体" w:hAnsi="宋体" w:eastAsia="宋体" w:cs="宋体"/>
                <w:color w:val="auto"/>
                <w:sz w:val="21"/>
                <w:szCs w:val="21"/>
              </w:rPr>
            </w:pPr>
            <w:r>
              <w:rPr>
                <w:rFonts w:hint="eastAsia" w:ascii="宋体" w:hAnsi="宋体" w:eastAsia="宋体" w:cs="宋体"/>
                <w:color w:val="auto"/>
                <w:sz w:val="21"/>
                <w:szCs w:val="21"/>
              </w:rPr>
              <w:t>生活垃圾</w:t>
            </w:r>
          </w:p>
        </w:tc>
        <w:tc>
          <w:tcPr>
            <w:tcW w:w="2477" w:type="pct"/>
            <w:tcMar>
              <w:top w:w="135" w:type="dxa"/>
              <w:left w:w="270" w:type="dxa"/>
              <w:bottom w:w="135" w:type="dxa"/>
              <w:right w:w="270" w:type="dxa"/>
            </w:tcMar>
            <w:vAlign w:val="center"/>
          </w:tcPr>
          <w:p w14:paraId="12AE96AA">
            <w:pPr>
              <w:pStyle w:val="31"/>
              <w:spacing w:line="240" w:lineRule="auto"/>
              <w:ind w:left="0" w:leftChars="0"/>
              <w:rPr>
                <w:rFonts w:ascii="宋体" w:hAnsi="宋体" w:eastAsia="宋体" w:cs="宋体"/>
                <w:color w:val="auto"/>
                <w:sz w:val="21"/>
                <w:szCs w:val="21"/>
              </w:rPr>
            </w:pPr>
            <w:r>
              <w:rPr>
                <w:rFonts w:hint="eastAsia" w:ascii="宋体" w:hAnsi="宋体" w:eastAsia="宋体" w:cs="宋体"/>
                <w:color w:val="auto"/>
                <w:sz w:val="21"/>
                <w:szCs w:val="21"/>
              </w:rPr>
              <w:t>收集后委托当地环卫公司清运处置</w:t>
            </w:r>
          </w:p>
        </w:tc>
        <w:tc>
          <w:tcPr>
            <w:tcW w:w="1542" w:type="pct"/>
            <w:tcMar>
              <w:top w:w="135" w:type="dxa"/>
              <w:left w:w="270" w:type="dxa"/>
              <w:bottom w:w="135" w:type="dxa"/>
              <w:right w:w="270" w:type="dxa"/>
            </w:tcMar>
            <w:vAlign w:val="center"/>
          </w:tcPr>
          <w:p w14:paraId="3D6B43C0">
            <w:pPr>
              <w:pStyle w:val="31"/>
              <w:spacing w:line="240" w:lineRule="auto"/>
              <w:ind w:left="0" w:leftChars="0"/>
              <w:rPr>
                <w:rFonts w:ascii="宋体" w:hAnsi="宋体" w:eastAsia="宋体" w:cs="宋体"/>
                <w:color w:val="auto"/>
                <w:sz w:val="21"/>
                <w:szCs w:val="21"/>
              </w:rPr>
            </w:pPr>
            <w:r>
              <w:rPr>
                <w:rFonts w:hint="eastAsia" w:ascii="宋体" w:hAnsi="宋体" w:eastAsia="宋体" w:cs="宋体"/>
                <w:color w:val="auto"/>
                <w:sz w:val="21"/>
                <w:szCs w:val="21"/>
              </w:rPr>
              <w:t>生活垃圾收集桶</w:t>
            </w:r>
          </w:p>
        </w:tc>
      </w:tr>
      <w:tr w14:paraId="004DE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5" w:hRule="atLeast"/>
        </w:trPr>
        <w:tc>
          <w:tcPr>
            <w:tcW w:w="980" w:type="pct"/>
            <w:tcMar>
              <w:top w:w="135" w:type="dxa"/>
              <w:left w:w="270" w:type="dxa"/>
              <w:bottom w:w="135" w:type="dxa"/>
              <w:right w:w="270" w:type="dxa"/>
            </w:tcMar>
            <w:vAlign w:val="center"/>
          </w:tcPr>
          <w:p w14:paraId="290AFEF9">
            <w:pPr>
              <w:pStyle w:val="31"/>
              <w:spacing w:line="240" w:lineRule="auto"/>
              <w:ind w:left="0" w:leftChars="0"/>
              <w:rPr>
                <w:rFonts w:ascii="宋体" w:hAnsi="宋体" w:eastAsia="宋体" w:cs="宋体"/>
                <w:color w:val="auto"/>
                <w:sz w:val="21"/>
                <w:szCs w:val="21"/>
              </w:rPr>
            </w:pPr>
            <w:r>
              <w:rPr>
                <w:rFonts w:ascii="宋体" w:hAnsi="宋体" w:eastAsia="宋体" w:cs="宋体"/>
                <w:color w:val="auto"/>
                <w:sz w:val="21"/>
                <w:szCs w:val="21"/>
              </w:rPr>
              <w:t>果蔬垃圾</w:t>
            </w:r>
          </w:p>
        </w:tc>
        <w:tc>
          <w:tcPr>
            <w:tcW w:w="2477" w:type="pct"/>
            <w:tcMar>
              <w:top w:w="135" w:type="dxa"/>
              <w:left w:w="270" w:type="dxa"/>
              <w:bottom w:w="135" w:type="dxa"/>
              <w:right w:w="270" w:type="dxa"/>
            </w:tcMar>
            <w:vAlign w:val="center"/>
          </w:tcPr>
          <w:p w14:paraId="5BA90396">
            <w:pPr>
              <w:pStyle w:val="31"/>
              <w:spacing w:line="240" w:lineRule="auto"/>
              <w:ind w:left="0" w:leftChars="0"/>
              <w:rPr>
                <w:rFonts w:ascii="宋体" w:hAnsi="宋体" w:eastAsia="宋体" w:cs="宋体"/>
                <w:color w:val="auto"/>
                <w:sz w:val="21"/>
                <w:szCs w:val="21"/>
              </w:rPr>
            </w:pPr>
            <w:r>
              <w:rPr>
                <w:rFonts w:hint="eastAsia" w:ascii="宋体" w:hAnsi="宋体" w:eastAsia="宋体" w:cs="宋体"/>
                <w:color w:val="auto"/>
                <w:sz w:val="21"/>
                <w:szCs w:val="21"/>
              </w:rPr>
              <w:t>收集后委托第三方有自知的单位清运处置</w:t>
            </w:r>
          </w:p>
        </w:tc>
        <w:tc>
          <w:tcPr>
            <w:tcW w:w="1542" w:type="pct"/>
            <w:tcMar>
              <w:top w:w="135" w:type="dxa"/>
              <w:left w:w="270" w:type="dxa"/>
              <w:bottom w:w="135" w:type="dxa"/>
              <w:right w:w="270" w:type="dxa"/>
            </w:tcMar>
            <w:vAlign w:val="center"/>
          </w:tcPr>
          <w:p w14:paraId="4D17B5DF">
            <w:pPr>
              <w:pStyle w:val="31"/>
              <w:spacing w:line="240" w:lineRule="auto"/>
              <w:ind w:left="0" w:leftChars="0"/>
              <w:rPr>
                <w:rFonts w:ascii="宋体" w:hAnsi="宋体" w:eastAsia="宋体" w:cs="宋体"/>
                <w:color w:val="auto"/>
                <w:sz w:val="21"/>
                <w:szCs w:val="21"/>
              </w:rPr>
            </w:pPr>
            <w:r>
              <w:rPr>
                <w:rFonts w:hint="eastAsia" w:ascii="宋体" w:hAnsi="宋体" w:eastAsia="宋体" w:cs="宋体"/>
                <w:color w:val="auto"/>
                <w:sz w:val="21"/>
                <w:szCs w:val="21"/>
              </w:rPr>
              <w:t>果蔬生活垃圾收集桶</w:t>
            </w:r>
          </w:p>
        </w:tc>
      </w:tr>
      <w:tr w14:paraId="75C35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9" w:hRule="atLeast"/>
        </w:trPr>
        <w:tc>
          <w:tcPr>
            <w:tcW w:w="980" w:type="pct"/>
            <w:tcMar>
              <w:top w:w="135" w:type="dxa"/>
              <w:left w:w="270" w:type="dxa"/>
              <w:bottom w:w="135" w:type="dxa"/>
              <w:right w:w="270" w:type="dxa"/>
            </w:tcMar>
            <w:vAlign w:val="center"/>
          </w:tcPr>
          <w:p w14:paraId="6A092659">
            <w:pPr>
              <w:pStyle w:val="31"/>
              <w:spacing w:line="240" w:lineRule="auto"/>
              <w:ind w:left="0" w:leftChars="0"/>
              <w:rPr>
                <w:rFonts w:ascii="宋体" w:hAnsi="宋体" w:eastAsia="宋体" w:cs="宋体"/>
                <w:color w:val="auto"/>
                <w:sz w:val="21"/>
                <w:szCs w:val="21"/>
              </w:rPr>
            </w:pPr>
            <w:r>
              <w:rPr>
                <w:rFonts w:ascii="宋体" w:hAnsi="宋体" w:eastAsia="宋体" w:cs="宋体"/>
                <w:color w:val="auto"/>
                <w:sz w:val="21"/>
                <w:szCs w:val="21"/>
              </w:rPr>
              <w:t>餐厨垃圾</w:t>
            </w:r>
          </w:p>
        </w:tc>
        <w:tc>
          <w:tcPr>
            <w:tcW w:w="2477" w:type="pct"/>
            <w:tcMar>
              <w:top w:w="135" w:type="dxa"/>
              <w:left w:w="270" w:type="dxa"/>
              <w:bottom w:w="135" w:type="dxa"/>
              <w:right w:w="270" w:type="dxa"/>
            </w:tcMar>
            <w:vAlign w:val="center"/>
          </w:tcPr>
          <w:p w14:paraId="67D19EDC">
            <w:pPr>
              <w:pStyle w:val="31"/>
              <w:spacing w:line="240" w:lineRule="auto"/>
              <w:ind w:left="0" w:leftChars="0"/>
              <w:rPr>
                <w:rFonts w:ascii="宋体" w:hAnsi="宋体" w:eastAsia="宋体" w:cs="宋体"/>
                <w:color w:val="auto"/>
                <w:sz w:val="21"/>
                <w:szCs w:val="21"/>
              </w:rPr>
            </w:pPr>
            <w:r>
              <w:rPr>
                <w:rFonts w:ascii="宋体" w:hAnsi="宋体" w:eastAsia="宋体" w:cs="宋体"/>
                <w:color w:val="auto"/>
                <w:sz w:val="21"/>
                <w:szCs w:val="21"/>
              </w:rPr>
              <w:t>油水分离+</w:t>
            </w:r>
            <w:r>
              <w:rPr>
                <w:rFonts w:hint="eastAsia" w:ascii="宋体" w:hAnsi="宋体" w:eastAsia="宋体" w:cs="宋体"/>
                <w:color w:val="auto"/>
                <w:sz w:val="21"/>
                <w:szCs w:val="21"/>
              </w:rPr>
              <w:t>委托第三方有自知的单位清运处置</w:t>
            </w:r>
          </w:p>
        </w:tc>
        <w:tc>
          <w:tcPr>
            <w:tcW w:w="1542" w:type="pct"/>
            <w:tcMar>
              <w:top w:w="135" w:type="dxa"/>
              <w:left w:w="270" w:type="dxa"/>
              <w:bottom w:w="135" w:type="dxa"/>
              <w:right w:w="270" w:type="dxa"/>
            </w:tcMar>
            <w:vAlign w:val="center"/>
          </w:tcPr>
          <w:p w14:paraId="7B9EECAA">
            <w:pPr>
              <w:pStyle w:val="31"/>
              <w:spacing w:line="240" w:lineRule="auto"/>
              <w:ind w:left="0" w:leftChars="0"/>
              <w:rPr>
                <w:rFonts w:ascii="宋体" w:hAnsi="宋体" w:eastAsia="宋体" w:cs="宋体"/>
                <w:color w:val="auto"/>
                <w:sz w:val="21"/>
                <w:szCs w:val="21"/>
              </w:rPr>
            </w:pPr>
            <w:r>
              <w:rPr>
                <w:rFonts w:ascii="宋体" w:hAnsi="宋体" w:eastAsia="宋体" w:cs="宋体"/>
                <w:color w:val="auto"/>
                <w:sz w:val="21"/>
                <w:szCs w:val="21"/>
              </w:rPr>
              <w:t>油水分离器</w:t>
            </w:r>
            <w:r>
              <w:rPr>
                <w:rFonts w:hint="eastAsia" w:ascii="宋体" w:hAnsi="宋体" w:eastAsia="宋体" w:cs="宋体"/>
                <w:color w:val="auto"/>
                <w:sz w:val="21"/>
                <w:szCs w:val="21"/>
              </w:rPr>
              <w:t>1</w:t>
            </w:r>
            <w:r>
              <w:rPr>
                <w:rFonts w:ascii="宋体" w:hAnsi="宋体" w:eastAsia="宋体" w:cs="宋体"/>
                <w:color w:val="auto"/>
                <w:sz w:val="21"/>
                <w:szCs w:val="21"/>
              </w:rPr>
              <w:t>台</w:t>
            </w:r>
          </w:p>
        </w:tc>
      </w:tr>
      <w:tr w14:paraId="5507D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9" w:hRule="atLeast"/>
        </w:trPr>
        <w:tc>
          <w:tcPr>
            <w:tcW w:w="980" w:type="pct"/>
            <w:tcMar>
              <w:top w:w="135" w:type="dxa"/>
              <w:left w:w="270" w:type="dxa"/>
              <w:bottom w:w="135" w:type="dxa"/>
              <w:right w:w="270" w:type="dxa"/>
            </w:tcMar>
            <w:vAlign w:val="center"/>
          </w:tcPr>
          <w:p w14:paraId="458C8E7C">
            <w:pPr>
              <w:pStyle w:val="31"/>
              <w:spacing w:line="240" w:lineRule="auto"/>
              <w:ind w:left="0" w:leftChars="0"/>
              <w:rPr>
                <w:rFonts w:ascii="宋体" w:hAnsi="宋体" w:eastAsia="宋体" w:cs="宋体"/>
                <w:color w:val="auto"/>
                <w:sz w:val="21"/>
                <w:szCs w:val="21"/>
              </w:rPr>
            </w:pPr>
            <w:r>
              <w:rPr>
                <w:rFonts w:ascii="宋体" w:hAnsi="宋体" w:eastAsia="宋体" w:cs="宋体"/>
                <w:color w:val="auto"/>
                <w:sz w:val="21"/>
                <w:szCs w:val="21"/>
              </w:rPr>
              <w:t>危险废物</w:t>
            </w:r>
          </w:p>
        </w:tc>
        <w:tc>
          <w:tcPr>
            <w:tcW w:w="2477" w:type="pct"/>
            <w:tcMar>
              <w:top w:w="135" w:type="dxa"/>
              <w:left w:w="270" w:type="dxa"/>
              <w:bottom w:w="135" w:type="dxa"/>
              <w:right w:w="270" w:type="dxa"/>
            </w:tcMar>
            <w:vAlign w:val="center"/>
          </w:tcPr>
          <w:p w14:paraId="3463FF03">
            <w:pPr>
              <w:pStyle w:val="31"/>
              <w:spacing w:line="240" w:lineRule="auto"/>
              <w:ind w:left="0" w:leftChars="0"/>
              <w:rPr>
                <w:rFonts w:ascii="宋体" w:hAnsi="宋体" w:eastAsia="宋体" w:cs="宋体"/>
                <w:color w:val="auto"/>
                <w:sz w:val="21"/>
                <w:szCs w:val="21"/>
              </w:rPr>
            </w:pPr>
            <w:r>
              <w:rPr>
                <w:rFonts w:ascii="宋体" w:hAnsi="宋体" w:eastAsia="宋体" w:cs="宋体"/>
                <w:color w:val="auto"/>
                <w:sz w:val="21"/>
                <w:szCs w:val="21"/>
              </w:rPr>
              <w:t>暂存于防渗漏危废间，委托资质单位处置</w:t>
            </w:r>
          </w:p>
        </w:tc>
        <w:tc>
          <w:tcPr>
            <w:tcW w:w="1542" w:type="pct"/>
            <w:tcMar>
              <w:top w:w="135" w:type="dxa"/>
              <w:left w:w="270" w:type="dxa"/>
              <w:bottom w:w="135" w:type="dxa"/>
              <w:right w:w="270" w:type="dxa"/>
            </w:tcMar>
            <w:vAlign w:val="center"/>
          </w:tcPr>
          <w:p w14:paraId="71A4B883">
            <w:pPr>
              <w:pStyle w:val="31"/>
              <w:spacing w:line="240" w:lineRule="auto"/>
              <w:ind w:left="0" w:leftChars="0"/>
              <w:rPr>
                <w:rFonts w:ascii="宋体" w:hAnsi="宋体" w:eastAsia="宋体" w:cs="宋体"/>
                <w:color w:val="auto"/>
                <w:sz w:val="21"/>
                <w:szCs w:val="21"/>
              </w:rPr>
            </w:pPr>
            <w:r>
              <w:rPr>
                <w:rFonts w:ascii="宋体" w:hAnsi="宋体" w:eastAsia="宋体" w:cs="宋体"/>
                <w:color w:val="auto"/>
                <w:sz w:val="21"/>
                <w:szCs w:val="21"/>
              </w:rPr>
              <w:t>危废暂存间（20㎡）</w:t>
            </w:r>
          </w:p>
        </w:tc>
      </w:tr>
    </w:tbl>
    <w:p w14:paraId="3EFB504E">
      <w:pPr>
        <w:pStyle w:val="31"/>
        <w:spacing w:line="360" w:lineRule="auto"/>
        <w:ind w:left="0" w:leftChars="0"/>
        <w:outlineLvl w:val="3"/>
        <w:rPr>
          <w:rFonts w:ascii="宋体" w:hAnsi="宋体" w:eastAsia="宋体" w:cs="宋体"/>
          <w:color w:val="auto"/>
          <w:sz w:val="21"/>
          <w:szCs w:val="21"/>
        </w:rPr>
      </w:pPr>
      <w:bookmarkStart w:id="1575" w:name="_Toc25305"/>
      <w:bookmarkStart w:id="1576" w:name="_Toc18846"/>
      <w:r>
        <w:rPr>
          <w:rFonts w:ascii="宋体" w:hAnsi="宋体" w:eastAsia="宋体" w:cs="宋体"/>
          <w:color w:val="auto"/>
          <w:sz w:val="21"/>
          <w:szCs w:val="21"/>
        </w:rPr>
        <w:t>（</w:t>
      </w:r>
      <w:r>
        <w:rPr>
          <w:rFonts w:hint="eastAsia" w:ascii="宋体" w:hAnsi="宋体" w:eastAsia="宋体" w:cs="宋体"/>
          <w:color w:val="auto"/>
          <w:sz w:val="21"/>
          <w:szCs w:val="21"/>
        </w:rPr>
        <w:t>3</w:t>
      </w:r>
      <w:r>
        <w:rPr>
          <w:rFonts w:ascii="宋体" w:hAnsi="宋体" w:eastAsia="宋体" w:cs="宋体"/>
          <w:color w:val="auto"/>
          <w:sz w:val="21"/>
          <w:szCs w:val="21"/>
        </w:rPr>
        <w:t>）智慧化管理</w:t>
      </w:r>
      <w:bookmarkEnd w:id="1575"/>
      <w:bookmarkEnd w:id="1576"/>
    </w:p>
    <w:p w14:paraId="7C355194">
      <w:pPr>
        <w:pStyle w:val="31"/>
        <w:spacing w:line="360" w:lineRule="auto"/>
        <w:ind w:left="0" w:leftChars="0"/>
        <w:outlineLvl w:val="4"/>
        <w:rPr>
          <w:rFonts w:ascii="宋体" w:hAnsi="宋体" w:eastAsia="宋体" w:cs="宋体"/>
          <w:color w:val="auto"/>
          <w:sz w:val="21"/>
          <w:szCs w:val="21"/>
        </w:rPr>
      </w:pPr>
      <w:bookmarkStart w:id="1577" w:name="_Toc8923"/>
      <w:bookmarkStart w:id="1578" w:name="_Toc32238"/>
      <w:r>
        <w:rPr>
          <w:rFonts w:hint="eastAsia" w:ascii="宋体" w:hAnsi="宋体" w:eastAsia="宋体" w:cs="宋体"/>
          <w:color w:val="auto"/>
          <w:sz w:val="21"/>
          <w:szCs w:val="21"/>
        </w:rPr>
        <w:t>①</w:t>
      </w:r>
      <w:r>
        <w:rPr>
          <w:rFonts w:ascii="宋体" w:hAnsi="宋体" w:eastAsia="宋体" w:cs="宋体"/>
          <w:color w:val="auto"/>
          <w:sz w:val="21"/>
          <w:szCs w:val="21"/>
        </w:rPr>
        <w:t>智能碳汇管理</w:t>
      </w:r>
      <w:bookmarkEnd w:id="1577"/>
      <w:bookmarkEnd w:id="1578"/>
    </w:p>
    <w:p w14:paraId="28FE9C44">
      <w:pPr>
        <w:pStyle w:val="31"/>
        <w:spacing w:line="360" w:lineRule="auto"/>
        <w:ind w:left="0" w:leftChars="0" w:firstLine="560"/>
        <w:rPr>
          <w:rFonts w:ascii="宋体" w:hAnsi="宋体" w:eastAsia="宋体" w:cs="宋体"/>
          <w:color w:val="auto"/>
          <w:sz w:val="21"/>
          <w:szCs w:val="21"/>
        </w:rPr>
      </w:pPr>
      <w:r>
        <w:rPr>
          <w:rFonts w:ascii="宋体" w:hAnsi="宋体" w:eastAsia="宋体" w:cs="宋体"/>
          <w:color w:val="auto"/>
          <w:sz w:val="21"/>
          <w:szCs w:val="21"/>
        </w:rPr>
        <w:t>通过建立多维能耗、碳耗模型，实现建筑空间的全过程能碳量化管理。精准实时核算园区内能源活动和工业生产过程产生的直接或间接碳排放量。</w:t>
      </w:r>
    </w:p>
    <w:p w14:paraId="346714B2">
      <w:pPr>
        <w:pStyle w:val="31"/>
        <w:spacing w:line="360" w:lineRule="auto"/>
        <w:ind w:left="0" w:leftChars="0" w:firstLine="560"/>
        <w:rPr>
          <w:rFonts w:ascii="宋体" w:hAnsi="宋体" w:eastAsia="宋体" w:cs="宋体"/>
          <w:color w:val="auto"/>
          <w:sz w:val="21"/>
          <w:szCs w:val="21"/>
        </w:rPr>
      </w:pPr>
      <w:r>
        <w:rPr>
          <w:rFonts w:ascii="宋体" w:hAnsi="宋体" w:eastAsia="宋体" w:cs="宋体"/>
          <w:color w:val="auto"/>
          <w:sz w:val="21"/>
          <w:szCs w:val="21"/>
        </w:rPr>
        <w:t>对企业碳资产的相关数据模型进行构建，深度挖掘碳减排能力。</w:t>
      </w:r>
    </w:p>
    <w:p w14:paraId="645D10D9">
      <w:pPr>
        <w:pStyle w:val="31"/>
        <w:spacing w:line="360" w:lineRule="auto"/>
        <w:ind w:left="0" w:leftChars="0"/>
        <w:rPr>
          <w:rFonts w:ascii="宋体" w:hAnsi="宋体" w:eastAsia="宋体" w:cs="宋体"/>
          <w:color w:val="auto"/>
          <w:sz w:val="21"/>
          <w:szCs w:val="21"/>
        </w:rPr>
      </w:pPr>
      <w:r>
        <w:rPr>
          <w:rFonts w:ascii="宋体" w:hAnsi="宋体" w:eastAsia="宋体" w:cs="宋体"/>
          <w:color w:val="auto"/>
          <w:sz w:val="21"/>
          <w:szCs w:val="21"/>
        </w:rPr>
        <w:t>能碳数据监测、碳排因子分析和用能数据收集，为企业/政府碳资产核查提供支持。</w:t>
      </w:r>
    </w:p>
    <w:p w14:paraId="5151F462">
      <w:pPr>
        <w:pStyle w:val="31"/>
        <w:spacing w:line="360" w:lineRule="auto"/>
        <w:ind w:left="0" w:leftChars="0"/>
        <w:outlineLvl w:val="4"/>
        <w:rPr>
          <w:rFonts w:ascii="宋体" w:hAnsi="宋体" w:eastAsia="宋体" w:cs="宋体"/>
          <w:color w:val="auto"/>
          <w:sz w:val="21"/>
          <w:szCs w:val="21"/>
        </w:rPr>
      </w:pPr>
      <w:bookmarkStart w:id="1579" w:name="_Toc28938"/>
      <w:bookmarkStart w:id="1580" w:name="_Toc30835"/>
      <w:r>
        <w:rPr>
          <w:rFonts w:hint="eastAsia" w:ascii="宋体" w:hAnsi="宋体" w:eastAsia="宋体" w:cs="宋体"/>
          <w:color w:val="auto"/>
          <w:sz w:val="21"/>
          <w:szCs w:val="21"/>
        </w:rPr>
        <w:t>②智慧水务管理</w:t>
      </w:r>
      <w:bookmarkEnd w:id="1579"/>
      <w:bookmarkEnd w:id="1580"/>
    </w:p>
    <w:p w14:paraId="09A19DAE">
      <w:pPr>
        <w:pStyle w:val="31"/>
        <w:spacing w:line="360" w:lineRule="auto"/>
        <w:ind w:left="0" w:leftChars="0"/>
        <w:rPr>
          <w:rFonts w:ascii="宋体" w:hAnsi="宋体" w:eastAsia="宋体" w:cs="宋体"/>
          <w:color w:val="auto"/>
          <w:sz w:val="21"/>
          <w:szCs w:val="21"/>
        </w:rPr>
      </w:pPr>
      <w:r>
        <w:rPr>
          <w:rFonts w:ascii="宋体" w:hAnsi="宋体" w:eastAsia="宋体" w:cs="宋体"/>
          <w:color w:val="auto"/>
          <w:sz w:val="21"/>
          <w:szCs w:val="21"/>
        </w:rPr>
        <w:t xml:space="preserve"> </w:t>
      </w:r>
      <w:r>
        <w:rPr>
          <w:rFonts w:hint="eastAsia" w:ascii="宋体" w:hAnsi="宋体" w:eastAsia="宋体" w:cs="宋体"/>
          <w:color w:val="auto"/>
          <w:sz w:val="21"/>
          <w:szCs w:val="21"/>
        </w:rPr>
        <w:t xml:space="preserve">  </w:t>
      </w:r>
      <w:r>
        <w:rPr>
          <w:rFonts w:ascii="宋体" w:hAnsi="宋体" w:eastAsia="宋体" w:cs="宋体"/>
          <w:color w:val="auto"/>
          <w:sz w:val="21"/>
          <w:szCs w:val="21"/>
        </w:rPr>
        <w:t>利用“过程机理驱动式AI 智慧水务控制系统”实现对园区生活污水和生产废水处理站自动运行。该系统成功耦合了生物化学反应动力学模型和计算流体力学模型（模型逼真度高达95%以上），并融合了深度强化学习/AC 框架，数字孪生等一些列人工智能技术，以前馈控制，全流程智慧决策和自学习为特点，改变了行业控制思路及模式，可真正实现水务全生态智慧化管控，最大程度挖掘工艺潜能，在保证出水稳定达标的前提下，显著节能降耗（20%-30%），减少碳排放，提升总氮去除，摆脱超排顾虑，减少人工参与过程（无人值守），降低环境健康风险。</w:t>
      </w:r>
    </w:p>
    <w:p w14:paraId="0ACA5148">
      <w:pPr>
        <w:pStyle w:val="31"/>
        <w:spacing w:line="360" w:lineRule="auto"/>
        <w:ind w:left="0" w:leftChars="0"/>
        <w:outlineLvl w:val="4"/>
        <w:rPr>
          <w:rFonts w:ascii="宋体" w:hAnsi="宋体" w:eastAsia="宋体" w:cs="宋体"/>
          <w:color w:val="auto"/>
          <w:sz w:val="21"/>
          <w:szCs w:val="21"/>
        </w:rPr>
      </w:pPr>
      <w:bookmarkStart w:id="1581" w:name="_Toc24179"/>
      <w:bookmarkStart w:id="1582" w:name="_Toc28142"/>
      <w:r>
        <w:rPr>
          <w:rFonts w:hint="eastAsia" w:ascii="宋体" w:hAnsi="宋体" w:eastAsia="宋体" w:cs="宋体"/>
          <w:color w:val="auto"/>
          <w:sz w:val="21"/>
          <w:szCs w:val="21"/>
        </w:rPr>
        <w:t>③</w:t>
      </w:r>
      <w:r>
        <w:rPr>
          <w:rFonts w:ascii="宋体" w:hAnsi="宋体" w:eastAsia="宋体" w:cs="宋体"/>
          <w:color w:val="auto"/>
          <w:sz w:val="21"/>
          <w:szCs w:val="21"/>
        </w:rPr>
        <w:t>智慧水循环管理</w:t>
      </w:r>
      <w:bookmarkEnd w:id="1581"/>
      <w:bookmarkEnd w:id="1582"/>
    </w:p>
    <w:p w14:paraId="459D2EF9">
      <w:pPr>
        <w:pStyle w:val="31"/>
        <w:spacing w:line="360" w:lineRule="auto"/>
        <w:ind w:left="0" w:leftChars="0" w:firstLine="560"/>
        <w:rPr>
          <w:rFonts w:ascii="宋体" w:hAnsi="宋体" w:eastAsia="宋体" w:cs="宋体"/>
          <w:color w:val="auto"/>
          <w:sz w:val="21"/>
          <w:szCs w:val="21"/>
        </w:rPr>
      </w:pPr>
      <w:r>
        <w:rPr>
          <w:rFonts w:ascii="宋体" w:hAnsi="宋体" w:eastAsia="宋体" w:cs="宋体"/>
          <w:color w:val="auto"/>
          <w:sz w:val="21"/>
          <w:szCs w:val="21"/>
        </w:rPr>
        <w:t>建设可视化、数据采集自动化，信息系统集成化，决策调度智慧化，智慧运营管理系统，为污水站运营人员提供“厂网一体化”管理平台，实现故障“早发现、早处理、早解决”闭环管理。</w:t>
      </w:r>
    </w:p>
    <w:p w14:paraId="0CBF0260">
      <w:pPr>
        <w:pStyle w:val="31"/>
        <w:spacing w:line="360" w:lineRule="auto"/>
        <w:ind w:left="0" w:leftChars="0"/>
        <w:rPr>
          <w:rFonts w:ascii="宋体" w:hAnsi="宋体" w:eastAsia="宋体" w:cs="宋体"/>
          <w:color w:val="auto"/>
          <w:sz w:val="21"/>
          <w:szCs w:val="21"/>
        </w:rPr>
      </w:pPr>
      <w:r>
        <w:rPr>
          <w:rFonts w:ascii="宋体" w:hAnsi="宋体" w:eastAsia="宋体" w:cs="宋体"/>
          <w:color w:val="auto"/>
          <w:sz w:val="21"/>
          <w:szCs w:val="21"/>
        </w:rPr>
        <w:t>利用管网GIS系统，实现“厂</w:t>
      </w:r>
      <w:r>
        <w:rPr>
          <w:rFonts w:hint="eastAsia" w:ascii="宋体" w:hAnsi="宋体" w:eastAsia="宋体" w:cs="宋体"/>
          <w:color w:val="auto"/>
          <w:sz w:val="21"/>
          <w:szCs w:val="21"/>
        </w:rPr>
        <w:t>-</w:t>
      </w:r>
      <w:r>
        <w:rPr>
          <w:rFonts w:ascii="宋体" w:hAnsi="宋体" w:eastAsia="宋体" w:cs="宋体"/>
          <w:color w:val="auto"/>
          <w:sz w:val="21"/>
          <w:szCs w:val="21"/>
        </w:rPr>
        <w:t>站-网-户”一张网监测，掌握管网运行状态，智能预警报警，提前预判风险，通过综合可视化展示，结合手机端应用实现污水问题的核查和问题上报，形成闭环管理，满足排水设施资产精细化管理需求。</w:t>
      </w:r>
    </w:p>
    <w:p w14:paraId="5A2C99A9">
      <w:pPr>
        <w:pStyle w:val="31"/>
        <w:spacing w:line="360" w:lineRule="auto"/>
        <w:ind w:left="0" w:leftChars="0" w:firstLine="560"/>
        <w:rPr>
          <w:rFonts w:ascii="宋体" w:hAnsi="宋体" w:eastAsia="宋体" w:cs="宋体"/>
          <w:color w:val="auto"/>
          <w:sz w:val="21"/>
          <w:szCs w:val="21"/>
        </w:rPr>
      </w:pPr>
      <w:r>
        <w:rPr>
          <w:rFonts w:ascii="宋体" w:hAnsi="宋体" w:eastAsia="宋体" w:cs="宋体"/>
          <w:color w:val="auto"/>
          <w:sz w:val="21"/>
          <w:szCs w:val="21"/>
        </w:rPr>
        <w:t>通过厂区环境监测系统（空气环境质量监测系统、土壤湿度监测系统）、屋面光伏板灰尘覆盖监视系统、园区车辆流通量、降雨量、排污量等实时数据，自动调度再生水循环利用方式、新鲜用水补水量以及雨水收集利用量，实现智慧调水，科学合理用水。</w:t>
      </w:r>
    </w:p>
    <w:p w14:paraId="03072950">
      <w:pPr>
        <w:numPr>
          <w:ilvl w:val="0"/>
          <w:numId w:val="0"/>
        </w:numPr>
        <w:spacing w:line="360" w:lineRule="auto"/>
        <w:ind w:left="0" w:leftChars="0" w:firstLine="0" w:firstLineChars="0"/>
        <w:outlineLvl w:val="1"/>
        <w:rPr>
          <w:rFonts w:hint="eastAsia" w:ascii="宋体" w:hAnsi="宋体" w:eastAsia="宋体" w:cs="宋体"/>
          <w:b/>
          <w:bCs/>
          <w:sz w:val="21"/>
          <w:szCs w:val="21"/>
          <w:lang w:val="en-US" w:eastAsia="zh-CN"/>
        </w:rPr>
      </w:pPr>
      <w:bookmarkStart w:id="1583" w:name="_Toc14692"/>
      <w:bookmarkEnd w:id="1583"/>
      <w:bookmarkStart w:id="1584" w:name="_Toc6140"/>
      <w:bookmarkStart w:id="1585" w:name="_Toc2805"/>
      <w:r>
        <w:rPr>
          <w:rFonts w:hint="eastAsia" w:ascii="宋体" w:hAnsi="宋体" w:eastAsia="宋体" w:cs="宋体"/>
          <w:b/>
          <w:bCs/>
          <w:sz w:val="21"/>
          <w:szCs w:val="21"/>
          <w:lang w:val="en-US" w:eastAsia="zh-CN"/>
        </w:rPr>
        <w:t>13.零碳园区的设计目标及要求</w:t>
      </w:r>
      <w:bookmarkEnd w:id="1584"/>
      <w:bookmarkEnd w:id="1585"/>
    </w:p>
    <w:p w14:paraId="270DA60D">
      <w:pPr>
        <w:spacing w:line="360" w:lineRule="auto"/>
        <w:outlineLvl w:val="2"/>
        <w:rPr>
          <w:rFonts w:hint="eastAsia" w:ascii="宋体" w:hAnsi="宋体" w:eastAsia="宋体" w:cs="宋体"/>
          <w:b/>
          <w:bCs/>
          <w:color w:val="auto"/>
          <w:sz w:val="21"/>
          <w:szCs w:val="21"/>
        </w:rPr>
      </w:pPr>
      <w:bookmarkStart w:id="1586" w:name="heading_0"/>
      <w:bookmarkStart w:id="1587" w:name="_Toc32634"/>
      <w:r>
        <w:rPr>
          <w:rFonts w:hint="eastAsia" w:ascii="宋体" w:hAnsi="宋体" w:eastAsia="宋体" w:cs="宋体"/>
          <w:b/>
          <w:bCs/>
          <w:color w:val="auto"/>
          <w:sz w:val="21"/>
          <w:szCs w:val="21"/>
          <w:lang w:val="en-US" w:eastAsia="zh-CN"/>
        </w:rPr>
        <w:t>13.1</w:t>
      </w:r>
      <w:r>
        <w:rPr>
          <w:rFonts w:hint="eastAsia" w:ascii="宋体" w:hAnsi="宋体" w:eastAsia="宋体" w:cs="宋体"/>
          <w:b/>
          <w:bCs/>
          <w:color w:val="auto"/>
          <w:sz w:val="21"/>
          <w:szCs w:val="21"/>
        </w:rPr>
        <w:t>、项目概况</w:t>
      </w:r>
      <w:bookmarkEnd w:id="1586"/>
      <w:bookmarkEnd w:id="1587"/>
    </w:p>
    <w:p w14:paraId="4E4CE12A">
      <w:pPr>
        <w:pStyle w:val="31"/>
        <w:spacing w:line="360" w:lineRule="auto"/>
        <w:ind w:left="0" w:leftChars="0"/>
        <w:rPr>
          <w:rFonts w:hint="eastAsia" w:ascii="宋体" w:hAnsi="宋体" w:eastAsia="宋体" w:cs="宋体"/>
          <w:color w:val="auto"/>
          <w:sz w:val="21"/>
          <w:szCs w:val="21"/>
        </w:rPr>
      </w:pPr>
      <w:bookmarkStart w:id="1588" w:name="heading_1"/>
      <w:r>
        <w:rPr>
          <w:rFonts w:hint="eastAsia" w:ascii="宋体" w:hAnsi="宋体" w:eastAsia="宋体" w:cs="宋体"/>
          <w:color w:val="auto"/>
          <w:sz w:val="21"/>
          <w:szCs w:val="21"/>
          <w:lang w:val="en-US" w:eastAsia="zh-CN"/>
        </w:rPr>
        <w:t>13.1.1</w:t>
      </w:r>
      <w:r>
        <w:rPr>
          <w:rFonts w:hint="eastAsia" w:ascii="宋体" w:hAnsi="宋体" w:eastAsia="宋体" w:cs="宋体"/>
          <w:color w:val="auto"/>
          <w:sz w:val="21"/>
          <w:szCs w:val="21"/>
        </w:rPr>
        <w:t>项目背景</w:t>
      </w:r>
      <w:bookmarkEnd w:id="1588"/>
    </w:p>
    <w:p w14:paraId="56EA3A43">
      <w:pPr>
        <w:pStyle w:val="31"/>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本项目为红河州蒙自国家级经济开发区冷链</w:t>
      </w:r>
      <w:r>
        <w:rPr>
          <w:rFonts w:hint="eastAsia" w:ascii="宋体" w:hAnsi="宋体" w:eastAsia="宋体" w:cs="宋体"/>
          <w:color w:val="auto"/>
          <w:sz w:val="21"/>
          <w:szCs w:val="21"/>
          <w:lang w:eastAsia="zh-CN"/>
        </w:rPr>
        <w:t>产业园区</w:t>
      </w:r>
      <w:r>
        <w:rPr>
          <w:rFonts w:hint="eastAsia" w:ascii="宋体" w:hAnsi="宋体" w:eastAsia="宋体" w:cs="宋体"/>
          <w:color w:val="auto"/>
          <w:sz w:val="21"/>
          <w:szCs w:val="21"/>
        </w:rPr>
        <w:t>零碳改造工程，依托蒙自地区充足光照资源、开发区产业扶持政策，聚焦冷链行业高能耗、高可靠性供电需求，通过整合分布式光伏、建筑光伏一体化（BIPV）、微风发电、全钒储能及新能源充电设施，构建“源-网-荷-储-充”一体化零碳能源体系。项目既满足园区制冷机组、仓储设备等核心负荷的不间断运行需求，实现能源自给自足与碳排放量趋近于零，又借助开发区示范效应，打造滇南地区冷链物流行业零碳标杆，助力区域“双碳”目标落地与绿色产业升级。</w:t>
      </w:r>
    </w:p>
    <w:p w14:paraId="28F40408">
      <w:pPr>
        <w:pStyle w:val="31"/>
        <w:spacing w:line="360" w:lineRule="auto"/>
        <w:ind w:left="0" w:leftChars="0"/>
        <w:rPr>
          <w:rFonts w:hint="eastAsia" w:ascii="宋体" w:hAnsi="宋体" w:eastAsia="宋体" w:cs="宋体"/>
          <w:color w:val="auto"/>
          <w:sz w:val="21"/>
          <w:szCs w:val="21"/>
          <w:lang w:val="en-US" w:eastAsia="zh-CN"/>
        </w:rPr>
      </w:pPr>
      <w:bookmarkStart w:id="1589" w:name="_Toc8876"/>
      <w:r>
        <w:rPr>
          <w:rFonts w:hint="eastAsia" w:ascii="宋体" w:hAnsi="宋体" w:eastAsia="宋体" w:cs="宋体"/>
          <w:color w:val="auto"/>
          <w:sz w:val="21"/>
          <w:szCs w:val="21"/>
          <w:lang w:val="en-US" w:eastAsia="zh-CN"/>
        </w:rPr>
        <w:t>13.1.2设计原则</w:t>
      </w:r>
      <w:bookmarkEnd w:id="1589"/>
    </w:p>
    <w:p w14:paraId="3F58E483">
      <w:pPr>
        <w:pStyle w:val="31"/>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本项目旨在构建一个 “源-网-荷-储-数”一体化的智慧零碳能源系统。该系统并非各独立技术的简单堆砌，而是以数据智能为纽带， 将能源的生产、输送、消费、存储与碳管理深度融合，形成贯穿园区四大功能区、自适应、自优化的绿色能源生态闭环。</w:t>
      </w:r>
    </w:p>
    <w:p w14:paraId="75B36B7A">
      <w:pPr>
        <w:pStyle w:val="31"/>
        <w:spacing w:line="36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13.1.3规范性引用文件</w:t>
      </w:r>
    </w:p>
    <w:p w14:paraId="79B5F270">
      <w:pPr>
        <w:pStyle w:val="31"/>
        <w:spacing w:line="36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投标人提供的技术方案、设备及工程质量需符合以下现行国家标准、行业标准及规范（包括但不限于），若标准有更新，按最新版本执行：</w:t>
      </w:r>
    </w:p>
    <w:p w14:paraId="5CCF4F2D">
      <w:pPr>
        <w:pStyle w:val="31"/>
        <w:spacing w:line="36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《分布式光伏发电工程技术标准》（GB/T 51348-2019）</w:t>
      </w:r>
    </w:p>
    <w:p w14:paraId="5816DA5E">
      <w:pPr>
        <w:pStyle w:val="31"/>
        <w:spacing w:line="36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《建筑光伏一体化系统技术标准》（JGJ/T 493-2022）</w:t>
      </w:r>
    </w:p>
    <w:p w14:paraId="7E372B79">
      <w:pPr>
        <w:pStyle w:val="31"/>
        <w:spacing w:line="36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《风力发电机组设计要求》（GB/T 19073-2008）</w:t>
      </w:r>
    </w:p>
    <w:p w14:paraId="3D3D1F10">
      <w:pPr>
        <w:pStyle w:val="31"/>
        <w:spacing w:line="36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《全钒液流储能系统 技术条件》（GB/T 34886-2017）</w:t>
      </w:r>
    </w:p>
    <w:p w14:paraId="048C582F">
      <w:pPr>
        <w:pStyle w:val="31"/>
        <w:spacing w:line="36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《电动汽车充电基础设施工程技术标准》（GB 50966-2014）</w:t>
      </w:r>
    </w:p>
    <w:p w14:paraId="7D189BF8">
      <w:pPr>
        <w:pStyle w:val="31"/>
        <w:spacing w:line="36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《电力系统安全稳定导则》（DL/T 755-2019）</w:t>
      </w:r>
    </w:p>
    <w:p w14:paraId="6C8FD134">
      <w:pPr>
        <w:pStyle w:val="31"/>
        <w:spacing w:line="36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《零碳园区评价标准》（T/CSES 0039-2023）</w:t>
      </w:r>
    </w:p>
    <w:p w14:paraId="37E51085">
      <w:pPr>
        <w:pStyle w:val="31"/>
        <w:spacing w:line="36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《光伏发电站设计规范》GB50797-2026</w:t>
      </w:r>
    </w:p>
    <w:p w14:paraId="34689884">
      <w:pPr>
        <w:pStyle w:val="31"/>
        <w:spacing w:line="36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《光伏发电站接入电力系统技术规定》GB/T19964-2026</w:t>
      </w:r>
    </w:p>
    <w:p w14:paraId="238D9A9B">
      <w:pPr>
        <w:pStyle w:val="31"/>
        <w:spacing w:line="36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《光伏发电站施工规范》GB50794-2026</w:t>
      </w:r>
    </w:p>
    <w:p w14:paraId="523FAE07">
      <w:pPr>
        <w:pStyle w:val="31"/>
        <w:spacing w:line="36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《光伏发电工程验收规范》GB/T50796-2026</w:t>
      </w:r>
    </w:p>
    <w:p w14:paraId="12327E3B">
      <w:pPr>
        <w:pStyle w:val="31"/>
        <w:spacing w:line="36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《建筑光伏一体化系统设计标准》（BIPV 专项）GB/T51334-2018</w:t>
      </w:r>
    </w:p>
    <w:p w14:paraId="039AA711">
      <w:pPr>
        <w:pStyle w:val="31"/>
        <w:spacing w:line="36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《能源管理体系要求》（EMS 系统合规依据）ISO 50001</w:t>
      </w:r>
    </w:p>
    <w:p w14:paraId="34174649">
      <w:pPr>
        <w:pStyle w:val="31"/>
        <w:spacing w:line="36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《关于开展零碳园区建设的通知》（发改环资〔2025〕910号）</w:t>
      </w:r>
    </w:p>
    <w:p w14:paraId="4B4C35AB">
      <w:pPr>
        <w:pStyle w:val="31"/>
        <w:spacing w:line="36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《国家级零碳园区建设指标体系（试行）》</w:t>
      </w:r>
    </w:p>
    <w:p w14:paraId="6A26D2AB">
      <w:pPr>
        <w:pStyle w:val="31"/>
        <w:spacing w:line="36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《建筑结构荷载规范》GB 50009-2012</w:t>
      </w:r>
    </w:p>
    <w:p w14:paraId="0C71DF2D">
      <w:pPr>
        <w:pStyle w:val="31"/>
        <w:spacing w:line="36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《建筑设计防火规范》GB 50016-2014 （2018年版）</w:t>
      </w:r>
    </w:p>
    <w:p w14:paraId="12CA745C">
      <w:pPr>
        <w:pStyle w:val="31"/>
        <w:spacing w:line="36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《屋面工程质量验收规范》GB 50207-2012</w:t>
      </w:r>
    </w:p>
    <w:p w14:paraId="6DCCF92D">
      <w:pPr>
        <w:pStyle w:val="31"/>
        <w:spacing w:line="36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《绿色建筑评价标准》GB/T 50378-2019（2024版）</w:t>
      </w:r>
    </w:p>
    <w:p w14:paraId="6C5A3EFD">
      <w:pPr>
        <w:pStyle w:val="31"/>
        <w:spacing w:line="36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《建筑光伏系统应用技术标准》GB/T 51368-2019</w:t>
      </w:r>
    </w:p>
    <w:p w14:paraId="528A5CA6">
      <w:pPr>
        <w:pStyle w:val="31"/>
        <w:spacing w:line="36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《光伏发电系统接入配电网技术规定》GB/T 29319-2024</w:t>
      </w:r>
    </w:p>
    <w:p w14:paraId="02757530">
      <w:pPr>
        <w:pStyle w:val="31"/>
        <w:spacing w:line="36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《低压配电设计规范》GB 50054-2021</w:t>
      </w:r>
    </w:p>
    <w:p w14:paraId="26104CAC">
      <w:pPr>
        <w:pStyle w:val="31"/>
        <w:spacing w:line="36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《建筑物防雷设计规范》GB 50057-2010</w:t>
      </w:r>
    </w:p>
    <w:p w14:paraId="412EE0B2">
      <w:pPr>
        <w:pStyle w:val="31"/>
        <w:spacing w:line="36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国家及地方关于“双碳”目标、分布式能源、储能系统的相关政策及规范。</w:t>
      </w:r>
    </w:p>
    <w:p w14:paraId="463EE016">
      <w:pPr>
        <w:pStyle w:val="31"/>
        <w:spacing w:line="360" w:lineRule="auto"/>
        <w:ind w:left="0" w:leftChars="0"/>
        <w:rPr>
          <w:rFonts w:hint="eastAsia" w:ascii="宋体" w:hAnsi="宋体" w:eastAsia="宋体" w:cs="宋体"/>
          <w:color w:val="auto"/>
          <w:sz w:val="21"/>
          <w:szCs w:val="21"/>
          <w:lang w:val="en-US" w:eastAsia="zh-CN"/>
        </w:rPr>
      </w:pPr>
      <w:bookmarkStart w:id="1590" w:name="heading_2"/>
      <w:r>
        <w:rPr>
          <w:rFonts w:hint="eastAsia" w:ascii="宋体" w:hAnsi="宋体" w:eastAsia="宋体" w:cs="宋体"/>
          <w:color w:val="auto"/>
          <w:sz w:val="21"/>
          <w:szCs w:val="21"/>
          <w:lang w:val="en-US" w:eastAsia="zh-CN"/>
        </w:rPr>
        <w:t>13.1.4核心配置参数</w:t>
      </w:r>
      <w:bookmarkEnd w:id="1590"/>
    </w:p>
    <w:p w14:paraId="40B26DFE">
      <w:pPr>
        <w:pStyle w:val="31"/>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屋顶分布式光伏：利用园区屋顶及车棚区域，采用高效单晶硅光伏组件，建设分布式光伏系统，作为园区核心绿电来源。结合蒙自地区北纬23°左右的纬度特性，优化组件安装倾角，最大化捕捉太阳辐射，适配开发区工业建筑屋顶荷载及户外气候条件；</w:t>
      </w:r>
    </w:p>
    <w:p w14:paraId="2D8A5BC0">
      <w:pPr>
        <w:pStyle w:val="31"/>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BIPV光伏幕墙：依托建筑幕墙（以仓库、机房等对采光需求较低的建筑外立面为主），建设BIPV系统，选用透光率碲化镉薄膜组件，实现建筑外立面发电、保温隔热与装饰功能一体化，兼顾能源产出与建筑节能需求；</w:t>
      </w:r>
    </w:p>
    <w:p w14:paraId="7C5C0863">
      <w:pPr>
        <w:pStyle w:val="31"/>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微风发电系统：在园区开阔区域部署微风发电机组，补充光伏能源的间歇性缺口；</w:t>
      </w:r>
    </w:p>
    <w:p w14:paraId="15D57DCA">
      <w:pPr>
        <w:pStyle w:val="31"/>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全钒储能系统：配置全钒液流储能系统，承担调峰填谷、备用供电、平滑出力等核心功能；</w:t>
      </w:r>
    </w:p>
    <w:p w14:paraId="3C5763E0">
      <w:pPr>
        <w:pStyle w:val="31"/>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充电桩设施：配套建设快慢充结合的充电桩网络，满足园区物流车辆、公务车辆绿色出行需求，实现绿电直供。</w:t>
      </w:r>
    </w:p>
    <w:p w14:paraId="1E1FA7DF">
      <w:pPr>
        <w:pStyle w:val="31"/>
        <w:spacing w:line="360" w:lineRule="auto"/>
        <w:ind w:left="0" w:leftChars="0"/>
        <w:rPr>
          <w:rFonts w:hint="eastAsia" w:ascii="宋体" w:hAnsi="宋体" w:eastAsia="宋体" w:cs="宋体"/>
          <w:color w:val="auto"/>
          <w:sz w:val="21"/>
          <w:szCs w:val="21"/>
          <w:lang w:val="en-US" w:eastAsia="zh-CN"/>
        </w:rPr>
      </w:pPr>
      <w:bookmarkStart w:id="1591" w:name="heading_3"/>
      <w:r>
        <w:rPr>
          <w:rFonts w:hint="eastAsia" w:ascii="宋体" w:hAnsi="宋体" w:eastAsia="宋体" w:cs="宋体"/>
          <w:color w:val="auto"/>
          <w:sz w:val="21"/>
          <w:szCs w:val="21"/>
          <w:lang w:val="en-US" w:eastAsia="zh-CN"/>
        </w:rPr>
        <w:t>13.1.5核心目标</w:t>
      </w:r>
      <w:bookmarkEnd w:id="1591"/>
    </w:p>
    <w:p w14:paraId="165CC9EC">
      <w:pPr>
        <w:pStyle w:val="31"/>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能源目标：绿电自给率≥90%，通过储能与多元发电协同，实现园区能源供需动态平衡，保障冷链核心负荷连续供电；</w:t>
      </w:r>
    </w:p>
    <w:p w14:paraId="3E823C03">
      <w:pPr>
        <w:pStyle w:val="31"/>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零碳目标：年减少二氧化碳排放≥1.8万吨，实现园区运营阶段近零碳排放，助力“双碳”目标落地；</w:t>
      </w:r>
    </w:p>
    <w:p w14:paraId="64BDEE80">
      <w:pPr>
        <w:pStyle w:val="31"/>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经济目标：通过峰谷套利、绿电自用、政策补贴等方式，降低园区综合用电成本15%-20%，提升项目投资回报率；</w:t>
      </w:r>
    </w:p>
    <w:p w14:paraId="56041400">
      <w:pPr>
        <w:pStyle w:val="31"/>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示范目标：打造“光伏+BIPV+微风+全钒储能+充电”多技术融合的冷链园区零碳样板，形成可复制、可推广的技术路径。</w:t>
      </w:r>
    </w:p>
    <w:p w14:paraId="0D881619">
      <w:pPr>
        <w:spacing w:line="360" w:lineRule="auto"/>
        <w:outlineLvl w:val="2"/>
        <w:rPr>
          <w:rFonts w:hint="eastAsia" w:ascii="宋体" w:hAnsi="宋体" w:eastAsia="宋体" w:cs="宋体"/>
          <w:b/>
          <w:bCs/>
          <w:color w:val="auto"/>
          <w:sz w:val="21"/>
          <w:szCs w:val="21"/>
          <w:lang w:val="en-US" w:eastAsia="zh-CN"/>
        </w:rPr>
      </w:pPr>
      <w:bookmarkStart w:id="1592" w:name="heading_4"/>
      <w:bookmarkStart w:id="1593" w:name="_Toc27406"/>
      <w:r>
        <w:rPr>
          <w:rFonts w:hint="eastAsia" w:ascii="宋体" w:hAnsi="宋体" w:eastAsia="宋体" w:cs="宋体"/>
          <w:b/>
          <w:bCs/>
          <w:color w:val="auto"/>
          <w:sz w:val="21"/>
          <w:szCs w:val="21"/>
          <w:lang w:val="en-US" w:eastAsia="zh-CN"/>
        </w:rPr>
        <w:t>13.2、系统总体架构设计</w:t>
      </w:r>
      <w:bookmarkEnd w:id="1592"/>
      <w:bookmarkEnd w:id="1593"/>
    </w:p>
    <w:p w14:paraId="77C07D47">
      <w:pPr>
        <w:pStyle w:val="31"/>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本项目采用“分布式发电+集中储能+智能调控+绿电消费”的总体架构，构建独立可控、灵活高效的园区级零碳能源网络，分为发电层、储能层、负荷层、调控层四大核心层级，各层级协同运行，兼顾能源供给稳定性与零碳效益。</w:t>
      </w:r>
    </w:p>
    <w:p w14:paraId="193625DD">
      <w:pPr>
        <w:pStyle w:val="31"/>
        <w:spacing w:line="360" w:lineRule="auto"/>
        <w:ind w:left="0" w:leftChars="0"/>
        <w:rPr>
          <w:rFonts w:hint="eastAsia" w:ascii="宋体" w:hAnsi="宋体" w:eastAsia="宋体" w:cs="宋体"/>
          <w:color w:val="auto"/>
          <w:sz w:val="21"/>
          <w:szCs w:val="21"/>
          <w:lang w:val="en-US" w:eastAsia="zh-CN"/>
        </w:rPr>
      </w:pPr>
      <w:bookmarkStart w:id="1594" w:name="heading_5"/>
      <w:r>
        <w:rPr>
          <w:rFonts w:hint="eastAsia" w:ascii="宋体" w:hAnsi="宋体" w:eastAsia="宋体" w:cs="宋体"/>
          <w:color w:val="auto"/>
          <w:sz w:val="21"/>
          <w:szCs w:val="21"/>
          <w:lang w:val="en-US" w:eastAsia="zh-CN"/>
        </w:rPr>
        <w:t>13.2.1发电层：多元绿电协同供给</w:t>
      </w:r>
      <w:bookmarkEnd w:id="1594"/>
    </w:p>
    <w:p w14:paraId="6D763790">
      <w:pPr>
        <w:pStyle w:val="31"/>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整合屋顶光伏、BIPV、微风发电三大发电单元，形成“光风互补”的绿电供给体系。光伏系统以白天发电为主，匹配园区日间制冷、装卸等负荷高峰；微风发电可全天候运行，补充夜间及阴雨天的能源缺口；通过智能调度实现多电源出力互补，提升绿电供给稳定性。</w:t>
      </w:r>
    </w:p>
    <w:p w14:paraId="37CF9B11">
      <w:pPr>
        <w:pStyle w:val="31"/>
        <w:spacing w:line="360" w:lineRule="auto"/>
        <w:ind w:left="0" w:leftChars="0"/>
        <w:rPr>
          <w:rFonts w:hint="eastAsia" w:ascii="宋体" w:hAnsi="宋体" w:eastAsia="宋体" w:cs="宋体"/>
          <w:color w:val="auto"/>
          <w:sz w:val="21"/>
          <w:szCs w:val="21"/>
          <w:lang w:val="en-US" w:eastAsia="zh-CN"/>
        </w:rPr>
      </w:pPr>
      <w:bookmarkStart w:id="1595" w:name="heading_6"/>
      <w:r>
        <w:rPr>
          <w:rFonts w:hint="eastAsia" w:ascii="宋体" w:hAnsi="宋体" w:eastAsia="宋体" w:cs="宋体"/>
          <w:color w:val="auto"/>
          <w:sz w:val="21"/>
          <w:szCs w:val="21"/>
          <w:lang w:val="en-US" w:eastAsia="zh-CN"/>
        </w:rPr>
        <w:t>13.2.2储能层：全钒储能核心调控</w:t>
      </w:r>
      <w:bookmarkEnd w:id="1595"/>
    </w:p>
    <w:p w14:paraId="6AA22FE4">
      <w:pPr>
        <w:pStyle w:val="31"/>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全钒储能系统作为能源枢纽，连接发电层与负荷层，承担能量缓冲、功率调节、应急备用三大功能。通过平抑光伏、风电的出力波动，确保供电质量符合冷链设备运行要求；储存多余绿电用于夜间负荷供电及峰谷套利，提升能源利用效率；作为应急电源，保障制冷机组等核心负荷在电网故障或极端天气下不间断运行。</w:t>
      </w:r>
    </w:p>
    <w:p w14:paraId="1548FF9C">
      <w:pPr>
        <w:pStyle w:val="31"/>
        <w:spacing w:line="360" w:lineRule="auto"/>
        <w:ind w:left="0" w:leftChars="0"/>
        <w:rPr>
          <w:rFonts w:hint="eastAsia" w:ascii="宋体" w:hAnsi="宋体" w:eastAsia="宋体" w:cs="宋体"/>
          <w:color w:val="auto"/>
          <w:sz w:val="21"/>
          <w:szCs w:val="21"/>
          <w:lang w:val="en-US" w:eastAsia="zh-CN"/>
        </w:rPr>
      </w:pPr>
      <w:bookmarkStart w:id="1596" w:name="heading_7"/>
      <w:r>
        <w:rPr>
          <w:rFonts w:hint="eastAsia" w:ascii="宋体" w:hAnsi="宋体" w:eastAsia="宋体" w:cs="宋体"/>
          <w:color w:val="auto"/>
          <w:sz w:val="21"/>
          <w:szCs w:val="21"/>
          <w:lang w:val="en-US" w:eastAsia="zh-CN"/>
        </w:rPr>
        <w:t>13.2.3负荷层：分级管控高效用能</w:t>
      </w:r>
      <w:bookmarkEnd w:id="1596"/>
    </w:p>
    <w:p w14:paraId="6C14CC55">
      <w:pPr>
        <w:pStyle w:val="31"/>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将园区负荷分为核心负荷（制冷机组、冷库保温系统、监控设备）、重要负荷（装卸设备、分拣系统）、一般负荷（办公照明、生活用电）及充电负荷，实行分级管控。核心负荷优先由储能系统保障供电，确保冷链货物存储安全；其余负荷根据绿电出力情况动态调配，最大化消纳自发绿电。</w:t>
      </w:r>
    </w:p>
    <w:p w14:paraId="406FCED9">
      <w:pPr>
        <w:pStyle w:val="31"/>
        <w:spacing w:line="360" w:lineRule="auto"/>
        <w:ind w:left="0" w:leftChars="0"/>
        <w:rPr>
          <w:rFonts w:hint="eastAsia" w:ascii="宋体" w:hAnsi="宋体" w:eastAsia="宋体" w:cs="宋体"/>
          <w:color w:val="auto"/>
          <w:sz w:val="21"/>
          <w:szCs w:val="21"/>
          <w:lang w:val="en-US" w:eastAsia="zh-CN"/>
        </w:rPr>
      </w:pPr>
      <w:bookmarkStart w:id="1597" w:name="heading_8"/>
      <w:r>
        <w:rPr>
          <w:rFonts w:hint="eastAsia" w:ascii="宋体" w:hAnsi="宋体" w:eastAsia="宋体" w:cs="宋体"/>
          <w:color w:val="auto"/>
          <w:sz w:val="21"/>
          <w:szCs w:val="21"/>
          <w:lang w:val="en-US" w:eastAsia="zh-CN"/>
        </w:rPr>
        <w:t>13.2.4调控层：智慧平台统筹调度</w:t>
      </w:r>
      <w:bookmarkEnd w:id="1597"/>
    </w:p>
    <w:p w14:paraId="079C1F9D">
      <w:pPr>
        <w:pStyle w:val="31"/>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搭建零碳园区智慧能源管理平台，集成物联网、AI算法、大数据分析技术，实现全系统可视化监控、智能化调度与精细化管理。平台实时采集发电、储能、负荷、充电等全环节数据，通过AI算法优化储能充放电策略、电源出力分配及负荷调度，同时对接电网实现友好互动，必要时可参与虚拟电厂运营，提升项目综合收益。</w:t>
      </w:r>
    </w:p>
    <w:p w14:paraId="23E27856">
      <w:pPr>
        <w:spacing w:line="360" w:lineRule="auto"/>
        <w:outlineLvl w:val="2"/>
        <w:rPr>
          <w:rFonts w:hint="eastAsia" w:ascii="宋体" w:hAnsi="宋体" w:eastAsia="宋体" w:cs="宋体"/>
          <w:b/>
          <w:bCs/>
          <w:color w:val="auto"/>
          <w:sz w:val="21"/>
          <w:szCs w:val="21"/>
          <w:lang w:val="en-US" w:eastAsia="zh-CN"/>
        </w:rPr>
      </w:pPr>
      <w:bookmarkStart w:id="1598" w:name="_Toc2333"/>
      <w:bookmarkStart w:id="1599" w:name="heading_9"/>
      <w:r>
        <w:rPr>
          <w:rFonts w:hint="eastAsia" w:ascii="宋体" w:hAnsi="宋体" w:eastAsia="宋体" w:cs="宋体"/>
          <w:b/>
          <w:bCs/>
          <w:color w:val="auto"/>
          <w:sz w:val="21"/>
          <w:szCs w:val="21"/>
          <w:lang w:val="en-US" w:eastAsia="zh-CN"/>
        </w:rPr>
        <w:t>13.3各系统核心技术设计</w:t>
      </w:r>
      <w:bookmarkEnd w:id="1598"/>
      <w:bookmarkEnd w:id="1599"/>
    </w:p>
    <w:p w14:paraId="79C2C77D">
      <w:pPr>
        <w:pStyle w:val="31"/>
        <w:spacing w:line="360" w:lineRule="auto"/>
        <w:ind w:left="0" w:leftChars="0"/>
        <w:rPr>
          <w:rFonts w:hint="eastAsia" w:ascii="宋体" w:hAnsi="宋体" w:eastAsia="宋体" w:cs="宋体"/>
          <w:color w:val="auto"/>
          <w:sz w:val="21"/>
          <w:szCs w:val="21"/>
          <w:lang w:val="en-US" w:eastAsia="zh-CN"/>
        </w:rPr>
      </w:pPr>
      <w:bookmarkStart w:id="1600" w:name="heading_10"/>
      <w:r>
        <w:rPr>
          <w:rFonts w:hint="eastAsia" w:ascii="宋体" w:hAnsi="宋体" w:eastAsia="宋体" w:cs="宋体"/>
          <w:color w:val="auto"/>
          <w:sz w:val="21"/>
          <w:szCs w:val="21"/>
          <w:lang w:val="en-US" w:eastAsia="zh-CN"/>
        </w:rPr>
        <w:t>13.3.1屋顶分布式光伏系统</w:t>
      </w:r>
      <w:bookmarkEnd w:id="1600"/>
    </w:p>
    <w:p w14:paraId="4B64C54A">
      <w:pPr>
        <w:pStyle w:val="31"/>
        <w:spacing w:line="360" w:lineRule="auto"/>
        <w:ind w:left="0" w:leftChars="0" w:firstLine="420" w:firstLineChars="200"/>
        <w:rPr>
          <w:rFonts w:hint="eastAsia" w:ascii="宋体" w:hAnsi="宋体" w:eastAsia="宋体" w:cs="宋体"/>
          <w:color w:val="auto"/>
          <w:sz w:val="21"/>
          <w:szCs w:val="21"/>
          <w:lang w:val="en-US" w:eastAsia="zh-CN"/>
        </w:rPr>
      </w:pPr>
      <w:bookmarkStart w:id="1601" w:name="heading_11"/>
      <w:r>
        <w:rPr>
          <w:rFonts w:hint="eastAsia" w:ascii="宋体" w:hAnsi="宋体" w:eastAsia="宋体" w:cs="宋体"/>
          <w:color w:val="auto"/>
          <w:sz w:val="21"/>
          <w:szCs w:val="21"/>
          <w:lang w:val="en-US" w:eastAsia="zh-CN"/>
        </w:rPr>
        <w:t>组件选型</w:t>
      </w:r>
      <w:bookmarkEnd w:id="1601"/>
    </w:p>
    <w:p w14:paraId="6369C0F8">
      <w:pPr>
        <w:pStyle w:val="31"/>
        <w:spacing w:line="36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选用高效单晶硅光伏组件，具备低温升、高抗风沙、抗腐蚀及耐高温高湿特性，精准适配红河州蒙自地区夏季高温、雨季潮湿的气候环境，同时满足冷链园区屋顶及车棚的户外长期运行需求。组件采用防水等级IP68的接线盒，提升雨季运行可靠性。屋顶区域采用随屋面固定倾角安装，最大化接收太阳辐射；车棚区域采用光伏顶棚设计，组件布局避开车辆通行及装卸作业区域，单棚组件阵列间距按蒙自冬至日正午太阳高度角计算，确保无遮挡。按总容量核算，合理划分组串，适配屋顶结构分区布局。</w:t>
      </w:r>
    </w:p>
    <w:p w14:paraId="78676AAA">
      <w:pPr>
        <w:pStyle w:val="31"/>
        <w:spacing w:line="360" w:lineRule="auto"/>
        <w:ind w:left="0" w:leftChars="0" w:firstLine="420" w:firstLineChars="200"/>
        <w:rPr>
          <w:rFonts w:hint="eastAsia" w:ascii="宋体" w:hAnsi="宋体" w:eastAsia="宋体" w:cs="宋体"/>
          <w:color w:val="auto"/>
          <w:sz w:val="21"/>
          <w:szCs w:val="21"/>
          <w:lang w:val="en-US" w:eastAsia="zh-CN"/>
        </w:rPr>
      </w:pPr>
      <w:bookmarkStart w:id="1602" w:name="heading_12"/>
      <w:r>
        <w:rPr>
          <w:rFonts w:hint="eastAsia" w:ascii="宋体" w:hAnsi="宋体" w:eastAsia="宋体" w:cs="宋体"/>
          <w:color w:val="auto"/>
          <w:sz w:val="21"/>
          <w:szCs w:val="21"/>
          <w:lang w:val="en-US" w:eastAsia="zh-CN"/>
        </w:rPr>
        <w:t>系统设计</w:t>
      </w:r>
      <w:bookmarkEnd w:id="1602"/>
    </w:p>
    <w:p w14:paraId="2F1A2AB5">
      <w:pPr>
        <w:pStyle w:val="31"/>
        <w:spacing w:line="36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采用“组串式逆变器+集中并网”架构，每个逆变器对应1-2个光伏组串，减少局部阴影遮挡对整体发电效率的影响。逆变器选用高效型产品，转换效率≥98.8%，具备宽电压输入、低电压穿越及智能休眠功能，适配光伏出力波动特性。配电系统采用防水、防腐设计，电缆铺设避开冷库制冷管道，确保运行安全。</w:t>
      </w:r>
    </w:p>
    <w:p w14:paraId="0102AF5C">
      <w:pPr>
        <w:pStyle w:val="31"/>
        <w:spacing w:line="360" w:lineRule="auto"/>
        <w:ind w:left="0" w:leftChars="0" w:firstLine="420" w:firstLineChars="200"/>
        <w:rPr>
          <w:rFonts w:hint="eastAsia" w:ascii="宋体" w:hAnsi="宋体" w:eastAsia="宋体" w:cs="宋体"/>
          <w:color w:val="auto"/>
          <w:sz w:val="21"/>
          <w:szCs w:val="21"/>
          <w:lang w:val="en-US" w:eastAsia="zh-CN"/>
        </w:rPr>
      </w:pPr>
      <w:bookmarkStart w:id="1603" w:name="heading_13"/>
      <w:r>
        <w:rPr>
          <w:rFonts w:hint="eastAsia" w:ascii="宋体" w:hAnsi="宋体" w:eastAsia="宋体" w:cs="宋体"/>
          <w:color w:val="auto"/>
          <w:sz w:val="21"/>
          <w:szCs w:val="21"/>
          <w:lang w:val="en-US" w:eastAsia="zh-CN"/>
        </w:rPr>
        <w:t>发电效益估算</w:t>
      </w:r>
      <w:bookmarkEnd w:id="1603"/>
    </w:p>
    <w:p w14:paraId="63C8A1F2">
      <w:pPr>
        <w:pStyle w:val="31"/>
        <w:spacing w:line="36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结合红河州蒙自地区年均有效光照小时数1600-1800h（高于全国平均水平，开发区开阔区域光照条件更优），扣除组件衰减、阴影遮挡、设备损耗等因素，系统综合效率按85%取值，屋顶光伏系统年均发电量（具体发电量根据屋面情况测算为准），绿电供给能力较通用场景显著提升。</w:t>
      </w:r>
    </w:p>
    <w:p w14:paraId="6F258299">
      <w:pPr>
        <w:pStyle w:val="31"/>
        <w:spacing w:line="360" w:lineRule="auto"/>
        <w:ind w:left="0" w:leftChars="0"/>
        <w:rPr>
          <w:rFonts w:hint="eastAsia" w:ascii="宋体" w:hAnsi="宋体" w:eastAsia="宋体" w:cs="宋体"/>
          <w:color w:val="auto"/>
          <w:sz w:val="21"/>
          <w:szCs w:val="21"/>
          <w:lang w:val="en-US" w:eastAsia="zh-CN"/>
        </w:rPr>
      </w:pPr>
      <w:bookmarkStart w:id="1604" w:name="heading_14"/>
      <w:r>
        <w:rPr>
          <w:rFonts w:hint="eastAsia" w:ascii="宋体" w:hAnsi="宋体" w:eastAsia="宋体" w:cs="宋体"/>
          <w:color w:val="auto"/>
          <w:sz w:val="21"/>
          <w:szCs w:val="21"/>
          <w:lang w:val="en-US" w:eastAsia="zh-CN"/>
        </w:rPr>
        <w:t>13.3.2 BIPV光伏幕墙系统</w:t>
      </w:r>
      <w:bookmarkEnd w:id="1604"/>
    </w:p>
    <w:p w14:paraId="7AAEE937">
      <w:pPr>
        <w:pStyle w:val="31"/>
        <w:spacing w:line="360" w:lineRule="auto"/>
        <w:ind w:left="0" w:leftChars="0" w:firstLine="420" w:firstLineChars="200"/>
        <w:rPr>
          <w:rFonts w:hint="eastAsia" w:ascii="宋体" w:hAnsi="宋体" w:eastAsia="宋体" w:cs="宋体"/>
          <w:color w:val="auto"/>
          <w:sz w:val="21"/>
          <w:szCs w:val="21"/>
          <w:lang w:val="en-US" w:eastAsia="zh-CN"/>
        </w:rPr>
      </w:pPr>
      <w:bookmarkStart w:id="1605" w:name="heading_15"/>
      <w:r>
        <w:rPr>
          <w:rFonts w:hint="eastAsia" w:ascii="宋体" w:hAnsi="宋体" w:eastAsia="宋体" w:cs="宋体"/>
          <w:color w:val="auto"/>
          <w:sz w:val="21"/>
          <w:szCs w:val="21"/>
          <w:lang w:val="en-US" w:eastAsia="zh-CN"/>
        </w:rPr>
        <w:t>组件选型</w:t>
      </w:r>
      <w:bookmarkEnd w:id="1605"/>
    </w:p>
    <w:p w14:paraId="265D75B1">
      <w:pPr>
        <w:pStyle w:val="31"/>
        <w:spacing w:line="36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选用透光率碲化镉BIPV组件，组件尺寸适配幕墙分格设计，具备优异的保温隔热性能，可有效降低园区冷库及办公区域的空调能耗，适配蒙自昼夜温差较大的气候特点。低透光率设计适配仓库、机房等对自然采光需求较低的建筑外立面，避免强光直射影响仓储货物品质，同时组件表面采用防眩光处理，符合开发区建筑美学及光污染控制要求。组件边框采用高强度铝合金材质，耐腐蚀、抗风压性能优异（可抵御蒙自地区偶尔出现的8级阵风），拼接处采用双道密封防水工艺，搭配耐候性密封胶，保障建筑外立面防水性能，应对蒙自雨季集中的气候条件。组件背面增设绝缘防潮层，提升潮湿环境下的运行安全性与使用寿命。</w:t>
      </w:r>
    </w:p>
    <w:p w14:paraId="57B52D24">
      <w:pPr>
        <w:pStyle w:val="31"/>
        <w:spacing w:line="360" w:lineRule="auto"/>
        <w:ind w:left="0" w:leftChars="0" w:firstLine="420" w:firstLineChars="200"/>
        <w:rPr>
          <w:rFonts w:hint="eastAsia" w:ascii="宋体" w:hAnsi="宋体" w:eastAsia="宋体" w:cs="宋体"/>
          <w:color w:val="auto"/>
          <w:sz w:val="21"/>
          <w:szCs w:val="21"/>
          <w:lang w:val="en-US" w:eastAsia="zh-CN"/>
        </w:rPr>
      </w:pPr>
      <w:bookmarkStart w:id="1606" w:name="heading_16"/>
      <w:r>
        <w:rPr>
          <w:rFonts w:hint="eastAsia" w:ascii="宋体" w:hAnsi="宋体" w:eastAsia="宋体" w:cs="宋体"/>
          <w:color w:val="auto"/>
          <w:sz w:val="21"/>
          <w:szCs w:val="21"/>
          <w:lang w:val="en-US" w:eastAsia="zh-CN"/>
        </w:rPr>
        <w:t>安装设计</w:t>
      </w:r>
      <w:bookmarkEnd w:id="1606"/>
    </w:p>
    <w:p w14:paraId="2600D184">
      <w:pPr>
        <w:pStyle w:val="31"/>
        <w:spacing w:line="36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结合建筑立面结构，采用“依附式安装”方式，通过铝合金附框转接框与建筑主体连接，优先朝南立面布置，提升太阳辐射接收量。布线设计采用隐藏式工艺，线缆沿幕墙龙骨布置，避开组件接线盒位置，防止结构干涉，同时线缆选用耐候性强的阻燃电缆，适配蒙自高温高湿环境。借助Solar PV软件开展阴影遮挡分析，结合蒙自太阳方位角变化规律，优化组件布局，规避建筑自身及周边障碍物遮挡，降低发电效率损失。考虑低透光率组件的光吸收特性，在安装过程中预留合理散热间隙，避免组件因高温积热导致效率衰减。</w:t>
      </w:r>
    </w:p>
    <w:p w14:paraId="0F18BDA2">
      <w:pPr>
        <w:pStyle w:val="31"/>
        <w:spacing w:line="360" w:lineRule="auto"/>
        <w:ind w:left="0" w:leftChars="0" w:firstLine="420" w:firstLineChars="200"/>
        <w:rPr>
          <w:rFonts w:hint="eastAsia" w:ascii="宋体" w:hAnsi="宋体" w:eastAsia="宋体" w:cs="宋体"/>
          <w:color w:val="auto"/>
          <w:sz w:val="21"/>
          <w:szCs w:val="21"/>
          <w:lang w:val="en-US" w:eastAsia="zh-CN"/>
        </w:rPr>
      </w:pPr>
      <w:bookmarkStart w:id="1607" w:name="heading_17"/>
      <w:r>
        <w:rPr>
          <w:rFonts w:hint="eastAsia" w:ascii="宋体" w:hAnsi="宋体" w:eastAsia="宋体" w:cs="宋体"/>
          <w:color w:val="auto"/>
          <w:sz w:val="21"/>
          <w:szCs w:val="21"/>
          <w:lang w:val="en-US" w:eastAsia="zh-CN"/>
        </w:rPr>
        <w:t>发电效益估算</w:t>
      </w:r>
      <w:bookmarkEnd w:id="1607"/>
    </w:p>
    <w:p w14:paraId="74865B5B">
      <w:pPr>
        <w:pStyle w:val="31"/>
        <w:spacing w:line="36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结合蒙自地区光照条件、幕墙倾角、透光率组件特性及阴影遮挡因素，系统综合效率系数按82%取值，BIPV系统年均发电量（具体发电量以设计为准），有效果减少年二氧化碳排放。同时，低透光率组件的优异保温性能可降低建筑空调及冷库负荷，较普通幕墙每年额外节约能耗成本，兼顾能源产出与建筑节能双重效益。</w:t>
      </w:r>
    </w:p>
    <w:p w14:paraId="13EDD5EC">
      <w:pPr>
        <w:pStyle w:val="31"/>
        <w:spacing w:line="360" w:lineRule="auto"/>
        <w:ind w:left="0" w:leftChars="0"/>
        <w:rPr>
          <w:rFonts w:hint="eastAsia" w:ascii="宋体" w:hAnsi="宋体" w:eastAsia="宋体" w:cs="宋体"/>
          <w:color w:val="auto"/>
          <w:sz w:val="21"/>
          <w:szCs w:val="21"/>
          <w:lang w:val="en-US" w:eastAsia="zh-CN"/>
        </w:rPr>
      </w:pPr>
      <w:bookmarkStart w:id="1608" w:name="heading_18"/>
      <w:r>
        <w:rPr>
          <w:rFonts w:hint="eastAsia" w:ascii="宋体" w:hAnsi="宋体" w:eastAsia="宋体" w:cs="宋体"/>
          <w:color w:val="auto"/>
          <w:sz w:val="21"/>
          <w:szCs w:val="21"/>
          <w:lang w:val="en-US" w:eastAsia="zh-CN"/>
        </w:rPr>
        <w:t>13.3.3微风发电系统</w:t>
      </w:r>
      <w:bookmarkEnd w:id="1608"/>
    </w:p>
    <w:p w14:paraId="3EA637D7">
      <w:pPr>
        <w:pStyle w:val="31"/>
        <w:spacing w:line="360" w:lineRule="auto"/>
        <w:ind w:left="0" w:leftChars="0" w:firstLine="420" w:firstLineChars="200"/>
        <w:rPr>
          <w:rFonts w:hint="eastAsia" w:ascii="宋体" w:hAnsi="宋体" w:eastAsia="宋体" w:cs="宋体"/>
          <w:color w:val="auto"/>
          <w:sz w:val="21"/>
          <w:szCs w:val="21"/>
          <w:lang w:val="en-US" w:eastAsia="zh-CN"/>
        </w:rPr>
      </w:pPr>
      <w:bookmarkStart w:id="1609" w:name="heading_19"/>
      <w:r>
        <w:rPr>
          <w:rFonts w:hint="eastAsia" w:ascii="宋体" w:hAnsi="宋体" w:eastAsia="宋体" w:cs="宋体"/>
          <w:color w:val="auto"/>
          <w:sz w:val="21"/>
          <w:szCs w:val="21"/>
          <w:lang w:val="en-US" w:eastAsia="zh-CN"/>
        </w:rPr>
        <w:t>设备选型</w:t>
      </w:r>
      <w:bookmarkEnd w:id="1609"/>
    </w:p>
    <w:p w14:paraId="01A42956">
      <w:pPr>
        <w:pStyle w:val="31"/>
        <w:spacing w:line="36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选用低风速启动型微风发电机组，启动风速≤3m/s，额定风速8-10m/s，适配园区开阔区域的低风速环境。采用永磁同步发电机技术，具备效率高、噪音低、运维简便等特性，运行噪音≤60dB，避免影响园区周边环境及人员作业。</w:t>
      </w:r>
    </w:p>
    <w:p w14:paraId="43C5300C">
      <w:pPr>
        <w:pStyle w:val="31"/>
        <w:spacing w:line="360" w:lineRule="auto"/>
        <w:ind w:left="0" w:leftChars="0" w:firstLine="420" w:firstLineChars="200"/>
        <w:rPr>
          <w:rFonts w:hint="eastAsia" w:ascii="宋体" w:hAnsi="宋体" w:eastAsia="宋体" w:cs="宋体"/>
          <w:color w:val="auto"/>
          <w:sz w:val="21"/>
          <w:szCs w:val="21"/>
          <w:lang w:val="en-US" w:eastAsia="zh-CN"/>
        </w:rPr>
      </w:pPr>
      <w:bookmarkStart w:id="1610" w:name="heading_20"/>
      <w:r>
        <w:rPr>
          <w:rFonts w:hint="eastAsia" w:ascii="宋体" w:hAnsi="宋体" w:eastAsia="宋体" w:cs="宋体"/>
          <w:color w:val="auto"/>
          <w:sz w:val="21"/>
          <w:szCs w:val="21"/>
          <w:lang w:val="en-US" w:eastAsia="zh-CN"/>
        </w:rPr>
        <w:t>布局设计</w:t>
      </w:r>
      <w:bookmarkEnd w:id="1610"/>
    </w:p>
    <w:p w14:paraId="6D4B3DDA">
      <w:pPr>
        <w:pStyle w:val="31"/>
        <w:spacing w:line="36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机组部署于园区边缘开阔地带、停车场周边等非核心作业区域，间距≥机组叶片直径的3倍，避免机组间尾流干扰。基础设计采用钢筋混凝土独立基础，适配园区地质条件，同时做好防雷接地处理，抵御极端天气影响。</w:t>
      </w:r>
    </w:p>
    <w:p w14:paraId="786B808C">
      <w:pPr>
        <w:pStyle w:val="31"/>
        <w:spacing w:line="360" w:lineRule="auto"/>
        <w:ind w:left="0" w:leftChars="0" w:firstLine="420" w:firstLineChars="200"/>
        <w:rPr>
          <w:rFonts w:hint="eastAsia" w:ascii="宋体" w:hAnsi="宋体" w:eastAsia="宋体" w:cs="宋体"/>
          <w:color w:val="auto"/>
          <w:sz w:val="21"/>
          <w:szCs w:val="21"/>
          <w:lang w:val="en-US" w:eastAsia="zh-CN"/>
        </w:rPr>
      </w:pPr>
      <w:bookmarkStart w:id="1611" w:name="heading_21"/>
      <w:r>
        <w:rPr>
          <w:rFonts w:hint="eastAsia" w:ascii="宋体" w:hAnsi="宋体" w:eastAsia="宋体" w:cs="宋体"/>
          <w:color w:val="auto"/>
          <w:sz w:val="21"/>
          <w:szCs w:val="21"/>
          <w:lang w:val="en-US" w:eastAsia="zh-CN"/>
        </w:rPr>
        <w:t>发电效益估算</w:t>
      </w:r>
      <w:bookmarkEnd w:id="1611"/>
    </w:p>
    <w:p w14:paraId="1423E801">
      <w:pPr>
        <w:pStyle w:val="31"/>
        <w:spacing w:line="36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基于红河州蒙自国家级经济开发区年均风速3.2-4.5m/s的低风速环境，微风发电系统选用低风速启动型机组，可有效补充光伏系统夜间及蒙自雨季（6-8月）的出力缺口，有效减少年二氧化碳排放约。机组部署充分结合开发区规划要求，避开产业园区核心作业区域及消防通道，兼顾发电效益与园区整体布局合理性。</w:t>
      </w:r>
    </w:p>
    <w:p w14:paraId="6E3C64A2">
      <w:pPr>
        <w:pStyle w:val="31"/>
        <w:spacing w:line="360" w:lineRule="auto"/>
        <w:ind w:left="0" w:leftChars="0"/>
        <w:rPr>
          <w:rFonts w:hint="eastAsia" w:ascii="宋体" w:hAnsi="宋体" w:eastAsia="宋体" w:cs="宋体"/>
          <w:color w:val="auto"/>
          <w:sz w:val="21"/>
          <w:szCs w:val="21"/>
          <w:lang w:val="en-US" w:eastAsia="zh-CN"/>
        </w:rPr>
      </w:pPr>
      <w:bookmarkStart w:id="1612" w:name="heading_22"/>
      <w:r>
        <w:rPr>
          <w:rFonts w:hint="eastAsia" w:ascii="宋体" w:hAnsi="宋体" w:eastAsia="宋体" w:cs="宋体"/>
          <w:color w:val="auto"/>
          <w:sz w:val="21"/>
          <w:szCs w:val="21"/>
          <w:lang w:val="en-US" w:eastAsia="zh-CN"/>
        </w:rPr>
        <w:t>13.3.4全钒储能系统</w:t>
      </w:r>
      <w:bookmarkEnd w:id="1612"/>
    </w:p>
    <w:p w14:paraId="141CCE3C">
      <w:pPr>
        <w:pStyle w:val="31"/>
        <w:spacing w:line="360" w:lineRule="auto"/>
        <w:ind w:left="0" w:leftChars="0" w:firstLine="420" w:firstLineChars="200"/>
        <w:rPr>
          <w:rFonts w:hint="eastAsia" w:ascii="宋体" w:hAnsi="宋体" w:eastAsia="宋体" w:cs="宋体"/>
          <w:color w:val="auto"/>
          <w:sz w:val="21"/>
          <w:szCs w:val="21"/>
          <w:lang w:val="en-US" w:eastAsia="zh-CN"/>
        </w:rPr>
      </w:pPr>
      <w:bookmarkStart w:id="1613" w:name="heading_23"/>
      <w:r>
        <w:rPr>
          <w:rFonts w:hint="eastAsia" w:ascii="宋体" w:hAnsi="宋体" w:eastAsia="宋体" w:cs="宋体"/>
          <w:color w:val="auto"/>
          <w:sz w:val="21"/>
          <w:szCs w:val="21"/>
          <w:lang w:val="en-US" w:eastAsia="zh-CN"/>
        </w:rPr>
        <w:t>技术选型</w:t>
      </w:r>
      <w:bookmarkEnd w:id="1613"/>
    </w:p>
    <w:p w14:paraId="4F6D4E9A">
      <w:pPr>
        <w:pStyle w:val="31"/>
        <w:spacing w:line="36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选用全钒液流储能技术，具备充放电循环次数多（≥16000次）、使用寿命长（≥20年）、安全性高（无爆炸风险）、适配性强等优势，精准匹配冷链园区长期稳定运行需求。系统由电堆、电解液储罐、管路系统、PCS变流器等组成，电解液采用钒离子溶液，可循环使用，环保无污染。</w:t>
      </w:r>
    </w:p>
    <w:p w14:paraId="2568BB61">
      <w:pPr>
        <w:pStyle w:val="31"/>
        <w:spacing w:line="360" w:lineRule="auto"/>
        <w:ind w:left="0" w:leftChars="0" w:firstLine="420" w:firstLineChars="200"/>
        <w:rPr>
          <w:rFonts w:hint="eastAsia" w:ascii="宋体" w:hAnsi="宋体" w:eastAsia="宋体" w:cs="宋体"/>
          <w:color w:val="auto"/>
          <w:sz w:val="21"/>
          <w:szCs w:val="21"/>
          <w:lang w:val="en-US" w:eastAsia="zh-CN"/>
        </w:rPr>
      </w:pPr>
      <w:bookmarkStart w:id="1614" w:name="heading_24"/>
      <w:r>
        <w:rPr>
          <w:rFonts w:hint="eastAsia" w:ascii="宋体" w:hAnsi="宋体" w:eastAsia="宋体" w:cs="宋体"/>
          <w:color w:val="auto"/>
          <w:sz w:val="21"/>
          <w:szCs w:val="21"/>
          <w:lang w:val="en-US" w:eastAsia="zh-CN"/>
        </w:rPr>
        <w:t>系统功能</w:t>
      </w:r>
      <w:bookmarkEnd w:id="1614"/>
    </w:p>
    <w:p w14:paraId="29955AEF">
      <w:pPr>
        <w:pStyle w:val="31"/>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调峰填谷：利用峰谷电价差，低谷时段（电价低谷）储存光伏、风电多余绿电，高峰时段（电价高峰）释放电能供给园区负荷，降低用电成本；</w:t>
      </w:r>
    </w:p>
    <w:p w14:paraId="0F33855E">
      <w:pPr>
        <w:pStyle w:val="31"/>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平滑出力：平抑光伏、风电的间歇性、波动性出力，确保输出功率稳定，满足冷链设备对供电质量的要求；</w:t>
      </w:r>
    </w:p>
    <w:p w14:paraId="0BF388C9">
      <w:pPr>
        <w:pStyle w:val="31"/>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应急备用：具备黑启动能力，当电网故障或极端天气导致断电时，快速切换为应急电源，保障制冷机组等核心负荷不间断运行，备用供电时间≥1小时；</w:t>
      </w:r>
    </w:p>
    <w:p w14:paraId="6B3F02AA">
      <w:pPr>
        <w:pStyle w:val="31"/>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电网互动：对接园区智慧能源管理平台，可参与电网调峰调频、虚拟电厂运营，提升项目综合收益。</w:t>
      </w:r>
    </w:p>
    <w:p w14:paraId="595CD1C6">
      <w:pPr>
        <w:pStyle w:val="31"/>
        <w:spacing w:line="360" w:lineRule="auto"/>
        <w:ind w:left="0" w:leftChars="0" w:firstLine="420" w:firstLineChars="200"/>
        <w:rPr>
          <w:rFonts w:hint="eastAsia" w:ascii="宋体" w:hAnsi="宋体" w:eastAsia="宋体" w:cs="宋体"/>
          <w:color w:val="auto"/>
          <w:sz w:val="21"/>
          <w:szCs w:val="21"/>
          <w:lang w:val="en-US" w:eastAsia="zh-CN"/>
        </w:rPr>
      </w:pPr>
      <w:bookmarkStart w:id="1615" w:name="heading_25"/>
      <w:r>
        <w:rPr>
          <w:rFonts w:hint="eastAsia" w:ascii="宋体" w:hAnsi="宋体" w:eastAsia="宋体" w:cs="宋体"/>
          <w:color w:val="auto"/>
          <w:sz w:val="21"/>
          <w:szCs w:val="21"/>
          <w:lang w:val="en-US" w:eastAsia="zh-CN"/>
        </w:rPr>
        <w:t>充放电策略</w:t>
      </w:r>
      <w:bookmarkEnd w:id="1615"/>
    </w:p>
    <w:p w14:paraId="34909328">
      <w:pPr>
        <w:pStyle w:val="31"/>
        <w:spacing w:line="36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采用AI智能充放电策略，结合园区用电负荷曲线、光伏风电出力预测、峰谷电价时段，通过智慧平台自动调整充放电模式。日间光伏出力高峰时，优先充电储存多余电能；夜间及负荷高峰时，逐步放电供给负荷；同时预留20%储能容量作为应急备用，确保核心负荷供电安全。参考需求侧储能示范工程经验，融合峰谷电价套利、最大需量电费管理双重模式，最大化降低园区用电成本。</w:t>
      </w:r>
    </w:p>
    <w:p w14:paraId="5852A6F3">
      <w:pPr>
        <w:pStyle w:val="31"/>
        <w:spacing w:line="360" w:lineRule="auto"/>
        <w:ind w:left="0" w:leftChars="0"/>
        <w:rPr>
          <w:rFonts w:hint="eastAsia" w:ascii="宋体" w:hAnsi="宋体" w:eastAsia="宋体" w:cs="宋体"/>
          <w:color w:val="auto"/>
          <w:sz w:val="21"/>
          <w:szCs w:val="21"/>
          <w:lang w:val="en-US" w:eastAsia="zh-CN"/>
        </w:rPr>
      </w:pPr>
      <w:bookmarkStart w:id="1616" w:name="heading_26"/>
      <w:r>
        <w:rPr>
          <w:rFonts w:hint="eastAsia" w:ascii="宋体" w:hAnsi="宋体" w:eastAsia="宋体" w:cs="宋体"/>
          <w:color w:val="auto"/>
          <w:sz w:val="21"/>
          <w:szCs w:val="21"/>
          <w:lang w:val="en-US" w:eastAsia="zh-CN"/>
        </w:rPr>
        <w:t>13.3.5充电桩系统</w:t>
      </w:r>
      <w:bookmarkEnd w:id="1616"/>
    </w:p>
    <w:p w14:paraId="3D2C2812">
      <w:pPr>
        <w:pStyle w:val="31"/>
        <w:spacing w:line="360" w:lineRule="auto"/>
        <w:ind w:left="0" w:leftChars="0" w:firstLine="420" w:firstLineChars="200"/>
        <w:rPr>
          <w:rFonts w:hint="eastAsia" w:ascii="宋体" w:hAnsi="宋体" w:eastAsia="宋体" w:cs="宋体"/>
          <w:color w:val="auto"/>
          <w:sz w:val="21"/>
          <w:szCs w:val="21"/>
          <w:lang w:val="en-US" w:eastAsia="zh-CN"/>
        </w:rPr>
      </w:pPr>
      <w:bookmarkStart w:id="1617" w:name="heading_27"/>
      <w:r>
        <w:rPr>
          <w:rFonts w:hint="eastAsia" w:ascii="宋体" w:hAnsi="宋体" w:eastAsia="宋体" w:cs="宋体"/>
          <w:color w:val="auto"/>
          <w:sz w:val="21"/>
          <w:szCs w:val="21"/>
          <w:lang w:val="en-US" w:eastAsia="zh-CN"/>
        </w:rPr>
        <w:t>设备配置</w:t>
      </w:r>
      <w:bookmarkEnd w:id="1617"/>
    </w:p>
    <w:p w14:paraId="14080877">
      <w:pPr>
        <w:pStyle w:val="31"/>
        <w:spacing w:line="36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配套建设快慢充结合的充电桩网络，包括10台120kW直流快充桩（满足物流车辆快速补能需求）、30台7kW交流慢充桩（满足公务车辆、员工车辆日常充电需求），总充电功率≥1.41MW。充电桩选用具备V2G（车辆到电网）功能的机型，可实现电能双向流动，在电网高峰时反向供电，进一步提升能源灵活性。</w:t>
      </w:r>
    </w:p>
    <w:p w14:paraId="0833D02F">
      <w:pPr>
        <w:pStyle w:val="31"/>
        <w:spacing w:line="360" w:lineRule="auto"/>
        <w:ind w:left="0" w:leftChars="0" w:firstLine="420" w:firstLineChars="200"/>
        <w:rPr>
          <w:rFonts w:hint="eastAsia" w:ascii="宋体" w:hAnsi="宋体" w:eastAsia="宋体" w:cs="宋体"/>
          <w:color w:val="auto"/>
          <w:sz w:val="21"/>
          <w:szCs w:val="21"/>
          <w:lang w:val="en-US" w:eastAsia="zh-CN"/>
        </w:rPr>
      </w:pPr>
      <w:bookmarkStart w:id="1618" w:name="heading_28"/>
      <w:r>
        <w:rPr>
          <w:rFonts w:hint="eastAsia" w:ascii="宋体" w:hAnsi="宋体" w:eastAsia="宋体" w:cs="宋体"/>
          <w:color w:val="auto"/>
          <w:sz w:val="21"/>
          <w:szCs w:val="21"/>
          <w:lang w:val="en-US" w:eastAsia="zh-CN"/>
        </w:rPr>
        <w:t>供电设计</w:t>
      </w:r>
      <w:bookmarkEnd w:id="1618"/>
    </w:p>
    <w:p w14:paraId="714E3035">
      <w:pPr>
        <w:pStyle w:val="31"/>
        <w:spacing w:line="36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充电桩优先采用光伏、储能绿电供电，通过智慧平台动态调配电能，充电高峰时段可由储能系统直接供电，避免占用电网负荷。布线采用穿管暗敷方式，沿园区道路、停车场边缘布置，配套建设防雨、防雷设施，适配户外充电环境。</w:t>
      </w:r>
    </w:p>
    <w:p w14:paraId="5015D90E">
      <w:pPr>
        <w:spacing w:line="360" w:lineRule="auto"/>
        <w:outlineLvl w:val="2"/>
        <w:rPr>
          <w:rFonts w:hint="eastAsia" w:ascii="宋体" w:hAnsi="宋体" w:eastAsia="宋体" w:cs="宋体"/>
          <w:b/>
          <w:bCs/>
          <w:color w:val="auto"/>
          <w:sz w:val="21"/>
          <w:szCs w:val="21"/>
          <w:lang w:val="en-US" w:eastAsia="zh-CN"/>
        </w:rPr>
      </w:pPr>
      <w:bookmarkStart w:id="1619" w:name="heading_29"/>
      <w:bookmarkStart w:id="1620" w:name="_Toc6138"/>
      <w:r>
        <w:rPr>
          <w:rFonts w:hint="eastAsia" w:ascii="宋体" w:hAnsi="宋体" w:eastAsia="宋体" w:cs="宋体"/>
          <w:b/>
          <w:bCs/>
          <w:color w:val="auto"/>
          <w:sz w:val="21"/>
          <w:szCs w:val="21"/>
          <w:lang w:val="en-US" w:eastAsia="zh-CN"/>
        </w:rPr>
        <w:t>13.4 智慧能源管理系统设计</w:t>
      </w:r>
      <w:bookmarkEnd w:id="1619"/>
      <w:bookmarkEnd w:id="1620"/>
    </w:p>
    <w:p w14:paraId="594796DE">
      <w:pPr>
        <w:pStyle w:val="31"/>
        <w:spacing w:line="360" w:lineRule="auto"/>
        <w:ind w:left="0" w:leftChars="0"/>
        <w:rPr>
          <w:rFonts w:hint="eastAsia" w:ascii="宋体" w:hAnsi="宋体" w:eastAsia="宋体" w:cs="宋体"/>
          <w:color w:val="auto"/>
          <w:sz w:val="21"/>
          <w:szCs w:val="21"/>
          <w:lang w:val="en-US" w:eastAsia="zh-CN"/>
        </w:rPr>
      </w:pPr>
      <w:bookmarkStart w:id="1621" w:name="heading_30"/>
      <w:r>
        <w:rPr>
          <w:rFonts w:hint="eastAsia" w:ascii="宋体" w:hAnsi="宋体" w:eastAsia="宋体" w:cs="宋体"/>
          <w:color w:val="auto"/>
          <w:sz w:val="21"/>
          <w:szCs w:val="21"/>
          <w:lang w:val="en-US" w:eastAsia="zh-CN"/>
        </w:rPr>
        <w:t>13.4.1核心功能</w:t>
      </w:r>
      <w:bookmarkEnd w:id="1621"/>
    </w:p>
    <w:p w14:paraId="216F6205">
      <w:pPr>
        <w:pStyle w:val="31"/>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搭建一体化智慧能源管理平台，实现“监测-分析-调度-运维”全流程数字化管控，核心功能包括：</w:t>
      </w:r>
    </w:p>
    <w:p w14:paraId="16A63933">
      <w:pPr>
        <w:pStyle w:val="31"/>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实时监测：对光伏、BIPV、微风发电、储能、充电桩及园区负荷的运行状态、能耗数据、发电数据进行24小时实时采集与可视化展示，异常数据自动报警；</w:t>
      </w:r>
    </w:p>
    <w:p w14:paraId="1D0113A4">
      <w:pPr>
        <w:pStyle w:val="31"/>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智能调度：基于AI算法与大数据分析，预测光伏、风电出力及园区负荷变化，自动优化储能充放电策略、电源出力分配及充电桩供电优先级，实现能源供需动态平衡；</w:t>
      </w:r>
    </w:p>
    <w:p w14:paraId="46A90855">
      <w:pPr>
        <w:pStyle w:val="31"/>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运维管理：建立设备全生命周期管理档案，自动生成巡检计划、维护提醒，支持远程运维调试，降低运维成本；</w:t>
      </w:r>
    </w:p>
    <w:p w14:paraId="73EE160B">
      <w:pPr>
        <w:pStyle w:val="31"/>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数据统计：自动统计绿电发电量、碳减排量、用电成本节约金额等核心指标，生成日报、月报、年报，为项目运营决策提供数据支撑；</w:t>
      </w:r>
    </w:p>
    <w:p w14:paraId="5773FB8E">
      <w:pPr>
        <w:pStyle w:val="31"/>
        <w:spacing w:line="360" w:lineRule="auto"/>
        <w:ind w:left="0" w:leftChars="0"/>
        <w:rPr>
          <w:rFonts w:hint="eastAsia" w:ascii="宋体" w:hAnsi="宋体" w:eastAsia="宋体" w:cs="宋体"/>
          <w:color w:val="auto"/>
          <w:sz w:val="21"/>
          <w:szCs w:val="21"/>
          <w:lang w:val="en-US" w:eastAsia="zh-CN"/>
        </w:rPr>
      </w:pPr>
      <w:bookmarkStart w:id="1622" w:name="heading_31"/>
      <w:r>
        <w:rPr>
          <w:rFonts w:hint="eastAsia" w:ascii="宋体" w:hAnsi="宋体" w:eastAsia="宋体" w:cs="宋体"/>
          <w:color w:val="auto"/>
          <w:sz w:val="21"/>
          <w:szCs w:val="21"/>
          <w:lang w:val="en-US" w:eastAsia="zh-CN"/>
        </w:rPr>
        <w:t>13.4.2技术支撑</w:t>
      </w:r>
      <w:bookmarkEnd w:id="1622"/>
    </w:p>
    <w:p w14:paraId="2712BF17">
      <w:pPr>
        <w:pStyle w:val="31"/>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平台采用云边端协同架构，边缘端负责设备实时数据采集与本地快速调度，云端负责大数据分析、AI建模与全局优化。集成物联网（IoT）、5G通信、边缘计算等技术，确保数据传输实时性、稳定性，同时具备较高的扩展性，可适配未来园区能源设备扩容需求。</w:t>
      </w:r>
    </w:p>
    <w:p w14:paraId="08FD4663">
      <w:pPr>
        <w:spacing w:line="360" w:lineRule="auto"/>
        <w:outlineLvl w:val="2"/>
        <w:rPr>
          <w:rFonts w:hint="eastAsia" w:ascii="宋体" w:hAnsi="宋体" w:eastAsia="宋体" w:cs="宋体"/>
          <w:b/>
          <w:bCs/>
          <w:color w:val="auto"/>
          <w:sz w:val="21"/>
          <w:szCs w:val="21"/>
          <w:lang w:val="en-US" w:eastAsia="zh-CN"/>
        </w:rPr>
      </w:pPr>
      <w:bookmarkStart w:id="1623" w:name="heading_32"/>
      <w:bookmarkStart w:id="1624" w:name="_Toc19953"/>
      <w:r>
        <w:rPr>
          <w:rFonts w:hint="eastAsia" w:ascii="宋体" w:hAnsi="宋体" w:eastAsia="宋体" w:cs="宋体"/>
          <w:b/>
          <w:bCs/>
          <w:color w:val="auto"/>
          <w:sz w:val="21"/>
          <w:szCs w:val="21"/>
          <w:lang w:val="en-US" w:eastAsia="zh-CN"/>
        </w:rPr>
        <w:t>13.5 安全与可靠性设计</w:t>
      </w:r>
      <w:bookmarkEnd w:id="1623"/>
      <w:bookmarkEnd w:id="1624"/>
    </w:p>
    <w:p w14:paraId="6ED135A9">
      <w:pPr>
        <w:pStyle w:val="31"/>
        <w:spacing w:line="360" w:lineRule="auto"/>
        <w:ind w:left="0" w:leftChars="0"/>
        <w:rPr>
          <w:rFonts w:hint="eastAsia" w:ascii="宋体" w:hAnsi="宋体" w:eastAsia="宋体" w:cs="宋体"/>
          <w:color w:val="auto"/>
          <w:sz w:val="21"/>
          <w:szCs w:val="21"/>
          <w:lang w:val="en-US" w:eastAsia="zh-CN"/>
        </w:rPr>
      </w:pPr>
      <w:bookmarkStart w:id="1625" w:name="heading_33"/>
      <w:r>
        <w:rPr>
          <w:rFonts w:hint="eastAsia" w:ascii="宋体" w:hAnsi="宋体" w:eastAsia="宋体" w:cs="宋体"/>
          <w:color w:val="auto"/>
          <w:sz w:val="21"/>
          <w:szCs w:val="21"/>
          <w:lang w:val="en-US" w:eastAsia="zh-CN"/>
        </w:rPr>
        <w:t>13.5.1供电可靠性保障</w:t>
      </w:r>
      <w:bookmarkEnd w:id="1625"/>
    </w:p>
    <w:p w14:paraId="01C54E87">
      <w:pPr>
        <w:pStyle w:val="31"/>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采用“绿电+储能+电网备用”三重供电模式，储能系统预留应急备用容量，电网作为最终备用电源，确保制冷机组等核心负荷供电中断时间≤10ms；</w:t>
      </w:r>
    </w:p>
    <w:p w14:paraId="4ECE90D7">
      <w:pPr>
        <w:pStyle w:val="31"/>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光伏、BIPV、微风发电系统均配备防孤岛保护装置，避免电网故障时反送电，保障电网及设备安全；</w:t>
      </w:r>
    </w:p>
    <w:p w14:paraId="20E9BBED">
      <w:pPr>
        <w:pStyle w:val="31"/>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储能系统采用多重安全防护设计，包括过充过放保护、过温保护、漏电保护、电解液泄漏检测等，确保运行安全。</w:t>
      </w:r>
    </w:p>
    <w:p w14:paraId="2B8F3A7B">
      <w:pPr>
        <w:pStyle w:val="31"/>
        <w:spacing w:line="360" w:lineRule="auto"/>
        <w:ind w:left="0" w:leftChars="0"/>
        <w:rPr>
          <w:rFonts w:hint="eastAsia" w:ascii="宋体" w:hAnsi="宋体" w:eastAsia="宋体" w:cs="宋体"/>
          <w:color w:val="auto"/>
          <w:sz w:val="21"/>
          <w:szCs w:val="21"/>
          <w:lang w:val="en-US" w:eastAsia="zh-CN"/>
        </w:rPr>
      </w:pPr>
      <w:bookmarkStart w:id="1626" w:name="heading_34"/>
      <w:r>
        <w:rPr>
          <w:rFonts w:hint="eastAsia" w:ascii="宋体" w:hAnsi="宋体" w:eastAsia="宋体" w:cs="宋体"/>
          <w:color w:val="auto"/>
          <w:sz w:val="21"/>
          <w:szCs w:val="21"/>
          <w:lang w:val="en-US" w:eastAsia="zh-CN"/>
        </w:rPr>
        <w:t>13.5.2消防安全设计</w:t>
      </w:r>
      <w:bookmarkEnd w:id="1626"/>
    </w:p>
    <w:p w14:paraId="5EAB7BDD">
      <w:pPr>
        <w:pStyle w:val="31"/>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光伏、BIPV组件选用阻燃型产品，电缆采用耐火、阻燃电缆，敷设过程中预留防火间距，配备防火封堵材料；</w:t>
      </w:r>
    </w:p>
    <w:p w14:paraId="0C0D4455">
      <w:pPr>
        <w:pStyle w:val="31"/>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储能区域设置独立防火分区，配备泡沫灭火系统、通风系统及应急照明设备，制定电解液泄漏应急处置预案；</w:t>
      </w:r>
    </w:p>
    <w:p w14:paraId="7F29E2D9">
      <w:pPr>
        <w:pStyle w:val="31"/>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充电桩区域配备干粉灭火器，设置防火警示标识，严禁违规充电及堆放易燃易爆物品。</w:t>
      </w:r>
    </w:p>
    <w:p w14:paraId="74CD9CF5">
      <w:pPr>
        <w:spacing w:line="360" w:lineRule="auto"/>
        <w:outlineLvl w:val="2"/>
        <w:rPr>
          <w:rFonts w:hint="eastAsia" w:ascii="宋体" w:hAnsi="宋体" w:eastAsia="宋体" w:cs="宋体"/>
          <w:b/>
          <w:bCs/>
          <w:color w:val="auto"/>
          <w:sz w:val="21"/>
          <w:szCs w:val="21"/>
          <w:lang w:val="en-US" w:eastAsia="zh-CN"/>
        </w:rPr>
      </w:pPr>
      <w:bookmarkStart w:id="1627" w:name="_Toc27479"/>
      <w:bookmarkStart w:id="1628" w:name="heading_35"/>
      <w:r>
        <w:rPr>
          <w:rFonts w:hint="eastAsia" w:ascii="宋体" w:hAnsi="宋体" w:eastAsia="宋体" w:cs="宋体"/>
          <w:b/>
          <w:bCs/>
          <w:color w:val="auto"/>
          <w:sz w:val="21"/>
          <w:szCs w:val="21"/>
          <w:lang w:val="en-US" w:eastAsia="zh-CN"/>
        </w:rPr>
        <w:t>13.6效益分析</w:t>
      </w:r>
      <w:bookmarkEnd w:id="1627"/>
      <w:bookmarkEnd w:id="1628"/>
    </w:p>
    <w:p w14:paraId="2CCEB2B9">
      <w:pPr>
        <w:pStyle w:val="31"/>
        <w:spacing w:line="360" w:lineRule="auto"/>
        <w:ind w:left="0" w:leftChars="0"/>
        <w:rPr>
          <w:rFonts w:hint="eastAsia" w:ascii="宋体" w:hAnsi="宋体" w:eastAsia="宋体" w:cs="宋体"/>
          <w:color w:val="auto"/>
          <w:sz w:val="21"/>
          <w:szCs w:val="21"/>
          <w:lang w:val="en-US" w:eastAsia="zh-CN"/>
        </w:rPr>
      </w:pPr>
      <w:bookmarkStart w:id="1629" w:name="heading_36"/>
      <w:r>
        <w:rPr>
          <w:rFonts w:hint="eastAsia" w:ascii="宋体" w:hAnsi="宋体" w:eastAsia="宋体" w:cs="宋体"/>
          <w:color w:val="auto"/>
          <w:sz w:val="21"/>
          <w:szCs w:val="21"/>
          <w:lang w:val="en-US" w:eastAsia="zh-CN"/>
        </w:rPr>
        <w:t>13.6.1环境效益</w:t>
      </w:r>
      <w:bookmarkEnd w:id="1629"/>
    </w:p>
    <w:p w14:paraId="1DEEDF24">
      <w:pPr>
        <w:pStyle w:val="31"/>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结合蒙自地区光照、风速资源优势，有效减少年二氧化碳排放，同时减少二氧化硫、氮氧化物等污染物排放，契合红河州蒙自国家级经济开发区绿色低碳发展规划，生态效益显著。</w:t>
      </w:r>
    </w:p>
    <w:p w14:paraId="5A3842E3">
      <w:pPr>
        <w:pStyle w:val="31"/>
        <w:spacing w:line="360" w:lineRule="auto"/>
        <w:ind w:left="0" w:leftChars="0"/>
        <w:rPr>
          <w:rFonts w:hint="eastAsia" w:ascii="宋体" w:hAnsi="宋体" w:eastAsia="宋体" w:cs="宋体"/>
          <w:color w:val="auto"/>
          <w:sz w:val="21"/>
          <w:szCs w:val="21"/>
          <w:lang w:val="en-US" w:eastAsia="zh-CN"/>
        </w:rPr>
      </w:pPr>
      <w:bookmarkStart w:id="1630" w:name="heading_37"/>
      <w:r>
        <w:rPr>
          <w:rFonts w:hint="eastAsia" w:ascii="宋体" w:hAnsi="宋体" w:eastAsia="宋体" w:cs="宋体"/>
          <w:color w:val="auto"/>
          <w:sz w:val="21"/>
          <w:szCs w:val="21"/>
          <w:lang w:val="en-US" w:eastAsia="zh-CN"/>
        </w:rPr>
        <w:t>13.6.2经济效益</w:t>
      </w:r>
      <w:bookmarkEnd w:id="1630"/>
    </w:p>
    <w:p w14:paraId="0064BED0">
      <w:pPr>
        <w:pStyle w:val="31"/>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绿电自用收益：依托蒙自充足绿电资源，减少园区外购电费支出，较通用场景收益提升8%-10%；</w:t>
      </w:r>
    </w:p>
    <w:p w14:paraId="34BBFAB8">
      <w:pPr>
        <w:pStyle w:val="31"/>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政策补贴收益：可享受分布式光伏、储能、零碳园区等相关政策补贴，进一步提升项目收益；</w:t>
      </w:r>
    </w:p>
    <w:p w14:paraId="28790CDE">
      <w:pPr>
        <w:pStyle w:val="31"/>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运维成本节约：通过智慧运维平台实现远程管控，降低人工运维成本。</w:t>
      </w:r>
    </w:p>
    <w:p w14:paraId="322F36A4">
      <w:pPr>
        <w:pStyle w:val="31"/>
        <w:spacing w:line="360" w:lineRule="auto"/>
        <w:ind w:left="0" w:leftChars="0"/>
        <w:rPr>
          <w:rFonts w:hint="eastAsia" w:ascii="宋体" w:hAnsi="宋体" w:eastAsia="宋体" w:cs="宋体"/>
          <w:color w:val="auto"/>
          <w:sz w:val="21"/>
          <w:szCs w:val="21"/>
          <w:lang w:val="en-US" w:eastAsia="zh-CN"/>
        </w:rPr>
      </w:pPr>
      <w:bookmarkStart w:id="1631" w:name="heading_38"/>
      <w:r>
        <w:rPr>
          <w:rFonts w:hint="eastAsia" w:ascii="宋体" w:hAnsi="宋体" w:eastAsia="宋体" w:cs="宋体"/>
          <w:color w:val="auto"/>
          <w:sz w:val="21"/>
          <w:szCs w:val="21"/>
          <w:lang w:val="en-US" w:eastAsia="zh-CN"/>
        </w:rPr>
        <w:t>13.6.3社会效益</w:t>
      </w:r>
      <w:bookmarkEnd w:id="1631"/>
    </w:p>
    <w:p w14:paraId="059E26F0">
      <w:pPr>
        <w:pStyle w:val="31"/>
        <w:spacing w:line="360" w:lineRule="auto"/>
        <w:ind w:left="0" w:leftChars="0"/>
        <w:rPr>
          <w:rFonts w:hint="eastAsia" w:ascii="宋体" w:hAnsi="宋体" w:eastAsia="宋体" w:cs="宋体"/>
          <w:b/>
          <w:bCs/>
          <w:sz w:val="21"/>
          <w:szCs w:val="21"/>
          <w:lang w:val="en-US" w:eastAsia="zh-CN"/>
        </w:rPr>
      </w:pPr>
      <w:r>
        <w:rPr>
          <w:rFonts w:hint="eastAsia" w:ascii="宋体" w:hAnsi="宋体" w:eastAsia="宋体" w:cs="宋体"/>
          <w:color w:val="auto"/>
          <w:sz w:val="21"/>
          <w:szCs w:val="21"/>
          <w:lang w:val="en-US" w:eastAsia="zh-CN"/>
        </w:rPr>
        <w:t>打造冷链产业园区零碳示范标杆，为行业绿色转型提供可复制的技术路径；带动新能源、储能等产业链发展，创造就业岗位；减少对传统火电依赖，提升区域能源供应安全性与可持续性，助力“双碳”目标落地。</w:t>
      </w:r>
    </w:p>
    <w:p w14:paraId="6744E984">
      <w:pPr>
        <w:numPr>
          <w:ilvl w:val="0"/>
          <w:numId w:val="0"/>
        </w:numPr>
        <w:spacing w:line="360" w:lineRule="auto"/>
        <w:ind w:left="0" w:leftChars="0" w:firstLine="0" w:firstLineChars="0"/>
        <w:outlineLvl w:val="1"/>
        <w:rPr>
          <w:rFonts w:hint="default" w:ascii="宋体" w:hAnsi="宋体" w:eastAsia="宋体" w:cs="宋体"/>
          <w:b/>
          <w:bCs/>
          <w:sz w:val="21"/>
          <w:szCs w:val="21"/>
          <w:lang w:val="en-US" w:eastAsia="zh-CN"/>
        </w:rPr>
      </w:pPr>
      <w:bookmarkStart w:id="1632" w:name="_Toc24697"/>
      <w:bookmarkStart w:id="1633" w:name="_Toc25801"/>
      <w:r>
        <w:rPr>
          <w:rFonts w:hint="eastAsia" w:ascii="宋体" w:hAnsi="宋体" w:eastAsia="宋体" w:cs="宋体"/>
          <w:b/>
          <w:bCs/>
          <w:sz w:val="21"/>
          <w:szCs w:val="21"/>
          <w:lang w:val="en-US" w:eastAsia="zh-CN"/>
        </w:rPr>
        <w:t>14.地勘设计任务书</w:t>
      </w:r>
      <w:bookmarkEnd w:id="1632"/>
      <w:bookmarkEnd w:id="1633"/>
    </w:p>
    <w:p w14:paraId="7D903E1D">
      <w:pPr>
        <w:numPr>
          <w:ilvl w:val="0"/>
          <w:numId w:val="0"/>
        </w:numPr>
        <w:spacing w:line="360" w:lineRule="auto"/>
        <w:ind w:left="0" w:leftChars="0" w:firstLine="0" w:firstLineChars="0"/>
        <w:outlineLvl w:val="2"/>
        <w:rPr>
          <w:rFonts w:hint="eastAsia" w:ascii="宋体" w:hAnsi="宋体" w:eastAsia="宋体" w:cs="宋体"/>
          <w:b/>
          <w:bCs/>
          <w:kern w:val="2"/>
          <w:sz w:val="21"/>
          <w:szCs w:val="21"/>
          <w:lang w:val="en-US" w:eastAsia="zh-CN" w:bidi="ar-SA"/>
        </w:rPr>
      </w:pPr>
      <w:bookmarkStart w:id="1634" w:name="_Toc14212"/>
      <w:bookmarkStart w:id="1635" w:name="_Toc15065"/>
      <w:r>
        <w:rPr>
          <w:rFonts w:hint="eastAsia" w:ascii="宋体" w:hAnsi="宋体" w:eastAsia="宋体" w:cs="宋体"/>
          <w:b/>
          <w:bCs/>
          <w:kern w:val="2"/>
          <w:sz w:val="21"/>
          <w:szCs w:val="21"/>
          <w:lang w:val="en-US" w:eastAsia="zh-CN" w:bidi="ar-SA"/>
        </w:rPr>
        <w:t>14.1设计依据</w:t>
      </w:r>
      <w:bookmarkEnd w:id="1634"/>
      <w:bookmarkEnd w:id="1635"/>
    </w:p>
    <w:p w14:paraId="73488260">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《岩土工程勘察规范》GB50021-2001</w:t>
      </w:r>
    </w:p>
    <w:p w14:paraId="75618FC4">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《高层建筑岩土工程勘察规程》JGJ72-2017</w:t>
      </w:r>
    </w:p>
    <w:p w14:paraId="3E1DE007">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《建筑地基基础设计规范》GB50007-2011</w:t>
      </w:r>
    </w:p>
    <w:p w14:paraId="4EF85414">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《建筑桩基技术规范》JGJ94-2008</w:t>
      </w:r>
    </w:p>
    <w:p w14:paraId="1EBAE4F5">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《建筑地基处理技术规范》JGJ79-2012</w:t>
      </w:r>
    </w:p>
    <w:p w14:paraId="1FA6B0CB">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《建筑抗震设计规范》GB50011-2010(2016版)</w:t>
      </w:r>
    </w:p>
    <w:p w14:paraId="5041B62F">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《工程勘察通用规范》GB55017-2021</w:t>
      </w:r>
    </w:p>
    <w:p w14:paraId="1321647F">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《工程结构通用规范》GB55001-2021</w:t>
      </w:r>
    </w:p>
    <w:p w14:paraId="64E8818E">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《建筑与市政工程抗震通用规范》GB55002-2021</w:t>
      </w:r>
    </w:p>
    <w:p w14:paraId="730D43DA">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《建筑与市政地基基础通用规范》GB55003-2021</w:t>
      </w:r>
    </w:p>
    <w:p w14:paraId="4AA48873">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《钢结构通用规范》GB55006-2021</w:t>
      </w:r>
    </w:p>
    <w:p w14:paraId="0F603C96">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《混凝土结构通用规范》GB55008-2021</w:t>
      </w:r>
    </w:p>
    <w:p w14:paraId="71270F1E">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以上等规范要求，提供详细的岩土工程资料和设计、施工所需的岩土参数；对建筑地基做出岩土工程评价，并对地基类型、基础形式、地基处理、基坑支护、工程降水和不良地质作用的防治等提出建议。</w:t>
      </w:r>
    </w:p>
    <w:p w14:paraId="3CCEB47A">
      <w:pPr>
        <w:numPr>
          <w:ilvl w:val="0"/>
          <w:numId w:val="0"/>
        </w:numPr>
        <w:spacing w:line="360" w:lineRule="auto"/>
        <w:ind w:left="0" w:leftChars="0" w:firstLine="0" w:firstLineChars="0"/>
        <w:outlineLvl w:val="2"/>
        <w:rPr>
          <w:rFonts w:hint="eastAsia" w:ascii="宋体" w:hAnsi="宋体" w:eastAsia="宋体" w:cs="宋体"/>
          <w:b/>
          <w:bCs/>
          <w:kern w:val="2"/>
          <w:sz w:val="21"/>
          <w:szCs w:val="21"/>
          <w:lang w:val="en-US" w:eastAsia="zh-CN" w:bidi="ar-SA"/>
        </w:rPr>
      </w:pPr>
      <w:bookmarkStart w:id="1636" w:name="_Toc23390"/>
      <w:bookmarkStart w:id="1637" w:name="_Toc29631"/>
      <w:r>
        <w:rPr>
          <w:rFonts w:hint="eastAsia" w:ascii="宋体" w:hAnsi="宋体" w:eastAsia="宋体" w:cs="宋体"/>
          <w:b/>
          <w:bCs/>
          <w:kern w:val="2"/>
          <w:sz w:val="21"/>
          <w:szCs w:val="21"/>
          <w:lang w:val="en-US" w:eastAsia="zh-CN" w:bidi="ar-SA"/>
        </w:rPr>
        <w:t>14.2勘察技术要求</w:t>
      </w:r>
      <w:bookmarkEnd w:id="1636"/>
      <w:bookmarkEnd w:id="1637"/>
    </w:p>
    <w:p w14:paraId="419C2AE8">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（1）查明建筑范围内岩土层的类型、深度、分布、工程特性，分析和评价地基的稳定性、均匀性以及承载力；预测建筑物的变形特征，提供计算变形所需的计算参数；</w:t>
      </w:r>
    </w:p>
    <w:p w14:paraId="031133AF">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查明地下水的类型、埋藏条件、补给及排泄条件、初见及稳定水位，提供地下水位及其季节性变化幅度和各主要底层的渗透系数；提出抗浮设防水位；判定水和土对建筑材料的腐蚀性；提供基坑开挖工程应采取的地下水控制措施，当采用降水控制措施时，应分析评价降水对周围环境的影响；</w:t>
      </w:r>
    </w:p>
    <w:p w14:paraId="51460F3E">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（3）场地勘察应划分场地类别，对抗震有利、不利和危险地段做出综合评价；提供土层剖面、覆盖层厚度和剪切波速等有关参数；分析预测地震效应，判定场地是否液化，确定液化等级，提出液化土处理措施；</w:t>
      </w:r>
    </w:p>
    <w:p w14:paraId="6300CC01">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（4）查明不良地质作用的类型、成因、分布范围、发展趋势和危害程度，提出整治方案的建议；查明暗藏的河道、沟浜、墓穴、防空洞、孤石、溶洞等对工程不利的埋藏物；</w:t>
      </w:r>
    </w:p>
    <w:p w14:paraId="1D109C80">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（5）对可供采用的地基基础方案进行论证分析，提出经济合理、技术先进的设计方案建议论证采用天然地基基础形式的可行性，对持力层选择、基础埋深等提出建议；对复合地基或桩基类型 、适宜性、持力层选择提出建议，提供复合地基处理的相关参数及其对周边环境的影响；提供桩的极限侧阻力、极限端阻力和变形计算的有关参数，预估桩的类型、长度，并提供单桩承载力特征值，评估成桩可能性，验证桩的施工条件及其对环境的影响；</w:t>
      </w:r>
    </w:p>
    <w:p w14:paraId="52787B7C">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（6）现有场地边坡及设计过程中开挖的边坡稳定计算和支护设计所需要的岩土技术参数，论证其对周边环境的影响；</w:t>
      </w:r>
    </w:p>
    <w:p w14:paraId="04C77DC5">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（7）详细勘察勘探点布置和勘探孔深度，应根据建筑物特性和岩土工程条件确定，并符合GB50021-2001规范的第4.1.14条~第4.1.19条以及JGJ94-2008规范第4章的要求； </w:t>
      </w:r>
    </w:p>
    <w:p w14:paraId="4CDFB565">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（8）对湿陷性黄土、膨胀性土、多年冻土、地下防空区、溶洞发育区及其他有特殊要求的工程地质勘察尚应按有关部门规定执行。在季节性冻土地区，提供场地土的标准结冻深度；</w:t>
      </w:r>
    </w:p>
    <w:p w14:paraId="11044179">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（9）基坑开挖、支护和降水设计所需的岩土技术参数，论证其对周边环境的影响，地下水控制方法的建议，用于计算地下水浮力的设防水位。</w:t>
      </w:r>
    </w:p>
    <w:p w14:paraId="453ED4EB">
      <w:pPr>
        <w:pStyle w:val="31"/>
        <w:numPr>
          <w:ilvl w:val="0"/>
          <w:numId w:val="0"/>
        </w:numPr>
        <w:spacing w:line="36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（10）未尽事宜应严格遵守《工程建设标准强制性条文》并符合相关规范要求。</w:t>
      </w:r>
    </w:p>
    <w:p w14:paraId="3B45EBAF">
      <w:pPr>
        <w:numPr>
          <w:ilvl w:val="0"/>
          <w:numId w:val="0"/>
        </w:numPr>
        <w:spacing w:line="360" w:lineRule="auto"/>
        <w:ind w:left="0" w:leftChars="0" w:firstLine="0" w:firstLineChars="0"/>
        <w:outlineLvl w:val="2"/>
        <w:rPr>
          <w:rFonts w:hint="eastAsia" w:ascii="宋体" w:hAnsi="宋体" w:eastAsia="宋体" w:cs="宋体"/>
          <w:b/>
          <w:bCs/>
          <w:kern w:val="2"/>
          <w:sz w:val="21"/>
          <w:szCs w:val="21"/>
          <w:lang w:val="en-US" w:eastAsia="zh-CN" w:bidi="ar-SA"/>
        </w:rPr>
      </w:pPr>
      <w:bookmarkStart w:id="1638" w:name="_Toc3306"/>
      <w:bookmarkStart w:id="1639" w:name="_Toc23009"/>
      <w:r>
        <w:rPr>
          <w:rFonts w:hint="eastAsia" w:ascii="宋体" w:hAnsi="宋体" w:eastAsia="宋体" w:cs="宋体"/>
          <w:b/>
          <w:bCs/>
          <w:kern w:val="2"/>
          <w:sz w:val="21"/>
          <w:szCs w:val="21"/>
          <w:lang w:val="en-US" w:eastAsia="zh-CN" w:bidi="ar-SA"/>
        </w:rPr>
        <w:t>14.2勘察技术成果资料</w:t>
      </w:r>
      <w:bookmarkEnd w:id="1638"/>
      <w:bookmarkEnd w:id="1639"/>
    </w:p>
    <w:p w14:paraId="5A04EDEA">
      <w:pPr>
        <w:pStyle w:val="31"/>
        <w:numPr>
          <w:ilvl w:val="0"/>
          <w:numId w:val="0"/>
        </w:numPr>
        <w:spacing w:line="360" w:lineRule="auto"/>
        <w:ind w:left="0" w:leftChars="0" w:firstLine="0" w:firstLineChars="0"/>
        <w:outlineLvl w:val="3"/>
        <w:rPr>
          <w:rFonts w:hint="eastAsia" w:ascii="宋体" w:hAnsi="宋体" w:eastAsia="宋体" w:cs="宋体"/>
          <w:sz w:val="21"/>
          <w:szCs w:val="21"/>
          <w:lang w:val="en-US" w:eastAsia="zh-CN"/>
        </w:rPr>
      </w:pPr>
      <w:bookmarkStart w:id="1640" w:name="_Toc25091"/>
      <w:bookmarkStart w:id="1641" w:name="_Toc9615"/>
      <w:r>
        <w:rPr>
          <w:rFonts w:hint="eastAsia" w:ascii="宋体" w:hAnsi="宋体" w:eastAsia="宋体" w:cs="宋体"/>
          <w:sz w:val="21"/>
          <w:szCs w:val="21"/>
          <w:lang w:val="en-US" w:eastAsia="zh-CN"/>
        </w:rPr>
        <w:t>（1）文字部分：</w:t>
      </w:r>
      <w:bookmarkEnd w:id="1640"/>
      <w:bookmarkEnd w:id="1641"/>
    </w:p>
    <w:p w14:paraId="2F754113">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1）拟建工程概况；勘察目的、任务要求和依据的技术标准；勘察方法和勘察工作布置；</w:t>
      </w:r>
    </w:p>
    <w:p w14:paraId="1C2FF77F">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2）场地地形、地貌、地层、地质构造、岩土性质及其均匀性；</w:t>
      </w:r>
    </w:p>
    <w:p w14:paraId="49E8CA14">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3）各项岩土性质指标，岩土的强度参数、变形参数、地基承载力的建议值；</w:t>
      </w:r>
    </w:p>
    <w:p w14:paraId="6306FD41">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4）地下水埋藏情况、类型、水位及其变化，地下水和地下室抗浮评价；土和水对建筑材料的腐蚀性:</w:t>
      </w:r>
    </w:p>
    <w:p w14:paraId="720AFB1C">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5)可能影响工程稳定的不良地质作用的描述和对工程危害的评价；特殊性岩土和地震相应评价；</w:t>
      </w:r>
    </w:p>
    <w:p w14:paraId="7729E017">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现有场地边坡及设计过程中开挖的边坡稳定计算和支护设计所需要的岩土技术参数，论证其对周边环境的影响；</w:t>
      </w:r>
    </w:p>
    <w:p w14:paraId="7A949E40">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场地稳定性和适宜性的评价；</w:t>
      </w:r>
    </w:p>
    <w:p w14:paraId="19DE560D">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根据结构及荷载特点、地下室层数确定基础埋深及形式等情况；</w:t>
      </w:r>
    </w:p>
    <w:p w14:paraId="4F56BB03">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采用天然地基的可能性，地基均匀性的评价；复合地基和桩基的桩型和桩端持力层选择的建议：</w:t>
      </w:r>
    </w:p>
    <w:p w14:paraId="7F58DC88">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地基变形特征预测：</w:t>
      </w:r>
    </w:p>
    <w:p w14:paraId="04DD19AF">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各建筑物地坪采用天然建筑地坪还是结构地坪的建议。</w:t>
      </w:r>
    </w:p>
    <w:p w14:paraId="21DB976C">
      <w:pPr>
        <w:pStyle w:val="31"/>
        <w:numPr>
          <w:ilvl w:val="0"/>
          <w:numId w:val="0"/>
        </w:numPr>
        <w:spacing w:line="360" w:lineRule="auto"/>
        <w:ind w:left="0" w:leftChars="0" w:firstLine="0" w:firstLineChars="0"/>
        <w:outlineLvl w:val="3"/>
        <w:rPr>
          <w:rFonts w:hint="eastAsia" w:ascii="宋体" w:hAnsi="宋体" w:eastAsia="宋体" w:cs="宋体"/>
          <w:sz w:val="21"/>
          <w:szCs w:val="21"/>
          <w:lang w:val="en-US" w:eastAsia="zh-CN"/>
        </w:rPr>
      </w:pPr>
      <w:bookmarkStart w:id="1642" w:name="_Toc8794"/>
      <w:bookmarkStart w:id="1643" w:name="_Toc30355"/>
      <w:r>
        <w:rPr>
          <w:rFonts w:hint="eastAsia" w:ascii="宋体" w:hAnsi="宋体" w:eastAsia="宋体" w:cs="宋体"/>
          <w:sz w:val="21"/>
          <w:szCs w:val="21"/>
          <w:lang w:val="en-US" w:eastAsia="zh-CN"/>
        </w:rPr>
        <w:t>（2）除上述内容外其它应提交内容。</w:t>
      </w:r>
      <w:bookmarkEnd w:id="1642"/>
      <w:bookmarkEnd w:id="1643"/>
    </w:p>
    <w:p w14:paraId="68A6FACB">
      <w:pPr>
        <w:pStyle w:val="31"/>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图表部分：</w:t>
      </w:r>
    </w:p>
    <w:p w14:paraId="1302F79B">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1）岩土工程勘察任务书（含建筑基本情况及勘察技术要求）；</w:t>
      </w:r>
    </w:p>
    <w:p w14:paraId="1881B890">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2）拟建建筑平面位置及勘探点平面布置图（勘探点布置按照建筑物柱网适当加密，尽量根据柱网隔一布一的方式布置）;</w:t>
      </w:r>
    </w:p>
    <w:p w14:paraId="02035BE3">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3）工程地质钻孔柱状图或综合工程地质柱状图；</w:t>
      </w:r>
    </w:p>
    <w:p w14:paraId="5312752B">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4）工程地质剖面图；</w:t>
      </w:r>
    </w:p>
    <w:p w14:paraId="3E2DEF4A">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5）土工试验及水质分析成果表，需要时应提供压缩曲线、三轴压缩试验的摩尔圆及强度包络；</w:t>
      </w:r>
    </w:p>
    <w:p w14:paraId="2A6DA451">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6)各种地基土原位测试试验曲线及数据表；</w:t>
      </w:r>
    </w:p>
    <w:p w14:paraId="2861DFB9">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7）岩土层的强度和变形试验曲线；</w:t>
      </w:r>
    </w:p>
    <w:p w14:paraId="038C76D7">
      <w:pPr>
        <w:pStyle w:val="3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8）岩土工程设计分析的有关图表。</w:t>
      </w:r>
    </w:p>
    <w:p w14:paraId="276A63D7">
      <w:pPr>
        <w:pStyle w:val="31"/>
        <w:numPr>
          <w:ilvl w:val="0"/>
          <w:numId w:val="0"/>
        </w:numPr>
        <w:spacing w:line="360" w:lineRule="auto"/>
        <w:ind w:firstLine="210" w:firstLineChars="100"/>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9）除上述内容外其它应提交内容。</w:t>
      </w:r>
    </w:p>
    <w:p w14:paraId="57530000">
      <w:pPr>
        <w:numPr>
          <w:ilvl w:val="0"/>
          <w:numId w:val="0"/>
        </w:numPr>
        <w:spacing w:line="360" w:lineRule="auto"/>
        <w:rPr>
          <w:rFonts w:hint="default" w:ascii="宋体" w:hAnsi="宋体" w:eastAsia="宋体" w:cs="宋体"/>
          <w:b/>
          <w:bCs/>
          <w:kern w:val="2"/>
          <w:sz w:val="21"/>
          <w:szCs w:val="21"/>
          <w:lang w:val="en-US" w:eastAsia="zh-CN" w:bidi="ar-SA"/>
        </w:rPr>
      </w:pPr>
    </w:p>
    <w:p w14:paraId="1084F2A6">
      <w:pPr>
        <w:pStyle w:val="31"/>
        <w:numPr>
          <w:ilvl w:val="0"/>
          <w:numId w:val="0"/>
        </w:numPr>
        <w:spacing w:line="360" w:lineRule="auto"/>
        <w:rPr>
          <w:rFonts w:hint="eastAsia" w:ascii="宋体" w:hAnsi="宋体" w:eastAsia="宋体" w:cs="宋体"/>
          <w:sz w:val="21"/>
          <w:szCs w:val="21"/>
          <w:lang w:val="en-US" w:eastAsia="zh-CN"/>
        </w:rPr>
      </w:pPr>
    </w:p>
    <w:p w14:paraId="16769949">
      <w:pPr>
        <w:pStyle w:val="31"/>
        <w:numPr>
          <w:ilvl w:val="0"/>
          <w:numId w:val="0"/>
        </w:numPr>
        <w:spacing w:line="360" w:lineRule="auto"/>
        <w:rPr>
          <w:rFonts w:hint="eastAsia" w:ascii="宋体" w:hAnsi="宋体" w:eastAsia="宋体" w:cs="宋体"/>
          <w:sz w:val="21"/>
          <w:szCs w:val="21"/>
          <w:lang w:val="en-US" w:eastAsia="zh-CN"/>
        </w:rPr>
      </w:pPr>
    </w:p>
    <w:p w14:paraId="66207474">
      <w:pPr>
        <w:pStyle w:val="31"/>
        <w:numPr>
          <w:ilvl w:val="0"/>
          <w:numId w:val="0"/>
        </w:numPr>
        <w:spacing w:line="360" w:lineRule="auto"/>
        <w:ind w:firstLine="420" w:firstLineChars="200"/>
        <w:rPr>
          <w:rFonts w:hint="eastAsia" w:ascii="宋体" w:hAnsi="宋体" w:eastAsia="宋体" w:cs="宋体"/>
          <w:sz w:val="21"/>
          <w:szCs w:val="21"/>
          <w:lang w:val="en-US" w:eastAsia="zh-CN"/>
        </w:rPr>
      </w:pPr>
    </w:p>
    <w:p w14:paraId="213CE499">
      <w:pPr>
        <w:pStyle w:val="100"/>
        <w:spacing w:after="0" w:line="240" w:lineRule="auto"/>
        <w:ind w:left="0" w:leftChars="0" w:firstLine="0" w:firstLineChars="0"/>
        <w:jc w:val="left"/>
        <w:rPr>
          <w:sz w:val="21"/>
          <w:szCs w:val="21"/>
        </w:rPr>
        <w:sectPr>
          <w:headerReference r:id="rId12" w:type="default"/>
          <w:footerReference r:id="rId13" w:type="default"/>
          <w:pgSz w:w="11910" w:h="16850"/>
          <w:pgMar w:top="1440" w:right="1800" w:bottom="1440" w:left="1800" w:header="1124" w:footer="857" w:gutter="0"/>
          <w:pgNumType w:fmt="decimal"/>
          <w:cols w:space="720" w:num="1"/>
        </w:sectPr>
      </w:pPr>
    </w:p>
    <w:p w14:paraId="29A814E2">
      <w:pPr>
        <w:pStyle w:val="31"/>
        <w:ind w:left="0" w:leftChars="0" w:firstLine="0" w:firstLineChars="0"/>
        <w:jc w:val="center"/>
        <w:outlineLvl w:val="0"/>
        <w:rPr>
          <w:rFonts w:hint="default" w:ascii="宋体" w:hAnsi="宋体" w:eastAsia="宋体" w:cs="宋体"/>
          <w:kern w:val="2"/>
          <w:sz w:val="21"/>
          <w:szCs w:val="21"/>
          <w:lang w:val="en-US" w:eastAsia="zh-CN" w:bidi="ar-SA"/>
        </w:rPr>
      </w:pPr>
      <w:bookmarkStart w:id="1644" w:name="_Toc2642"/>
      <w:bookmarkStart w:id="1645" w:name="_Toc32283"/>
      <w:r>
        <w:rPr>
          <w:rFonts w:hint="eastAsia" w:ascii="宋体" w:hAnsi="宋体" w:eastAsia="宋体" w:cs="宋体"/>
          <w:sz w:val="21"/>
          <w:szCs w:val="21"/>
          <w:lang w:val="en-US" w:eastAsia="zh-CN"/>
        </w:rPr>
        <w:t>二、工艺要求及交付标准</w:t>
      </w:r>
      <w:bookmarkEnd w:id="1644"/>
      <w:bookmarkEnd w:id="1645"/>
    </w:p>
    <w:p w14:paraId="5A29C6C0">
      <w:pPr>
        <w:numPr>
          <w:ilvl w:val="0"/>
          <w:numId w:val="0"/>
        </w:numPr>
        <w:spacing w:line="360" w:lineRule="auto"/>
        <w:ind w:left="0" w:leftChars="0" w:firstLine="0" w:firstLineChars="0"/>
        <w:outlineLvl w:val="1"/>
        <w:rPr>
          <w:rFonts w:hint="eastAsia" w:ascii="宋体" w:hAnsi="宋体" w:eastAsia="宋体" w:cs="宋体"/>
          <w:b/>
          <w:bCs/>
          <w:sz w:val="21"/>
          <w:szCs w:val="21"/>
          <w:lang w:val="en-US" w:eastAsia="zh-CN"/>
        </w:rPr>
      </w:pPr>
      <w:bookmarkStart w:id="1646" w:name="_Toc16757"/>
      <w:bookmarkStart w:id="1647" w:name="_Toc152842899"/>
      <w:r>
        <w:rPr>
          <w:rFonts w:hint="eastAsia" w:ascii="宋体" w:hAnsi="宋体" w:eastAsia="宋体" w:cs="宋体"/>
          <w:b/>
          <w:bCs/>
          <w:sz w:val="21"/>
          <w:szCs w:val="21"/>
          <w:lang w:val="en-US" w:eastAsia="zh-CN"/>
        </w:rPr>
        <w:t>1 工艺要求</w:t>
      </w:r>
      <w:bookmarkEnd w:id="1646"/>
    </w:p>
    <w:p w14:paraId="5D8D9010">
      <w:pPr>
        <w:numPr>
          <w:ilvl w:val="0"/>
          <w:numId w:val="0"/>
        </w:numPr>
        <w:spacing w:line="360" w:lineRule="auto"/>
        <w:ind w:left="0" w:leftChars="0" w:firstLine="0" w:firstLineChars="0"/>
        <w:outlineLvl w:val="2"/>
        <w:rPr>
          <w:rFonts w:hint="eastAsia" w:ascii="宋体" w:hAnsi="宋体" w:eastAsia="宋体" w:cs="宋体"/>
          <w:b/>
          <w:bCs/>
          <w:kern w:val="2"/>
          <w:sz w:val="21"/>
          <w:szCs w:val="21"/>
          <w:lang w:val="en-US" w:eastAsia="zh-CN" w:bidi="ar-SA"/>
        </w:rPr>
      </w:pPr>
      <w:bookmarkStart w:id="1648" w:name="_Toc11459"/>
      <w:r>
        <w:rPr>
          <w:rFonts w:hint="eastAsia" w:ascii="宋体" w:hAnsi="宋体" w:eastAsia="宋体" w:cs="宋体"/>
          <w:b/>
          <w:bCs/>
          <w:kern w:val="2"/>
          <w:sz w:val="21"/>
          <w:szCs w:val="21"/>
          <w:lang w:val="en-US" w:eastAsia="zh-CN" w:bidi="ar-SA"/>
        </w:rPr>
        <w:t>1.1智能立体冷库的技术要求：</w:t>
      </w:r>
      <w:bookmarkEnd w:id="1648"/>
    </w:p>
    <w:p w14:paraId="3E01DE50">
      <w:pPr>
        <w:numPr>
          <w:ilvl w:val="0"/>
          <w:numId w:val="0"/>
        </w:numPr>
        <w:spacing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1.1.1、保鲜库必须满足以下工艺调控要求：</w:t>
      </w:r>
    </w:p>
    <w:p w14:paraId="5F2C1FE2">
      <w:pPr>
        <w:numPr>
          <w:ilvl w:val="0"/>
          <w:numId w:val="0"/>
        </w:numPr>
        <w:spacing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A）温度：-2℃~5℃,温度精度：±1.5℃；</w:t>
      </w:r>
    </w:p>
    <w:p w14:paraId="6E560F40">
      <w:pPr>
        <w:numPr>
          <w:ilvl w:val="0"/>
          <w:numId w:val="0"/>
        </w:numPr>
        <w:spacing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B）湿度：90%~96%,湿度精度：±5%；</w:t>
      </w:r>
    </w:p>
    <w:p w14:paraId="4EE44DFD">
      <w:pPr>
        <w:numPr>
          <w:ilvl w:val="0"/>
          <w:numId w:val="0"/>
        </w:numPr>
        <w:spacing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C）二氧化碳（CO₂）浓度：＜2000PPM；</w:t>
      </w:r>
    </w:p>
    <w:p w14:paraId="64D3BDB3">
      <w:pPr>
        <w:numPr>
          <w:ilvl w:val="0"/>
          <w:numId w:val="0"/>
        </w:numPr>
        <w:spacing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D）乙烯（C₂H₄）浓度：＜10PPM；</w:t>
      </w:r>
    </w:p>
    <w:p w14:paraId="56983B0F">
      <w:pPr>
        <w:numPr>
          <w:ilvl w:val="0"/>
          <w:numId w:val="0"/>
        </w:numPr>
        <w:spacing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E）每间保鲜冷库带自预冷功能，必须满足10%的常温产品进入24小时降到果品中心温度0℃的预冷负荷需求。</w:t>
      </w:r>
    </w:p>
    <w:p w14:paraId="6267C456">
      <w:pPr>
        <w:numPr>
          <w:ilvl w:val="0"/>
          <w:numId w:val="0"/>
        </w:numPr>
        <w:spacing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F）每间保鲜冷库应配置具有环境的微生物抑制及果蔬表面灭菌设施，来降低采后保鲜的损耗率要求采用绿色、安全无残留的分子保鲜技术设备。</w:t>
      </w:r>
    </w:p>
    <w:p w14:paraId="4C213281">
      <w:pPr>
        <w:numPr>
          <w:ilvl w:val="0"/>
          <w:numId w:val="0"/>
        </w:numPr>
        <w:spacing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G）所有温湿条件均在库内产品预冷完成后，封库静态条件下的温湿度条件。气体成分需要在库体绝对气密性下的前提条件。</w:t>
      </w:r>
    </w:p>
    <w:p w14:paraId="2471147E">
      <w:pPr>
        <w:numPr>
          <w:ilvl w:val="0"/>
          <w:numId w:val="0"/>
        </w:numPr>
        <w:spacing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1.1.2、冻结物冷藏间必须满足以下工艺调控要求：</w:t>
      </w:r>
    </w:p>
    <w:p w14:paraId="2C568F6A">
      <w:pPr>
        <w:numPr>
          <w:ilvl w:val="0"/>
          <w:numId w:val="0"/>
        </w:numPr>
        <w:spacing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A）温度：-18℃~-22℃,温度精度：±1℃；</w:t>
      </w:r>
    </w:p>
    <w:p w14:paraId="74D36DE7">
      <w:pPr>
        <w:numPr>
          <w:ilvl w:val="0"/>
          <w:numId w:val="0"/>
        </w:numPr>
        <w:spacing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B）满足储存量的6~8%进出货周转量。</w:t>
      </w:r>
    </w:p>
    <w:p w14:paraId="0C19D951">
      <w:pPr>
        <w:numPr>
          <w:ilvl w:val="0"/>
          <w:numId w:val="0"/>
        </w:numPr>
        <w:spacing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C）必须满足产品进货温度＜-10℃进入24小时降到果品中心温度-18℃的预冷负荷需求。</w:t>
      </w:r>
    </w:p>
    <w:p w14:paraId="29D88517">
      <w:pPr>
        <w:numPr>
          <w:ilvl w:val="0"/>
          <w:numId w:val="0"/>
        </w:numPr>
        <w:spacing w:line="360" w:lineRule="auto"/>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C）基于高标冷库要求冷库环境不允许出现结冰霜现象。</w:t>
      </w:r>
    </w:p>
    <w:p w14:paraId="31FB6567">
      <w:pPr>
        <w:numPr>
          <w:ilvl w:val="0"/>
          <w:numId w:val="0"/>
        </w:numPr>
        <w:spacing w:line="360" w:lineRule="auto"/>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1.1.</w:t>
      </w:r>
      <w:r>
        <w:rPr>
          <w:rFonts w:hint="default" w:ascii="宋体" w:hAnsi="宋体" w:eastAsia="宋体" w:cs="宋体"/>
          <w:kern w:val="2"/>
          <w:sz w:val="21"/>
          <w:szCs w:val="21"/>
          <w:lang w:val="en-US" w:eastAsia="zh-CN" w:bidi="ar-SA"/>
        </w:rPr>
        <w:t>3</w:t>
      </w:r>
      <w:r>
        <w:rPr>
          <w:rFonts w:hint="eastAsia" w:ascii="宋体" w:hAnsi="宋体" w:eastAsia="宋体" w:cs="宋体"/>
          <w:kern w:val="2"/>
          <w:sz w:val="21"/>
          <w:szCs w:val="21"/>
          <w:lang w:val="en-US" w:eastAsia="zh-CN" w:bidi="ar-SA"/>
        </w:rPr>
        <w:t>、变温冷库的必须满足以下工艺调控要求：</w:t>
      </w:r>
    </w:p>
    <w:p w14:paraId="6DDDABF5">
      <w:pPr>
        <w:numPr>
          <w:ilvl w:val="0"/>
          <w:numId w:val="0"/>
        </w:numPr>
        <w:spacing w:line="360" w:lineRule="auto"/>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A：由于满足未来市场变化及多样化，变温冷库必须满足两个工况下的相应工艺要求。</w:t>
      </w:r>
    </w:p>
    <w:p w14:paraId="0CA417DA">
      <w:pPr>
        <w:numPr>
          <w:ilvl w:val="0"/>
          <w:numId w:val="0"/>
        </w:numPr>
        <w:spacing w:line="360" w:lineRule="auto"/>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B：所有设计满足调换温区的相应适合性，并且满足每间独立的调换的需求解决方案。</w:t>
      </w:r>
    </w:p>
    <w:p w14:paraId="15B8B874">
      <w:pPr>
        <w:numPr>
          <w:ilvl w:val="0"/>
          <w:numId w:val="0"/>
        </w:numPr>
        <w:spacing w:line="360" w:lineRule="auto"/>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C：变温工况下的配套要求及设计，要求按最不利工况下满足保守配置。</w:t>
      </w:r>
    </w:p>
    <w:p w14:paraId="73504AE9">
      <w:pPr>
        <w:numPr>
          <w:ilvl w:val="0"/>
          <w:numId w:val="0"/>
        </w:numPr>
        <w:spacing w:line="360" w:lineRule="auto"/>
        <w:ind w:left="0" w:leftChars="0" w:firstLine="0" w:firstLineChars="0"/>
        <w:outlineLvl w:val="2"/>
        <w:rPr>
          <w:rFonts w:hint="eastAsia" w:ascii="宋体" w:hAnsi="宋体" w:eastAsia="宋体" w:cs="宋体"/>
          <w:b/>
          <w:bCs/>
          <w:kern w:val="2"/>
          <w:sz w:val="21"/>
          <w:szCs w:val="21"/>
          <w:lang w:val="en-US" w:eastAsia="zh-CN" w:bidi="ar-SA"/>
        </w:rPr>
      </w:pPr>
      <w:bookmarkStart w:id="1649" w:name="_Toc24378"/>
      <w:r>
        <w:rPr>
          <w:rFonts w:hint="eastAsia" w:ascii="宋体" w:hAnsi="宋体" w:eastAsia="宋体" w:cs="宋体"/>
          <w:b/>
          <w:bCs/>
          <w:kern w:val="2"/>
          <w:sz w:val="21"/>
          <w:szCs w:val="21"/>
          <w:lang w:val="en-US" w:eastAsia="zh-CN" w:bidi="ar-SA"/>
        </w:rPr>
        <w:t>1.2分拣加工中心的技术要求：</w:t>
      </w:r>
      <w:bookmarkEnd w:id="1649"/>
    </w:p>
    <w:p w14:paraId="38E9D5CB">
      <w:pPr>
        <w:numPr>
          <w:ilvl w:val="0"/>
          <w:numId w:val="0"/>
        </w:numPr>
        <w:spacing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1.2.1、加工车间必须满足以下工艺调控要求：</w:t>
      </w:r>
    </w:p>
    <w:p w14:paraId="19ECE095">
      <w:pPr>
        <w:numPr>
          <w:ilvl w:val="0"/>
          <w:numId w:val="0"/>
        </w:numPr>
        <w:spacing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A）温度：8℃~12℃；</w:t>
      </w:r>
    </w:p>
    <w:p w14:paraId="48CEB5C0">
      <w:pPr>
        <w:numPr>
          <w:ilvl w:val="0"/>
          <w:numId w:val="0"/>
        </w:numPr>
        <w:spacing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B）满足分拣加工过程的恒温控制。</w:t>
      </w:r>
    </w:p>
    <w:p w14:paraId="45544F71">
      <w:pPr>
        <w:numPr>
          <w:ilvl w:val="0"/>
          <w:numId w:val="0"/>
        </w:numPr>
        <w:spacing w:line="360" w:lineRule="auto"/>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C）满足车间内无冷凝滴水的制冷环境卫生要求。</w:t>
      </w:r>
    </w:p>
    <w:p w14:paraId="008318AA">
      <w:pPr>
        <w:numPr>
          <w:ilvl w:val="0"/>
          <w:numId w:val="0"/>
        </w:numPr>
        <w:spacing w:line="360" w:lineRule="auto"/>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D）根据加工量所需的工作人员，配置相应的新风换气要求。</w:t>
      </w:r>
    </w:p>
    <w:p w14:paraId="6EC3675B">
      <w:pPr>
        <w:numPr>
          <w:ilvl w:val="0"/>
          <w:numId w:val="0"/>
        </w:numPr>
        <w:spacing w:line="360" w:lineRule="auto"/>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1.2.2、预冷设备必须满足以下工艺调控要求：</w:t>
      </w:r>
    </w:p>
    <w:p w14:paraId="6CBF3E87">
      <w:pPr>
        <w:numPr>
          <w:ilvl w:val="0"/>
          <w:numId w:val="0"/>
        </w:numPr>
        <w:spacing w:line="360" w:lineRule="auto"/>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A）基于项目所在地为蓝莓主产区，要求预冷工艺必须满足蓝莓的采后国际先进的预冷工艺为主，同时满足其它果蔬剔除田间热的通用性。</w:t>
      </w:r>
    </w:p>
    <w:p w14:paraId="7E8A9E5C">
      <w:pPr>
        <w:numPr>
          <w:ilvl w:val="0"/>
          <w:numId w:val="0"/>
        </w:numPr>
        <w:spacing w:line="360" w:lineRule="auto"/>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B）温度：-2℃~0℃；</w:t>
      </w:r>
    </w:p>
    <w:p w14:paraId="4D704E65">
      <w:pPr>
        <w:numPr>
          <w:ilvl w:val="0"/>
          <w:numId w:val="0"/>
        </w:numPr>
        <w:spacing w:line="360" w:lineRule="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C</w:t>
      </w:r>
      <w:r>
        <w:rPr>
          <w:rFonts w:hint="eastAsia" w:ascii="宋体" w:hAnsi="宋体" w:eastAsia="宋体" w:cs="宋体"/>
          <w:kern w:val="2"/>
          <w:sz w:val="21"/>
          <w:szCs w:val="21"/>
          <w:lang w:val="en-US" w:eastAsia="zh-CN" w:bidi="ar-SA"/>
        </w:rPr>
        <w:t>）要求采用负压式压差预冷气流专置，实现高效的要求，果蔬原料4</w:t>
      </w:r>
      <w:r>
        <w:rPr>
          <w:rFonts w:hint="default" w:ascii="宋体" w:hAnsi="宋体" w:eastAsia="宋体" w:cs="宋体"/>
          <w:kern w:val="2"/>
          <w:sz w:val="21"/>
          <w:szCs w:val="21"/>
          <w:lang w:val="en-US" w:eastAsia="zh-CN" w:bidi="ar-SA"/>
        </w:rPr>
        <w:t>0</w:t>
      </w:r>
      <w:r>
        <w:rPr>
          <w:rFonts w:hint="eastAsia" w:ascii="宋体" w:hAnsi="宋体" w:eastAsia="宋体" w:cs="宋体"/>
          <w:kern w:val="2"/>
          <w:sz w:val="21"/>
          <w:szCs w:val="21"/>
          <w:lang w:val="en-US" w:eastAsia="zh-CN" w:bidi="ar-SA"/>
        </w:rPr>
        <w:t>分钟内从田间常温迅速剔除田间热。</w:t>
      </w:r>
    </w:p>
    <w:p w14:paraId="21BCB2F2">
      <w:pPr>
        <w:numPr>
          <w:ilvl w:val="0"/>
          <w:numId w:val="0"/>
        </w:numPr>
        <w:spacing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D）满足季节性采摘的批量生产要求，每套预冷设备需要满足同时10托盘原料果蔬的迅速预冷，更好的实现采摘季的工业化生产；</w:t>
      </w:r>
    </w:p>
    <w:p w14:paraId="19616933">
      <w:pPr>
        <w:numPr>
          <w:ilvl w:val="0"/>
          <w:numId w:val="0"/>
        </w:numPr>
        <w:spacing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E）要求满足无损的品相及品质要求：趋向于零水份损失，果粉无脱落、保持果蔬的最佳品质。</w:t>
      </w:r>
    </w:p>
    <w:p w14:paraId="3926CBB9">
      <w:pPr>
        <w:numPr>
          <w:ilvl w:val="0"/>
          <w:numId w:val="0"/>
        </w:numPr>
        <w:spacing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1.2.3、加工中心成品周转库必须满足以下工艺调控要求：</w:t>
      </w:r>
    </w:p>
    <w:p w14:paraId="4C7080E8">
      <w:pPr>
        <w:numPr>
          <w:ilvl w:val="0"/>
          <w:numId w:val="0"/>
        </w:numPr>
        <w:spacing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A）温度：-2℃~5℃,温度精度：±1.5℃；</w:t>
      </w:r>
    </w:p>
    <w:p w14:paraId="465C8FBF">
      <w:pPr>
        <w:numPr>
          <w:ilvl w:val="0"/>
          <w:numId w:val="0"/>
        </w:numPr>
        <w:spacing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B）湿度：90%~96%,湿度精度：±5%；</w:t>
      </w:r>
    </w:p>
    <w:p w14:paraId="204837C7">
      <w:pPr>
        <w:numPr>
          <w:ilvl w:val="0"/>
          <w:numId w:val="0"/>
        </w:numPr>
        <w:spacing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C）二氧化碳（CO₂）浓度：＜2000PPM；</w:t>
      </w:r>
    </w:p>
    <w:p w14:paraId="00FB60FC">
      <w:pPr>
        <w:numPr>
          <w:ilvl w:val="0"/>
          <w:numId w:val="0"/>
        </w:numPr>
        <w:spacing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D）乙烯（C₂H₄）浓度：＜10PPM</w:t>
      </w:r>
    </w:p>
    <w:p w14:paraId="07F104A4">
      <w:pPr>
        <w:numPr>
          <w:ilvl w:val="0"/>
          <w:numId w:val="0"/>
        </w:numPr>
        <w:spacing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E）每间保鲜冷库带自预冷功能，必须满足10%的常温产品进入24小时降到果品中心温度0℃的预冷负荷需求。</w:t>
      </w:r>
    </w:p>
    <w:p w14:paraId="353C8521">
      <w:pPr>
        <w:numPr>
          <w:ilvl w:val="0"/>
          <w:numId w:val="0"/>
        </w:numPr>
        <w:spacing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F）每间保鲜冷库应配置具有环境的微生物抑制及果蔬表面灭菌设施，来降低采后保鲜的损耗率要求采用绿色、安全无残留的分子保鲜技术设备。</w:t>
      </w:r>
    </w:p>
    <w:p w14:paraId="3CD53AB1">
      <w:pPr>
        <w:numPr>
          <w:ilvl w:val="0"/>
          <w:numId w:val="0"/>
        </w:numPr>
        <w:spacing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G）所有温湿条件均在库内产品预冷完成后，封库静态条件下的温湿度条件。气体成分需要在库体绝对气密性下的前提条件。</w:t>
      </w:r>
    </w:p>
    <w:p w14:paraId="604F47DA">
      <w:pPr>
        <w:numPr>
          <w:ilvl w:val="0"/>
          <w:numId w:val="0"/>
        </w:numPr>
        <w:spacing w:line="360" w:lineRule="auto"/>
        <w:ind w:left="0" w:leftChars="0" w:firstLine="0" w:firstLineChars="0"/>
        <w:outlineLvl w:val="2"/>
        <w:rPr>
          <w:rFonts w:hint="eastAsia" w:ascii="宋体" w:hAnsi="宋体" w:eastAsia="宋体" w:cs="宋体"/>
          <w:b/>
          <w:bCs/>
          <w:kern w:val="2"/>
          <w:sz w:val="21"/>
          <w:szCs w:val="21"/>
          <w:lang w:val="en-US" w:eastAsia="zh-CN" w:bidi="ar-SA"/>
        </w:rPr>
      </w:pPr>
      <w:bookmarkStart w:id="1650" w:name="_Toc28002"/>
      <w:r>
        <w:rPr>
          <w:rFonts w:hint="eastAsia" w:ascii="宋体" w:hAnsi="宋体" w:eastAsia="宋体" w:cs="宋体"/>
          <w:b/>
          <w:bCs/>
          <w:kern w:val="2"/>
          <w:sz w:val="21"/>
          <w:szCs w:val="21"/>
          <w:lang w:val="en-US" w:eastAsia="zh-CN" w:bidi="ar-SA"/>
        </w:rPr>
        <w:t>1.3 数智化的技术要求：</w:t>
      </w:r>
      <w:bookmarkEnd w:id="1650"/>
    </w:p>
    <w:p w14:paraId="4DB4F463">
      <w:pPr>
        <w:numPr>
          <w:ilvl w:val="0"/>
          <w:numId w:val="0"/>
        </w:numPr>
        <w:spacing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A）搭建园区供应链协同平台SCP平台是一个产业级软件平台，通过数字化手段重构了水果产业链的信息流、物流、资金流，解决了传统水果产业分散、低效、高损耗的痛点，为产业参与者提供了从田间到舌尖的全程数字化解决方案。</w:t>
      </w:r>
    </w:p>
    <w:p w14:paraId="6D1C6604">
      <w:pPr>
        <w:numPr>
          <w:ilvl w:val="0"/>
          <w:numId w:val="0"/>
        </w:numPr>
        <w:spacing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B）立体冷库实现无人化自动进出仓储管理；分拣车间成品的周转实现自动化机械人的物流搬运作业。</w:t>
      </w:r>
    </w:p>
    <w:p w14:paraId="323B936A">
      <w:pPr>
        <w:numPr>
          <w:ilvl w:val="0"/>
          <w:numId w:val="0"/>
        </w:numPr>
        <w:spacing w:line="360" w:lineRule="auto"/>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C）提供从月台卸车、分选加工到进出立体冷库的全流程的物流作业流程可示化模拟的仿真动漫。</w:t>
      </w:r>
    </w:p>
    <w:p w14:paraId="3B11500E">
      <w:pPr>
        <w:numPr>
          <w:ilvl w:val="0"/>
          <w:numId w:val="0"/>
        </w:numPr>
        <w:spacing w:line="360" w:lineRule="auto"/>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D）生产管理系统（MES）订单处理支持多角色在线协同，包括果农、贸易商、加工商、仓储物流、批发商、零售商等在同一平台进行订单处理，从而实现从采购到销售的全流程状态实时跟踪和订单全程可视化，由订单产生的交易实现智能对账结算和自动化对账，支持多费用类型统一结算；仓储管理系统（WMS）精细化仓储管理支持多温区管理，包括冷藏、冷冻、常温等不同温层精细化管控，对于在库商品进行批次精准管理和“一批一码一位”，标准及灵活的系统流程指引仓库的收货、上架、拣选、发货等作业，顺应行业智能趋势，与ASRS自动化立库、AGV机器人、四向穿梭车等智能设备进行深度集成，实现存储密度及产能、效率大幅提升。及能源运维管理平台必须满足依据项目运营定位及二次定制开发要求；</w:t>
      </w:r>
    </w:p>
    <w:p w14:paraId="57871A84">
      <w:pPr>
        <w:numPr>
          <w:ilvl w:val="0"/>
          <w:numId w:val="0"/>
        </w:numPr>
        <w:spacing w:line="360" w:lineRule="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E</w:t>
      </w:r>
      <w:r>
        <w:rPr>
          <w:rFonts w:hint="eastAsia" w:ascii="宋体" w:hAnsi="宋体" w:eastAsia="宋体" w:cs="宋体"/>
          <w:kern w:val="2"/>
          <w:sz w:val="21"/>
          <w:szCs w:val="21"/>
          <w:lang w:val="en-US" w:eastAsia="zh-CN" w:bidi="ar-SA"/>
        </w:rPr>
        <w:t>）果蔬采后保鲜是一个系统性整体工程，要求必须具备保鲜工艺技术解决方案的能力，具备果蔬保鲜贮藏的成熟运维管理平台，并满足与生产管理及经营的保鲜研发融合。</w:t>
      </w:r>
    </w:p>
    <w:p w14:paraId="745AB49A">
      <w:pPr>
        <w:numPr>
          <w:ilvl w:val="0"/>
          <w:numId w:val="0"/>
        </w:numPr>
        <w:spacing w:line="360" w:lineRule="auto"/>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F</w:t>
      </w:r>
      <w:r>
        <w:rPr>
          <w:rFonts w:hint="eastAsia" w:ascii="宋体" w:hAnsi="宋体" w:eastAsia="宋体" w:cs="宋体"/>
          <w:kern w:val="2"/>
          <w:sz w:val="21"/>
          <w:szCs w:val="21"/>
          <w:lang w:val="en-US" w:eastAsia="zh-CN" w:bidi="ar-SA"/>
        </w:rPr>
        <w:t>）数据分析与决策支持，提供实时监控看板，监控订单生产进度、库存健康度、关键运营指标、库存周转率、销售采购趋势、损耗热点分析、预测与建议、智能补货建议等。</w:t>
      </w:r>
    </w:p>
    <w:p w14:paraId="37B79CD4">
      <w:pPr>
        <w:numPr>
          <w:ilvl w:val="0"/>
          <w:numId w:val="0"/>
        </w:numPr>
        <w:spacing w:line="360" w:lineRule="auto"/>
        <w:ind w:left="0" w:leftChars="0" w:firstLine="0" w:firstLineChars="0"/>
        <w:outlineLvl w:val="1"/>
        <w:rPr>
          <w:rFonts w:hint="eastAsia" w:ascii="宋体" w:hAnsi="宋体" w:eastAsia="宋体" w:cs="宋体"/>
          <w:b/>
          <w:bCs/>
          <w:sz w:val="21"/>
          <w:szCs w:val="21"/>
          <w:lang w:val="en-US" w:eastAsia="zh-CN"/>
        </w:rPr>
      </w:pPr>
      <w:bookmarkStart w:id="1651" w:name="_Toc2611"/>
      <w:r>
        <w:rPr>
          <w:rFonts w:hint="eastAsia" w:ascii="宋体" w:hAnsi="宋体" w:eastAsia="宋体" w:cs="宋体"/>
          <w:b/>
          <w:bCs/>
          <w:sz w:val="21"/>
          <w:szCs w:val="21"/>
          <w:lang w:val="en-US" w:eastAsia="zh-CN"/>
        </w:rPr>
        <w:t>2、品质要求</w:t>
      </w:r>
      <w:bookmarkEnd w:id="1651"/>
    </w:p>
    <w:p w14:paraId="37852E2C">
      <w:pPr>
        <w:numPr>
          <w:ilvl w:val="0"/>
          <w:numId w:val="0"/>
        </w:numPr>
        <w:spacing w:line="360" w:lineRule="auto"/>
        <w:ind w:left="0" w:leftChars="0" w:firstLine="0" w:firstLineChars="0"/>
        <w:outlineLvl w:val="2"/>
        <w:rPr>
          <w:rFonts w:hint="eastAsia" w:ascii="宋体" w:hAnsi="宋体" w:eastAsia="宋体" w:cs="宋体"/>
          <w:b/>
          <w:bCs/>
          <w:kern w:val="2"/>
          <w:sz w:val="21"/>
          <w:szCs w:val="21"/>
          <w:lang w:val="en-US" w:eastAsia="zh-CN" w:bidi="ar-SA"/>
        </w:rPr>
      </w:pPr>
      <w:bookmarkStart w:id="1652" w:name="_Toc30231"/>
      <w:r>
        <w:rPr>
          <w:rFonts w:hint="eastAsia" w:ascii="宋体" w:hAnsi="宋体" w:eastAsia="宋体" w:cs="宋体"/>
          <w:b/>
          <w:bCs/>
          <w:kern w:val="2"/>
          <w:sz w:val="21"/>
          <w:szCs w:val="21"/>
          <w:lang w:val="en-US" w:eastAsia="zh-CN" w:bidi="ar-SA"/>
        </w:rPr>
        <w:t>2.1方案要求：</w:t>
      </w:r>
      <w:bookmarkEnd w:id="1652"/>
    </w:p>
    <w:p w14:paraId="5B2953FD">
      <w:pPr>
        <w:numPr>
          <w:ilvl w:val="0"/>
          <w:numId w:val="0"/>
        </w:numPr>
        <w:spacing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2.1.1、项目设计目标：打造一个低损耗率、品质最佳、绿色低碳、安全高效的冷链标杆工程。系统须保证符合工艺技术的要求，其中包括本文件中明确描述或暗示的以及有效完成系统功能所需的所有系统和设备的设计、制造、装配、检验、运输、安装、调试、最终验收和售后服务。</w:t>
      </w:r>
    </w:p>
    <w:p w14:paraId="6F5830CA">
      <w:pPr>
        <w:numPr>
          <w:ilvl w:val="0"/>
          <w:numId w:val="0"/>
        </w:numPr>
        <w:spacing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2.1.2、由于果蔬采后管理中贮藏为极关重要环节，因此要求标准建设，严格按“核心设备及主材要求”选配，需求承包商将对项目总体性，成套性负责。</w:t>
      </w:r>
    </w:p>
    <w:bookmarkEnd w:id="1647"/>
    <w:p w14:paraId="7CF63C47">
      <w:pPr>
        <w:numPr>
          <w:ilvl w:val="0"/>
          <w:numId w:val="0"/>
        </w:numPr>
        <w:spacing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2.1.3、由于制冷系统属于特种设备，专业分包单位必须满足《特种设备法》及《建筑法》的相应要求，完成相应压力管道及压力容器的报建全套手续。</w:t>
      </w:r>
    </w:p>
    <w:p w14:paraId="2F14C3A4">
      <w:pPr>
        <w:numPr>
          <w:ilvl w:val="0"/>
          <w:numId w:val="0"/>
        </w:numPr>
        <w:spacing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2.1.4、本项目的制冷系统、加湿、气体调节系统是交钥匙工程，所提交的系统必须是通电、通水即可使用的系统。承包商将对系统的总体性，成套性负责。</w:t>
      </w:r>
    </w:p>
    <w:p w14:paraId="1DC2DDF1">
      <w:pPr>
        <w:numPr>
          <w:ilvl w:val="0"/>
          <w:numId w:val="0"/>
        </w:numPr>
        <w:spacing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2.1.5、雇主所要求的系统必须是优质、完整、技术先进、操作方便、维护简便的制冷系统。系统须保证符合技术规格书的要求。其中包括招标技术文件中明确描述或暗示的以及有效完成系统功能所需的所有系统和设备的设计、制造、装配、检验、运输、仓储、安装、调试、初验、试运行、工程监督、劳务、最终验收和售后服务，以及上述工作所需的设备、材料、附件、配件、工具、仪器、易耗件和备件的提供等，并按照上述顺序向招标人移交完整的独立冷源装配式制冷系统、加湿、气体调节以及相关文件资料，并保证符合技术文件的要求。承包商只有在得到雇主签发的验收合格书面证明后，各项工作和整个工程才能算完成。</w:t>
      </w:r>
    </w:p>
    <w:p w14:paraId="660399DF">
      <w:pPr>
        <w:numPr>
          <w:ilvl w:val="0"/>
          <w:numId w:val="0"/>
        </w:numPr>
        <w:spacing w:line="360" w:lineRule="auto"/>
        <w:ind w:left="0" w:leftChars="0" w:firstLine="0" w:firstLineChars="0"/>
        <w:outlineLvl w:val="1"/>
        <w:rPr>
          <w:rFonts w:hint="eastAsia" w:ascii="宋体" w:hAnsi="宋体" w:eastAsia="宋体" w:cs="宋体"/>
          <w:b/>
          <w:bCs/>
          <w:sz w:val="21"/>
          <w:szCs w:val="21"/>
          <w:lang w:val="en-US" w:eastAsia="zh-CN"/>
        </w:rPr>
      </w:pPr>
      <w:bookmarkStart w:id="1653" w:name="_Toc152842900"/>
      <w:bookmarkStart w:id="1654" w:name="_Toc25302"/>
      <w:r>
        <w:rPr>
          <w:rFonts w:hint="eastAsia" w:ascii="宋体" w:hAnsi="宋体" w:eastAsia="宋体" w:cs="宋体"/>
          <w:b/>
          <w:bCs/>
          <w:sz w:val="21"/>
          <w:szCs w:val="21"/>
          <w:lang w:val="en-US" w:eastAsia="zh-CN"/>
        </w:rPr>
        <w:t>3、核心设备</w:t>
      </w:r>
      <w:bookmarkEnd w:id="1653"/>
      <w:r>
        <w:rPr>
          <w:rFonts w:hint="eastAsia" w:ascii="宋体" w:hAnsi="宋体" w:eastAsia="宋体" w:cs="宋体"/>
          <w:b/>
          <w:bCs/>
          <w:sz w:val="21"/>
          <w:szCs w:val="21"/>
          <w:lang w:val="en-US" w:eastAsia="zh-CN"/>
        </w:rPr>
        <w:t>及主材要求</w:t>
      </w:r>
      <w:bookmarkEnd w:id="1654"/>
    </w:p>
    <w:p w14:paraId="300CD22B">
      <w:pPr>
        <w:numPr>
          <w:ilvl w:val="0"/>
          <w:numId w:val="0"/>
        </w:numPr>
        <w:spacing w:line="360" w:lineRule="auto"/>
        <w:ind w:left="0" w:leftChars="0" w:firstLine="0" w:firstLineChars="0"/>
        <w:outlineLvl w:val="2"/>
        <w:rPr>
          <w:rFonts w:hint="eastAsia" w:ascii="宋体" w:hAnsi="宋体" w:eastAsia="宋体" w:cs="宋体"/>
          <w:b/>
          <w:bCs/>
          <w:kern w:val="2"/>
          <w:sz w:val="21"/>
          <w:szCs w:val="21"/>
          <w:lang w:val="en-US" w:eastAsia="zh-CN" w:bidi="ar-SA"/>
        </w:rPr>
      </w:pPr>
      <w:bookmarkStart w:id="1655" w:name="_Toc152842901"/>
      <w:bookmarkStart w:id="1656" w:name="_Toc25865"/>
      <w:r>
        <w:rPr>
          <w:rFonts w:hint="eastAsia" w:ascii="宋体" w:hAnsi="宋体" w:eastAsia="宋体" w:cs="宋体"/>
          <w:b/>
          <w:bCs/>
          <w:kern w:val="2"/>
          <w:sz w:val="21"/>
          <w:szCs w:val="21"/>
          <w:lang w:val="en-US" w:eastAsia="zh-CN" w:bidi="ar-SA"/>
        </w:rPr>
        <w:t>3.1、压缩机组：</w:t>
      </w:r>
      <w:bookmarkEnd w:id="1655"/>
      <w:bookmarkEnd w:id="1656"/>
    </w:p>
    <w:p w14:paraId="63CE5DB6">
      <w:pPr>
        <w:numPr>
          <w:ilvl w:val="0"/>
          <w:numId w:val="0"/>
        </w:numPr>
        <w:spacing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3.1.1、基于项目为零碳园区，从节能及减碳的要求制冷冷源采用高效（高COP值）的开启式螺杆机组，开启式螺杆压缩机的螺杆转子啮合精度高，容积效率与绝热效率优于同功率的半封闭螺杆压缩机和活塞式压缩机，在大型冷库持续满负荷或变负荷运行时，能有效降低单位冷量的能耗，长期使用可显著减少运营成本。</w:t>
      </w:r>
    </w:p>
    <w:p w14:paraId="6A172DB7">
      <w:pPr>
        <w:numPr>
          <w:ilvl w:val="0"/>
          <w:numId w:val="0"/>
        </w:numPr>
        <w:spacing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3.1.2、从负荷调节匹配性、灵活性要求冷源采用多机并联群控策略，每个工况必须选配有相应的带变频调控，满足低负荷下的冷源节能需求。机组可通过滑阀调节实现10%–100% 的无级制冷量调节，能精准匹配大型冷库因货物进出、环境温度变化产生的负荷波动，避免频繁启停造成的能源浪费和设备损耗，保持库温稳定。</w:t>
      </w:r>
    </w:p>
    <w:p w14:paraId="7D2F7EA9">
      <w:pPr>
        <w:numPr>
          <w:ilvl w:val="0"/>
          <w:numId w:val="0"/>
        </w:numPr>
        <w:spacing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3.1.3、</w:t>
      </w:r>
      <w:bookmarkStart w:id="1657" w:name="_Toc10142"/>
      <w:bookmarkStart w:id="1658" w:name="_Toc25968"/>
      <w:r>
        <w:rPr>
          <w:rFonts w:hint="eastAsia" w:ascii="宋体" w:hAnsi="宋体" w:eastAsia="宋体" w:cs="宋体"/>
          <w:kern w:val="2"/>
          <w:sz w:val="21"/>
          <w:szCs w:val="21"/>
          <w:lang w:val="en-US" w:eastAsia="zh-CN" w:bidi="ar-SA"/>
        </w:rPr>
        <w:t>采用高效三级油分离器，油分离效果高达10PPM</w:t>
      </w:r>
      <w:bookmarkEnd w:id="1657"/>
      <w:r>
        <w:rPr>
          <w:rFonts w:hint="eastAsia" w:ascii="宋体" w:hAnsi="宋体" w:eastAsia="宋体" w:cs="宋体"/>
          <w:kern w:val="2"/>
          <w:sz w:val="21"/>
          <w:szCs w:val="21"/>
          <w:lang w:val="en-US" w:eastAsia="zh-CN" w:bidi="ar-SA"/>
        </w:rPr>
        <w:t>，配套L10级的10万小时设计工况使用寿命的抗摩擦式滚动轴承。</w:t>
      </w:r>
      <w:bookmarkEnd w:id="1658"/>
    </w:p>
    <w:p w14:paraId="3075EE86">
      <w:pPr>
        <w:numPr>
          <w:ilvl w:val="0"/>
          <w:numId w:val="0"/>
        </w:numPr>
        <w:spacing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3.1.4、独特的油温三通阀设计，保证机组常年运行下的油温恒定，从而保持冷冻油粘度的稳定，使机组常年具有良好的润滑、冷却和密封性能。</w:t>
      </w:r>
    </w:p>
    <w:p w14:paraId="6FE2D0B5">
      <w:pPr>
        <w:numPr>
          <w:ilvl w:val="0"/>
          <w:numId w:val="0"/>
        </w:numPr>
        <w:spacing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3.1.5、压缩机无油泵设计，减少功耗和润滑油系统的故障发生率，独特的冷启动阀设计使系统快速建立油压，确保系统可靠润滑。</w:t>
      </w:r>
    </w:p>
    <w:p w14:paraId="70F85B6B">
      <w:pPr>
        <w:numPr>
          <w:ilvl w:val="0"/>
          <w:numId w:val="0"/>
        </w:numPr>
        <w:spacing w:line="360" w:lineRule="auto"/>
        <w:ind w:left="0" w:leftChars="0" w:firstLine="0" w:firstLineChars="0"/>
        <w:outlineLvl w:val="2"/>
        <w:rPr>
          <w:rFonts w:hint="eastAsia" w:ascii="宋体" w:hAnsi="宋体" w:eastAsia="宋体" w:cs="宋体"/>
          <w:b/>
          <w:bCs/>
          <w:kern w:val="2"/>
          <w:sz w:val="21"/>
          <w:szCs w:val="21"/>
          <w:lang w:val="en-US" w:eastAsia="zh-CN" w:bidi="ar-SA"/>
        </w:rPr>
      </w:pPr>
      <w:bookmarkStart w:id="1659" w:name="_Toc152842902"/>
      <w:bookmarkStart w:id="1660" w:name="_Toc14352"/>
      <w:r>
        <w:rPr>
          <w:rFonts w:hint="eastAsia" w:ascii="宋体" w:hAnsi="宋体" w:eastAsia="宋体" w:cs="宋体"/>
          <w:b/>
          <w:bCs/>
          <w:kern w:val="2"/>
          <w:sz w:val="21"/>
          <w:szCs w:val="21"/>
          <w:lang w:val="en-US" w:eastAsia="zh-CN" w:bidi="ar-SA"/>
        </w:rPr>
        <w:t>3.2、</w:t>
      </w:r>
      <w:bookmarkEnd w:id="1659"/>
      <w:r>
        <w:rPr>
          <w:rFonts w:hint="eastAsia" w:ascii="宋体" w:hAnsi="宋体" w:eastAsia="宋体" w:cs="宋体"/>
          <w:b/>
          <w:bCs/>
          <w:kern w:val="2"/>
          <w:sz w:val="21"/>
          <w:szCs w:val="21"/>
          <w:lang w:val="en-US" w:eastAsia="zh-CN" w:bidi="ar-SA"/>
        </w:rPr>
        <w:t>蒸发器：</w:t>
      </w:r>
      <w:bookmarkEnd w:id="1660"/>
    </w:p>
    <w:p w14:paraId="517B5B25">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3.2.1、保鲜库及气调库的冷风机，8k温差，外表面材料镀锌钢(有防腐蚀涂层)，风扇罩防腐处理、翅片为高效波纹铝片，管路为铜管叉排排列，38X38mm，翅片距要求6mm及以上，翅片厚度0.20mm及以上，翅片无涂层要求、电气要求配接线盒，接线盒防护等级IP65，风扇防护等级IP54，电机品牌要求高效外转子进口一线品牌配置 (带有热保护)，盘管结构应防泄漏、防冲击，侧板可自由打开，水盘为悬挂式，积水盘为双层保温积水盘，风扇数量不少于3个，制冷量/电机功率比不小于20。</w:t>
      </w:r>
    </w:p>
    <w:p w14:paraId="7A580879">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3.2.2、每一台冷风机的冷风机盘管采用铜管铝翅片，铜管壁厚不低于0.35mm，外径不小于12mm；吸气管上均配置针阀，每个盘管生产完成后，必须做压力试验，试验至少应为2.8MPa；接水盘内衬，完全的焊接接缝，0℃及以上温度的冷间接水盘有至少13mm厚的保温，保证不凝露；外侧是接水盘的镀锌外层。接水盘通长要有每米7mm 的倾斜便于排水。</w:t>
      </w:r>
    </w:p>
    <w:p w14:paraId="150C97FF">
      <w:pPr>
        <w:numPr>
          <w:ilvl w:val="0"/>
          <w:numId w:val="0"/>
        </w:numPr>
        <w:spacing w:line="360" w:lineRule="auto"/>
        <w:ind w:left="0" w:leftChars="0" w:firstLine="0" w:firstLineChars="0"/>
        <w:outlineLvl w:val="2"/>
        <w:rPr>
          <w:rFonts w:hint="eastAsia" w:ascii="宋体" w:hAnsi="宋体" w:eastAsia="宋体" w:cs="宋体"/>
          <w:b/>
          <w:bCs/>
          <w:kern w:val="2"/>
          <w:sz w:val="21"/>
          <w:szCs w:val="21"/>
          <w:lang w:val="en-US" w:eastAsia="zh-CN" w:bidi="ar-SA"/>
        </w:rPr>
      </w:pPr>
      <w:bookmarkStart w:id="1661" w:name="_Toc22858"/>
      <w:bookmarkStart w:id="1662" w:name="_Toc152842903"/>
      <w:r>
        <w:rPr>
          <w:rFonts w:hint="eastAsia" w:ascii="宋体" w:hAnsi="宋体" w:eastAsia="宋体" w:cs="宋体"/>
          <w:b/>
          <w:bCs/>
          <w:kern w:val="2"/>
          <w:sz w:val="21"/>
          <w:szCs w:val="21"/>
          <w:lang w:val="en-US" w:eastAsia="zh-CN" w:bidi="ar-SA"/>
        </w:rPr>
        <w:t>3.3、冷凝器</w:t>
      </w:r>
      <w:bookmarkEnd w:id="1661"/>
      <w:bookmarkEnd w:id="1662"/>
    </w:p>
    <w:p w14:paraId="48585C88">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3.3.1、采用方形填料式设计的蒸发式冷凝器，必须满足当地冬天零下气候的室外应用条件，必须采用耐腐蚀性强，阻热性能强的材料；</w:t>
      </w:r>
    </w:p>
    <w:p w14:paraId="2D246D8D">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3.3.2、根据所选用的机组及相应应用工况，要求进行配置蒸发式冷凝器（对其选配的冷凝器匹配性负责）,应提供相应的冷凝器的品牌、型号及其相关技术参数（包括但不限于排热量的数值及其计算方式、散热配置方式及计算过程等）</w:t>
      </w:r>
    </w:p>
    <w:p w14:paraId="06AC9338">
      <w:pPr>
        <w:numPr>
          <w:ilvl w:val="0"/>
          <w:numId w:val="0"/>
        </w:numPr>
        <w:spacing w:line="360" w:lineRule="auto"/>
        <w:ind w:left="0" w:leftChars="0" w:firstLine="0" w:firstLineChars="0"/>
        <w:outlineLvl w:val="2"/>
        <w:rPr>
          <w:rFonts w:hint="eastAsia" w:ascii="宋体" w:hAnsi="宋体" w:eastAsia="宋体" w:cs="宋体"/>
          <w:b/>
          <w:bCs/>
          <w:kern w:val="2"/>
          <w:sz w:val="21"/>
          <w:szCs w:val="21"/>
          <w:lang w:val="en-US" w:eastAsia="zh-CN" w:bidi="ar-SA"/>
        </w:rPr>
      </w:pPr>
      <w:bookmarkStart w:id="1663" w:name="_Toc152842904"/>
      <w:bookmarkStart w:id="1664" w:name="_Toc28956"/>
      <w:r>
        <w:rPr>
          <w:rFonts w:hint="eastAsia" w:ascii="宋体" w:hAnsi="宋体" w:eastAsia="宋体" w:cs="宋体"/>
          <w:b/>
          <w:bCs/>
          <w:kern w:val="2"/>
          <w:sz w:val="21"/>
          <w:szCs w:val="21"/>
          <w:lang w:val="en-US" w:eastAsia="zh-CN" w:bidi="ar-SA"/>
        </w:rPr>
        <w:t>3.4、</w:t>
      </w:r>
      <w:bookmarkEnd w:id="1663"/>
      <w:r>
        <w:rPr>
          <w:rFonts w:hint="eastAsia" w:ascii="宋体" w:hAnsi="宋体" w:eastAsia="宋体" w:cs="宋体"/>
          <w:b/>
          <w:bCs/>
          <w:kern w:val="2"/>
          <w:sz w:val="21"/>
          <w:szCs w:val="21"/>
          <w:lang w:val="en-US" w:eastAsia="zh-CN" w:bidi="ar-SA"/>
        </w:rPr>
        <w:t>阀门及管道</w:t>
      </w:r>
      <w:bookmarkEnd w:id="1664"/>
    </w:p>
    <w:p w14:paraId="0A466A5E">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3.4.1、为了降低泄漏风险及廷长使用寿命，要求采用工业制冷应用而设计的工业阀门，公称压力不低于2.5MPa，设计寿命满足20年；</w:t>
      </w:r>
    </w:p>
    <w:p w14:paraId="5C08DA45">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3.4.2、系统中所有的电磁阀、调节装置等前后必须设计截止阀，以便今后维护时可以检修拆卸和更换阀门。</w:t>
      </w:r>
    </w:p>
    <w:p w14:paraId="61FA5F59">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3.4.3、冷媒管道≥DN20采用无鏠钢管，所有管路的壁厚必须满足最大工作压力。且按照承压标准提供，需留有足够的安全系数。管道钢号满足《冷库设计标准》GB50072-2021及《压力管道规范 工业管道》GB/T20801.*-2020要求。</w:t>
      </w:r>
    </w:p>
    <w:p w14:paraId="7BACA57B">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3.4.4、无缝钢管必须为酸洗钝化外涂防锈漆处理,不允许现场人工除锈。</w:t>
      </w:r>
    </w:p>
    <w:p w14:paraId="31836C84">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3.4.5、冷媒管道保温，为保证绝热材料的良好吸水性和抗腐蚀性，应采用现场发泡工艺。保温层外部必须用不锈钢板或铝皮包复保护，外部保护层要求管道≥0.5 ,应具有一定的强度防止保温材料被损坏。</w:t>
      </w:r>
    </w:p>
    <w:p w14:paraId="036DB956">
      <w:pPr>
        <w:numPr>
          <w:ilvl w:val="0"/>
          <w:numId w:val="0"/>
        </w:numPr>
        <w:spacing w:line="360" w:lineRule="auto"/>
        <w:ind w:left="0" w:leftChars="0" w:firstLine="0" w:firstLineChars="0"/>
        <w:outlineLvl w:val="1"/>
        <w:rPr>
          <w:rFonts w:hint="eastAsia" w:ascii="宋体" w:hAnsi="宋体" w:eastAsia="宋体" w:cs="宋体"/>
          <w:b/>
          <w:bCs/>
          <w:sz w:val="21"/>
          <w:szCs w:val="21"/>
          <w:lang w:val="en-US" w:eastAsia="zh-CN"/>
        </w:rPr>
      </w:pPr>
      <w:bookmarkStart w:id="1665" w:name="_Toc70413739"/>
      <w:bookmarkStart w:id="1666" w:name="_Toc6101"/>
      <w:bookmarkStart w:id="1667" w:name="_Toc152842905"/>
      <w:r>
        <w:rPr>
          <w:rFonts w:hint="eastAsia" w:ascii="宋体" w:hAnsi="宋体" w:eastAsia="宋体" w:cs="宋体"/>
          <w:b/>
          <w:bCs/>
          <w:sz w:val="21"/>
          <w:szCs w:val="21"/>
          <w:lang w:val="en-US" w:eastAsia="zh-CN"/>
        </w:rPr>
        <w:t>4、智能立体货架技术要求</w:t>
      </w:r>
      <w:bookmarkEnd w:id="1665"/>
      <w:bookmarkEnd w:id="1666"/>
    </w:p>
    <w:p w14:paraId="65166308">
      <w:pPr>
        <w:rPr>
          <w:rFonts w:hint="eastAsia" w:ascii="宋体" w:hAnsi="宋体" w:eastAsia="宋体" w:cs="宋体"/>
          <w:kern w:val="2"/>
          <w:sz w:val="21"/>
          <w:szCs w:val="21"/>
          <w:lang w:val="en-US" w:eastAsia="zh-CN" w:bidi="ar-SA"/>
        </w:rPr>
      </w:pPr>
      <w:bookmarkStart w:id="1668" w:name="_Toc70413740"/>
      <w:r>
        <w:rPr>
          <w:rFonts w:hint="eastAsia" w:ascii="宋体" w:hAnsi="宋体" w:eastAsia="宋体" w:cs="宋体"/>
          <w:kern w:val="2"/>
          <w:sz w:val="21"/>
          <w:szCs w:val="21"/>
          <w:lang w:val="en-US" w:eastAsia="zh-CN" w:bidi="ar-SA"/>
        </w:rPr>
        <w:t>存储单元</w:t>
      </w:r>
      <w:bookmarkEnd w:id="1668"/>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8"/>
        <w:gridCol w:w="1418"/>
        <w:gridCol w:w="6564"/>
      </w:tblGrid>
      <w:tr w14:paraId="48E99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4" w:hRule="atLeast"/>
          <w:jc w:val="center"/>
        </w:trPr>
        <w:tc>
          <w:tcPr>
            <w:tcW w:w="1218" w:type="dxa"/>
            <w:vMerge w:val="restart"/>
            <w:shd w:val="clear" w:color="auto" w:fill="auto"/>
            <w:vAlign w:val="center"/>
          </w:tcPr>
          <w:p w14:paraId="0EC021E9">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货物单元</w:t>
            </w:r>
          </w:p>
        </w:tc>
        <w:tc>
          <w:tcPr>
            <w:tcW w:w="1418" w:type="dxa"/>
            <w:shd w:val="clear" w:color="auto" w:fill="auto"/>
            <w:vAlign w:val="center"/>
          </w:tcPr>
          <w:p w14:paraId="58B1CDE7">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托盘</w:t>
            </w:r>
          </w:p>
        </w:tc>
        <w:tc>
          <w:tcPr>
            <w:tcW w:w="6564" w:type="dxa"/>
            <w:shd w:val="clear" w:color="auto" w:fill="auto"/>
            <w:vAlign w:val="center"/>
          </w:tcPr>
          <w:p w14:paraId="7115E857">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川字托盘，1200mm（长）×1000mm（宽）×160mm（高）</w:t>
            </w:r>
          </w:p>
          <w:p w14:paraId="344A7C13">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zh-CN" w:eastAsia="zh-CN" w:bidi="ar-SA"/>
              </w:rPr>
              <w:t>（货叉插孔高度大于125mm），</w:t>
            </w:r>
            <w:r>
              <w:rPr>
                <w:rFonts w:hint="eastAsia" w:ascii="宋体" w:hAnsi="宋体" w:eastAsia="宋体" w:cs="宋体"/>
                <w:kern w:val="2"/>
                <w:sz w:val="21"/>
                <w:szCs w:val="21"/>
                <w:lang w:val="en-US" w:eastAsia="zh-CN" w:bidi="ar-SA"/>
              </w:rPr>
              <w:t>川字欧式标准托盘</w:t>
            </w:r>
          </w:p>
        </w:tc>
      </w:tr>
      <w:tr w14:paraId="65E89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8" w:type="dxa"/>
            <w:vMerge w:val="continue"/>
            <w:shd w:val="clear" w:color="auto" w:fill="auto"/>
          </w:tcPr>
          <w:p w14:paraId="1AE9E180">
            <w:pPr>
              <w:rPr>
                <w:rFonts w:hint="eastAsia" w:ascii="宋体" w:hAnsi="宋体" w:eastAsia="宋体" w:cs="宋体"/>
                <w:kern w:val="2"/>
                <w:sz w:val="21"/>
                <w:szCs w:val="21"/>
                <w:lang w:val="en-US" w:eastAsia="zh-CN" w:bidi="ar-SA"/>
              </w:rPr>
            </w:pPr>
          </w:p>
        </w:tc>
        <w:tc>
          <w:tcPr>
            <w:tcW w:w="1418" w:type="dxa"/>
            <w:shd w:val="clear" w:color="auto" w:fill="auto"/>
            <w:vAlign w:val="center"/>
          </w:tcPr>
          <w:p w14:paraId="7A2E62F7">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单元规格</w:t>
            </w:r>
          </w:p>
        </w:tc>
        <w:tc>
          <w:tcPr>
            <w:tcW w:w="6564" w:type="dxa"/>
            <w:shd w:val="clear" w:color="auto" w:fill="auto"/>
            <w:vAlign w:val="center"/>
          </w:tcPr>
          <w:p w14:paraId="1EB378C1">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1200mm（长）×1000mm（宽）×1550mm（高）（含托盘）</w:t>
            </w:r>
          </w:p>
        </w:tc>
      </w:tr>
      <w:tr w14:paraId="62B56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8" w:type="dxa"/>
            <w:vMerge w:val="continue"/>
            <w:shd w:val="clear" w:color="auto" w:fill="auto"/>
          </w:tcPr>
          <w:p w14:paraId="43A51EC5">
            <w:pPr>
              <w:rPr>
                <w:rFonts w:hint="eastAsia" w:ascii="宋体" w:hAnsi="宋体" w:eastAsia="宋体" w:cs="宋体"/>
                <w:kern w:val="2"/>
                <w:sz w:val="21"/>
                <w:szCs w:val="21"/>
                <w:lang w:val="en-US" w:eastAsia="zh-CN" w:bidi="ar-SA"/>
              </w:rPr>
            </w:pPr>
          </w:p>
        </w:tc>
        <w:tc>
          <w:tcPr>
            <w:tcW w:w="1418" w:type="dxa"/>
            <w:shd w:val="clear" w:color="auto" w:fill="auto"/>
            <w:vAlign w:val="center"/>
          </w:tcPr>
          <w:p w14:paraId="5CB547F6">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单元重量</w:t>
            </w:r>
          </w:p>
        </w:tc>
        <w:tc>
          <w:tcPr>
            <w:tcW w:w="6564" w:type="dxa"/>
            <w:shd w:val="clear" w:color="auto" w:fill="auto"/>
            <w:vAlign w:val="center"/>
          </w:tcPr>
          <w:p w14:paraId="591B0E95">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zh-CN" w:eastAsia="zh-CN" w:bidi="ar-SA"/>
              </w:rPr>
              <w:t>单个托盘重量最大1000kg；</w:t>
            </w:r>
          </w:p>
        </w:tc>
      </w:tr>
      <w:tr w14:paraId="7733E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1218" w:type="dxa"/>
            <w:vMerge w:val="continue"/>
            <w:shd w:val="clear" w:color="auto" w:fill="auto"/>
          </w:tcPr>
          <w:p w14:paraId="4E5CEC3D">
            <w:pPr>
              <w:rPr>
                <w:rFonts w:hint="eastAsia" w:ascii="宋体" w:hAnsi="宋体" w:eastAsia="宋体" w:cs="宋体"/>
                <w:kern w:val="2"/>
                <w:sz w:val="21"/>
                <w:szCs w:val="21"/>
                <w:lang w:val="en-US" w:eastAsia="zh-CN" w:bidi="ar-SA"/>
              </w:rPr>
            </w:pPr>
          </w:p>
        </w:tc>
        <w:tc>
          <w:tcPr>
            <w:tcW w:w="1418" w:type="dxa"/>
            <w:shd w:val="clear" w:color="auto" w:fill="auto"/>
            <w:vAlign w:val="center"/>
          </w:tcPr>
          <w:p w14:paraId="59FC1C39">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叉取方向</w:t>
            </w:r>
          </w:p>
        </w:tc>
        <w:tc>
          <w:tcPr>
            <w:tcW w:w="6564" w:type="dxa"/>
            <w:shd w:val="clear" w:color="auto" w:fill="auto"/>
            <w:vAlign w:val="center"/>
          </w:tcPr>
          <w:p w14:paraId="39CD969E">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托盘1000mm方向取叉</w:t>
            </w:r>
          </w:p>
        </w:tc>
      </w:tr>
    </w:tbl>
    <w:p w14:paraId="49730876">
      <w:pPr>
        <w:rPr>
          <w:rFonts w:hint="eastAsia" w:ascii="宋体" w:hAnsi="宋体" w:eastAsia="宋体" w:cs="宋体"/>
          <w:kern w:val="2"/>
          <w:sz w:val="21"/>
          <w:szCs w:val="21"/>
          <w:lang w:val="en-US" w:eastAsia="zh-CN" w:bidi="ar-SA"/>
        </w:rPr>
      </w:pPr>
      <w:bookmarkStart w:id="1669" w:name="_Toc70413741"/>
      <w:r>
        <w:rPr>
          <w:rFonts w:hint="eastAsia" w:ascii="宋体" w:hAnsi="宋体" w:eastAsia="宋体" w:cs="宋体"/>
          <w:kern w:val="2"/>
          <w:sz w:val="21"/>
          <w:szCs w:val="21"/>
          <w:lang w:val="en-US" w:eastAsia="zh-CN" w:bidi="ar-SA"/>
        </w:rPr>
        <w:t>货架技术要求</w:t>
      </w:r>
      <w:bookmarkEnd w:id="1669"/>
    </w:p>
    <w:p w14:paraId="264AD274">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设计抗震设防烈度按照当地抗震烈度要求。</w:t>
      </w:r>
    </w:p>
    <w:p w14:paraId="05A373AB">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-18度低温库货架与地面的连接采用预埋件方式，预埋件图纸由立体库供应商中标后提供，预埋件及施工由甲方提供，立体库供应商提供现场施工指导。</w:t>
      </w:r>
    </w:p>
    <w:p w14:paraId="1E6A5BC8">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a、投标人应提供主要货架构件的截面图及尺寸。</w:t>
      </w:r>
    </w:p>
    <w:p w14:paraId="1D0B8A3E">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货架（特别是立柱、横梁等主要结构件）的钢材（板材或型材）材质采用国内大型钢铁企业产</w:t>
      </w:r>
      <w:r>
        <w:rPr>
          <w:rFonts w:hint="eastAsia" w:ascii="宋体" w:hAnsi="宋体" w:eastAsia="宋体" w:cs="宋体"/>
          <w:kern w:val="2"/>
          <w:sz w:val="21"/>
          <w:szCs w:val="21"/>
          <w:lang w:val="sq-AL" w:eastAsia="zh-CN" w:bidi="ar-SA"/>
        </w:rPr>
        <w:t>Q355\Q235</w:t>
      </w:r>
      <w:r>
        <w:rPr>
          <w:rFonts w:hint="eastAsia" w:ascii="宋体" w:hAnsi="宋体" w:eastAsia="宋体" w:cs="宋体"/>
          <w:kern w:val="2"/>
          <w:sz w:val="21"/>
          <w:szCs w:val="21"/>
          <w:lang w:val="en-US" w:eastAsia="zh-CN" w:bidi="ar-SA"/>
        </w:rPr>
        <w:t>钢板或其它同档次钢板或型材，</w:t>
      </w:r>
      <w:r>
        <w:rPr>
          <w:rFonts w:hint="eastAsia" w:ascii="宋体" w:hAnsi="宋体" w:eastAsia="宋体" w:cs="宋体"/>
          <w:kern w:val="2"/>
          <w:sz w:val="21"/>
          <w:szCs w:val="21"/>
          <w:lang w:val="sq-AL" w:eastAsia="zh-CN" w:bidi="ar-SA"/>
        </w:rPr>
        <w:t>保证产品的强度和使用可靠性。符合冷库-</w:t>
      </w:r>
      <w:r>
        <w:rPr>
          <w:rFonts w:hint="eastAsia" w:ascii="宋体" w:hAnsi="宋体" w:eastAsia="宋体" w:cs="宋体"/>
          <w:kern w:val="2"/>
          <w:sz w:val="21"/>
          <w:szCs w:val="21"/>
          <w:lang w:val="en-US" w:eastAsia="zh-CN" w:bidi="ar-SA"/>
        </w:rPr>
        <w:t>18</w:t>
      </w:r>
      <w:r>
        <w:rPr>
          <w:rFonts w:hint="eastAsia" w:ascii="宋体" w:hAnsi="宋体" w:eastAsia="宋体" w:cs="宋体"/>
          <w:kern w:val="2"/>
          <w:sz w:val="21"/>
          <w:szCs w:val="21"/>
          <w:lang w:val="sq-AL" w:eastAsia="zh-CN" w:bidi="ar-SA"/>
        </w:rPr>
        <w:t>℃低温环境要求。</w:t>
      </w:r>
    </w:p>
    <w:p w14:paraId="59768167">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b、货架立柱表面处理采用喷塑处理工艺。</w:t>
      </w:r>
    </w:p>
    <w:p w14:paraId="1D426DE3">
      <w:pPr>
        <w:rPr>
          <w:rFonts w:hint="eastAsia" w:ascii="宋体" w:hAnsi="宋体" w:eastAsia="宋体" w:cs="宋体"/>
          <w:kern w:val="2"/>
          <w:sz w:val="21"/>
          <w:szCs w:val="21"/>
          <w:lang w:val="sq-AL" w:eastAsia="zh-CN" w:bidi="ar-SA"/>
        </w:rPr>
      </w:pPr>
      <w:r>
        <w:rPr>
          <w:rFonts w:hint="eastAsia" w:ascii="宋体" w:hAnsi="宋体" w:eastAsia="宋体" w:cs="宋体"/>
          <w:kern w:val="2"/>
          <w:sz w:val="21"/>
          <w:szCs w:val="21"/>
          <w:lang w:val="sq-AL" w:eastAsia="zh-CN" w:bidi="ar-SA"/>
        </w:rPr>
        <w:t>具有良好的刚度和强度，满载状态下横梁的挠度&lt;1/250。</w:t>
      </w:r>
    </w:p>
    <w:p w14:paraId="3AAB07F2">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c、货架横梁不得存在预应力（如焊接应力等）。拒绝焊接式薄壁方钢管横梁。横梁同立柱的连接宜采用铆销连接。</w:t>
      </w:r>
    </w:p>
    <w:p w14:paraId="4912B39A">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d、托盘库货架采用横梁组合式的形式。</w:t>
      </w:r>
    </w:p>
    <w:p w14:paraId="68855499">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e、天轨采用10#角钢，地轨采用38kg/m。</w:t>
      </w:r>
    </w:p>
    <w:p w14:paraId="37166807">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f、货架品牌选用（非贴牌）：精星、世仓、海力。（及类似品质档次货架）</w:t>
      </w:r>
    </w:p>
    <w:p w14:paraId="2AA8CFBB">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g、货架颜色由投标方提供后，招标方选取。</w:t>
      </w:r>
    </w:p>
    <w:p w14:paraId="2F706631">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h、货架供应商应遵照执行JB/T 11270-2011行业标准规定的货架制造工艺和质量要求、制造偏差范围等。</w:t>
      </w:r>
    </w:p>
    <w:p w14:paraId="6E5D3162">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i、部件焊缝表面焊接均匀，不得有裂纹、夹渣、焊瘤、烧穿、弧坑和针状气孔等缺陷。</w:t>
      </w:r>
    </w:p>
    <w:p w14:paraId="72A9F0BD">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j、货架表面经脱脂、酸洗－磷化－水洗－烘干－静电喷涂，涂料采用热固环氧树脂（粉状），涂层厚度60μm，其质量均GB/T 6807-2001标准，保证涂层表面丰满平滑，无色差，不允许出现缩孔包花等现象。</w:t>
      </w:r>
    </w:p>
    <w:p w14:paraId="43F2194F">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k、货架精度</w:t>
      </w:r>
    </w:p>
    <w:tbl>
      <w:tblPr>
        <w:tblStyle w:val="41"/>
        <w:tblpPr w:leftFromText="180" w:rightFromText="180" w:vertAnchor="text" w:tblpXSpec="center"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242"/>
        <w:gridCol w:w="8080"/>
      </w:tblGrid>
      <w:tr w14:paraId="70E55B6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242" w:type="dxa"/>
            <w:vMerge w:val="restart"/>
            <w:vAlign w:val="center"/>
          </w:tcPr>
          <w:p w14:paraId="59D5E396">
            <w:pPr>
              <w:spacing w:line="30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货架片</w:t>
            </w:r>
          </w:p>
          <w:p w14:paraId="203B9ADB">
            <w:pPr>
              <w:spacing w:line="30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组装精度</w:t>
            </w:r>
          </w:p>
        </w:tc>
        <w:tc>
          <w:tcPr>
            <w:tcW w:w="8080" w:type="dxa"/>
            <w:vAlign w:val="center"/>
          </w:tcPr>
          <w:p w14:paraId="17372147">
            <w:pPr>
              <w:spacing w:line="30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货架片全长L的极限偏差为±2mm</w:t>
            </w:r>
          </w:p>
        </w:tc>
      </w:tr>
      <w:tr w14:paraId="079C033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242" w:type="dxa"/>
            <w:vMerge w:val="continue"/>
            <w:vAlign w:val="center"/>
          </w:tcPr>
          <w:p w14:paraId="0B70AC6C">
            <w:pPr>
              <w:spacing w:line="300" w:lineRule="auto"/>
              <w:jc w:val="center"/>
              <w:rPr>
                <w:rFonts w:hint="eastAsia" w:ascii="宋体" w:hAnsi="宋体" w:eastAsia="宋体" w:cs="宋体"/>
                <w:kern w:val="0"/>
                <w:sz w:val="21"/>
                <w:szCs w:val="21"/>
              </w:rPr>
            </w:pPr>
          </w:p>
        </w:tc>
        <w:tc>
          <w:tcPr>
            <w:tcW w:w="8080" w:type="dxa"/>
            <w:vAlign w:val="center"/>
          </w:tcPr>
          <w:p w14:paraId="1BE3CC3F">
            <w:pPr>
              <w:spacing w:line="30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货架片宽度D的极限偏差为±2mm</w:t>
            </w:r>
          </w:p>
        </w:tc>
      </w:tr>
      <w:tr w14:paraId="3BC3872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242" w:type="dxa"/>
            <w:vMerge w:val="continue"/>
            <w:vAlign w:val="center"/>
          </w:tcPr>
          <w:p w14:paraId="2525DC07">
            <w:pPr>
              <w:spacing w:line="300" w:lineRule="auto"/>
              <w:jc w:val="center"/>
              <w:rPr>
                <w:rFonts w:hint="eastAsia" w:ascii="宋体" w:hAnsi="宋体" w:eastAsia="宋体" w:cs="宋体"/>
                <w:kern w:val="0"/>
                <w:sz w:val="21"/>
                <w:szCs w:val="21"/>
              </w:rPr>
            </w:pPr>
          </w:p>
        </w:tc>
        <w:tc>
          <w:tcPr>
            <w:tcW w:w="8080" w:type="dxa"/>
            <w:vAlign w:val="center"/>
          </w:tcPr>
          <w:p w14:paraId="25A6ECD7">
            <w:pPr>
              <w:spacing w:line="30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货架片两底板高低差a的极限偏差为±0.5mm</w:t>
            </w:r>
          </w:p>
        </w:tc>
      </w:tr>
      <w:tr w14:paraId="06DB447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1242" w:type="dxa"/>
            <w:vMerge w:val="continue"/>
            <w:vAlign w:val="center"/>
          </w:tcPr>
          <w:p w14:paraId="67727904">
            <w:pPr>
              <w:spacing w:line="300" w:lineRule="auto"/>
              <w:jc w:val="center"/>
              <w:rPr>
                <w:rFonts w:hint="eastAsia" w:ascii="宋体" w:hAnsi="宋体" w:eastAsia="宋体" w:cs="宋体"/>
                <w:kern w:val="0"/>
                <w:sz w:val="21"/>
                <w:szCs w:val="21"/>
              </w:rPr>
            </w:pPr>
          </w:p>
        </w:tc>
        <w:tc>
          <w:tcPr>
            <w:tcW w:w="8080" w:type="dxa"/>
            <w:vAlign w:val="center"/>
          </w:tcPr>
          <w:p w14:paraId="7B11E430">
            <w:pPr>
              <w:spacing w:line="30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货架片两侧面在自然状态下应平整，无明显曲翘等现象</w:t>
            </w:r>
          </w:p>
        </w:tc>
      </w:tr>
      <w:tr w14:paraId="0EABD72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242" w:type="dxa"/>
            <w:vMerge w:val="restart"/>
            <w:vAlign w:val="center"/>
          </w:tcPr>
          <w:p w14:paraId="272BF9D4">
            <w:pPr>
              <w:spacing w:line="30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立柱</w:t>
            </w:r>
          </w:p>
          <w:p w14:paraId="5009556D">
            <w:pPr>
              <w:spacing w:line="30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加工精度</w:t>
            </w:r>
          </w:p>
        </w:tc>
        <w:tc>
          <w:tcPr>
            <w:tcW w:w="8080" w:type="dxa"/>
            <w:vAlign w:val="center"/>
          </w:tcPr>
          <w:p w14:paraId="1C623E5C">
            <w:pPr>
              <w:spacing w:line="30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立柱全长极限偏差为±2mm</w:t>
            </w:r>
          </w:p>
        </w:tc>
      </w:tr>
      <w:tr w14:paraId="3782797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242" w:type="dxa"/>
            <w:vMerge w:val="continue"/>
            <w:vAlign w:val="center"/>
          </w:tcPr>
          <w:p w14:paraId="452FC960">
            <w:pPr>
              <w:spacing w:line="300" w:lineRule="auto"/>
              <w:jc w:val="center"/>
              <w:rPr>
                <w:rFonts w:hint="eastAsia" w:ascii="宋体" w:hAnsi="宋体" w:eastAsia="宋体" w:cs="宋体"/>
                <w:kern w:val="0"/>
                <w:sz w:val="21"/>
                <w:szCs w:val="21"/>
              </w:rPr>
            </w:pPr>
          </w:p>
        </w:tc>
        <w:tc>
          <w:tcPr>
            <w:tcW w:w="8080" w:type="dxa"/>
            <w:vAlign w:val="center"/>
          </w:tcPr>
          <w:p w14:paraId="17AC927A">
            <w:pPr>
              <w:spacing w:line="30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首末孔距累积偏差为±3mm</w:t>
            </w:r>
          </w:p>
        </w:tc>
      </w:tr>
      <w:tr w14:paraId="2966968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1" w:hRule="atLeast"/>
        </w:trPr>
        <w:tc>
          <w:tcPr>
            <w:tcW w:w="1242" w:type="dxa"/>
            <w:vMerge w:val="continue"/>
            <w:vAlign w:val="center"/>
          </w:tcPr>
          <w:p w14:paraId="53A584A9">
            <w:pPr>
              <w:spacing w:line="300" w:lineRule="auto"/>
              <w:jc w:val="center"/>
              <w:rPr>
                <w:rFonts w:hint="eastAsia" w:ascii="宋体" w:hAnsi="宋体" w:eastAsia="宋体" w:cs="宋体"/>
                <w:kern w:val="0"/>
                <w:sz w:val="21"/>
                <w:szCs w:val="21"/>
              </w:rPr>
            </w:pPr>
          </w:p>
        </w:tc>
        <w:tc>
          <w:tcPr>
            <w:tcW w:w="8080" w:type="dxa"/>
            <w:vAlign w:val="center"/>
          </w:tcPr>
          <w:p w14:paraId="06F5D74C">
            <w:pPr>
              <w:spacing w:line="30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立柱宽度极限偏差为±1mm</w:t>
            </w:r>
          </w:p>
        </w:tc>
      </w:tr>
      <w:tr w14:paraId="7301C9F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242" w:type="dxa"/>
            <w:vMerge w:val="continue"/>
            <w:vAlign w:val="center"/>
          </w:tcPr>
          <w:p w14:paraId="417C53E2">
            <w:pPr>
              <w:spacing w:line="300" w:lineRule="auto"/>
              <w:jc w:val="center"/>
              <w:rPr>
                <w:rFonts w:hint="eastAsia" w:ascii="宋体" w:hAnsi="宋体" w:eastAsia="宋体" w:cs="宋体"/>
                <w:kern w:val="0"/>
                <w:sz w:val="21"/>
                <w:szCs w:val="21"/>
              </w:rPr>
            </w:pPr>
          </w:p>
        </w:tc>
        <w:tc>
          <w:tcPr>
            <w:tcW w:w="8080" w:type="dxa"/>
            <w:vAlign w:val="center"/>
          </w:tcPr>
          <w:p w14:paraId="3FB24099">
            <w:pPr>
              <w:spacing w:line="30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立柱内外弯曲偏差（f₁、f₂、f₃）</w:t>
            </w:r>
            <w:r>
              <w:rPr>
                <w:rFonts w:hint="eastAsia" w:ascii="宋体" w:hAnsi="宋体" w:eastAsia="宋体" w:cs="宋体"/>
                <w:bCs/>
                <w:kern w:val="0"/>
                <w:sz w:val="21"/>
                <w:szCs w:val="21"/>
              </w:rPr>
              <w:t>≤立柱高的1/1000</w:t>
            </w:r>
          </w:p>
        </w:tc>
      </w:tr>
      <w:tr w14:paraId="15D791F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1242" w:type="dxa"/>
            <w:vMerge w:val="continue"/>
            <w:vAlign w:val="center"/>
          </w:tcPr>
          <w:p w14:paraId="2690BD0C">
            <w:pPr>
              <w:spacing w:line="300" w:lineRule="auto"/>
              <w:jc w:val="center"/>
              <w:rPr>
                <w:rFonts w:hint="eastAsia" w:ascii="宋体" w:hAnsi="宋体" w:eastAsia="宋体" w:cs="宋体"/>
                <w:kern w:val="0"/>
                <w:sz w:val="21"/>
                <w:szCs w:val="21"/>
              </w:rPr>
            </w:pPr>
          </w:p>
        </w:tc>
        <w:tc>
          <w:tcPr>
            <w:tcW w:w="8080" w:type="dxa"/>
            <w:vAlign w:val="center"/>
          </w:tcPr>
          <w:p w14:paraId="0E8FFEF8">
            <w:pPr>
              <w:spacing w:line="30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立柱与底板的垂直度在500mm高度范围内为0.5mm</w:t>
            </w:r>
          </w:p>
        </w:tc>
      </w:tr>
      <w:tr w14:paraId="7EDDAA9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1242" w:type="dxa"/>
            <w:vMerge w:val="restart"/>
            <w:vAlign w:val="center"/>
          </w:tcPr>
          <w:p w14:paraId="0714F611">
            <w:pPr>
              <w:spacing w:line="30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横梁</w:t>
            </w:r>
          </w:p>
          <w:p w14:paraId="7899D6F6">
            <w:pPr>
              <w:spacing w:line="30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加工精度</w:t>
            </w:r>
          </w:p>
        </w:tc>
        <w:tc>
          <w:tcPr>
            <w:tcW w:w="8080" w:type="dxa"/>
            <w:vAlign w:val="center"/>
          </w:tcPr>
          <w:p w14:paraId="25D97A74">
            <w:pPr>
              <w:spacing w:line="30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横梁在胎具中心线上长度尺寸（安装时中-中尺寸）极限偏差为±1mm</w:t>
            </w:r>
          </w:p>
        </w:tc>
      </w:tr>
      <w:tr w14:paraId="20F289B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1242" w:type="dxa"/>
            <w:vMerge w:val="continue"/>
            <w:vAlign w:val="center"/>
          </w:tcPr>
          <w:p w14:paraId="2F25EA09">
            <w:pPr>
              <w:spacing w:line="300" w:lineRule="auto"/>
              <w:jc w:val="center"/>
              <w:rPr>
                <w:rFonts w:hint="eastAsia" w:ascii="宋体" w:hAnsi="宋体" w:eastAsia="宋体" w:cs="宋体"/>
                <w:kern w:val="0"/>
                <w:sz w:val="21"/>
                <w:szCs w:val="21"/>
              </w:rPr>
            </w:pPr>
          </w:p>
        </w:tc>
        <w:tc>
          <w:tcPr>
            <w:tcW w:w="8080" w:type="dxa"/>
            <w:vAlign w:val="center"/>
          </w:tcPr>
          <w:p w14:paraId="16D3BA78">
            <w:pPr>
              <w:spacing w:line="30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横梁净长（去除挂片的横梁长度尺寸）极限偏差为±0.5mm</w:t>
            </w:r>
          </w:p>
        </w:tc>
      </w:tr>
      <w:tr w14:paraId="4A34A98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1242" w:type="dxa"/>
            <w:vAlign w:val="center"/>
          </w:tcPr>
          <w:p w14:paraId="69814A67">
            <w:pPr>
              <w:spacing w:line="30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横梁挠度</w:t>
            </w:r>
          </w:p>
        </w:tc>
        <w:tc>
          <w:tcPr>
            <w:tcW w:w="8080" w:type="dxa"/>
            <w:vAlign w:val="center"/>
          </w:tcPr>
          <w:p w14:paraId="7F883DB7">
            <w:pPr>
              <w:spacing w:line="30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横梁在设计载荷下的最大挠度不超过横梁长度的1/250且</w:t>
            </w:r>
            <w:r>
              <w:rPr>
                <w:rFonts w:hint="eastAsia" w:ascii="宋体" w:hAnsi="宋体" w:eastAsia="宋体" w:cs="宋体"/>
                <w:bCs/>
                <w:kern w:val="0"/>
                <w:sz w:val="21"/>
                <w:szCs w:val="21"/>
              </w:rPr>
              <w:t>≤</w:t>
            </w:r>
            <w:r>
              <w:rPr>
                <w:rFonts w:hint="eastAsia" w:ascii="宋体" w:hAnsi="宋体" w:eastAsia="宋体" w:cs="宋体"/>
                <w:kern w:val="0"/>
                <w:sz w:val="21"/>
                <w:szCs w:val="21"/>
              </w:rPr>
              <w:t>10mm</w:t>
            </w:r>
          </w:p>
        </w:tc>
      </w:tr>
      <w:tr w14:paraId="435063C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1242" w:type="dxa"/>
            <w:vMerge w:val="restart"/>
            <w:vAlign w:val="center"/>
          </w:tcPr>
          <w:p w14:paraId="6A3D71E4">
            <w:pPr>
              <w:spacing w:line="30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安装精度</w:t>
            </w:r>
          </w:p>
        </w:tc>
        <w:tc>
          <w:tcPr>
            <w:tcW w:w="8080" w:type="dxa"/>
            <w:vAlign w:val="center"/>
          </w:tcPr>
          <w:p w14:paraId="57F02DC9">
            <w:pPr>
              <w:spacing w:line="30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运行轨与导向轨之间的垂直距离h极限偏差为±10mm</w:t>
            </w:r>
          </w:p>
        </w:tc>
      </w:tr>
      <w:tr w14:paraId="15A119C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1242" w:type="dxa"/>
            <w:vMerge w:val="continue"/>
            <w:vAlign w:val="center"/>
          </w:tcPr>
          <w:p w14:paraId="6CAB514D">
            <w:pPr>
              <w:spacing w:line="300" w:lineRule="auto"/>
              <w:jc w:val="center"/>
              <w:rPr>
                <w:rFonts w:hint="eastAsia" w:ascii="宋体" w:hAnsi="宋体" w:eastAsia="宋体" w:cs="宋体"/>
                <w:kern w:val="0"/>
                <w:sz w:val="21"/>
                <w:szCs w:val="21"/>
              </w:rPr>
            </w:pPr>
          </w:p>
        </w:tc>
        <w:tc>
          <w:tcPr>
            <w:tcW w:w="8080" w:type="dxa"/>
            <w:vAlign w:val="center"/>
          </w:tcPr>
          <w:p w14:paraId="2DB399C9">
            <w:pPr>
              <w:spacing w:line="30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运行轨与导向轨的水平错位（沿Z方向）f</w:t>
            </w:r>
            <w:r>
              <w:rPr>
                <w:rFonts w:hint="eastAsia" w:ascii="宋体" w:hAnsi="宋体" w:eastAsia="宋体" w:cs="宋体"/>
                <w:bCs/>
                <w:kern w:val="0"/>
                <w:sz w:val="21"/>
                <w:szCs w:val="21"/>
              </w:rPr>
              <w:t>≤5mm</w:t>
            </w:r>
          </w:p>
        </w:tc>
      </w:tr>
      <w:tr w14:paraId="348A2BA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1242" w:type="dxa"/>
            <w:vMerge w:val="continue"/>
            <w:vAlign w:val="center"/>
          </w:tcPr>
          <w:p w14:paraId="5EDF4904">
            <w:pPr>
              <w:spacing w:line="300" w:lineRule="auto"/>
              <w:jc w:val="center"/>
              <w:rPr>
                <w:rFonts w:hint="eastAsia" w:ascii="宋体" w:hAnsi="宋体" w:eastAsia="宋体" w:cs="宋体"/>
                <w:kern w:val="0"/>
                <w:sz w:val="21"/>
                <w:szCs w:val="21"/>
              </w:rPr>
            </w:pPr>
          </w:p>
        </w:tc>
        <w:tc>
          <w:tcPr>
            <w:tcW w:w="8080" w:type="dxa"/>
            <w:vAlign w:val="center"/>
          </w:tcPr>
          <w:p w14:paraId="7D279375">
            <w:pPr>
              <w:spacing w:line="30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货架片在Z方向的垂直度公差a为15mm</w:t>
            </w:r>
          </w:p>
        </w:tc>
      </w:tr>
      <w:tr w14:paraId="16CFB6A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1242" w:type="dxa"/>
            <w:vMerge w:val="continue"/>
            <w:vAlign w:val="center"/>
          </w:tcPr>
          <w:p w14:paraId="1BA111DF">
            <w:pPr>
              <w:spacing w:line="300" w:lineRule="auto"/>
              <w:jc w:val="center"/>
              <w:rPr>
                <w:rFonts w:hint="eastAsia" w:ascii="宋体" w:hAnsi="宋体" w:eastAsia="宋体" w:cs="宋体"/>
                <w:kern w:val="0"/>
                <w:sz w:val="21"/>
                <w:szCs w:val="21"/>
              </w:rPr>
            </w:pPr>
          </w:p>
        </w:tc>
        <w:tc>
          <w:tcPr>
            <w:tcW w:w="8080" w:type="dxa"/>
            <w:vAlign w:val="center"/>
          </w:tcPr>
          <w:p w14:paraId="607C00A0">
            <w:pPr>
              <w:spacing w:line="30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同一巷道两侧同列货架片在X方向上的位置极限偏差不超过±15mm</w:t>
            </w:r>
          </w:p>
        </w:tc>
      </w:tr>
      <w:tr w14:paraId="4F47BD0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1242" w:type="dxa"/>
            <w:vMerge w:val="continue"/>
            <w:vAlign w:val="center"/>
          </w:tcPr>
          <w:p w14:paraId="07AE6AA8">
            <w:pPr>
              <w:spacing w:line="300" w:lineRule="auto"/>
              <w:jc w:val="center"/>
              <w:rPr>
                <w:rFonts w:hint="eastAsia" w:ascii="宋体" w:hAnsi="宋体" w:eastAsia="宋体" w:cs="宋体"/>
                <w:kern w:val="0"/>
                <w:sz w:val="21"/>
                <w:szCs w:val="21"/>
              </w:rPr>
            </w:pPr>
          </w:p>
        </w:tc>
        <w:tc>
          <w:tcPr>
            <w:tcW w:w="8080" w:type="dxa"/>
            <w:vAlign w:val="center"/>
          </w:tcPr>
          <w:p w14:paraId="0DA8E529">
            <w:pPr>
              <w:spacing w:line="30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货架同层横梁或牛腿托梁标高极限偏差e为±5mm</w:t>
            </w:r>
          </w:p>
        </w:tc>
      </w:tr>
      <w:tr w14:paraId="79AE94D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1242" w:type="dxa"/>
            <w:vMerge w:val="continue"/>
            <w:vAlign w:val="center"/>
          </w:tcPr>
          <w:p w14:paraId="1BD190DE">
            <w:pPr>
              <w:spacing w:line="300" w:lineRule="auto"/>
              <w:jc w:val="center"/>
              <w:rPr>
                <w:rFonts w:hint="eastAsia" w:ascii="宋体" w:hAnsi="宋体" w:eastAsia="宋体" w:cs="宋体"/>
                <w:kern w:val="0"/>
                <w:sz w:val="21"/>
                <w:szCs w:val="21"/>
              </w:rPr>
            </w:pPr>
          </w:p>
        </w:tc>
        <w:tc>
          <w:tcPr>
            <w:tcW w:w="8080" w:type="dxa"/>
            <w:vAlign w:val="center"/>
          </w:tcPr>
          <w:p w14:paraId="312ED6D2">
            <w:pPr>
              <w:spacing w:line="30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同层横梁靠堆垛机一侧的高度不低于另一侧，其高度偏差为+4/-2mm</w:t>
            </w:r>
          </w:p>
        </w:tc>
      </w:tr>
      <w:tr w14:paraId="4B7DB72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1242" w:type="dxa"/>
            <w:vMerge w:val="continue"/>
            <w:vAlign w:val="center"/>
          </w:tcPr>
          <w:p w14:paraId="1D43CC70">
            <w:pPr>
              <w:spacing w:line="300" w:lineRule="auto"/>
              <w:jc w:val="center"/>
              <w:rPr>
                <w:rFonts w:hint="eastAsia" w:ascii="宋体" w:hAnsi="宋体" w:eastAsia="宋体" w:cs="宋体"/>
                <w:kern w:val="0"/>
                <w:sz w:val="21"/>
                <w:szCs w:val="21"/>
              </w:rPr>
            </w:pPr>
          </w:p>
        </w:tc>
        <w:tc>
          <w:tcPr>
            <w:tcW w:w="8080" w:type="dxa"/>
            <w:vAlign w:val="center"/>
          </w:tcPr>
          <w:p w14:paraId="32CF3EC3">
            <w:pPr>
              <w:spacing w:line="30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相邻货架片立柱底部中心距A极限偏差为±3mm</w:t>
            </w:r>
          </w:p>
        </w:tc>
      </w:tr>
      <w:tr w14:paraId="1BA500B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1242" w:type="dxa"/>
            <w:vMerge w:val="continue"/>
            <w:vAlign w:val="center"/>
          </w:tcPr>
          <w:p w14:paraId="20846D7A">
            <w:pPr>
              <w:spacing w:line="300" w:lineRule="auto"/>
              <w:jc w:val="center"/>
              <w:rPr>
                <w:rFonts w:hint="eastAsia" w:ascii="宋体" w:hAnsi="宋体" w:eastAsia="宋体" w:cs="宋体"/>
                <w:kern w:val="0"/>
                <w:sz w:val="21"/>
                <w:szCs w:val="21"/>
              </w:rPr>
            </w:pPr>
          </w:p>
        </w:tc>
        <w:tc>
          <w:tcPr>
            <w:tcW w:w="8080" w:type="dxa"/>
            <w:vAlign w:val="center"/>
          </w:tcPr>
          <w:p w14:paraId="74AF9FEB">
            <w:pPr>
              <w:spacing w:line="30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在Z方向上，以运行轨中心线为基准的尺寸B₁、B₂极限偏差为±2mm</w:t>
            </w:r>
          </w:p>
        </w:tc>
      </w:tr>
      <w:tr w14:paraId="7EFCC64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1242" w:type="dxa"/>
            <w:vMerge w:val="continue"/>
            <w:vAlign w:val="center"/>
          </w:tcPr>
          <w:p w14:paraId="07BE7F08">
            <w:pPr>
              <w:spacing w:line="300" w:lineRule="auto"/>
              <w:jc w:val="center"/>
              <w:rPr>
                <w:rFonts w:hint="eastAsia" w:ascii="宋体" w:hAnsi="宋体" w:eastAsia="宋体" w:cs="宋体"/>
                <w:kern w:val="0"/>
                <w:sz w:val="21"/>
                <w:szCs w:val="21"/>
              </w:rPr>
            </w:pPr>
          </w:p>
        </w:tc>
        <w:tc>
          <w:tcPr>
            <w:tcW w:w="8080" w:type="dxa"/>
            <w:vAlign w:val="center"/>
          </w:tcPr>
          <w:p w14:paraId="13FCDB1B">
            <w:pPr>
              <w:spacing w:line="30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上、下两相邻货格横梁高度H₁的极限偏差为±3mm</w:t>
            </w:r>
          </w:p>
        </w:tc>
      </w:tr>
      <w:tr w14:paraId="6CE6EAC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1242" w:type="dxa"/>
            <w:vMerge w:val="continue"/>
            <w:vAlign w:val="center"/>
          </w:tcPr>
          <w:p w14:paraId="762C0028">
            <w:pPr>
              <w:spacing w:line="300" w:lineRule="auto"/>
              <w:jc w:val="center"/>
              <w:rPr>
                <w:rFonts w:hint="eastAsia" w:ascii="宋体" w:hAnsi="宋体" w:eastAsia="宋体" w:cs="宋体"/>
                <w:kern w:val="0"/>
                <w:sz w:val="21"/>
                <w:szCs w:val="21"/>
              </w:rPr>
            </w:pPr>
          </w:p>
        </w:tc>
        <w:tc>
          <w:tcPr>
            <w:tcW w:w="8080" w:type="dxa"/>
            <w:vAlign w:val="center"/>
          </w:tcPr>
          <w:p w14:paraId="73E488F0">
            <w:pPr>
              <w:spacing w:line="30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最低层和最高层横梁间高度H的极限偏差为±0.5‰H</w:t>
            </w:r>
          </w:p>
        </w:tc>
      </w:tr>
      <w:tr w14:paraId="7F43E41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1242" w:type="dxa"/>
            <w:vMerge w:val="continue"/>
            <w:vAlign w:val="center"/>
          </w:tcPr>
          <w:p w14:paraId="55F886A6">
            <w:pPr>
              <w:spacing w:line="300" w:lineRule="auto"/>
              <w:jc w:val="center"/>
              <w:rPr>
                <w:rFonts w:hint="eastAsia" w:ascii="宋体" w:hAnsi="宋体" w:eastAsia="宋体" w:cs="宋体"/>
                <w:kern w:val="0"/>
                <w:sz w:val="21"/>
                <w:szCs w:val="21"/>
              </w:rPr>
            </w:pPr>
          </w:p>
        </w:tc>
        <w:tc>
          <w:tcPr>
            <w:tcW w:w="8080" w:type="dxa"/>
            <w:vAlign w:val="center"/>
          </w:tcPr>
          <w:p w14:paraId="59F61EE4">
            <w:pPr>
              <w:spacing w:line="30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最低层横梁相对于土建水平基准面的标高H₂的极限偏差为±5mm</w:t>
            </w:r>
          </w:p>
        </w:tc>
      </w:tr>
      <w:tr w14:paraId="697D345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1242" w:type="dxa"/>
            <w:vMerge w:val="continue"/>
            <w:vAlign w:val="center"/>
          </w:tcPr>
          <w:p w14:paraId="0898FAE7">
            <w:pPr>
              <w:spacing w:line="300" w:lineRule="auto"/>
              <w:jc w:val="center"/>
              <w:rPr>
                <w:rFonts w:hint="eastAsia" w:ascii="宋体" w:hAnsi="宋体" w:eastAsia="宋体" w:cs="宋体"/>
                <w:kern w:val="0"/>
                <w:sz w:val="21"/>
                <w:szCs w:val="21"/>
              </w:rPr>
            </w:pPr>
          </w:p>
        </w:tc>
        <w:tc>
          <w:tcPr>
            <w:tcW w:w="8080" w:type="dxa"/>
            <w:vAlign w:val="center"/>
          </w:tcPr>
          <w:p w14:paraId="5018D0A9">
            <w:pPr>
              <w:spacing w:line="30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货架总长度L的极限偏差在L≤40m时为±20mm,在L＞40m时为±0.5‰L</w:t>
            </w:r>
          </w:p>
        </w:tc>
      </w:tr>
      <w:tr w14:paraId="32E4F3F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1242" w:type="dxa"/>
            <w:vMerge w:val="continue"/>
            <w:vAlign w:val="center"/>
          </w:tcPr>
          <w:p w14:paraId="0A58DC25">
            <w:pPr>
              <w:spacing w:line="300" w:lineRule="auto"/>
              <w:jc w:val="center"/>
              <w:rPr>
                <w:rFonts w:hint="eastAsia" w:ascii="宋体" w:hAnsi="宋体" w:eastAsia="宋体" w:cs="宋体"/>
                <w:kern w:val="0"/>
                <w:sz w:val="21"/>
                <w:szCs w:val="21"/>
              </w:rPr>
            </w:pPr>
          </w:p>
        </w:tc>
        <w:tc>
          <w:tcPr>
            <w:tcW w:w="8080" w:type="dxa"/>
            <w:vAlign w:val="center"/>
          </w:tcPr>
          <w:p w14:paraId="20CE28DC">
            <w:pPr>
              <w:spacing w:line="30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同一巷道同列货架片错位不大于5mm</w:t>
            </w:r>
          </w:p>
        </w:tc>
      </w:tr>
    </w:tbl>
    <w:p w14:paraId="6A24FE34">
      <w:pPr>
        <w:numPr>
          <w:ilvl w:val="0"/>
          <w:numId w:val="0"/>
        </w:numPr>
        <w:spacing w:line="360" w:lineRule="auto"/>
        <w:ind w:left="0" w:leftChars="0" w:firstLine="0" w:firstLineChars="0"/>
        <w:outlineLvl w:val="2"/>
        <w:rPr>
          <w:rFonts w:hint="eastAsia" w:ascii="宋体" w:hAnsi="宋体" w:eastAsia="宋体" w:cs="宋体"/>
          <w:b/>
          <w:bCs/>
          <w:kern w:val="2"/>
          <w:sz w:val="21"/>
          <w:szCs w:val="21"/>
          <w:lang w:val="en-US" w:eastAsia="zh-CN" w:bidi="ar-SA"/>
        </w:rPr>
      </w:pPr>
      <w:bookmarkStart w:id="1670" w:name="_Toc70413742"/>
      <w:bookmarkStart w:id="1671" w:name="_Toc30478"/>
      <w:bookmarkStart w:id="1672" w:name="_Toc449088105"/>
      <w:r>
        <w:rPr>
          <w:rFonts w:hint="eastAsia" w:ascii="宋体" w:hAnsi="宋体" w:eastAsia="宋体" w:cs="宋体"/>
          <w:b/>
          <w:bCs/>
          <w:kern w:val="2"/>
          <w:sz w:val="21"/>
          <w:szCs w:val="21"/>
          <w:lang w:val="en-US" w:eastAsia="zh-CN" w:bidi="ar-SA"/>
        </w:rPr>
        <w:t>4.1堆垛机技术要求</w:t>
      </w:r>
      <w:bookmarkEnd w:id="1670"/>
      <w:bookmarkEnd w:id="1671"/>
      <w:bookmarkEnd w:id="1672"/>
    </w:p>
    <w:tbl>
      <w:tblPr>
        <w:tblStyle w:val="41"/>
        <w:tblW w:w="0" w:type="auto"/>
        <w:jc w:val="center"/>
        <w:tblLayout w:type="fixed"/>
        <w:tblCellMar>
          <w:top w:w="0" w:type="dxa"/>
          <w:left w:w="108" w:type="dxa"/>
          <w:bottom w:w="0" w:type="dxa"/>
          <w:right w:w="108" w:type="dxa"/>
        </w:tblCellMar>
      </w:tblPr>
      <w:tblGrid>
        <w:gridCol w:w="782"/>
        <w:gridCol w:w="3118"/>
        <w:gridCol w:w="5381"/>
      </w:tblGrid>
      <w:tr w14:paraId="60E6BF8E">
        <w:tblPrEx>
          <w:tblCellMar>
            <w:top w:w="0" w:type="dxa"/>
            <w:left w:w="108" w:type="dxa"/>
            <w:bottom w:w="0" w:type="dxa"/>
            <w:right w:w="108" w:type="dxa"/>
          </w:tblCellMar>
        </w:tblPrEx>
        <w:trPr>
          <w:trHeight w:val="388" w:hRule="atLeast"/>
          <w:tblHeader/>
          <w:jc w:val="center"/>
        </w:trPr>
        <w:tc>
          <w:tcPr>
            <w:tcW w:w="390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C898004">
            <w:pPr>
              <w:spacing w:line="240" w:lineRule="auto"/>
              <w:jc w:val="center"/>
              <w:rPr>
                <w:rFonts w:hint="eastAsia" w:ascii="宋体" w:hAnsi="宋体" w:eastAsia="宋体" w:cs="宋体"/>
                <w:b/>
                <w:kern w:val="0"/>
                <w:sz w:val="21"/>
                <w:szCs w:val="21"/>
              </w:rPr>
            </w:pPr>
            <w:r>
              <w:rPr>
                <w:rFonts w:hint="eastAsia" w:ascii="宋体" w:hAnsi="宋体" w:eastAsia="宋体" w:cs="宋体"/>
                <w:b/>
                <w:kern w:val="0"/>
                <w:sz w:val="21"/>
                <w:szCs w:val="21"/>
              </w:rPr>
              <w:t>项目名称</w:t>
            </w:r>
          </w:p>
        </w:tc>
        <w:tc>
          <w:tcPr>
            <w:tcW w:w="5381" w:type="dxa"/>
            <w:tcBorders>
              <w:top w:val="single" w:color="auto" w:sz="4" w:space="0"/>
              <w:left w:val="single" w:color="auto" w:sz="4" w:space="0"/>
              <w:bottom w:val="single" w:color="auto" w:sz="4" w:space="0"/>
              <w:right w:val="single" w:color="auto" w:sz="8" w:space="0"/>
            </w:tcBorders>
            <w:shd w:val="clear" w:color="auto" w:fill="auto"/>
            <w:vAlign w:val="center"/>
          </w:tcPr>
          <w:p w14:paraId="4F1E84E3">
            <w:pPr>
              <w:spacing w:line="240" w:lineRule="auto"/>
              <w:jc w:val="center"/>
              <w:rPr>
                <w:rFonts w:hint="eastAsia" w:ascii="宋体" w:hAnsi="宋体" w:eastAsia="宋体" w:cs="宋体"/>
                <w:b/>
                <w:kern w:val="0"/>
                <w:sz w:val="21"/>
                <w:szCs w:val="21"/>
              </w:rPr>
            </w:pPr>
            <w:r>
              <w:rPr>
                <w:rFonts w:hint="eastAsia" w:ascii="宋体" w:hAnsi="宋体" w:eastAsia="宋体" w:cs="宋体"/>
                <w:b/>
                <w:kern w:val="0"/>
                <w:sz w:val="21"/>
                <w:szCs w:val="21"/>
              </w:rPr>
              <w:t>技术参数</w:t>
            </w:r>
          </w:p>
        </w:tc>
      </w:tr>
      <w:tr w14:paraId="33D7C402">
        <w:tblPrEx>
          <w:tblCellMar>
            <w:top w:w="0" w:type="dxa"/>
            <w:left w:w="108" w:type="dxa"/>
            <w:bottom w:w="0" w:type="dxa"/>
            <w:right w:w="108" w:type="dxa"/>
          </w:tblCellMar>
        </w:tblPrEx>
        <w:trPr>
          <w:trHeight w:val="403" w:hRule="atLeast"/>
          <w:jc w:val="center"/>
        </w:trPr>
        <w:tc>
          <w:tcPr>
            <w:tcW w:w="3900" w:type="dxa"/>
            <w:gridSpan w:val="2"/>
            <w:tcBorders>
              <w:top w:val="single" w:color="auto" w:sz="8" w:space="0"/>
              <w:left w:val="single" w:color="auto" w:sz="8" w:space="0"/>
              <w:bottom w:val="single" w:color="auto" w:sz="8" w:space="0"/>
              <w:right w:val="single" w:color="auto" w:sz="4" w:space="0"/>
            </w:tcBorders>
            <w:shd w:val="clear" w:color="auto" w:fill="auto"/>
            <w:vAlign w:val="center"/>
          </w:tcPr>
          <w:p w14:paraId="76AABD91">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堆垛机类型</w:t>
            </w:r>
          </w:p>
        </w:tc>
        <w:tc>
          <w:tcPr>
            <w:tcW w:w="5381" w:type="dxa"/>
            <w:tcBorders>
              <w:top w:val="nil"/>
              <w:left w:val="single" w:color="auto" w:sz="4" w:space="0"/>
              <w:bottom w:val="single" w:color="auto" w:sz="8" w:space="0"/>
              <w:right w:val="single" w:color="auto" w:sz="8" w:space="0"/>
            </w:tcBorders>
            <w:shd w:val="clear" w:color="auto" w:fill="auto"/>
            <w:vAlign w:val="center"/>
          </w:tcPr>
          <w:p w14:paraId="3D64ED3B">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双立柱单伸位/双伸位双伸位</w:t>
            </w:r>
            <w:r>
              <w:rPr>
                <w:rFonts w:hint="eastAsia" w:ascii="宋体" w:hAnsi="宋体" w:eastAsia="宋体" w:cs="宋体"/>
                <w:sz w:val="21"/>
                <w:szCs w:val="21"/>
              </w:rPr>
              <w:t>直轨</w:t>
            </w:r>
            <w:r>
              <w:rPr>
                <w:rFonts w:hint="eastAsia" w:ascii="宋体" w:hAnsi="宋体" w:eastAsia="宋体" w:cs="宋体"/>
                <w:kern w:val="0"/>
                <w:sz w:val="21"/>
                <w:szCs w:val="21"/>
              </w:rPr>
              <w:t>堆垛机</w:t>
            </w:r>
          </w:p>
        </w:tc>
      </w:tr>
      <w:tr w14:paraId="63DC7735">
        <w:tblPrEx>
          <w:tblCellMar>
            <w:top w:w="0" w:type="dxa"/>
            <w:left w:w="108" w:type="dxa"/>
            <w:bottom w:w="0" w:type="dxa"/>
            <w:right w:w="108" w:type="dxa"/>
          </w:tblCellMar>
        </w:tblPrEx>
        <w:trPr>
          <w:trHeight w:val="342" w:hRule="atLeast"/>
          <w:jc w:val="center"/>
        </w:trPr>
        <w:tc>
          <w:tcPr>
            <w:tcW w:w="3900" w:type="dxa"/>
            <w:gridSpan w:val="2"/>
            <w:tcBorders>
              <w:top w:val="single" w:color="auto" w:sz="8" w:space="0"/>
              <w:left w:val="single" w:color="auto" w:sz="8" w:space="0"/>
              <w:bottom w:val="single" w:color="auto" w:sz="8" w:space="0"/>
              <w:right w:val="single" w:color="auto" w:sz="4" w:space="0"/>
            </w:tcBorders>
            <w:shd w:val="clear" w:color="auto" w:fill="auto"/>
            <w:vAlign w:val="center"/>
          </w:tcPr>
          <w:p w14:paraId="6ADAD953">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工作环境温度</w:t>
            </w:r>
          </w:p>
        </w:tc>
        <w:tc>
          <w:tcPr>
            <w:tcW w:w="5381" w:type="dxa"/>
            <w:tcBorders>
              <w:top w:val="nil"/>
              <w:left w:val="single" w:color="auto" w:sz="4" w:space="0"/>
              <w:bottom w:val="single" w:color="auto" w:sz="8" w:space="0"/>
              <w:right w:val="single" w:color="auto" w:sz="8" w:space="0"/>
            </w:tcBorders>
            <w:shd w:val="clear" w:color="auto" w:fill="auto"/>
            <w:vAlign w:val="center"/>
          </w:tcPr>
          <w:p w14:paraId="63BD1000">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-18℃</w:t>
            </w:r>
          </w:p>
        </w:tc>
      </w:tr>
      <w:tr w14:paraId="31F6C380">
        <w:tblPrEx>
          <w:tblCellMar>
            <w:top w:w="0" w:type="dxa"/>
            <w:left w:w="108" w:type="dxa"/>
            <w:bottom w:w="0" w:type="dxa"/>
            <w:right w:w="108" w:type="dxa"/>
          </w:tblCellMar>
        </w:tblPrEx>
        <w:trPr>
          <w:trHeight w:val="342" w:hRule="atLeast"/>
          <w:jc w:val="center"/>
        </w:trPr>
        <w:tc>
          <w:tcPr>
            <w:tcW w:w="3900" w:type="dxa"/>
            <w:gridSpan w:val="2"/>
            <w:tcBorders>
              <w:top w:val="single" w:color="auto" w:sz="8" w:space="0"/>
              <w:left w:val="single" w:color="auto" w:sz="8" w:space="0"/>
              <w:bottom w:val="single" w:color="auto" w:sz="8" w:space="0"/>
              <w:right w:val="single" w:color="auto" w:sz="4" w:space="0"/>
            </w:tcBorders>
            <w:shd w:val="clear" w:color="auto" w:fill="auto"/>
            <w:vAlign w:val="center"/>
          </w:tcPr>
          <w:p w14:paraId="533BF0DD">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数量</w:t>
            </w:r>
          </w:p>
        </w:tc>
        <w:tc>
          <w:tcPr>
            <w:tcW w:w="5381" w:type="dxa"/>
            <w:tcBorders>
              <w:top w:val="nil"/>
              <w:left w:val="single" w:color="auto" w:sz="4" w:space="0"/>
              <w:bottom w:val="single" w:color="auto" w:sz="8" w:space="0"/>
              <w:right w:val="single" w:color="auto" w:sz="8" w:space="0"/>
            </w:tcBorders>
            <w:shd w:val="clear" w:color="auto" w:fill="auto"/>
            <w:vAlign w:val="center"/>
          </w:tcPr>
          <w:p w14:paraId="261B8679">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6台</w:t>
            </w:r>
          </w:p>
        </w:tc>
      </w:tr>
      <w:tr w14:paraId="07D2C049">
        <w:tblPrEx>
          <w:tblCellMar>
            <w:top w:w="0" w:type="dxa"/>
            <w:left w:w="108" w:type="dxa"/>
            <w:bottom w:w="0" w:type="dxa"/>
            <w:right w:w="108" w:type="dxa"/>
          </w:tblCellMar>
        </w:tblPrEx>
        <w:trPr>
          <w:trHeight w:val="428" w:hRule="atLeast"/>
          <w:jc w:val="center"/>
        </w:trPr>
        <w:tc>
          <w:tcPr>
            <w:tcW w:w="3900" w:type="dxa"/>
            <w:gridSpan w:val="2"/>
            <w:tcBorders>
              <w:top w:val="single" w:color="auto" w:sz="8" w:space="0"/>
              <w:left w:val="single" w:color="auto" w:sz="8" w:space="0"/>
              <w:bottom w:val="single" w:color="auto" w:sz="8" w:space="0"/>
              <w:right w:val="single" w:color="auto" w:sz="4" w:space="0"/>
            </w:tcBorders>
            <w:shd w:val="clear" w:color="auto" w:fill="auto"/>
            <w:vAlign w:val="center"/>
          </w:tcPr>
          <w:p w14:paraId="08A66064">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货格尺寸</w:t>
            </w:r>
          </w:p>
        </w:tc>
        <w:tc>
          <w:tcPr>
            <w:tcW w:w="5381" w:type="dxa"/>
            <w:tcBorders>
              <w:top w:val="nil"/>
              <w:left w:val="single" w:color="auto" w:sz="4" w:space="0"/>
              <w:bottom w:val="single" w:color="auto" w:sz="8" w:space="0"/>
              <w:right w:val="single" w:color="auto" w:sz="8" w:space="0"/>
            </w:tcBorders>
            <w:shd w:val="clear" w:color="auto" w:fill="auto"/>
          </w:tcPr>
          <w:p w14:paraId="23C507A1">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由投标商提供</w:t>
            </w:r>
          </w:p>
        </w:tc>
      </w:tr>
      <w:tr w14:paraId="165F65FC">
        <w:tblPrEx>
          <w:tblCellMar>
            <w:top w:w="0" w:type="dxa"/>
            <w:left w:w="108" w:type="dxa"/>
            <w:bottom w:w="0" w:type="dxa"/>
            <w:right w:w="108" w:type="dxa"/>
          </w:tblCellMar>
        </w:tblPrEx>
        <w:trPr>
          <w:trHeight w:val="342" w:hRule="atLeast"/>
          <w:jc w:val="center"/>
        </w:trPr>
        <w:tc>
          <w:tcPr>
            <w:tcW w:w="3900" w:type="dxa"/>
            <w:gridSpan w:val="2"/>
            <w:tcBorders>
              <w:top w:val="single" w:color="auto" w:sz="8" w:space="0"/>
              <w:left w:val="single" w:color="auto" w:sz="8" w:space="0"/>
              <w:bottom w:val="single" w:color="auto" w:sz="8" w:space="0"/>
              <w:right w:val="single" w:color="auto" w:sz="4" w:space="0"/>
            </w:tcBorders>
            <w:shd w:val="clear" w:color="auto" w:fill="auto"/>
            <w:vAlign w:val="center"/>
          </w:tcPr>
          <w:p w14:paraId="2282DBF2">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地轨型号</w:t>
            </w:r>
          </w:p>
        </w:tc>
        <w:tc>
          <w:tcPr>
            <w:tcW w:w="5381" w:type="dxa"/>
            <w:tcBorders>
              <w:top w:val="nil"/>
              <w:left w:val="single" w:color="auto" w:sz="4" w:space="0"/>
              <w:bottom w:val="single" w:color="auto" w:sz="8" w:space="0"/>
              <w:right w:val="single" w:color="auto" w:sz="8" w:space="0"/>
            </w:tcBorders>
            <w:shd w:val="clear" w:color="auto" w:fill="auto"/>
            <w:vAlign w:val="center"/>
          </w:tcPr>
          <w:p w14:paraId="238D4FC2">
            <w:pPr>
              <w:pStyle w:val="11"/>
              <w:spacing w:before="31" w:after="31" w:line="240" w:lineRule="auto"/>
              <w:ind w:firstLine="0"/>
              <w:jc w:val="center"/>
              <w:rPr>
                <w:rFonts w:hint="eastAsia" w:ascii="宋体" w:hAnsi="宋体" w:eastAsia="宋体" w:cs="宋体"/>
                <w:sz w:val="21"/>
                <w:szCs w:val="21"/>
              </w:rPr>
            </w:pPr>
            <w:r>
              <w:rPr>
                <w:rFonts w:hint="eastAsia" w:ascii="宋体" w:hAnsi="宋体" w:eastAsia="宋体" w:cs="宋体"/>
                <w:bCs/>
                <w:sz w:val="21"/>
                <w:szCs w:val="21"/>
              </w:rPr>
              <w:t>38kg/m</w:t>
            </w:r>
          </w:p>
        </w:tc>
      </w:tr>
      <w:tr w14:paraId="2260D3A6">
        <w:tblPrEx>
          <w:tblCellMar>
            <w:top w:w="0" w:type="dxa"/>
            <w:left w:w="108" w:type="dxa"/>
            <w:bottom w:w="0" w:type="dxa"/>
            <w:right w:w="108" w:type="dxa"/>
          </w:tblCellMar>
        </w:tblPrEx>
        <w:trPr>
          <w:trHeight w:val="342" w:hRule="atLeast"/>
          <w:jc w:val="center"/>
        </w:trPr>
        <w:tc>
          <w:tcPr>
            <w:tcW w:w="3900" w:type="dxa"/>
            <w:gridSpan w:val="2"/>
            <w:tcBorders>
              <w:top w:val="single" w:color="auto" w:sz="8" w:space="0"/>
              <w:left w:val="single" w:color="auto" w:sz="8" w:space="0"/>
              <w:bottom w:val="single" w:color="auto" w:sz="8" w:space="0"/>
              <w:right w:val="single" w:color="auto" w:sz="4" w:space="0"/>
            </w:tcBorders>
            <w:shd w:val="clear" w:color="auto" w:fill="auto"/>
            <w:vAlign w:val="center"/>
          </w:tcPr>
          <w:p w14:paraId="0E3FB03C">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天轨型号</w:t>
            </w:r>
          </w:p>
        </w:tc>
        <w:tc>
          <w:tcPr>
            <w:tcW w:w="5381" w:type="dxa"/>
            <w:tcBorders>
              <w:top w:val="nil"/>
              <w:left w:val="single" w:color="auto" w:sz="4" w:space="0"/>
              <w:bottom w:val="single" w:color="auto" w:sz="8" w:space="0"/>
              <w:right w:val="single" w:color="auto" w:sz="8" w:space="0"/>
            </w:tcBorders>
            <w:shd w:val="clear" w:color="auto" w:fill="auto"/>
            <w:vAlign w:val="center"/>
          </w:tcPr>
          <w:p w14:paraId="274C24F8">
            <w:pPr>
              <w:spacing w:line="240" w:lineRule="auto"/>
              <w:jc w:val="center"/>
              <w:rPr>
                <w:rFonts w:hint="eastAsia" w:ascii="宋体" w:hAnsi="宋体" w:eastAsia="宋体" w:cs="宋体"/>
                <w:sz w:val="21"/>
                <w:szCs w:val="21"/>
              </w:rPr>
            </w:pPr>
            <w:r>
              <w:rPr>
                <w:rFonts w:hint="eastAsia" w:ascii="宋体" w:hAnsi="宋体" w:eastAsia="宋体" w:cs="宋体"/>
                <w:sz w:val="21"/>
                <w:szCs w:val="21"/>
              </w:rPr>
              <w:t>10#角钢</w:t>
            </w:r>
          </w:p>
        </w:tc>
      </w:tr>
      <w:tr w14:paraId="71B5CC81">
        <w:tblPrEx>
          <w:tblCellMar>
            <w:top w:w="0" w:type="dxa"/>
            <w:left w:w="108" w:type="dxa"/>
            <w:bottom w:w="0" w:type="dxa"/>
            <w:right w:w="108" w:type="dxa"/>
          </w:tblCellMar>
        </w:tblPrEx>
        <w:trPr>
          <w:trHeight w:val="342" w:hRule="atLeast"/>
          <w:jc w:val="center"/>
        </w:trPr>
        <w:tc>
          <w:tcPr>
            <w:tcW w:w="3900" w:type="dxa"/>
            <w:gridSpan w:val="2"/>
            <w:tcBorders>
              <w:top w:val="single" w:color="auto" w:sz="8" w:space="0"/>
              <w:left w:val="single" w:color="auto" w:sz="8" w:space="0"/>
              <w:bottom w:val="single" w:color="auto" w:sz="8" w:space="0"/>
              <w:right w:val="single" w:color="auto" w:sz="4" w:space="0"/>
            </w:tcBorders>
            <w:shd w:val="clear" w:color="auto" w:fill="auto"/>
            <w:vAlign w:val="center"/>
          </w:tcPr>
          <w:p w14:paraId="1C3D7219">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堆垛机高度(mm)</w:t>
            </w:r>
          </w:p>
        </w:tc>
        <w:tc>
          <w:tcPr>
            <w:tcW w:w="5381" w:type="dxa"/>
            <w:tcBorders>
              <w:top w:val="nil"/>
              <w:left w:val="single" w:color="auto" w:sz="4" w:space="0"/>
              <w:bottom w:val="single" w:color="auto" w:sz="8" w:space="0"/>
              <w:right w:val="single" w:color="auto" w:sz="8" w:space="0"/>
            </w:tcBorders>
            <w:shd w:val="clear" w:color="auto" w:fill="auto"/>
          </w:tcPr>
          <w:p w14:paraId="20EAAC03">
            <w:pPr>
              <w:spacing w:line="240" w:lineRule="auto"/>
              <w:jc w:val="center"/>
              <w:rPr>
                <w:rFonts w:hint="eastAsia" w:ascii="宋体" w:hAnsi="宋体" w:eastAsia="宋体" w:cs="宋体"/>
                <w:sz w:val="21"/>
                <w:szCs w:val="21"/>
              </w:rPr>
            </w:pPr>
            <w:r>
              <w:rPr>
                <w:rFonts w:hint="eastAsia" w:ascii="宋体" w:hAnsi="宋体" w:eastAsia="宋体" w:cs="宋体"/>
                <w:kern w:val="0"/>
                <w:sz w:val="21"/>
                <w:szCs w:val="21"/>
              </w:rPr>
              <w:t>由投标商提供</w:t>
            </w:r>
          </w:p>
        </w:tc>
      </w:tr>
      <w:tr w14:paraId="4D2770B1">
        <w:tblPrEx>
          <w:tblCellMar>
            <w:top w:w="0" w:type="dxa"/>
            <w:left w:w="108" w:type="dxa"/>
            <w:bottom w:w="0" w:type="dxa"/>
            <w:right w:w="108" w:type="dxa"/>
          </w:tblCellMar>
        </w:tblPrEx>
        <w:trPr>
          <w:trHeight w:val="342" w:hRule="atLeast"/>
          <w:jc w:val="center"/>
        </w:trPr>
        <w:tc>
          <w:tcPr>
            <w:tcW w:w="3900" w:type="dxa"/>
            <w:gridSpan w:val="2"/>
            <w:tcBorders>
              <w:top w:val="single" w:color="auto" w:sz="8" w:space="0"/>
              <w:left w:val="single" w:color="auto" w:sz="8" w:space="0"/>
              <w:bottom w:val="single" w:color="auto" w:sz="8" w:space="0"/>
              <w:right w:val="single" w:color="auto" w:sz="4" w:space="0"/>
            </w:tcBorders>
            <w:shd w:val="clear" w:color="auto" w:fill="auto"/>
            <w:vAlign w:val="center"/>
          </w:tcPr>
          <w:p w14:paraId="343D2AD5">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堆垛机底层叉取高度(mm)</w:t>
            </w:r>
          </w:p>
        </w:tc>
        <w:tc>
          <w:tcPr>
            <w:tcW w:w="5381" w:type="dxa"/>
            <w:tcBorders>
              <w:top w:val="nil"/>
              <w:left w:val="single" w:color="auto" w:sz="4" w:space="0"/>
              <w:bottom w:val="single" w:color="auto" w:sz="8" w:space="0"/>
              <w:right w:val="single" w:color="auto" w:sz="8" w:space="0"/>
            </w:tcBorders>
            <w:shd w:val="clear" w:color="auto" w:fill="auto"/>
          </w:tcPr>
          <w:p w14:paraId="4327025F">
            <w:pPr>
              <w:spacing w:line="240" w:lineRule="auto"/>
              <w:jc w:val="center"/>
              <w:rPr>
                <w:rFonts w:hint="eastAsia" w:ascii="宋体" w:hAnsi="宋体" w:eastAsia="宋体" w:cs="宋体"/>
                <w:sz w:val="21"/>
                <w:szCs w:val="21"/>
              </w:rPr>
            </w:pPr>
            <w:r>
              <w:rPr>
                <w:rFonts w:hint="eastAsia" w:ascii="宋体" w:hAnsi="宋体" w:eastAsia="宋体" w:cs="宋体"/>
                <w:kern w:val="0"/>
                <w:sz w:val="21"/>
                <w:szCs w:val="21"/>
              </w:rPr>
              <w:t>由投标商提供</w:t>
            </w:r>
          </w:p>
        </w:tc>
      </w:tr>
      <w:tr w14:paraId="6B96E409">
        <w:tblPrEx>
          <w:tblCellMar>
            <w:top w:w="0" w:type="dxa"/>
            <w:left w:w="108" w:type="dxa"/>
            <w:bottom w:w="0" w:type="dxa"/>
            <w:right w:w="108" w:type="dxa"/>
          </w:tblCellMar>
        </w:tblPrEx>
        <w:trPr>
          <w:trHeight w:val="342" w:hRule="atLeast"/>
          <w:jc w:val="center"/>
        </w:trPr>
        <w:tc>
          <w:tcPr>
            <w:tcW w:w="3900" w:type="dxa"/>
            <w:gridSpan w:val="2"/>
            <w:tcBorders>
              <w:top w:val="single" w:color="auto" w:sz="8" w:space="0"/>
              <w:left w:val="single" w:color="auto" w:sz="8" w:space="0"/>
              <w:bottom w:val="single" w:color="auto" w:sz="8" w:space="0"/>
              <w:right w:val="single" w:color="auto" w:sz="4" w:space="0"/>
            </w:tcBorders>
            <w:shd w:val="clear" w:color="auto" w:fill="auto"/>
            <w:vAlign w:val="center"/>
          </w:tcPr>
          <w:p w14:paraId="4900AE29">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巷道净宽要求(mm)</w:t>
            </w:r>
          </w:p>
        </w:tc>
        <w:tc>
          <w:tcPr>
            <w:tcW w:w="5381" w:type="dxa"/>
            <w:tcBorders>
              <w:top w:val="nil"/>
              <w:left w:val="single" w:color="auto" w:sz="4" w:space="0"/>
              <w:bottom w:val="single" w:color="auto" w:sz="8" w:space="0"/>
              <w:right w:val="single" w:color="auto" w:sz="8" w:space="0"/>
            </w:tcBorders>
            <w:shd w:val="clear" w:color="auto" w:fill="auto"/>
            <w:vAlign w:val="center"/>
          </w:tcPr>
          <w:p w14:paraId="48BFA82F">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1500mm</w:t>
            </w:r>
          </w:p>
        </w:tc>
      </w:tr>
      <w:tr w14:paraId="7B5429BA">
        <w:tblPrEx>
          <w:tblCellMar>
            <w:top w:w="0" w:type="dxa"/>
            <w:left w:w="108" w:type="dxa"/>
            <w:bottom w:w="0" w:type="dxa"/>
            <w:right w:w="108" w:type="dxa"/>
          </w:tblCellMar>
        </w:tblPrEx>
        <w:trPr>
          <w:trHeight w:val="412" w:hRule="atLeast"/>
          <w:jc w:val="center"/>
        </w:trPr>
        <w:tc>
          <w:tcPr>
            <w:tcW w:w="782" w:type="dxa"/>
            <w:vMerge w:val="restart"/>
            <w:tcBorders>
              <w:top w:val="nil"/>
              <w:left w:val="single" w:color="auto" w:sz="8" w:space="0"/>
              <w:right w:val="single" w:color="auto" w:sz="8" w:space="0"/>
            </w:tcBorders>
            <w:shd w:val="clear" w:color="auto" w:fill="auto"/>
            <w:vAlign w:val="center"/>
          </w:tcPr>
          <w:p w14:paraId="7EB14478">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水</w:t>
            </w:r>
          </w:p>
          <w:p w14:paraId="7E07EF51">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平</w:t>
            </w:r>
          </w:p>
          <w:p w14:paraId="370F7C10">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行</w:t>
            </w:r>
          </w:p>
          <w:p w14:paraId="2DF51856">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走</w:t>
            </w:r>
          </w:p>
        </w:tc>
        <w:tc>
          <w:tcPr>
            <w:tcW w:w="3118" w:type="dxa"/>
            <w:tcBorders>
              <w:top w:val="single" w:color="auto" w:sz="8" w:space="0"/>
              <w:left w:val="nil"/>
              <w:bottom w:val="single" w:color="auto" w:sz="8" w:space="0"/>
              <w:right w:val="single" w:color="auto" w:sz="4" w:space="0"/>
            </w:tcBorders>
            <w:shd w:val="clear" w:color="auto" w:fill="auto"/>
            <w:vAlign w:val="center"/>
          </w:tcPr>
          <w:p w14:paraId="3979201F">
            <w:pPr>
              <w:spacing w:line="240" w:lineRule="auto"/>
              <w:jc w:val="center"/>
              <w:rPr>
                <w:rFonts w:hint="eastAsia" w:ascii="宋体" w:hAnsi="宋体" w:eastAsia="宋体" w:cs="宋体"/>
                <w:kern w:val="0"/>
                <w:sz w:val="21"/>
                <w:szCs w:val="21"/>
              </w:rPr>
            </w:pPr>
            <w:r>
              <w:rPr>
                <w:rFonts w:hint="eastAsia" w:ascii="宋体" w:hAnsi="宋体" w:eastAsia="宋体" w:cs="宋体"/>
                <w:sz w:val="21"/>
                <w:szCs w:val="21"/>
              </w:rPr>
              <w:t>▲</w:t>
            </w:r>
            <w:r>
              <w:rPr>
                <w:rFonts w:hint="eastAsia" w:ascii="宋体" w:hAnsi="宋体" w:eastAsia="宋体" w:cs="宋体"/>
                <w:kern w:val="0"/>
                <w:sz w:val="21"/>
                <w:szCs w:val="21"/>
              </w:rPr>
              <w:t>行走驱动方式</w:t>
            </w:r>
          </w:p>
        </w:tc>
        <w:tc>
          <w:tcPr>
            <w:tcW w:w="5381" w:type="dxa"/>
            <w:tcBorders>
              <w:top w:val="single" w:color="auto" w:sz="8" w:space="0"/>
              <w:left w:val="single" w:color="auto" w:sz="4" w:space="0"/>
              <w:bottom w:val="single" w:color="auto" w:sz="8" w:space="0"/>
              <w:right w:val="single" w:color="auto" w:sz="8" w:space="0"/>
            </w:tcBorders>
            <w:shd w:val="clear" w:color="auto" w:fill="auto"/>
            <w:noWrap/>
            <w:vAlign w:val="center"/>
          </w:tcPr>
          <w:p w14:paraId="0846B12C">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变频调速，</w:t>
            </w:r>
            <w:r>
              <w:rPr>
                <w:rFonts w:hint="eastAsia" w:ascii="宋体" w:hAnsi="宋体" w:eastAsia="宋体" w:cs="宋体"/>
                <w:sz w:val="21"/>
                <w:szCs w:val="21"/>
              </w:rPr>
              <w:t>推荐</w:t>
            </w:r>
            <w:r>
              <w:rPr>
                <w:rFonts w:hint="eastAsia" w:ascii="宋体" w:hAnsi="宋体" w:eastAsia="宋体" w:cs="宋体"/>
                <w:color w:val="000000"/>
                <w:kern w:val="0"/>
                <w:sz w:val="21"/>
                <w:szCs w:val="21"/>
              </w:rPr>
              <w:t>SEW/NORD/ABB等品牌</w:t>
            </w:r>
          </w:p>
        </w:tc>
      </w:tr>
      <w:tr w14:paraId="689093F2">
        <w:tblPrEx>
          <w:tblCellMar>
            <w:top w:w="0" w:type="dxa"/>
            <w:left w:w="108" w:type="dxa"/>
            <w:bottom w:w="0" w:type="dxa"/>
            <w:right w:w="108" w:type="dxa"/>
          </w:tblCellMar>
        </w:tblPrEx>
        <w:trPr>
          <w:trHeight w:val="312" w:hRule="atLeast"/>
          <w:jc w:val="center"/>
        </w:trPr>
        <w:tc>
          <w:tcPr>
            <w:tcW w:w="782" w:type="dxa"/>
            <w:vMerge w:val="continue"/>
            <w:tcBorders>
              <w:left w:val="single" w:color="auto" w:sz="8" w:space="0"/>
              <w:right w:val="single" w:color="auto" w:sz="8" w:space="0"/>
            </w:tcBorders>
            <w:vAlign w:val="center"/>
          </w:tcPr>
          <w:p w14:paraId="5DCDF876">
            <w:pPr>
              <w:spacing w:line="240" w:lineRule="auto"/>
              <w:jc w:val="center"/>
              <w:rPr>
                <w:rFonts w:hint="eastAsia" w:ascii="宋体" w:hAnsi="宋体" w:eastAsia="宋体" w:cs="宋体"/>
                <w:kern w:val="0"/>
                <w:sz w:val="21"/>
                <w:szCs w:val="21"/>
              </w:rPr>
            </w:pPr>
          </w:p>
        </w:tc>
        <w:tc>
          <w:tcPr>
            <w:tcW w:w="3118" w:type="dxa"/>
            <w:tcBorders>
              <w:top w:val="single" w:color="auto" w:sz="8" w:space="0"/>
              <w:left w:val="nil"/>
              <w:bottom w:val="single" w:color="auto" w:sz="8" w:space="0"/>
              <w:right w:val="single" w:color="auto" w:sz="4" w:space="0"/>
            </w:tcBorders>
            <w:shd w:val="clear" w:color="auto" w:fill="auto"/>
            <w:vAlign w:val="center"/>
          </w:tcPr>
          <w:p w14:paraId="4F21687A">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紧急制动方式</w:t>
            </w:r>
          </w:p>
        </w:tc>
        <w:tc>
          <w:tcPr>
            <w:tcW w:w="5381" w:type="dxa"/>
            <w:tcBorders>
              <w:top w:val="single" w:color="auto" w:sz="8" w:space="0"/>
              <w:left w:val="single" w:color="auto" w:sz="4" w:space="0"/>
              <w:bottom w:val="single" w:color="auto" w:sz="8" w:space="0"/>
              <w:right w:val="single" w:color="auto" w:sz="8" w:space="0"/>
            </w:tcBorders>
            <w:shd w:val="clear" w:color="auto" w:fill="auto"/>
            <w:vAlign w:val="center"/>
          </w:tcPr>
          <w:p w14:paraId="15C2407F">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电磁制动，安全刹车系统</w:t>
            </w:r>
          </w:p>
        </w:tc>
      </w:tr>
      <w:tr w14:paraId="544F87A5">
        <w:tblPrEx>
          <w:tblCellMar>
            <w:top w:w="0" w:type="dxa"/>
            <w:left w:w="108" w:type="dxa"/>
            <w:bottom w:w="0" w:type="dxa"/>
            <w:right w:w="108" w:type="dxa"/>
          </w:tblCellMar>
        </w:tblPrEx>
        <w:trPr>
          <w:trHeight w:val="342" w:hRule="atLeast"/>
          <w:jc w:val="center"/>
        </w:trPr>
        <w:tc>
          <w:tcPr>
            <w:tcW w:w="782" w:type="dxa"/>
            <w:vMerge w:val="continue"/>
            <w:tcBorders>
              <w:left w:val="single" w:color="auto" w:sz="8" w:space="0"/>
              <w:right w:val="single" w:color="auto" w:sz="8" w:space="0"/>
            </w:tcBorders>
            <w:vAlign w:val="center"/>
          </w:tcPr>
          <w:p w14:paraId="41B27F68">
            <w:pPr>
              <w:spacing w:line="240" w:lineRule="auto"/>
              <w:jc w:val="center"/>
              <w:rPr>
                <w:rFonts w:hint="eastAsia" w:ascii="宋体" w:hAnsi="宋体" w:eastAsia="宋体" w:cs="宋体"/>
                <w:kern w:val="0"/>
                <w:sz w:val="21"/>
                <w:szCs w:val="21"/>
              </w:rPr>
            </w:pPr>
          </w:p>
        </w:tc>
        <w:tc>
          <w:tcPr>
            <w:tcW w:w="3118" w:type="dxa"/>
            <w:tcBorders>
              <w:top w:val="single" w:color="auto" w:sz="8" w:space="0"/>
              <w:left w:val="nil"/>
              <w:bottom w:val="single" w:color="auto" w:sz="8" w:space="0"/>
              <w:right w:val="single" w:color="auto" w:sz="4" w:space="0"/>
            </w:tcBorders>
            <w:shd w:val="clear" w:color="auto" w:fill="auto"/>
            <w:vAlign w:val="center"/>
          </w:tcPr>
          <w:p w14:paraId="72D5C418">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定位方向 (X 向)</w:t>
            </w:r>
          </w:p>
        </w:tc>
        <w:tc>
          <w:tcPr>
            <w:tcW w:w="5381" w:type="dxa"/>
            <w:tcBorders>
              <w:top w:val="nil"/>
              <w:left w:val="single" w:color="auto" w:sz="4" w:space="0"/>
              <w:bottom w:val="single" w:color="auto" w:sz="8" w:space="0"/>
              <w:right w:val="single" w:color="auto" w:sz="8" w:space="0"/>
            </w:tcBorders>
            <w:shd w:val="clear" w:color="auto" w:fill="auto"/>
            <w:vAlign w:val="center"/>
          </w:tcPr>
          <w:p w14:paraId="17FBA164">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条码带定位</w:t>
            </w:r>
          </w:p>
        </w:tc>
      </w:tr>
      <w:tr w14:paraId="069D36CE">
        <w:tblPrEx>
          <w:tblCellMar>
            <w:top w:w="0" w:type="dxa"/>
            <w:left w:w="108" w:type="dxa"/>
            <w:bottom w:w="0" w:type="dxa"/>
            <w:right w:w="108" w:type="dxa"/>
          </w:tblCellMar>
        </w:tblPrEx>
        <w:trPr>
          <w:trHeight w:val="360" w:hRule="atLeast"/>
          <w:jc w:val="center"/>
        </w:trPr>
        <w:tc>
          <w:tcPr>
            <w:tcW w:w="782" w:type="dxa"/>
            <w:vMerge w:val="continue"/>
            <w:tcBorders>
              <w:left w:val="single" w:color="auto" w:sz="8" w:space="0"/>
              <w:right w:val="single" w:color="auto" w:sz="8" w:space="0"/>
            </w:tcBorders>
            <w:vAlign w:val="center"/>
          </w:tcPr>
          <w:p w14:paraId="635C14B2">
            <w:pPr>
              <w:spacing w:line="240" w:lineRule="auto"/>
              <w:jc w:val="center"/>
              <w:rPr>
                <w:rFonts w:hint="eastAsia" w:ascii="宋体" w:hAnsi="宋体" w:eastAsia="宋体" w:cs="宋体"/>
                <w:kern w:val="0"/>
                <w:sz w:val="21"/>
                <w:szCs w:val="21"/>
              </w:rPr>
            </w:pPr>
          </w:p>
        </w:tc>
        <w:tc>
          <w:tcPr>
            <w:tcW w:w="3118" w:type="dxa"/>
            <w:tcBorders>
              <w:top w:val="single" w:color="auto" w:sz="8" w:space="0"/>
              <w:left w:val="nil"/>
              <w:bottom w:val="single" w:color="auto" w:sz="4" w:space="0"/>
              <w:right w:val="single" w:color="auto" w:sz="4" w:space="0"/>
            </w:tcBorders>
            <w:shd w:val="clear" w:color="auto" w:fill="auto"/>
            <w:vAlign w:val="center"/>
          </w:tcPr>
          <w:p w14:paraId="292FEEF7">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定位 (X 方向) 精度 (mm)</w:t>
            </w:r>
          </w:p>
        </w:tc>
        <w:tc>
          <w:tcPr>
            <w:tcW w:w="5381" w:type="dxa"/>
            <w:tcBorders>
              <w:top w:val="nil"/>
              <w:left w:val="single" w:color="auto" w:sz="4" w:space="0"/>
              <w:bottom w:val="single" w:color="auto" w:sz="8" w:space="0"/>
              <w:right w:val="single" w:color="auto" w:sz="8" w:space="0"/>
            </w:tcBorders>
            <w:shd w:val="clear" w:color="auto" w:fill="auto"/>
            <w:vAlign w:val="center"/>
          </w:tcPr>
          <w:p w14:paraId="3B06F64F">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≤±5mm</w:t>
            </w:r>
          </w:p>
        </w:tc>
      </w:tr>
      <w:tr w14:paraId="0C346930">
        <w:tblPrEx>
          <w:tblCellMar>
            <w:top w:w="0" w:type="dxa"/>
            <w:left w:w="108" w:type="dxa"/>
            <w:bottom w:w="0" w:type="dxa"/>
            <w:right w:w="108" w:type="dxa"/>
          </w:tblCellMar>
        </w:tblPrEx>
        <w:trPr>
          <w:trHeight w:val="312" w:hRule="atLeast"/>
          <w:jc w:val="center"/>
        </w:trPr>
        <w:tc>
          <w:tcPr>
            <w:tcW w:w="782" w:type="dxa"/>
            <w:vMerge w:val="continue"/>
            <w:tcBorders>
              <w:left w:val="single" w:color="auto" w:sz="8" w:space="0"/>
              <w:right w:val="single" w:color="auto" w:sz="8" w:space="0"/>
            </w:tcBorders>
            <w:vAlign w:val="center"/>
          </w:tcPr>
          <w:p w14:paraId="72D65E44">
            <w:pPr>
              <w:spacing w:line="240" w:lineRule="auto"/>
              <w:jc w:val="center"/>
              <w:rPr>
                <w:rFonts w:hint="eastAsia" w:ascii="宋体" w:hAnsi="宋体" w:eastAsia="宋体" w:cs="宋体"/>
                <w:kern w:val="0"/>
                <w:sz w:val="21"/>
                <w:szCs w:val="21"/>
              </w:rPr>
            </w:pPr>
          </w:p>
        </w:tc>
        <w:tc>
          <w:tcPr>
            <w:tcW w:w="3118" w:type="dxa"/>
            <w:tcBorders>
              <w:top w:val="single" w:color="auto" w:sz="4" w:space="0"/>
              <w:left w:val="single" w:color="auto" w:sz="8" w:space="0"/>
              <w:bottom w:val="single" w:color="auto" w:sz="4" w:space="0"/>
              <w:right w:val="single" w:color="auto" w:sz="4" w:space="0"/>
            </w:tcBorders>
            <w:shd w:val="clear" w:color="auto" w:fill="auto"/>
            <w:vAlign w:val="center"/>
          </w:tcPr>
          <w:p w14:paraId="0DC51CB9">
            <w:pPr>
              <w:spacing w:line="240" w:lineRule="auto"/>
              <w:jc w:val="center"/>
              <w:rPr>
                <w:rFonts w:hint="eastAsia" w:ascii="宋体" w:hAnsi="宋体" w:eastAsia="宋体" w:cs="宋体"/>
                <w:sz w:val="21"/>
                <w:szCs w:val="21"/>
              </w:rPr>
            </w:pPr>
            <w:r>
              <w:rPr>
                <w:rFonts w:hint="eastAsia" w:ascii="宋体" w:hAnsi="宋体" w:eastAsia="宋体" w:cs="宋体"/>
                <w:sz w:val="21"/>
                <w:szCs w:val="21"/>
              </w:rPr>
              <w:t>▲速度</w:t>
            </w:r>
          </w:p>
        </w:tc>
        <w:tc>
          <w:tcPr>
            <w:tcW w:w="5381" w:type="dxa"/>
            <w:tcBorders>
              <w:top w:val="nil"/>
              <w:left w:val="single" w:color="auto" w:sz="4" w:space="0"/>
              <w:bottom w:val="single" w:color="auto" w:sz="8" w:space="0"/>
              <w:right w:val="single" w:color="auto" w:sz="8" w:space="0"/>
            </w:tcBorders>
            <w:shd w:val="clear" w:color="auto" w:fill="auto"/>
            <w:vAlign w:val="center"/>
          </w:tcPr>
          <w:p w14:paraId="06991774">
            <w:pPr>
              <w:spacing w:line="240" w:lineRule="auto"/>
              <w:jc w:val="center"/>
              <w:rPr>
                <w:rFonts w:hint="eastAsia" w:ascii="宋体" w:hAnsi="宋体" w:eastAsia="宋体" w:cs="宋体"/>
                <w:sz w:val="21"/>
                <w:szCs w:val="21"/>
              </w:rPr>
            </w:pPr>
            <w:r>
              <w:rPr>
                <w:rFonts w:hint="eastAsia" w:ascii="宋体" w:hAnsi="宋体" w:eastAsia="宋体" w:cs="宋体"/>
                <w:sz w:val="21"/>
                <w:szCs w:val="21"/>
              </w:rPr>
              <w:t>水平行高速段行走速度：不小于160m/min</w:t>
            </w:r>
          </w:p>
        </w:tc>
      </w:tr>
      <w:tr w14:paraId="1F341BD1">
        <w:tblPrEx>
          <w:tblCellMar>
            <w:top w:w="0" w:type="dxa"/>
            <w:left w:w="108" w:type="dxa"/>
            <w:bottom w:w="0" w:type="dxa"/>
            <w:right w:w="108" w:type="dxa"/>
          </w:tblCellMar>
        </w:tblPrEx>
        <w:trPr>
          <w:trHeight w:val="312" w:hRule="atLeast"/>
          <w:jc w:val="center"/>
        </w:trPr>
        <w:tc>
          <w:tcPr>
            <w:tcW w:w="782" w:type="dxa"/>
            <w:vMerge w:val="continue"/>
            <w:tcBorders>
              <w:left w:val="single" w:color="auto" w:sz="8" w:space="0"/>
              <w:bottom w:val="nil"/>
              <w:right w:val="single" w:color="auto" w:sz="8" w:space="0"/>
            </w:tcBorders>
            <w:vAlign w:val="center"/>
          </w:tcPr>
          <w:p w14:paraId="73950CD8">
            <w:pPr>
              <w:spacing w:line="240" w:lineRule="auto"/>
              <w:jc w:val="center"/>
              <w:rPr>
                <w:rFonts w:hint="eastAsia" w:ascii="宋体" w:hAnsi="宋体" w:eastAsia="宋体" w:cs="宋体"/>
                <w:kern w:val="0"/>
                <w:sz w:val="21"/>
                <w:szCs w:val="21"/>
              </w:rPr>
            </w:pPr>
          </w:p>
        </w:tc>
        <w:tc>
          <w:tcPr>
            <w:tcW w:w="3118" w:type="dxa"/>
            <w:tcBorders>
              <w:top w:val="single" w:color="auto" w:sz="4" w:space="0"/>
              <w:left w:val="single" w:color="auto" w:sz="8" w:space="0"/>
              <w:bottom w:val="single" w:color="auto" w:sz="4" w:space="0"/>
              <w:right w:val="single" w:color="auto" w:sz="4" w:space="0"/>
            </w:tcBorders>
            <w:shd w:val="clear" w:color="auto" w:fill="auto"/>
            <w:vAlign w:val="center"/>
          </w:tcPr>
          <w:p w14:paraId="57CC38F1">
            <w:pPr>
              <w:spacing w:line="240" w:lineRule="auto"/>
              <w:jc w:val="center"/>
              <w:rPr>
                <w:rFonts w:hint="eastAsia" w:ascii="宋体" w:hAnsi="宋体" w:eastAsia="宋体" w:cs="宋体"/>
                <w:sz w:val="21"/>
                <w:szCs w:val="21"/>
              </w:rPr>
            </w:pPr>
            <w:r>
              <w:rPr>
                <w:rFonts w:hint="eastAsia" w:ascii="宋体" w:hAnsi="宋体" w:eastAsia="宋体" w:cs="宋体"/>
                <w:sz w:val="21"/>
                <w:szCs w:val="21"/>
              </w:rPr>
              <w:t>▲加速度</w:t>
            </w:r>
          </w:p>
        </w:tc>
        <w:tc>
          <w:tcPr>
            <w:tcW w:w="5381" w:type="dxa"/>
            <w:tcBorders>
              <w:top w:val="nil"/>
              <w:left w:val="single" w:color="auto" w:sz="4" w:space="0"/>
              <w:bottom w:val="single" w:color="auto" w:sz="8" w:space="0"/>
              <w:right w:val="single" w:color="auto" w:sz="8" w:space="0"/>
            </w:tcBorders>
            <w:shd w:val="clear" w:color="auto" w:fill="auto"/>
            <w:vAlign w:val="center"/>
          </w:tcPr>
          <w:p w14:paraId="797553CD">
            <w:pPr>
              <w:spacing w:line="240" w:lineRule="auto"/>
              <w:jc w:val="center"/>
              <w:rPr>
                <w:rFonts w:hint="eastAsia" w:ascii="宋体" w:hAnsi="宋体" w:eastAsia="宋体" w:cs="宋体"/>
                <w:sz w:val="21"/>
                <w:szCs w:val="21"/>
              </w:rPr>
            </w:pPr>
            <w:r>
              <w:rPr>
                <w:rFonts w:hint="eastAsia" w:ascii="宋体" w:hAnsi="宋体" w:eastAsia="宋体" w:cs="宋体"/>
                <w:sz w:val="21"/>
                <w:szCs w:val="21"/>
              </w:rPr>
              <w:t>0.3m/s²</w:t>
            </w:r>
          </w:p>
        </w:tc>
      </w:tr>
      <w:tr w14:paraId="39E134F9">
        <w:tblPrEx>
          <w:tblCellMar>
            <w:top w:w="0" w:type="dxa"/>
            <w:left w:w="108" w:type="dxa"/>
            <w:bottom w:w="0" w:type="dxa"/>
            <w:right w:w="108" w:type="dxa"/>
          </w:tblCellMar>
        </w:tblPrEx>
        <w:trPr>
          <w:trHeight w:val="312" w:hRule="atLeast"/>
          <w:jc w:val="center"/>
        </w:trPr>
        <w:tc>
          <w:tcPr>
            <w:tcW w:w="782" w:type="dxa"/>
            <w:vMerge w:val="restart"/>
            <w:tcBorders>
              <w:top w:val="single" w:color="auto" w:sz="8" w:space="0"/>
              <w:left w:val="single" w:color="auto" w:sz="8" w:space="0"/>
              <w:right w:val="single" w:color="auto" w:sz="8" w:space="0"/>
            </w:tcBorders>
            <w:shd w:val="clear" w:color="auto" w:fill="auto"/>
            <w:vAlign w:val="center"/>
          </w:tcPr>
          <w:p w14:paraId="37B17662">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载</w:t>
            </w:r>
          </w:p>
          <w:p w14:paraId="4E6C00E1">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货</w:t>
            </w:r>
          </w:p>
          <w:p w14:paraId="7528AEAC">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台</w:t>
            </w:r>
          </w:p>
          <w:p w14:paraId="66C17DF0">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升</w:t>
            </w:r>
          </w:p>
          <w:p w14:paraId="4FEDB100">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降</w:t>
            </w:r>
          </w:p>
        </w:tc>
        <w:tc>
          <w:tcPr>
            <w:tcW w:w="3118" w:type="dxa"/>
            <w:tcBorders>
              <w:top w:val="single" w:color="auto" w:sz="4" w:space="0"/>
              <w:left w:val="nil"/>
              <w:bottom w:val="single" w:color="auto" w:sz="8" w:space="0"/>
              <w:right w:val="single" w:color="auto" w:sz="4" w:space="0"/>
            </w:tcBorders>
            <w:shd w:val="clear" w:color="auto" w:fill="auto"/>
            <w:vAlign w:val="center"/>
          </w:tcPr>
          <w:p w14:paraId="49086818">
            <w:pPr>
              <w:spacing w:line="240" w:lineRule="auto"/>
              <w:jc w:val="center"/>
              <w:rPr>
                <w:rFonts w:hint="eastAsia" w:ascii="宋体" w:hAnsi="宋体" w:eastAsia="宋体" w:cs="宋体"/>
                <w:strike/>
                <w:kern w:val="0"/>
                <w:sz w:val="21"/>
                <w:szCs w:val="21"/>
              </w:rPr>
            </w:pPr>
            <w:r>
              <w:rPr>
                <w:rFonts w:hint="eastAsia" w:ascii="宋体" w:hAnsi="宋体" w:eastAsia="宋体" w:cs="宋体"/>
                <w:kern w:val="0"/>
                <w:sz w:val="21"/>
                <w:szCs w:val="21"/>
              </w:rPr>
              <w:t>提升高度 (mm)</w:t>
            </w:r>
          </w:p>
        </w:tc>
        <w:tc>
          <w:tcPr>
            <w:tcW w:w="5381" w:type="dxa"/>
            <w:tcBorders>
              <w:top w:val="nil"/>
              <w:left w:val="single" w:color="auto" w:sz="4" w:space="0"/>
              <w:bottom w:val="single" w:color="auto" w:sz="8" w:space="0"/>
              <w:right w:val="single" w:color="auto" w:sz="8" w:space="0"/>
            </w:tcBorders>
            <w:shd w:val="clear" w:color="auto" w:fill="auto"/>
            <w:vAlign w:val="center"/>
          </w:tcPr>
          <w:p w14:paraId="6AC0AE5D">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由投标商提供</w:t>
            </w:r>
          </w:p>
        </w:tc>
      </w:tr>
      <w:tr w14:paraId="25958965">
        <w:tblPrEx>
          <w:tblCellMar>
            <w:top w:w="0" w:type="dxa"/>
            <w:left w:w="108" w:type="dxa"/>
            <w:bottom w:w="0" w:type="dxa"/>
            <w:right w:w="108" w:type="dxa"/>
          </w:tblCellMar>
        </w:tblPrEx>
        <w:trPr>
          <w:trHeight w:val="312" w:hRule="atLeast"/>
          <w:jc w:val="center"/>
        </w:trPr>
        <w:tc>
          <w:tcPr>
            <w:tcW w:w="782" w:type="dxa"/>
            <w:vMerge w:val="continue"/>
            <w:tcBorders>
              <w:left w:val="single" w:color="auto" w:sz="8" w:space="0"/>
              <w:right w:val="single" w:color="auto" w:sz="8" w:space="0"/>
            </w:tcBorders>
            <w:vAlign w:val="center"/>
          </w:tcPr>
          <w:p w14:paraId="19ACFC73">
            <w:pPr>
              <w:spacing w:line="240" w:lineRule="auto"/>
              <w:jc w:val="center"/>
              <w:rPr>
                <w:rFonts w:hint="eastAsia" w:ascii="宋体" w:hAnsi="宋体" w:eastAsia="宋体" w:cs="宋体"/>
                <w:kern w:val="0"/>
                <w:sz w:val="21"/>
                <w:szCs w:val="21"/>
              </w:rPr>
            </w:pPr>
          </w:p>
        </w:tc>
        <w:tc>
          <w:tcPr>
            <w:tcW w:w="3118" w:type="dxa"/>
            <w:tcBorders>
              <w:top w:val="single" w:color="auto" w:sz="8" w:space="0"/>
              <w:left w:val="nil"/>
              <w:bottom w:val="single" w:color="auto" w:sz="8" w:space="0"/>
              <w:right w:val="single" w:color="auto" w:sz="4" w:space="0"/>
            </w:tcBorders>
            <w:shd w:val="clear" w:color="auto" w:fill="auto"/>
            <w:vAlign w:val="center"/>
          </w:tcPr>
          <w:p w14:paraId="2575499E">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升降方式</w:t>
            </w:r>
          </w:p>
        </w:tc>
        <w:tc>
          <w:tcPr>
            <w:tcW w:w="5381" w:type="dxa"/>
            <w:tcBorders>
              <w:top w:val="nil"/>
              <w:left w:val="single" w:color="auto" w:sz="4" w:space="0"/>
              <w:bottom w:val="single" w:color="auto" w:sz="8" w:space="0"/>
              <w:right w:val="single" w:color="auto" w:sz="8" w:space="0"/>
            </w:tcBorders>
            <w:shd w:val="clear" w:color="auto" w:fill="auto"/>
            <w:vAlign w:val="center"/>
          </w:tcPr>
          <w:p w14:paraId="0F58BE28">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采用钢丝绳方式，具备8倍及以上安全系数</w:t>
            </w:r>
          </w:p>
        </w:tc>
      </w:tr>
      <w:tr w14:paraId="510E0B9B">
        <w:tblPrEx>
          <w:tblCellMar>
            <w:top w:w="0" w:type="dxa"/>
            <w:left w:w="108" w:type="dxa"/>
            <w:bottom w:w="0" w:type="dxa"/>
            <w:right w:w="108" w:type="dxa"/>
          </w:tblCellMar>
        </w:tblPrEx>
        <w:trPr>
          <w:trHeight w:val="270" w:hRule="atLeast"/>
          <w:jc w:val="center"/>
        </w:trPr>
        <w:tc>
          <w:tcPr>
            <w:tcW w:w="782" w:type="dxa"/>
            <w:vMerge w:val="continue"/>
            <w:tcBorders>
              <w:left w:val="single" w:color="auto" w:sz="8" w:space="0"/>
              <w:right w:val="single" w:color="auto" w:sz="8" w:space="0"/>
            </w:tcBorders>
            <w:vAlign w:val="center"/>
          </w:tcPr>
          <w:p w14:paraId="407F6582">
            <w:pPr>
              <w:spacing w:line="240" w:lineRule="auto"/>
              <w:jc w:val="center"/>
              <w:rPr>
                <w:rFonts w:hint="eastAsia" w:ascii="宋体" w:hAnsi="宋体" w:eastAsia="宋体" w:cs="宋体"/>
                <w:kern w:val="0"/>
                <w:sz w:val="21"/>
                <w:szCs w:val="21"/>
              </w:rPr>
            </w:pPr>
          </w:p>
        </w:tc>
        <w:tc>
          <w:tcPr>
            <w:tcW w:w="3118" w:type="dxa"/>
            <w:tcBorders>
              <w:top w:val="single" w:color="auto" w:sz="8" w:space="0"/>
              <w:left w:val="nil"/>
              <w:bottom w:val="single" w:color="auto" w:sz="8" w:space="0"/>
              <w:right w:val="single" w:color="auto" w:sz="4" w:space="0"/>
            </w:tcBorders>
            <w:shd w:val="clear" w:color="auto" w:fill="auto"/>
            <w:vAlign w:val="center"/>
          </w:tcPr>
          <w:p w14:paraId="2FE3F78E">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紧急制动方式</w:t>
            </w:r>
          </w:p>
        </w:tc>
        <w:tc>
          <w:tcPr>
            <w:tcW w:w="5381" w:type="dxa"/>
            <w:tcBorders>
              <w:top w:val="nil"/>
              <w:left w:val="single" w:color="auto" w:sz="4" w:space="0"/>
              <w:bottom w:val="single" w:color="auto" w:sz="8" w:space="0"/>
              <w:right w:val="single" w:color="auto" w:sz="8" w:space="0"/>
            </w:tcBorders>
            <w:shd w:val="clear" w:color="auto" w:fill="auto"/>
            <w:vAlign w:val="center"/>
          </w:tcPr>
          <w:p w14:paraId="7774161A">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防坠刹车单元及防坠落保护装置</w:t>
            </w:r>
          </w:p>
        </w:tc>
      </w:tr>
      <w:tr w14:paraId="5980536D">
        <w:tblPrEx>
          <w:tblCellMar>
            <w:top w:w="0" w:type="dxa"/>
            <w:left w:w="108" w:type="dxa"/>
            <w:bottom w:w="0" w:type="dxa"/>
            <w:right w:w="108" w:type="dxa"/>
          </w:tblCellMar>
        </w:tblPrEx>
        <w:trPr>
          <w:trHeight w:val="312" w:hRule="atLeast"/>
          <w:jc w:val="center"/>
        </w:trPr>
        <w:tc>
          <w:tcPr>
            <w:tcW w:w="782" w:type="dxa"/>
            <w:vMerge w:val="continue"/>
            <w:tcBorders>
              <w:left w:val="single" w:color="auto" w:sz="8" w:space="0"/>
              <w:right w:val="single" w:color="auto" w:sz="8" w:space="0"/>
            </w:tcBorders>
            <w:vAlign w:val="center"/>
          </w:tcPr>
          <w:p w14:paraId="754379C4">
            <w:pPr>
              <w:spacing w:line="240" w:lineRule="auto"/>
              <w:jc w:val="center"/>
              <w:rPr>
                <w:rFonts w:hint="eastAsia" w:ascii="宋体" w:hAnsi="宋体" w:eastAsia="宋体" w:cs="宋体"/>
                <w:kern w:val="0"/>
                <w:sz w:val="21"/>
                <w:szCs w:val="21"/>
              </w:rPr>
            </w:pPr>
          </w:p>
        </w:tc>
        <w:tc>
          <w:tcPr>
            <w:tcW w:w="3118" w:type="dxa"/>
            <w:tcBorders>
              <w:top w:val="single" w:color="auto" w:sz="8" w:space="0"/>
              <w:left w:val="nil"/>
              <w:bottom w:val="single" w:color="auto" w:sz="8" w:space="0"/>
              <w:right w:val="single" w:color="auto" w:sz="4" w:space="0"/>
            </w:tcBorders>
            <w:shd w:val="clear" w:color="auto" w:fill="auto"/>
            <w:vAlign w:val="center"/>
          </w:tcPr>
          <w:p w14:paraId="6EE4A2E4">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定位方式 (Y 方向)</w:t>
            </w:r>
          </w:p>
        </w:tc>
        <w:tc>
          <w:tcPr>
            <w:tcW w:w="5381" w:type="dxa"/>
            <w:tcBorders>
              <w:top w:val="nil"/>
              <w:left w:val="single" w:color="auto" w:sz="4" w:space="0"/>
              <w:bottom w:val="single" w:color="auto" w:sz="8" w:space="0"/>
              <w:right w:val="single" w:color="auto" w:sz="8" w:space="0"/>
            </w:tcBorders>
            <w:shd w:val="clear" w:color="auto" w:fill="auto"/>
            <w:vAlign w:val="center"/>
          </w:tcPr>
          <w:p w14:paraId="7E352B4A">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条码带定位</w:t>
            </w:r>
          </w:p>
        </w:tc>
      </w:tr>
      <w:tr w14:paraId="75440235">
        <w:tblPrEx>
          <w:tblCellMar>
            <w:top w:w="0" w:type="dxa"/>
            <w:left w:w="108" w:type="dxa"/>
            <w:bottom w:w="0" w:type="dxa"/>
            <w:right w:w="108" w:type="dxa"/>
          </w:tblCellMar>
        </w:tblPrEx>
        <w:trPr>
          <w:trHeight w:val="360" w:hRule="atLeast"/>
          <w:jc w:val="center"/>
        </w:trPr>
        <w:tc>
          <w:tcPr>
            <w:tcW w:w="782" w:type="dxa"/>
            <w:vMerge w:val="continue"/>
            <w:tcBorders>
              <w:left w:val="single" w:color="auto" w:sz="8" w:space="0"/>
              <w:right w:val="single" w:color="auto" w:sz="8" w:space="0"/>
            </w:tcBorders>
            <w:vAlign w:val="center"/>
          </w:tcPr>
          <w:p w14:paraId="538BD635">
            <w:pPr>
              <w:spacing w:line="240" w:lineRule="auto"/>
              <w:jc w:val="center"/>
              <w:rPr>
                <w:rFonts w:hint="eastAsia" w:ascii="宋体" w:hAnsi="宋体" w:eastAsia="宋体" w:cs="宋体"/>
                <w:kern w:val="0"/>
                <w:sz w:val="21"/>
                <w:szCs w:val="21"/>
              </w:rPr>
            </w:pPr>
          </w:p>
        </w:tc>
        <w:tc>
          <w:tcPr>
            <w:tcW w:w="3118" w:type="dxa"/>
            <w:tcBorders>
              <w:top w:val="single" w:color="auto" w:sz="8" w:space="0"/>
              <w:left w:val="nil"/>
              <w:bottom w:val="single" w:color="auto" w:sz="4" w:space="0"/>
              <w:right w:val="single" w:color="auto" w:sz="4" w:space="0"/>
            </w:tcBorders>
            <w:shd w:val="clear" w:color="auto" w:fill="auto"/>
            <w:vAlign w:val="center"/>
          </w:tcPr>
          <w:p w14:paraId="1B81F035">
            <w:pPr>
              <w:spacing w:line="240" w:lineRule="auto"/>
              <w:jc w:val="center"/>
              <w:rPr>
                <w:rFonts w:hint="eastAsia" w:ascii="宋体" w:hAnsi="宋体" w:eastAsia="宋体" w:cs="宋体"/>
                <w:kern w:val="0"/>
                <w:sz w:val="21"/>
                <w:szCs w:val="21"/>
                <w:lang w:val="fr-FR"/>
              </w:rPr>
            </w:pPr>
            <w:r>
              <w:rPr>
                <w:rFonts w:hint="eastAsia" w:ascii="宋体" w:hAnsi="宋体" w:eastAsia="宋体" w:cs="宋体"/>
                <w:kern w:val="0"/>
                <w:sz w:val="21"/>
                <w:szCs w:val="21"/>
              </w:rPr>
              <w:t>定位</w:t>
            </w:r>
            <w:r>
              <w:rPr>
                <w:rFonts w:hint="eastAsia" w:ascii="宋体" w:hAnsi="宋体" w:eastAsia="宋体" w:cs="宋体"/>
                <w:kern w:val="0"/>
                <w:sz w:val="21"/>
                <w:szCs w:val="21"/>
                <w:lang w:val="fr-FR"/>
              </w:rPr>
              <w:t xml:space="preserve"> (Y </w:t>
            </w:r>
            <w:r>
              <w:rPr>
                <w:rFonts w:hint="eastAsia" w:ascii="宋体" w:hAnsi="宋体" w:eastAsia="宋体" w:cs="宋体"/>
                <w:kern w:val="0"/>
                <w:sz w:val="21"/>
                <w:szCs w:val="21"/>
              </w:rPr>
              <w:t>方向</w:t>
            </w:r>
            <w:r>
              <w:rPr>
                <w:rFonts w:hint="eastAsia" w:ascii="宋体" w:hAnsi="宋体" w:eastAsia="宋体" w:cs="宋体"/>
                <w:kern w:val="0"/>
                <w:sz w:val="21"/>
                <w:szCs w:val="21"/>
                <w:lang w:val="fr-FR"/>
              </w:rPr>
              <w:t xml:space="preserve">) </w:t>
            </w:r>
            <w:r>
              <w:rPr>
                <w:rFonts w:hint="eastAsia" w:ascii="宋体" w:hAnsi="宋体" w:eastAsia="宋体" w:cs="宋体"/>
                <w:kern w:val="0"/>
                <w:sz w:val="21"/>
                <w:szCs w:val="21"/>
              </w:rPr>
              <w:t>精确</w:t>
            </w:r>
            <w:r>
              <w:rPr>
                <w:rFonts w:hint="eastAsia" w:ascii="宋体" w:hAnsi="宋体" w:eastAsia="宋体" w:cs="宋体"/>
                <w:kern w:val="0"/>
                <w:sz w:val="21"/>
                <w:szCs w:val="21"/>
                <w:lang w:val="fr-FR"/>
              </w:rPr>
              <w:t xml:space="preserve"> (mm)</w:t>
            </w:r>
          </w:p>
        </w:tc>
        <w:tc>
          <w:tcPr>
            <w:tcW w:w="5381" w:type="dxa"/>
            <w:tcBorders>
              <w:top w:val="nil"/>
              <w:left w:val="single" w:color="auto" w:sz="4" w:space="0"/>
              <w:bottom w:val="single" w:color="auto" w:sz="8" w:space="0"/>
              <w:right w:val="single" w:color="auto" w:sz="8" w:space="0"/>
            </w:tcBorders>
            <w:shd w:val="clear" w:color="auto" w:fill="auto"/>
            <w:vAlign w:val="center"/>
          </w:tcPr>
          <w:p w14:paraId="3B29C9BE">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≤±5mm</w:t>
            </w:r>
          </w:p>
        </w:tc>
      </w:tr>
      <w:tr w14:paraId="31BBC759">
        <w:tblPrEx>
          <w:tblCellMar>
            <w:top w:w="0" w:type="dxa"/>
            <w:left w:w="108" w:type="dxa"/>
            <w:bottom w:w="0" w:type="dxa"/>
            <w:right w:w="108" w:type="dxa"/>
          </w:tblCellMar>
        </w:tblPrEx>
        <w:trPr>
          <w:trHeight w:val="312" w:hRule="atLeast"/>
          <w:jc w:val="center"/>
        </w:trPr>
        <w:tc>
          <w:tcPr>
            <w:tcW w:w="782" w:type="dxa"/>
            <w:vMerge w:val="continue"/>
            <w:tcBorders>
              <w:left w:val="single" w:color="auto" w:sz="8" w:space="0"/>
              <w:right w:val="single" w:color="auto" w:sz="4" w:space="0"/>
            </w:tcBorders>
            <w:vAlign w:val="center"/>
          </w:tcPr>
          <w:p w14:paraId="6C1B769C">
            <w:pPr>
              <w:spacing w:line="240" w:lineRule="auto"/>
              <w:jc w:val="center"/>
              <w:rPr>
                <w:rFonts w:hint="eastAsia" w:ascii="宋体" w:hAnsi="宋体" w:eastAsia="宋体" w:cs="宋体"/>
                <w:kern w:val="0"/>
                <w:sz w:val="21"/>
                <w:szCs w:val="21"/>
              </w:rPr>
            </w:pPr>
          </w:p>
        </w:tc>
        <w:tc>
          <w:tcPr>
            <w:tcW w:w="3118" w:type="dxa"/>
            <w:tcBorders>
              <w:top w:val="single" w:color="auto" w:sz="4" w:space="0"/>
              <w:left w:val="single" w:color="auto" w:sz="4" w:space="0"/>
              <w:bottom w:val="single" w:color="auto" w:sz="4" w:space="0"/>
              <w:right w:val="single" w:color="auto" w:sz="4" w:space="0"/>
            </w:tcBorders>
            <w:shd w:val="clear" w:color="auto" w:fill="auto"/>
            <w:vAlign w:val="center"/>
          </w:tcPr>
          <w:p w14:paraId="6B217948">
            <w:pPr>
              <w:spacing w:line="240" w:lineRule="auto"/>
              <w:jc w:val="center"/>
              <w:rPr>
                <w:rFonts w:hint="eastAsia" w:ascii="宋体" w:hAnsi="宋体" w:eastAsia="宋体" w:cs="宋体"/>
                <w:sz w:val="21"/>
                <w:szCs w:val="21"/>
              </w:rPr>
            </w:pPr>
            <w:r>
              <w:rPr>
                <w:rFonts w:hint="eastAsia" w:ascii="宋体" w:hAnsi="宋体" w:eastAsia="宋体" w:cs="宋体"/>
                <w:sz w:val="21"/>
                <w:szCs w:val="21"/>
              </w:rPr>
              <w:t>▲速度</w:t>
            </w:r>
          </w:p>
        </w:tc>
        <w:tc>
          <w:tcPr>
            <w:tcW w:w="5381" w:type="dxa"/>
            <w:tcBorders>
              <w:top w:val="nil"/>
              <w:left w:val="single" w:color="auto" w:sz="4" w:space="0"/>
              <w:bottom w:val="single" w:color="auto" w:sz="8" w:space="0"/>
              <w:right w:val="single" w:color="auto" w:sz="8" w:space="0"/>
            </w:tcBorders>
            <w:shd w:val="clear" w:color="auto" w:fill="auto"/>
            <w:vAlign w:val="center"/>
          </w:tcPr>
          <w:p w14:paraId="062CB400">
            <w:pPr>
              <w:spacing w:line="240" w:lineRule="auto"/>
              <w:jc w:val="center"/>
              <w:rPr>
                <w:rFonts w:hint="eastAsia" w:ascii="宋体" w:hAnsi="宋体" w:eastAsia="宋体" w:cs="宋体"/>
                <w:sz w:val="21"/>
                <w:szCs w:val="21"/>
              </w:rPr>
            </w:pPr>
            <w:r>
              <w:rPr>
                <w:rFonts w:hint="eastAsia" w:ascii="宋体" w:hAnsi="宋体" w:eastAsia="宋体" w:cs="宋体"/>
                <w:sz w:val="21"/>
                <w:szCs w:val="21"/>
              </w:rPr>
              <w:t>满载不小于40m/min。</w:t>
            </w:r>
          </w:p>
        </w:tc>
      </w:tr>
      <w:tr w14:paraId="4E2878D7">
        <w:tblPrEx>
          <w:tblCellMar>
            <w:top w:w="0" w:type="dxa"/>
            <w:left w:w="108" w:type="dxa"/>
            <w:bottom w:w="0" w:type="dxa"/>
            <w:right w:w="108" w:type="dxa"/>
          </w:tblCellMar>
        </w:tblPrEx>
        <w:trPr>
          <w:trHeight w:val="312" w:hRule="atLeast"/>
          <w:jc w:val="center"/>
        </w:trPr>
        <w:tc>
          <w:tcPr>
            <w:tcW w:w="782" w:type="dxa"/>
            <w:vMerge w:val="continue"/>
            <w:tcBorders>
              <w:left w:val="single" w:color="auto" w:sz="8" w:space="0"/>
              <w:right w:val="single" w:color="auto" w:sz="4" w:space="0"/>
            </w:tcBorders>
            <w:vAlign w:val="center"/>
          </w:tcPr>
          <w:p w14:paraId="286F80F5">
            <w:pPr>
              <w:spacing w:line="240" w:lineRule="auto"/>
              <w:jc w:val="center"/>
              <w:rPr>
                <w:rFonts w:hint="eastAsia" w:ascii="宋体" w:hAnsi="宋体" w:eastAsia="宋体" w:cs="宋体"/>
                <w:kern w:val="0"/>
                <w:sz w:val="21"/>
                <w:szCs w:val="21"/>
              </w:rPr>
            </w:pPr>
          </w:p>
        </w:tc>
        <w:tc>
          <w:tcPr>
            <w:tcW w:w="3118" w:type="dxa"/>
            <w:tcBorders>
              <w:top w:val="single" w:color="auto" w:sz="4" w:space="0"/>
              <w:left w:val="single" w:color="auto" w:sz="4" w:space="0"/>
              <w:bottom w:val="single" w:color="auto" w:sz="4" w:space="0"/>
              <w:right w:val="single" w:color="auto" w:sz="4" w:space="0"/>
            </w:tcBorders>
            <w:shd w:val="clear" w:color="auto" w:fill="auto"/>
            <w:vAlign w:val="center"/>
          </w:tcPr>
          <w:p w14:paraId="36D3DB64">
            <w:pPr>
              <w:spacing w:line="240" w:lineRule="auto"/>
              <w:jc w:val="center"/>
              <w:rPr>
                <w:rFonts w:hint="eastAsia" w:ascii="宋体" w:hAnsi="宋体" w:eastAsia="宋体" w:cs="宋体"/>
                <w:sz w:val="21"/>
                <w:szCs w:val="21"/>
              </w:rPr>
            </w:pPr>
            <w:r>
              <w:rPr>
                <w:rFonts w:hint="eastAsia" w:ascii="宋体" w:hAnsi="宋体" w:eastAsia="宋体" w:cs="宋体"/>
                <w:sz w:val="21"/>
                <w:szCs w:val="21"/>
              </w:rPr>
              <w:t>▲加速度</w:t>
            </w:r>
          </w:p>
        </w:tc>
        <w:tc>
          <w:tcPr>
            <w:tcW w:w="5381" w:type="dxa"/>
            <w:tcBorders>
              <w:top w:val="nil"/>
              <w:left w:val="single" w:color="auto" w:sz="4" w:space="0"/>
              <w:bottom w:val="single" w:color="auto" w:sz="8" w:space="0"/>
              <w:right w:val="single" w:color="auto" w:sz="8" w:space="0"/>
            </w:tcBorders>
            <w:shd w:val="clear" w:color="auto" w:fill="auto"/>
            <w:vAlign w:val="center"/>
          </w:tcPr>
          <w:p w14:paraId="0DC279DB">
            <w:pPr>
              <w:spacing w:line="240" w:lineRule="auto"/>
              <w:jc w:val="center"/>
              <w:rPr>
                <w:rFonts w:hint="eastAsia" w:ascii="宋体" w:hAnsi="宋体" w:eastAsia="宋体" w:cs="宋体"/>
                <w:sz w:val="21"/>
                <w:szCs w:val="21"/>
              </w:rPr>
            </w:pPr>
            <w:r>
              <w:rPr>
                <w:rFonts w:hint="eastAsia" w:ascii="宋体" w:hAnsi="宋体" w:eastAsia="宋体" w:cs="宋体"/>
                <w:sz w:val="21"/>
                <w:szCs w:val="21"/>
              </w:rPr>
              <w:t>0.3m/s²</w:t>
            </w:r>
          </w:p>
        </w:tc>
      </w:tr>
      <w:tr w14:paraId="38117056">
        <w:tblPrEx>
          <w:tblCellMar>
            <w:top w:w="0" w:type="dxa"/>
            <w:left w:w="108" w:type="dxa"/>
            <w:bottom w:w="0" w:type="dxa"/>
            <w:right w:w="108" w:type="dxa"/>
          </w:tblCellMar>
        </w:tblPrEx>
        <w:trPr>
          <w:trHeight w:val="312" w:hRule="atLeast"/>
          <w:jc w:val="center"/>
        </w:trPr>
        <w:tc>
          <w:tcPr>
            <w:tcW w:w="782" w:type="dxa"/>
            <w:vMerge w:val="restart"/>
            <w:tcBorders>
              <w:top w:val="single" w:color="auto" w:sz="4" w:space="0"/>
              <w:left w:val="single" w:color="auto" w:sz="4" w:space="0"/>
              <w:right w:val="single" w:color="auto" w:sz="4" w:space="0"/>
            </w:tcBorders>
            <w:shd w:val="clear" w:color="auto" w:fill="auto"/>
            <w:vAlign w:val="center"/>
          </w:tcPr>
          <w:p w14:paraId="6B55A9BB">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货叉</w:t>
            </w:r>
          </w:p>
        </w:tc>
        <w:tc>
          <w:tcPr>
            <w:tcW w:w="3118" w:type="dxa"/>
            <w:tcBorders>
              <w:top w:val="single" w:color="auto" w:sz="4" w:space="0"/>
              <w:left w:val="single" w:color="auto" w:sz="4" w:space="0"/>
              <w:bottom w:val="single" w:color="auto" w:sz="8" w:space="0"/>
              <w:right w:val="single" w:color="auto" w:sz="4" w:space="0"/>
            </w:tcBorders>
            <w:shd w:val="clear" w:color="auto" w:fill="auto"/>
            <w:vAlign w:val="center"/>
          </w:tcPr>
          <w:p w14:paraId="60F322DE">
            <w:pPr>
              <w:spacing w:line="240" w:lineRule="auto"/>
              <w:jc w:val="center"/>
              <w:rPr>
                <w:rFonts w:hint="eastAsia" w:ascii="宋体" w:hAnsi="宋体" w:eastAsia="宋体" w:cs="宋体"/>
                <w:sz w:val="21"/>
                <w:szCs w:val="21"/>
              </w:rPr>
            </w:pPr>
            <w:r>
              <w:rPr>
                <w:rFonts w:hint="eastAsia" w:ascii="宋体" w:hAnsi="宋体" w:eastAsia="宋体" w:cs="宋体"/>
                <w:sz w:val="21"/>
                <w:szCs w:val="21"/>
              </w:rPr>
              <w:t>▲货叉品牌</w:t>
            </w:r>
          </w:p>
        </w:tc>
        <w:tc>
          <w:tcPr>
            <w:tcW w:w="5381" w:type="dxa"/>
            <w:tcBorders>
              <w:top w:val="nil"/>
              <w:left w:val="single" w:color="auto" w:sz="4" w:space="0"/>
              <w:bottom w:val="single" w:color="auto" w:sz="8" w:space="0"/>
              <w:right w:val="single" w:color="auto" w:sz="8" w:space="0"/>
            </w:tcBorders>
            <w:shd w:val="clear" w:color="auto" w:fill="auto"/>
            <w:vAlign w:val="center"/>
          </w:tcPr>
          <w:p w14:paraId="4C79C929">
            <w:pPr>
              <w:spacing w:line="240" w:lineRule="auto"/>
              <w:jc w:val="center"/>
              <w:rPr>
                <w:rFonts w:hint="eastAsia" w:ascii="宋体" w:hAnsi="宋体" w:eastAsia="宋体" w:cs="宋体"/>
                <w:sz w:val="21"/>
                <w:szCs w:val="21"/>
              </w:rPr>
            </w:pPr>
            <w:r>
              <w:rPr>
                <w:rFonts w:hint="eastAsia" w:ascii="宋体" w:hAnsi="宋体" w:eastAsia="宋体" w:cs="宋体"/>
                <w:sz w:val="21"/>
                <w:szCs w:val="21"/>
              </w:rPr>
              <w:t>推荐采用MIAS/EUROFORK/Alarlhd等品牌</w:t>
            </w:r>
          </w:p>
        </w:tc>
      </w:tr>
      <w:tr w14:paraId="12D70E2C">
        <w:tblPrEx>
          <w:tblCellMar>
            <w:top w:w="0" w:type="dxa"/>
            <w:left w:w="108" w:type="dxa"/>
            <w:bottom w:w="0" w:type="dxa"/>
            <w:right w:w="108" w:type="dxa"/>
          </w:tblCellMar>
        </w:tblPrEx>
        <w:trPr>
          <w:trHeight w:val="312" w:hRule="atLeast"/>
          <w:jc w:val="center"/>
        </w:trPr>
        <w:tc>
          <w:tcPr>
            <w:tcW w:w="782" w:type="dxa"/>
            <w:vMerge w:val="continue"/>
            <w:tcBorders>
              <w:top w:val="single" w:color="auto" w:sz="4" w:space="0"/>
              <w:left w:val="single" w:color="auto" w:sz="4" w:space="0"/>
              <w:right w:val="single" w:color="auto" w:sz="4" w:space="0"/>
            </w:tcBorders>
            <w:shd w:val="clear" w:color="auto" w:fill="auto"/>
            <w:vAlign w:val="center"/>
          </w:tcPr>
          <w:p w14:paraId="11C37C91">
            <w:pPr>
              <w:spacing w:line="240" w:lineRule="auto"/>
              <w:jc w:val="center"/>
              <w:rPr>
                <w:rFonts w:hint="eastAsia" w:ascii="宋体" w:hAnsi="宋体" w:eastAsia="宋体" w:cs="宋体"/>
                <w:kern w:val="0"/>
                <w:sz w:val="21"/>
                <w:szCs w:val="21"/>
              </w:rPr>
            </w:pPr>
          </w:p>
        </w:tc>
        <w:tc>
          <w:tcPr>
            <w:tcW w:w="3118" w:type="dxa"/>
            <w:tcBorders>
              <w:top w:val="single" w:color="auto" w:sz="4" w:space="0"/>
              <w:left w:val="single" w:color="auto" w:sz="4" w:space="0"/>
              <w:bottom w:val="single" w:color="auto" w:sz="8" w:space="0"/>
              <w:right w:val="single" w:color="auto" w:sz="4" w:space="0"/>
            </w:tcBorders>
            <w:shd w:val="clear" w:color="auto" w:fill="auto"/>
            <w:vAlign w:val="center"/>
          </w:tcPr>
          <w:p w14:paraId="1C20E20C">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类型</w:t>
            </w:r>
          </w:p>
        </w:tc>
        <w:tc>
          <w:tcPr>
            <w:tcW w:w="5381" w:type="dxa"/>
            <w:tcBorders>
              <w:top w:val="nil"/>
              <w:left w:val="single" w:color="auto" w:sz="4" w:space="0"/>
              <w:bottom w:val="single" w:color="auto" w:sz="8" w:space="0"/>
              <w:right w:val="single" w:color="auto" w:sz="8" w:space="0"/>
            </w:tcBorders>
            <w:shd w:val="clear" w:color="auto" w:fill="auto"/>
            <w:vAlign w:val="center"/>
          </w:tcPr>
          <w:p w14:paraId="6AF38857">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单伸/双伸双指货叉</w:t>
            </w:r>
          </w:p>
        </w:tc>
      </w:tr>
      <w:tr w14:paraId="3EB884F0">
        <w:tblPrEx>
          <w:tblCellMar>
            <w:top w:w="0" w:type="dxa"/>
            <w:left w:w="108" w:type="dxa"/>
            <w:bottom w:w="0" w:type="dxa"/>
            <w:right w:w="108" w:type="dxa"/>
          </w:tblCellMar>
        </w:tblPrEx>
        <w:trPr>
          <w:trHeight w:val="312" w:hRule="atLeast"/>
          <w:jc w:val="center"/>
        </w:trPr>
        <w:tc>
          <w:tcPr>
            <w:tcW w:w="782" w:type="dxa"/>
            <w:vMerge w:val="continue"/>
            <w:tcBorders>
              <w:top w:val="single" w:color="auto" w:sz="4" w:space="0"/>
              <w:left w:val="single" w:color="auto" w:sz="4" w:space="0"/>
              <w:right w:val="single" w:color="auto" w:sz="4" w:space="0"/>
            </w:tcBorders>
            <w:shd w:val="clear" w:color="auto" w:fill="auto"/>
            <w:vAlign w:val="center"/>
          </w:tcPr>
          <w:p w14:paraId="6CCA21DD">
            <w:pPr>
              <w:spacing w:line="240" w:lineRule="auto"/>
              <w:jc w:val="center"/>
              <w:rPr>
                <w:rFonts w:hint="eastAsia" w:ascii="宋体" w:hAnsi="宋体" w:eastAsia="宋体" w:cs="宋体"/>
                <w:kern w:val="0"/>
                <w:sz w:val="21"/>
                <w:szCs w:val="21"/>
              </w:rPr>
            </w:pPr>
          </w:p>
        </w:tc>
        <w:tc>
          <w:tcPr>
            <w:tcW w:w="3118" w:type="dxa"/>
            <w:tcBorders>
              <w:top w:val="single" w:color="auto" w:sz="4" w:space="0"/>
              <w:left w:val="single" w:color="auto" w:sz="4" w:space="0"/>
              <w:bottom w:val="single" w:color="auto" w:sz="8" w:space="0"/>
              <w:right w:val="single" w:color="auto" w:sz="4" w:space="0"/>
            </w:tcBorders>
            <w:shd w:val="clear" w:color="auto" w:fill="auto"/>
            <w:vAlign w:val="center"/>
          </w:tcPr>
          <w:p w14:paraId="6023AE54">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定位方式</w:t>
            </w:r>
          </w:p>
        </w:tc>
        <w:tc>
          <w:tcPr>
            <w:tcW w:w="5381" w:type="dxa"/>
            <w:tcBorders>
              <w:top w:val="nil"/>
              <w:left w:val="single" w:color="auto" w:sz="4" w:space="0"/>
              <w:bottom w:val="single" w:color="auto" w:sz="8" w:space="0"/>
              <w:right w:val="single" w:color="auto" w:sz="8" w:space="0"/>
            </w:tcBorders>
            <w:shd w:val="clear" w:color="auto" w:fill="auto"/>
            <w:vAlign w:val="center"/>
          </w:tcPr>
          <w:p w14:paraId="70A210D8">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编码器</w:t>
            </w:r>
          </w:p>
        </w:tc>
      </w:tr>
      <w:tr w14:paraId="33A60A39">
        <w:tblPrEx>
          <w:tblCellMar>
            <w:top w:w="0" w:type="dxa"/>
            <w:left w:w="108" w:type="dxa"/>
            <w:bottom w:w="0" w:type="dxa"/>
            <w:right w:w="108" w:type="dxa"/>
          </w:tblCellMar>
        </w:tblPrEx>
        <w:trPr>
          <w:trHeight w:val="312" w:hRule="atLeast"/>
          <w:jc w:val="center"/>
        </w:trPr>
        <w:tc>
          <w:tcPr>
            <w:tcW w:w="782" w:type="dxa"/>
            <w:vMerge w:val="continue"/>
            <w:tcBorders>
              <w:top w:val="single" w:color="auto" w:sz="4" w:space="0"/>
              <w:left w:val="single" w:color="auto" w:sz="4" w:space="0"/>
              <w:right w:val="single" w:color="auto" w:sz="4" w:space="0"/>
            </w:tcBorders>
            <w:shd w:val="clear" w:color="auto" w:fill="auto"/>
            <w:vAlign w:val="center"/>
          </w:tcPr>
          <w:p w14:paraId="31B50AD4">
            <w:pPr>
              <w:spacing w:line="240" w:lineRule="auto"/>
              <w:jc w:val="center"/>
              <w:rPr>
                <w:rFonts w:hint="eastAsia" w:ascii="宋体" w:hAnsi="宋体" w:eastAsia="宋体" w:cs="宋体"/>
                <w:kern w:val="0"/>
                <w:sz w:val="21"/>
                <w:szCs w:val="21"/>
              </w:rPr>
            </w:pPr>
          </w:p>
        </w:tc>
        <w:tc>
          <w:tcPr>
            <w:tcW w:w="3118" w:type="dxa"/>
            <w:tcBorders>
              <w:top w:val="single" w:color="auto" w:sz="4" w:space="0"/>
              <w:left w:val="single" w:color="auto" w:sz="4" w:space="0"/>
              <w:bottom w:val="single" w:color="auto" w:sz="8" w:space="0"/>
              <w:right w:val="single" w:color="auto" w:sz="4" w:space="0"/>
            </w:tcBorders>
            <w:shd w:val="clear" w:color="auto" w:fill="auto"/>
            <w:vAlign w:val="center"/>
          </w:tcPr>
          <w:p w14:paraId="19E8DEBA">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定位 (Z 方向) 精确 (mm)</w:t>
            </w:r>
          </w:p>
        </w:tc>
        <w:tc>
          <w:tcPr>
            <w:tcW w:w="5381" w:type="dxa"/>
            <w:tcBorders>
              <w:top w:val="nil"/>
              <w:left w:val="single" w:color="auto" w:sz="4" w:space="0"/>
              <w:bottom w:val="single" w:color="auto" w:sz="8" w:space="0"/>
              <w:right w:val="single" w:color="auto" w:sz="8" w:space="0"/>
            </w:tcBorders>
            <w:shd w:val="clear" w:color="auto" w:fill="auto"/>
            <w:vAlign w:val="center"/>
          </w:tcPr>
          <w:p w14:paraId="57878BE7">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≤±3mm</w:t>
            </w:r>
          </w:p>
        </w:tc>
      </w:tr>
      <w:tr w14:paraId="415DD5C5">
        <w:tblPrEx>
          <w:tblCellMar>
            <w:top w:w="0" w:type="dxa"/>
            <w:left w:w="108" w:type="dxa"/>
            <w:bottom w:w="0" w:type="dxa"/>
            <w:right w:w="108" w:type="dxa"/>
          </w:tblCellMar>
        </w:tblPrEx>
        <w:trPr>
          <w:trHeight w:val="312" w:hRule="atLeast"/>
          <w:jc w:val="center"/>
        </w:trPr>
        <w:tc>
          <w:tcPr>
            <w:tcW w:w="782" w:type="dxa"/>
            <w:vMerge w:val="continue"/>
            <w:tcBorders>
              <w:top w:val="single" w:color="auto" w:sz="4" w:space="0"/>
              <w:left w:val="single" w:color="auto" w:sz="4" w:space="0"/>
              <w:right w:val="single" w:color="auto" w:sz="4" w:space="0"/>
            </w:tcBorders>
            <w:shd w:val="clear" w:color="auto" w:fill="auto"/>
            <w:vAlign w:val="center"/>
          </w:tcPr>
          <w:p w14:paraId="665BA0D7">
            <w:pPr>
              <w:spacing w:line="240" w:lineRule="auto"/>
              <w:jc w:val="center"/>
              <w:rPr>
                <w:rFonts w:hint="eastAsia" w:ascii="宋体" w:hAnsi="宋体" w:eastAsia="宋体" w:cs="宋体"/>
                <w:kern w:val="0"/>
                <w:sz w:val="21"/>
                <w:szCs w:val="21"/>
              </w:rPr>
            </w:pPr>
          </w:p>
        </w:tc>
        <w:tc>
          <w:tcPr>
            <w:tcW w:w="3118" w:type="dxa"/>
            <w:tcBorders>
              <w:top w:val="single" w:color="auto" w:sz="4" w:space="0"/>
              <w:left w:val="single" w:color="auto" w:sz="4" w:space="0"/>
              <w:bottom w:val="single" w:color="auto" w:sz="8" w:space="0"/>
              <w:right w:val="single" w:color="auto" w:sz="4" w:space="0"/>
            </w:tcBorders>
            <w:shd w:val="clear" w:color="auto" w:fill="auto"/>
            <w:vAlign w:val="center"/>
          </w:tcPr>
          <w:p w14:paraId="24BEF3A2">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伸叉行程 (mm)</w:t>
            </w:r>
          </w:p>
        </w:tc>
        <w:tc>
          <w:tcPr>
            <w:tcW w:w="5381" w:type="dxa"/>
            <w:tcBorders>
              <w:top w:val="nil"/>
              <w:left w:val="single" w:color="auto" w:sz="4" w:space="0"/>
              <w:bottom w:val="single" w:color="auto" w:sz="8" w:space="0"/>
              <w:right w:val="single" w:color="auto" w:sz="8" w:space="0"/>
            </w:tcBorders>
            <w:shd w:val="clear" w:color="auto" w:fill="auto"/>
            <w:vAlign w:val="center"/>
          </w:tcPr>
          <w:p w14:paraId="0569021F">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由投标商提供</w:t>
            </w:r>
          </w:p>
        </w:tc>
      </w:tr>
      <w:tr w14:paraId="174E565A">
        <w:tblPrEx>
          <w:tblCellMar>
            <w:top w:w="0" w:type="dxa"/>
            <w:left w:w="108" w:type="dxa"/>
            <w:bottom w:w="0" w:type="dxa"/>
            <w:right w:w="108" w:type="dxa"/>
          </w:tblCellMar>
        </w:tblPrEx>
        <w:trPr>
          <w:trHeight w:val="312" w:hRule="atLeast"/>
          <w:jc w:val="center"/>
        </w:trPr>
        <w:tc>
          <w:tcPr>
            <w:tcW w:w="782" w:type="dxa"/>
            <w:vMerge w:val="continue"/>
            <w:tcBorders>
              <w:left w:val="single" w:color="auto" w:sz="4" w:space="0"/>
              <w:right w:val="single" w:color="auto" w:sz="4" w:space="0"/>
            </w:tcBorders>
            <w:vAlign w:val="center"/>
          </w:tcPr>
          <w:p w14:paraId="42846A3B">
            <w:pPr>
              <w:spacing w:line="240" w:lineRule="auto"/>
              <w:jc w:val="center"/>
              <w:rPr>
                <w:rFonts w:hint="eastAsia" w:ascii="宋体" w:hAnsi="宋体" w:eastAsia="宋体" w:cs="宋体"/>
                <w:kern w:val="0"/>
                <w:sz w:val="21"/>
                <w:szCs w:val="21"/>
              </w:rPr>
            </w:pPr>
          </w:p>
        </w:tc>
        <w:tc>
          <w:tcPr>
            <w:tcW w:w="3118" w:type="dxa"/>
            <w:tcBorders>
              <w:top w:val="single" w:color="auto" w:sz="8" w:space="0"/>
              <w:left w:val="single" w:color="auto" w:sz="4" w:space="0"/>
              <w:bottom w:val="single" w:color="auto" w:sz="8" w:space="0"/>
              <w:right w:val="single" w:color="auto" w:sz="4" w:space="0"/>
            </w:tcBorders>
            <w:shd w:val="clear" w:color="auto" w:fill="auto"/>
            <w:vAlign w:val="center"/>
          </w:tcPr>
          <w:p w14:paraId="51F8B669">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货物防滑落（推出）装置</w:t>
            </w:r>
          </w:p>
        </w:tc>
        <w:tc>
          <w:tcPr>
            <w:tcW w:w="5381" w:type="dxa"/>
            <w:tcBorders>
              <w:top w:val="nil"/>
              <w:left w:val="single" w:color="auto" w:sz="4" w:space="0"/>
              <w:bottom w:val="single" w:color="auto" w:sz="8" w:space="0"/>
              <w:right w:val="single" w:color="auto" w:sz="8" w:space="0"/>
            </w:tcBorders>
            <w:shd w:val="clear" w:color="auto" w:fill="auto"/>
            <w:vAlign w:val="center"/>
          </w:tcPr>
          <w:p w14:paraId="47C7ED6C">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具有</w:t>
            </w:r>
          </w:p>
        </w:tc>
      </w:tr>
      <w:tr w14:paraId="42F9E50F">
        <w:tblPrEx>
          <w:tblCellMar>
            <w:top w:w="0" w:type="dxa"/>
            <w:left w:w="108" w:type="dxa"/>
            <w:bottom w:w="0" w:type="dxa"/>
            <w:right w:w="108" w:type="dxa"/>
          </w:tblCellMar>
        </w:tblPrEx>
        <w:trPr>
          <w:trHeight w:val="312" w:hRule="atLeast"/>
          <w:jc w:val="center"/>
        </w:trPr>
        <w:tc>
          <w:tcPr>
            <w:tcW w:w="782" w:type="dxa"/>
            <w:vMerge w:val="continue"/>
            <w:tcBorders>
              <w:left w:val="single" w:color="auto" w:sz="4" w:space="0"/>
              <w:right w:val="single" w:color="auto" w:sz="4" w:space="0"/>
            </w:tcBorders>
            <w:vAlign w:val="center"/>
          </w:tcPr>
          <w:p w14:paraId="6C79F9C9">
            <w:pPr>
              <w:spacing w:line="240" w:lineRule="auto"/>
              <w:jc w:val="center"/>
              <w:rPr>
                <w:rFonts w:hint="eastAsia" w:ascii="宋体" w:hAnsi="宋体" w:eastAsia="宋体" w:cs="宋体"/>
                <w:kern w:val="0"/>
                <w:sz w:val="21"/>
                <w:szCs w:val="21"/>
              </w:rPr>
            </w:pPr>
          </w:p>
        </w:tc>
        <w:tc>
          <w:tcPr>
            <w:tcW w:w="3118" w:type="dxa"/>
            <w:tcBorders>
              <w:top w:val="single" w:color="auto" w:sz="8" w:space="0"/>
              <w:left w:val="single" w:color="auto" w:sz="4" w:space="0"/>
              <w:bottom w:val="single" w:color="auto" w:sz="8" w:space="0"/>
              <w:right w:val="single" w:color="auto" w:sz="4" w:space="0"/>
            </w:tcBorders>
            <w:shd w:val="clear" w:color="auto" w:fill="auto"/>
            <w:vAlign w:val="center"/>
          </w:tcPr>
          <w:p w14:paraId="7BC30407">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货叉伸缩速度</w:t>
            </w:r>
          </w:p>
        </w:tc>
        <w:tc>
          <w:tcPr>
            <w:tcW w:w="5381" w:type="dxa"/>
            <w:tcBorders>
              <w:top w:val="nil"/>
              <w:left w:val="single" w:color="auto" w:sz="4" w:space="0"/>
              <w:bottom w:val="single" w:color="auto" w:sz="8" w:space="0"/>
              <w:right w:val="single" w:color="auto" w:sz="8" w:space="0"/>
            </w:tcBorders>
            <w:shd w:val="clear" w:color="auto" w:fill="auto"/>
            <w:vAlign w:val="center"/>
          </w:tcPr>
          <w:p w14:paraId="578F0D46">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≥20/40m/min（有货/无货）</w:t>
            </w:r>
          </w:p>
        </w:tc>
      </w:tr>
      <w:tr w14:paraId="1E6C822F">
        <w:tblPrEx>
          <w:tblCellMar>
            <w:top w:w="0" w:type="dxa"/>
            <w:left w:w="108" w:type="dxa"/>
            <w:bottom w:w="0" w:type="dxa"/>
            <w:right w:w="108" w:type="dxa"/>
          </w:tblCellMar>
        </w:tblPrEx>
        <w:trPr>
          <w:trHeight w:val="297" w:hRule="atLeast"/>
          <w:jc w:val="center"/>
        </w:trPr>
        <w:tc>
          <w:tcPr>
            <w:tcW w:w="782" w:type="dxa"/>
            <w:vMerge w:val="continue"/>
            <w:tcBorders>
              <w:left w:val="single" w:color="auto" w:sz="4" w:space="0"/>
              <w:right w:val="single" w:color="auto" w:sz="4" w:space="0"/>
            </w:tcBorders>
            <w:vAlign w:val="center"/>
          </w:tcPr>
          <w:p w14:paraId="0173A61A">
            <w:pPr>
              <w:spacing w:line="240" w:lineRule="auto"/>
              <w:jc w:val="center"/>
              <w:rPr>
                <w:rFonts w:hint="eastAsia" w:ascii="宋体" w:hAnsi="宋体" w:eastAsia="宋体" w:cs="宋体"/>
                <w:kern w:val="0"/>
                <w:sz w:val="21"/>
                <w:szCs w:val="21"/>
              </w:rPr>
            </w:pPr>
          </w:p>
        </w:tc>
        <w:tc>
          <w:tcPr>
            <w:tcW w:w="3118" w:type="dxa"/>
            <w:tcBorders>
              <w:top w:val="single" w:color="auto" w:sz="8" w:space="0"/>
              <w:left w:val="single" w:color="auto" w:sz="4" w:space="0"/>
              <w:bottom w:val="single" w:color="auto" w:sz="8" w:space="0"/>
              <w:right w:val="single" w:color="auto" w:sz="4" w:space="0"/>
            </w:tcBorders>
            <w:shd w:val="clear" w:color="auto" w:fill="auto"/>
            <w:vAlign w:val="center"/>
          </w:tcPr>
          <w:p w14:paraId="71BCBB3C">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货叉伸缩加速度</w:t>
            </w:r>
          </w:p>
        </w:tc>
        <w:tc>
          <w:tcPr>
            <w:tcW w:w="5381" w:type="dxa"/>
            <w:tcBorders>
              <w:top w:val="nil"/>
              <w:left w:val="single" w:color="auto" w:sz="4" w:space="0"/>
              <w:bottom w:val="single" w:color="auto" w:sz="8" w:space="0"/>
              <w:right w:val="single" w:color="auto" w:sz="8" w:space="0"/>
            </w:tcBorders>
            <w:shd w:val="clear" w:color="auto" w:fill="auto"/>
            <w:vAlign w:val="center"/>
          </w:tcPr>
          <w:p w14:paraId="28DF1BCA">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≥0.3m/s²</w:t>
            </w:r>
          </w:p>
        </w:tc>
      </w:tr>
      <w:tr w14:paraId="6565A8CC">
        <w:tblPrEx>
          <w:tblCellMar>
            <w:top w:w="0" w:type="dxa"/>
            <w:left w:w="108" w:type="dxa"/>
            <w:bottom w:w="0" w:type="dxa"/>
            <w:right w:w="108" w:type="dxa"/>
          </w:tblCellMar>
        </w:tblPrEx>
        <w:trPr>
          <w:trHeight w:val="297" w:hRule="atLeast"/>
          <w:jc w:val="center"/>
        </w:trPr>
        <w:tc>
          <w:tcPr>
            <w:tcW w:w="3900" w:type="dxa"/>
            <w:gridSpan w:val="2"/>
            <w:tcBorders>
              <w:top w:val="single" w:color="auto" w:sz="8" w:space="0"/>
              <w:left w:val="single" w:color="auto" w:sz="8" w:space="0"/>
              <w:bottom w:val="single" w:color="auto" w:sz="8" w:space="0"/>
              <w:right w:val="single" w:color="auto" w:sz="4" w:space="0"/>
            </w:tcBorders>
            <w:shd w:val="clear" w:color="auto" w:fill="auto"/>
            <w:vAlign w:val="center"/>
          </w:tcPr>
          <w:p w14:paraId="0D0C70E7">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通讯方式</w:t>
            </w:r>
          </w:p>
        </w:tc>
        <w:tc>
          <w:tcPr>
            <w:tcW w:w="5381" w:type="dxa"/>
            <w:tcBorders>
              <w:top w:val="nil"/>
              <w:left w:val="single" w:color="auto" w:sz="4" w:space="0"/>
              <w:bottom w:val="single" w:color="auto" w:sz="8" w:space="0"/>
              <w:right w:val="single" w:color="auto" w:sz="8" w:space="0"/>
            </w:tcBorders>
            <w:shd w:val="clear" w:color="auto" w:fill="auto"/>
            <w:vAlign w:val="center"/>
          </w:tcPr>
          <w:p w14:paraId="4C147B35">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无线以太网</w:t>
            </w:r>
          </w:p>
        </w:tc>
      </w:tr>
      <w:tr w14:paraId="61E9954B">
        <w:tblPrEx>
          <w:tblCellMar>
            <w:top w:w="0" w:type="dxa"/>
            <w:left w:w="108" w:type="dxa"/>
            <w:bottom w:w="0" w:type="dxa"/>
            <w:right w:w="108" w:type="dxa"/>
          </w:tblCellMar>
        </w:tblPrEx>
        <w:trPr>
          <w:trHeight w:val="297" w:hRule="atLeast"/>
          <w:jc w:val="center"/>
        </w:trPr>
        <w:tc>
          <w:tcPr>
            <w:tcW w:w="3900" w:type="dxa"/>
            <w:gridSpan w:val="2"/>
            <w:tcBorders>
              <w:top w:val="single" w:color="auto" w:sz="8" w:space="0"/>
              <w:left w:val="single" w:color="auto" w:sz="8" w:space="0"/>
              <w:bottom w:val="single" w:color="auto" w:sz="8" w:space="0"/>
              <w:right w:val="single" w:color="auto" w:sz="4" w:space="0"/>
            </w:tcBorders>
            <w:shd w:val="clear" w:color="auto" w:fill="auto"/>
            <w:vAlign w:val="center"/>
          </w:tcPr>
          <w:p w14:paraId="0F626A74">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驱动方式</w:t>
            </w:r>
          </w:p>
        </w:tc>
        <w:tc>
          <w:tcPr>
            <w:tcW w:w="5381" w:type="dxa"/>
            <w:tcBorders>
              <w:top w:val="nil"/>
              <w:left w:val="single" w:color="auto" w:sz="4" w:space="0"/>
              <w:bottom w:val="single" w:color="auto" w:sz="8" w:space="0"/>
              <w:right w:val="single" w:color="auto" w:sz="8" w:space="0"/>
            </w:tcBorders>
            <w:shd w:val="clear" w:color="auto" w:fill="auto"/>
            <w:vAlign w:val="center"/>
          </w:tcPr>
          <w:p w14:paraId="1D85547D">
            <w:pPr>
              <w:spacing w:line="240" w:lineRule="auto"/>
              <w:jc w:val="center"/>
              <w:rPr>
                <w:rFonts w:hint="eastAsia" w:ascii="宋体" w:hAnsi="宋体" w:eastAsia="宋体" w:cs="宋体"/>
                <w:kern w:val="0"/>
                <w:sz w:val="21"/>
                <w:szCs w:val="21"/>
              </w:rPr>
            </w:pPr>
            <w:r>
              <w:rPr>
                <w:rFonts w:hint="eastAsia" w:ascii="宋体" w:hAnsi="宋体" w:eastAsia="宋体" w:cs="宋体"/>
                <w:sz w:val="21"/>
                <w:szCs w:val="21"/>
              </w:rPr>
              <w:t>SEW/NORD电机驱动</w:t>
            </w:r>
          </w:p>
        </w:tc>
      </w:tr>
      <w:tr w14:paraId="05458EDD">
        <w:tblPrEx>
          <w:tblCellMar>
            <w:top w:w="0" w:type="dxa"/>
            <w:left w:w="108" w:type="dxa"/>
            <w:bottom w:w="0" w:type="dxa"/>
            <w:right w:w="108" w:type="dxa"/>
          </w:tblCellMar>
        </w:tblPrEx>
        <w:trPr>
          <w:trHeight w:val="297" w:hRule="atLeast"/>
          <w:jc w:val="center"/>
        </w:trPr>
        <w:tc>
          <w:tcPr>
            <w:tcW w:w="3900" w:type="dxa"/>
            <w:gridSpan w:val="2"/>
            <w:tcBorders>
              <w:top w:val="single" w:color="auto" w:sz="8" w:space="0"/>
              <w:left w:val="single" w:color="auto" w:sz="8" w:space="0"/>
              <w:bottom w:val="single" w:color="auto" w:sz="8" w:space="0"/>
              <w:right w:val="single" w:color="auto" w:sz="4" w:space="0"/>
            </w:tcBorders>
            <w:shd w:val="clear" w:color="auto" w:fill="auto"/>
            <w:vAlign w:val="center"/>
          </w:tcPr>
          <w:p w14:paraId="5D4A98D5">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堆垛机控制器</w:t>
            </w:r>
          </w:p>
        </w:tc>
        <w:tc>
          <w:tcPr>
            <w:tcW w:w="5381" w:type="dxa"/>
            <w:tcBorders>
              <w:top w:val="nil"/>
              <w:left w:val="single" w:color="auto" w:sz="4" w:space="0"/>
              <w:bottom w:val="single" w:color="auto" w:sz="8" w:space="0"/>
              <w:right w:val="single" w:color="auto" w:sz="8" w:space="0"/>
            </w:tcBorders>
            <w:shd w:val="clear" w:color="auto" w:fill="auto"/>
            <w:vAlign w:val="center"/>
          </w:tcPr>
          <w:p w14:paraId="72B8C2FB">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PLC采用西门子1500系列</w:t>
            </w:r>
          </w:p>
        </w:tc>
      </w:tr>
      <w:tr w14:paraId="13206A10">
        <w:tblPrEx>
          <w:tblCellMar>
            <w:top w:w="0" w:type="dxa"/>
            <w:left w:w="108" w:type="dxa"/>
            <w:bottom w:w="0" w:type="dxa"/>
            <w:right w:w="108" w:type="dxa"/>
          </w:tblCellMar>
        </w:tblPrEx>
        <w:trPr>
          <w:trHeight w:val="297" w:hRule="atLeast"/>
          <w:jc w:val="center"/>
        </w:trPr>
        <w:tc>
          <w:tcPr>
            <w:tcW w:w="3900" w:type="dxa"/>
            <w:gridSpan w:val="2"/>
            <w:tcBorders>
              <w:top w:val="single" w:color="auto" w:sz="8" w:space="0"/>
              <w:left w:val="single" w:color="auto" w:sz="8" w:space="0"/>
              <w:bottom w:val="single" w:color="auto" w:sz="8" w:space="0"/>
              <w:right w:val="single" w:color="auto" w:sz="4" w:space="0"/>
            </w:tcBorders>
            <w:shd w:val="clear" w:color="auto" w:fill="auto"/>
            <w:vAlign w:val="center"/>
          </w:tcPr>
          <w:p w14:paraId="0C81FBB3">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供电方式</w:t>
            </w:r>
          </w:p>
        </w:tc>
        <w:tc>
          <w:tcPr>
            <w:tcW w:w="5381" w:type="dxa"/>
            <w:tcBorders>
              <w:top w:val="nil"/>
              <w:left w:val="single" w:color="auto" w:sz="4" w:space="0"/>
              <w:bottom w:val="single" w:color="auto" w:sz="8" w:space="0"/>
              <w:right w:val="single" w:color="auto" w:sz="8" w:space="0"/>
            </w:tcBorders>
            <w:shd w:val="clear" w:color="auto" w:fill="auto"/>
            <w:vAlign w:val="center"/>
          </w:tcPr>
          <w:p w14:paraId="7543FD80">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法勒滑触线</w:t>
            </w:r>
          </w:p>
        </w:tc>
      </w:tr>
      <w:tr w14:paraId="03602D7B">
        <w:tblPrEx>
          <w:tblCellMar>
            <w:top w:w="0" w:type="dxa"/>
            <w:left w:w="108" w:type="dxa"/>
            <w:bottom w:w="0" w:type="dxa"/>
            <w:right w:w="108" w:type="dxa"/>
          </w:tblCellMar>
        </w:tblPrEx>
        <w:trPr>
          <w:trHeight w:val="146" w:hRule="atLeast"/>
          <w:jc w:val="center"/>
        </w:trPr>
        <w:tc>
          <w:tcPr>
            <w:tcW w:w="3900" w:type="dxa"/>
            <w:gridSpan w:val="2"/>
            <w:tcBorders>
              <w:top w:val="single" w:color="auto" w:sz="8" w:space="0"/>
              <w:left w:val="single" w:color="auto" w:sz="8" w:space="0"/>
              <w:bottom w:val="single" w:color="auto" w:sz="4" w:space="0"/>
              <w:right w:val="single" w:color="auto" w:sz="4" w:space="0"/>
            </w:tcBorders>
            <w:shd w:val="clear" w:color="auto" w:fill="auto"/>
            <w:vAlign w:val="center"/>
          </w:tcPr>
          <w:p w14:paraId="59503B11">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电源规格</w:t>
            </w:r>
          </w:p>
        </w:tc>
        <w:tc>
          <w:tcPr>
            <w:tcW w:w="5381" w:type="dxa"/>
            <w:tcBorders>
              <w:top w:val="nil"/>
              <w:left w:val="single" w:color="auto" w:sz="4" w:space="0"/>
              <w:bottom w:val="single" w:color="auto" w:sz="4" w:space="0"/>
              <w:right w:val="single" w:color="auto" w:sz="8" w:space="0"/>
            </w:tcBorders>
            <w:shd w:val="clear" w:color="auto" w:fill="auto"/>
            <w:vAlign w:val="center"/>
          </w:tcPr>
          <w:p w14:paraId="6B8FAD96">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380/220V三相四线制</w:t>
            </w:r>
          </w:p>
        </w:tc>
      </w:tr>
      <w:tr w14:paraId="2F3612F3">
        <w:tblPrEx>
          <w:tblCellMar>
            <w:top w:w="0" w:type="dxa"/>
            <w:left w:w="108" w:type="dxa"/>
            <w:bottom w:w="0" w:type="dxa"/>
            <w:right w:w="108" w:type="dxa"/>
          </w:tblCellMar>
        </w:tblPrEx>
        <w:trPr>
          <w:trHeight w:val="312" w:hRule="atLeast"/>
          <w:jc w:val="center"/>
        </w:trPr>
        <w:tc>
          <w:tcPr>
            <w:tcW w:w="390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F3C6F45">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单机噪声（高速）</w:t>
            </w:r>
          </w:p>
        </w:tc>
        <w:tc>
          <w:tcPr>
            <w:tcW w:w="5381" w:type="dxa"/>
            <w:tcBorders>
              <w:top w:val="single" w:color="auto" w:sz="4" w:space="0"/>
              <w:left w:val="single" w:color="auto" w:sz="4" w:space="0"/>
              <w:bottom w:val="single" w:color="auto" w:sz="4" w:space="0"/>
              <w:right w:val="single" w:color="auto" w:sz="4" w:space="0"/>
            </w:tcBorders>
            <w:shd w:val="clear" w:color="auto" w:fill="auto"/>
            <w:vAlign w:val="center"/>
          </w:tcPr>
          <w:p w14:paraId="64E57521">
            <w:pPr>
              <w:spacing w:line="24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≤78dB</w:t>
            </w:r>
          </w:p>
        </w:tc>
      </w:tr>
    </w:tbl>
    <w:p w14:paraId="23D3996C">
      <w:pPr>
        <w:rPr>
          <w:rFonts w:hint="eastAsia" w:ascii="宋体" w:hAnsi="宋体" w:eastAsia="宋体" w:cs="宋体"/>
          <w:kern w:val="2"/>
          <w:sz w:val="21"/>
          <w:szCs w:val="21"/>
          <w:lang w:val="en-US" w:eastAsia="zh-CN" w:bidi="ar-SA"/>
        </w:rPr>
      </w:pPr>
      <w:bookmarkStart w:id="1673" w:name="_Toc449088106"/>
      <w:r>
        <w:rPr>
          <w:rFonts w:hint="eastAsia" w:ascii="宋体" w:hAnsi="宋体" w:eastAsia="宋体" w:cs="宋体"/>
          <w:kern w:val="2"/>
          <w:sz w:val="21"/>
          <w:szCs w:val="21"/>
          <w:lang w:val="en-US" w:eastAsia="zh-CN" w:bidi="ar-SA"/>
        </w:rPr>
        <w:t>★堆垛机单伸位复合作业能力要求不低于45托/h。堆垛机双伸位复合作业能力要求不低于40托/h。</w:t>
      </w:r>
    </w:p>
    <w:p w14:paraId="605827F7">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备注：</w:t>
      </w:r>
    </w:p>
    <w:p w14:paraId="5B9216DA">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（1）堆垛机具备安全保护装置：运行保护装置、起升保护装置、货叉保护装置、安全护网及其他辅助保护装置及机械防撞保护等，堆垛机具备维修爬梯并具备防坠落安全装置，维修操作平台有利于维修安全。</w:t>
      </w:r>
    </w:p>
    <w:p w14:paraId="64A6153A">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（2）每台堆垛机所在巷道前后端必须有急停断电及复位按钮功能。</w:t>
      </w:r>
    </w:p>
    <w:p w14:paraId="75F1ACC7">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（3）所有设备、设施周围应预留有足够的空间，便于对设备进行维护和维修。</w:t>
      </w:r>
    </w:p>
    <w:p w14:paraId="53566DED">
      <w:pPr>
        <w:widowControl/>
        <w:numPr>
          <w:ilvl w:val="0"/>
          <w:numId w:val="12"/>
        </w:numPr>
        <w:autoSpaceDE w:val="0"/>
        <w:autoSpaceDN w:val="0"/>
        <w:adjustRightInd w:val="0"/>
        <w:spacing w:line="276" w:lineRule="auto"/>
        <w:ind w:left="0" w:right="-189" w:rightChars="-90" w:firstLine="426"/>
        <w:jc w:val="left"/>
        <w:rPr>
          <w:rFonts w:hint="eastAsia" w:ascii="宋体" w:hAnsi="宋体" w:eastAsia="宋体" w:cs="宋体"/>
          <w:b/>
          <w:kern w:val="0"/>
          <w:sz w:val="21"/>
          <w:szCs w:val="21"/>
        </w:rPr>
      </w:pPr>
      <w:r>
        <w:rPr>
          <w:rFonts w:hint="eastAsia" w:ascii="宋体" w:hAnsi="宋体" w:eastAsia="宋体" w:cs="宋体"/>
          <w:b/>
          <w:kern w:val="0"/>
          <w:sz w:val="21"/>
          <w:szCs w:val="21"/>
        </w:rPr>
        <w:t>运行安全互锁，在以下情况时，水平运行及垂直升降的动作将被锁定：</w:t>
      </w:r>
    </w:p>
    <w:p w14:paraId="30B9340E">
      <w:pPr>
        <w:pStyle w:val="209"/>
        <w:widowControl/>
        <w:numPr>
          <w:ilvl w:val="0"/>
          <w:numId w:val="0"/>
        </w:numPr>
        <w:autoSpaceDE w:val="0"/>
        <w:autoSpaceDN w:val="0"/>
        <w:adjustRightInd w:val="0"/>
        <w:spacing w:line="276" w:lineRule="auto"/>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（1）货叉没有在中位；</w:t>
      </w:r>
    </w:p>
    <w:p w14:paraId="2ED0B90B">
      <w:pPr>
        <w:pStyle w:val="209"/>
        <w:widowControl/>
        <w:numPr>
          <w:ilvl w:val="0"/>
          <w:numId w:val="0"/>
        </w:numPr>
        <w:autoSpaceDE w:val="0"/>
        <w:autoSpaceDN w:val="0"/>
        <w:adjustRightInd w:val="0"/>
        <w:spacing w:line="276" w:lineRule="auto"/>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（2）托盘、货物尺寸超差；</w:t>
      </w:r>
    </w:p>
    <w:p w14:paraId="57948C29">
      <w:pPr>
        <w:pStyle w:val="209"/>
        <w:widowControl/>
        <w:numPr>
          <w:ilvl w:val="0"/>
          <w:numId w:val="0"/>
        </w:numPr>
        <w:autoSpaceDE w:val="0"/>
        <w:autoSpaceDN w:val="0"/>
        <w:adjustRightInd w:val="0"/>
        <w:spacing w:line="276" w:lineRule="auto"/>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（3）货叉正在动作；</w:t>
      </w:r>
    </w:p>
    <w:p w14:paraId="0825C1E3">
      <w:pPr>
        <w:pStyle w:val="209"/>
        <w:widowControl/>
        <w:numPr>
          <w:ilvl w:val="0"/>
          <w:numId w:val="0"/>
        </w:numPr>
        <w:autoSpaceDE w:val="0"/>
        <w:autoSpaceDN w:val="0"/>
        <w:adjustRightInd w:val="0"/>
        <w:spacing w:line="276" w:lineRule="auto"/>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（4）垂直升降的安全保险系统被启动；</w:t>
      </w:r>
    </w:p>
    <w:p w14:paraId="63D64AA0">
      <w:pPr>
        <w:pStyle w:val="209"/>
        <w:widowControl/>
        <w:numPr>
          <w:ilvl w:val="0"/>
          <w:numId w:val="0"/>
        </w:numPr>
        <w:autoSpaceDE w:val="0"/>
        <w:autoSpaceDN w:val="0"/>
        <w:adjustRightInd w:val="0"/>
        <w:spacing w:line="276" w:lineRule="auto"/>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（5）载货台超出极限位置，极限制动开关启动，紧急断电停车；</w:t>
      </w:r>
    </w:p>
    <w:p w14:paraId="0132F6FB">
      <w:pPr>
        <w:pStyle w:val="209"/>
        <w:widowControl/>
        <w:numPr>
          <w:ilvl w:val="0"/>
          <w:numId w:val="0"/>
        </w:numPr>
        <w:autoSpaceDE w:val="0"/>
        <w:autoSpaceDN w:val="0"/>
        <w:adjustRightInd w:val="0"/>
        <w:spacing w:line="276" w:lineRule="auto"/>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（6）堆垛机运行到巷道端点触发限位开关；</w:t>
      </w:r>
    </w:p>
    <w:p w14:paraId="6DBB18CE">
      <w:pPr>
        <w:pStyle w:val="209"/>
        <w:widowControl/>
        <w:numPr>
          <w:ilvl w:val="0"/>
          <w:numId w:val="0"/>
        </w:numPr>
        <w:autoSpaceDE w:val="0"/>
        <w:autoSpaceDN w:val="0"/>
        <w:adjustRightInd w:val="0"/>
        <w:spacing w:line="276" w:lineRule="auto"/>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（7）堆垛机紧急制动开关被启动。</w:t>
      </w:r>
    </w:p>
    <w:p w14:paraId="05BA7891">
      <w:pPr>
        <w:widowControl/>
        <w:numPr>
          <w:ilvl w:val="0"/>
          <w:numId w:val="12"/>
        </w:numPr>
        <w:autoSpaceDE w:val="0"/>
        <w:autoSpaceDN w:val="0"/>
        <w:adjustRightInd w:val="0"/>
        <w:spacing w:line="276" w:lineRule="auto"/>
        <w:ind w:left="0" w:right="-189" w:rightChars="-90" w:firstLine="426"/>
        <w:jc w:val="left"/>
        <w:rPr>
          <w:rFonts w:hint="eastAsia" w:ascii="宋体" w:hAnsi="宋体" w:eastAsia="宋体" w:cs="宋体"/>
          <w:b/>
          <w:kern w:val="0"/>
          <w:sz w:val="21"/>
          <w:szCs w:val="21"/>
        </w:rPr>
      </w:pPr>
      <w:r>
        <w:rPr>
          <w:rFonts w:hint="eastAsia" w:ascii="宋体" w:hAnsi="宋体" w:eastAsia="宋体" w:cs="宋体"/>
          <w:b/>
          <w:kern w:val="0"/>
          <w:sz w:val="21"/>
          <w:szCs w:val="21"/>
        </w:rPr>
        <w:t>运行安全互锁，在以下情况时，货叉运行锁定：</w:t>
      </w:r>
    </w:p>
    <w:p w14:paraId="0816699A">
      <w:pPr>
        <w:pStyle w:val="209"/>
        <w:widowControl/>
        <w:numPr>
          <w:ilvl w:val="0"/>
          <w:numId w:val="0"/>
        </w:numPr>
        <w:autoSpaceDE w:val="0"/>
        <w:autoSpaceDN w:val="0"/>
        <w:adjustRightInd w:val="0"/>
        <w:spacing w:line="276" w:lineRule="auto"/>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（1）堆垛机行走或升降运行时；</w:t>
      </w:r>
    </w:p>
    <w:p w14:paraId="63A4855B">
      <w:pPr>
        <w:pStyle w:val="209"/>
        <w:widowControl/>
        <w:numPr>
          <w:ilvl w:val="0"/>
          <w:numId w:val="0"/>
        </w:numPr>
        <w:autoSpaceDE w:val="0"/>
        <w:autoSpaceDN w:val="0"/>
        <w:adjustRightInd w:val="0"/>
        <w:spacing w:line="276" w:lineRule="auto"/>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（2）堆垛机定位没有达到设定的精度范围；</w:t>
      </w:r>
    </w:p>
    <w:p w14:paraId="210B30D4">
      <w:pPr>
        <w:pStyle w:val="209"/>
        <w:widowControl/>
        <w:numPr>
          <w:ilvl w:val="0"/>
          <w:numId w:val="0"/>
        </w:numPr>
        <w:autoSpaceDE w:val="0"/>
        <w:autoSpaceDN w:val="0"/>
        <w:adjustRightInd w:val="0"/>
        <w:spacing w:line="276" w:lineRule="auto"/>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（3）堆垛机进行制动开关动作。</w:t>
      </w:r>
    </w:p>
    <w:p w14:paraId="5912DB87">
      <w:pPr>
        <w:pStyle w:val="209"/>
        <w:widowControl/>
        <w:numPr>
          <w:ilvl w:val="0"/>
          <w:numId w:val="0"/>
        </w:numPr>
        <w:autoSpaceDE w:val="0"/>
        <w:autoSpaceDN w:val="0"/>
        <w:adjustRightInd w:val="0"/>
        <w:spacing w:line="276" w:lineRule="auto"/>
        <w:jc w:val="left"/>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en-US" w:eastAsia="zh-CN" w:bidi="ar-SA"/>
        </w:rPr>
        <w:t>（4）</w:t>
      </w:r>
      <w:r>
        <w:rPr>
          <w:rFonts w:hint="eastAsia" w:ascii="宋体" w:hAnsi="宋体" w:eastAsia="宋体" w:cs="宋体"/>
          <w:kern w:val="2"/>
          <w:sz w:val="21"/>
          <w:szCs w:val="21"/>
          <w:lang w:val="zh-CN" w:eastAsia="zh-CN" w:bidi="ar-SA"/>
        </w:rPr>
        <w:t>投标方必须对本设备</w:t>
      </w:r>
      <w:r>
        <w:rPr>
          <w:rFonts w:hint="eastAsia" w:ascii="宋体" w:hAnsi="宋体" w:eastAsia="宋体" w:cs="宋体"/>
          <w:kern w:val="2"/>
          <w:sz w:val="21"/>
          <w:szCs w:val="21"/>
          <w:lang w:val="en-US" w:eastAsia="zh-CN" w:bidi="ar-SA"/>
        </w:rPr>
        <w:t>技术参数等</w:t>
      </w:r>
      <w:r>
        <w:rPr>
          <w:rFonts w:hint="eastAsia" w:ascii="宋体" w:hAnsi="宋体" w:eastAsia="宋体" w:cs="宋体"/>
          <w:kern w:val="2"/>
          <w:sz w:val="21"/>
          <w:szCs w:val="21"/>
          <w:lang w:val="zh-CN" w:eastAsia="zh-CN" w:bidi="ar-SA"/>
        </w:rPr>
        <w:t>进行详细说明。</w:t>
      </w:r>
    </w:p>
    <w:p w14:paraId="34739D8C">
      <w:pPr>
        <w:numPr>
          <w:ilvl w:val="0"/>
          <w:numId w:val="0"/>
        </w:numPr>
        <w:spacing w:line="360" w:lineRule="auto"/>
        <w:ind w:left="0" w:leftChars="0" w:firstLine="0" w:firstLineChars="0"/>
        <w:outlineLvl w:val="2"/>
        <w:rPr>
          <w:rFonts w:hint="eastAsia" w:ascii="宋体" w:hAnsi="宋体" w:eastAsia="宋体" w:cs="宋体"/>
          <w:b/>
          <w:bCs/>
          <w:kern w:val="2"/>
          <w:sz w:val="21"/>
          <w:szCs w:val="21"/>
          <w:lang w:val="en-US" w:eastAsia="zh-CN" w:bidi="ar-SA"/>
        </w:rPr>
      </w:pPr>
      <w:bookmarkStart w:id="1674" w:name="_Toc70413743"/>
      <w:bookmarkStart w:id="1675" w:name="_Toc17768"/>
      <w:r>
        <w:rPr>
          <w:rFonts w:hint="eastAsia" w:ascii="宋体" w:hAnsi="宋体" w:eastAsia="宋体" w:cs="宋体"/>
          <w:b/>
          <w:bCs/>
          <w:kern w:val="2"/>
          <w:sz w:val="21"/>
          <w:szCs w:val="21"/>
          <w:lang w:val="en-US" w:eastAsia="zh-CN" w:bidi="ar-SA"/>
        </w:rPr>
        <w:t>4.1.1输送系统技术要求</w:t>
      </w:r>
      <w:bookmarkEnd w:id="1673"/>
      <w:bookmarkEnd w:id="1674"/>
      <w:bookmarkEnd w:id="1675"/>
    </w:p>
    <w:p w14:paraId="1FC71A2A">
      <w:pPr>
        <w:numPr>
          <w:ilvl w:val="0"/>
          <w:numId w:val="0"/>
        </w:numPr>
        <w:spacing w:line="276" w:lineRule="auto"/>
        <w:ind w:left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（1）</w:t>
      </w:r>
      <w:r>
        <w:rPr>
          <w:rFonts w:hint="eastAsia" w:ascii="宋体" w:hAnsi="宋体" w:eastAsia="宋体" w:cs="宋体"/>
          <w:sz w:val="21"/>
          <w:szCs w:val="21"/>
        </w:rPr>
        <w:t>输送单元尺寸为：托盘单元1200*1000*1550mm；</w:t>
      </w:r>
    </w:p>
    <w:p w14:paraId="001CBCB1">
      <w:pPr>
        <w:numPr>
          <w:ilvl w:val="0"/>
          <w:numId w:val="0"/>
        </w:numPr>
        <w:spacing w:line="276" w:lineRule="auto"/>
        <w:ind w:left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（2）</w:t>
      </w:r>
      <w:r>
        <w:rPr>
          <w:rFonts w:hint="eastAsia" w:ascii="宋体" w:hAnsi="宋体" w:eastAsia="宋体" w:cs="宋体"/>
          <w:sz w:val="21"/>
          <w:szCs w:val="21"/>
        </w:rPr>
        <w:t>托盘输送系统额定载荷：≥1000kg，托盘输送机速度：≥16m/min；</w:t>
      </w:r>
    </w:p>
    <w:p w14:paraId="16EF4F5D">
      <w:pPr>
        <w:numPr>
          <w:ilvl w:val="0"/>
          <w:numId w:val="0"/>
        </w:numPr>
        <w:spacing w:line="276" w:lineRule="auto"/>
        <w:ind w:leftChars="0"/>
        <w:rPr>
          <w:rFonts w:hint="eastAsia" w:ascii="宋体" w:hAnsi="宋体" w:eastAsia="宋体" w:cs="宋体"/>
          <w:sz w:val="21"/>
          <w:szCs w:val="21"/>
          <w:lang w:eastAsia="zh-CN"/>
        </w:rPr>
      </w:pPr>
      <w:r>
        <w:rPr>
          <w:rFonts w:hint="eastAsia" w:ascii="宋体" w:hAnsi="宋体" w:eastAsia="宋体" w:cs="宋体"/>
          <w:kern w:val="2"/>
          <w:sz w:val="21"/>
          <w:szCs w:val="21"/>
          <w:lang w:val="en-US" w:eastAsia="zh-CN" w:bidi="ar-SA"/>
        </w:rPr>
        <w:t>（3）</w:t>
      </w:r>
      <w:r>
        <w:rPr>
          <w:rFonts w:hint="eastAsia" w:ascii="宋体" w:hAnsi="宋体" w:eastAsia="宋体" w:cs="宋体"/>
          <w:sz w:val="21"/>
          <w:szCs w:val="21"/>
        </w:rPr>
        <w:t>采用西门子PLC；</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及类似品质品牌</w:t>
      </w:r>
      <w:r>
        <w:rPr>
          <w:rFonts w:hint="eastAsia" w:ascii="宋体" w:hAnsi="宋体" w:eastAsia="宋体" w:cs="宋体"/>
          <w:sz w:val="21"/>
          <w:szCs w:val="21"/>
          <w:lang w:eastAsia="zh-CN"/>
        </w:rPr>
        <w:t>）</w:t>
      </w:r>
    </w:p>
    <w:p w14:paraId="5B4BB0B1">
      <w:pPr>
        <w:numPr>
          <w:ilvl w:val="0"/>
          <w:numId w:val="0"/>
        </w:numPr>
        <w:spacing w:line="276" w:lineRule="auto"/>
        <w:ind w:left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（4）</w:t>
      </w:r>
      <w:r>
        <w:rPr>
          <w:rFonts w:hint="eastAsia" w:ascii="宋体" w:hAnsi="宋体" w:eastAsia="宋体" w:cs="宋体"/>
          <w:sz w:val="21"/>
          <w:szCs w:val="21"/>
        </w:rPr>
        <w:t>主要电气元件均要求国际知名品牌，库内设施适用于低温环境；</w:t>
      </w:r>
    </w:p>
    <w:p w14:paraId="3D479BFA">
      <w:pPr>
        <w:numPr>
          <w:ilvl w:val="0"/>
          <w:numId w:val="0"/>
        </w:numPr>
        <w:spacing w:line="276" w:lineRule="auto"/>
        <w:ind w:left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（5）</w:t>
      </w:r>
      <w:r>
        <w:rPr>
          <w:rFonts w:hint="eastAsia" w:ascii="宋体" w:hAnsi="宋体" w:eastAsia="宋体" w:cs="宋体"/>
          <w:sz w:val="21"/>
          <w:szCs w:val="21"/>
        </w:rPr>
        <w:t>托盘输送机电机要求全部采用SEW、NORD；</w:t>
      </w:r>
    </w:p>
    <w:p w14:paraId="6C14316A">
      <w:pPr>
        <w:numPr>
          <w:ilvl w:val="0"/>
          <w:numId w:val="0"/>
        </w:numPr>
        <w:spacing w:line="276" w:lineRule="auto"/>
        <w:ind w:left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（6）</w:t>
      </w:r>
      <w:r>
        <w:rPr>
          <w:rFonts w:hint="eastAsia" w:ascii="宋体" w:hAnsi="宋体" w:eastAsia="宋体" w:cs="宋体"/>
          <w:sz w:val="21"/>
          <w:szCs w:val="21"/>
        </w:rPr>
        <w:t>变频器采用西门子、安川、ABB、丹佛斯等；</w:t>
      </w:r>
    </w:p>
    <w:p w14:paraId="07F70264">
      <w:pPr>
        <w:numPr>
          <w:ilvl w:val="0"/>
          <w:numId w:val="0"/>
        </w:numPr>
        <w:spacing w:line="276" w:lineRule="auto"/>
        <w:ind w:left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（7）</w:t>
      </w:r>
      <w:r>
        <w:rPr>
          <w:rFonts w:hint="eastAsia" w:ascii="宋体" w:hAnsi="宋体" w:eastAsia="宋体" w:cs="宋体"/>
          <w:sz w:val="21"/>
          <w:szCs w:val="21"/>
        </w:rPr>
        <w:t>光电开关/接近开关采用劳易测、SICK、欧姆龙、OPTEX等；</w:t>
      </w:r>
    </w:p>
    <w:p w14:paraId="4103CBD9">
      <w:pPr>
        <w:numPr>
          <w:ilvl w:val="0"/>
          <w:numId w:val="0"/>
        </w:numPr>
        <w:spacing w:line="276" w:lineRule="auto"/>
        <w:ind w:left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（8）</w:t>
      </w:r>
      <w:r>
        <w:rPr>
          <w:rFonts w:hint="eastAsia" w:ascii="宋体" w:hAnsi="宋体" w:eastAsia="宋体" w:cs="宋体"/>
          <w:sz w:val="21"/>
          <w:szCs w:val="21"/>
        </w:rPr>
        <w:t>条码扫描器采用SICK、劳易测等；</w:t>
      </w:r>
    </w:p>
    <w:p w14:paraId="226D1FBB">
      <w:pPr>
        <w:numPr>
          <w:ilvl w:val="0"/>
          <w:numId w:val="0"/>
        </w:numPr>
        <w:spacing w:line="276" w:lineRule="auto"/>
        <w:ind w:left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（9）</w:t>
      </w:r>
      <w:r>
        <w:rPr>
          <w:rFonts w:hint="eastAsia" w:ascii="宋体" w:hAnsi="宋体" w:eastAsia="宋体" w:cs="宋体"/>
          <w:sz w:val="21"/>
          <w:szCs w:val="21"/>
        </w:rPr>
        <w:t>托盘输送系统设备包括多种形式：主要有辊筒输送机、链条输送机、顶升移载机、翻起设备、穿梭车、提升机等；</w:t>
      </w:r>
    </w:p>
    <w:p w14:paraId="7CF452DA">
      <w:pPr>
        <w:numPr>
          <w:ilvl w:val="0"/>
          <w:numId w:val="0"/>
        </w:numPr>
        <w:spacing w:line="276" w:lineRule="auto"/>
        <w:ind w:left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（10）</w:t>
      </w:r>
      <w:r>
        <w:rPr>
          <w:rFonts w:hint="eastAsia" w:ascii="宋体" w:hAnsi="宋体" w:eastAsia="宋体" w:cs="宋体"/>
          <w:sz w:val="21"/>
          <w:szCs w:val="21"/>
        </w:rPr>
        <w:t>托盘输送机采用双链、优质碳钢（Q235），链条品牌为东华；</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及类似品质品牌</w:t>
      </w:r>
      <w:r>
        <w:rPr>
          <w:rFonts w:hint="eastAsia" w:ascii="宋体" w:hAnsi="宋体" w:eastAsia="宋体" w:cs="宋体"/>
          <w:sz w:val="21"/>
          <w:szCs w:val="21"/>
          <w:lang w:eastAsia="zh-CN"/>
        </w:rPr>
        <w:t>）</w:t>
      </w:r>
    </w:p>
    <w:p w14:paraId="3388C0FB">
      <w:pPr>
        <w:numPr>
          <w:ilvl w:val="0"/>
          <w:numId w:val="0"/>
        </w:numPr>
        <w:spacing w:line="276" w:lineRule="auto"/>
        <w:ind w:left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（11）</w:t>
      </w:r>
      <w:r>
        <w:rPr>
          <w:rFonts w:hint="eastAsia" w:ascii="宋体" w:hAnsi="宋体" w:eastAsia="宋体" w:cs="宋体"/>
          <w:sz w:val="21"/>
          <w:szCs w:val="21"/>
        </w:rPr>
        <w:t>输送线运输平稳、流畅，噪音小；</w:t>
      </w:r>
    </w:p>
    <w:p w14:paraId="28477A81">
      <w:pPr>
        <w:numPr>
          <w:ilvl w:val="0"/>
          <w:numId w:val="0"/>
        </w:numPr>
        <w:spacing w:line="276" w:lineRule="auto"/>
        <w:ind w:left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（12）</w:t>
      </w:r>
      <w:r>
        <w:rPr>
          <w:rFonts w:hint="eastAsia" w:ascii="宋体" w:hAnsi="宋体" w:eastAsia="宋体" w:cs="宋体"/>
          <w:sz w:val="21"/>
          <w:szCs w:val="21"/>
        </w:rPr>
        <w:t>所有输送当中货物不能变松散、掉落；</w:t>
      </w:r>
    </w:p>
    <w:p w14:paraId="7C93251D">
      <w:pPr>
        <w:numPr>
          <w:ilvl w:val="0"/>
          <w:numId w:val="0"/>
        </w:numPr>
        <w:spacing w:line="276" w:lineRule="auto"/>
        <w:ind w:left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（13）</w:t>
      </w:r>
      <w:r>
        <w:rPr>
          <w:rFonts w:hint="eastAsia" w:ascii="宋体" w:hAnsi="宋体" w:eastAsia="宋体" w:cs="宋体"/>
          <w:sz w:val="21"/>
          <w:szCs w:val="21"/>
        </w:rPr>
        <w:t>要求输送机能适应质量一般的托盘，必要区域要求具有双向功能；</w:t>
      </w:r>
    </w:p>
    <w:p w14:paraId="745C105E">
      <w:pPr>
        <w:numPr>
          <w:ilvl w:val="0"/>
          <w:numId w:val="0"/>
        </w:numPr>
        <w:spacing w:line="276" w:lineRule="auto"/>
        <w:ind w:left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（14）</w:t>
      </w:r>
      <w:r>
        <w:rPr>
          <w:rFonts w:hint="eastAsia" w:ascii="宋体" w:hAnsi="宋体" w:eastAsia="宋体" w:cs="宋体"/>
          <w:sz w:val="21"/>
          <w:szCs w:val="21"/>
        </w:rPr>
        <w:t>转折机构要求定位精度高，不能加止挡的转折处要求减速电机带刹车；</w:t>
      </w:r>
    </w:p>
    <w:p w14:paraId="19ADAA6F">
      <w:pPr>
        <w:numPr>
          <w:ilvl w:val="0"/>
          <w:numId w:val="0"/>
        </w:numPr>
        <w:spacing w:line="276" w:lineRule="auto"/>
        <w:ind w:left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（15）</w:t>
      </w:r>
      <w:r>
        <w:rPr>
          <w:rFonts w:hint="eastAsia" w:ascii="宋体" w:hAnsi="宋体" w:eastAsia="宋体" w:cs="宋体"/>
          <w:sz w:val="21"/>
          <w:szCs w:val="21"/>
        </w:rPr>
        <w:t>要有安全设计，托盘输送线两侧需装导向装置、互锁保护装置；</w:t>
      </w:r>
    </w:p>
    <w:p w14:paraId="099C3012">
      <w:pPr>
        <w:pStyle w:val="100"/>
        <w:numPr>
          <w:ilvl w:val="0"/>
          <w:numId w:val="0"/>
        </w:numPr>
        <w:spacing w:line="276" w:lineRule="auto"/>
        <w:ind w:left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（16）</w:t>
      </w:r>
      <w:r>
        <w:rPr>
          <w:rFonts w:hint="eastAsia" w:ascii="宋体" w:hAnsi="宋体" w:eastAsia="宋体" w:cs="宋体"/>
          <w:sz w:val="21"/>
          <w:szCs w:val="21"/>
        </w:rPr>
        <w:t>外形尺寸检测能够切实检测到超出托盘四周的情况，并有效报警；</w:t>
      </w:r>
    </w:p>
    <w:p w14:paraId="74EDC003">
      <w:pPr>
        <w:pStyle w:val="100"/>
        <w:numPr>
          <w:ilvl w:val="0"/>
          <w:numId w:val="0"/>
        </w:numPr>
        <w:spacing w:line="276" w:lineRule="auto"/>
        <w:ind w:left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（17）</w:t>
      </w:r>
      <w:r>
        <w:rPr>
          <w:rFonts w:hint="eastAsia" w:ascii="宋体" w:hAnsi="宋体" w:eastAsia="宋体" w:cs="宋体"/>
          <w:sz w:val="21"/>
          <w:szCs w:val="21"/>
        </w:rPr>
        <w:t>输送机的控制全面支持手动、单机自动和联机自动控制；</w:t>
      </w:r>
    </w:p>
    <w:p w14:paraId="2B4AB2C4">
      <w:pPr>
        <w:pStyle w:val="100"/>
        <w:numPr>
          <w:ilvl w:val="0"/>
          <w:numId w:val="0"/>
        </w:numPr>
        <w:spacing w:line="276" w:lineRule="auto"/>
        <w:ind w:left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（19）</w:t>
      </w:r>
      <w:r>
        <w:rPr>
          <w:rFonts w:hint="eastAsia" w:ascii="宋体" w:hAnsi="宋体" w:eastAsia="宋体" w:cs="宋体"/>
          <w:sz w:val="21"/>
          <w:szCs w:val="21"/>
        </w:rPr>
        <w:t>输送机系统的PLC控制界面人性化，简单易懂，便于安装调试，通讯功能完善，并且在出入库均装有按钮和开关，便于操作人员操作；</w:t>
      </w:r>
    </w:p>
    <w:p w14:paraId="5768D09C">
      <w:pPr>
        <w:pStyle w:val="100"/>
        <w:numPr>
          <w:ilvl w:val="0"/>
          <w:numId w:val="0"/>
        </w:numPr>
        <w:spacing w:line="276" w:lineRule="auto"/>
        <w:ind w:left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（20）</w:t>
      </w:r>
      <w:r>
        <w:rPr>
          <w:rFonts w:hint="eastAsia" w:ascii="宋体" w:hAnsi="宋体" w:eastAsia="宋体" w:cs="宋体"/>
          <w:sz w:val="21"/>
          <w:szCs w:val="21"/>
        </w:rPr>
        <w:t>输送机设备有完善的检测信号，检测开关质量优良；</w:t>
      </w:r>
    </w:p>
    <w:p w14:paraId="4D22C328">
      <w:pPr>
        <w:pStyle w:val="100"/>
        <w:numPr>
          <w:ilvl w:val="0"/>
          <w:numId w:val="0"/>
        </w:numPr>
        <w:spacing w:line="276" w:lineRule="auto"/>
        <w:ind w:left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（21）</w:t>
      </w:r>
      <w:r>
        <w:rPr>
          <w:rFonts w:hint="eastAsia" w:ascii="宋体" w:hAnsi="宋体" w:eastAsia="宋体" w:cs="宋体"/>
          <w:sz w:val="21"/>
          <w:szCs w:val="21"/>
        </w:rPr>
        <w:t>输送机外观：输送机外观光滑，无锐角、锐边裙板接合平整、光滑、对齐、靠紧、接缝无间隙、无毛刺、无凸凹，在结构设计上消除一切对手、手指、商品等产生钩、挂、夹、划伤等的问题；</w:t>
      </w:r>
    </w:p>
    <w:p w14:paraId="79F84A5E">
      <w:pPr>
        <w:pStyle w:val="100"/>
        <w:numPr>
          <w:ilvl w:val="0"/>
          <w:numId w:val="0"/>
        </w:numPr>
        <w:spacing w:line="276" w:lineRule="auto"/>
        <w:ind w:left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（22）</w:t>
      </w:r>
      <w:r>
        <w:rPr>
          <w:rFonts w:hint="eastAsia" w:ascii="宋体" w:hAnsi="宋体" w:eastAsia="宋体" w:cs="宋体"/>
          <w:sz w:val="21"/>
          <w:szCs w:val="21"/>
        </w:rPr>
        <w:t>滚筒的安装便于后期的更换维护；</w:t>
      </w:r>
    </w:p>
    <w:p w14:paraId="3933D31D">
      <w:pPr>
        <w:pStyle w:val="100"/>
        <w:numPr>
          <w:ilvl w:val="0"/>
          <w:numId w:val="0"/>
        </w:numPr>
        <w:spacing w:line="276" w:lineRule="auto"/>
        <w:ind w:left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（23）</w:t>
      </w:r>
      <w:r>
        <w:rPr>
          <w:rFonts w:hint="eastAsia" w:ascii="宋体" w:hAnsi="宋体" w:eastAsia="宋体" w:cs="宋体"/>
          <w:sz w:val="21"/>
          <w:szCs w:val="21"/>
        </w:rPr>
        <w:t>所有人机交互处输送机均需加装盖板，材质Q235；</w:t>
      </w:r>
    </w:p>
    <w:p w14:paraId="581415FE">
      <w:pPr>
        <w:pStyle w:val="100"/>
        <w:numPr>
          <w:ilvl w:val="0"/>
          <w:numId w:val="0"/>
        </w:numPr>
        <w:spacing w:line="276" w:lineRule="auto"/>
        <w:ind w:left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（24）</w:t>
      </w:r>
      <w:r>
        <w:rPr>
          <w:rFonts w:hint="eastAsia" w:ascii="宋体" w:hAnsi="宋体" w:eastAsia="宋体" w:cs="宋体"/>
          <w:sz w:val="21"/>
          <w:szCs w:val="21"/>
        </w:rPr>
        <w:t>穿梭车技术要求：</w:t>
      </w:r>
    </w:p>
    <w:tbl>
      <w:tblPr>
        <w:tblStyle w:val="41"/>
        <w:tblpPr w:leftFromText="180" w:rightFromText="180" w:vertAnchor="text" w:horzAnchor="margin" w:tblpXSpec="center" w:tblpY="10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6"/>
        <w:gridCol w:w="1616"/>
        <w:gridCol w:w="5590"/>
      </w:tblGrid>
      <w:tr w14:paraId="58FD2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trPr>
        <w:tc>
          <w:tcPr>
            <w:tcW w:w="8522" w:type="dxa"/>
            <w:gridSpan w:val="3"/>
            <w:shd w:val="clear" w:color="auto" w:fill="92CDDC"/>
            <w:vAlign w:val="center"/>
          </w:tcPr>
          <w:p w14:paraId="11B77032">
            <w:pPr>
              <w:jc w:val="center"/>
              <w:rPr>
                <w:rFonts w:hint="eastAsia" w:ascii="宋体" w:hAnsi="宋体" w:eastAsia="宋体" w:cs="宋体"/>
                <w:sz w:val="21"/>
                <w:szCs w:val="21"/>
              </w:rPr>
            </w:pPr>
            <w:r>
              <w:rPr>
                <w:rFonts w:hint="eastAsia" w:ascii="宋体" w:hAnsi="宋体" w:eastAsia="宋体" w:cs="宋体"/>
                <w:sz w:val="21"/>
                <w:szCs w:val="21"/>
              </w:rPr>
              <w:t>穿梭车</w:t>
            </w:r>
          </w:p>
        </w:tc>
      </w:tr>
      <w:tr w14:paraId="128EC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trPr>
        <w:tc>
          <w:tcPr>
            <w:tcW w:w="2932" w:type="dxa"/>
            <w:gridSpan w:val="2"/>
            <w:vAlign w:val="center"/>
          </w:tcPr>
          <w:p w14:paraId="0E394ACA">
            <w:pPr>
              <w:rPr>
                <w:rFonts w:hint="eastAsia" w:ascii="宋体" w:hAnsi="宋体" w:eastAsia="宋体" w:cs="宋体"/>
                <w:sz w:val="21"/>
                <w:szCs w:val="21"/>
              </w:rPr>
            </w:pPr>
            <w:r>
              <w:rPr>
                <w:rFonts w:hint="eastAsia" w:ascii="宋体" w:hAnsi="宋体" w:eastAsia="宋体" w:cs="宋体"/>
                <w:sz w:val="21"/>
                <w:szCs w:val="21"/>
              </w:rPr>
              <w:t>项    目</w:t>
            </w:r>
          </w:p>
        </w:tc>
        <w:tc>
          <w:tcPr>
            <w:tcW w:w="5590" w:type="dxa"/>
            <w:vAlign w:val="center"/>
          </w:tcPr>
          <w:p w14:paraId="52C09C91">
            <w:pPr>
              <w:rPr>
                <w:rFonts w:hint="eastAsia" w:ascii="宋体" w:hAnsi="宋体" w:eastAsia="宋体" w:cs="宋体"/>
                <w:sz w:val="21"/>
                <w:szCs w:val="21"/>
              </w:rPr>
            </w:pPr>
            <w:r>
              <w:rPr>
                <w:rFonts w:hint="eastAsia" w:ascii="宋体" w:hAnsi="宋体" w:eastAsia="宋体" w:cs="宋体"/>
                <w:sz w:val="21"/>
                <w:szCs w:val="21"/>
              </w:rPr>
              <w:t>投标技术参数</w:t>
            </w:r>
          </w:p>
        </w:tc>
      </w:tr>
      <w:tr w14:paraId="7A146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 w:hRule="atLeast"/>
        </w:trPr>
        <w:tc>
          <w:tcPr>
            <w:tcW w:w="2932" w:type="dxa"/>
            <w:gridSpan w:val="2"/>
            <w:vAlign w:val="center"/>
          </w:tcPr>
          <w:p w14:paraId="3DC223DC">
            <w:pPr>
              <w:rPr>
                <w:rFonts w:hint="eastAsia" w:ascii="宋体" w:hAnsi="宋体" w:eastAsia="宋体" w:cs="宋体"/>
                <w:sz w:val="21"/>
                <w:szCs w:val="21"/>
              </w:rPr>
            </w:pPr>
            <w:r>
              <w:rPr>
                <w:rFonts w:hint="eastAsia" w:ascii="宋体" w:hAnsi="宋体" w:eastAsia="宋体" w:cs="宋体"/>
                <w:sz w:val="21"/>
                <w:szCs w:val="21"/>
              </w:rPr>
              <w:t>额定车载质量</w:t>
            </w:r>
          </w:p>
        </w:tc>
        <w:tc>
          <w:tcPr>
            <w:tcW w:w="5590" w:type="dxa"/>
            <w:vAlign w:val="center"/>
          </w:tcPr>
          <w:p w14:paraId="7B8CEA33">
            <w:pPr>
              <w:rPr>
                <w:rFonts w:hint="eastAsia" w:ascii="宋体" w:hAnsi="宋体" w:eastAsia="宋体" w:cs="宋体"/>
                <w:sz w:val="21"/>
                <w:szCs w:val="21"/>
              </w:rPr>
            </w:pPr>
            <w:r>
              <w:rPr>
                <w:rFonts w:hint="eastAsia" w:ascii="宋体" w:hAnsi="宋体" w:eastAsia="宋体" w:cs="宋体"/>
                <w:sz w:val="21"/>
                <w:szCs w:val="21"/>
              </w:rPr>
              <w:t>Max：1000kg</w:t>
            </w:r>
          </w:p>
        </w:tc>
      </w:tr>
      <w:tr w14:paraId="7E0D6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trPr>
        <w:tc>
          <w:tcPr>
            <w:tcW w:w="2932" w:type="dxa"/>
            <w:gridSpan w:val="2"/>
            <w:vAlign w:val="center"/>
          </w:tcPr>
          <w:p w14:paraId="104E9845">
            <w:pPr>
              <w:rPr>
                <w:rFonts w:hint="eastAsia" w:ascii="宋体" w:hAnsi="宋体" w:eastAsia="宋体" w:cs="宋体"/>
                <w:sz w:val="21"/>
                <w:szCs w:val="21"/>
              </w:rPr>
            </w:pPr>
            <w:r>
              <w:rPr>
                <w:rFonts w:hint="eastAsia" w:ascii="宋体" w:hAnsi="宋体" w:eastAsia="宋体" w:cs="宋体"/>
                <w:sz w:val="21"/>
                <w:szCs w:val="21"/>
              </w:rPr>
              <w:t>载货尺寸</w:t>
            </w:r>
          </w:p>
        </w:tc>
        <w:tc>
          <w:tcPr>
            <w:tcW w:w="5590" w:type="dxa"/>
            <w:vAlign w:val="center"/>
          </w:tcPr>
          <w:p w14:paraId="7397FAD9">
            <w:pPr>
              <w:rPr>
                <w:rFonts w:hint="eastAsia" w:ascii="宋体" w:hAnsi="宋体" w:eastAsia="宋体" w:cs="宋体"/>
                <w:sz w:val="21"/>
                <w:szCs w:val="21"/>
              </w:rPr>
            </w:pPr>
            <w:r>
              <w:rPr>
                <w:rFonts w:hint="eastAsia" w:ascii="宋体" w:hAnsi="宋体" w:eastAsia="宋体" w:cs="宋体"/>
                <w:sz w:val="21"/>
                <w:szCs w:val="21"/>
              </w:rPr>
              <w:t>1200mm（长）×1000mm（宽）×1550mm（高）（含托盘）</w:t>
            </w:r>
          </w:p>
        </w:tc>
      </w:tr>
      <w:tr w14:paraId="1A3AC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 w:hRule="atLeast"/>
        </w:trPr>
        <w:tc>
          <w:tcPr>
            <w:tcW w:w="2932" w:type="dxa"/>
            <w:gridSpan w:val="2"/>
            <w:vAlign w:val="center"/>
          </w:tcPr>
          <w:p w14:paraId="6A3D22A3">
            <w:pPr>
              <w:rPr>
                <w:rFonts w:hint="eastAsia" w:ascii="宋体" w:hAnsi="宋体" w:eastAsia="宋体" w:cs="宋体"/>
                <w:sz w:val="21"/>
                <w:szCs w:val="21"/>
              </w:rPr>
            </w:pPr>
            <w:r>
              <w:rPr>
                <w:rFonts w:hint="eastAsia" w:ascii="宋体" w:hAnsi="宋体" w:eastAsia="宋体" w:cs="宋体"/>
                <w:sz w:val="21"/>
                <w:szCs w:val="21"/>
              </w:rPr>
              <w:t>移载方式</w:t>
            </w:r>
          </w:p>
        </w:tc>
        <w:tc>
          <w:tcPr>
            <w:tcW w:w="5590" w:type="dxa"/>
            <w:vAlign w:val="center"/>
          </w:tcPr>
          <w:p w14:paraId="3069024A">
            <w:pPr>
              <w:rPr>
                <w:rFonts w:hint="eastAsia" w:ascii="宋体" w:hAnsi="宋体" w:eastAsia="宋体" w:cs="宋体"/>
                <w:sz w:val="21"/>
                <w:szCs w:val="21"/>
              </w:rPr>
            </w:pPr>
            <w:r>
              <w:rPr>
                <w:rFonts w:hint="eastAsia" w:ascii="宋体" w:hAnsi="宋体" w:eastAsia="宋体" w:cs="宋体"/>
                <w:sz w:val="21"/>
                <w:szCs w:val="21"/>
              </w:rPr>
              <w:t>链条/滚筒</w:t>
            </w:r>
          </w:p>
        </w:tc>
      </w:tr>
      <w:tr w14:paraId="7FFC7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2932" w:type="dxa"/>
            <w:gridSpan w:val="2"/>
            <w:vAlign w:val="center"/>
          </w:tcPr>
          <w:p w14:paraId="3FAE9AAE">
            <w:pPr>
              <w:rPr>
                <w:rFonts w:hint="eastAsia" w:ascii="宋体" w:hAnsi="宋体" w:eastAsia="宋体" w:cs="宋体"/>
                <w:sz w:val="21"/>
                <w:szCs w:val="21"/>
              </w:rPr>
            </w:pPr>
            <w:r>
              <w:rPr>
                <w:rFonts w:hint="eastAsia" w:ascii="宋体" w:hAnsi="宋体" w:eastAsia="宋体" w:cs="宋体"/>
                <w:sz w:val="21"/>
                <w:szCs w:val="21"/>
              </w:rPr>
              <w:t>移载速度（m/sec）</w:t>
            </w:r>
          </w:p>
        </w:tc>
        <w:tc>
          <w:tcPr>
            <w:tcW w:w="5590" w:type="dxa"/>
            <w:vAlign w:val="center"/>
          </w:tcPr>
          <w:p w14:paraId="018B0298">
            <w:pPr>
              <w:rPr>
                <w:rFonts w:hint="eastAsia" w:ascii="宋体" w:hAnsi="宋体" w:eastAsia="宋体" w:cs="宋体"/>
                <w:sz w:val="21"/>
                <w:szCs w:val="21"/>
              </w:rPr>
            </w:pPr>
            <w:r>
              <w:rPr>
                <w:rFonts w:hint="eastAsia" w:ascii="宋体" w:hAnsi="宋体" w:eastAsia="宋体" w:cs="宋体"/>
                <w:sz w:val="21"/>
                <w:szCs w:val="21"/>
              </w:rPr>
              <w:t>16m/min（变频调速）</w:t>
            </w:r>
          </w:p>
        </w:tc>
      </w:tr>
      <w:tr w14:paraId="7FBFB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 w:hRule="atLeast"/>
        </w:trPr>
        <w:tc>
          <w:tcPr>
            <w:tcW w:w="1316" w:type="dxa"/>
            <w:vMerge w:val="restart"/>
            <w:vAlign w:val="center"/>
          </w:tcPr>
          <w:p w14:paraId="2CE4497B">
            <w:pPr>
              <w:rPr>
                <w:rFonts w:hint="eastAsia" w:ascii="宋体" w:hAnsi="宋体" w:eastAsia="宋体" w:cs="宋体"/>
                <w:sz w:val="21"/>
                <w:szCs w:val="21"/>
              </w:rPr>
            </w:pPr>
            <w:r>
              <w:rPr>
                <w:rFonts w:hint="eastAsia" w:ascii="宋体" w:hAnsi="宋体" w:eastAsia="宋体" w:cs="宋体"/>
                <w:sz w:val="21"/>
                <w:szCs w:val="21"/>
              </w:rPr>
              <w:t>行走速度</w:t>
            </w:r>
          </w:p>
        </w:tc>
        <w:tc>
          <w:tcPr>
            <w:tcW w:w="1616" w:type="dxa"/>
            <w:vAlign w:val="center"/>
          </w:tcPr>
          <w:p w14:paraId="42F3E752">
            <w:pPr>
              <w:rPr>
                <w:rFonts w:hint="eastAsia" w:ascii="宋体" w:hAnsi="宋体" w:eastAsia="宋体" w:cs="宋体"/>
                <w:sz w:val="21"/>
                <w:szCs w:val="21"/>
              </w:rPr>
            </w:pPr>
            <w:r>
              <w:rPr>
                <w:rFonts w:hint="eastAsia" w:ascii="宋体" w:hAnsi="宋体" w:eastAsia="宋体" w:cs="宋体"/>
                <w:sz w:val="21"/>
                <w:szCs w:val="21"/>
              </w:rPr>
              <w:t>速度</w:t>
            </w:r>
          </w:p>
        </w:tc>
        <w:tc>
          <w:tcPr>
            <w:tcW w:w="5590" w:type="dxa"/>
            <w:vAlign w:val="center"/>
          </w:tcPr>
          <w:p w14:paraId="0E2ADDEA">
            <w:pPr>
              <w:rPr>
                <w:rFonts w:hint="eastAsia" w:ascii="宋体" w:hAnsi="宋体" w:eastAsia="宋体" w:cs="宋体"/>
                <w:sz w:val="21"/>
                <w:szCs w:val="21"/>
              </w:rPr>
            </w:pPr>
            <w:r>
              <w:rPr>
                <w:rFonts w:hint="eastAsia" w:ascii="宋体" w:hAnsi="宋体" w:eastAsia="宋体" w:cs="宋体"/>
                <w:sz w:val="21"/>
                <w:szCs w:val="21"/>
              </w:rPr>
              <w:t>120m/min</w:t>
            </w:r>
          </w:p>
        </w:tc>
      </w:tr>
      <w:tr w14:paraId="6916B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 w:hRule="atLeast"/>
        </w:trPr>
        <w:tc>
          <w:tcPr>
            <w:tcW w:w="1316" w:type="dxa"/>
            <w:vMerge w:val="continue"/>
            <w:vAlign w:val="center"/>
          </w:tcPr>
          <w:p w14:paraId="37389FCF">
            <w:pPr>
              <w:rPr>
                <w:rFonts w:hint="eastAsia" w:ascii="宋体" w:hAnsi="宋体" w:eastAsia="宋体" w:cs="宋体"/>
                <w:sz w:val="21"/>
                <w:szCs w:val="21"/>
              </w:rPr>
            </w:pPr>
          </w:p>
        </w:tc>
        <w:tc>
          <w:tcPr>
            <w:tcW w:w="1616" w:type="dxa"/>
            <w:vAlign w:val="center"/>
          </w:tcPr>
          <w:p w14:paraId="7A52E6B7">
            <w:pPr>
              <w:rPr>
                <w:rFonts w:hint="eastAsia" w:ascii="宋体" w:hAnsi="宋体" w:eastAsia="宋体" w:cs="宋体"/>
                <w:sz w:val="21"/>
                <w:szCs w:val="21"/>
              </w:rPr>
            </w:pPr>
            <w:r>
              <w:rPr>
                <w:rFonts w:hint="eastAsia" w:ascii="宋体" w:hAnsi="宋体" w:eastAsia="宋体" w:cs="宋体"/>
                <w:sz w:val="21"/>
                <w:szCs w:val="21"/>
              </w:rPr>
              <w:t>加速度</w:t>
            </w:r>
          </w:p>
        </w:tc>
        <w:tc>
          <w:tcPr>
            <w:tcW w:w="5590" w:type="dxa"/>
            <w:vAlign w:val="center"/>
          </w:tcPr>
          <w:p w14:paraId="3E5B1DB2">
            <w:pPr>
              <w:rPr>
                <w:rFonts w:hint="eastAsia" w:ascii="宋体" w:hAnsi="宋体" w:eastAsia="宋体" w:cs="宋体"/>
                <w:sz w:val="21"/>
                <w:szCs w:val="21"/>
              </w:rPr>
            </w:pPr>
            <w:r>
              <w:rPr>
                <w:rFonts w:hint="eastAsia" w:ascii="宋体" w:hAnsi="宋体" w:eastAsia="宋体" w:cs="宋体"/>
                <w:sz w:val="21"/>
                <w:szCs w:val="21"/>
              </w:rPr>
              <w:t>0.3m/sec2</w:t>
            </w:r>
          </w:p>
        </w:tc>
      </w:tr>
      <w:tr w14:paraId="747AD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trPr>
        <w:tc>
          <w:tcPr>
            <w:tcW w:w="2932" w:type="dxa"/>
            <w:gridSpan w:val="2"/>
            <w:vAlign w:val="center"/>
          </w:tcPr>
          <w:p w14:paraId="069B655A">
            <w:pPr>
              <w:rPr>
                <w:rFonts w:hint="eastAsia" w:ascii="宋体" w:hAnsi="宋体" w:eastAsia="宋体" w:cs="宋体"/>
                <w:sz w:val="21"/>
                <w:szCs w:val="21"/>
              </w:rPr>
            </w:pPr>
            <w:r>
              <w:rPr>
                <w:rFonts w:hint="eastAsia" w:ascii="宋体" w:hAnsi="宋体" w:eastAsia="宋体" w:cs="宋体"/>
                <w:sz w:val="21"/>
                <w:szCs w:val="21"/>
              </w:rPr>
              <w:t>行走定位精度</w:t>
            </w:r>
          </w:p>
        </w:tc>
        <w:tc>
          <w:tcPr>
            <w:tcW w:w="5590" w:type="dxa"/>
            <w:vAlign w:val="center"/>
          </w:tcPr>
          <w:p w14:paraId="234D9D6B">
            <w:pPr>
              <w:rPr>
                <w:rFonts w:hint="eastAsia" w:ascii="宋体" w:hAnsi="宋体" w:eastAsia="宋体" w:cs="宋体"/>
                <w:sz w:val="21"/>
                <w:szCs w:val="21"/>
              </w:rPr>
            </w:pPr>
            <w:r>
              <w:rPr>
                <w:rFonts w:hint="eastAsia" w:ascii="宋体" w:hAnsi="宋体" w:eastAsia="宋体" w:cs="宋体"/>
                <w:sz w:val="21"/>
                <w:szCs w:val="21"/>
              </w:rPr>
              <w:t>±5mm</w:t>
            </w:r>
          </w:p>
        </w:tc>
      </w:tr>
      <w:tr w14:paraId="2271E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 w:hRule="atLeast"/>
        </w:trPr>
        <w:tc>
          <w:tcPr>
            <w:tcW w:w="2932" w:type="dxa"/>
            <w:gridSpan w:val="2"/>
            <w:vAlign w:val="center"/>
          </w:tcPr>
          <w:p w14:paraId="7E8EC253">
            <w:pPr>
              <w:rPr>
                <w:rFonts w:hint="eastAsia" w:ascii="宋体" w:hAnsi="宋体" w:eastAsia="宋体" w:cs="宋体"/>
                <w:sz w:val="21"/>
                <w:szCs w:val="21"/>
              </w:rPr>
            </w:pPr>
            <w:r>
              <w:rPr>
                <w:rFonts w:hint="eastAsia" w:ascii="宋体" w:hAnsi="宋体" w:eastAsia="宋体" w:cs="宋体"/>
                <w:sz w:val="21"/>
                <w:szCs w:val="21"/>
              </w:rPr>
              <w:t>移载定位方式</w:t>
            </w:r>
          </w:p>
        </w:tc>
        <w:tc>
          <w:tcPr>
            <w:tcW w:w="5590" w:type="dxa"/>
            <w:vAlign w:val="center"/>
          </w:tcPr>
          <w:p w14:paraId="30EAB413">
            <w:pPr>
              <w:rPr>
                <w:rFonts w:hint="eastAsia" w:ascii="宋体" w:hAnsi="宋体" w:eastAsia="宋体" w:cs="宋体"/>
                <w:sz w:val="21"/>
                <w:szCs w:val="21"/>
              </w:rPr>
            </w:pPr>
            <w:r>
              <w:rPr>
                <w:rFonts w:hint="eastAsia" w:ascii="宋体" w:hAnsi="宋体" w:eastAsia="宋体" w:cs="宋体"/>
                <w:sz w:val="21"/>
                <w:szCs w:val="21"/>
              </w:rPr>
              <w:t>光电开关定位</w:t>
            </w:r>
          </w:p>
        </w:tc>
      </w:tr>
      <w:tr w14:paraId="3C3EE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 w:hRule="atLeast"/>
        </w:trPr>
        <w:tc>
          <w:tcPr>
            <w:tcW w:w="2932" w:type="dxa"/>
            <w:gridSpan w:val="2"/>
            <w:vAlign w:val="center"/>
          </w:tcPr>
          <w:p w14:paraId="587FC578">
            <w:pPr>
              <w:rPr>
                <w:rFonts w:hint="eastAsia" w:ascii="宋体" w:hAnsi="宋体" w:eastAsia="宋体" w:cs="宋体"/>
                <w:sz w:val="21"/>
                <w:szCs w:val="21"/>
              </w:rPr>
            </w:pPr>
            <w:r>
              <w:rPr>
                <w:rFonts w:hint="eastAsia" w:ascii="宋体" w:hAnsi="宋体" w:eastAsia="宋体" w:cs="宋体"/>
                <w:sz w:val="21"/>
                <w:szCs w:val="21"/>
              </w:rPr>
              <w:t>控制方式</w:t>
            </w:r>
          </w:p>
        </w:tc>
        <w:tc>
          <w:tcPr>
            <w:tcW w:w="5590" w:type="dxa"/>
            <w:vAlign w:val="center"/>
          </w:tcPr>
          <w:p w14:paraId="12ED69C9">
            <w:pPr>
              <w:rPr>
                <w:rFonts w:hint="eastAsia" w:ascii="宋体" w:hAnsi="宋体" w:eastAsia="宋体" w:cs="宋体"/>
                <w:sz w:val="21"/>
                <w:szCs w:val="21"/>
              </w:rPr>
            </w:pPr>
            <w:r>
              <w:rPr>
                <w:rFonts w:hint="eastAsia" w:ascii="宋体" w:hAnsi="宋体" w:eastAsia="宋体" w:cs="宋体"/>
                <w:sz w:val="21"/>
                <w:szCs w:val="21"/>
              </w:rPr>
              <w:t>采用西门子S7-1500/三菱/ABB PLC，</w:t>
            </w:r>
          </w:p>
          <w:p w14:paraId="3BA3F1F6">
            <w:pPr>
              <w:rPr>
                <w:rFonts w:hint="eastAsia" w:ascii="宋体" w:hAnsi="宋体" w:eastAsia="宋体" w:cs="宋体"/>
                <w:sz w:val="21"/>
                <w:szCs w:val="21"/>
              </w:rPr>
            </w:pPr>
            <w:r>
              <w:rPr>
                <w:rFonts w:hint="eastAsia" w:ascii="宋体" w:hAnsi="宋体" w:eastAsia="宋体" w:cs="宋体"/>
                <w:sz w:val="21"/>
                <w:szCs w:val="21"/>
              </w:rPr>
              <w:t>安川/</w:t>
            </w:r>
            <w:r>
              <w:rPr>
                <w:rFonts w:hint="eastAsia" w:ascii="宋体" w:hAnsi="宋体" w:eastAsia="宋体" w:cs="宋体"/>
                <w:bCs/>
                <w:caps/>
                <w:sz w:val="21"/>
                <w:szCs w:val="21"/>
              </w:rPr>
              <w:t>丹佛斯或Siemens</w:t>
            </w:r>
            <w:r>
              <w:rPr>
                <w:rFonts w:hint="eastAsia" w:ascii="宋体" w:hAnsi="宋体" w:eastAsia="宋体" w:cs="宋体"/>
                <w:sz w:val="21"/>
                <w:szCs w:val="21"/>
              </w:rPr>
              <w:t>变频器控制，</w:t>
            </w:r>
          </w:p>
          <w:p w14:paraId="1A347A7D">
            <w:pPr>
              <w:rPr>
                <w:rFonts w:hint="eastAsia" w:ascii="宋体" w:hAnsi="宋体" w:eastAsia="宋体" w:cs="宋体"/>
                <w:sz w:val="21"/>
                <w:szCs w:val="21"/>
              </w:rPr>
            </w:pPr>
            <w:r>
              <w:rPr>
                <w:rFonts w:hint="eastAsia" w:ascii="宋体" w:hAnsi="宋体" w:eastAsia="宋体" w:cs="宋体"/>
                <w:sz w:val="21"/>
                <w:szCs w:val="21"/>
              </w:rPr>
              <w:t>电气设备采用日本OMRON、德国SICK、美国BANNER等品牌</w:t>
            </w:r>
          </w:p>
        </w:tc>
      </w:tr>
      <w:tr w14:paraId="2EA4D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 w:hRule="atLeast"/>
        </w:trPr>
        <w:tc>
          <w:tcPr>
            <w:tcW w:w="2932" w:type="dxa"/>
            <w:gridSpan w:val="2"/>
            <w:vAlign w:val="center"/>
          </w:tcPr>
          <w:p w14:paraId="132ECD51">
            <w:pPr>
              <w:rPr>
                <w:rFonts w:hint="eastAsia" w:ascii="宋体" w:hAnsi="宋体" w:eastAsia="宋体" w:cs="宋体"/>
                <w:sz w:val="21"/>
                <w:szCs w:val="21"/>
              </w:rPr>
            </w:pPr>
            <w:r>
              <w:rPr>
                <w:rFonts w:hint="eastAsia" w:ascii="宋体" w:hAnsi="宋体" w:eastAsia="宋体" w:cs="宋体"/>
                <w:sz w:val="21"/>
                <w:szCs w:val="21"/>
              </w:rPr>
              <w:t>驱动方式</w:t>
            </w:r>
          </w:p>
        </w:tc>
        <w:tc>
          <w:tcPr>
            <w:tcW w:w="5590" w:type="dxa"/>
            <w:vAlign w:val="center"/>
          </w:tcPr>
          <w:p w14:paraId="34FB12C9">
            <w:pPr>
              <w:rPr>
                <w:rFonts w:hint="eastAsia" w:ascii="宋体" w:hAnsi="宋体" w:eastAsia="宋体" w:cs="宋体"/>
                <w:sz w:val="21"/>
                <w:szCs w:val="21"/>
              </w:rPr>
            </w:pPr>
            <w:r>
              <w:rPr>
                <w:rFonts w:hint="eastAsia" w:ascii="宋体" w:hAnsi="宋体" w:eastAsia="宋体" w:cs="宋体"/>
                <w:sz w:val="21"/>
                <w:szCs w:val="21"/>
              </w:rPr>
              <w:t>SEW/NORD/DEMAG电机驱动</w:t>
            </w:r>
          </w:p>
        </w:tc>
      </w:tr>
      <w:tr w14:paraId="1606F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 w:hRule="atLeast"/>
        </w:trPr>
        <w:tc>
          <w:tcPr>
            <w:tcW w:w="2932" w:type="dxa"/>
            <w:gridSpan w:val="2"/>
            <w:vAlign w:val="center"/>
          </w:tcPr>
          <w:p w14:paraId="498947E7">
            <w:pPr>
              <w:rPr>
                <w:rFonts w:hint="eastAsia" w:ascii="宋体" w:hAnsi="宋体" w:eastAsia="宋体" w:cs="宋体"/>
                <w:sz w:val="21"/>
                <w:szCs w:val="21"/>
              </w:rPr>
            </w:pPr>
            <w:r>
              <w:rPr>
                <w:rFonts w:hint="eastAsia" w:ascii="宋体" w:hAnsi="宋体" w:eastAsia="宋体" w:cs="宋体"/>
                <w:sz w:val="21"/>
                <w:szCs w:val="21"/>
              </w:rPr>
              <w:t>操作方式</w:t>
            </w:r>
          </w:p>
        </w:tc>
        <w:tc>
          <w:tcPr>
            <w:tcW w:w="5590" w:type="dxa"/>
            <w:vAlign w:val="center"/>
          </w:tcPr>
          <w:p w14:paraId="135E917B">
            <w:pPr>
              <w:rPr>
                <w:rFonts w:hint="eastAsia" w:ascii="宋体" w:hAnsi="宋体" w:eastAsia="宋体" w:cs="宋体"/>
                <w:sz w:val="21"/>
                <w:szCs w:val="21"/>
              </w:rPr>
            </w:pPr>
            <w:r>
              <w:rPr>
                <w:rFonts w:hint="eastAsia" w:ascii="宋体" w:hAnsi="宋体" w:eastAsia="宋体" w:cs="宋体"/>
                <w:sz w:val="21"/>
                <w:szCs w:val="21"/>
              </w:rPr>
              <w:t>手动/单机自动/联机全自动，必要位置设置急停开关；具备多项完善的安全保护措施</w:t>
            </w:r>
          </w:p>
        </w:tc>
      </w:tr>
      <w:tr w14:paraId="3728F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 w:hRule="atLeast"/>
        </w:trPr>
        <w:tc>
          <w:tcPr>
            <w:tcW w:w="2932" w:type="dxa"/>
            <w:gridSpan w:val="2"/>
            <w:vAlign w:val="center"/>
          </w:tcPr>
          <w:p w14:paraId="67AE08A8">
            <w:pPr>
              <w:rPr>
                <w:rFonts w:hint="eastAsia" w:ascii="宋体" w:hAnsi="宋体" w:eastAsia="宋体" w:cs="宋体"/>
                <w:sz w:val="21"/>
                <w:szCs w:val="21"/>
              </w:rPr>
            </w:pPr>
            <w:r>
              <w:rPr>
                <w:rFonts w:hint="eastAsia" w:ascii="宋体" w:hAnsi="宋体" w:eastAsia="宋体" w:cs="宋体"/>
                <w:sz w:val="21"/>
                <w:szCs w:val="21"/>
              </w:rPr>
              <w:t>认址方式</w:t>
            </w:r>
          </w:p>
        </w:tc>
        <w:tc>
          <w:tcPr>
            <w:tcW w:w="5590" w:type="dxa"/>
            <w:vAlign w:val="center"/>
          </w:tcPr>
          <w:p w14:paraId="46F81506">
            <w:pPr>
              <w:rPr>
                <w:rFonts w:hint="eastAsia" w:ascii="宋体" w:hAnsi="宋体" w:eastAsia="宋体" w:cs="宋体"/>
                <w:sz w:val="21"/>
                <w:szCs w:val="21"/>
              </w:rPr>
            </w:pPr>
            <w:r>
              <w:rPr>
                <w:rFonts w:hint="eastAsia" w:ascii="宋体" w:hAnsi="宋体" w:eastAsia="宋体" w:cs="宋体"/>
                <w:sz w:val="21"/>
                <w:szCs w:val="21"/>
              </w:rPr>
              <w:t>BPS条码带</w:t>
            </w:r>
          </w:p>
        </w:tc>
      </w:tr>
      <w:tr w14:paraId="39C41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2932" w:type="dxa"/>
            <w:gridSpan w:val="2"/>
            <w:vAlign w:val="center"/>
          </w:tcPr>
          <w:p w14:paraId="15CBFC39">
            <w:pPr>
              <w:rPr>
                <w:rFonts w:hint="eastAsia" w:ascii="宋体" w:hAnsi="宋体" w:eastAsia="宋体" w:cs="宋体"/>
                <w:sz w:val="21"/>
                <w:szCs w:val="21"/>
              </w:rPr>
            </w:pPr>
            <w:r>
              <w:rPr>
                <w:rFonts w:hint="eastAsia" w:ascii="宋体" w:hAnsi="宋体" w:eastAsia="宋体" w:cs="宋体"/>
                <w:sz w:val="21"/>
                <w:szCs w:val="21"/>
              </w:rPr>
              <w:t>通讯方式</w:t>
            </w:r>
          </w:p>
        </w:tc>
        <w:tc>
          <w:tcPr>
            <w:tcW w:w="5590" w:type="dxa"/>
            <w:vAlign w:val="center"/>
          </w:tcPr>
          <w:p w14:paraId="39D70CD9">
            <w:pPr>
              <w:rPr>
                <w:rFonts w:hint="eastAsia" w:ascii="宋体" w:hAnsi="宋体" w:eastAsia="宋体" w:cs="宋体"/>
                <w:sz w:val="21"/>
                <w:szCs w:val="21"/>
              </w:rPr>
            </w:pPr>
            <w:r>
              <w:rPr>
                <w:rFonts w:hint="eastAsia" w:ascii="宋体" w:hAnsi="宋体" w:eastAsia="宋体" w:cs="宋体"/>
                <w:sz w:val="21"/>
                <w:szCs w:val="21"/>
              </w:rPr>
              <w:t>无线以太网</w:t>
            </w:r>
          </w:p>
        </w:tc>
      </w:tr>
      <w:tr w14:paraId="22020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2932" w:type="dxa"/>
            <w:gridSpan w:val="2"/>
            <w:vAlign w:val="center"/>
          </w:tcPr>
          <w:p w14:paraId="5775738F">
            <w:pPr>
              <w:rPr>
                <w:rFonts w:hint="eastAsia" w:ascii="宋体" w:hAnsi="宋体" w:eastAsia="宋体" w:cs="宋体"/>
                <w:sz w:val="21"/>
                <w:szCs w:val="21"/>
              </w:rPr>
            </w:pPr>
            <w:r>
              <w:rPr>
                <w:rFonts w:hint="eastAsia" w:ascii="宋体" w:hAnsi="宋体" w:eastAsia="宋体" w:cs="宋体"/>
                <w:sz w:val="21"/>
                <w:szCs w:val="21"/>
              </w:rPr>
              <w:t>供电方式</w:t>
            </w:r>
          </w:p>
        </w:tc>
        <w:tc>
          <w:tcPr>
            <w:tcW w:w="5590" w:type="dxa"/>
            <w:vAlign w:val="center"/>
          </w:tcPr>
          <w:p w14:paraId="7E552FA6">
            <w:pPr>
              <w:rPr>
                <w:rFonts w:hint="eastAsia" w:ascii="宋体" w:hAnsi="宋体" w:eastAsia="宋体" w:cs="宋体"/>
                <w:sz w:val="21"/>
                <w:szCs w:val="21"/>
              </w:rPr>
            </w:pPr>
            <w:r>
              <w:rPr>
                <w:rFonts w:hint="eastAsia" w:ascii="宋体" w:hAnsi="宋体" w:eastAsia="宋体" w:cs="宋体"/>
                <w:sz w:val="21"/>
                <w:szCs w:val="21"/>
              </w:rPr>
              <w:t>法勒滑触线</w:t>
            </w:r>
          </w:p>
        </w:tc>
      </w:tr>
      <w:tr w14:paraId="06375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trPr>
        <w:tc>
          <w:tcPr>
            <w:tcW w:w="2932" w:type="dxa"/>
            <w:gridSpan w:val="2"/>
            <w:vAlign w:val="center"/>
          </w:tcPr>
          <w:p w14:paraId="0A18F98F">
            <w:pPr>
              <w:rPr>
                <w:rFonts w:hint="eastAsia" w:ascii="宋体" w:hAnsi="宋体" w:eastAsia="宋体" w:cs="宋体"/>
                <w:sz w:val="21"/>
                <w:szCs w:val="21"/>
              </w:rPr>
            </w:pPr>
            <w:r>
              <w:rPr>
                <w:rFonts w:hint="eastAsia" w:ascii="宋体" w:hAnsi="宋体" w:eastAsia="宋体" w:cs="宋体"/>
                <w:sz w:val="21"/>
                <w:szCs w:val="21"/>
              </w:rPr>
              <w:t>轨道</w:t>
            </w:r>
          </w:p>
        </w:tc>
        <w:tc>
          <w:tcPr>
            <w:tcW w:w="5590" w:type="dxa"/>
            <w:vAlign w:val="center"/>
          </w:tcPr>
          <w:p w14:paraId="3310A2CE">
            <w:pPr>
              <w:rPr>
                <w:rFonts w:hint="eastAsia" w:ascii="宋体" w:hAnsi="宋体" w:eastAsia="宋体" w:cs="宋体"/>
                <w:sz w:val="21"/>
                <w:szCs w:val="21"/>
              </w:rPr>
            </w:pPr>
            <w:r>
              <w:rPr>
                <w:rFonts w:hint="eastAsia" w:ascii="宋体" w:hAnsi="宋体" w:eastAsia="宋体" w:cs="宋体"/>
                <w:sz w:val="21"/>
                <w:szCs w:val="21"/>
              </w:rPr>
              <w:t>铝合金专用轨道</w:t>
            </w:r>
          </w:p>
        </w:tc>
      </w:tr>
      <w:tr w14:paraId="72A7C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 w:hRule="atLeast"/>
        </w:trPr>
        <w:tc>
          <w:tcPr>
            <w:tcW w:w="2932" w:type="dxa"/>
            <w:gridSpan w:val="2"/>
            <w:vAlign w:val="center"/>
          </w:tcPr>
          <w:p w14:paraId="06D54EF8">
            <w:pPr>
              <w:rPr>
                <w:rFonts w:hint="eastAsia" w:ascii="宋体" w:hAnsi="宋体" w:eastAsia="宋体" w:cs="宋体"/>
                <w:sz w:val="21"/>
                <w:szCs w:val="21"/>
              </w:rPr>
            </w:pPr>
            <w:r>
              <w:rPr>
                <w:rFonts w:hint="eastAsia" w:ascii="宋体" w:hAnsi="宋体" w:eastAsia="宋体" w:cs="宋体"/>
                <w:sz w:val="21"/>
                <w:szCs w:val="21"/>
              </w:rPr>
              <w:t>电源规格</w:t>
            </w:r>
          </w:p>
        </w:tc>
        <w:tc>
          <w:tcPr>
            <w:tcW w:w="5590" w:type="dxa"/>
            <w:vAlign w:val="center"/>
          </w:tcPr>
          <w:p w14:paraId="693BBB1A">
            <w:pPr>
              <w:rPr>
                <w:rFonts w:hint="eastAsia" w:ascii="宋体" w:hAnsi="宋体" w:eastAsia="宋体" w:cs="宋体"/>
                <w:sz w:val="21"/>
                <w:szCs w:val="21"/>
              </w:rPr>
            </w:pPr>
            <w:r>
              <w:rPr>
                <w:rFonts w:hint="eastAsia" w:ascii="宋体" w:hAnsi="宋体" w:eastAsia="宋体" w:cs="宋体"/>
                <w:sz w:val="21"/>
                <w:szCs w:val="21"/>
              </w:rPr>
              <w:t>380/220V三相</w:t>
            </w:r>
          </w:p>
        </w:tc>
      </w:tr>
    </w:tbl>
    <w:p w14:paraId="66D70975">
      <w:pPr>
        <w:tabs>
          <w:tab w:val="left" w:pos="9498"/>
        </w:tabs>
        <w:adjustRightInd w:val="0"/>
        <w:snapToGrid w:val="0"/>
        <w:spacing w:after="120" w:line="360" w:lineRule="auto"/>
        <w:ind w:firstLine="420" w:firstLineChars="200"/>
        <w:rPr>
          <w:rFonts w:ascii="宋体" w:hAnsi="宋体"/>
          <w:sz w:val="21"/>
          <w:szCs w:val="21"/>
        </w:rPr>
      </w:pPr>
      <w:r>
        <w:rPr>
          <w:rFonts w:hint="eastAsia" w:ascii="宋体" w:hAnsi="宋体" w:eastAsia="宋体" w:cs="宋体"/>
          <w:sz w:val="21"/>
          <w:szCs w:val="21"/>
        </w:rPr>
        <w:t>要求穿梭车运行范围内加装安全护栏及安全门，保证该区域作业安全，穿梭车运行过程中有声光提示。安全门与设备联动，开门时设备进入检修状态。</w:t>
      </w:r>
    </w:p>
    <w:p w14:paraId="37F4B18B">
      <w:pPr>
        <w:pStyle w:val="100"/>
        <w:numPr>
          <w:ilvl w:val="0"/>
          <w:numId w:val="0"/>
        </w:numPr>
        <w:spacing w:line="276" w:lineRule="auto"/>
        <w:ind w:left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（25）</w:t>
      </w:r>
      <w:r>
        <w:rPr>
          <w:rFonts w:hint="eastAsia" w:ascii="宋体" w:hAnsi="宋体" w:eastAsia="宋体" w:cs="宋体"/>
          <w:sz w:val="21"/>
          <w:szCs w:val="21"/>
        </w:rPr>
        <w:t>提升机技术要求：</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1"/>
        <w:gridCol w:w="6121"/>
      </w:tblGrid>
      <w:tr w14:paraId="0DF47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8522" w:type="dxa"/>
            <w:gridSpan w:val="2"/>
            <w:shd w:val="clear" w:color="auto" w:fill="92CDDC"/>
            <w:vAlign w:val="center"/>
          </w:tcPr>
          <w:p w14:paraId="374872D4">
            <w:pPr>
              <w:jc w:val="center"/>
              <w:rPr>
                <w:rFonts w:hint="eastAsia" w:ascii="宋体" w:hAnsi="宋体" w:eastAsia="宋体" w:cs="宋体"/>
                <w:sz w:val="21"/>
                <w:szCs w:val="21"/>
              </w:rPr>
            </w:pPr>
            <w:r>
              <w:rPr>
                <w:rFonts w:hint="eastAsia" w:ascii="宋体" w:hAnsi="宋体" w:eastAsia="宋体" w:cs="宋体"/>
                <w:sz w:val="21"/>
                <w:szCs w:val="21"/>
              </w:rPr>
              <w:t>提升机</w:t>
            </w:r>
          </w:p>
        </w:tc>
      </w:tr>
      <w:tr w14:paraId="47507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2401" w:type="dxa"/>
            <w:vAlign w:val="center"/>
          </w:tcPr>
          <w:p w14:paraId="4879866D">
            <w:pPr>
              <w:rPr>
                <w:rFonts w:hint="eastAsia" w:ascii="宋体" w:hAnsi="宋体" w:eastAsia="宋体" w:cs="宋体"/>
                <w:sz w:val="21"/>
                <w:szCs w:val="21"/>
              </w:rPr>
            </w:pPr>
            <w:r>
              <w:rPr>
                <w:rFonts w:hint="eastAsia" w:ascii="宋体" w:hAnsi="宋体" w:eastAsia="宋体" w:cs="宋体"/>
                <w:sz w:val="21"/>
                <w:szCs w:val="21"/>
              </w:rPr>
              <w:t>项目</w:t>
            </w:r>
          </w:p>
        </w:tc>
        <w:tc>
          <w:tcPr>
            <w:tcW w:w="6121" w:type="dxa"/>
            <w:vAlign w:val="center"/>
          </w:tcPr>
          <w:p w14:paraId="03ED2E3C">
            <w:pPr>
              <w:rPr>
                <w:rFonts w:hint="eastAsia" w:ascii="宋体" w:hAnsi="宋体" w:eastAsia="宋体" w:cs="宋体"/>
                <w:sz w:val="21"/>
                <w:szCs w:val="21"/>
              </w:rPr>
            </w:pPr>
            <w:r>
              <w:rPr>
                <w:rFonts w:hint="eastAsia" w:ascii="宋体" w:hAnsi="宋体" w:eastAsia="宋体" w:cs="宋体"/>
                <w:sz w:val="21"/>
                <w:szCs w:val="21"/>
              </w:rPr>
              <w:t>投标技术参数</w:t>
            </w:r>
          </w:p>
        </w:tc>
      </w:tr>
      <w:tr w14:paraId="5ACB8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2401" w:type="dxa"/>
            <w:vAlign w:val="center"/>
          </w:tcPr>
          <w:p w14:paraId="34637939">
            <w:pPr>
              <w:rPr>
                <w:rFonts w:hint="eastAsia" w:ascii="宋体" w:hAnsi="宋体" w:eastAsia="宋体" w:cs="宋体"/>
                <w:sz w:val="21"/>
                <w:szCs w:val="21"/>
              </w:rPr>
            </w:pPr>
            <w:r>
              <w:rPr>
                <w:rFonts w:hint="eastAsia" w:ascii="宋体" w:hAnsi="宋体" w:eastAsia="宋体" w:cs="宋体"/>
                <w:sz w:val="21"/>
                <w:szCs w:val="21"/>
              </w:rPr>
              <w:t>涂装标准</w:t>
            </w:r>
          </w:p>
        </w:tc>
        <w:tc>
          <w:tcPr>
            <w:tcW w:w="6121" w:type="dxa"/>
            <w:vAlign w:val="center"/>
          </w:tcPr>
          <w:p w14:paraId="78E1140F">
            <w:pPr>
              <w:rPr>
                <w:rFonts w:hint="eastAsia" w:ascii="宋体" w:hAnsi="宋体" w:eastAsia="宋体" w:cs="宋体"/>
                <w:sz w:val="21"/>
                <w:szCs w:val="21"/>
              </w:rPr>
            </w:pPr>
            <w:r>
              <w:rPr>
                <w:rFonts w:hint="eastAsia" w:ascii="宋体" w:hAnsi="宋体" w:eastAsia="宋体" w:cs="宋体"/>
                <w:sz w:val="21"/>
                <w:szCs w:val="21"/>
              </w:rPr>
              <w:t>涂料采用热固环氧树脂（粉状），涂层厚度60μm，其质量均按GB/T6807-2001标准。</w:t>
            </w:r>
          </w:p>
        </w:tc>
      </w:tr>
      <w:tr w14:paraId="64AB7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2401" w:type="dxa"/>
            <w:vAlign w:val="center"/>
          </w:tcPr>
          <w:p w14:paraId="2BA7292A">
            <w:pPr>
              <w:rPr>
                <w:rFonts w:hint="eastAsia" w:ascii="宋体" w:hAnsi="宋体" w:eastAsia="宋体" w:cs="宋体"/>
                <w:sz w:val="21"/>
                <w:szCs w:val="21"/>
              </w:rPr>
            </w:pPr>
            <w:r>
              <w:rPr>
                <w:rFonts w:hint="eastAsia" w:ascii="宋体" w:hAnsi="宋体" w:eastAsia="宋体" w:cs="宋体"/>
                <w:sz w:val="21"/>
                <w:szCs w:val="21"/>
              </w:rPr>
              <w:t>表面处理</w:t>
            </w:r>
          </w:p>
        </w:tc>
        <w:tc>
          <w:tcPr>
            <w:tcW w:w="6121" w:type="dxa"/>
            <w:vAlign w:val="center"/>
          </w:tcPr>
          <w:p w14:paraId="74D149C1">
            <w:pPr>
              <w:rPr>
                <w:rFonts w:hint="eastAsia" w:ascii="宋体" w:hAnsi="宋体" w:eastAsia="宋体" w:cs="宋体"/>
                <w:sz w:val="21"/>
                <w:szCs w:val="21"/>
              </w:rPr>
            </w:pPr>
            <w:r>
              <w:rPr>
                <w:rFonts w:hint="eastAsia" w:ascii="宋体" w:hAnsi="宋体" w:eastAsia="宋体" w:cs="宋体"/>
                <w:sz w:val="21"/>
                <w:szCs w:val="21"/>
              </w:rPr>
              <w:t>采用四立柱，框架采用碳钢烤漆，侧面封钢板，四周铝柱包边</w:t>
            </w:r>
          </w:p>
        </w:tc>
      </w:tr>
      <w:tr w14:paraId="4DC75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2401" w:type="dxa"/>
            <w:vAlign w:val="center"/>
          </w:tcPr>
          <w:p w14:paraId="54AC39CA">
            <w:pPr>
              <w:rPr>
                <w:rFonts w:hint="eastAsia" w:ascii="宋体" w:hAnsi="宋体" w:eastAsia="宋体" w:cs="宋体"/>
                <w:sz w:val="21"/>
                <w:szCs w:val="21"/>
              </w:rPr>
            </w:pPr>
            <w:r>
              <w:rPr>
                <w:rFonts w:hint="eastAsia" w:ascii="宋体" w:hAnsi="宋体" w:eastAsia="宋体" w:cs="宋体"/>
                <w:sz w:val="21"/>
                <w:szCs w:val="21"/>
              </w:rPr>
              <w:t>额定车载质量</w:t>
            </w:r>
          </w:p>
        </w:tc>
        <w:tc>
          <w:tcPr>
            <w:tcW w:w="6121" w:type="dxa"/>
            <w:vAlign w:val="center"/>
          </w:tcPr>
          <w:p w14:paraId="26E2553E">
            <w:pPr>
              <w:rPr>
                <w:rFonts w:hint="eastAsia" w:ascii="宋体" w:hAnsi="宋体" w:eastAsia="宋体" w:cs="宋体"/>
                <w:sz w:val="21"/>
                <w:szCs w:val="21"/>
              </w:rPr>
            </w:pPr>
            <w:r>
              <w:rPr>
                <w:rFonts w:hint="eastAsia" w:ascii="宋体" w:hAnsi="宋体" w:eastAsia="宋体" w:cs="宋体"/>
                <w:sz w:val="21"/>
                <w:szCs w:val="21"/>
              </w:rPr>
              <w:t>Max：1000kg</w:t>
            </w:r>
          </w:p>
        </w:tc>
      </w:tr>
      <w:tr w14:paraId="2ABC5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1" w:type="dxa"/>
            <w:vAlign w:val="center"/>
          </w:tcPr>
          <w:p w14:paraId="7A5387F3">
            <w:pPr>
              <w:rPr>
                <w:rFonts w:hint="eastAsia" w:ascii="宋体" w:hAnsi="宋体" w:eastAsia="宋体" w:cs="宋体"/>
                <w:sz w:val="21"/>
                <w:szCs w:val="21"/>
              </w:rPr>
            </w:pPr>
            <w:r>
              <w:rPr>
                <w:rFonts w:hint="eastAsia" w:ascii="宋体" w:hAnsi="宋体" w:eastAsia="宋体" w:cs="宋体"/>
                <w:sz w:val="21"/>
                <w:szCs w:val="21"/>
              </w:rPr>
              <w:t>载货尺寸</w:t>
            </w:r>
          </w:p>
        </w:tc>
        <w:tc>
          <w:tcPr>
            <w:tcW w:w="6121" w:type="dxa"/>
            <w:vAlign w:val="center"/>
          </w:tcPr>
          <w:p w14:paraId="3A5BF287">
            <w:pPr>
              <w:rPr>
                <w:rFonts w:hint="eastAsia" w:ascii="宋体" w:hAnsi="宋体" w:eastAsia="宋体" w:cs="宋体"/>
                <w:sz w:val="21"/>
                <w:szCs w:val="21"/>
              </w:rPr>
            </w:pPr>
            <w:r>
              <w:rPr>
                <w:rFonts w:hint="eastAsia" w:ascii="宋体" w:hAnsi="宋体" w:eastAsia="宋体" w:cs="宋体"/>
                <w:sz w:val="21"/>
                <w:szCs w:val="21"/>
              </w:rPr>
              <w:t>1200mm（长）×1000mm（宽）×1550mm（高）（含托盘）</w:t>
            </w:r>
          </w:p>
        </w:tc>
      </w:tr>
      <w:tr w14:paraId="3EF89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1" w:type="dxa"/>
            <w:vAlign w:val="center"/>
          </w:tcPr>
          <w:p w14:paraId="798AC30F">
            <w:pPr>
              <w:rPr>
                <w:rFonts w:hint="eastAsia" w:ascii="宋体" w:hAnsi="宋体" w:eastAsia="宋体" w:cs="宋体"/>
                <w:sz w:val="21"/>
                <w:szCs w:val="21"/>
              </w:rPr>
            </w:pPr>
            <w:r>
              <w:rPr>
                <w:rFonts w:hint="eastAsia" w:ascii="宋体" w:hAnsi="宋体" w:eastAsia="宋体" w:cs="宋体"/>
                <w:sz w:val="21"/>
                <w:szCs w:val="21"/>
              </w:rPr>
              <w:t>▲控制方式</w:t>
            </w:r>
          </w:p>
        </w:tc>
        <w:tc>
          <w:tcPr>
            <w:tcW w:w="6121" w:type="dxa"/>
            <w:vAlign w:val="center"/>
          </w:tcPr>
          <w:p w14:paraId="01B5E2BA">
            <w:pPr>
              <w:rPr>
                <w:rFonts w:hint="eastAsia" w:ascii="宋体" w:hAnsi="宋体" w:eastAsia="宋体" w:cs="宋体"/>
                <w:sz w:val="21"/>
                <w:szCs w:val="21"/>
              </w:rPr>
            </w:pPr>
            <w:r>
              <w:rPr>
                <w:rFonts w:hint="eastAsia" w:ascii="宋体" w:hAnsi="宋体" w:eastAsia="宋体" w:cs="宋体"/>
                <w:sz w:val="21"/>
                <w:szCs w:val="21"/>
              </w:rPr>
              <w:t>变频器控制，推荐采用安川/丹佛斯/Siemens变频器控制</w:t>
            </w:r>
          </w:p>
        </w:tc>
      </w:tr>
      <w:tr w14:paraId="68EBC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 w:hRule="atLeast"/>
        </w:trPr>
        <w:tc>
          <w:tcPr>
            <w:tcW w:w="2401" w:type="dxa"/>
            <w:vAlign w:val="center"/>
          </w:tcPr>
          <w:p w14:paraId="4F52FB50">
            <w:pPr>
              <w:rPr>
                <w:rFonts w:hint="eastAsia" w:ascii="宋体" w:hAnsi="宋体" w:eastAsia="宋体" w:cs="宋体"/>
                <w:sz w:val="21"/>
                <w:szCs w:val="21"/>
              </w:rPr>
            </w:pPr>
            <w:r>
              <w:rPr>
                <w:rFonts w:hint="eastAsia" w:ascii="宋体" w:hAnsi="宋体" w:eastAsia="宋体" w:cs="宋体"/>
                <w:sz w:val="21"/>
                <w:szCs w:val="21"/>
              </w:rPr>
              <w:t>▲驱动方式</w:t>
            </w:r>
          </w:p>
        </w:tc>
        <w:tc>
          <w:tcPr>
            <w:tcW w:w="6121" w:type="dxa"/>
            <w:vAlign w:val="center"/>
          </w:tcPr>
          <w:p w14:paraId="2A2D60FC">
            <w:pPr>
              <w:rPr>
                <w:rFonts w:hint="eastAsia" w:ascii="宋体" w:hAnsi="宋体" w:eastAsia="宋体" w:cs="宋体"/>
                <w:sz w:val="21"/>
                <w:szCs w:val="21"/>
              </w:rPr>
            </w:pPr>
            <w:r>
              <w:rPr>
                <w:rFonts w:hint="eastAsia" w:ascii="宋体" w:hAnsi="宋体" w:eastAsia="宋体" w:cs="宋体"/>
                <w:sz w:val="21"/>
                <w:szCs w:val="21"/>
              </w:rPr>
              <w:t>变频驱动，推荐采用SEW/NORD/DEMAG等品牌电机</w:t>
            </w:r>
          </w:p>
        </w:tc>
      </w:tr>
      <w:tr w14:paraId="11445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1" w:type="dxa"/>
            <w:vAlign w:val="center"/>
          </w:tcPr>
          <w:p w14:paraId="08E32B57">
            <w:pPr>
              <w:rPr>
                <w:rFonts w:hint="eastAsia" w:ascii="宋体" w:hAnsi="宋体" w:eastAsia="宋体" w:cs="宋体"/>
                <w:sz w:val="21"/>
                <w:szCs w:val="21"/>
              </w:rPr>
            </w:pPr>
            <w:r>
              <w:rPr>
                <w:rFonts w:hint="eastAsia" w:ascii="宋体" w:hAnsi="宋体" w:eastAsia="宋体" w:cs="宋体"/>
                <w:sz w:val="21"/>
                <w:szCs w:val="21"/>
              </w:rPr>
              <w:t>升降速度</w:t>
            </w:r>
          </w:p>
        </w:tc>
        <w:tc>
          <w:tcPr>
            <w:tcW w:w="6121" w:type="dxa"/>
            <w:vAlign w:val="center"/>
          </w:tcPr>
          <w:p w14:paraId="245B7155">
            <w:pPr>
              <w:rPr>
                <w:rFonts w:hint="eastAsia" w:ascii="宋体" w:hAnsi="宋体" w:eastAsia="宋体" w:cs="宋体"/>
                <w:sz w:val="21"/>
                <w:szCs w:val="21"/>
              </w:rPr>
            </w:pPr>
            <w:r>
              <w:rPr>
                <w:rFonts w:hint="eastAsia" w:ascii="宋体" w:hAnsi="宋体" w:eastAsia="宋体" w:cs="宋体"/>
                <w:sz w:val="21"/>
                <w:szCs w:val="21"/>
              </w:rPr>
              <w:t>30m/min（变频调速）</w:t>
            </w:r>
          </w:p>
        </w:tc>
      </w:tr>
      <w:tr w14:paraId="4256C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1" w:type="dxa"/>
            <w:vAlign w:val="center"/>
          </w:tcPr>
          <w:p w14:paraId="30B1B98A">
            <w:pPr>
              <w:rPr>
                <w:rFonts w:hint="eastAsia" w:ascii="宋体" w:hAnsi="宋体" w:eastAsia="宋体" w:cs="宋体"/>
                <w:sz w:val="21"/>
                <w:szCs w:val="21"/>
              </w:rPr>
            </w:pPr>
            <w:r>
              <w:rPr>
                <w:rFonts w:hint="eastAsia" w:ascii="宋体" w:hAnsi="宋体" w:eastAsia="宋体" w:cs="宋体"/>
                <w:sz w:val="21"/>
                <w:szCs w:val="21"/>
              </w:rPr>
              <w:t>传动方式</w:t>
            </w:r>
          </w:p>
        </w:tc>
        <w:tc>
          <w:tcPr>
            <w:tcW w:w="6121" w:type="dxa"/>
            <w:vAlign w:val="center"/>
          </w:tcPr>
          <w:p w14:paraId="4C0957AB">
            <w:pPr>
              <w:rPr>
                <w:rFonts w:hint="eastAsia" w:ascii="宋体" w:hAnsi="宋体" w:eastAsia="宋体" w:cs="宋体"/>
                <w:sz w:val="21"/>
                <w:szCs w:val="21"/>
              </w:rPr>
            </w:pPr>
            <w:r>
              <w:rPr>
                <w:rFonts w:hint="eastAsia" w:ascii="宋体" w:hAnsi="宋体" w:eastAsia="宋体" w:cs="宋体"/>
                <w:sz w:val="21"/>
                <w:szCs w:val="21"/>
              </w:rPr>
              <w:t>齿轮齿条定位；</w:t>
            </w:r>
          </w:p>
        </w:tc>
      </w:tr>
      <w:tr w14:paraId="0E971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1" w:type="dxa"/>
            <w:vAlign w:val="center"/>
          </w:tcPr>
          <w:p w14:paraId="2C27CC39">
            <w:pPr>
              <w:rPr>
                <w:rFonts w:hint="eastAsia" w:ascii="宋体" w:hAnsi="宋体" w:eastAsia="宋体" w:cs="宋体"/>
                <w:sz w:val="21"/>
                <w:szCs w:val="21"/>
              </w:rPr>
            </w:pPr>
            <w:r>
              <w:rPr>
                <w:rFonts w:hint="eastAsia" w:ascii="宋体" w:hAnsi="宋体" w:eastAsia="宋体" w:cs="宋体"/>
                <w:sz w:val="21"/>
                <w:szCs w:val="21"/>
              </w:rPr>
              <w:t>输送速度（m/min）</w:t>
            </w:r>
          </w:p>
        </w:tc>
        <w:tc>
          <w:tcPr>
            <w:tcW w:w="6121" w:type="dxa"/>
            <w:vAlign w:val="center"/>
          </w:tcPr>
          <w:p w14:paraId="4E9B500E">
            <w:pPr>
              <w:rPr>
                <w:rFonts w:hint="eastAsia" w:ascii="宋体" w:hAnsi="宋体" w:eastAsia="宋体" w:cs="宋体"/>
                <w:sz w:val="21"/>
                <w:szCs w:val="21"/>
              </w:rPr>
            </w:pPr>
            <w:r>
              <w:rPr>
                <w:rFonts w:hint="eastAsia" w:ascii="宋体" w:hAnsi="宋体" w:eastAsia="宋体" w:cs="宋体"/>
                <w:sz w:val="21"/>
                <w:szCs w:val="21"/>
              </w:rPr>
              <w:t>16m/min（变频调速）</w:t>
            </w:r>
          </w:p>
        </w:tc>
      </w:tr>
      <w:tr w14:paraId="1B141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1" w:type="dxa"/>
            <w:vAlign w:val="center"/>
          </w:tcPr>
          <w:p w14:paraId="1E87716F">
            <w:pPr>
              <w:rPr>
                <w:rFonts w:hint="eastAsia" w:ascii="宋体" w:hAnsi="宋体" w:eastAsia="宋体" w:cs="宋体"/>
                <w:sz w:val="21"/>
                <w:szCs w:val="21"/>
              </w:rPr>
            </w:pPr>
            <w:r>
              <w:rPr>
                <w:rFonts w:hint="eastAsia" w:ascii="宋体" w:hAnsi="宋体" w:eastAsia="宋体" w:cs="宋体"/>
                <w:sz w:val="21"/>
                <w:szCs w:val="21"/>
              </w:rPr>
              <w:t>货物定位方式</w:t>
            </w:r>
          </w:p>
        </w:tc>
        <w:tc>
          <w:tcPr>
            <w:tcW w:w="6121" w:type="dxa"/>
            <w:vAlign w:val="center"/>
          </w:tcPr>
          <w:p w14:paraId="5B184BA4">
            <w:pPr>
              <w:rPr>
                <w:rFonts w:hint="eastAsia" w:ascii="宋体" w:hAnsi="宋体" w:eastAsia="宋体" w:cs="宋体"/>
                <w:sz w:val="21"/>
                <w:szCs w:val="21"/>
              </w:rPr>
            </w:pPr>
            <w:r>
              <w:rPr>
                <w:rFonts w:hint="eastAsia" w:ascii="宋体" w:hAnsi="宋体" w:eastAsia="宋体" w:cs="宋体"/>
                <w:sz w:val="21"/>
                <w:szCs w:val="21"/>
              </w:rPr>
              <w:t>接近开关、光电开关定位</w:t>
            </w:r>
          </w:p>
        </w:tc>
      </w:tr>
      <w:tr w14:paraId="1E3F7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1" w:type="dxa"/>
            <w:vAlign w:val="center"/>
          </w:tcPr>
          <w:p w14:paraId="6510A735">
            <w:pPr>
              <w:rPr>
                <w:rFonts w:hint="eastAsia" w:ascii="宋体" w:hAnsi="宋体" w:eastAsia="宋体" w:cs="宋体"/>
                <w:sz w:val="21"/>
                <w:szCs w:val="21"/>
              </w:rPr>
            </w:pPr>
            <w:r>
              <w:rPr>
                <w:rFonts w:hint="eastAsia" w:ascii="宋体" w:hAnsi="宋体" w:eastAsia="宋体" w:cs="宋体"/>
                <w:sz w:val="21"/>
                <w:szCs w:val="21"/>
              </w:rPr>
              <w:t>通讯方式</w:t>
            </w:r>
          </w:p>
        </w:tc>
        <w:tc>
          <w:tcPr>
            <w:tcW w:w="6121" w:type="dxa"/>
            <w:vAlign w:val="center"/>
          </w:tcPr>
          <w:p w14:paraId="4D954911">
            <w:pPr>
              <w:rPr>
                <w:rFonts w:hint="eastAsia" w:ascii="宋体" w:hAnsi="宋体" w:eastAsia="宋体" w:cs="宋体"/>
                <w:sz w:val="21"/>
                <w:szCs w:val="21"/>
              </w:rPr>
            </w:pPr>
            <w:r>
              <w:rPr>
                <w:rFonts w:hint="eastAsia" w:ascii="宋体" w:hAnsi="宋体" w:eastAsia="宋体" w:cs="宋体"/>
                <w:sz w:val="21"/>
                <w:szCs w:val="21"/>
              </w:rPr>
              <w:t>工业以太网</w:t>
            </w:r>
          </w:p>
        </w:tc>
      </w:tr>
      <w:tr w14:paraId="5A46A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1" w:type="dxa"/>
            <w:vAlign w:val="center"/>
          </w:tcPr>
          <w:p w14:paraId="2C44B11E">
            <w:pPr>
              <w:rPr>
                <w:rFonts w:hint="eastAsia" w:ascii="宋体" w:hAnsi="宋体" w:eastAsia="宋体" w:cs="宋体"/>
                <w:sz w:val="21"/>
                <w:szCs w:val="21"/>
              </w:rPr>
            </w:pPr>
            <w:r>
              <w:rPr>
                <w:rFonts w:hint="eastAsia" w:ascii="宋体" w:hAnsi="宋体" w:eastAsia="宋体" w:cs="宋体"/>
                <w:sz w:val="21"/>
                <w:szCs w:val="21"/>
              </w:rPr>
              <w:t>供电方式</w:t>
            </w:r>
          </w:p>
        </w:tc>
        <w:tc>
          <w:tcPr>
            <w:tcW w:w="6121" w:type="dxa"/>
            <w:vAlign w:val="center"/>
          </w:tcPr>
          <w:p w14:paraId="0EAD0342">
            <w:pPr>
              <w:rPr>
                <w:rFonts w:hint="eastAsia" w:ascii="宋体" w:hAnsi="宋体" w:eastAsia="宋体" w:cs="宋体"/>
                <w:sz w:val="21"/>
                <w:szCs w:val="21"/>
              </w:rPr>
            </w:pPr>
            <w:r>
              <w:rPr>
                <w:rFonts w:hint="eastAsia" w:ascii="宋体" w:hAnsi="宋体" w:eastAsia="宋体" w:cs="宋体"/>
                <w:sz w:val="21"/>
                <w:szCs w:val="21"/>
              </w:rPr>
              <w:t>380V交流电</w:t>
            </w:r>
          </w:p>
        </w:tc>
      </w:tr>
      <w:tr w14:paraId="60499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1" w:type="dxa"/>
            <w:vAlign w:val="center"/>
          </w:tcPr>
          <w:p w14:paraId="1CFEC131">
            <w:pPr>
              <w:rPr>
                <w:rFonts w:hint="eastAsia" w:ascii="宋体" w:hAnsi="宋体" w:eastAsia="宋体" w:cs="宋体"/>
                <w:sz w:val="21"/>
                <w:szCs w:val="21"/>
              </w:rPr>
            </w:pPr>
            <w:r>
              <w:rPr>
                <w:rFonts w:hint="eastAsia" w:ascii="宋体" w:hAnsi="宋体" w:eastAsia="宋体" w:cs="宋体"/>
                <w:sz w:val="21"/>
                <w:szCs w:val="21"/>
              </w:rPr>
              <w:t>操作方式</w:t>
            </w:r>
          </w:p>
        </w:tc>
        <w:tc>
          <w:tcPr>
            <w:tcW w:w="6121" w:type="dxa"/>
            <w:vAlign w:val="center"/>
          </w:tcPr>
          <w:p w14:paraId="002D547E">
            <w:pPr>
              <w:rPr>
                <w:rFonts w:hint="eastAsia" w:ascii="宋体" w:hAnsi="宋体" w:eastAsia="宋体" w:cs="宋体"/>
                <w:sz w:val="21"/>
                <w:szCs w:val="21"/>
              </w:rPr>
            </w:pPr>
            <w:r>
              <w:rPr>
                <w:rFonts w:hint="eastAsia" w:ascii="宋体" w:hAnsi="宋体" w:eastAsia="宋体" w:cs="宋体"/>
                <w:sz w:val="21"/>
                <w:szCs w:val="21"/>
              </w:rPr>
              <w:t>自动、手动、联机自动控制</w:t>
            </w:r>
          </w:p>
        </w:tc>
      </w:tr>
      <w:tr w14:paraId="44B48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1" w:type="dxa"/>
            <w:vAlign w:val="center"/>
          </w:tcPr>
          <w:p w14:paraId="73687B41">
            <w:pPr>
              <w:rPr>
                <w:rFonts w:hint="eastAsia" w:ascii="宋体" w:hAnsi="宋体" w:eastAsia="宋体" w:cs="宋体"/>
                <w:sz w:val="21"/>
                <w:szCs w:val="21"/>
              </w:rPr>
            </w:pPr>
            <w:r>
              <w:rPr>
                <w:rFonts w:hint="eastAsia" w:ascii="宋体" w:hAnsi="宋体" w:eastAsia="宋体" w:cs="宋体"/>
                <w:sz w:val="21"/>
                <w:szCs w:val="21"/>
              </w:rPr>
              <w:t>安全措施</w:t>
            </w:r>
          </w:p>
        </w:tc>
        <w:tc>
          <w:tcPr>
            <w:tcW w:w="6121" w:type="dxa"/>
            <w:vAlign w:val="center"/>
          </w:tcPr>
          <w:p w14:paraId="75A88A7D">
            <w:pPr>
              <w:rPr>
                <w:rFonts w:hint="eastAsia" w:ascii="宋体" w:hAnsi="宋体" w:eastAsia="宋体" w:cs="宋体"/>
                <w:sz w:val="21"/>
                <w:szCs w:val="21"/>
              </w:rPr>
            </w:pPr>
            <w:r>
              <w:rPr>
                <w:rFonts w:hint="eastAsia" w:ascii="宋体" w:hAnsi="宋体" w:eastAsia="宋体" w:cs="宋体"/>
                <w:sz w:val="21"/>
                <w:szCs w:val="21"/>
              </w:rPr>
              <w:t>有连锁程序、导向装置保护、端部机械死挡</w:t>
            </w:r>
          </w:p>
        </w:tc>
      </w:tr>
    </w:tbl>
    <w:p w14:paraId="514BDA83">
      <w:pPr>
        <w:numPr>
          <w:ilvl w:val="0"/>
          <w:numId w:val="0"/>
        </w:numPr>
        <w:spacing w:line="360" w:lineRule="auto"/>
        <w:ind w:left="0" w:leftChars="0" w:firstLine="0" w:firstLineChars="0"/>
        <w:outlineLvl w:val="2"/>
        <w:rPr>
          <w:rFonts w:hint="eastAsia" w:ascii="宋体" w:hAnsi="宋体" w:eastAsia="宋体" w:cs="宋体"/>
          <w:b/>
          <w:bCs/>
          <w:kern w:val="2"/>
          <w:sz w:val="21"/>
          <w:szCs w:val="21"/>
          <w:lang w:val="en-US" w:eastAsia="zh-CN" w:bidi="ar-SA"/>
        </w:rPr>
      </w:pPr>
      <w:bookmarkStart w:id="1676" w:name="_Toc9146"/>
      <w:r>
        <w:rPr>
          <w:rFonts w:hint="eastAsia" w:ascii="宋体" w:hAnsi="宋体" w:eastAsia="宋体" w:cs="宋体"/>
          <w:b/>
          <w:bCs/>
          <w:kern w:val="2"/>
          <w:sz w:val="21"/>
          <w:szCs w:val="21"/>
          <w:lang w:val="en-US" w:eastAsia="zh-CN" w:bidi="ar-SA"/>
        </w:rPr>
        <w:t>4.2穿梭车技术要求</w:t>
      </w:r>
      <w:bookmarkEnd w:id="1676"/>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75"/>
        <w:gridCol w:w="1965"/>
        <w:gridCol w:w="3016"/>
        <w:gridCol w:w="1966"/>
      </w:tblGrid>
      <w:tr w14:paraId="3F7D2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blHeader/>
          <w:jc w:val="center"/>
        </w:trPr>
        <w:tc>
          <w:tcPr>
            <w:tcW w:w="8522" w:type="dxa"/>
            <w:gridSpan w:val="4"/>
            <w:shd w:val="clear" w:color="auto" w:fill="auto"/>
            <w:noWrap/>
            <w:vAlign w:val="center"/>
          </w:tcPr>
          <w:p w14:paraId="550C3113">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托盘四向穿梭车技术参数</w:t>
            </w:r>
          </w:p>
        </w:tc>
      </w:tr>
      <w:tr w14:paraId="38FB7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575" w:type="dxa"/>
            <w:shd w:val="clear" w:color="auto" w:fill="auto"/>
            <w:noWrap/>
            <w:vAlign w:val="center"/>
          </w:tcPr>
          <w:p w14:paraId="7F2329D2">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名称</w:t>
            </w:r>
          </w:p>
        </w:tc>
        <w:tc>
          <w:tcPr>
            <w:tcW w:w="1965" w:type="dxa"/>
            <w:shd w:val="clear" w:color="auto" w:fill="auto"/>
            <w:noWrap/>
            <w:vAlign w:val="center"/>
          </w:tcPr>
          <w:p w14:paraId="70E7A016">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参数名称</w:t>
            </w:r>
          </w:p>
        </w:tc>
        <w:tc>
          <w:tcPr>
            <w:tcW w:w="3016" w:type="dxa"/>
            <w:shd w:val="clear" w:color="auto" w:fill="auto"/>
            <w:noWrap/>
            <w:vAlign w:val="center"/>
          </w:tcPr>
          <w:p w14:paraId="72FA72DE">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技术参数和要求</w:t>
            </w:r>
          </w:p>
        </w:tc>
        <w:tc>
          <w:tcPr>
            <w:tcW w:w="1966" w:type="dxa"/>
            <w:shd w:val="clear" w:color="auto" w:fill="auto"/>
            <w:noWrap/>
            <w:vAlign w:val="center"/>
          </w:tcPr>
          <w:p w14:paraId="44FA3691">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响应</w:t>
            </w:r>
          </w:p>
        </w:tc>
      </w:tr>
      <w:tr w14:paraId="57E83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75" w:type="dxa"/>
            <w:vMerge w:val="restart"/>
            <w:shd w:val="clear" w:color="auto" w:fill="auto"/>
            <w:vAlign w:val="center"/>
          </w:tcPr>
          <w:p w14:paraId="180A3F52">
            <w:pPr>
              <w:jc w:val="center"/>
              <w:rPr>
                <w:rFonts w:hint="eastAsia" w:ascii="宋体" w:hAnsi="宋体" w:eastAsia="宋体" w:cs="宋体"/>
                <w:sz w:val="21"/>
                <w:szCs w:val="21"/>
              </w:rPr>
            </w:pPr>
            <w:r>
              <w:rPr>
                <w:rFonts w:hint="eastAsia" w:ascii="宋体" w:hAnsi="宋体" w:eastAsia="宋体" w:cs="宋体"/>
                <w:sz w:val="21"/>
                <w:szCs w:val="21"/>
              </w:rPr>
              <w:t>设备参数</w:t>
            </w:r>
          </w:p>
        </w:tc>
        <w:tc>
          <w:tcPr>
            <w:tcW w:w="1965" w:type="dxa"/>
            <w:shd w:val="clear" w:color="auto" w:fill="auto"/>
            <w:noWrap/>
            <w:vAlign w:val="center"/>
          </w:tcPr>
          <w:p w14:paraId="20B054AD">
            <w:pPr>
              <w:jc w:val="center"/>
              <w:rPr>
                <w:rFonts w:hint="eastAsia" w:ascii="宋体" w:hAnsi="宋体" w:eastAsia="宋体" w:cs="宋体"/>
                <w:sz w:val="21"/>
                <w:szCs w:val="21"/>
              </w:rPr>
            </w:pPr>
            <w:r>
              <w:rPr>
                <w:rFonts w:hint="eastAsia" w:ascii="宋体" w:hAnsi="宋体" w:eastAsia="宋体" w:cs="宋体"/>
                <w:sz w:val="21"/>
                <w:szCs w:val="21"/>
              </w:rPr>
              <w:t>设备品牌</w:t>
            </w:r>
          </w:p>
        </w:tc>
        <w:tc>
          <w:tcPr>
            <w:tcW w:w="3016" w:type="dxa"/>
            <w:shd w:val="clear" w:color="auto" w:fill="auto"/>
            <w:noWrap/>
            <w:vAlign w:val="center"/>
          </w:tcPr>
          <w:p w14:paraId="556C7B46">
            <w:pPr>
              <w:jc w:val="center"/>
              <w:rPr>
                <w:rFonts w:hint="eastAsia" w:ascii="宋体" w:hAnsi="宋体" w:eastAsia="宋体" w:cs="宋体"/>
                <w:sz w:val="21"/>
                <w:szCs w:val="21"/>
              </w:rPr>
            </w:pPr>
            <w:r>
              <w:rPr>
                <w:rFonts w:hint="eastAsia" w:ascii="宋体" w:hAnsi="宋体" w:eastAsia="宋体" w:cs="宋体"/>
                <w:sz w:val="21"/>
                <w:szCs w:val="21"/>
              </w:rPr>
              <w:t>速锐/隆链/北自科技</w:t>
            </w:r>
          </w:p>
        </w:tc>
        <w:tc>
          <w:tcPr>
            <w:tcW w:w="1966" w:type="dxa"/>
            <w:shd w:val="clear" w:color="auto" w:fill="auto"/>
            <w:noWrap/>
            <w:vAlign w:val="center"/>
          </w:tcPr>
          <w:p w14:paraId="3A8F4A99">
            <w:pPr>
              <w:jc w:val="center"/>
              <w:rPr>
                <w:rFonts w:hint="eastAsia" w:ascii="宋体" w:hAnsi="宋体" w:eastAsia="宋体" w:cs="宋体"/>
                <w:sz w:val="21"/>
                <w:szCs w:val="21"/>
              </w:rPr>
            </w:pPr>
          </w:p>
        </w:tc>
      </w:tr>
      <w:tr w14:paraId="6AFC9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75" w:type="dxa"/>
            <w:vMerge w:val="continue"/>
            <w:shd w:val="clear" w:color="auto" w:fill="auto"/>
            <w:vAlign w:val="center"/>
          </w:tcPr>
          <w:p w14:paraId="1E5BC819">
            <w:pPr>
              <w:jc w:val="center"/>
              <w:rPr>
                <w:rFonts w:hint="eastAsia" w:ascii="宋体" w:hAnsi="宋体" w:eastAsia="宋体" w:cs="宋体"/>
                <w:sz w:val="21"/>
                <w:szCs w:val="21"/>
              </w:rPr>
            </w:pPr>
          </w:p>
        </w:tc>
        <w:tc>
          <w:tcPr>
            <w:tcW w:w="1965" w:type="dxa"/>
            <w:shd w:val="clear" w:color="auto" w:fill="auto"/>
            <w:noWrap/>
            <w:vAlign w:val="center"/>
          </w:tcPr>
          <w:p w14:paraId="3BED3355">
            <w:pPr>
              <w:jc w:val="center"/>
              <w:rPr>
                <w:rFonts w:hint="eastAsia" w:ascii="宋体" w:hAnsi="宋体" w:eastAsia="宋体" w:cs="宋体"/>
                <w:sz w:val="21"/>
                <w:szCs w:val="21"/>
              </w:rPr>
            </w:pPr>
            <w:r>
              <w:rPr>
                <w:rFonts w:hint="eastAsia" w:ascii="宋体" w:hAnsi="宋体" w:eastAsia="宋体" w:cs="宋体"/>
                <w:sz w:val="21"/>
                <w:szCs w:val="21"/>
              </w:rPr>
              <w:t>设备载重</w:t>
            </w:r>
          </w:p>
        </w:tc>
        <w:tc>
          <w:tcPr>
            <w:tcW w:w="3016" w:type="dxa"/>
            <w:shd w:val="clear" w:color="auto" w:fill="auto"/>
            <w:noWrap/>
            <w:vAlign w:val="center"/>
          </w:tcPr>
          <w:p w14:paraId="21195C1F">
            <w:pPr>
              <w:jc w:val="center"/>
              <w:rPr>
                <w:rFonts w:hint="eastAsia" w:ascii="宋体" w:hAnsi="宋体" w:eastAsia="宋体" w:cs="宋体"/>
                <w:sz w:val="21"/>
                <w:szCs w:val="21"/>
              </w:rPr>
            </w:pPr>
            <w:r>
              <w:rPr>
                <w:rFonts w:hint="eastAsia" w:ascii="宋体" w:hAnsi="宋体" w:eastAsia="宋体" w:cs="宋体"/>
                <w:sz w:val="21"/>
                <w:szCs w:val="21"/>
              </w:rPr>
              <w:t>≥1000Kg</w:t>
            </w:r>
          </w:p>
        </w:tc>
        <w:tc>
          <w:tcPr>
            <w:tcW w:w="1966" w:type="dxa"/>
            <w:shd w:val="clear" w:color="auto" w:fill="auto"/>
            <w:noWrap/>
            <w:vAlign w:val="center"/>
          </w:tcPr>
          <w:p w14:paraId="742C4C52">
            <w:pPr>
              <w:jc w:val="center"/>
              <w:rPr>
                <w:rFonts w:hint="eastAsia" w:ascii="宋体" w:hAnsi="宋体" w:eastAsia="宋体" w:cs="宋体"/>
                <w:sz w:val="21"/>
                <w:szCs w:val="21"/>
              </w:rPr>
            </w:pPr>
          </w:p>
        </w:tc>
      </w:tr>
      <w:tr w14:paraId="2BAEE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75" w:type="dxa"/>
            <w:vMerge w:val="continue"/>
            <w:shd w:val="clear" w:color="auto" w:fill="auto"/>
            <w:vAlign w:val="center"/>
          </w:tcPr>
          <w:p w14:paraId="5F5F2B4F">
            <w:pPr>
              <w:jc w:val="center"/>
              <w:rPr>
                <w:rFonts w:hint="eastAsia" w:ascii="宋体" w:hAnsi="宋体" w:eastAsia="宋体" w:cs="宋体"/>
                <w:sz w:val="21"/>
                <w:szCs w:val="21"/>
              </w:rPr>
            </w:pPr>
          </w:p>
        </w:tc>
        <w:tc>
          <w:tcPr>
            <w:tcW w:w="1965" w:type="dxa"/>
            <w:shd w:val="clear" w:color="auto" w:fill="auto"/>
            <w:noWrap/>
            <w:vAlign w:val="center"/>
          </w:tcPr>
          <w:p w14:paraId="0B951E44">
            <w:pPr>
              <w:jc w:val="center"/>
              <w:rPr>
                <w:rFonts w:hint="eastAsia" w:ascii="宋体" w:hAnsi="宋体" w:eastAsia="宋体" w:cs="宋体"/>
                <w:sz w:val="21"/>
                <w:szCs w:val="21"/>
              </w:rPr>
            </w:pPr>
            <w:r>
              <w:rPr>
                <w:rFonts w:hint="eastAsia" w:ascii="宋体" w:hAnsi="宋体" w:eastAsia="宋体" w:cs="宋体"/>
                <w:sz w:val="21"/>
                <w:szCs w:val="21"/>
              </w:rPr>
              <w:t>控制方式</w:t>
            </w:r>
          </w:p>
        </w:tc>
        <w:tc>
          <w:tcPr>
            <w:tcW w:w="3016" w:type="dxa"/>
            <w:shd w:val="clear" w:color="auto" w:fill="auto"/>
            <w:noWrap/>
            <w:vAlign w:val="center"/>
          </w:tcPr>
          <w:p w14:paraId="5DD769FA">
            <w:pPr>
              <w:jc w:val="center"/>
              <w:rPr>
                <w:rFonts w:hint="eastAsia" w:ascii="宋体" w:hAnsi="宋体" w:eastAsia="宋体" w:cs="宋体"/>
                <w:sz w:val="21"/>
                <w:szCs w:val="21"/>
              </w:rPr>
            </w:pPr>
            <w:r>
              <w:rPr>
                <w:rFonts w:hint="eastAsia" w:ascii="宋体" w:hAnsi="宋体" w:eastAsia="宋体" w:cs="宋体"/>
                <w:sz w:val="21"/>
                <w:szCs w:val="21"/>
              </w:rPr>
              <w:t>自动/手动，PLC控制</w:t>
            </w:r>
          </w:p>
        </w:tc>
        <w:tc>
          <w:tcPr>
            <w:tcW w:w="1966" w:type="dxa"/>
            <w:shd w:val="clear" w:color="auto" w:fill="auto"/>
            <w:noWrap/>
            <w:vAlign w:val="center"/>
          </w:tcPr>
          <w:p w14:paraId="1A1F8ED7">
            <w:pPr>
              <w:jc w:val="center"/>
              <w:rPr>
                <w:rFonts w:hint="eastAsia" w:ascii="宋体" w:hAnsi="宋体" w:eastAsia="宋体" w:cs="宋体"/>
                <w:sz w:val="21"/>
                <w:szCs w:val="21"/>
              </w:rPr>
            </w:pPr>
          </w:p>
        </w:tc>
      </w:tr>
      <w:tr w14:paraId="79D51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75" w:type="dxa"/>
            <w:vMerge w:val="continue"/>
            <w:shd w:val="clear" w:color="auto" w:fill="auto"/>
            <w:vAlign w:val="center"/>
          </w:tcPr>
          <w:p w14:paraId="343F9B7D">
            <w:pPr>
              <w:jc w:val="center"/>
              <w:rPr>
                <w:rFonts w:hint="eastAsia" w:ascii="宋体" w:hAnsi="宋体" w:eastAsia="宋体" w:cs="宋体"/>
                <w:sz w:val="21"/>
                <w:szCs w:val="21"/>
              </w:rPr>
            </w:pPr>
          </w:p>
        </w:tc>
        <w:tc>
          <w:tcPr>
            <w:tcW w:w="1965" w:type="dxa"/>
            <w:shd w:val="clear" w:color="auto" w:fill="auto"/>
            <w:noWrap/>
            <w:vAlign w:val="center"/>
          </w:tcPr>
          <w:p w14:paraId="374321D8">
            <w:pPr>
              <w:jc w:val="center"/>
              <w:rPr>
                <w:rFonts w:hint="eastAsia" w:ascii="宋体" w:hAnsi="宋体" w:eastAsia="宋体" w:cs="宋体"/>
                <w:sz w:val="21"/>
                <w:szCs w:val="21"/>
              </w:rPr>
            </w:pPr>
            <w:r>
              <w:rPr>
                <w:rFonts w:hint="eastAsia" w:ascii="宋体" w:hAnsi="宋体" w:eastAsia="宋体" w:cs="宋体"/>
                <w:sz w:val="21"/>
                <w:szCs w:val="21"/>
              </w:rPr>
              <w:t>通讯方式</w:t>
            </w:r>
          </w:p>
        </w:tc>
        <w:tc>
          <w:tcPr>
            <w:tcW w:w="3016" w:type="dxa"/>
            <w:shd w:val="clear" w:color="auto" w:fill="auto"/>
            <w:noWrap/>
            <w:vAlign w:val="center"/>
          </w:tcPr>
          <w:p w14:paraId="66BA13B3">
            <w:pPr>
              <w:jc w:val="center"/>
              <w:rPr>
                <w:rFonts w:hint="eastAsia" w:ascii="宋体" w:hAnsi="宋体" w:eastAsia="宋体" w:cs="宋体"/>
                <w:sz w:val="21"/>
                <w:szCs w:val="21"/>
              </w:rPr>
            </w:pPr>
            <w:r>
              <w:rPr>
                <w:rFonts w:hint="eastAsia" w:ascii="宋体" w:hAnsi="宋体" w:eastAsia="宋体" w:cs="宋体"/>
                <w:sz w:val="21"/>
                <w:szCs w:val="21"/>
              </w:rPr>
              <w:t>WIFI</w:t>
            </w:r>
          </w:p>
        </w:tc>
        <w:tc>
          <w:tcPr>
            <w:tcW w:w="1966" w:type="dxa"/>
            <w:shd w:val="clear" w:color="auto" w:fill="auto"/>
            <w:noWrap/>
            <w:vAlign w:val="center"/>
          </w:tcPr>
          <w:p w14:paraId="65DE70A1">
            <w:pPr>
              <w:jc w:val="center"/>
              <w:rPr>
                <w:rFonts w:hint="eastAsia" w:ascii="宋体" w:hAnsi="宋体" w:eastAsia="宋体" w:cs="宋体"/>
                <w:sz w:val="21"/>
                <w:szCs w:val="21"/>
              </w:rPr>
            </w:pPr>
          </w:p>
        </w:tc>
      </w:tr>
      <w:tr w14:paraId="0EF64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75" w:type="dxa"/>
            <w:vMerge w:val="restart"/>
            <w:shd w:val="clear" w:color="auto" w:fill="auto"/>
            <w:noWrap/>
            <w:vAlign w:val="center"/>
          </w:tcPr>
          <w:p w14:paraId="00E103E9">
            <w:pPr>
              <w:jc w:val="center"/>
              <w:rPr>
                <w:rFonts w:hint="eastAsia" w:ascii="宋体" w:hAnsi="宋体" w:eastAsia="宋体" w:cs="宋体"/>
                <w:sz w:val="21"/>
                <w:szCs w:val="21"/>
              </w:rPr>
            </w:pPr>
            <w:r>
              <w:rPr>
                <w:rFonts w:hint="eastAsia" w:ascii="宋体" w:hAnsi="宋体" w:eastAsia="宋体" w:cs="宋体"/>
                <w:sz w:val="21"/>
                <w:szCs w:val="21"/>
              </w:rPr>
              <w:t>行走参数</w:t>
            </w:r>
          </w:p>
        </w:tc>
        <w:tc>
          <w:tcPr>
            <w:tcW w:w="1965" w:type="dxa"/>
            <w:shd w:val="clear" w:color="auto" w:fill="auto"/>
            <w:noWrap/>
            <w:vAlign w:val="center"/>
          </w:tcPr>
          <w:p w14:paraId="2A2F79B3">
            <w:pPr>
              <w:jc w:val="center"/>
              <w:rPr>
                <w:rFonts w:hint="eastAsia" w:ascii="宋体" w:hAnsi="宋体" w:eastAsia="宋体" w:cs="宋体"/>
                <w:sz w:val="21"/>
                <w:szCs w:val="21"/>
              </w:rPr>
            </w:pPr>
            <w:r>
              <w:rPr>
                <w:rFonts w:hint="eastAsia" w:ascii="宋体" w:hAnsi="宋体" w:eastAsia="宋体" w:cs="宋体"/>
                <w:sz w:val="21"/>
                <w:szCs w:val="21"/>
              </w:rPr>
              <w:t>驱动系统</w:t>
            </w:r>
          </w:p>
        </w:tc>
        <w:tc>
          <w:tcPr>
            <w:tcW w:w="3016" w:type="dxa"/>
            <w:shd w:val="clear" w:color="auto" w:fill="auto"/>
            <w:noWrap/>
            <w:vAlign w:val="center"/>
          </w:tcPr>
          <w:p w14:paraId="3E8CAD07">
            <w:pPr>
              <w:jc w:val="center"/>
              <w:rPr>
                <w:rFonts w:hint="eastAsia" w:ascii="宋体" w:hAnsi="宋体" w:eastAsia="宋体" w:cs="宋体"/>
                <w:sz w:val="21"/>
                <w:szCs w:val="21"/>
              </w:rPr>
            </w:pPr>
            <w:r>
              <w:rPr>
                <w:rFonts w:hint="eastAsia" w:ascii="宋体" w:hAnsi="宋体" w:eastAsia="宋体" w:cs="宋体"/>
                <w:sz w:val="21"/>
                <w:szCs w:val="21"/>
              </w:rPr>
              <w:t>伺服电机驱动</w:t>
            </w:r>
          </w:p>
        </w:tc>
        <w:tc>
          <w:tcPr>
            <w:tcW w:w="1966" w:type="dxa"/>
            <w:shd w:val="clear" w:color="auto" w:fill="auto"/>
            <w:noWrap/>
            <w:vAlign w:val="center"/>
          </w:tcPr>
          <w:p w14:paraId="479B6224">
            <w:pPr>
              <w:jc w:val="center"/>
              <w:rPr>
                <w:rFonts w:hint="eastAsia" w:ascii="宋体" w:hAnsi="宋体" w:eastAsia="宋体" w:cs="宋体"/>
                <w:sz w:val="21"/>
                <w:szCs w:val="21"/>
              </w:rPr>
            </w:pPr>
          </w:p>
        </w:tc>
      </w:tr>
      <w:tr w14:paraId="4919C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75" w:type="dxa"/>
            <w:vMerge w:val="continue"/>
            <w:shd w:val="clear" w:color="auto" w:fill="auto"/>
            <w:vAlign w:val="center"/>
          </w:tcPr>
          <w:p w14:paraId="6A4B105D">
            <w:pPr>
              <w:jc w:val="center"/>
              <w:rPr>
                <w:rFonts w:hint="eastAsia" w:ascii="宋体" w:hAnsi="宋体" w:eastAsia="宋体" w:cs="宋体"/>
                <w:sz w:val="21"/>
                <w:szCs w:val="21"/>
              </w:rPr>
            </w:pPr>
          </w:p>
        </w:tc>
        <w:tc>
          <w:tcPr>
            <w:tcW w:w="1965" w:type="dxa"/>
            <w:shd w:val="clear" w:color="auto" w:fill="auto"/>
            <w:noWrap/>
            <w:vAlign w:val="center"/>
          </w:tcPr>
          <w:p w14:paraId="1009A12F">
            <w:pPr>
              <w:jc w:val="center"/>
              <w:rPr>
                <w:rFonts w:hint="eastAsia" w:ascii="宋体" w:hAnsi="宋体" w:eastAsia="宋体" w:cs="宋体"/>
                <w:sz w:val="21"/>
                <w:szCs w:val="21"/>
              </w:rPr>
            </w:pPr>
            <w:r>
              <w:rPr>
                <w:rFonts w:hint="eastAsia" w:ascii="宋体" w:hAnsi="宋体" w:eastAsia="宋体" w:cs="宋体"/>
                <w:sz w:val="21"/>
                <w:szCs w:val="21"/>
              </w:rPr>
              <w:t>空载速度</w:t>
            </w:r>
          </w:p>
        </w:tc>
        <w:tc>
          <w:tcPr>
            <w:tcW w:w="3016" w:type="dxa"/>
            <w:shd w:val="clear" w:color="auto" w:fill="auto"/>
            <w:noWrap/>
            <w:vAlign w:val="center"/>
          </w:tcPr>
          <w:p w14:paraId="11226119">
            <w:pPr>
              <w:jc w:val="center"/>
              <w:rPr>
                <w:rFonts w:hint="eastAsia" w:ascii="宋体" w:hAnsi="宋体" w:eastAsia="宋体" w:cs="宋体"/>
                <w:sz w:val="21"/>
                <w:szCs w:val="21"/>
              </w:rPr>
            </w:pPr>
            <w:r>
              <w:rPr>
                <w:rFonts w:hint="eastAsia" w:ascii="宋体" w:hAnsi="宋体" w:eastAsia="宋体" w:cs="宋体"/>
                <w:sz w:val="21"/>
                <w:szCs w:val="21"/>
              </w:rPr>
              <w:t>≥1.5m/s</w:t>
            </w:r>
          </w:p>
        </w:tc>
        <w:tc>
          <w:tcPr>
            <w:tcW w:w="1966" w:type="dxa"/>
            <w:shd w:val="clear" w:color="auto" w:fill="auto"/>
            <w:noWrap/>
            <w:vAlign w:val="center"/>
          </w:tcPr>
          <w:p w14:paraId="12E94431">
            <w:pPr>
              <w:jc w:val="center"/>
              <w:rPr>
                <w:rFonts w:hint="eastAsia" w:ascii="宋体" w:hAnsi="宋体" w:eastAsia="宋体" w:cs="宋体"/>
                <w:sz w:val="21"/>
                <w:szCs w:val="21"/>
              </w:rPr>
            </w:pPr>
          </w:p>
        </w:tc>
      </w:tr>
      <w:tr w14:paraId="3EFDA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75" w:type="dxa"/>
            <w:vMerge w:val="continue"/>
            <w:shd w:val="clear" w:color="auto" w:fill="auto"/>
            <w:vAlign w:val="center"/>
          </w:tcPr>
          <w:p w14:paraId="44F695C8">
            <w:pPr>
              <w:jc w:val="center"/>
              <w:rPr>
                <w:rFonts w:hint="eastAsia" w:ascii="宋体" w:hAnsi="宋体" w:eastAsia="宋体" w:cs="宋体"/>
                <w:sz w:val="21"/>
                <w:szCs w:val="21"/>
              </w:rPr>
            </w:pPr>
          </w:p>
        </w:tc>
        <w:tc>
          <w:tcPr>
            <w:tcW w:w="1965" w:type="dxa"/>
            <w:shd w:val="clear" w:color="auto" w:fill="auto"/>
            <w:noWrap/>
            <w:vAlign w:val="center"/>
          </w:tcPr>
          <w:p w14:paraId="7F3848DD">
            <w:pPr>
              <w:jc w:val="center"/>
              <w:rPr>
                <w:rFonts w:hint="eastAsia" w:ascii="宋体" w:hAnsi="宋体" w:eastAsia="宋体" w:cs="宋体"/>
                <w:sz w:val="21"/>
                <w:szCs w:val="21"/>
              </w:rPr>
            </w:pPr>
            <w:r>
              <w:rPr>
                <w:rFonts w:hint="eastAsia" w:ascii="宋体" w:hAnsi="宋体" w:eastAsia="宋体" w:cs="宋体"/>
                <w:sz w:val="21"/>
                <w:szCs w:val="21"/>
              </w:rPr>
              <w:t>满载速度</w:t>
            </w:r>
          </w:p>
        </w:tc>
        <w:tc>
          <w:tcPr>
            <w:tcW w:w="3016" w:type="dxa"/>
            <w:shd w:val="clear" w:color="auto" w:fill="auto"/>
            <w:noWrap/>
            <w:vAlign w:val="center"/>
          </w:tcPr>
          <w:p w14:paraId="288F62C6">
            <w:pPr>
              <w:jc w:val="center"/>
              <w:rPr>
                <w:rFonts w:hint="eastAsia" w:ascii="宋体" w:hAnsi="宋体" w:eastAsia="宋体" w:cs="宋体"/>
                <w:sz w:val="21"/>
                <w:szCs w:val="21"/>
              </w:rPr>
            </w:pPr>
            <w:r>
              <w:rPr>
                <w:rFonts w:hint="eastAsia" w:ascii="宋体" w:hAnsi="宋体" w:eastAsia="宋体" w:cs="宋体"/>
                <w:sz w:val="21"/>
                <w:szCs w:val="21"/>
              </w:rPr>
              <w:t>≥1m/s</w:t>
            </w:r>
          </w:p>
        </w:tc>
        <w:tc>
          <w:tcPr>
            <w:tcW w:w="1966" w:type="dxa"/>
            <w:shd w:val="clear" w:color="auto" w:fill="auto"/>
            <w:noWrap/>
            <w:vAlign w:val="center"/>
          </w:tcPr>
          <w:p w14:paraId="21AD6653">
            <w:pPr>
              <w:jc w:val="center"/>
              <w:rPr>
                <w:rFonts w:hint="eastAsia" w:ascii="宋体" w:hAnsi="宋体" w:eastAsia="宋体" w:cs="宋体"/>
                <w:sz w:val="21"/>
                <w:szCs w:val="21"/>
              </w:rPr>
            </w:pPr>
          </w:p>
        </w:tc>
      </w:tr>
      <w:tr w14:paraId="51C7A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75" w:type="dxa"/>
            <w:vMerge w:val="continue"/>
            <w:shd w:val="clear" w:color="auto" w:fill="auto"/>
            <w:vAlign w:val="center"/>
          </w:tcPr>
          <w:p w14:paraId="3935DE30">
            <w:pPr>
              <w:jc w:val="center"/>
              <w:rPr>
                <w:rFonts w:hint="eastAsia" w:ascii="宋体" w:hAnsi="宋体" w:eastAsia="宋体" w:cs="宋体"/>
                <w:sz w:val="21"/>
                <w:szCs w:val="21"/>
              </w:rPr>
            </w:pPr>
          </w:p>
        </w:tc>
        <w:tc>
          <w:tcPr>
            <w:tcW w:w="1965" w:type="dxa"/>
            <w:shd w:val="clear" w:color="auto" w:fill="auto"/>
            <w:noWrap/>
            <w:vAlign w:val="center"/>
          </w:tcPr>
          <w:p w14:paraId="575F3F65">
            <w:pPr>
              <w:jc w:val="center"/>
              <w:rPr>
                <w:rFonts w:hint="eastAsia" w:ascii="宋体" w:hAnsi="宋体" w:eastAsia="宋体" w:cs="宋体"/>
                <w:sz w:val="21"/>
                <w:szCs w:val="21"/>
              </w:rPr>
            </w:pPr>
            <w:r>
              <w:rPr>
                <w:rFonts w:hint="eastAsia" w:ascii="宋体" w:hAnsi="宋体" w:eastAsia="宋体" w:cs="宋体"/>
                <w:sz w:val="21"/>
                <w:szCs w:val="21"/>
              </w:rPr>
              <w:t>空载加速度</w:t>
            </w:r>
          </w:p>
        </w:tc>
        <w:tc>
          <w:tcPr>
            <w:tcW w:w="3016" w:type="dxa"/>
            <w:shd w:val="clear" w:color="auto" w:fill="auto"/>
            <w:noWrap/>
            <w:vAlign w:val="center"/>
          </w:tcPr>
          <w:p w14:paraId="55E752FA">
            <w:pPr>
              <w:jc w:val="center"/>
              <w:rPr>
                <w:rFonts w:hint="eastAsia" w:ascii="宋体" w:hAnsi="宋体" w:eastAsia="宋体" w:cs="宋体"/>
                <w:sz w:val="21"/>
                <w:szCs w:val="21"/>
              </w:rPr>
            </w:pPr>
            <w:r>
              <w:rPr>
                <w:rFonts w:hint="eastAsia" w:ascii="宋体" w:hAnsi="宋体" w:eastAsia="宋体" w:cs="宋体"/>
                <w:sz w:val="21"/>
                <w:szCs w:val="21"/>
              </w:rPr>
              <w:t>≥0.5m/s²</w:t>
            </w:r>
          </w:p>
        </w:tc>
        <w:tc>
          <w:tcPr>
            <w:tcW w:w="1966" w:type="dxa"/>
            <w:shd w:val="clear" w:color="auto" w:fill="auto"/>
            <w:noWrap/>
            <w:vAlign w:val="center"/>
          </w:tcPr>
          <w:p w14:paraId="69FC2BBF">
            <w:pPr>
              <w:jc w:val="center"/>
              <w:rPr>
                <w:rFonts w:hint="eastAsia" w:ascii="宋体" w:hAnsi="宋体" w:eastAsia="宋体" w:cs="宋体"/>
                <w:sz w:val="21"/>
                <w:szCs w:val="21"/>
              </w:rPr>
            </w:pPr>
          </w:p>
        </w:tc>
      </w:tr>
      <w:tr w14:paraId="2635C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75" w:type="dxa"/>
            <w:vMerge w:val="continue"/>
            <w:shd w:val="clear" w:color="auto" w:fill="auto"/>
            <w:vAlign w:val="center"/>
          </w:tcPr>
          <w:p w14:paraId="4A9E2D26">
            <w:pPr>
              <w:jc w:val="center"/>
              <w:rPr>
                <w:rFonts w:hint="eastAsia" w:ascii="宋体" w:hAnsi="宋体" w:eastAsia="宋体" w:cs="宋体"/>
                <w:sz w:val="21"/>
                <w:szCs w:val="21"/>
              </w:rPr>
            </w:pPr>
          </w:p>
        </w:tc>
        <w:tc>
          <w:tcPr>
            <w:tcW w:w="1965" w:type="dxa"/>
            <w:shd w:val="clear" w:color="auto" w:fill="auto"/>
            <w:noWrap/>
            <w:vAlign w:val="center"/>
          </w:tcPr>
          <w:p w14:paraId="790DB092">
            <w:pPr>
              <w:jc w:val="center"/>
              <w:rPr>
                <w:rFonts w:hint="eastAsia" w:ascii="宋体" w:hAnsi="宋体" w:eastAsia="宋体" w:cs="宋体"/>
                <w:sz w:val="21"/>
                <w:szCs w:val="21"/>
              </w:rPr>
            </w:pPr>
            <w:r>
              <w:rPr>
                <w:rFonts w:hint="eastAsia" w:ascii="宋体" w:hAnsi="宋体" w:eastAsia="宋体" w:cs="宋体"/>
                <w:sz w:val="21"/>
                <w:szCs w:val="21"/>
              </w:rPr>
              <w:t>满载加速度</w:t>
            </w:r>
          </w:p>
        </w:tc>
        <w:tc>
          <w:tcPr>
            <w:tcW w:w="3016" w:type="dxa"/>
            <w:shd w:val="clear" w:color="auto" w:fill="auto"/>
            <w:noWrap/>
            <w:vAlign w:val="center"/>
          </w:tcPr>
          <w:p w14:paraId="147485F0">
            <w:pPr>
              <w:jc w:val="center"/>
              <w:rPr>
                <w:rFonts w:hint="eastAsia" w:ascii="宋体" w:hAnsi="宋体" w:eastAsia="宋体" w:cs="宋体"/>
                <w:sz w:val="21"/>
                <w:szCs w:val="21"/>
              </w:rPr>
            </w:pPr>
            <w:r>
              <w:rPr>
                <w:rFonts w:hint="eastAsia" w:ascii="宋体" w:hAnsi="宋体" w:eastAsia="宋体" w:cs="宋体"/>
                <w:sz w:val="21"/>
                <w:szCs w:val="21"/>
              </w:rPr>
              <w:t>≥0.3m/s²</w:t>
            </w:r>
          </w:p>
        </w:tc>
        <w:tc>
          <w:tcPr>
            <w:tcW w:w="1966" w:type="dxa"/>
            <w:shd w:val="clear" w:color="auto" w:fill="auto"/>
            <w:noWrap/>
            <w:vAlign w:val="center"/>
          </w:tcPr>
          <w:p w14:paraId="5962F624">
            <w:pPr>
              <w:jc w:val="center"/>
              <w:rPr>
                <w:rFonts w:hint="eastAsia" w:ascii="宋体" w:hAnsi="宋体" w:eastAsia="宋体" w:cs="宋体"/>
                <w:sz w:val="21"/>
                <w:szCs w:val="21"/>
              </w:rPr>
            </w:pPr>
          </w:p>
        </w:tc>
      </w:tr>
      <w:tr w14:paraId="24B34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75" w:type="dxa"/>
            <w:vMerge w:val="continue"/>
            <w:shd w:val="clear" w:color="auto" w:fill="auto"/>
            <w:vAlign w:val="center"/>
          </w:tcPr>
          <w:p w14:paraId="7136064F">
            <w:pPr>
              <w:jc w:val="center"/>
              <w:rPr>
                <w:rFonts w:hint="eastAsia" w:ascii="宋体" w:hAnsi="宋体" w:eastAsia="宋体" w:cs="宋体"/>
                <w:sz w:val="21"/>
                <w:szCs w:val="21"/>
              </w:rPr>
            </w:pPr>
          </w:p>
        </w:tc>
        <w:tc>
          <w:tcPr>
            <w:tcW w:w="1965" w:type="dxa"/>
            <w:shd w:val="clear" w:color="auto" w:fill="auto"/>
            <w:noWrap/>
            <w:vAlign w:val="center"/>
          </w:tcPr>
          <w:p w14:paraId="33F82578">
            <w:pPr>
              <w:jc w:val="center"/>
              <w:rPr>
                <w:rFonts w:hint="eastAsia" w:ascii="宋体" w:hAnsi="宋体" w:eastAsia="宋体" w:cs="宋体"/>
                <w:sz w:val="21"/>
                <w:szCs w:val="21"/>
              </w:rPr>
            </w:pPr>
            <w:r>
              <w:rPr>
                <w:rFonts w:hint="eastAsia" w:ascii="宋体" w:hAnsi="宋体" w:eastAsia="宋体" w:cs="宋体"/>
                <w:sz w:val="21"/>
                <w:szCs w:val="21"/>
              </w:rPr>
              <w:t>定位精度</w:t>
            </w:r>
          </w:p>
        </w:tc>
        <w:tc>
          <w:tcPr>
            <w:tcW w:w="3016" w:type="dxa"/>
            <w:shd w:val="clear" w:color="auto" w:fill="auto"/>
            <w:noWrap/>
            <w:vAlign w:val="center"/>
          </w:tcPr>
          <w:p w14:paraId="7F3B1299">
            <w:pPr>
              <w:jc w:val="center"/>
              <w:rPr>
                <w:rFonts w:hint="eastAsia" w:ascii="宋体" w:hAnsi="宋体" w:eastAsia="宋体" w:cs="宋体"/>
                <w:sz w:val="21"/>
                <w:szCs w:val="21"/>
              </w:rPr>
            </w:pPr>
            <w:r>
              <w:rPr>
                <w:rFonts w:hint="eastAsia" w:ascii="宋体" w:hAnsi="宋体" w:eastAsia="宋体" w:cs="宋体"/>
                <w:sz w:val="21"/>
                <w:szCs w:val="21"/>
              </w:rPr>
              <w:t>≤±2mm</w:t>
            </w:r>
          </w:p>
        </w:tc>
        <w:tc>
          <w:tcPr>
            <w:tcW w:w="1966" w:type="dxa"/>
            <w:shd w:val="clear" w:color="auto" w:fill="auto"/>
            <w:noWrap/>
            <w:vAlign w:val="center"/>
          </w:tcPr>
          <w:p w14:paraId="27CC1F9F">
            <w:pPr>
              <w:jc w:val="center"/>
              <w:rPr>
                <w:rFonts w:hint="eastAsia" w:ascii="宋体" w:hAnsi="宋体" w:eastAsia="宋体" w:cs="宋体"/>
                <w:sz w:val="21"/>
                <w:szCs w:val="21"/>
              </w:rPr>
            </w:pPr>
          </w:p>
        </w:tc>
      </w:tr>
      <w:tr w14:paraId="678B0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75" w:type="dxa"/>
            <w:vMerge w:val="restart"/>
            <w:shd w:val="clear" w:color="auto" w:fill="auto"/>
            <w:vAlign w:val="center"/>
          </w:tcPr>
          <w:p w14:paraId="0A8C73AA">
            <w:pPr>
              <w:jc w:val="center"/>
              <w:rPr>
                <w:rFonts w:hint="eastAsia" w:ascii="宋体" w:hAnsi="宋体" w:eastAsia="宋体" w:cs="宋体"/>
                <w:sz w:val="21"/>
                <w:szCs w:val="21"/>
              </w:rPr>
            </w:pPr>
            <w:r>
              <w:rPr>
                <w:rFonts w:hint="eastAsia" w:ascii="宋体" w:hAnsi="宋体" w:eastAsia="宋体" w:cs="宋体"/>
                <w:sz w:val="21"/>
                <w:szCs w:val="21"/>
              </w:rPr>
              <w:t>顶升/换向参数</w:t>
            </w:r>
          </w:p>
        </w:tc>
        <w:tc>
          <w:tcPr>
            <w:tcW w:w="1965" w:type="dxa"/>
            <w:shd w:val="clear" w:color="auto" w:fill="auto"/>
            <w:noWrap/>
            <w:vAlign w:val="center"/>
          </w:tcPr>
          <w:p w14:paraId="162203AF">
            <w:pPr>
              <w:jc w:val="center"/>
              <w:rPr>
                <w:rFonts w:hint="eastAsia" w:ascii="宋体" w:hAnsi="宋体" w:eastAsia="宋体" w:cs="宋体"/>
                <w:sz w:val="21"/>
                <w:szCs w:val="21"/>
              </w:rPr>
            </w:pPr>
            <w:r>
              <w:rPr>
                <w:rFonts w:hint="eastAsia" w:ascii="宋体" w:hAnsi="宋体" w:eastAsia="宋体" w:cs="宋体"/>
                <w:sz w:val="21"/>
                <w:szCs w:val="21"/>
              </w:rPr>
              <w:t>驱动系统</w:t>
            </w:r>
          </w:p>
        </w:tc>
        <w:tc>
          <w:tcPr>
            <w:tcW w:w="3016" w:type="dxa"/>
            <w:shd w:val="clear" w:color="auto" w:fill="auto"/>
            <w:noWrap/>
            <w:vAlign w:val="center"/>
          </w:tcPr>
          <w:p w14:paraId="49620D54">
            <w:pPr>
              <w:jc w:val="center"/>
              <w:rPr>
                <w:rFonts w:hint="eastAsia" w:ascii="宋体" w:hAnsi="宋体" w:eastAsia="宋体" w:cs="宋体"/>
                <w:sz w:val="21"/>
                <w:szCs w:val="21"/>
              </w:rPr>
            </w:pPr>
            <w:r>
              <w:rPr>
                <w:rFonts w:hint="eastAsia" w:ascii="宋体" w:hAnsi="宋体" w:eastAsia="宋体" w:cs="宋体"/>
                <w:sz w:val="21"/>
                <w:szCs w:val="21"/>
              </w:rPr>
              <w:t>伺服电机驱动</w:t>
            </w:r>
          </w:p>
        </w:tc>
        <w:tc>
          <w:tcPr>
            <w:tcW w:w="1966" w:type="dxa"/>
            <w:shd w:val="clear" w:color="auto" w:fill="auto"/>
            <w:noWrap/>
            <w:vAlign w:val="center"/>
          </w:tcPr>
          <w:p w14:paraId="1D2938E2">
            <w:pPr>
              <w:jc w:val="center"/>
              <w:rPr>
                <w:rFonts w:hint="eastAsia" w:ascii="宋体" w:hAnsi="宋体" w:eastAsia="宋体" w:cs="宋体"/>
                <w:sz w:val="21"/>
                <w:szCs w:val="21"/>
              </w:rPr>
            </w:pPr>
          </w:p>
        </w:tc>
      </w:tr>
      <w:tr w14:paraId="335C6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75" w:type="dxa"/>
            <w:vMerge w:val="continue"/>
            <w:shd w:val="clear" w:color="auto" w:fill="auto"/>
            <w:vAlign w:val="center"/>
          </w:tcPr>
          <w:p w14:paraId="6B79DDF3">
            <w:pPr>
              <w:jc w:val="center"/>
              <w:rPr>
                <w:rFonts w:hint="eastAsia" w:ascii="宋体" w:hAnsi="宋体" w:eastAsia="宋体" w:cs="宋体"/>
                <w:sz w:val="21"/>
                <w:szCs w:val="21"/>
              </w:rPr>
            </w:pPr>
          </w:p>
        </w:tc>
        <w:tc>
          <w:tcPr>
            <w:tcW w:w="1965" w:type="dxa"/>
            <w:shd w:val="clear" w:color="auto" w:fill="auto"/>
            <w:noWrap/>
            <w:vAlign w:val="center"/>
          </w:tcPr>
          <w:p w14:paraId="585A02E7">
            <w:pPr>
              <w:jc w:val="center"/>
              <w:rPr>
                <w:rFonts w:hint="eastAsia" w:ascii="宋体" w:hAnsi="宋体" w:eastAsia="宋体" w:cs="宋体"/>
                <w:sz w:val="21"/>
                <w:szCs w:val="21"/>
              </w:rPr>
            </w:pPr>
            <w:r>
              <w:rPr>
                <w:rFonts w:hint="eastAsia" w:ascii="宋体" w:hAnsi="宋体" w:eastAsia="宋体" w:cs="宋体"/>
                <w:sz w:val="21"/>
                <w:szCs w:val="21"/>
              </w:rPr>
              <w:t>顶升方式</w:t>
            </w:r>
          </w:p>
        </w:tc>
        <w:tc>
          <w:tcPr>
            <w:tcW w:w="3016" w:type="dxa"/>
            <w:shd w:val="clear" w:color="auto" w:fill="auto"/>
            <w:noWrap/>
            <w:vAlign w:val="center"/>
          </w:tcPr>
          <w:p w14:paraId="2390D0EB">
            <w:pPr>
              <w:jc w:val="center"/>
              <w:rPr>
                <w:rFonts w:hint="eastAsia" w:ascii="宋体" w:hAnsi="宋体" w:eastAsia="宋体" w:cs="宋体"/>
                <w:sz w:val="21"/>
                <w:szCs w:val="21"/>
              </w:rPr>
            </w:pPr>
            <w:r>
              <w:rPr>
                <w:rFonts w:hint="eastAsia" w:ascii="宋体" w:hAnsi="宋体" w:eastAsia="宋体" w:cs="宋体"/>
                <w:sz w:val="21"/>
                <w:szCs w:val="21"/>
              </w:rPr>
              <w:t>机械顶升，无漏油问题</w:t>
            </w:r>
          </w:p>
        </w:tc>
        <w:tc>
          <w:tcPr>
            <w:tcW w:w="1966" w:type="dxa"/>
            <w:shd w:val="clear" w:color="auto" w:fill="auto"/>
            <w:noWrap/>
            <w:vAlign w:val="center"/>
          </w:tcPr>
          <w:p w14:paraId="3D5480E4">
            <w:pPr>
              <w:jc w:val="center"/>
              <w:rPr>
                <w:rFonts w:hint="eastAsia" w:ascii="宋体" w:hAnsi="宋体" w:eastAsia="宋体" w:cs="宋体"/>
                <w:sz w:val="21"/>
                <w:szCs w:val="21"/>
              </w:rPr>
            </w:pPr>
          </w:p>
        </w:tc>
      </w:tr>
      <w:tr w14:paraId="77147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75" w:type="dxa"/>
            <w:vMerge w:val="continue"/>
            <w:shd w:val="clear" w:color="auto" w:fill="auto"/>
            <w:vAlign w:val="center"/>
          </w:tcPr>
          <w:p w14:paraId="2CBB9AF6">
            <w:pPr>
              <w:jc w:val="center"/>
              <w:rPr>
                <w:rFonts w:hint="eastAsia" w:ascii="宋体" w:hAnsi="宋体" w:eastAsia="宋体" w:cs="宋体"/>
                <w:sz w:val="21"/>
                <w:szCs w:val="21"/>
              </w:rPr>
            </w:pPr>
          </w:p>
        </w:tc>
        <w:tc>
          <w:tcPr>
            <w:tcW w:w="1965" w:type="dxa"/>
            <w:shd w:val="clear" w:color="auto" w:fill="auto"/>
            <w:noWrap/>
            <w:vAlign w:val="center"/>
          </w:tcPr>
          <w:p w14:paraId="02437DE1">
            <w:pPr>
              <w:jc w:val="center"/>
              <w:rPr>
                <w:rFonts w:hint="eastAsia" w:ascii="宋体" w:hAnsi="宋体" w:eastAsia="宋体" w:cs="宋体"/>
                <w:sz w:val="21"/>
                <w:szCs w:val="21"/>
              </w:rPr>
            </w:pPr>
            <w:r>
              <w:rPr>
                <w:rFonts w:hint="eastAsia" w:ascii="宋体" w:hAnsi="宋体" w:eastAsia="宋体" w:cs="宋体"/>
                <w:sz w:val="21"/>
                <w:szCs w:val="21"/>
              </w:rPr>
              <w:t>顶升行程</w:t>
            </w:r>
          </w:p>
        </w:tc>
        <w:tc>
          <w:tcPr>
            <w:tcW w:w="3016" w:type="dxa"/>
            <w:shd w:val="clear" w:color="auto" w:fill="auto"/>
            <w:noWrap/>
            <w:vAlign w:val="center"/>
          </w:tcPr>
          <w:p w14:paraId="7AF164EE">
            <w:pPr>
              <w:jc w:val="center"/>
              <w:rPr>
                <w:rFonts w:hint="eastAsia" w:ascii="宋体" w:hAnsi="宋体" w:eastAsia="宋体" w:cs="宋体"/>
                <w:sz w:val="21"/>
                <w:szCs w:val="21"/>
              </w:rPr>
            </w:pPr>
            <w:r>
              <w:rPr>
                <w:rFonts w:hint="eastAsia" w:ascii="宋体" w:hAnsi="宋体" w:eastAsia="宋体" w:cs="宋体"/>
                <w:sz w:val="21"/>
                <w:szCs w:val="21"/>
              </w:rPr>
              <w:t>≥40mm</w:t>
            </w:r>
          </w:p>
        </w:tc>
        <w:tc>
          <w:tcPr>
            <w:tcW w:w="1966" w:type="dxa"/>
            <w:shd w:val="clear" w:color="auto" w:fill="auto"/>
            <w:noWrap/>
            <w:vAlign w:val="center"/>
          </w:tcPr>
          <w:p w14:paraId="033157B9">
            <w:pPr>
              <w:jc w:val="center"/>
              <w:rPr>
                <w:rFonts w:hint="eastAsia" w:ascii="宋体" w:hAnsi="宋体" w:eastAsia="宋体" w:cs="宋体"/>
                <w:sz w:val="21"/>
                <w:szCs w:val="21"/>
              </w:rPr>
            </w:pPr>
          </w:p>
        </w:tc>
      </w:tr>
      <w:tr w14:paraId="0C615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75" w:type="dxa"/>
            <w:vMerge w:val="continue"/>
            <w:shd w:val="clear" w:color="auto" w:fill="auto"/>
            <w:vAlign w:val="center"/>
          </w:tcPr>
          <w:p w14:paraId="711CFAFF">
            <w:pPr>
              <w:jc w:val="center"/>
              <w:rPr>
                <w:rFonts w:hint="eastAsia" w:ascii="宋体" w:hAnsi="宋体" w:eastAsia="宋体" w:cs="宋体"/>
                <w:sz w:val="21"/>
                <w:szCs w:val="21"/>
              </w:rPr>
            </w:pPr>
          </w:p>
        </w:tc>
        <w:tc>
          <w:tcPr>
            <w:tcW w:w="1965" w:type="dxa"/>
            <w:shd w:val="clear" w:color="auto" w:fill="auto"/>
            <w:noWrap/>
            <w:vAlign w:val="center"/>
          </w:tcPr>
          <w:p w14:paraId="4A14689E">
            <w:pPr>
              <w:jc w:val="center"/>
              <w:rPr>
                <w:rFonts w:hint="eastAsia" w:ascii="宋体" w:hAnsi="宋体" w:eastAsia="宋体" w:cs="宋体"/>
                <w:sz w:val="21"/>
                <w:szCs w:val="21"/>
              </w:rPr>
            </w:pPr>
            <w:r>
              <w:rPr>
                <w:rFonts w:hint="eastAsia" w:ascii="宋体" w:hAnsi="宋体" w:eastAsia="宋体" w:cs="宋体"/>
                <w:sz w:val="21"/>
                <w:szCs w:val="21"/>
              </w:rPr>
              <w:t>顶升时间</w:t>
            </w:r>
          </w:p>
        </w:tc>
        <w:tc>
          <w:tcPr>
            <w:tcW w:w="3016" w:type="dxa"/>
            <w:shd w:val="clear" w:color="auto" w:fill="auto"/>
            <w:noWrap/>
            <w:vAlign w:val="center"/>
          </w:tcPr>
          <w:p w14:paraId="1964E5C0">
            <w:pPr>
              <w:jc w:val="center"/>
              <w:rPr>
                <w:rFonts w:hint="eastAsia" w:ascii="宋体" w:hAnsi="宋体" w:eastAsia="宋体" w:cs="宋体"/>
                <w:sz w:val="21"/>
                <w:szCs w:val="21"/>
              </w:rPr>
            </w:pPr>
            <w:r>
              <w:rPr>
                <w:rFonts w:hint="eastAsia" w:ascii="宋体" w:hAnsi="宋体" w:eastAsia="宋体" w:cs="宋体"/>
                <w:sz w:val="21"/>
                <w:szCs w:val="21"/>
              </w:rPr>
              <w:t>≤3s</w:t>
            </w:r>
          </w:p>
        </w:tc>
        <w:tc>
          <w:tcPr>
            <w:tcW w:w="1966" w:type="dxa"/>
            <w:shd w:val="clear" w:color="auto" w:fill="auto"/>
            <w:noWrap/>
            <w:vAlign w:val="center"/>
          </w:tcPr>
          <w:p w14:paraId="07FCE57B">
            <w:pPr>
              <w:jc w:val="center"/>
              <w:rPr>
                <w:rFonts w:hint="eastAsia" w:ascii="宋体" w:hAnsi="宋体" w:eastAsia="宋体" w:cs="宋体"/>
                <w:sz w:val="21"/>
                <w:szCs w:val="21"/>
              </w:rPr>
            </w:pPr>
          </w:p>
        </w:tc>
      </w:tr>
      <w:tr w14:paraId="2E1DF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75" w:type="dxa"/>
            <w:vMerge w:val="continue"/>
            <w:shd w:val="clear" w:color="auto" w:fill="auto"/>
            <w:vAlign w:val="center"/>
          </w:tcPr>
          <w:p w14:paraId="2BCFA9CE">
            <w:pPr>
              <w:jc w:val="center"/>
              <w:rPr>
                <w:rFonts w:hint="eastAsia" w:ascii="宋体" w:hAnsi="宋体" w:eastAsia="宋体" w:cs="宋体"/>
                <w:sz w:val="21"/>
                <w:szCs w:val="21"/>
              </w:rPr>
            </w:pPr>
          </w:p>
        </w:tc>
        <w:tc>
          <w:tcPr>
            <w:tcW w:w="1965" w:type="dxa"/>
            <w:shd w:val="clear" w:color="auto" w:fill="auto"/>
            <w:noWrap/>
            <w:vAlign w:val="center"/>
          </w:tcPr>
          <w:p w14:paraId="4C0EF1D4">
            <w:pPr>
              <w:jc w:val="center"/>
              <w:rPr>
                <w:rFonts w:hint="eastAsia" w:ascii="宋体" w:hAnsi="宋体" w:eastAsia="宋体" w:cs="宋体"/>
                <w:sz w:val="21"/>
                <w:szCs w:val="21"/>
              </w:rPr>
            </w:pPr>
            <w:r>
              <w:rPr>
                <w:rFonts w:hint="eastAsia" w:ascii="宋体" w:hAnsi="宋体" w:eastAsia="宋体" w:cs="宋体"/>
                <w:sz w:val="21"/>
                <w:szCs w:val="21"/>
              </w:rPr>
              <w:t>换向行程</w:t>
            </w:r>
          </w:p>
        </w:tc>
        <w:tc>
          <w:tcPr>
            <w:tcW w:w="3016" w:type="dxa"/>
            <w:shd w:val="clear" w:color="auto" w:fill="auto"/>
            <w:noWrap/>
            <w:vAlign w:val="center"/>
          </w:tcPr>
          <w:p w14:paraId="52C11635">
            <w:pPr>
              <w:jc w:val="center"/>
              <w:rPr>
                <w:rFonts w:hint="eastAsia" w:ascii="宋体" w:hAnsi="宋体" w:eastAsia="宋体" w:cs="宋体"/>
                <w:sz w:val="21"/>
                <w:szCs w:val="21"/>
              </w:rPr>
            </w:pPr>
            <w:r>
              <w:rPr>
                <w:rFonts w:hint="eastAsia" w:ascii="宋体" w:hAnsi="宋体" w:eastAsia="宋体" w:cs="宋体"/>
                <w:sz w:val="21"/>
                <w:szCs w:val="21"/>
              </w:rPr>
              <w:t>≥40mm</w:t>
            </w:r>
          </w:p>
        </w:tc>
        <w:tc>
          <w:tcPr>
            <w:tcW w:w="1966" w:type="dxa"/>
            <w:shd w:val="clear" w:color="auto" w:fill="auto"/>
            <w:noWrap/>
            <w:vAlign w:val="center"/>
          </w:tcPr>
          <w:p w14:paraId="3F86FF60">
            <w:pPr>
              <w:jc w:val="center"/>
              <w:rPr>
                <w:rFonts w:hint="eastAsia" w:ascii="宋体" w:hAnsi="宋体" w:eastAsia="宋体" w:cs="宋体"/>
                <w:sz w:val="21"/>
                <w:szCs w:val="21"/>
              </w:rPr>
            </w:pPr>
          </w:p>
        </w:tc>
      </w:tr>
      <w:tr w14:paraId="4E402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75" w:type="dxa"/>
            <w:vMerge w:val="continue"/>
            <w:shd w:val="clear" w:color="auto" w:fill="auto"/>
            <w:vAlign w:val="center"/>
          </w:tcPr>
          <w:p w14:paraId="1DB99A53">
            <w:pPr>
              <w:jc w:val="center"/>
              <w:rPr>
                <w:rFonts w:hint="eastAsia" w:ascii="宋体" w:hAnsi="宋体" w:eastAsia="宋体" w:cs="宋体"/>
                <w:sz w:val="21"/>
                <w:szCs w:val="21"/>
              </w:rPr>
            </w:pPr>
          </w:p>
        </w:tc>
        <w:tc>
          <w:tcPr>
            <w:tcW w:w="1965" w:type="dxa"/>
            <w:shd w:val="clear" w:color="auto" w:fill="auto"/>
            <w:noWrap/>
            <w:vAlign w:val="center"/>
          </w:tcPr>
          <w:p w14:paraId="66351ACE">
            <w:pPr>
              <w:jc w:val="center"/>
              <w:rPr>
                <w:rFonts w:hint="eastAsia" w:ascii="宋体" w:hAnsi="宋体" w:eastAsia="宋体" w:cs="宋体"/>
                <w:sz w:val="21"/>
                <w:szCs w:val="21"/>
              </w:rPr>
            </w:pPr>
            <w:r>
              <w:rPr>
                <w:rFonts w:hint="eastAsia" w:ascii="宋体" w:hAnsi="宋体" w:eastAsia="宋体" w:cs="宋体"/>
                <w:sz w:val="21"/>
                <w:szCs w:val="21"/>
              </w:rPr>
              <w:t>换向时间</w:t>
            </w:r>
          </w:p>
        </w:tc>
        <w:tc>
          <w:tcPr>
            <w:tcW w:w="3016" w:type="dxa"/>
            <w:shd w:val="clear" w:color="auto" w:fill="auto"/>
            <w:noWrap/>
            <w:vAlign w:val="center"/>
          </w:tcPr>
          <w:p w14:paraId="321C2AE3">
            <w:pPr>
              <w:jc w:val="center"/>
              <w:rPr>
                <w:rFonts w:hint="eastAsia" w:ascii="宋体" w:hAnsi="宋体" w:eastAsia="宋体" w:cs="宋体"/>
                <w:sz w:val="21"/>
                <w:szCs w:val="21"/>
              </w:rPr>
            </w:pPr>
            <w:r>
              <w:rPr>
                <w:rFonts w:hint="eastAsia" w:ascii="宋体" w:hAnsi="宋体" w:eastAsia="宋体" w:cs="宋体"/>
                <w:sz w:val="21"/>
                <w:szCs w:val="21"/>
              </w:rPr>
              <w:t>≤5s</w:t>
            </w:r>
          </w:p>
        </w:tc>
        <w:tc>
          <w:tcPr>
            <w:tcW w:w="1966" w:type="dxa"/>
            <w:shd w:val="clear" w:color="auto" w:fill="auto"/>
            <w:noWrap/>
            <w:vAlign w:val="center"/>
          </w:tcPr>
          <w:p w14:paraId="03377902">
            <w:pPr>
              <w:jc w:val="center"/>
              <w:rPr>
                <w:rFonts w:hint="eastAsia" w:ascii="宋体" w:hAnsi="宋体" w:eastAsia="宋体" w:cs="宋体"/>
                <w:sz w:val="21"/>
                <w:szCs w:val="21"/>
              </w:rPr>
            </w:pPr>
          </w:p>
        </w:tc>
      </w:tr>
      <w:tr w14:paraId="63E5F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75" w:type="dxa"/>
            <w:vMerge w:val="continue"/>
            <w:shd w:val="clear" w:color="auto" w:fill="auto"/>
            <w:vAlign w:val="center"/>
          </w:tcPr>
          <w:p w14:paraId="345D9E2C">
            <w:pPr>
              <w:jc w:val="center"/>
              <w:rPr>
                <w:rFonts w:hint="eastAsia" w:ascii="宋体" w:hAnsi="宋体" w:eastAsia="宋体" w:cs="宋体"/>
                <w:sz w:val="21"/>
                <w:szCs w:val="21"/>
              </w:rPr>
            </w:pPr>
          </w:p>
        </w:tc>
        <w:tc>
          <w:tcPr>
            <w:tcW w:w="1965" w:type="dxa"/>
            <w:shd w:val="clear" w:color="auto" w:fill="auto"/>
            <w:noWrap/>
            <w:vAlign w:val="center"/>
          </w:tcPr>
          <w:p w14:paraId="700A14DC">
            <w:pPr>
              <w:jc w:val="center"/>
              <w:rPr>
                <w:rFonts w:hint="eastAsia" w:ascii="宋体" w:hAnsi="宋体" w:eastAsia="宋体" w:cs="宋体"/>
                <w:sz w:val="21"/>
                <w:szCs w:val="21"/>
              </w:rPr>
            </w:pPr>
            <w:r>
              <w:rPr>
                <w:rFonts w:hint="eastAsia" w:ascii="宋体" w:hAnsi="宋体" w:eastAsia="宋体" w:cs="宋体"/>
                <w:sz w:val="21"/>
                <w:szCs w:val="21"/>
              </w:rPr>
              <w:t>重复定位精度</w:t>
            </w:r>
          </w:p>
        </w:tc>
        <w:tc>
          <w:tcPr>
            <w:tcW w:w="3016" w:type="dxa"/>
            <w:shd w:val="clear" w:color="auto" w:fill="auto"/>
            <w:noWrap/>
            <w:vAlign w:val="center"/>
          </w:tcPr>
          <w:p w14:paraId="0D18C9AD">
            <w:pPr>
              <w:jc w:val="center"/>
              <w:rPr>
                <w:rFonts w:hint="eastAsia" w:ascii="宋体" w:hAnsi="宋体" w:eastAsia="宋体" w:cs="宋体"/>
                <w:sz w:val="21"/>
                <w:szCs w:val="21"/>
              </w:rPr>
            </w:pPr>
            <w:r>
              <w:rPr>
                <w:rFonts w:hint="eastAsia" w:ascii="宋体" w:hAnsi="宋体" w:eastAsia="宋体" w:cs="宋体"/>
                <w:sz w:val="21"/>
                <w:szCs w:val="21"/>
              </w:rPr>
              <w:t>≤±2mm</w:t>
            </w:r>
          </w:p>
        </w:tc>
        <w:tc>
          <w:tcPr>
            <w:tcW w:w="1966" w:type="dxa"/>
            <w:shd w:val="clear" w:color="auto" w:fill="auto"/>
            <w:noWrap/>
            <w:vAlign w:val="center"/>
          </w:tcPr>
          <w:p w14:paraId="62584D78">
            <w:pPr>
              <w:jc w:val="center"/>
              <w:rPr>
                <w:rFonts w:hint="eastAsia" w:ascii="宋体" w:hAnsi="宋体" w:eastAsia="宋体" w:cs="宋体"/>
                <w:sz w:val="21"/>
                <w:szCs w:val="21"/>
              </w:rPr>
            </w:pPr>
          </w:p>
        </w:tc>
      </w:tr>
      <w:tr w14:paraId="024C2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75" w:type="dxa"/>
            <w:vMerge w:val="restart"/>
            <w:shd w:val="clear" w:color="auto" w:fill="auto"/>
            <w:vAlign w:val="center"/>
          </w:tcPr>
          <w:p w14:paraId="64F6D7BB">
            <w:pPr>
              <w:jc w:val="center"/>
              <w:rPr>
                <w:rFonts w:hint="eastAsia" w:ascii="宋体" w:hAnsi="宋体" w:eastAsia="宋体" w:cs="宋体"/>
                <w:sz w:val="21"/>
                <w:szCs w:val="21"/>
              </w:rPr>
            </w:pPr>
            <w:r>
              <w:rPr>
                <w:rFonts w:hint="eastAsia" w:ascii="宋体" w:hAnsi="宋体" w:eastAsia="宋体" w:cs="宋体"/>
                <w:sz w:val="21"/>
                <w:szCs w:val="21"/>
              </w:rPr>
              <w:t>电池性能</w:t>
            </w:r>
          </w:p>
        </w:tc>
        <w:tc>
          <w:tcPr>
            <w:tcW w:w="1965" w:type="dxa"/>
            <w:shd w:val="clear" w:color="auto" w:fill="auto"/>
            <w:noWrap/>
            <w:vAlign w:val="center"/>
          </w:tcPr>
          <w:p w14:paraId="61C3042B">
            <w:pPr>
              <w:jc w:val="center"/>
              <w:rPr>
                <w:rFonts w:hint="eastAsia" w:ascii="宋体" w:hAnsi="宋体" w:eastAsia="宋体" w:cs="宋体"/>
                <w:sz w:val="21"/>
                <w:szCs w:val="21"/>
              </w:rPr>
            </w:pPr>
            <w:r>
              <w:rPr>
                <w:rFonts w:hint="eastAsia" w:ascii="宋体" w:hAnsi="宋体" w:eastAsia="宋体" w:cs="宋体"/>
                <w:sz w:val="21"/>
                <w:szCs w:val="21"/>
              </w:rPr>
              <w:t>电池类型</w:t>
            </w:r>
          </w:p>
        </w:tc>
        <w:tc>
          <w:tcPr>
            <w:tcW w:w="3016" w:type="dxa"/>
            <w:shd w:val="clear" w:color="auto" w:fill="auto"/>
            <w:vAlign w:val="center"/>
          </w:tcPr>
          <w:p w14:paraId="47E48877">
            <w:pPr>
              <w:jc w:val="center"/>
              <w:rPr>
                <w:rFonts w:hint="eastAsia" w:ascii="宋体" w:hAnsi="宋体" w:eastAsia="宋体" w:cs="宋体"/>
                <w:sz w:val="21"/>
                <w:szCs w:val="21"/>
              </w:rPr>
            </w:pPr>
            <w:r>
              <w:rPr>
                <w:rFonts w:hint="eastAsia" w:ascii="宋体" w:hAnsi="宋体" w:eastAsia="宋体" w:cs="宋体"/>
                <w:sz w:val="21"/>
                <w:szCs w:val="21"/>
              </w:rPr>
              <w:t>磷酸铁锂电池</w:t>
            </w:r>
          </w:p>
        </w:tc>
        <w:tc>
          <w:tcPr>
            <w:tcW w:w="1966" w:type="dxa"/>
            <w:shd w:val="clear" w:color="auto" w:fill="auto"/>
            <w:vAlign w:val="center"/>
          </w:tcPr>
          <w:p w14:paraId="3DADD0CD">
            <w:pPr>
              <w:jc w:val="center"/>
              <w:rPr>
                <w:rFonts w:hint="eastAsia" w:ascii="宋体" w:hAnsi="宋体" w:eastAsia="宋体" w:cs="宋体"/>
                <w:sz w:val="21"/>
                <w:szCs w:val="21"/>
              </w:rPr>
            </w:pPr>
          </w:p>
        </w:tc>
      </w:tr>
      <w:tr w14:paraId="2A7BE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75" w:type="dxa"/>
            <w:vMerge w:val="continue"/>
            <w:shd w:val="clear" w:color="auto" w:fill="auto"/>
            <w:vAlign w:val="center"/>
          </w:tcPr>
          <w:p w14:paraId="65BC43A9">
            <w:pPr>
              <w:jc w:val="center"/>
              <w:rPr>
                <w:rFonts w:hint="eastAsia" w:ascii="宋体" w:hAnsi="宋体" w:eastAsia="宋体" w:cs="宋体"/>
                <w:sz w:val="21"/>
                <w:szCs w:val="21"/>
              </w:rPr>
            </w:pPr>
          </w:p>
        </w:tc>
        <w:tc>
          <w:tcPr>
            <w:tcW w:w="1965" w:type="dxa"/>
            <w:shd w:val="clear" w:color="auto" w:fill="auto"/>
            <w:vAlign w:val="center"/>
          </w:tcPr>
          <w:p w14:paraId="227F5C05">
            <w:pPr>
              <w:jc w:val="center"/>
              <w:rPr>
                <w:rFonts w:hint="eastAsia" w:ascii="宋体" w:hAnsi="宋体" w:eastAsia="宋体" w:cs="宋体"/>
                <w:sz w:val="21"/>
                <w:szCs w:val="21"/>
              </w:rPr>
            </w:pPr>
            <w:r>
              <w:rPr>
                <w:rFonts w:hint="eastAsia" w:ascii="宋体" w:hAnsi="宋体" w:eastAsia="宋体" w:cs="宋体"/>
                <w:sz w:val="21"/>
                <w:szCs w:val="21"/>
              </w:rPr>
              <w:t>充电方式</w:t>
            </w:r>
          </w:p>
        </w:tc>
        <w:tc>
          <w:tcPr>
            <w:tcW w:w="3016" w:type="dxa"/>
            <w:shd w:val="clear" w:color="auto" w:fill="auto"/>
            <w:vAlign w:val="center"/>
          </w:tcPr>
          <w:p w14:paraId="73E7D615">
            <w:pPr>
              <w:jc w:val="center"/>
              <w:rPr>
                <w:rFonts w:hint="eastAsia" w:ascii="宋体" w:hAnsi="宋体" w:eastAsia="宋体" w:cs="宋体"/>
                <w:sz w:val="21"/>
                <w:szCs w:val="21"/>
              </w:rPr>
            </w:pPr>
            <w:r>
              <w:rPr>
                <w:rFonts w:hint="eastAsia" w:ascii="宋体" w:hAnsi="宋体" w:eastAsia="宋体" w:cs="宋体"/>
                <w:sz w:val="21"/>
                <w:szCs w:val="21"/>
              </w:rPr>
              <w:t>手动/自动</w:t>
            </w:r>
          </w:p>
        </w:tc>
        <w:tc>
          <w:tcPr>
            <w:tcW w:w="1966" w:type="dxa"/>
            <w:shd w:val="clear" w:color="auto" w:fill="auto"/>
            <w:vAlign w:val="center"/>
          </w:tcPr>
          <w:p w14:paraId="4CFBA241">
            <w:pPr>
              <w:jc w:val="center"/>
              <w:rPr>
                <w:rFonts w:hint="eastAsia" w:ascii="宋体" w:hAnsi="宋体" w:eastAsia="宋体" w:cs="宋体"/>
                <w:sz w:val="21"/>
                <w:szCs w:val="21"/>
              </w:rPr>
            </w:pPr>
          </w:p>
        </w:tc>
      </w:tr>
      <w:tr w14:paraId="05EF8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75" w:type="dxa"/>
            <w:vMerge w:val="continue"/>
            <w:shd w:val="clear" w:color="auto" w:fill="auto"/>
            <w:vAlign w:val="center"/>
          </w:tcPr>
          <w:p w14:paraId="1637A57B">
            <w:pPr>
              <w:jc w:val="center"/>
              <w:rPr>
                <w:rFonts w:hint="eastAsia" w:ascii="宋体" w:hAnsi="宋体" w:eastAsia="宋体" w:cs="宋体"/>
                <w:sz w:val="21"/>
                <w:szCs w:val="21"/>
              </w:rPr>
            </w:pPr>
          </w:p>
        </w:tc>
        <w:tc>
          <w:tcPr>
            <w:tcW w:w="1965" w:type="dxa"/>
            <w:shd w:val="clear" w:color="auto" w:fill="auto"/>
            <w:vAlign w:val="center"/>
          </w:tcPr>
          <w:p w14:paraId="4B969201">
            <w:pPr>
              <w:jc w:val="center"/>
              <w:rPr>
                <w:rFonts w:hint="eastAsia" w:ascii="宋体" w:hAnsi="宋体" w:eastAsia="宋体" w:cs="宋体"/>
                <w:sz w:val="21"/>
                <w:szCs w:val="21"/>
              </w:rPr>
            </w:pPr>
            <w:r>
              <w:rPr>
                <w:rFonts w:hint="eastAsia" w:ascii="宋体" w:hAnsi="宋体" w:eastAsia="宋体" w:cs="宋体"/>
                <w:sz w:val="21"/>
                <w:szCs w:val="21"/>
              </w:rPr>
              <w:t>续航时间</w:t>
            </w:r>
          </w:p>
        </w:tc>
        <w:tc>
          <w:tcPr>
            <w:tcW w:w="3016" w:type="dxa"/>
            <w:shd w:val="clear" w:color="auto" w:fill="auto"/>
            <w:vAlign w:val="center"/>
          </w:tcPr>
          <w:p w14:paraId="3CCAFFB3">
            <w:pPr>
              <w:jc w:val="center"/>
              <w:rPr>
                <w:rFonts w:hint="eastAsia" w:ascii="宋体" w:hAnsi="宋体" w:eastAsia="宋体" w:cs="宋体"/>
                <w:sz w:val="21"/>
                <w:szCs w:val="21"/>
              </w:rPr>
            </w:pPr>
            <w:r>
              <w:rPr>
                <w:rFonts w:hint="eastAsia" w:ascii="宋体" w:hAnsi="宋体" w:eastAsia="宋体" w:cs="宋体"/>
                <w:sz w:val="21"/>
                <w:szCs w:val="21"/>
              </w:rPr>
              <w:t>8-10小时</w:t>
            </w:r>
          </w:p>
        </w:tc>
        <w:tc>
          <w:tcPr>
            <w:tcW w:w="1966" w:type="dxa"/>
            <w:shd w:val="clear" w:color="auto" w:fill="auto"/>
            <w:vAlign w:val="center"/>
          </w:tcPr>
          <w:p w14:paraId="32227185">
            <w:pPr>
              <w:jc w:val="center"/>
              <w:rPr>
                <w:rFonts w:hint="eastAsia" w:ascii="宋体" w:hAnsi="宋体" w:eastAsia="宋体" w:cs="宋体"/>
                <w:sz w:val="21"/>
                <w:szCs w:val="21"/>
              </w:rPr>
            </w:pPr>
          </w:p>
        </w:tc>
      </w:tr>
      <w:tr w14:paraId="7EBB0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75" w:type="dxa"/>
            <w:vMerge w:val="continue"/>
            <w:shd w:val="clear" w:color="auto" w:fill="auto"/>
            <w:vAlign w:val="center"/>
          </w:tcPr>
          <w:p w14:paraId="37689915">
            <w:pPr>
              <w:jc w:val="center"/>
              <w:rPr>
                <w:rFonts w:hint="eastAsia" w:ascii="宋体" w:hAnsi="宋体" w:eastAsia="宋体" w:cs="宋体"/>
                <w:sz w:val="21"/>
                <w:szCs w:val="21"/>
              </w:rPr>
            </w:pPr>
          </w:p>
        </w:tc>
        <w:tc>
          <w:tcPr>
            <w:tcW w:w="1965" w:type="dxa"/>
            <w:shd w:val="clear" w:color="auto" w:fill="auto"/>
            <w:vAlign w:val="center"/>
          </w:tcPr>
          <w:p w14:paraId="7A2F84C4">
            <w:pPr>
              <w:jc w:val="center"/>
              <w:rPr>
                <w:rFonts w:hint="eastAsia" w:ascii="宋体" w:hAnsi="宋体" w:eastAsia="宋体" w:cs="宋体"/>
                <w:sz w:val="21"/>
                <w:szCs w:val="21"/>
              </w:rPr>
            </w:pPr>
            <w:r>
              <w:rPr>
                <w:rFonts w:hint="eastAsia" w:ascii="宋体" w:hAnsi="宋体" w:eastAsia="宋体" w:cs="宋体"/>
                <w:sz w:val="21"/>
                <w:szCs w:val="21"/>
              </w:rPr>
              <w:t>充电时间</w:t>
            </w:r>
          </w:p>
        </w:tc>
        <w:tc>
          <w:tcPr>
            <w:tcW w:w="3016" w:type="dxa"/>
            <w:shd w:val="clear" w:color="auto" w:fill="auto"/>
            <w:vAlign w:val="center"/>
          </w:tcPr>
          <w:p w14:paraId="4696DAE0">
            <w:pPr>
              <w:jc w:val="center"/>
              <w:rPr>
                <w:rFonts w:hint="eastAsia" w:ascii="宋体" w:hAnsi="宋体" w:eastAsia="宋体" w:cs="宋体"/>
                <w:sz w:val="21"/>
                <w:szCs w:val="21"/>
              </w:rPr>
            </w:pPr>
            <w:r>
              <w:rPr>
                <w:rFonts w:hint="eastAsia" w:ascii="宋体" w:hAnsi="宋体" w:eastAsia="宋体" w:cs="宋体"/>
                <w:sz w:val="21"/>
                <w:szCs w:val="21"/>
              </w:rPr>
              <w:t>1.5-2小时</w:t>
            </w:r>
          </w:p>
        </w:tc>
        <w:tc>
          <w:tcPr>
            <w:tcW w:w="1966" w:type="dxa"/>
            <w:shd w:val="clear" w:color="auto" w:fill="auto"/>
            <w:vAlign w:val="center"/>
          </w:tcPr>
          <w:p w14:paraId="6C9E3F01">
            <w:pPr>
              <w:jc w:val="center"/>
              <w:rPr>
                <w:rFonts w:hint="eastAsia" w:ascii="宋体" w:hAnsi="宋体" w:eastAsia="宋体" w:cs="宋体"/>
                <w:sz w:val="21"/>
                <w:szCs w:val="21"/>
              </w:rPr>
            </w:pPr>
          </w:p>
        </w:tc>
      </w:tr>
      <w:tr w14:paraId="544F8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75" w:type="dxa"/>
            <w:vMerge w:val="continue"/>
            <w:shd w:val="clear" w:color="auto" w:fill="auto"/>
            <w:vAlign w:val="center"/>
          </w:tcPr>
          <w:p w14:paraId="57833A63">
            <w:pPr>
              <w:jc w:val="center"/>
              <w:rPr>
                <w:rFonts w:hint="eastAsia" w:ascii="宋体" w:hAnsi="宋体" w:eastAsia="宋体" w:cs="宋体"/>
                <w:sz w:val="21"/>
                <w:szCs w:val="21"/>
              </w:rPr>
            </w:pPr>
          </w:p>
        </w:tc>
        <w:tc>
          <w:tcPr>
            <w:tcW w:w="1965" w:type="dxa"/>
            <w:shd w:val="clear" w:color="auto" w:fill="auto"/>
            <w:vAlign w:val="center"/>
          </w:tcPr>
          <w:p w14:paraId="4E62A1C4">
            <w:pPr>
              <w:jc w:val="center"/>
              <w:rPr>
                <w:rFonts w:hint="eastAsia" w:ascii="宋体" w:hAnsi="宋体" w:eastAsia="宋体" w:cs="宋体"/>
                <w:sz w:val="21"/>
                <w:szCs w:val="21"/>
              </w:rPr>
            </w:pPr>
            <w:r>
              <w:rPr>
                <w:rFonts w:hint="eastAsia" w:ascii="宋体" w:hAnsi="宋体" w:eastAsia="宋体" w:cs="宋体"/>
                <w:sz w:val="21"/>
                <w:szCs w:val="21"/>
              </w:rPr>
              <w:t>充放电次数</w:t>
            </w:r>
          </w:p>
        </w:tc>
        <w:tc>
          <w:tcPr>
            <w:tcW w:w="3016" w:type="dxa"/>
            <w:shd w:val="clear" w:color="auto" w:fill="auto"/>
            <w:vAlign w:val="center"/>
          </w:tcPr>
          <w:p w14:paraId="23E067C1">
            <w:pPr>
              <w:jc w:val="center"/>
              <w:rPr>
                <w:rFonts w:hint="eastAsia" w:ascii="宋体" w:hAnsi="宋体" w:eastAsia="宋体" w:cs="宋体"/>
                <w:sz w:val="21"/>
                <w:szCs w:val="21"/>
              </w:rPr>
            </w:pPr>
            <w:r>
              <w:rPr>
                <w:rFonts w:hint="eastAsia" w:ascii="宋体" w:hAnsi="宋体" w:eastAsia="宋体" w:cs="宋体"/>
                <w:sz w:val="21"/>
                <w:szCs w:val="21"/>
              </w:rPr>
              <w:t>≥1500次</w:t>
            </w:r>
          </w:p>
        </w:tc>
        <w:tc>
          <w:tcPr>
            <w:tcW w:w="1966" w:type="dxa"/>
            <w:shd w:val="clear" w:color="auto" w:fill="auto"/>
            <w:vAlign w:val="center"/>
          </w:tcPr>
          <w:p w14:paraId="5D635419">
            <w:pPr>
              <w:jc w:val="center"/>
              <w:rPr>
                <w:rFonts w:hint="eastAsia" w:ascii="宋体" w:hAnsi="宋体" w:eastAsia="宋体" w:cs="宋体"/>
                <w:sz w:val="21"/>
                <w:szCs w:val="21"/>
              </w:rPr>
            </w:pPr>
          </w:p>
        </w:tc>
      </w:tr>
      <w:tr w14:paraId="3F7DA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75" w:type="dxa"/>
            <w:vMerge w:val="restart"/>
            <w:shd w:val="clear" w:color="auto" w:fill="auto"/>
            <w:vAlign w:val="center"/>
          </w:tcPr>
          <w:p w14:paraId="4E28BC39">
            <w:pPr>
              <w:jc w:val="center"/>
              <w:rPr>
                <w:rFonts w:hint="eastAsia" w:ascii="宋体" w:hAnsi="宋体" w:eastAsia="宋体" w:cs="宋体"/>
                <w:sz w:val="21"/>
                <w:szCs w:val="21"/>
              </w:rPr>
            </w:pPr>
            <w:r>
              <w:rPr>
                <w:rFonts w:hint="eastAsia" w:ascii="宋体" w:hAnsi="宋体" w:eastAsia="宋体" w:cs="宋体"/>
                <w:sz w:val="21"/>
                <w:szCs w:val="21"/>
              </w:rPr>
              <w:t>定位方式</w:t>
            </w:r>
          </w:p>
        </w:tc>
        <w:tc>
          <w:tcPr>
            <w:tcW w:w="1965" w:type="dxa"/>
            <w:shd w:val="clear" w:color="auto" w:fill="auto"/>
            <w:vAlign w:val="center"/>
          </w:tcPr>
          <w:p w14:paraId="08E9FDC5">
            <w:pPr>
              <w:jc w:val="center"/>
              <w:rPr>
                <w:rFonts w:hint="eastAsia" w:ascii="宋体" w:hAnsi="宋体" w:eastAsia="宋体" w:cs="宋体"/>
                <w:sz w:val="21"/>
                <w:szCs w:val="21"/>
              </w:rPr>
            </w:pPr>
            <w:r>
              <w:rPr>
                <w:rFonts w:hint="eastAsia" w:ascii="宋体" w:hAnsi="宋体" w:eastAsia="宋体" w:cs="宋体"/>
                <w:sz w:val="21"/>
                <w:szCs w:val="21"/>
              </w:rPr>
              <w:t>行走定位</w:t>
            </w:r>
          </w:p>
        </w:tc>
        <w:tc>
          <w:tcPr>
            <w:tcW w:w="3016" w:type="dxa"/>
            <w:shd w:val="clear" w:color="auto" w:fill="auto"/>
            <w:vAlign w:val="center"/>
          </w:tcPr>
          <w:p w14:paraId="5BAF86E9">
            <w:pPr>
              <w:jc w:val="center"/>
              <w:rPr>
                <w:rFonts w:hint="eastAsia" w:ascii="宋体" w:hAnsi="宋体" w:eastAsia="宋体" w:cs="宋体"/>
                <w:sz w:val="21"/>
                <w:szCs w:val="21"/>
              </w:rPr>
            </w:pPr>
            <w:r>
              <w:rPr>
                <w:rFonts w:hint="eastAsia" w:ascii="宋体" w:hAnsi="宋体" w:eastAsia="宋体" w:cs="宋体"/>
                <w:sz w:val="21"/>
                <w:szCs w:val="21"/>
              </w:rPr>
              <w:t>编码器+二维码</w:t>
            </w:r>
          </w:p>
        </w:tc>
        <w:tc>
          <w:tcPr>
            <w:tcW w:w="1966" w:type="dxa"/>
            <w:shd w:val="clear" w:color="auto" w:fill="auto"/>
            <w:vAlign w:val="center"/>
          </w:tcPr>
          <w:p w14:paraId="09EC4BD3">
            <w:pPr>
              <w:jc w:val="center"/>
              <w:rPr>
                <w:rFonts w:hint="eastAsia" w:ascii="宋体" w:hAnsi="宋体" w:eastAsia="宋体" w:cs="宋体"/>
                <w:sz w:val="21"/>
                <w:szCs w:val="21"/>
              </w:rPr>
            </w:pPr>
          </w:p>
        </w:tc>
      </w:tr>
      <w:tr w14:paraId="4319C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75" w:type="dxa"/>
            <w:vMerge w:val="continue"/>
            <w:shd w:val="clear" w:color="auto" w:fill="auto"/>
            <w:vAlign w:val="center"/>
          </w:tcPr>
          <w:p w14:paraId="1597BDF4">
            <w:pPr>
              <w:jc w:val="center"/>
              <w:rPr>
                <w:rFonts w:hint="eastAsia" w:ascii="宋体" w:hAnsi="宋体" w:eastAsia="宋体" w:cs="宋体"/>
                <w:sz w:val="21"/>
                <w:szCs w:val="21"/>
              </w:rPr>
            </w:pPr>
          </w:p>
        </w:tc>
        <w:tc>
          <w:tcPr>
            <w:tcW w:w="1965" w:type="dxa"/>
            <w:shd w:val="clear" w:color="auto" w:fill="auto"/>
            <w:vAlign w:val="center"/>
          </w:tcPr>
          <w:p w14:paraId="55D23B83">
            <w:pPr>
              <w:jc w:val="center"/>
              <w:rPr>
                <w:rFonts w:hint="eastAsia" w:ascii="宋体" w:hAnsi="宋体" w:eastAsia="宋体" w:cs="宋体"/>
                <w:sz w:val="21"/>
                <w:szCs w:val="21"/>
              </w:rPr>
            </w:pPr>
            <w:r>
              <w:rPr>
                <w:rFonts w:hint="eastAsia" w:ascii="宋体" w:hAnsi="宋体" w:eastAsia="宋体" w:cs="宋体"/>
                <w:sz w:val="21"/>
                <w:szCs w:val="21"/>
              </w:rPr>
              <w:t>托盘定位</w:t>
            </w:r>
          </w:p>
        </w:tc>
        <w:tc>
          <w:tcPr>
            <w:tcW w:w="3016" w:type="dxa"/>
            <w:shd w:val="clear" w:color="auto" w:fill="auto"/>
            <w:vAlign w:val="center"/>
          </w:tcPr>
          <w:p w14:paraId="142FEFEE">
            <w:pPr>
              <w:jc w:val="center"/>
              <w:rPr>
                <w:rFonts w:hint="eastAsia" w:ascii="宋体" w:hAnsi="宋体" w:eastAsia="宋体" w:cs="宋体"/>
                <w:sz w:val="21"/>
                <w:szCs w:val="21"/>
              </w:rPr>
            </w:pPr>
            <w:r>
              <w:rPr>
                <w:rFonts w:hint="eastAsia" w:ascii="宋体" w:hAnsi="宋体" w:eastAsia="宋体" w:cs="宋体"/>
                <w:sz w:val="21"/>
                <w:szCs w:val="21"/>
              </w:rPr>
              <w:t>光电检测</w:t>
            </w:r>
          </w:p>
        </w:tc>
        <w:tc>
          <w:tcPr>
            <w:tcW w:w="1966" w:type="dxa"/>
            <w:shd w:val="clear" w:color="auto" w:fill="auto"/>
            <w:vAlign w:val="center"/>
          </w:tcPr>
          <w:p w14:paraId="58D20E73">
            <w:pPr>
              <w:jc w:val="center"/>
              <w:rPr>
                <w:rFonts w:hint="eastAsia" w:ascii="宋体" w:hAnsi="宋体" w:eastAsia="宋体" w:cs="宋体"/>
                <w:sz w:val="21"/>
                <w:szCs w:val="21"/>
              </w:rPr>
            </w:pPr>
          </w:p>
        </w:tc>
      </w:tr>
      <w:tr w14:paraId="68C9F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75" w:type="dxa"/>
            <w:vMerge w:val="continue"/>
            <w:shd w:val="clear" w:color="auto" w:fill="auto"/>
            <w:vAlign w:val="center"/>
          </w:tcPr>
          <w:p w14:paraId="7D8478D9">
            <w:pPr>
              <w:jc w:val="center"/>
              <w:rPr>
                <w:rFonts w:hint="eastAsia" w:ascii="宋体" w:hAnsi="宋体" w:eastAsia="宋体" w:cs="宋体"/>
                <w:sz w:val="21"/>
                <w:szCs w:val="21"/>
              </w:rPr>
            </w:pPr>
          </w:p>
        </w:tc>
        <w:tc>
          <w:tcPr>
            <w:tcW w:w="1965" w:type="dxa"/>
            <w:shd w:val="clear" w:color="auto" w:fill="auto"/>
            <w:vAlign w:val="center"/>
          </w:tcPr>
          <w:p w14:paraId="2BF1958C">
            <w:pPr>
              <w:jc w:val="center"/>
              <w:rPr>
                <w:rFonts w:hint="eastAsia" w:ascii="宋体" w:hAnsi="宋体" w:eastAsia="宋体" w:cs="宋体"/>
                <w:sz w:val="21"/>
                <w:szCs w:val="21"/>
              </w:rPr>
            </w:pPr>
            <w:r>
              <w:rPr>
                <w:rFonts w:hint="eastAsia" w:ascii="宋体" w:hAnsi="宋体" w:eastAsia="宋体" w:cs="宋体"/>
                <w:sz w:val="21"/>
                <w:szCs w:val="21"/>
              </w:rPr>
              <w:t>顶升定位</w:t>
            </w:r>
          </w:p>
        </w:tc>
        <w:tc>
          <w:tcPr>
            <w:tcW w:w="3016" w:type="dxa"/>
            <w:shd w:val="clear" w:color="auto" w:fill="auto"/>
            <w:vAlign w:val="center"/>
          </w:tcPr>
          <w:p w14:paraId="63D5416E">
            <w:pPr>
              <w:jc w:val="center"/>
              <w:rPr>
                <w:rFonts w:hint="eastAsia" w:ascii="宋体" w:hAnsi="宋体" w:eastAsia="宋体" w:cs="宋体"/>
                <w:sz w:val="21"/>
                <w:szCs w:val="21"/>
              </w:rPr>
            </w:pPr>
            <w:r>
              <w:rPr>
                <w:rFonts w:hint="eastAsia" w:ascii="宋体" w:hAnsi="宋体" w:eastAsia="宋体" w:cs="宋体"/>
                <w:sz w:val="21"/>
                <w:szCs w:val="21"/>
              </w:rPr>
              <w:t>接近开关</w:t>
            </w:r>
          </w:p>
        </w:tc>
        <w:tc>
          <w:tcPr>
            <w:tcW w:w="1966" w:type="dxa"/>
            <w:shd w:val="clear" w:color="auto" w:fill="auto"/>
            <w:vAlign w:val="center"/>
          </w:tcPr>
          <w:p w14:paraId="2DA82B5B">
            <w:pPr>
              <w:jc w:val="center"/>
              <w:rPr>
                <w:rFonts w:hint="eastAsia" w:ascii="宋体" w:hAnsi="宋体" w:eastAsia="宋体" w:cs="宋体"/>
                <w:sz w:val="21"/>
                <w:szCs w:val="21"/>
              </w:rPr>
            </w:pPr>
          </w:p>
        </w:tc>
      </w:tr>
      <w:tr w14:paraId="661B4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75" w:type="dxa"/>
            <w:vMerge w:val="continue"/>
            <w:shd w:val="clear" w:color="auto" w:fill="auto"/>
            <w:vAlign w:val="center"/>
          </w:tcPr>
          <w:p w14:paraId="454BE79C">
            <w:pPr>
              <w:jc w:val="center"/>
              <w:rPr>
                <w:rFonts w:hint="eastAsia" w:ascii="宋体" w:hAnsi="宋体" w:eastAsia="宋体" w:cs="宋体"/>
                <w:sz w:val="21"/>
                <w:szCs w:val="21"/>
              </w:rPr>
            </w:pPr>
          </w:p>
        </w:tc>
        <w:tc>
          <w:tcPr>
            <w:tcW w:w="1965" w:type="dxa"/>
            <w:shd w:val="clear" w:color="auto" w:fill="auto"/>
            <w:vAlign w:val="center"/>
          </w:tcPr>
          <w:p w14:paraId="5871124E">
            <w:pPr>
              <w:jc w:val="center"/>
              <w:rPr>
                <w:rFonts w:hint="eastAsia" w:ascii="宋体" w:hAnsi="宋体" w:eastAsia="宋体" w:cs="宋体"/>
                <w:sz w:val="21"/>
                <w:szCs w:val="21"/>
              </w:rPr>
            </w:pPr>
            <w:r>
              <w:rPr>
                <w:rFonts w:hint="eastAsia" w:ascii="宋体" w:hAnsi="宋体" w:eastAsia="宋体" w:cs="宋体"/>
                <w:sz w:val="21"/>
                <w:szCs w:val="21"/>
              </w:rPr>
              <w:t>货物探测</w:t>
            </w:r>
          </w:p>
        </w:tc>
        <w:tc>
          <w:tcPr>
            <w:tcW w:w="3016" w:type="dxa"/>
            <w:shd w:val="clear" w:color="auto" w:fill="auto"/>
            <w:vAlign w:val="center"/>
          </w:tcPr>
          <w:p w14:paraId="37FAB8B7">
            <w:pPr>
              <w:jc w:val="center"/>
              <w:rPr>
                <w:rFonts w:hint="eastAsia" w:ascii="宋体" w:hAnsi="宋体" w:eastAsia="宋体" w:cs="宋体"/>
                <w:sz w:val="21"/>
                <w:szCs w:val="21"/>
              </w:rPr>
            </w:pPr>
            <w:r>
              <w:rPr>
                <w:rFonts w:hint="eastAsia" w:ascii="宋体" w:hAnsi="宋体" w:eastAsia="宋体" w:cs="宋体"/>
                <w:sz w:val="21"/>
                <w:szCs w:val="21"/>
              </w:rPr>
              <w:t>激光检测</w:t>
            </w:r>
          </w:p>
        </w:tc>
        <w:tc>
          <w:tcPr>
            <w:tcW w:w="1966" w:type="dxa"/>
            <w:shd w:val="clear" w:color="auto" w:fill="auto"/>
            <w:vAlign w:val="center"/>
          </w:tcPr>
          <w:p w14:paraId="49B8A738">
            <w:pPr>
              <w:jc w:val="center"/>
              <w:rPr>
                <w:rFonts w:hint="eastAsia" w:ascii="宋体" w:hAnsi="宋体" w:eastAsia="宋体" w:cs="宋体"/>
                <w:sz w:val="21"/>
                <w:szCs w:val="21"/>
              </w:rPr>
            </w:pPr>
          </w:p>
        </w:tc>
      </w:tr>
      <w:tr w14:paraId="66AD2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75" w:type="dxa"/>
            <w:vMerge w:val="continue"/>
            <w:shd w:val="clear" w:color="auto" w:fill="auto"/>
            <w:vAlign w:val="center"/>
          </w:tcPr>
          <w:p w14:paraId="4F5493AC">
            <w:pPr>
              <w:jc w:val="center"/>
              <w:rPr>
                <w:rFonts w:hint="eastAsia" w:ascii="宋体" w:hAnsi="宋体" w:eastAsia="宋体" w:cs="宋体"/>
                <w:sz w:val="21"/>
                <w:szCs w:val="21"/>
              </w:rPr>
            </w:pPr>
          </w:p>
        </w:tc>
        <w:tc>
          <w:tcPr>
            <w:tcW w:w="1965" w:type="dxa"/>
            <w:shd w:val="clear" w:color="auto" w:fill="auto"/>
            <w:vAlign w:val="center"/>
          </w:tcPr>
          <w:p w14:paraId="6D7A7D02">
            <w:pPr>
              <w:jc w:val="center"/>
              <w:rPr>
                <w:rFonts w:hint="eastAsia" w:ascii="宋体" w:hAnsi="宋体" w:eastAsia="宋体" w:cs="宋体"/>
                <w:sz w:val="21"/>
                <w:szCs w:val="21"/>
              </w:rPr>
            </w:pPr>
            <w:r>
              <w:rPr>
                <w:rFonts w:hint="eastAsia" w:ascii="宋体" w:hAnsi="宋体" w:eastAsia="宋体" w:cs="宋体"/>
                <w:sz w:val="21"/>
                <w:szCs w:val="21"/>
              </w:rPr>
              <w:t>避障检测</w:t>
            </w:r>
          </w:p>
        </w:tc>
        <w:tc>
          <w:tcPr>
            <w:tcW w:w="3016" w:type="dxa"/>
            <w:shd w:val="clear" w:color="auto" w:fill="auto"/>
            <w:vAlign w:val="center"/>
          </w:tcPr>
          <w:p w14:paraId="4EECAA29">
            <w:pPr>
              <w:jc w:val="center"/>
              <w:rPr>
                <w:rFonts w:hint="eastAsia" w:ascii="宋体" w:hAnsi="宋体" w:eastAsia="宋体" w:cs="宋体"/>
                <w:sz w:val="21"/>
                <w:szCs w:val="21"/>
              </w:rPr>
            </w:pPr>
            <w:r>
              <w:rPr>
                <w:rFonts w:hint="eastAsia" w:ascii="宋体" w:hAnsi="宋体" w:eastAsia="宋体" w:cs="宋体"/>
                <w:sz w:val="21"/>
                <w:szCs w:val="21"/>
              </w:rPr>
              <w:t>激光检测</w:t>
            </w:r>
          </w:p>
        </w:tc>
        <w:tc>
          <w:tcPr>
            <w:tcW w:w="1966" w:type="dxa"/>
            <w:shd w:val="clear" w:color="auto" w:fill="auto"/>
            <w:vAlign w:val="center"/>
          </w:tcPr>
          <w:p w14:paraId="3FD49B3D">
            <w:pPr>
              <w:jc w:val="center"/>
              <w:rPr>
                <w:rFonts w:hint="eastAsia" w:ascii="宋体" w:hAnsi="宋体" w:eastAsia="宋体" w:cs="宋体"/>
                <w:sz w:val="21"/>
                <w:szCs w:val="21"/>
              </w:rPr>
            </w:pPr>
          </w:p>
        </w:tc>
      </w:tr>
      <w:tr w14:paraId="2868C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75" w:type="dxa"/>
            <w:shd w:val="clear" w:color="auto" w:fill="auto"/>
            <w:vAlign w:val="center"/>
          </w:tcPr>
          <w:p w14:paraId="39494C82">
            <w:pPr>
              <w:jc w:val="center"/>
              <w:rPr>
                <w:rFonts w:hint="eastAsia" w:ascii="宋体" w:hAnsi="宋体" w:eastAsia="宋体" w:cs="宋体"/>
                <w:sz w:val="21"/>
                <w:szCs w:val="21"/>
              </w:rPr>
            </w:pPr>
            <w:r>
              <w:rPr>
                <w:rFonts w:hint="eastAsia" w:ascii="宋体" w:hAnsi="宋体" w:eastAsia="宋体" w:cs="宋体"/>
                <w:sz w:val="21"/>
                <w:szCs w:val="21"/>
              </w:rPr>
              <w:t>其他</w:t>
            </w:r>
          </w:p>
        </w:tc>
        <w:tc>
          <w:tcPr>
            <w:tcW w:w="1965" w:type="dxa"/>
            <w:shd w:val="clear" w:color="auto" w:fill="auto"/>
            <w:vAlign w:val="center"/>
          </w:tcPr>
          <w:p w14:paraId="6F33AD8F">
            <w:pPr>
              <w:jc w:val="center"/>
              <w:rPr>
                <w:rFonts w:hint="eastAsia" w:ascii="宋体" w:hAnsi="宋体" w:eastAsia="宋体" w:cs="宋体"/>
                <w:sz w:val="21"/>
                <w:szCs w:val="21"/>
              </w:rPr>
            </w:pPr>
            <w:r>
              <w:rPr>
                <w:rFonts w:hint="eastAsia" w:ascii="宋体" w:hAnsi="宋体" w:eastAsia="宋体" w:cs="宋体"/>
                <w:sz w:val="21"/>
                <w:szCs w:val="21"/>
              </w:rPr>
              <w:t>遥控器控制</w:t>
            </w:r>
          </w:p>
        </w:tc>
        <w:tc>
          <w:tcPr>
            <w:tcW w:w="3016" w:type="dxa"/>
            <w:shd w:val="clear" w:color="auto" w:fill="auto"/>
            <w:vAlign w:val="center"/>
          </w:tcPr>
          <w:p w14:paraId="4A9F5338">
            <w:pPr>
              <w:jc w:val="center"/>
              <w:rPr>
                <w:rFonts w:hint="eastAsia" w:ascii="宋体" w:hAnsi="宋体" w:eastAsia="宋体" w:cs="宋体"/>
                <w:sz w:val="21"/>
                <w:szCs w:val="21"/>
              </w:rPr>
            </w:pPr>
            <w:r>
              <w:rPr>
                <w:rFonts w:hint="eastAsia" w:ascii="宋体" w:hAnsi="宋体" w:eastAsia="宋体" w:cs="宋体"/>
                <w:sz w:val="21"/>
                <w:szCs w:val="21"/>
              </w:rPr>
              <w:t>要求具备</w:t>
            </w:r>
          </w:p>
        </w:tc>
        <w:tc>
          <w:tcPr>
            <w:tcW w:w="1966" w:type="dxa"/>
            <w:shd w:val="clear" w:color="auto" w:fill="auto"/>
            <w:vAlign w:val="center"/>
          </w:tcPr>
          <w:p w14:paraId="47789D91">
            <w:pPr>
              <w:jc w:val="center"/>
              <w:rPr>
                <w:rFonts w:hint="eastAsia" w:ascii="宋体" w:hAnsi="宋体" w:eastAsia="宋体" w:cs="宋体"/>
                <w:sz w:val="21"/>
                <w:szCs w:val="21"/>
              </w:rPr>
            </w:pPr>
          </w:p>
        </w:tc>
      </w:tr>
    </w:tbl>
    <w:p w14:paraId="68A1E868">
      <w:pPr>
        <w:numPr>
          <w:ilvl w:val="0"/>
          <w:numId w:val="0"/>
        </w:numPr>
        <w:spacing w:line="360" w:lineRule="auto"/>
        <w:ind w:left="0" w:leftChars="0" w:firstLine="0" w:firstLineChars="0"/>
        <w:outlineLvl w:val="2"/>
        <w:rPr>
          <w:rFonts w:hint="eastAsia" w:ascii="宋体" w:hAnsi="宋体" w:eastAsia="宋体" w:cs="宋体"/>
          <w:b/>
          <w:bCs/>
          <w:kern w:val="2"/>
          <w:sz w:val="21"/>
          <w:szCs w:val="21"/>
          <w:lang w:val="en-US" w:eastAsia="zh-CN" w:bidi="ar-SA"/>
        </w:rPr>
      </w:pPr>
      <w:bookmarkStart w:id="1677" w:name="_Toc17486"/>
      <w:r>
        <w:rPr>
          <w:rFonts w:hint="eastAsia" w:ascii="宋体" w:hAnsi="宋体" w:eastAsia="宋体" w:cs="宋体"/>
          <w:b/>
          <w:bCs/>
          <w:kern w:val="2"/>
          <w:sz w:val="21"/>
          <w:szCs w:val="21"/>
          <w:lang w:val="en-US" w:eastAsia="zh-CN" w:bidi="ar-SA"/>
        </w:rPr>
        <w:t>4.3叉车AGV技术要求</w:t>
      </w:r>
      <w:bookmarkEnd w:id="1677"/>
    </w:p>
    <w:p w14:paraId="242F03BD">
      <w:pPr>
        <w:tabs>
          <w:tab w:val="left" w:pos="9498"/>
        </w:tabs>
        <w:adjustRightInd w:val="0"/>
        <w:snapToGrid w:val="0"/>
        <w:spacing w:after="120"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使用场景：叉车AGV配合穿梭板取放货；</w:t>
      </w:r>
    </w:p>
    <w:p w14:paraId="12D1D81D">
      <w:pPr>
        <w:tabs>
          <w:tab w:val="left" w:pos="9498"/>
        </w:tabs>
        <w:adjustRightInd w:val="0"/>
        <w:snapToGrid w:val="0"/>
        <w:spacing w:after="120"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载重：≥1000Kg；</w:t>
      </w:r>
    </w:p>
    <w:p w14:paraId="543F5815">
      <w:pPr>
        <w:tabs>
          <w:tab w:val="left" w:pos="9498"/>
        </w:tabs>
        <w:adjustRightInd w:val="0"/>
        <w:snapToGrid w:val="0"/>
        <w:spacing w:after="120"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举升高度：8400mm；</w:t>
      </w:r>
    </w:p>
    <w:p w14:paraId="4A5CF2EA">
      <w:pPr>
        <w:tabs>
          <w:tab w:val="left" w:pos="9498"/>
        </w:tabs>
        <w:adjustRightInd w:val="0"/>
        <w:snapToGrid w:val="0"/>
        <w:spacing w:after="120"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充电方式：充电站充电，手动/自动，低电量或空闲充电</w:t>
      </w:r>
    </w:p>
    <w:p w14:paraId="0DB0FE4A">
      <w:pPr>
        <w:tabs>
          <w:tab w:val="left" w:pos="9498"/>
        </w:tabs>
        <w:adjustRightInd w:val="0"/>
        <w:snapToGrid w:val="0"/>
        <w:spacing w:after="120"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电池类型：磷酸铁锂电池；</w:t>
      </w:r>
    </w:p>
    <w:p w14:paraId="54475537">
      <w:pPr>
        <w:tabs>
          <w:tab w:val="left" w:pos="9498"/>
        </w:tabs>
        <w:adjustRightInd w:val="0"/>
        <w:snapToGrid w:val="0"/>
        <w:spacing w:after="120"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充电次数：≥1500次；</w:t>
      </w:r>
    </w:p>
    <w:p w14:paraId="47365A16">
      <w:pPr>
        <w:tabs>
          <w:tab w:val="left" w:pos="9498"/>
        </w:tabs>
        <w:adjustRightInd w:val="0"/>
        <w:snapToGrid w:val="0"/>
        <w:spacing w:after="120"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满电工作时间：6~8小时；</w:t>
      </w:r>
    </w:p>
    <w:p w14:paraId="64335599">
      <w:pPr>
        <w:tabs>
          <w:tab w:val="left" w:pos="9498"/>
        </w:tabs>
        <w:adjustRightInd w:val="0"/>
        <w:snapToGrid w:val="0"/>
        <w:spacing w:after="120"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充电时间：0~2小时；</w:t>
      </w:r>
    </w:p>
    <w:p w14:paraId="3B89AC41">
      <w:pPr>
        <w:tabs>
          <w:tab w:val="left" w:pos="9498"/>
        </w:tabs>
        <w:adjustRightInd w:val="0"/>
        <w:snapToGrid w:val="0"/>
        <w:spacing w:after="120"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导航方式：激光/二维码/混合；</w:t>
      </w:r>
    </w:p>
    <w:p w14:paraId="71C6B6FB">
      <w:pPr>
        <w:tabs>
          <w:tab w:val="left" w:pos="9498"/>
        </w:tabs>
        <w:adjustRightInd w:val="0"/>
        <w:snapToGrid w:val="0"/>
        <w:spacing w:after="120"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定位精度：±10mm；</w:t>
      </w:r>
    </w:p>
    <w:p w14:paraId="33AA0CE2">
      <w:pPr>
        <w:numPr>
          <w:ilvl w:val="0"/>
          <w:numId w:val="0"/>
        </w:numPr>
        <w:spacing w:line="360" w:lineRule="auto"/>
        <w:ind w:left="0" w:leftChars="0" w:firstLine="0" w:firstLineChars="0"/>
        <w:outlineLvl w:val="9"/>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3.5、</w:t>
      </w:r>
      <w:bookmarkEnd w:id="1667"/>
      <w:r>
        <w:rPr>
          <w:rFonts w:hint="eastAsia" w:ascii="宋体" w:hAnsi="宋体" w:eastAsia="宋体" w:cs="宋体"/>
          <w:b/>
          <w:bCs/>
          <w:kern w:val="2"/>
          <w:sz w:val="21"/>
          <w:szCs w:val="21"/>
          <w:lang w:val="en-US" w:eastAsia="zh-CN" w:bidi="ar-SA"/>
        </w:rPr>
        <w:t>软件平台</w:t>
      </w:r>
    </w:p>
    <w:p w14:paraId="1070FD98">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3.5.1、云端智能数字化平台，手机及电脑端可远程集中监控；平台系统能根据负荷设定自动运行，带记录、存取、打印及温度显示以及机组运行参数采集功能，并能进行故障远程监控及电话报警功能。并带有自我诊断功能，保鲜动态管理功能；</w:t>
      </w:r>
    </w:p>
    <w:p w14:paraId="7911B3CB">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3.5.2、氟泄露实时检测系统，手机及电脑端可远程监测，平台系统能根据氟浓度设定自动检测，带记录、存取、打印及氟浓度显示以及位置检测数据采集功能，并能进行泄露远程监控及电话报警功能。</w:t>
      </w:r>
    </w:p>
    <w:p w14:paraId="69424BA6">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3.5.4、在远程客户端可实现：远程电脑，手机App实现：历史数据查询、历史曲线查询、实时数据显示、报警记录查询、参数调等。</w:t>
      </w:r>
    </w:p>
    <w:p w14:paraId="2A39E3E0">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3.5.5、系统具有设置数据存储的能力，至少能存储180天以上的运行数据备查。其中48小时以内各库房的温度必须能以1分钟的间隔存储180天以上。当日的记录内容（24小时）应至少有时间、温度、顺序号、库编号、冷库名称。</w:t>
      </w:r>
    </w:p>
    <w:p w14:paraId="2D4EA77A">
      <w:pPr>
        <w:numPr>
          <w:ilvl w:val="0"/>
          <w:numId w:val="0"/>
        </w:numPr>
        <w:spacing w:line="360" w:lineRule="auto"/>
        <w:ind w:left="0" w:leftChars="0" w:firstLine="0" w:firstLineChars="0"/>
        <w:outlineLvl w:val="9"/>
        <w:rPr>
          <w:rFonts w:hint="eastAsia" w:ascii="宋体" w:hAnsi="宋体" w:eastAsia="宋体" w:cs="宋体"/>
          <w:b/>
          <w:bCs/>
          <w:kern w:val="2"/>
          <w:sz w:val="21"/>
          <w:szCs w:val="21"/>
          <w:lang w:val="en-US" w:eastAsia="zh-CN" w:bidi="ar-SA"/>
        </w:rPr>
      </w:pPr>
      <w:bookmarkStart w:id="1678" w:name="_Toc152842918"/>
      <w:r>
        <w:rPr>
          <w:rFonts w:hint="eastAsia" w:ascii="宋体" w:hAnsi="宋体" w:eastAsia="宋体" w:cs="宋体"/>
          <w:b/>
          <w:bCs/>
          <w:kern w:val="2"/>
          <w:sz w:val="21"/>
          <w:szCs w:val="21"/>
          <w:lang w:val="en-US" w:eastAsia="zh-CN" w:bidi="ar-SA"/>
        </w:rPr>
        <w:t>3.6、PLC 控制</w:t>
      </w:r>
      <w:bookmarkEnd w:id="1678"/>
    </w:p>
    <w:p w14:paraId="19AE9A9C">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3.6.1、冷库的控制系统应是节能的全自动控制系统。可以根据各库房设定的温度自动调节各库房的冷风机的运行、调节冷媒的流量和流速。并在就地设手动调节器和启闭开关, 便于维护、检修。</w:t>
      </w:r>
    </w:p>
    <w:p w14:paraId="2D8E99C2">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3.6.2、需要提供监控工作站，相关的系统软件、监控应用软件。完成将这些设备的监控信号集成并负责提供监控设备和完成线路连接和系统调试等。</w:t>
      </w:r>
    </w:p>
    <w:p w14:paraId="4194CD0F">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3.6.3、集中监控功能：以图像和数据方式显示系统设备当前的工作状态，如工作状态，待机状态，故障，启动、工作中的数据（如温度、压力、时间等）等。有关状态的所有数据存储后可供追溯查询。</w:t>
      </w:r>
    </w:p>
    <w:p w14:paraId="79B27AAB">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3.6.4、系统报警功能：冷库温度报警，设备故障报警等，可通过电话、短信或邮件或微信等通知相应的人员。</w:t>
      </w:r>
    </w:p>
    <w:p w14:paraId="579D7EAB">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3.6.5、系统提供远程监控，控制所有冷库的化霜系统、控制所有冷库的蒸发器、压缩机组状态监控和故障报警、冷凝器状态监控和故障报警、蒸发器状态监控和故障报警、高温/低温限度报警等。</w:t>
      </w:r>
    </w:p>
    <w:p w14:paraId="6B66BE43">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3.6.6、集中监控系统可以随时观察各库房的温度情况，了解、纪录当前温度与设定温度的偏差。具有温度上限、下限报警功能。自动启动或停止冷库风机的运行。自动调节各库房冷媒的供给。</w:t>
      </w:r>
    </w:p>
    <w:p w14:paraId="05461B13">
      <w:pPr>
        <w:rPr>
          <w:rFonts w:hint="eastAsia" w:ascii="宋体" w:hAnsi="宋体" w:eastAsia="宋体" w:cs="宋体"/>
          <w:kern w:val="2"/>
          <w:sz w:val="21"/>
          <w:szCs w:val="21"/>
          <w:lang w:val="en-US" w:eastAsia="zh-CN" w:bidi="ar-SA"/>
        </w:rPr>
      </w:pPr>
      <w:bookmarkStart w:id="1679" w:name="_Toc152842919"/>
      <w:r>
        <w:rPr>
          <w:rFonts w:hint="eastAsia" w:ascii="宋体" w:hAnsi="宋体" w:eastAsia="宋体" w:cs="宋体"/>
          <w:kern w:val="2"/>
          <w:sz w:val="21"/>
          <w:szCs w:val="21"/>
          <w:lang w:val="en-US" w:eastAsia="zh-CN" w:bidi="ar-SA"/>
        </w:rPr>
        <w:t>3.6.7、监测和监控</w:t>
      </w:r>
      <w:bookmarkEnd w:id="1679"/>
      <w:r>
        <w:rPr>
          <w:rFonts w:hint="eastAsia" w:ascii="宋体" w:hAnsi="宋体" w:eastAsia="宋体" w:cs="宋体"/>
          <w:kern w:val="2"/>
          <w:sz w:val="21"/>
          <w:szCs w:val="21"/>
          <w:lang w:val="en-US" w:eastAsia="zh-CN" w:bidi="ar-SA"/>
        </w:rPr>
        <w:t>A）制冷控制系统能全程跟踪和检测各设备运行状态，记录、储存、分析、管理数据，对异常情况发出声光报警；B）</w:t>
      </w:r>
    </w:p>
    <w:p w14:paraId="2FEFA499">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各冷库内设置温度监测装置（4 点或以上），冷库内测温点要安置在具有代表性位置，并将温度以数字信号的格式反馈给控制系统。</w:t>
      </w:r>
    </w:p>
    <w:p w14:paraId="2DF3D7DF">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C）冷库温度传感器：采用 PT1000的温度传感器。D）库房外部（门口附近）设置数字式库温调节器和显示装置，便于使用人员随时了解温度的情况，调整温度设定。</w:t>
      </w:r>
    </w:p>
    <w:p w14:paraId="58166BE0">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3.6.8、所有的供电电缆、导线、控制线、通讯电缆（光纤除外）必须使用铜芯导线作为载体。不接受使用铝质、铁质或者其他材料的导线和电缆。</w:t>
      </w:r>
    </w:p>
    <w:p w14:paraId="2EB5B664">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3.6.9、要求配置不少于2个在线氟泄露检测点位（点位：机房2个）发生氟泄露事能自动发出声光报警。机房内发生氟泄露应能自动启动事故风机。</w:t>
      </w:r>
    </w:p>
    <w:p w14:paraId="73F37D81">
      <w:pPr>
        <w:numPr>
          <w:ilvl w:val="0"/>
          <w:numId w:val="0"/>
        </w:numPr>
        <w:spacing w:line="360" w:lineRule="auto"/>
        <w:ind w:left="0" w:leftChars="0" w:firstLine="0" w:firstLineChars="0"/>
        <w:outlineLvl w:val="9"/>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3.7、加湿系统</w:t>
      </w:r>
    </w:p>
    <w:p w14:paraId="0F7BF086">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3.7.1、加湿要求采用脉冲式超高压微雾（带变频）。加湿量需要自动跟踪季节变化、温度变化、湿度变化，自动恒湿在需要的数值；不需要人为的、经常“设定”湿度数。</w:t>
      </w:r>
    </w:p>
    <w:p w14:paraId="3E191265">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3.7.2、加湿过程中不滴水、不凝水，不影响库内的正常工作。</w:t>
      </w:r>
    </w:p>
    <w:p w14:paraId="30AE1534">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3.7.3、配备超湿报警关闭进水电磁阀功能，防止湿控系统失准。</w:t>
      </w:r>
    </w:p>
    <w:p w14:paraId="3071081A">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3.7.4、每个库分别安装防爆型485湿度传感器1套，湿度信号传到PLC及触摸屏，最终通过Modbus通讯协议送至上位机。</w:t>
      </w:r>
    </w:p>
    <w:p w14:paraId="5CA4B0B1">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3.7.5、主喷雾管外加保温管防止冬天当地气候零下的防冻措施。</w:t>
      </w:r>
    </w:p>
    <w:p w14:paraId="59F7C7C3">
      <w:pPr>
        <w:numPr>
          <w:ilvl w:val="0"/>
          <w:numId w:val="0"/>
        </w:numPr>
        <w:spacing w:line="360" w:lineRule="auto"/>
        <w:ind w:left="0" w:leftChars="0" w:firstLine="0" w:firstLineChars="0"/>
        <w:outlineLvl w:val="9"/>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3.8、保温库体</w:t>
      </w:r>
    </w:p>
    <w:p w14:paraId="470B9F9A">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3.8.1、冷库保温板均采用PIR机制板,详细厚度以满足冷库相应温区的设计要求。保温板材具体要求如下；</w:t>
      </w:r>
    </w:p>
    <w:p w14:paraId="323C4AE5">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【A】PIR泡沫夹芯板物理及机械性能指标必须满足以下实际使用指标：</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2"/>
        <w:gridCol w:w="2355"/>
        <w:gridCol w:w="3157"/>
        <w:gridCol w:w="2322"/>
      </w:tblGrid>
      <w:tr w14:paraId="2D6DA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2" w:type="dxa"/>
          </w:tcPr>
          <w:p w14:paraId="17BCC33E">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序号</w:t>
            </w:r>
          </w:p>
        </w:tc>
        <w:tc>
          <w:tcPr>
            <w:tcW w:w="2355" w:type="dxa"/>
          </w:tcPr>
          <w:p w14:paraId="2A7A9ACD">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项目</w:t>
            </w:r>
          </w:p>
        </w:tc>
        <w:tc>
          <w:tcPr>
            <w:tcW w:w="3157" w:type="dxa"/>
          </w:tcPr>
          <w:p w14:paraId="028C1DA4">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技术指标</w:t>
            </w:r>
          </w:p>
        </w:tc>
        <w:tc>
          <w:tcPr>
            <w:tcW w:w="2322" w:type="dxa"/>
          </w:tcPr>
          <w:p w14:paraId="36F6BB16">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备注</w:t>
            </w:r>
          </w:p>
        </w:tc>
      </w:tr>
      <w:tr w14:paraId="689E1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2" w:type="dxa"/>
          </w:tcPr>
          <w:p w14:paraId="7C410A0B">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w:t>
            </w:r>
          </w:p>
        </w:tc>
        <w:tc>
          <w:tcPr>
            <w:tcW w:w="2355" w:type="dxa"/>
          </w:tcPr>
          <w:p w14:paraId="09A9E23F">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导热系数</w:t>
            </w:r>
          </w:p>
        </w:tc>
        <w:tc>
          <w:tcPr>
            <w:tcW w:w="3157" w:type="dxa"/>
          </w:tcPr>
          <w:p w14:paraId="7C6067F0">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λ≤0.020-0.024w/m.k</w:t>
            </w:r>
          </w:p>
        </w:tc>
        <w:tc>
          <w:tcPr>
            <w:tcW w:w="2322" w:type="dxa"/>
          </w:tcPr>
          <w:p w14:paraId="764650BD">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JB/T6527/2006</w:t>
            </w:r>
          </w:p>
        </w:tc>
      </w:tr>
      <w:tr w14:paraId="3EE5F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2" w:type="dxa"/>
          </w:tcPr>
          <w:p w14:paraId="36C91207">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w:t>
            </w:r>
          </w:p>
        </w:tc>
        <w:tc>
          <w:tcPr>
            <w:tcW w:w="2355" w:type="dxa"/>
          </w:tcPr>
          <w:p w14:paraId="781FA7FB">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密度</w:t>
            </w:r>
          </w:p>
        </w:tc>
        <w:tc>
          <w:tcPr>
            <w:tcW w:w="3157" w:type="dxa"/>
          </w:tcPr>
          <w:p w14:paraId="733A980F">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42±4kg/cm3</w:t>
            </w:r>
          </w:p>
        </w:tc>
        <w:tc>
          <w:tcPr>
            <w:tcW w:w="2322" w:type="dxa"/>
          </w:tcPr>
          <w:p w14:paraId="13FA6B04">
            <w:pPr>
              <w:rPr>
                <w:rFonts w:hint="eastAsia" w:ascii="宋体" w:hAnsi="宋体" w:eastAsia="宋体" w:cs="宋体"/>
                <w:kern w:val="2"/>
                <w:sz w:val="21"/>
                <w:szCs w:val="21"/>
                <w:lang w:val="en-US" w:eastAsia="zh-CN" w:bidi="ar-SA"/>
              </w:rPr>
            </w:pPr>
          </w:p>
        </w:tc>
      </w:tr>
      <w:tr w14:paraId="610FA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2" w:type="dxa"/>
          </w:tcPr>
          <w:p w14:paraId="2CEBC1AE">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w:t>
            </w:r>
          </w:p>
        </w:tc>
        <w:tc>
          <w:tcPr>
            <w:tcW w:w="2355" w:type="dxa"/>
          </w:tcPr>
          <w:p w14:paraId="06387562">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压缩强度</w:t>
            </w:r>
          </w:p>
        </w:tc>
        <w:tc>
          <w:tcPr>
            <w:tcW w:w="3157" w:type="dxa"/>
          </w:tcPr>
          <w:p w14:paraId="2993011C">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≥160KPa</w:t>
            </w:r>
          </w:p>
        </w:tc>
        <w:tc>
          <w:tcPr>
            <w:tcW w:w="2322" w:type="dxa"/>
          </w:tcPr>
          <w:p w14:paraId="10B2D2E1">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形变10%</w:t>
            </w:r>
          </w:p>
        </w:tc>
      </w:tr>
      <w:tr w14:paraId="07AA2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2" w:type="dxa"/>
          </w:tcPr>
          <w:p w14:paraId="498DCDC0">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w:t>
            </w:r>
          </w:p>
        </w:tc>
        <w:tc>
          <w:tcPr>
            <w:tcW w:w="2355" w:type="dxa"/>
          </w:tcPr>
          <w:p w14:paraId="304911C4">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防火阻燃</w:t>
            </w:r>
          </w:p>
        </w:tc>
        <w:tc>
          <w:tcPr>
            <w:tcW w:w="3157" w:type="dxa"/>
          </w:tcPr>
          <w:p w14:paraId="2BD8CBF9">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B1级</w:t>
            </w:r>
          </w:p>
        </w:tc>
        <w:tc>
          <w:tcPr>
            <w:tcW w:w="2322" w:type="dxa"/>
          </w:tcPr>
          <w:p w14:paraId="099D895C">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GB8624-20012</w:t>
            </w:r>
          </w:p>
        </w:tc>
      </w:tr>
      <w:tr w14:paraId="4CA99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2" w:type="dxa"/>
          </w:tcPr>
          <w:p w14:paraId="2BDD8576">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5</w:t>
            </w:r>
          </w:p>
        </w:tc>
        <w:tc>
          <w:tcPr>
            <w:tcW w:w="2355" w:type="dxa"/>
          </w:tcPr>
          <w:p w14:paraId="6EAD779C">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氧指数</w:t>
            </w:r>
          </w:p>
        </w:tc>
        <w:tc>
          <w:tcPr>
            <w:tcW w:w="3157" w:type="dxa"/>
          </w:tcPr>
          <w:p w14:paraId="7A5217C7">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≥30%</w:t>
            </w:r>
          </w:p>
        </w:tc>
        <w:tc>
          <w:tcPr>
            <w:tcW w:w="2322" w:type="dxa"/>
          </w:tcPr>
          <w:p w14:paraId="784404B1">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GB8624-20012</w:t>
            </w:r>
          </w:p>
        </w:tc>
      </w:tr>
      <w:tr w14:paraId="5CE1C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2" w:type="dxa"/>
          </w:tcPr>
          <w:p w14:paraId="7832045E">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6</w:t>
            </w:r>
          </w:p>
        </w:tc>
        <w:tc>
          <w:tcPr>
            <w:tcW w:w="2355" w:type="dxa"/>
          </w:tcPr>
          <w:p w14:paraId="0221C705">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尺寸稳定性</w:t>
            </w:r>
          </w:p>
        </w:tc>
        <w:tc>
          <w:tcPr>
            <w:tcW w:w="3157" w:type="dxa"/>
          </w:tcPr>
          <w:p w14:paraId="74780A63">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w:t>
            </w:r>
          </w:p>
        </w:tc>
        <w:tc>
          <w:tcPr>
            <w:tcW w:w="2322" w:type="dxa"/>
          </w:tcPr>
          <w:p w14:paraId="2C30166B">
            <w:pPr>
              <w:rPr>
                <w:rFonts w:hint="eastAsia" w:ascii="宋体" w:hAnsi="宋体" w:eastAsia="宋体" w:cs="宋体"/>
                <w:kern w:val="2"/>
                <w:sz w:val="21"/>
                <w:szCs w:val="21"/>
                <w:lang w:val="en-US" w:eastAsia="zh-CN" w:bidi="ar-SA"/>
              </w:rPr>
            </w:pPr>
          </w:p>
        </w:tc>
      </w:tr>
      <w:tr w14:paraId="30880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2" w:type="dxa"/>
          </w:tcPr>
          <w:p w14:paraId="58023660">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7</w:t>
            </w:r>
          </w:p>
        </w:tc>
        <w:tc>
          <w:tcPr>
            <w:tcW w:w="2355" w:type="dxa"/>
          </w:tcPr>
          <w:p w14:paraId="59DF7348">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断裂延伸率</w:t>
            </w:r>
          </w:p>
        </w:tc>
        <w:tc>
          <w:tcPr>
            <w:tcW w:w="3157" w:type="dxa"/>
          </w:tcPr>
          <w:p w14:paraId="63847FA3">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10%</w:t>
            </w:r>
          </w:p>
        </w:tc>
        <w:tc>
          <w:tcPr>
            <w:tcW w:w="2322" w:type="dxa"/>
          </w:tcPr>
          <w:p w14:paraId="435E32A9">
            <w:pPr>
              <w:rPr>
                <w:rFonts w:hint="eastAsia" w:ascii="宋体" w:hAnsi="宋体" w:eastAsia="宋体" w:cs="宋体"/>
                <w:kern w:val="2"/>
                <w:sz w:val="21"/>
                <w:szCs w:val="21"/>
                <w:lang w:val="en-US" w:eastAsia="zh-CN" w:bidi="ar-SA"/>
              </w:rPr>
            </w:pPr>
          </w:p>
        </w:tc>
      </w:tr>
    </w:tbl>
    <w:p w14:paraId="4657AAB5">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【B】彩钢板材料必须满足以下实际使用指标</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4"/>
        <w:gridCol w:w="2655"/>
        <w:gridCol w:w="2715"/>
        <w:gridCol w:w="2322"/>
      </w:tblGrid>
      <w:tr w14:paraId="423EB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4" w:type="dxa"/>
          </w:tcPr>
          <w:p w14:paraId="757AAB75">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   序号</w:t>
            </w:r>
          </w:p>
        </w:tc>
        <w:tc>
          <w:tcPr>
            <w:tcW w:w="2655" w:type="dxa"/>
          </w:tcPr>
          <w:p w14:paraId="7D994CE8">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项目</w:t>
            </w:r>
          </w:p>
        </w:tc>
        <w:tc>
          <w:tcPr>
            <w:tcW w:w="2715" w:type="dxa"/>
          </w:tcPr>
          <w:p w14:paraId="732AB460">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技术指标</w:t>
            </w:r>
          </w:p>
        </w:tc>
        <w:tc>
          <w:tcPr>
            <w:tcW w:w="2322" w:type="dxa"/>
          </w:tcPr>
          <w:p w14:paraId="51AA5685">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备注</w:t>
            </w:r>
          </w:p>
        </w:tc>
      </w:tr>
      <w:tr w14:paraId="1E00E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4" w:type="dxa"/>
          </w:tcPr>
          <w:p w14:paraId="2A679077">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w:t>
            </w:r>
          </w:p>
        </w:tc>
        <w:tc>
          <w:tcPr>
            <w:tcW w:w="2655" w:type="dxa"/>
          </w:tcPr>
          <w:p w14:paraId="611EA7CA">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基板类型</w:t>
            </w:r>
          </w:p>
        </w:tc>
        <w:tc>
          <w:tcPr>
            <w:tcW w:w="2715" w:type="dxa"/>
          </w:tcPr>
          <w:p w14:paraId="2A42A2B7">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热浸镀锌基板</w:t>
            </w:r>
          </w:p>
        </w:tc>
        <w:tc>
          <w:tcPr>
            <w:tcW w:w="2322" w:type="dxa"/>
          </w:tcPr>
          <w:p w14:paraId="7C45A41F">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国标</w:t>
            </w:r>
          </w:p>
        </w:tc>
      </w:tr>
      <w:tr w14:paraId="273A5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4" w:type="dxa"/>
          </w:tcPr>
          <w:p w14:paraId="479E0DAF">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w:t>
            </w:r>
          </w:p>
        </w:tc>
        <w:tc>
          <w:tcPr>
            <w:tcW w:w="2655" w:type="dxa"/>
          </w:tcPr>
          <w:p w14:paraId="01A76E33">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材料厚度</w:t>
            </w:r>
          </w:p>
        </w:tc>
        <w:tc>
          <w:tcPr>
            <w:tcW w:w="2715" w:type="dxa"/>
          </w:tcPr>
          <w:p w14:paraId="06E87B68">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 0.476mmmm</w:t>
            </w:r>
          </w:p>
        </w:tc>
        <w:tc>
          <w:tcPr>
            <w:tcW w:w="2322" w:type="dxa"/>
          </w:tcPr>
          <w:p w14:paraId="3F98A4B8">
            <w:pPr>
              <w:rPr>
                <w:rFonts w:hint="eastAsia" w:ascii="宋体" w:hAnsi="宋体" w:eastAsia="宋体" w:cs="宋体"/>
                <w:kern w:val="2"/>
                <w:sz w:val="21"/>
                <w:szCs w:val="21"/>
                <w:lang w:val="en-US" w:eastAsia="zh-CN" w:bidi="ar-SA"/>
              </w:rPr>
            </w:pPr>
          </w:p>
        </w:tc>
      </w:tr>
      <w:tr w14:paraId="5B7E3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4" w:type="dxa"/>
          </w:tcPr>
          <w:p w14:paraId="3CED9778">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w:t>
            </w:r>
          </w:p>
        </w:tc>
        <w:tc>
          <w:tcPr>
            <w:tcW w:w="2655" w:type="dxa"/>
          </w:tcPr>
          <w:p w14:paraId="293C2064">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镀铝锌含量</w:t>
            </w:r>
          </w:p>
        </w:tc>
        <w:tc>
          <w:tcPr>
            <w:tcW w:w="2715" w:type="dxa"/>
          </w:tcPr>
          <w:p w14:paraId="6C8B2364">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80-100克/平方</w:t>
            </w:r>
          </w:p>
        </w:tc>
        <w:tc>
          <w:tcPr>
            <w:tcW w:w="2322" w:type="dxa"/>
          </w:tcPr>
          <w:p w14:paraId="1D9B8890">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双面镀铝锌含量</w:t>
            </w:r>
          </w:p>
        </w:tc>
      </w:tr>
      <w:tr w14:paraId="7546B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4" w:type="dxa"/>
          </w:tcPr>
          <w:p w14:paraId="6DBC6F2D">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w:t>
            </w:r>
          </w:p>
        </w:tc>
        <w:tc>
          <w:tcPr>
            <w:tcW w:w="2655" w:type="dxa"/>
          </w:tcPr>
          <w:p w14:paraId="0B7DAF7C">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漆膜厚度PE</w:t>
            </w:r>
          </w:p>
        </w:tc>
        <w:tc>
          <w:tcPr>
            <w:tcW w:w="2715" w:type="dxa"/>
          </w:tcPr>
          <w:p w14:paraId="2C5DBF93">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20/8µm</w:t>
            </w:r>
          </w:p>
        </w:tc>
        <w:tc>
          <w:tcPr>
            <w:tcW w:w="2322" w:type="dxa"/>
          </w:tcPr>
          <w:p w14:paraId="7678BADB">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双涂双烤固化</w:t>
            </w:r>
          </w:p>
        </w:tc>
      </w:tr>
    </w:tbl>
    <w:p w14:paraId="71E4D8CA">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3.8.2、地面保温采用XPS 保温板，其厚度、压缩强度、请按提资图纸要求为准， XPS 材料性能需要满足以下标准： </w:t>
      </w:r>
    </w:p>
    <w:p w14:paraId="68268B00">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1）表观密度：30kg/m³        GB/T 8813－2008</w:t>
      </w:r>
    </w:p>
    <w:p w14:paraId="42B14542">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2）吸水率 %  ≤ 0.7         GB/T 8810－2005</w:t>
      </w:r>
    </w:p>
    <w:p w14:paraId="38C349D3">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3）尺寸稳定性 %  ≤ 0.5     GB/T 8811－2008 </w:t>
      </w:r>
    </w:p>
    <w:p w14:paraId="43ECC4CD">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4）透湿系数ng/m·s·Pa ≤ 1.7</w:t>
      </w:r>
    </w:p>
    <w:p w14:paraId="7C00D211">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5）导热系数λ（w/m·k）：λ≤0.027（10°C时），λ≤0.0029（25℃时）λ≤0.0024（-20℃时）</w:t>
      </w:r>
    </w:p>
    <w:p w14:paraId="5AA9D916">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6）燃烧分级  B1级  符合GB8624-2012标准  氧指数 30</w:t>
      </w:r>
    </w:p>
    <w:p w14:paraId="34E3D74F">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7）边缘型式  RC/TG/SL（雨槽/榫槽/搭接）</w:t>
      </w:r>
    </w:p>
    <w:p w14:paraId="5D771D44">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8）环保要求：不含hbcd（六溴环十二烷）、cfc（氯氟烃）、hcfc（氢氯氟烃）提供SGS  XPS环保检测 、华测 XPS环保检测报告。</w:t>
      </w:r>
    </w:p>
    <w:p w14:paraId="2F5D75B4">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3.9.3、保鲜冷库门要求：冷库门壁板为拉丝或发纹不锈钢板，钢板厚度≥0.6mm，冷库门绝热性能和厚度等技术指标同库板；气调库采用附合要求的气调专用门带参观窗。门框与库板的缝隙用发泡聚氨酯填充，表面覆保护膜，门框与冷库门之间有密封装置，其结构不应有“冷桥”。所有冷库门框内要埋设有介质加热或者恒温电加热装置，防止门的密封条被冻结, 当采用电热时需提供电热保护和安全措施等装置。气调冷库采用门壁板采用彩钢，钢板厚度≥0.6mm，带参观窗。</w:t>
      </w:r>
    </w:p>
    <w:p w14:paraId="1CCCDAD0">
      <w:pPr>
        <w:numPr>
          <w:ilvl w:val="0"/>
          <w:numId w:val="0"/>
        </w:numPr>
        <w:spacing w:line="360" w:lineRule="auto"/>
        <w:ind w:left="0" w:leftChars="0" w:firstLine="0" w:firstLineChars="0"/>
        <w:outlineLvl w:val="1"/>
        <w:rPr>
          <w:rFonts w:hint="eastAsia" w:ascii="宋体" w:hAnsi="宋体" w:eastAsia="宋体" w:cs="宋体"/>
          <w:b/>
          <w:bCs/>
          <w:sz w:val="21"/>
          <w:szCs w:val="21"/>
          <w:lang w:val="en-US" w:eastAsia="zh-CN"/>
        </w:rPr>
      </w:pPr>
      <w:bookmarkStart w:id="1680" w:name="_Toc70413746"/>
      <w:bookmarkStart w:id="1681" w:name="_Toc10471"/>
      <w:r>
        <w:rPr>
          <w:rFonts w:hint="eastAsia" w:ascii="宋体" w:hAnsi="宋体" w:eastAsia="宋体" w:cs="宋体"/>
          <w:b/>
          <w:bCs/>
          <w:sz w:val="21"/>
          <w:szCs w:val="21"/>
          <w:lang w:val="en-US" w:eastAsia="zh-CN"/>
        </w:rPr>
        <w:t>5软件系统要求</w:t>
      </w:r>
      <w:bookmarkEnd w:id="1680"/>
      <w:bookmarkEnd w:id="1681"/>
    </w:p>
    <w:p w14:paraId="22947C5E">
      <w:pPr>
        <w:ind w:firstLine="420" w:firstLineChars="20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包括仓库管理系统（WMS）、监控系统（WCS）和RF系统以及计算机网络和系统软件。所有软件（开发软件和运行软件）均需正版授权。</w:t>
      </w:r>
    </w:p>
    <w:p w14:paraId="02A88D97">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WMS系统和WCS系统为投标方自行开发，具备自主知识产权。</w:t>
      </w:r>
    </w:p>
    <w:p w14:paraId="417D51EF">
      <w:pPr>
        <w:numPr>
          <w:ilvl w:val="0"/>
          <w:numId w:val="0"/>
        </w:numPr>
        <w:spacing w:line="360" w:lineRule="auto"/>
        <w:ind w:left="0" w:leftChars="0" w:firstLine="0" w:firstLineChars="0"/>
        <w:outlineLvl w:val="2"/>
        <w:rPr>
          <w:rFonts w:hint="eastAsia" w:ascii="宋体" w:hAnsi="宋体" w:eastAsia="宋体" w:cs="宋体"/>
          <w:b/>
          <w:bCs/>
          <w:kern w:val="2"/>
          <w:sz w:val="21"/>
          <w:szCs w:val="21"/>
          <w:lang w:val="en-US" w:eastAsia="zh-CN" w:bidi="ar-SA"/>
        </w:rPr>
      </w:pPr>
      <w:bookmarkStart w:id="1682" w:name="_Toc32081"/>
      <w:bookmarkStart w:id="1683" w:name="_Toc70413747"/>
      <w:bookmarkStart w:id="1684" w:name="_Toc449088113"/>
      <w:r>
        <w:rPr>
          <w:rFonts w:hint="eastAsia" w:ascii="宋体" w:hAnsi="宋体" w:eastAsia="宋体" w:cs="宋体"/>
          <w:b/>
          <w:bCs/>
          <w:kern w:val="2"/>
          <w:sz w:val="21"/>
          <w:szCs w:val="21"/>
          <w:lang w:val="en-US" w:eastAsia="zh-CN" w:bidi="ar-SA"/>
        </w:rPr>
        <w:t>5.1仓库管理系统WMS</w:t>
      </w:r>
      <w:bookmarkEnd w:id="1682"/>
      <w:bookmarkEnd w:id="1683"/>
    </w:p>
    <w:p w14:paraId="1A68F180">
      <w:pPr>
        <w:ind w:firstLine="420" w:firstLineChars="20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WMS应能实现以下功能（不仅限制于此）</w:t>
      </w:r>
    </w:p>
    <w:p w14:paraId="61A53EB5">
      <w:pPr>
        <w:ind w:firstLine="420" w:firstLineChars="20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WMS具备与企业ERP管理系统/MES系统兼容对接能力，但在无ERP时，可以独立运行。WMS必须实现与计算机监控系统WCS无缝衔接，可以实现多自动化立体仓库的统一管理，在对自动化立体仓库管理中，必须实现WMS可以直接将出入库的信息，下发到WCS，由WCS完成出入库指令，并将出入库状态返回到WMS。</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9"/>
        <w:gridCol w:w="7598"/>
      </w:tblGrid>
      <w:tr w14:paraId="0ACBB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59" w:type="dxa"/>
            <w:vAlign w:val="center"/>
          </w:tcPr>
          <w:p w14:paraId="00ECF2A2">
            <w:pPr>
              <w:spacing w:line="276" w:lineRule="auto"/>
              <w:jc w:val="center"/>
              <w:rPr>
                <w:rFonts w:hint="eastAsia" w:ascii="宋体" w:hAnsi="宋体" w:eastAsia="宋体" w:cs="宋体"/>
                <w:sz w:val="21"/>
                <w:szCs w:val="21"/>
              </w:rPr>
            </w:pPr>
            <w:r>
              <w:rPr>
                <w:rFonts w:hint="eastAsia" w:ascii="宋体" w:hAnsi="宋体" w:eastAsia="宋体" w:cs="宋体"/>
                <w:sz w:val="21"/>
                <w:szCs w:val="21"/>
              </w:rPr>
              <w:t>功能名称</w:t>
            </w:r>
          </w:p>
        </w:tc>
        <w:tc>
          <w:tcPr>
            <w:tcW w:w="7598" w:type="dxa"/>
            <w:vAlign w:val="center"/>
          </w:tcPr>
          <w:p w14:paraId="1BE5C4AB">
            <w:pPr>
              <w:spacing w:line="276" w:lineRule="auto"/>
              <w:rPr>
                <w:rFonts w:hint="eastAsia" w:ascii="宋体" w:hAnsi="宋体" w:eastAsia="宋体" w:cs="宋体"/>
                <w:sz w:val="21"/>
                <w:szCs w:val="21"/>
              </w:rPr>
            </w:pPr>
            <w:r>
              <w:rPr>
                <w:rFonts w:hint="eastAsia" w:ascii="宋体" w:hAnsi="宋体" w:eastAsia="宋体" w:cs="宋体"/>
                <w:sz w:val="21"/>
                <w:szCs w:val="21"/>
              </w:rPr>
              <w:t>功能描述</w:t>
            </w:r>
          </w:p>
        </w:tc>
      </w:tr>
      <w:tr w14:paraId="25C0D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59" w:type="dxa"/>
            <w:vAlign w:val="center"/>
          </w:tcPr>
          <w:p w14:paraId="537763AC">
            <w:pPr>
              <w:spacing w:line="276" w:lineRule="auto"/>
              <w:jc w:val="center"/>
              <w:rPr>
                <w:rFonts w:hint="eastAsia" w:ascii="宋体" w:hAnsi="宋体" w:eastAsia="宋体" w:cs="宋体"/>
                <w:sz w:val="21"/>
                <w:szCs w:val="21"/>
              </w:rPr>
            </w:pPr>
            <w:r>
              <w:rPr>
                <w:rFonts w:hint="eastAsia" w:ascii="宋体" w:hAnsi="宋体" w:eastAsia="宋体" w:cs="宋体"/>
                <w:sz w:val="21"/>
                <w:szCs w:val="21"/>
              </w:rPr>
              <w:t>安全管理</w:t>
            </w:r>
          </w:p>
        </w:tc>
        <w:tc>
          <w:tcPr>
            <w:tcW w:w="7598" w:type="dxa"/>
            <w:vAlign w:val="center"/>
          </w:tcPr>
          <w:p w14:paraId="4D79A834">
            <w:pPr>
              <w:spacing w:line="276" w:lineRule="auto"/>
              <w:rPr>
                <w:rFonts w:hint="eastAsia" w:ascii="宋体" w:hAnsi="宋体" w:eastAsia="宋体" w:cs="宋体"/>
                <w:sz w:val="21"/>
                <w:szCs w:val="21"/>
              </w:rPr>
            </w:pPr>
            <w:r>
              <w:rPr>
                <w:rFonts w:hint="eastAsia" w:ascii="宋体" w:hAnsi="宋体" w:eastAsia="宋体" w:cs="宋体"/>
                <w:sz w:val="21"/>
                <w:szCs w:val="21"/>
              </w:rPr>
              <w:t>由用户管理和组管理组成，进行操作员基本信息管理、操作员权限分配等。可为所有运行系统的操作人员建立数据库登录帐号，分配使用权限，以确保系统的信息安全</w:t>
            </w:r>
          </w:p>
        </w:tc>
      </w:tr>
      <w:tr w14:paraId="1DAB7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59" w:type="dxa"/>
            <w:vAlign w:val="center"/>
          </w:tcPr>
          <w:p w14:paraId="42ADDCFF">
            <w:pPr>
              <w:spacing w:line="276" w:lineRule="auto"/>
              <w:rPr>
                <w:rFonts w:hint="eastAsia" w:ascii="宋体" w:hAnsi="宋体" w:eastAsia="宋体" w:cs="宋体"/>
                <w:sz w:val="21"/>
                <w:szCs w:val="21"/>
              </w:rPr>
            </w:pPr>
            <w:r>
              <w:rPr>
                <w:rFonts w:hint="eastAsia" w:ascii="宋体" w:hAnsi="宋体" w:eastAsia="宋体" w:cs="宋体"/>
                <w:sz w:val="21"/>
                <w:szCs w:val="21"/>
              </w:rPr>
              <w:t>基础信息管理</w:t>
            </w:r>
          </w:p>
        </w:tc>
        <w:tc>
          <w:tcPr>
            <w:tcW w:w="7598" w:type="dxa"/>
            <w:vAlign w:val="center"/>
          </w:tcPr>
          <w:p w14:paraId="6B76F6AF">
            <w:pPr>
              <w:spacing w:line="276" w:lineRule="auto"/>
              <w:rPr>
                <w:rFonts w:hint="eastAsia" w:ascii="宋体" w:hAnsi="宋体" w:eastAsia="宋体" w:cs="宋体"/>
                <w:sz w:val="21"/>
                <w:szCs w:val="21"/>
              </w:rPr>
            </w:pPr>
            <w:r>
              <w:rPr>
                <w:rFonts w:hint="eastAsia" w:ascii="宋体" w:hAnsi="宋体" w:eastAsia="宋体" w:cs="宋体"/>
                <w:sz w:val="21"/>
                <w:szCs w:val="21"/>
              </w:rPr>
              <w:t>基础信息主要指在系统运行时会频繁使用，但在一定时间内又不会经常变更的数据，如库房定义、物料定义、客户定义、供应商定义、存储区域定义、用户定义等。</w:t>
            </w:r>
          </w:p>
        </w:tc>
      </w:tr>
      <w:tr w14:paraId="0233A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59" w:type="dxa"/>
            <w:vAlign w:val="center"/>
          </w:tcPr>
          <w:p w14:paraId="085F641A">
            <w:pPr>
              <w:spacing w:line="276" w:lineRule="auto"/>
              <w:rPr>
                <w:rFonts w:hint="eastAsia" w:ascii="宋体" w:hAnsi="宋体" w:eastAsia="宋体" w:cs="宋体"/>
                <w:sz w:val="21"/>
                <w:szCs w:val="21"/>
              </w:rPr>
            </w:pPr>
            <w:r>
              <w:rPr>
                <w:rFonts w:hint="eastAsia" w:ascii="宋体" w:hAnsi="宋体" w:eastAsia="宋体" w:cs="宋体"/>
                <w:sz w:val="21"/>
                <w:szCs w:val="21"/>
              </w:rPr>
              <w:t>运行参数设置</w:t>
            </w:r>
          </w:p>
        </w:tc>
        <w:tc>
          <w:tcPr>
            <w:tcW w:w="7598" w:type="dxa"/>
            <w:vAlign w:val="center"/>
          </w:tcPr>
          <w:p w14:paraId="2C071CBB">
            <w:pPr>
              <w:spacing w:line="276" w:lineRule="auto"/>
              <w:rPr>
                <w:rFonts w:hint="eastAsia" w:ascii="宋体" w:hAnsi="宋体" w:eastAsia="宋体" w:cs="宋体"/>
                <w:sz w:val="21"/>
                <w:szCs w:val="21"/>
              </w:rPr>
            </w:pPr>
            <w:r>
              <w:rPr>
                <w:rFonts w:hint="eastAsia" w:ascii="宋体" w:hAnsi="宋体" w:eastAsia="宋体" w:cs="宋体"/>
                <w:sz w:val="21"/>
                <w:szCs w:val="21"/>
              </w:rPr>
              <w:t>由巷道状态设置、货位状态设置等组成。可由系统管理员根据需要对系统运行参数进行调整。</w:t>
            </w:r>
          </w:p>
        </w:tc>
      </w:tr>
      <w:tr w14:paraId="1EB9A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59" w:type="dxa"/>
            <w:vAlign w:val="center"/>
          </w:tcPr>
          <w:p w14:paraId="33932C30">
            <w:pPr>
              <w:spacing w:line="276" w:lineRule="auto"/>
              <w:jc w:val="center"/>
              <w:rPr>
                <w:rFonts w:hint="eastAsia" w:ascii="宋体" w:hAnsi="宋体" w:eastAsia="宋体" w:cs="宋体"/>
                <w:snapToGrid w:val="0"/>
                <w:sz w:val="21"/>
                <w:szCs w:val="21"/>
              </w:rPr>
            </w:pPr>
            <w:r>
              <w:rPr>
                <w:rFonts w:hint="eastAsia" w:ascii="宋体" w:hAnsi="宋体" w:eastAsia="宋体" w:cs="宋体"/>
                <w:snapToGrid w:val="0"/>
                <w:sz w:val="21"/>
                <w:szCs w:val="21"/>
              </w:rPr>
              <w:t>入库操作</w:t>
            </w:r>
          </w:p>
        </w:tc>
        <w:tc>
          <w:tcPr>
            <w:tcW w:w="7598" w:type="dxa"/>
            <w:vAlign w:val="center"/>
          </w:tcPr>
          <w:p w14:paraId="78B17DFA">
            <w:pPr>
              <w:spacing w:line="276" w:lineRule="auto"/>
              <w:rPr>
                <w:rFonts w:hint="eastAsia" w:ascii="宋体" w:hAnsi="宋体" w:eastAsia="宋体" w:cs="宋体"/>
                <w:sz w:val="21"/>
                <w:szCs w:val="21"/>
              </w:rPr>
            </w:pPr>
            <w:r>
              <w:rPr>
                <w:rFonts w:hint="eastAsia" w:ascii="宋体" w:hAnsi="宋体" w:eastAsia="宋体" w:cs="宋体"/>
                <w:sz w:val="21"/>
                <w:szCs w:val="21"/>
              </w:rPr>
              <w:t>在入库组盘后，录入组盘信息（物料名称、批号、数量等）；</w:t>
            </w:r>
          </w:p>
        </w:tc>
      </w:tr>
      <w:tr w14:paraId="706D3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59" w:type="dxa"/>
            <w:vAlign w:val="center"/>
          </w:tcPr>
          <w:p w14:paraId="70806E5E">
            <w:pPr>
              <w:spacing w:line="276" w:lineRule="auto"/>
              <w:jc w:val="center"/>
              <w:rPr>
                <w:rFonts w:hint="eastAsia" w:ascii="宋体" w:hAnsi="宋体" w:eastAsia="宋体" w:cs="宋体"/>
                <w:snapToGrid w:val="0"/>
                <w:sz w:val="21"/>
                <w:szCs w:val="21"/>
              </w:rPr>
            </w:pPr>
            <w:r>
              <w:rPr>
                <w:rFonts w:hint="eastAsia" w:ascii="宋体" w:hAnsi="宋体" w:eastAsia="宋体" w:cs="宋体"/>
                <w:snapToGrid w:val="0"/>
                <w:sz w:val="21"/>
                <w:szCs w:val="21"/>
              </w:rPr>
              <w:t>入库管理</w:t>
            </w:r>
          </w:p>
        </w:tc>
        <w:tc>
          <w:tcPr>
            <w:tcW w:w="7598" w:type="dxa"/>
            <w:vAlign w:val="center"/>
          </w:tcPr>
          <w:p w14:paraId="66DB84A6">
            <w:pPr>
              <w:spacing w:line="276" w:lineRule="auto"/>
              <w:rPr>
                <w:rFonts w:hint="eastAsia" w:ascii="宋体" w:hAnsi="宋体" w:eastAsia="宋体" w:cs="宋体"/>
                <w:sz w:val="21"/>
                <w:szCs w:val="21"/>
              </w:rPr>
            </w:pPr>
            <w:r>
              <w:rPr>
                <w:rFonts w:hint="eastAsia" w:ascii="宋体" w:hAnsi="宋体" w:eastAsia="宋体" w:cs="宋体"/>
                <w:sz w:val="21"/>
                <w:szCs w:val="21"/>
              </w:rPr>
              <w:t>实现对入库信息的管理、并根据作业完成的状态进行入库数据的自动台帐功能，对货位状态进行更改，并增加库存记录。包括入库单据的记录，未记帐入库作业处理，入库流水查询，脱机入库等。</w:t>
            </w:r>
          </w:p>
        </w:tc>
      </w:tr>
      <w:tr w14:paraId="2B0AA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59" w:type="dxa"/>
            <w:vAlign w:val="center"/>
          </w:tcPr>
          <w:p w14:paraId="240B0328">
            <w:pPr>
              <w:spacing w:line="276" w:lineRule="auto"/>
              <w:jc w:val="center"/>
              <w:rPr>
                <w:rFonts w:hint="eastAsia" w:ascii="宋体" w:hAnsi="宋体" w:eastAsia="宋体" w:cs="宋体"/>
                <w:snapToGrid w:val="0"/>
                <w:sz w:val="21"/>
                <w:szCs w:val="21"/>
              </w:rPr>
            </w:pPr>
            <w:r>
              <w:rPr>
                <w:rFonts w:hint="eastAsia" w:ascii="宋体" w:hAnsi="宋体" w:eastAsia="宋体" w:cs="宋体"/>
                <w:snapToGrid w:val="0"/>
                <w:sz w:val="21"/>
                <w:szCs w:val="21"/>
              </w:rPr>
              <w:t>出库操作</w:t>
            </w:r>
          </w:p>
        </w:tc>
        <w:tc>
          <w:tcPr>
            <w:tcW w:w="7598" w:type="dxa"/>
            <w:vAlign w:val="center"/>
          </w:tcPr>
          <w:p w14:paraId="31CA068E">
            <w:pPr>
              <w:spacing w:line="276" w:lineRule="auto"/>
              <w:rPr>
                <w:rFonts w:hint="eastAsia" w:ascii="宋体" w:hAnsi="宋体" w:eastAsia="宋体" w:cs="宋体"/>
                <w:sz w:val="21"/>
                <w:szCs w:val="21"/>
              </w:rPr>
            </w:pPr>
            <w:r>
              <w:rPr>
                <w:rFonts w:hint="eastAsia" w:ascii="宋体" w:hAnsi="宋体" w:eastAsia="宋体" w:cs="宋体"/>
                <w:sz w:val="21"/>
                <w:szCs w:val="21"/>
              </w:rPr>
              <w:t>需要进行物料出库时，人工录入出库数据，包括需要出库物料的品种、数量、批次等信息，出库数据录入完成后即可启动系统执行自动出库；</w:t>
            </w:r>
          </w:p>
        </w:tc>
      </w:tr>
      <w:tr w14:paraId="35C52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59" w:type="dxa"/>
            <w:vAlign w:val="center"/>
          </w:tcPr>
          <w:p w14:paraId="57B9A7B6">
            <w:pPr>
              <w:spacing w:line="276" w:lineRule="auto"/>
              <w:jc w:val="center"/>
              <w:rPr>
                <w:rFonts w:hint="eastAsia" w:ascii="宋体" w:hAnsi="宋体" w:eastAsia="宋体" w:cs="宋体"/>
                <w:snapToGrid w:val="0"/>
                <w:sz w:val="21"/>
                <w:szCs w:val="21"/>
              </w:rPr>
            </w:pPr>
            <w:r>
              <w:rPr>
                <w:rFonts w:hint="eastAsia" w:ascii="宋体" w:hAnsi="宋体" w:eastAsia="宋体" w:cs="宋体"/>
                <w:snapToGrid w:val="0"/>
                <w:sz w:val="21"/>
                <w:szCs w:val="21"/>
              </w:rPr>
              <w:t>订单管理</w:t>
            </w:r>
          </w:p>
        </w:tc>
        <w:tc>
          <w:tcPr>
            <w:tcW w:w="7598" w:type="dxa"/>
            <w:vAlign w:val="center"/>
          </w:tcPr>
          <w:p w14:paraId="72415B5F">
            <w:pPr>
              <w:spacing w:line="276" w:lineRule="auto"/>
              <w:rPr>
                <w:rFonts w:hint="eastAsia" w:ascii="宋体" w:hAnsi="宋体" w:eastAsia="宋体" w:cs="宋体"/>
                <w:sz w:val="21"/>
                <w:szCs w:val="21"/>
              </w:rPr>
            </w:pPr>
            <w:r>
              <w:rPr>
                <w:rFonts w:hint="eastAsia" w:ascii="宋体" w:hAnsi="宋体" w:eastAsia="宋体" w:cs="宋体"/>
                <w:sz w:val="21"/>
                <w:szCs w:val="21"/>
              </w:rPr>
              <w:t>根据ERP下发的订单，进行单据录入和管理，接到订单时，录入（或从ERP系统导入，或从外部Excel导入）出库定单信息，包括（不限于）任务号、订单号、客户代码、产品代码、数量等。</w:t>
            </w:r>
          </w:p>
        </w:tc>
      </w:tr>
      <w:tr w14:paraId="3100F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59" w:type="dxa"/>
            <w:vAlign w:val="center"/>
          </w:tcPr>
          <w:p w14:paraId="4339F7DA">
            <w:pPr>
              <w:spacing w:line="276" w:lineRule="auto"/>
              <w:jc w:val="center"/>
              <w:rPr>
                <w:rFonts w:hint="eastAsia" w:ascii="宋体" w:hAnsi="宋体" w:eastAsia="宋体" w:cs="宋体"/>
                <w:snapToGrid w:val="0"/>
                <w:sz w:val="21"/>
                <w:szCs w:val="21"/>
              </w:rPr>
            </w:pPr>
            <w:r>
              <w:rPr>
                <w:rFonts w:hint="eastAsia" w:ascii="宋体" w:hAnsi="宋体" w:eastAsia="宋体" w:cs="宋体"/>
                <w:snapToGrid w:val="0"/>
                <w:sz w:val="21"/>
                <w:szCs w:val="21"/>
              </w:rPr>
              <w:t>质量状态管理</w:t>
            </w:r>
          </w:p>
        </w:tc>
        <w:tc>
          <w:tcPr>
            <w:tcW w:w="7598" w:type="dxa"/>
            <w:vAlign w:val="center"/>
          </w:tcPr>
          <w:p w14:paraId="64665742">
            <w:pPr>
              <w:spacing w:line="276" w:lineRule="auto"/>
              <w:rPr>
                <w:rFonts w:hint="eastAsia" w:ascii="宋体" w:hAnsi="宋体" w:eastAsia="宋体" w:cs="宋体"/>
                <w:sz w:val="21"/>
                <w:szCs w:val="21"/>
              </w:rPr>
            </w:pPr>
            <w:r>
              <w:rPr>
                <w:rFonts w:hint="eastAsia" w:ascii="宋体" w:hAnsi="宋体" w:eastAsia="宋体" w:cs="宋体"/>
                <w:sz w:val="21"/>
                <w:szCs w:val="21"/>
              </w:rPr>
              <w:t>处理库内货物质量状态的变更，质量状态如：待检、合格、不合格等。</w:t>
            </w:r>
          </w:p>
        </w:tc>
      </w:tr>
      <w:tr w14:paraId="0836A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59" w:type="dxa"/>
            <w:vAlign w:val="center"/>
          </w:tcPr>
          <w:p w14:paraId="5919EDA4">
            <w:pPr>
              <w:spacing w:line="276" w:lineRule="auto"/>
              <w:jc w:val="center"/>
              <w:rPr>
                <w:rFonts w:hint="eastAsia" w:ascii="宋体" w:hAnsi="宋体" w:eastAsia="宋体" w:cs="宋体"/>
                <w:snapToGrid w:val="0"/>
                <w:sz w:val="21"/>
                <w:szCs w:val="21"/>
              </w:rPr>
            </w:pPr>
            <w:r>
              <w:rPr>
                <w:rFonts w:hint="eastAsia" w:ascii="宋体" w:hAnsi="宋体" w:eastAsia="宋体" w:cs="宋体"/>
                <w:snapToGrid w:val="0"/>
                <w:sz w:val="21"/>
                <w:szCs w:val="21"/>
              </w:rPr>
              <w:t>拣选出库</w:t>
            </w:r>
          </w:p>
        </w:tc>
        <w:tc>
          <w:tcPr>
            <w:tcW w:w="7598" w:type="dxa"/>
            <w:vAlign w:val="center"/>
          </w:tcPr>
          <w:p w14:paraId="70B28B82">
            <w:pPr>
              <w:spacing w:line="276" w:lineRule="auto"/>
              <w:rPr>
                <w:rFonts w:hint="eastAsia" w:ascii="宋体" w:hAnsi="宋体" w:eastAsia="宋体" w:cs="宋体"/>
                <w:sz w:val="21"/>
                <w:szCs w:val="21"/>
              </w:rPr>
            </w:pPr>
            <w:r>
              <w:rPr>
                <w:rFonts w:hint="eastAsia" w:ascii="宋体" w:hAnsi="宋体" w:eastAsia="宋体" w:cs="宋体"/>
                <w:sz w:val="21"/>
                <w:szCs w:val="21"/>
              </w:rPr>
              <w:t>系统根据出库单据，自动生成出库作业；出库完成自动生成出库流水，更新产品库存；最终产生拣选清单等。</w:t>
            </w:r>
          </w:p>
        </w:tc>
      </w:tr>
      <w:tr w14:paraId="658CB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59" w:type="dxa"/>
            <w:vAlign w:val="center"/>
          </w:tcPr>
          <w:p w14:paraId="08317A39">
            <w:pPr>
              <w:spacing w:line="276" w:lineRule="auto"/>
              <w:jc w:val="center"/>
              <w:rPr>
                <w:rFonts w:hint="eastAsia" w:ascii="宋体" w:hAnsi="宋体" w:eastAsia="宋体" w:cs="宋体"/>
                <w:snapToGrid w:val="0"/>
                <w:sz w:val="21"/>
                <w:szCs w:val="21"/>
              </w:rPr>
            </w:pPr>
            <w:r>
              <w:rPr>
                <w:rFonts w:hint="eastAsia" w:ascii="宋体" w:hAnsi="宋体" w:eastAsia="宋体" w:cs="宋体"/>
                <w:snapToGrid w:val="0"/>
                <w:sz w:val="21"/>
                <w:szCs w:val="21"/>
              </w:rPr>
              <w:t>其它出库</w:t>
            </w:r>
          </w:p>
        </w:tc>
        <w:tc>
          <w:tcPr>
            <w:tcW w:w="7598" w:type="dxa"/>
            <w:vAlign w:val="center"/>
          </w:tcPr>
          <w:p w14:paraId="4EEA493C">
            <w:pPr>
              <w:spacing w:line="276" w:lineRule="auto"/>
              <w:rPr>
                <w:rFonts w:hint="eastAsia" w:ascii="宋体" w:hAnsi="宋体" w:eastAsia="宋体" w:cs="宋体"/>
                <w:sz w:val="21"/>
                <w:szCs w:val="21"/>
              </w:rPr>
            </w:pPr>
            <w:r>
              <w:rPr>
                <w:rFonts w:hint="eastAsia" w:ascii="宋体" w:hAnsi="宋体" w:eastAsia="宋体" w:cs="宋体"/>
                <w:sz w:val="21"/>
                <w:szCs w:val="21"/>
              </w:rPr>
              <w:t>除拣选出库外，其它原因需要出库时（如不合格品出库、质检出库、空托盘出库等），录入出库信息，包括（不限于）任务号、单据号、出库类型、产品代码、批号、数量、出库去向等。</w:t>
            </w:r>
          </w:p>
        </w:tc>
      </w:tr>
      <w:tr w14:paraId="7A5F6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59" w:type="dxa"/>
            <w:vAlign w:val="center"/>
          </w:tcPr>
          <w:p w14:paraId="3549C5A3">
            <w:pPr>
              <w:spacing w:line="276" w:lineRule="auto"/>
              <w:jc w:val="center"/>
              <w:rPr>
                <w:rFonts w:hint="eastAsia" w:ascii="宋体" w:hAnsi="宋体" w:eastAsia="宋体" w:cs="宋体"/>
                <w:snapToGrid w:val="0"/>
                <w:sz w:val="21"/>
                <w:szCs w:val="21"/>
              </w:rPr>
            </w:pPr>
            <w:r>
              <w:rPr>
                <w:rFonts w:hint="eastAsia" w:ascii="宋体" w:hAnsi="宋体" w:eastAsia="宋体" w:cs="宋体"/>
                <w:snapToGrid w:val="0"/>
                <w:sz w:val="21"/>
                <w:szCs w:val="21"/>
              </w:rPr>
              <w:t>盘点管理</w:t>
            </w:r>
          </w:p>
        </w:tc>
        <w:tc>
          <w:tcPr>
            <w:tcW w:w="7598" w:type="dxa"/>
            <w:vAlign w:val="center"/>
          </w:tcPr>
          <w:p w14:paraId="22A7ED13">
            <w:pPr>
              <w:spacing w:line="276" w:lineRule="auto"/>
              <w:rPr>
                <w:rFonts w:hint="eastAsia" w:ascii="宋体" w:hAnsi="宋体" w:eastAsia="宋体" w:cs="宋体"/>
                <w:sz w:val="21"/>
                <w:szCs w:val="21"/>
              </w:rPr>
            </w:pPr>
            <w:r>
              <w:rPr>
                <w:rFonts w:hint="eastAsia" w:ascii="宋体" w:hAnsi="宋体" w:eastAsia="宋体" w:cs="宋体"/>
                <w:sz w:val="21"/>
                <w:szCs w:val="21"/>
              </w:rPr>
              <w:t>设置立体仓库内货物的盘点标志，发送盘点作业进行库存盘点，并根据盘点结果，记录盘点改帐流水。</w:t>
            </w:r>
          </w:p>
        </w:tc>
      </w:tr>
      <w:tr w14:paraId="7D0F5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59" w:type="dxa"/>
            <w:vAlign w:val="center"/>
          </w:tcPr>
          <w:p w14:paraId="404B5A8C">
            <w:pPr>
              <w:spacing w:line="276" w:lineRule="auto"/>
              <w:jc w:val="center"/>
              <w:rPr>
                <w:rFonts w:hint="eastAsia" w:ascii="宋体" w:hAnsi="宋体" w:eastAsia="宋体" w:cs="宋体"/>
                <w:snapToGrid w:val="0"/>
                <w:sz w:val="21"/>
                <w:szCs w:val="21"/>
              </w:rPr>
            </w:pPr>
            <w:r>
              <w:rPr>
                <w:rFonts w:hint="eastAsia" w:ascii="宋体" w:hAnsi="宋体" w:eastAsia="宋体" w:cs="宋体"/>
                <w:snapToGrid w:val="0"/>
                <w:sz w:val="21"/>
                <w:szCs w:val="21"/>
              </w:rPr>
              <w:t>按物料信息查询库存</w:t>
            </w:r>
          </w:p>
        </w:tc>
        <w:tc>
          <w:tcPr>
            <w:tcW w:w="7598" w:type="dxa"/>
            <w:vAlign w:val="center"/>
          </w:tcPr>
          <w:p w14:paraId="1673385C">
            <w:pPr>
              <w:spacing w:line="276" w:lineRule="auto"/>
              <w:rPr>
                <w:rFonts w:hint="eastAsia" w:ascii="宋体" w:hAnsi="宋体" w:eastAsia="宋体" w:cs="宋体"/>
                <w:sz w:val="21"/>
                <w:szCs w:val="21"/>
              </w:rPr>
            </w:pPr>
            <w:r>
              <w:rPr>
                <w:rFonts w:hint="eastAsia" w:ascii="宋体" w:hAnsi="宋体" w:eastAsia="宋体" w:cs="宋体"/>
                <w:sz w:val="21"/>
                <w:szCs w:val="21"/>
              </w:rPr>
              <w:t>按不同的物料信息（如品名、规格及特殊条件等）分别或组合查询库存。提供相关物料的库存总量以及明细情况（物料信息、物料数量、存放位置、存放时间等）</w:t>
            </w:r>
          </w:p>
        </w:tc>
      </w:tr>
      <w:tr w14:paraId="79829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59" w:type="dxa"/>
            <w:vAlign w:val="center"/>
          </w:tcPr>
          <w:p w14:paraId="53595FF4">
            <w:pPr>
              <w:spacing w:line="276" w:lineRule="auto"/>
              <w:jc w:val="center"/>
              <w:rPr>
                <w:rFonts w:hint="eastAsia" w:ascii="宋体" w:hAnsi="宋体" w:eastAsia="宋体" w:cs="宋体"/>
                <w:snapToGrid w:val="0"/>
                <w:sz w:val="21"/>
                <w:szCs w:val="21"/>
              </w:rPr>
            </w:pPr>
            <w:r>
              <w:rPr>
                <w:rFonts w:hint="eastAsia" w:ascii="宋体" w:hAnsi="宋体" w:eastAsia="宋体" w:cs="宋体"/>
                <w:snapToGrid w:val="0"/>
                <w:sz w:val="21"/>
                <w:szCs w:val="21"/>
              </w:rPr>
              <w:t>按货位信息查询库存</w:t>
            </w:r>
          </w:p>
        </w:tc>
        <w:tc>
          <w:tcPr>
            <w:tcW w:w="7598" w:type="dxa"/>
            <w:vAlign w:val="center"/>
          </w:tcPr>
          <w:p w14:paraId="3F4812A9">
            <w:pPr>
              <w:spacing w:line="276" w:lineRule="auto"/>
              <w:rPr>
                <w:rFonts w:hint="eastAsia" w:ascii="宋体" w:hAnsi="宋体" w:eastAsia="宋体" w:cs="宋体"/>
                <w:sz w:val="21"/>
                <w:szCs w:val="21"/>
              </w:rPr>
            </w:pPr>
            <w:r>
              <w:rPr>
                <w:rFonts w:hint="eastAsia" w:ascii="宋体" w:hAnsi="宋体" w:eastAsia="宋体" w:cs="宋体"/>
                <w:sz w:val="21"/>
                <w:szCs w:val="21"/>
              </w:rPr>
              <w:t>按货位信息分别或组合查询库存。提供相关区域的库存总量以及明细情况（物料信息、物料数量、存放位置、存放时间等）</w:t>
            </w:r>
          </w:p>
        </w:tc>
      </w:tr>
      <w:tr w14:paraId="3DB48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59" w:type="dxa"/>
            <w:vAlign w:val="center"/>
          </w:tcPr>
          <w:p w14:paraId="50DB1562">
            <w:pPr>
              <w:spacing w:line="276" w:lineRule="auto"/>
              <w:jc w:val="center"/>
              <w:rPr>
                <w:rFonts w:hint="eastAsia" w:ascii="宋体" w:hAnsi="宋体" w:eastAsia="宋体" w:cs="宋体"/>
                <w:snapToGrid w:val="0"/>
                <w:sz w:val="21"/>
                <w:szCs w:val="21"/>
              </w:rPr>
            </w:pPr>
            <w:r>
              <w:rPr>
                <w:rFonts w:hint="eastAsia" w:ascii="宋体" w:hAnsi="宋体" w:eastAsia="宋体" w:cs="宋体"/>
                <w:snapToGrid w:val="0"/>
                <w:sz w:val="21"/>
                <w:szCs w:val="21"/>
              </w:rPr>
              <w:t>报表统计</w:t>
            </w:r>
          </w:p>
        </w:tc>
        <w:tc>
          <w:tcPr>
            <w:tcW w:w="7598" w:type="dxa"/>
            <w:vAlign w:val="center"/>
          </w:tcPr>
          <w:p w14:paraId="765D169D">
            <w:pPr>
              <w:spacing w:line="276" w:lineRule="auto"/>
              <w:rPr>
                <w:rFonts w:hint="eastAsia" w:ascii="宋体" w:hAnsi="宋体" w:eastAsia="宋体" w:cs="宋体"/>
                <w:sz w:val="21"/>
                <w:szCs w:val="21"/>
              </w:rPr>
            </w:pPr>
            <w:r>
              <w:rPr>
                <w:rFonts w:hint="eastAsia" w:ascii="宋体" w:hAnsi="宋体" w:eastAsia="宋体" w:cs="宋体"/>
                <w:sz w:val="21"/>
                <w:szCs w:val="21"/>
              </w:rPr>
              <w:t>查询统计模块对库存、货位、作业及各种报表数据进行查询统计，所有查询结果均可以打印包括：入库统计表、出库统计表、库存明细表、货架明细表等。</w:t>
            </w:r>
          </w:p>
        </w:tc>
      </w:tr>
      <w:tr w14:paraId="0F1EC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59" w:type="dxa"/>
            <w:vAlign w:val="center"/>
          </w:tcPr>
          <w:p w14:paraId="58D87C3D">
            <w:pPr>
              <w:spacing w:line="276" w:lineRule="auto"/>
              <w:jc w:val="center"/>
              <w:rPr>
                <w:rFonts w:hint="eastAsia" w:ascii="宋体" w:hAnsi="宋体" w:eastAsia="宋体" w:cs="宋体"/>
                <w:snapToGrid w:val="0"/>
                <w:sz w:val="21"/>
                <w:szCs w:val="21"/>
              </w:rPr>
            </w:pPr>
            <w:r>
              <w:rPr>
                <w:rFonts w:hint="eastAsia" w:ascii="宋体" w:hAnsi="宋体" w:eastAsia="宋体" w:cs="宋体"/>
                <w:snapToGrid w:val="0"/>
                <w:sz w:val="21"/>
                <w:szCs w:val="21"/>
              </w:rPr>
              <w:t>入出库流水查询</w:t>
            </w:r>
          </w:p>
        </w:tc>
        <w:tc>
          <w:tcPr>
            <w:tcW w:w="7598" w:type="dxa"/>
            <w:vAlign w:val="center"/>
          </w:tcPr>
          <w:p w14:paraId="410CE7FF">
            <w:pPr>
              <w:spacing w:line="276" w:lineRule="auto"/>
              <w:rPr>
                <w:rFonts w:hint="eastAsia" w:ascii="宋体" w:hAnsi="宋体" w:eastAsia="宋体" w:cs="宋体"/>
                <w:sz w:val="21"/>
                <w:szCs w:val="21"/>
              </w:rPr>
            </w:pPr>
            <w:r>
              <w:rPr>
                <w:rFonts w:hint="eastAsia" w:ascii="宋体" w:hAnsi="宋体" w:eastAsia="宋体" w:cs="宋体"/>
                <w:sz w:val="21"/>
                <w:szCs w:val="21"/>
              </w:rPr>
              <w:t>按时间段、批次以及其它物料属性分别或组合查询入/出库流水记录数据。提供相关物料在指定时间段内的入/出库总量以及明细情况</w:t>
            </w:r>
          </w:p>
        </w:tc>
      </w:tr>
      <w:tr w14:paraId="7D22A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59" w:type="dxa"/>
            <w:vAlign w:val="center"/>
          </w:tcPr>
          <w:p w14:paraId="4031925F">
            <w:pPr>
              <w:spacing w:line="276" w:lineRule="auto"/>
              <w:jc w:val="center"/>
              <w:rPr>
                <w:rFonts w:hint="eastAsia" w:ascii="宋体" w:hAnsi="宋体" w:eastAsia="宋体" w:cs="宋体"/>
                <w:snapToGrid w:val="0"/>
                <w:sz w:val="21"/>
                <w:szCs w:val="21"/>
              </w:rPr>
            </w:pPr>
            <w:r>
              <w:rPr>
                <w:rFonts w:hint="eastAsia" w:ascii="宋体" w:hAnsi="宋体" w:eastAsia="宋体" w:cs="宋体"/>
                <w:snapToGrid w:val="0"/>
                <w:sz w:val="21"/>
                <w:szCs w:val="21"/>
              </w:rPr>
              <w:t>库存安全查询</w:t>
            </w:r>
          </w:p>
        </w:tc>
        <w:tc>
          <w:tcPr>
            <w:tcW w:w="7598" w:type="dxa"/>
            <w:vAlign w:val="center"/>
          </w:tcPr>
          <w:p w14:paraId="2FD783BF">
            <w:pPr>
              <w:spacing w:line="276" w:lineRule="auto"/>
              <w:rPr>
                <w:rFonts w:hint="eastAsia" w:ascii="宋体" w:hAnsi="宋体" w:eastAsia="宋体" w:cs="宋体"/>
                <w:sz w:val="21"/>
                <w:szCs w:val="21"/>
              </w:rPr>
            </w:pPr>
            <w:r>
              <w:rPr>
                <w:rFonts w:hint="eastAsia" w:ascii="宋体" w:hAnsi="宋体" w:eastAsia="宋体" w:cs="宋体"/>
                <w:sz w:val="21"/>
                <w:szCs w:val="21"/>
              </w:rPr>
              <w:t>以对超过安全库存阈值的库存信息（库存量超过上、下限和库存超时）分别进行报警提示</w:t>
            </w:r>
          </w:p>
        </w:tc>
      </w:tr>
      <w:tr w14:paraId="039D0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59" w:type="dxa"/>
            <w:vAlign w:val="center"/>
          </w:tcPr>
          <w:p w14:paraId="7FBEF439">
            <w:pPr>
              <w:spacing w:line="276" w:lineRule="auto"/>
              <w:jc w:val="center"/>
              <w:rPr>
                <w:rFonts w:hint="eastAsia" w:ascii="宋体" w:hAnsi="宋体" w:eastAsia="宋体" w:cs="宋体"/>
                <w:snapToGrid w:val="0"/>
                <w:sz w:val="21"/>
                <w:szCs w:val="21"/>
              </w:rPr>
            </w:pPr>
            <w:r>
              <w:rPr>
                <w:rFonts w:hint="eastAsia" w:ascii="宋体" w:hAnsi="宋体" w:eastAsia="宋体" w:cs="宋体"/>
                <w:snapToGrid w:val="0"/>
                <w:sz w:val="21"/>
                <w:szCs w:val="21"/>
              </w:rPr>
              <w:t>空托盘查询</w:t>
            </w:r>
          </w:p>
        </w:tc>
        <w:tc>
          <w:tcPr>
            <w:tcW w:w="7598" w:type="dxa"/>
            <w:vAlign w:val="center"/>
          </w:tcPr>
          <w:p w14:paraId="570C27F3">
            <w:pPr>
              <w:spacing w:line="276" w:lineRule="auto"/>
              <w:rPr>
                <w:rFonts w:hint="eastAsia" w:ascii="宋体" w:hAnsi="宋体" w:eastAsia="宋体" w:cs="宋体"/>
                <w:sz w:val="21"/>
                <w:szCs w:val="21"/>
              </w:rPr>
            </w:pPr>
            <w:r>
              <w:rPr>
                <w:rFonts w:hint="eastAsia" w:ascii="宋体" w:hAnsi="宋体" w:eastAsia="宋体" w:cs="宋体"/>
                <w:sz w:val="21"/>
                <w:szCs w:val="21"/>
              </w:rPr>
              <w:t>按货位信息分别或组合查询仓库空托盘。提供相关区域的空托盘总量以及明细情况（存放位置、存放时间等）。</w:t>
            </w:r>
          </w:p>
        </w:tc>
      </w:tr>
      <w:tr w14:paraId="3DBC9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59" w:type="dxa"/>
            <w:vAlign w:val="center"/>
          </w:tcPr>
          <w:p w14:paraId="5CACDEEA">
            <w:pPr>
              <w:spacing w:line="276" w:lineRule="auto"/>
              <w:jc w:val="center"/>
              <w:rPr>
                <w:rFonts w:hint="eastAsia" w:ascii="宋体" w:hAnsi="宋体" w:eastAsia="宋体" w:cs="宋体"/>
                <w:snapToGrid w:val="0"/>
                <w:sz w:val="21"/>
                <w:szCs w:val="21"/>
              </w:rPr>
            </w:pPr>
            <w:r>
              <w:rPr>
                <w:rFonts w:hint="eastAsia" w:ascii="宋体" w:hAnsi="宋体" w:eastAsia="宋体" w:cs="宋体"/>
                <w:snapToGrid w:val="0"/>
                <w:sz w:val="21"/>
                <w:szCs w:val="21"/>
              </w:rPr>
              <w:t>空货位查询</w:t>
            </w:r>
          </w:p>
        </w:tc>
        <w:tc>
          <w:tcPr>
            <w:tcW w:w="7598" w:type="dxa"/>
            <w:vAlign w:val="center"/>
          </w:tcPr>
          <w:p w14:paraId="62C899C1">
            <w:pPr>
              <w:spacing w:line="276" w:lineRule="auto"/>
              <w:rPr>
                <w:rFonts w:hint="eastAsia" w:ascii="宋体" w:hAnsi="宋体" w:eastAsia="宋体" w:cs="宋体"/>
                <w:sz w:val="21"/>
                <w:szCs w:val="21"/>
              </w:rPr>
            </w:pPr>
            <w:r>
              <w:rPr>
                <w:rFonts w:hint="eastAsia" w:ascii="宋体" w:hAnsi="宋体" w:eastAsia="宋体" w:cs="宋体"/>
                <w:sz w:val="21"/>
                <w:szCs w:val="21"/>
              </w:rPr>
              <w:t>按货位信息分别或组合查询仓库空货位。提供相关区域的空货位总量以及明细位置。</w:t>
            </w:r>
          </w:p>
        </w:tc>
      </w:tr>
      <w:tr w14:paraId="5EDF0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59" w:type="dxa"/>
            <w:vAlign w:val="center"/>
          </w:tcPr>
          <w:p w14:paraId="3C94CB4F">
            <w:pPr>
              <w:spacing w:line="276" w:lineRule="auto"/>
              <w:jc w:val="center"/>
              <w:rPr>
                <w:rFonts w:hint="eastAsia" w:ascii="宋体" w:hAnsi="宋体" w:eastAsia="宋体" w:cs="宋体"/>
                <w:snapToGrid w:val="0"/>
                <w:sz w:val="21"/>
                <w:szCs w:val="21"/>
              </w:rPr>
            </w:pPr>
            <w:r>
              <w:rPr>
                <w:rFonts w:hint="eastAsia" w:ascii="宋体" w:hAnsi="宋体" w:eastAsia="宋体" w:cs="宋体"/>
                <w:snapToGrid w:val="0"/>
                <w:sz w:val="21"/>
                <w:szCs w:val="21"/>
              </w:rPr>
              <w:t>货位状态统计</w:t>
            </w:r>
          </w:p>
        </w:tc>
        <w:tc>
          <w:tcPr>
            <w:tcW w:w="7598" w:type="dxa"/>
            <w:vAlign w:val="center"/>
          </w:tcPr>
          <w:p w14:paraId="04BEC3ED">
            <w:pPr>
              <w:spacing w:line="276" w:lineRule="auto"/>
              <w:rPr>
                <w:rFonts w:hint="eastAsia" w:ascii="宋体" w:hAnsi="宋体" w:eastAsia="宋体" w:cs="宋体"/>
                <w:sz w:val="21"/>
                <w:szCs w:val="21"/>
              </w:rPr>
            </w:pPr>
            <w:r>
              <w:rPr>
                <w:rFonts w:hint="eastAsia" w:ascii="宋体" w:hAnsi="宋体" w:eastAsia="宋体" w:cs="宋体"/>
                <w:sz w:val="21"/>
                <w:szCs w:val="21"/>
              </w:rPr>
              <w:t>提供仓库各种货位（物料、空托盘、空货位、封闭货位等）的总数量以及比例情况。</w:t>
            </w:r>
          </w:p>
        </w:tc>
      </w:tr>
      <w:tr w14:paraId="41BDC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59" w:type="dxa"/>
            <w:vAlign w:val="center"/>
          </w:tcPr>
          <w:p w14:paraId="32DDF818">
            <w:pPr>
              <w:spacing w:line="276" w:lineRule="auto"/>
              <w:jc w:val="center"/>
              <w:rPr>
                <w:rFonts w:hint="eastAsia" w:ascii="宋体" w:hAnsi="宋体" w:eastAsia="宋体" w:cs="宋体"/>
                <w:snapToGrid w:val="0"/>
                <w:sz w:val="21"/>
                <w:szCs w:val="21"/>
              </w:rPr>
            </w:pPr>
            <w:r>
              <w:rPr>
                <w:rFonts w:hint="eastAsia" w:ascii="宋体" w:hAnsi="宋体" w:eastAsia="宋体" w:cs="宋体"/>
                <w:snapToGrid w:val="0"/>
                <w:sz w:val="21"/>
                <w:szCs w:val="21"/>
              </w:rPr>
              <w:t>货位状态查询</w:t>
            </w:r>
          </w:p>
        </w:tc>
        <w:tc>
          <w:tcPr>
            <w:tcW w:w="7598" w:type="dxa"/>
            <w:vAlign w:val="center"/>
          </w:tcPr>
          <w:p w14:paraId="4DF080D3">
            <w:pPr>
              <w:spacing w:line="276" w:lineRule="auto"/>
              <w:rPr>
                <w:rFonts w:hint="eastAsia" w:ascii="宋体" w:hAnsi="宋体" w:eastAsia="宋体" w:cs="宋体"/>
                <w:sz w:val="21"/>
                <w:szCs w:val="21"/>
              </w:rPr>
            </w:pPr>
            <w:r>
              <w:rPr>
                <w:rFonts w:hint="eastAsia" w:ascii="宋体" w:hAnsi="宋体" w:eastAsia="宋体" w:cs="宋体"/>
                <w:sz w:val="21"/>
                <w:szCs w:val="21"/>
              </w:rPr>
              <w:t>提供仓库各种货位（托盘、空托盘、空货位、封闭货位等）的分布示意。</w:t>
            </w:r>
          </w:p>
        </w:tc>
      </w:tr>
      <w:tr w14:paraId="38AA2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59" w:type="dxa"/>
            <w:vAlign w:val="center"/>
          </w:tcPr>
          <w:p w14:paraId="617DC606">
            <w:pPr>
              <w:spacing w:line="276" w:lineRule="auto"/>
              <w:jc w:val="center"/>
              <w:rPr>
                <w:rFonts w:hint="eastAsia" w:ascii="宋体" w:hAnsi="宋体" w:eastAsia="宋体" w:cs="宋体"/>
                <w:snapToGrid w:val="0"/>
                <w:sz w:val="21"/>
                <w:szCs w:val="21"/>
              </w:rPr>
            </w:pPr>
            <w:r>
              <w:rPr>
                <w:rFonts w:hint="eastAsia" w:ascii="宋体" w:hAnsi="宋体" w:eastAsia="宋体" w:cs="宋体"/>
                <w:snapToGrid w:val="0"/>
                <w:sz w:val="21"/>
                <w:szCs w:val="21"/>
              </w:rPr>
              <w:t>货架明细表</w:t>
            </w:r>
          </w:p>
        </w:tc>
        <w:tc>
          <w:tcPr>
            <w:tcW w:w="7598" w:type="dxa"/>
            <w:vAlign w:val="center"/>
          </w:tcPr>
          <w:p w14:paraId="13674D24">
            <w:pPr>
              <w:spacing w:line="276" w:lineRule="auto"/>
              <w:rPr>
                <w:rFonts w:hint="eastAsia" w:ascii="宋体" w:hAnsi="宋体" w:eastAsia="宋体" w:cs="宋体"/>
                <w:sz w:val="21"/>
                <w:szCs w:val="21"/>
              </w:rPr>
            </w:pPr>
            <w:r>
              <w:rPr>
                <w:rFonts w:hint="eastAsia" w:ascii="宋体" w:hAnsi="宋体" w:eastAsia="宋体" w:cs="宋体"/>
                <w:sz w:val="21"/>
                <w:szCs w:val="21"/>
              </w:rPr>
              <w:t>提供仓库所有货位的状态及相关数据。</w:t>
            </w:r>
          </w:p>
        </w:tc>
      </w:tr>
      <w:tr w14:paraId="322EA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59" w:type="dxa"/>
            <w:vAlign w:val="center"/>
          </w:tcPr>
          <w:p w14:paraId="6630229F">
            <w:pPr>
              <w:spacing w:line="276" w:lineRule="auto"/>
              <w:jc w:val="center"/>
              <w:rPr>
                <w:rFonts w:hint="eastAsia" w:ascii="宋体" w:hAnsi="宋体" w:eastAsia="宋体" w:cs="宋体"/>
                <w:snapToGrid w:val="0"/>
                <w:sz w:val="21"/>
                <w:szCs w:val="21"/>
              </w:rPr>
            </w:pPr>
            <w:r>
              <w:rPr>
                <w:rFonts w:hint="eastAsia" w:ascii="宋体" w:hAnsi="宋体" w:eastAsia="宋体" w:cs="宋体"/>
                <w:snapToGrid w:val="0"/>
                <w:sz w:val="21"/>
                <w:szCs w:val="21"/>
              </w:rPr>
              <w:t>系统作业流水查询</w:t>
            </w:r>
          </w:p>
        </w:tc>
        <w:tc>
          <w:tcPr>
            <w:tcW w:w="7598" w:type="dxa"/>
            <w:vAlign w:val="center"/>
          </w:tcPr>
          <w:p w14:paraId="170C7D57">
            <w:pPr>
              <w:spacing w:line="276" w:lineRule="auto"/>
              <w:rPr>
                <w:rFonts w:hint="eastAsia" w:ascii="宋体" w:hAnsi="宋体" w:eastAsia="宋体" w:cs="宋体"/>
                <w:sz w:val="21"/>
                <w:szCs w:val="21"/>
              </w:rPr>
            </w:pPr>
            <w:r>
              <w:rPr>
                <w:rFonts w:hint="eastAsia" w:ascii="宋体" w:hAnsi="宋体" w:eastAsia="宋体" w:cs="宋体"/>
                <w:sz w:val="21"/>
                <w:szCs w:val="21"/>
              </w:rPr>
              <w:t>按时间段查询系统所有作业流水的相关信息（作业完成记录流水、下发作业记录流水等）。</w:t>
            </w:r>
          </w:p>
        </w:tc>
      </w:tr>
      <w:tr w14:paraId="4EEE7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59" w:type="dxa"/>
            <w:vAlign w:val="center"/>
          </w:tcPr>
          <w:p w14:paraId="42D84A90">
            <w:pPr>
              <w:spacing w:line="276" w:lineRule="auto"/>
              <w:jc w:val="center"/>
              <w:rPr>
                <w:rFonts w:hint="eastAsia" w:ascii="宋体" w:hAnsi="宋体" w:eastAsia="宋体" w:cs="宋体"/>
                <w:snapToGrid w:val="0"/>
                <w:sz w:val="21"/>
                <w:szCs w:val="21"/>
              </w:rPr>
            </w:pPr>
            <w:r>
              <w:rPr>
                <w:rFonts w:hint="eastAsia" w:ascii="宋体" w:hAnsi="宋体" w:eastAsia="宋体" w:cs="宋体"/>
                <w:snapToGrid w:val="0"/>
                <w:sz w:val="21"/>
                <w:szCs w:val="21"/>
              </w:rPr>
              <w:t>作业数据查询</w:t>
            </w:r>
          </w:p>
        </w:tc>
        <w:tc>
          <w:tcPr>
            <w:tcW w:w="7598" w:type="dxa"/>
            <w:vAlign w:val="center"/>
          </w:tcPr>
          <w:p w14:paraId="514EB14F">
            <w:pPr>
              <w:spacing w:line="276" w:lineRule="auto"/>
              <w:rPr>
                <w:rFonts w:hint="eastAsia" w:ascii="宋体" w:hAnsi="宋体" w:eastAsia="宋体" w:cs="宋体"/>
                <w:sz w:val="21"/>
                <w:szCs w:val="21"/>
              </w:rPr>
            </w:pPr>
            <w:r>
              <w:rPr>
                <w:rFonts w:hint="eastAsia" w:ascii="宋体" w:hAnsi="宋体" w:eastAsia="宋体" w:cs="宋体"/>
                <w:sz w:val="21"/>
                <w:szCs w:val="21"/>
              </w:rPr>
              <w:t>查询当前系统作业的相关信息（作业数据、作业执行状态等）。</w:t>
            </w:r>
          </w:p>
        </w:tc>
      </w:tr>
      <w:tr w14:paraId="05283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59" w:type="dxa"/>
            <w:vAlign w:val="center"/>
          </w:tcPr>
          <w:p w14:paraId="158089E6">
            <w:pPr>
              <w:spacing w:line="276" w:lineRule="auto"/>
              <w:jc w:val="center"/>
              <w:rPr>
                <w:rFonts w:hint="eastAsia" w:ascii="宋体" w:hAnsi="宋体" w:eastAsia="宋体" w:cs="宋体"/>
                <w:snapToGrid w:val="0"/>
                <w:sz w:val="21"/>
                <w:szCs w:val="21"/>
              </w:rPr>
            </w:pPr>
            <w:r>
              <w:rPr>
                <w:rFonts w:hint="eastAsia" w:ascii="宋体" w:hAnsi="宋体" w:eastAsia="宋体" w:cs="宋体"/>
                <w:snapToGrid w:val="0"/>
                <w:sz w:val="21"/>
                <w:szCs w:val="21"/>
              </w:rPr>
              <w:t>库存统计</w:t>
            </w:r>
          </w:p>
        </w:tc>
        <w:tc>
          <w:tcPr>
            <w:tcW w:w="7598" w:type="dxa"/>
            <w:vAlign w:val="center"/>
          </w:tcPr>
          <w:p w14:paraId="0DFDF3C0">
            <w:pPr>
              <w:spacing w:line="276" w:lineRule="auto"/>
              <w:rPr>
                <w:rFonts w:hint="eastAsia" w:ascii="宋体" w:hAnsi="宋体" w:eastAsia="宋体" w:cs="宋体"/>
                <w:sz w:val="21"/>
                <w:szCs w:val="21"/>
              </w:rPr>
            </w:pPr>
            <w:r>
              <w:rPr>
                <w:rFonts w:hint="eastAsia" w:ascii="宋体" w:hAnsi="宋体" w:eastAsia="宋体" w:cs="宋体"/>
                <w:sz w:val="21"/>
                <w:szCs w:val="21"/>
              </w:rPr>
              <w:t>按信息分别或组合进行库存统计。提供相关产品的库存总量以及分类统计的库存量，库容量利用率等。</w:t>
            </w:r>
          </w:p>
        </w:tc>
      </w:tr>
      <w:tr w14:paraId="021DF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59" w:type="dxa"/>
            <w:vAlign w:val="center"/>
          </w:tcPr>
          <w:p w14:paraId="6806A34A">
            <w:pPr>
              <w:spacing w:line="276" w:lineRule="auto"/>
              <w:jc w:val="center"/>
              <w:rPr>
                <w:rFonts w:hint="eastAsia" w:ascii="宋体" w:hAnsi="宋体" w:eastAsia="宋体" w:cs="宋体"/>
                <w:snapToGrid w:val="0"/>
                <w:sz w:val="21"/>
                <w:szCs w:val="21"/>
              </w:rPr>
            </w:pPr>
            <w:r>
              <w:rPr>
                <w:rFonts w:hint="eastAsia" w:ascii="宋体" w:hAnsi="宋体" w:eastAsia="宋体" w:cs="宋体"/>
                <w:snapToGrid w:val="0"/>
                <w:sz w:val="21"/>
                <w:szCs w:val="21"/>
              </w:rPr>
              <w:t>盘库</w:t>
            </w:r>
          </w:p>
        </w:tc>
        <w:tc>
          <w:tcPr>
            <w:tcW w:w="7598" w:type="dxa"/>
            <w:vAlign w:val="center"/>
          </w:tcPr>
          <w:p w14:paraId="25D829B4">
            <w:pPr>
              <w:spacing w:line="276" w:lineRule="auto"/>
              <w:rPr>
                <w:rFonts w:hint="eastAsia" w:ascii="宋体" w:hAnsi="宋体" w:eastAsia="宋体" w:cs="宋体"/>
                <w:sz w:val="21"/>
                <w:szCs w:val="21"/>
              </w:rPr>
            </w:pPr>
            <w:r>
              <w:rPr>
                <w:rFonts w:hint="eastAsia" w:ascii="宋体" w:hAnsi="宋体" w:eastAsia="宋体" w:cs="宋体"/>
                <w:sz w:val="21"/>
                <w:szCs w:val="21"/>
              </w:rPr>
              <w:t>可以按货物属性、存储区域、抽样比例等组合设置生成盘库作业，打印盘库作业表，并执行货物盘库作业。</w:t>
            </w:r>
          </w:p>
        </w:tc>
      </w:tr>
      <w:tr w14:paraId="1E112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59" w:type="dxa"/>
            <w:vAlign w:val="center"/>
          </w:tcPr>
          <w:p w14:paraId="0B96BADF">
            <w:pPr>
              <w:spacing w:line="276" w:lineRule="auto"/>
              <w:jc w:val="center"/>
              <w:rPr>
                <w:rFonts w:hint="eastAsia" w:ascii="宋体" w:hAnsi="宋体" w:eastAsia="宋体" w:cs="宋体"/>
                <w:snapToGrid w:val="0"/>
                <w:sz w:val="21"/>
                <w:szCs w:val="21"/>
              </w:rPr>
            </w:pPr>
            <w:r>
              <w:rPr>
                <w:rFonts w:hint="eastAsia" w:ascii="宋体" w:hAnsi="宋体" w:eastAsia="宋体" w:cs="宋体"/>
                <w:snapToGrid w:val="0"/>
                <w:sz w:val="21"/>
                <w:szCs w:val="21"/>
              </w:rPr>
              <w:t>库存维护</w:t>
            </w:r>
          </w:p>
        </w:tc>
        <w:tc>
          <w:tcPr>
            <w:tcW w:w="7598" w:type="dxa"/>
            <w:vAlign w:val="center"/>
          </w:tcPr>
          <w:p w14:paraId="5BCEA7E4">
            <w:pPr>
              <w:spacing w:line="276" w:lineRule="auto"/>
              <w:rPr>
                <w:rFonts w:hint="eastAsia" w:ascii="宋体" w:hAnsi="宋体" w:eastAsia="宋体" w:cs="宋体"/>
                <w:sz w:val="21"/>
                <w:szCs w:val="21"/>
              </w:rPr>
            </w:pPr>
            <w:r>
              <w:rPr>
                <w:rFonts w:hint="eastAsia" w:ascii="宋体" w:hAnsi="宋体" w:eastAsia="宋体" w:cs="宋体"/>
                <w:sz w:val="21"/>
                <w:szCs w:val="21"/>
              </w:rPr>
              <w:t>在库存数据与实际库存有差异时，由人工按实际库存对库存数据进行修正，以保证库存数据准确和后续作业正常运行</w:t>
            </w:r>
          </w:p>
        </w:tc>
      </w:tr>
      <w:tr w14:paraId="6485D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59" w:type="dxa"/>
            <w:vAlign w:val="center"/>
          </w:tcPr>
          <w:p w14:paraId="2F231ACB">
            <w:pPr>
              <w:spacing w:line="276" w:lineRule="auto"/>
              <w:jc w:val="center"/>
              <w:rPr>
                <w:rFonts w:hint="eastAsia" w:ascii="宋体" w:hAnsi="宋体" w:eastAsia="宋体" w:cs="宋体"/>
                <w:snapToGrid w:val="0"/>
                <w:sz w:val="21"/>
                <w:szCs w:val="21"/>
              </w:rPr>
            </w:pPr>
            <w:r>
              <w:rPr>
                <w:rFonts w:hint="eastAsia" w:ascii="宋体" w:hAnsi="宋体" w:eastAsia="宋体" w:cs="宋体"/>
                <w:snapToGrid w:val="0"/>
                <w:sz w:val="21"/>
                <w:szCs w:val="21"/>
              </w:rPr>
              <w:t>历史数据</w:t>
            </w:r>
          </w:p>
          <w:p w14:paraId="14525464">
            <w:pPr>
              <w:spacing w:line="276" w:lineRule="auto"/>
              <w:jc w:val="center"/>
              <w:rPr>
                <w:rFonts w:hint="eastAsia" w:ascii="宋体" w:hAnsi="宋体" w:eastAsia="宋体" w:cs="宋体"/>
                <w:snapToGrid w:val="0"/>
                <w:sz w:val="21"/>
                <w:szCs w:val="21"/>
              </w:rPr>
            </w:pPr>
            <w:r>
              <w:rPr>
                <w:rFonts w:hint="eastAsia" w:ascii="宋体" w:hAnsi="宋体" w:eastAsia="宋体" w:cs="宋体"/>
                <w:snapToGrid w:val="0"/>
                <w:sz w:val="21"/>
                <w:szCs w:val="21"/>
              </w:rPr>
              <w:t>维护</w:t>
            </w:r>
          </w:p>
        </w:tc>
        <w:tc>
          <w:tcPr>
            <w:tcW w:w="7598" w:type="dxa"/>
            <w:vAlign w:val="center"/>
          </w:tcPr>
          <w:p w14:paraId="0C3000B1">
            <w:pPr>
              <w:spacing w:line="276" w:lineRule="auto"/>
              <w:rPr>
                <w:rFonts w:hint="eastAsia" w:ascii="宋体" w:hAnsi="宋体" w:eastAsia="宋体" w:cs="宋体"/>
                <w:sz w:val="21"/>
                <w:szCs w:val="21"/>
              </w:rPr>
            </w:pPr>
            <w:r>
              <w:rPr>
                <w:rFonts w:hint="eastAsia" w:ascii="宋体" w:hAnsi="宋体" w:eastAsia="宋体" w:cs="宋体"/>
                <w:sz w:val="21"/>
                <w:szCs w:val="21"/>
              </w:rPr>
              <w:t>在系统长期运行后，对历史记录数据进行备份和清理，使数据库高效稳定运行</w:t>
            </w:r>
          </w:p>
        </w:tc>
      </w:tr>
      <w:tr w14:paraId="0E205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59" w:type="dxa"/>
            <w:vAlign w:val="center"/>
          </w:tcPr>
          <w:p w14:paraId="701B4758">
            <w:pPr>
              <w:spacing w:line="276" w:lineRule="auto"/>
              <w:jc w:val="center"/>
              <w:rPr>
                <w:rFonts w:hint="eastAsia" w:ascii="宋体" w:hAnsi="宋体" w:eastAsia="宋体" w:cs="宋体"/>
                <w:snapToGrid w:val="0"/>
                <w:sz w:val="21"/>
                <w:szCs w:val="21"/>
              </w:rPr>
            </w:pPr>
            <w:r>
              <w:rPr>
                <w:rFonts w:hint="eastAsia" w:ascii="宋体" w:hAnsi="宋体" w:eastAsia="宋体" w:cs="宋体"/>
                <w:snapToGrid w:val="0"/>
                <w:sz w:val="21"/>
                <w:szCs w:val="21"/>
              </w:rPr>
              <w:t>与ERP系统接口</w:t>
            </w:r>
          </w:p>
        </w:tc>
        <w:tc>
          <w:tcPr>
            <w:tcW w:w="7598" w:type="dxa"/>
            <w:vAlign w:val="center"/>
          </w:tcPr>
          <w:p w14:paraId="0669F2CE">
            <w:pPr>
              <w:spacing w:line="276" w:lineRule="auto"/>
              <w:rPr>
                <w:rFonts w:hint="eastAsia" w:ascii="宋体" w:hAnsi="宋体" w:eastAsia="宋体" w:cs="宋体"/>
                <w:sz w:val="21"/>
                <w:szCs w:val="21"/>
              </w:rPr>
            </w:pPr>
            <w:r>
              <w:rPr>
                <w:rFonts w:hint="eastAsia" w:ascii="宋体" w:hAnsi="宋体" w:eastAsia="宋体" w:cs="宋体"/>
                <w:sz w:val="21"/>
                <w:szCs w:val="21"/>
              </w:rPr>
              <w:t>从上位系统取得物料数据和入出库单据信息等</w:t>
            </w:r>
          </w:p>
        </w:tc>
      </w:tr>
      <w:tr w14:paraId="3A5DE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59" w:type="dxa"/>
            <w:vAlign w:val="center"/>
          </w:tcPr>
          <w:p w14:paraId="6402A8B7">
            <w:pPr>
              <w:spacing w:line="276" w:lineRule="auto"/>
              <w:jc w:val="center"/>
              <w:rPr>
                <w:rFonts w:hint="eastAsia" w:ascii="宋体" w:hAnsi="宋体" w:eastAsia="宋体" w:cs="宋体"/>
                <w:snapToGrid w:val="0"/>
                <w:sz w:val="21"/>
                <w:szCs w:val="21"/>
              </w:rPr>
            </w:pPr>
            <w:r>
              <w:rPr>
                <w:rFonts w:hint="eastAsia" w:ascii="宋体" w:hAnsi="宋体" w:eastAsia="宋体" w:cs="宋体"/>
                <w:snapToGrid w:val="0"/>
                <w:sz w:val="21"/>
                <w:szCs w:val="21"/>
              </w:rPr>
              <w:t>LED显示屏提示信息</w:t>
            </w:r>
          </w:p>
        </w:tc>
        <w:tc>
          <w:tcPr>
            <w:tcW w:w="7598" w:type="dxa"/>
            <w:vAlign w:val="center"/>
          </w:tcPr>
          <w:p w14:paraId="05E4E419">
            <w:pPr>
              <w:spacing w:line="276" w:lineRule="auto"/>
              <w:rPr>
                <w:rFonts w:hint="eastAsia" w:ascii="宋体" w:hAnsi="宋体" w:eastAsia="宋体" w:cs="宋体"/>
                <w:sz w:val="21"/>
                <w:szCs w:val="21"/>
              </w:rPr>
            </w:pPr>
            <w:r>
              <w:rPr>
                <w:rFonts w:hint="eastAsia" w:ascii="宋体" w:hAnsi="宋体" w:eastAsia="宋体" w:cs="宋体"/>
                <w:sz w:val="21"/>
                <w:szCs w:val="21"/>
              </w:rPr>
              <w:t>在出库站台向叉车操作工提示当前出库托盘的去向信息及托盘作业信息</w:t>
            </w:r>
          </w:p>
        </w:tc>
      </w:tr>
      <w:tr w14:paraId="6EFED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59" w:type="dxa"/>
            <w:vAlign w:val="center"/>
          </w:tcPr>
          <w:p w14:paraId="1EE892D5">
            <w:pPr>
              <w:spacing w:line="276" w:lineRule="auto"/>
              <w:jc w:val="center"/>
              <w:rPr>
                <w:rFonts w:hint="eastAsia" w:ascii="宋体" w:hAnsi="宋体" w:eastAsia="宋体" w:cs="宋体"/>
                <w:snapToGrid w:val="0"/>
                <w:sz w:val="21"/>
                <w:szCs w:val="21"/>
              </w:rPr>
            </w:pPr>
            <w:r>
              <w:rPr>
                <w:rFonts w:hint="eastAsia" w:ascii="宋体" w:hAnsi="宋体" w:eastAsia="宋体" w:cs="宋体"/>
                <w:snapToGrid w:val="0"/>
                <w:sz w:val="21"/>
                <w:szCs w:val="21"/>
              </w:rPr>
              <w:t>入库数据录入</w:t>
            </w:r>
          </w:p>
        </w:tc>
        <w:tc>
          <w:tcPr>
            <w:tcW w:w="7598" w:type="dxa"/>
            <w:vAlign w:val="center"/>
          </w:tcPr>
          <w:p w14:paraId="38BE9EE0">
            <w:pPr>
              <w:spacing w:line="276" w:lineRule="auto"/>
              <w:rPr>
                <w:rFonts w:hint="eastAsia" w:ascii="宋体" w:hAnsi="宋体" w:eastAsia="宋体" w:cs="宋体"/>
                <w:sz w:val="21"/>
                <w:szCs w:val="21"/>
              </w:rPr>
            </w:pPr>
            <w:r>
              <w:rPr>
                <w:rFonts w:hint="eastAsia" w:ascii="宋体" w:hAnsi="宋体" w:eastAsia="宋体" w:cs="宋体"/>
                <w:sz w:val="21"/>
                <w:szCs w:val="21"/>
              </w:rPr>
              <w:t>在入库组盘区，人工使用无线手持终端进行组盘，先扫描托盘号，选择入库单据，选择物料信息，输入数量，确认组盘后实时将组盘数据上传计算机管理系统。</w:t>
            </w:r>
          </w:p>
        </w:tc>
      </w:tr>
      <w:tr w14:paraId="0323A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59" w:type="dxa"/>
            <w:vAlign w:val="center"/>
          </w:tcPr>
          <w:p w14:paraId="1D8004DD">
            <w:pPr>
              <w:spacing w:line="276" w:lineRule="auto"/>
              <w:jc w:val="center"/>
              <w:rPr>
                <w:rFonts w:hint="eastAsia" w:ascii="宋体" w:hAnsi="宋体" w:eastAsia="宋体" w:cs="宋体"/>
                <w:snapToGrid w:val="0"/>
                <w:sz w:val="21"/>
                <w:szCs w:val="21"/>
              </w:rPr>
            </w:pPr>
            <w:r>
              <w:rPr>
                <w:rFonts w:hint="eastAsia" w:ascii="宋体" w:hAnsi="宋体" w:eastAsia="宋体" w:cs="宋体"/>
                <w:snapToGrid w:val="0"/>
                <w:sz w:val="21"/>
                <w:szCs w:val="21"/>
              </w:rPr>
              <w:t>盘库</w:t>
            </w:r>
          </w:p>
        </w:tc>
        <w:tc>
          <w:tcPr>
            <w:tcW w:w="7598" w:type="dxa"/>
            <w:vAlign w:val="center"/>
          </w:tcPr>
          <w:p w14:paraId="28FB7543">
            <w:pPr>
              <w:spacing w:line="276" w:lineRule="auto"/>
              <w:rPr>
                <w:rFonts w:hint="eastAsia" w:ascii="宋体" w:hAnsi="宋体" w:eastAsia="宋体" w:cs="宋体"/>
                <w:sz w:val="21"/>
                <w:szCs w:val="21"/>
              </w:rPr>
            </w:pPr>
            <w:r>
              <w:rPr>
                <w:rFonts w:hint="eastAsia" w:ascii="宋体" w:hAnsi="宋体" w:eastAsia="宋体" w:cs="宋体"/>
                <w:sz w:val="21"/>
                <w:szCs w:val="21"/>
              </w:rPr>
              <w:t>通过RF手持终端扫描产品托盘码，根据RF显示的产品信息与实际情况进行比较盘点。</w:t>
            </w:r>
          </w:p>
        </w:tc>
      </w:tr>
      <w:tr w14:paraId="2759E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59" w:type="dxa"/>
            <w:vAlign w:val="center"/>
          </w:tcPr>
          <w:p w14:paraId="17A3FA8F">
            <w:pPr>
              <w:spacing w:line="276" w:lineRule="auto"/>
              <w:jc w:val="center"/>
              <w:rPr>
                <w:rFonts w:hint="eastAsia" w:ascii="宋体" w:hAnsi="宋体" w:eastAsia="宋体" w:cs="宋体"/>
                <w:snapToGrid w:val="0"/>
                <w:sz w:val="21"/>
                <w:szCs w:val="21"/>
              </w:rPr>
            </w:pPr>
            <w:r>
              <w:rPr>
                <w:rFonts w:hint="eastAsia" w:ascii="宋体" w:hAnsi="宋体" w:eastAsia="宋体" w:cs="宋体"/>
                <w:snapToGrid w:val="0"/>
                <w:sz w:val="21"/>
                <w:szCs w:val="21"/>
              </w:rPr>
              <w:t>系统管理</w:t>
            </w:r>
          </w:p>
        </w:tc>
        <w:tc>
          <w:tcPr>
            <w:tcW w:w="7598" w:type="dxa"/>
            <w:vAlign w:val="center"/>
          </w:tcPr>
          <w:p w14:paraId="4E007BCC">
            <w:pPr>
              <w:spacing w:line="276" w:lineRule="auto"/>
              <w:rPr>
                <w:rFonts w:hint="eastAsia" w:ascii="宋体" w:hAnsi="宋体" w:eastAsia="宋体" w:cs="宋体"/>
                <w:snapToGrid w:val="0"/>
                <w:sz w:val="21"/>
                <w:szCs w:val="21"/>
              </w:rPr>
            </w:pPr>
            <w:r>
              <w:rPr>
                <w:rFonts w:hint="eastAsia" w:ascii="宋体" w:hAnsi="宋体" w:eastAsia="宋体" w:cs="宋体"/>
                <w:snapToGrid w:val="0"/>
                <w:sz w:val="21"/>
                <w:szCs w:val="21"/>
              </w:rPr>
              <w:t>数据导入导出所有报表通过EXCEL导出功能，出入库单据通过EXCEL表的批量导入；角色管理：用于编辑角色相关信息；权限管理：设定角色所拥有的权限；用户管理：添加删除系统操作员信息，同时为人员设定所属角色</w:t>
            </w:r>
          </w:p>
        </w:tc>
      </w:tr>
    </w:tbl>
    <w:p w14:paraId="5AA12EBF">
      <w:pPr>
        <w:numPr>
          <w:ilvl w:val="0"/>
          <w:numId w:val="0"/>
        </w:numPr>
        <w:spacing w:line="360" w:lineRule="auto"/>
        <w:ind w:left="0" w:leftChars="0" w:firstLine="0" w:firstLineChars="0"/>
        <w:outlineLvl w:val="2"/>
        <w:rPr>
          <w:rFonts w:hint="eastAsia" w:ascii="宋体" w:hAnsi="宋体" w:eastAsia="宋体" w:cs="宋体"/>
          <w:b/>
          <w:bCs/>
          <w:kern w:val="2"/>
          <w:sz w:val="21"/>
          <w:szCs w:val="21"/>
          <w:lang w:val="en-US" w:eastAsia="zh-CN" w:bidi="ar-SA"/>
        </w:rPr>
      </w:pPr>
      <w:bookmarkStart w:id="1685" w:name="_Toc70413748"/>
      <w:bookmarkStart w:id="1686" w:name="_Toc14818"/>
      <w:r>
        <w:rPr>
          <w:rFonts w:hint="eastAsia" w:ascii="宋体" w:hAnsi="宋体" w:eastAsia="宋体" w:cs="宋体"/>
          <w:b/>
          <w:bCs/>
          <w:kern w:val="2"/>
          <w:sz w:val="21"/>
          <w:szCs w:val="21"/>
          <w:lang w:val="en-US" w:eastAsia="zh-CN" w:bidi="ar-SA"/>
        </w:rPr>
        <w:t>5.2监控调度系统WCS</w:t>
      </w:r>
      <w:bookmarkEnd w:id="1685"/>
      <w:bookmarkEnd w:id="1686"/>
    </w:p>
    <w:p w14:paraId="4C4D8977">
      <w:pPr>
        <w:ind w:firstLine="420" w:firstLineChars="20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计算机房设一台监控计算机，监控应用软件应包括设备实时监控等，根据信息管理系统自动分配好的作业地址信息，按运行时间短、作业间的合理分配等原则对作业顺序进行优化组合排定，经数据处理后对输送机等主要机电设备的控制器分发作业命令。系统接受实时控制的信息反馈，并对主要设备的运行位置、作业状态、设备故障信息、货位占位情况、托盘载物情况和运行等信息物流状态进行LED实时动态显示。</w:t>
      </w:r>
    </w:p>
    <w:p w14:paraId="64BC1DEB">
      <w:pPr>
        <w:ind w:firstLine="420" w:firstLineChars="200"/>
        <w:rPr>
          <w:rFonts w:hint="eastAsia" w:ascii="宋体" w:hAnsi="宋体" w:eastAsia="宋体" w:cs="宋体"/>
          <w:kern w:val="2"/>
          <w:sz w:val="21"/>
          <w:szCs w:val="21"/>
          <w:lang w:val="en-US" w:eastAsia="zh-CN" w:bidi="ar-SA"/>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3"/>
        <w:gridCol w:w="7370"/>
      </w:tblGrid>
      <w:tr w14:paraId="43B92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983" w:type="dxa"/>
            <w:vAlign w:val="center"/>
          </w:tcPr>
          <w:p w14:paraId="61099604">
            <w:pPr>
              <w:spacing w:line="276" w:lineRule="auto"/>
              <w:jc w:val="center"/>
              <w:rPr>
                <w:rFonts w:hint="eastAsia" w:ascii="宋体" w:hAnsi="宋体" w:eastAsia="宋体" w:cs="宋体"/>
                <w:snapToGrid w:val="0"/>
                <w:sz w:val="21"/>
                <w:szCs w:val="21"/>
              </w:rPr>
            </w:pPr>
            <w:r>
              <w:rPr>
                <w:rFonts w:hint="eastAsia" w:ascii="宋体" w:hAnsi="宋体" w:eastAsia="宋体" w:cs="宋体"/>
                <w:sz w:val="21"/>
                <w:szCs w:val="21"/>
              </w:rPr>
              <w:t>功能名称</w:t>
            </w:r>
          </w:p>
        </w:tc>
        <w:tc>
          <w:tcPr>
            <w:tcW w:w="7370" w:type="dxa"/>
            <w:vAlign w:val="center"/>
          </w:tcPr>
          <w:p w14:paraId="4BE18979">
            <w:pPr>
              <w:spacing w:line="276" w:lineRule="auto"/>
              <w:jc w:val="center"/>
              <w:rPr>
                <w:rFonts w:hint="eastAsia" w:ascii="宋体" w:hAnsi="宋体" w:eastAsia="宋体" w:cs="宋体"/>
                <w:sz w:val="21"/>
                <w:szCs w:val="21"/>
              </w:rPr>
            </w:pPr>
            <w:r>
              <w:rPr>
                <w:rFonts w:hint="eastAsia" w:ascii="宋体" w:hAnsi="宋体" w:eastAsia="宋体" w:cs="宋体"/>
                <w:sz w:val="21"/>
                <w:szCs w:val="21"/>
              </w:rPr>
              <w:t>功能描述</w:t>
            </w:r>
          </w:p>
        </w:tc>
      </w:tr>
      <w:tr w14:paraId="027D6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983" w:type="dxa"/>
            <w:vAlign w:val="center"/>
          </w:tcPr>
          <w:p w14:paraId="19E584AF">
            <w:pPr>
              <w:spacing w:line="276" w:lineRule="auto"/>
              <w:jc w:val="center"/>
              <w:rPr>
                <w:rFonts w:hint="eastAsia" w:ascii="宋体" w:hAnsi="宋体" w:eastAsia="宋体" w:cs="宋体"/>
                <w:snapToGrid w:val="0"/>
                <w:sz w:val="21"/>
                <w:szCs w:val="21"/>
              </w:rPr>
            </w:pPr>
            <w:r>
              <w:rPr>
                <w:rFonts w:hint="eastAsia" w:ascii="宋体" w:hAnsi="宋体" w:eastAsia="宋体" w:cs="宋体"/>
                <w:snapToGrid w:val="0"/>
                <w:sz w:val="21"/>
                <w:szCs w:val="21"/>
              </w:rPr>
              <w:t>设备运行故障提示</w:t>
            </w:r>
          </w:p>
        </w:tc>
        <w:tc>
          <w:tcPr>
            <w:tcW w:w="7370" w:type="dxa"/>
            <w:vAlign w:val="center"/>
          </w:tcPr>
          <w:p w14:paraId="6F7369F2">
            <w:pPr>
              <w:spacing w:line="276" w:lineRule="auto"/>
              <w:rPr>
                <w:rFonts w:hint="eastAsia" w:ascii="宋体" w:hAnsi="宋体" w:eastAsia="宋体" w:cs="宋体"/>
                <w:sz w:val="21"/>
                <w:szCs w:val="21"/>
              </w:rPr>
            </w:pPr>
            <w:r>
              <w:rPr>
                <w:rFonts w:hint="eastAsia" w:ascii="宋体" w:hAnsi="宋体" w:eastAsia="宋体" w:cs="宋体"/>
                <w:sz w:val="21"/>
                <w:szCs w:val="21"/>
              </w:rPr>
              <w:t>实时对输送机运行报警信息进行提示</w:t>
            </w:r>
          </w:p>
        </w:tc>
      </w:tr>
      <w:tr w14:paraId="1156C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983" w:type="dxa"/>
            <w:vAlign w:val="center"/>
          </w:tcPr>
          <w:p w14:paraId="795D6452">
            <w:pPr>
              <w:spacing w:line="276" w:lineRule="auto"/>
              <w:jc w:val="center"/>
              <w:rPr>
                <w:rFonts w:hint="eastAsia" w:ascii="宋体" w:hAnsi="宋体" w:eastAsia="宋体" w:cs="宋体"/>
                <w:sz w:val="21"/>
                <w:szCs w:val="21"/>
              </w:rPr>
            </w:pPr>
            <w:r>
              <w:rPr>
                <w:rFonts w:hint="eastAsia" w:ascii="宋体" w:hAnsi="宋体" w:eastAsia="宋体" w:cs="宋体"/>
                <w:sz w:val="21"/>
                <w:szCs w:val="21"/>
              </w:rPr>
              <w:t>设备管理</w:t>
            </w:r>
          </w:p>
        </w:tc>
        <w:tc>
          <w:tcPr>
            <w:tcW w:w="7370" w:type="dxa"/>
            <w:vAlign w:val="center"/>
          </w:tcPr>
          <w:p w14:paraId="35BE733F">
            <w:pPr>
              <w:pStyle w:val="210"/>
              <w:spacing w:line="276" w:lineRule="auto"/>
              <w:rPr>
                <w:rFonts w:hint="eastAsia" w:ascii="宋体" w:hAnsi="宋体" w:eastAsia="宋体" w:cs="宋体"/>
                <w:kern w:val="2"/>
                <w:sz w:val="21"/>
                <w:szCs w:val="21"/>
              </w:rPr>
            </w:pPr>
            <w:r>
              <w:rPr>
                <w:rFonts w:hint="eastAsia" w:ascii="宋体" w:hAnsi="宋体" w:eastAsia="宋体" w:cs="宋体"/>
                <w:kern w:val="2"/>
                <w:sz w:val="21"/>
                <w:szCs w:val="21"/>
              </w:rPr>
              <w:t>包括设备基本档案管理、设备检修保养计划及计划执行情况管理、设备运行故障统计、故障处理查询（设备运行频率统计、设备运行状态管理等功能列在设备运行状态显示功能模块中）等。</w:t>
            </w:r>
          </w:p>
        </w:tc>
      </w:tr>
      <w:tr w14:paraId="30CE1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983" w:type="dxa"/>
            <w:vAlign w:val="center"/>
          </w:tcPr>
          <w:p w14:paraId="0E8A2C25">
            <w:pPr>
              <w:spacing w:line="276" w:lineRule="auto"/>
              <w:jc w:val="center"/>
              <w:rPr>
                <w:rFonts w:hint="eastAsia" w:ascii="宋体" w:hAnsi="宋体" w:eastAsia="宋体" w:cs="宋体"/>
                <w:snapToGrid w:val="0"/>
                <w:sz w:val="21"/>
                <w:szCs w:val="21"/>
              </w:rPr>
            </w:pPr>
            <w:r>
              <w:rPr>
                <w:rFonts w:hint="eastAsia" w:ascii="宋体" w:hAnsi="宋体" w:eastAsia="宋体" w:cs="宋体"/>
                <w:snapToGrid w:val="0"/>
                <w:sz w:val="21"/>
                <w:szCs w:val="21"/>
              </w:rPr>
              <w:t>设备运行记录查询</w:t>
            </w:r>
          </w:p>
        </w:tc>
        <w:tc>
          <w:tcPr>
            <w:tcW w:w="7370" w:type="dxa"/>
            <w:vAlign w:val="center"/>
          </w:tcPr>
          <w:p w14:paraId="3411BD33">
            <w:pPr>
              <w:spacing w:line="276" w:lineRule="auto"/>
              <w:rPr>
                <w:rFonts w:hint="eastAsia" w:ascii="宋体" w:hAnsi="宋体" w:eastAsia="宋体" w:cs="宋体"/>
                <w:sz w:val="21"/>
                <w:szCs w:val="21"/>
              </w:rPr>
            </w:pPr>
            <w:r>
              <w:rPr>
                <w:rFonts w:hint="eastAsia" w:ascii="宋体" w:hAnsi="宋体" w:eastAsia="宋体" w:cs="宋体"/>
                <w:sz w:val="21"/>
                <w:szCs w:val="21"/>
              </w:rPr>
              <w:t>对输送机运行记录（包括故障、报警信息、发生及恢复时间、人工操作发生及恢复时间等）信息进行查询</w:t>
            </w:r>
          </w:p>
        </w:tc>
      </w:tr>
      <w:tr w14:paraId="5DE69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983" w:type="dxa"/>
            <w:vAlign w:val="center"/>
          </w:tcPr>
          <w:p w14:paraId="320CA8AA">
            <w:pPr>
              <w:spacing w:line="276" w:lineRule="auto"/>
              <w:jc w:val="center"/>
              <w:rPr>
                <w:rFonts w:hint="eastAsia" w:ascii="宋体" w:hAnsi="宋体" w:eastAsia="宋体" w:cs="宋体"/>
                <w:snapToGrid w:val="0"/>
                <w:sz w:val="21"/>
                <w:szCs w:val="21"/>
              </w:rPr>
            </w:pPr>
            <w:r>
              <w:rPr>
                <w:rFonts w:hint="eastAsia" w:ascii="宋体" w:hAnsi="宋体" w:eastAsia="宋体" w:cs="宋体"/>
                <w:snapToGrid w:val="0"/>
                <w:sz w:val="21"/>
                <w:szCs w:val="21"/>
              </w:rPr>
              <w:t>系统运行状态静态监控</w:t>
            </w:r>
          </w:p>
        </w:tc>
        <w:tc>
          <w:tcPr>
            <w:tcW w:w="7370" w:type="dxa"/>
            <w:vAlign w:val="center"/>
          </w:tcPr>
          <w:p w14:paraId="61E26F6A">
            <w:pPr>
              <w:spacing w:line="276" w:lineRule="auto"/>
              <w:rPr>
                <w:rFonts w:hint="eastAsia" w:ascii="宋体" w:hAnsi="宋体" w:eastAsia="宋体" w:cs="宋体"/>
                <w:sz w:val="21"/>
                <w:szCs w:val="21"/>
              </w:rPr>
            </w:pPr>
            <w:r>
              <w:rPr>
                <w:rFonts w:hint="eastAsia" w:ascii="宋体" w:hAnsi="宋体" w:eastAsia="宋体" w:cs="宋体"/>
                <w:sz w:val="21"/>
                <w:szCs w:val="21"/>
              </w:rPr>
              <w:t xml:space="preserve">以三视角度的图形示意方式显示输送系统的运行和负载状态以及系统的通讯状态、故障信息等。可以很直观的按排或列或层显示货格状态，通过不同的颜色进行区分无货、待验品、不合格品、正品等；用鼠标点击某货格时，可以在屏幕的适当位置显示货格内货物的详细信息。使系统运行总体状态一目了然 </w:t>
            </w:r>
          </w:p>
        </w:tc>
      </w:tr>
      <w:tr w14:paraId="1E885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983" w:type="dxa"/>
            <w:vAlign w:val="center"/>
          </w:tcPr>
          <w:p w14:paraId="5BC3BFA3">
            <w:pPr>
              <w:spacing w:line="276" w:lineRule="auto"/>
              <w:jc w:val="center"/>
              <w:rPr>
                <w:rFonts w:hint="eastAsia" w:ascii="宋体" w:hAnsi="宋体" w:eastAsia="宋体" w:cs="宋体"/>
                <w:snapToGrid w:val="0"/>
                <w:sz w:val="21"/>
                <w:szCs w:val="21"/>
              </w:rPr>
            </w:pPr>
            <w:r>
              <w:rPr>
                <w:rFonts w:hint="eastAsia" w:ascii="宋体" w:hAnsi="宋体" w:eastAsia="宋体" w:cs="宋体"/>
                <w:snapToGrid w:val="0"/>
                <w:sz w:val="21"/>
                <w:szCs w:val="21"/>
              </w:rPr>
              <w:t>输送机运行状态显示</w:t>
            </w:r>
          </w:p>
        </w:tc>
        <w:tc>
          <w:tcPr>
            <w:tcW w:w="7370" w:type="dxa"/>
            <w:vAlign w:val="center"/>
          </w:tcPr>
          <w:p w14:paraId="7A6E998E">
            <w:pPr>
              <w:spacing w:line="276" w:lineRule="auto"/>
              <w:rPr>
                <w:rFonts w:hint="eastAsia" w:ascii="宋体" w:hAnsi="宋体" w:eastAsia="宋体" w:cs="宋体"/>
                <w:sz w:val="21"/>
                <w:szCs w:val="21"/>
              </w:rPr>
            </w:pPr>
            <w:r>
              <w:rPr>
                <w:rFonts w:hint="eastAsia" w:ascii="宋体" w:hAnsi="宋体" w:eastAsia="宋体" w:cs="宋体"/>
                <w:sz w:val="21"/>
                <w:szCs w:val="21"/>
              </w:rPr>
              <w:t>以侧视角度的图形示意方式显示单台输送机的运行状态和负载状态，以表格方式显示输送机作业数据、作业状态和故障状态等信息。并带有输送机监控手动控制面板</w:t>
            </w:r>
          </w:p>
        </w:tc>
      </w:tr>
      <w:tr w14:paraId="53779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983" w:type="dxa"/>
            <w:vAlign w:val="center"/>
          </w:tcPr>
          <w:p w14:paraId="1C87E9A6">
            <w:pPr>
              <w:spacing w:line="276" w:lineRule="auto"/>
              <w:jc w:val="center"/>
              <w:rPr>
                <w:rFonts w:hint="eastAsia" w:ascii="宋体" w:hAnsi="宋体" w:eastAsia="宋体" w:cs="宋体"/>
                <w:snapToGrid w:val="0"/>
                <w:sz w:val="21"/>
                <w:szCs w:val="21"/>
              </w:rPr>
            </w:pPr>
            <w:r>
              <w:rPr>
                <w:rFonts w:hint="eastAsia" w:ascii="宋体" w:hAnsi="宋体" w:eastAsia="宋体" w:cs="宋体"/>
                <w:snapToGrid w:val="0"/>
                <w:sz w:val="21"/>
                <w:szCs w:val="21"/>
              </w:rPr>
              <w:t>远程维护功能</w:t>
            </w:r>
          </w:p>
        </w:tc>
        <w:tc>
          <w:tcPr>
            <w:tcW w:w="7370" w:type="dxa"/>
            <w:vAlign w:val="center"/>
          </w:tcPr>
          <w:p w14:paraId="375A8ACC">
            <w:pPr>
              <w:spacing w:line="276" w:lineRule="auto"/>
              <w:rPr>
                <w:rFonts w:hint="eastAsia" w:ascii="宋体" w:hAnsi="宋体" w:eastAsia="宋体" w:cs="宋体"/>
                <w:sz w:val="21"/>
                <w:szCs w:val="21"/>
              </w:rPr>
            </w:pPr>
            <w:r>
              <w:rPr>
                <w:rFonts w:hint="eastAsia" w:ascii="宋体" w:hAnsi="宋体" w:eastAsia="宋体" w:cs="宋体"/>
                <w:sz w:val="21"/>
                <w:szCs w:val="21"/>
              </w:rPr>
              <w:t>在确保中控室内计算机网络可以通过调制解调器进行访问的前提下，可以对设备进行远程维护</w:t>
            </w:r>
          </w:p>
        </w:tc>
      </w:tr>
      <w:tr w14:paraId="39043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983" w:type="dxa"/>
            <w:vAlign w:val="center"/>
          </w:tcPr>
          <w:p w14:paraId="501D46A6">
            <w:pPr>
              <w:spacing w:line="276" w:lineRule="auto"/>
              <w:jc w:val="center"/>
              <w:rPr>
                <w:rFonts w:hint="eastAsia" w:ascii="宋体" w:hAnsi="宋体" w:eastAsia="宋体" w:cs="宋体"/>
                <w:snapToGrid w:val="0"/>
                <w:sz w:val="21"/>
                <w:szCs w:val="21"/>
              </w:rPr>
            </w:pPr>
            <w:r>
              <w:rPr>
                <w:rFonts w:hint="eastAsia" w:ascii="宋体" w:hAnsi="宋体" w:eastAsia="宋体" w:cs="宋体"/>
                <w:snapToGrid w:val="0"/>
                <w:sz w:val="21"/>
                <w:szCs w:val="21"/>
              </w:rPr>
              <w:t>单台输送机远程手动控制</w:t>
            </w:r>
          </w:p>
        </w:tc>
        <w:tc>
          <w:tcPr>
            <w:tcW w:w="7370" w:type="dxa"/>
            <w:vAlign w:val="center"/>
          </w:tcPr>
          <w:p w14:paraId="2ABFB255">
            <w:pPr>
              <w:spacing w:line="276" w:lineRule="auto"/>
              <w:rPr>
                <w:rFonts w:hint="eastAsia" w:ascii="宋体" w:hAnsi="宋体" w:eastAsia="宋体" w:cs="宋体"/>
                <w:sz w:val="21"/>
                <w:szCs w:val="21"/>
              </w:rPr>
            </w:pPr>
            <w:r>
              <w:rPr>
                <w:rFonts w:hint="eastAsia" w:ascii="宋体" w:hAnsi="宋体" w:eastAsia="宋体" w:cs="宋体"/>
                <w:sz w:val="21"/>
                <w:szCs w:val="21"/>
              </w:rPr>
              <w:t>可通过鼠标点击在单台输送机运行状态显示界面中的输送机手动操作面板，可直接对输送机进行操作，这样便于直接观察到输送机的相应运行状态，可以进行故障清除、设置负载状态、设置负载去向、进行自动/监控手动方式转换并直接对输送机进行监控手动操作</w:t>
            </w:r>
          </w:p>
        </w:tc>
      </w:tr>
      <w:tr w14:paraId="7B832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983" w:type="dxa"/>
            <w:vAlign w:val="center"/>
          </w:tcPr>
          <w:p w14:paraId="78D90801">
            <w:pPr>
              <w:spacing w:line="276" w:lineRule="auto"/>
              <w:jc w:val="center"/>
              <w:rPr>
                <w:rFonts w:hint="eastAsia" w:ascii="宋体" w:hAnsi="宋体" w:eastAsia="宋体" w:cs="宋体"/>
                <w:snapToGrid w:val="0"/>
                <w:sz w:val="21"/>
                <w:szCs w:val="21"/>
              </w:rPr>
            </w:pPr>
            <w:r>
              <w:rPr>
                <w:rFonts w:hint="eastAsia" w:ascii="宋体" w:hAnsi="宋体" w:eastAsia="宋体" w:cs="宋体"/>
                <w:snapToGrid w:val="0"/>
                <w:sz w:val="21"/>
                <w:szCs w:val="21"/>
              </w:rPr>
              <w:t>设备通讯管理</w:t>
            </w:r>
          </w:p>
        </w:tc>
        <w:tc>
          <w:tcPr>
            <w:tcW w:w="7370" w:type="dxa"/>
            <w:vAlign w:val="center"/>
          </w:tcPr>
          <w:p w14:paraId="20308D93">
            <w:pPr>
              <w:spacing w:line="276" w:lineRule="auto"/>
              <w:rPr>
                <w:rFonts w:hint="eastAsia" w:ascii="宋体" w:hAnsi="宋体" w:eastAsia="宋体" w:cs="宋体"/>
                <w:sz w:val="21"/>
                <w:szCs w:val="21"/>
              </w:rPr>
            </w:pPr>
            <w:r>
              <w:rPr>
                <w:rFonts w:hint="eastAsia" w:ascii="宋体" w:hAnsi="宋体" w:eastAsia="宋体" w:cs="宋体"/>
                <w:sz w:val="21"/>
                <w:szCs w:val="21"/>
              </w:rPr>
              <w:t>实时采集设备运行状态数据，为设备运行状态实时显示和自动作业调度和作业处理提供数据依据；向设备控制器发送自动作业指令</w:t>
            </w:r>
          </w:p>
        </w:tc>
      </w:tr>
      <w:tr w14:paraId="45DCF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983" w:type="dxa"/>
            <w:vAlign w:val="center"/>
          </w:tcPr>
          <w:p w14:paraId="72021002">
            <w:pPr>
              <w:spacing w:line="276" w:lineRule="auto"/>
              <w:jc w:val="center"/>
              <w:rPr>
                <w:rFonts w:hint="eastAsia" w:ascii="宋体" w:hAnsi="宋体" w:eastAsia="宋体" w:cs="宋体"/>
                <w:snapToGrid w:val="0"/>
                <w:sz w:val="21"/>
                <w:szCs w:val="21"/>
              </w:rPr>
            </w:pPr>
            <w:r>
              <w:rPr>
                <w:rFonts w:hint="eastAsia" w:ascii="宋体" w:hAnsi="宋体" w:eastAsia="宋体" w:cs="宋体"/>
                <w:snapToGrid w:val="0"/>
                <w:sz w:val="21"/>
                <w:szCs w:val="21"/>
              </w:rPr>
              <w:t>自动作业调度</w:t>
            </w:r>
          </w:p>
        </w:tc>
        <w:tc>
          <w:tcPr>
            <w:tcW w:w="7370" w:type="dxa"/>
            <w:vAlign w:val="center"/>
          </w:tcPr>
          <w:p w14:paraId="2890D462">
            <w:pPr>
              <w:spacing w:line="276" w:lineRule="auto"/>
              <w:rPr>
                <w:rFonts w:hint="eastAsia" w:ascii="宋体" w:hAnsi="宋体" w:eastAsia="宋体" w:cs="宋体"/>
                <w:sz w:val="21"/>
                <w:szCs w:val="21"/>
              </w:rPr>
            </w:pPr>
            <w:r>
              <w:rPr>
                <w:rFonts w:hint="eastAsia" w:ascii="宋体" w:hAnsi="宋体" w:eastAsia="宋体" w:cs="宋体"/>
                <w:sz w:val="21"/>
                <w:szCs w:val="21"/>
              </w:rPr>
              <w:t>根据系统作业任务和设备运行状态，自动对作业任务进行智能化调度，实现先出库后入库、按作业优先级执行等调度原则，使系统高效率运行</w:t>
            </w:r>
          </w:p>
        </w:tc>
      </w:tr>
      <w:tr w14:paraId="31447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983" w:type="dxa"/>
            <w:vAlign w:val="center"/>
          </w:tcPr>
          <w:p w14:paraId="59D938A5">
            <w:pPr>
              <w:spacing w:line="276" w:lineRule="auto"/>
              <w:jc w:val="center"/>
              <w:rPr>
                <w:rFonts w:hint="eastAsia" w:ascii="宋体" w:hAnsi="宋体" w:eastAsia="宋体" w:cs="宋体"/>
                <w:snapToGrid w:val="0"/>
                <w:sz w:val="21"/>
                <w:szCs w:val="21"/>
              </w:rPr>
            </w:pPr>
            <w:r>
              <w:rPr>
                <w:rFonts w:hint="eastAsia" w:ascii="宋体" w:hAnsi="宋体" w:eastAsia="宋体" w:cs="宋体"/>
                <w:snapToGrid w:val="0"/>
                <w:sz w:val="21"/>
                <w:szCs w:val="21"/>
              </w:rPr>
              <w:t>自动台帐管理</w:t>
            </w:r>
          </w:p>
        </w:tc>
        <w:tc>
          <w:tcPr>
            <w:tcW w:w="7370" w:type="dxa"/>
            <w:vAlign w:val="center"/>
          </w:tcPr>
          <w:p w14:paraId="064C26AA">
            <w:pPr>
              <w:spacing w:line="276" w:lineRule="auto"/>
              <w:rPr>
                <w:rFonts w:hint="eastAsia" w:ascii="宋体" w:hAnsi="宋体" w:eastAsia="宋体" w:cs="宋体"/>
                <w:sz w:val="21"/>
                <w:szCs w:val="21"/>
              </w:rPr>
            </w:pPr>
            <w:r>
              <w:rPr>
                <w:rFonts w:hint="eastAsia" w:ascii="宋体" w:hAnsi="宋体" w:eastAsia="宋体" w:cs="宋体"/>
                <w:sz w:val="21"/>
                <w:szCs w:val="21"/>
              </w:rPr>
              <w:t>根据入出库数据按入出库原则自动生成系统的入出库作业，并在作业执行完成时自动实时进行台帐维护，保证台帐数据准确性</w:t>
            </w:r>
          </w:p>
        </w:tc>
      </w:tr>
    </w:tbl>
    <w:p w14:paraId="5581D336">
      <w:pPr>
        <w:numPr>
          <w:ilvl w:val="0"/>
          <w:numId w:val="0"/>
        </w:numPr>
        <w:spacing w:line="360" w:lineRule="auto"/>
        <w:ind w:left="0" w:leftChars="0" w:firstLine="0" w:firstLineChars="0"/>
        <w:outlineLvl w:val="2"/>
        <w:rPr>
          <w:rFonts w:hint="eastAsia" w:ascii="宋体" w:hAnsi="宋体" w:eastAsia="宋体" w:cs="宋体"/>
          <w:b/>
          <w:bCs/>
          <w:kern w:val="2"/>
          <w:sz w:val="21"/>
          <w:szCs w:val="21"/>
          <w:lang w:val="en-US" w:eastAsia="zh-CN" w:bidi="ar-SA"/>
        </w:rPr>
      </w:pPr>
      <w:bookmarkStart w:id="1687" w:name="_Toc21873"/>
      <w:bookmarkStart w:id="1688" w:name="_Toc70413749"/>
      <w:r>
        <w:rPr>
          <w:rFonts w:hint="eastAsia" w:ascii="宋体" w:hAnsi="宋体" w:eastAsia="宋体" w:cs="宋体"/>
          <w:b/>
          <w:bCs/>
          <w:kern w:val="2"/>
          <w:sz w:val="21"/>
          <w:szCs w:val="21"/>
          <w:lang w:val="en-US" w:eastAsia="zh-CN" w:bidi="ar-SA"/>
        </w:rPr>
        <w:t>5.3计算机硬件</w:t>
      </w:r>
      <w:bookmarkEnd w:id="1687"/>
      <w:bookmarkEnd w:id="1688"/>
    </w:p>
    <w:p w14:paraId="61C05F8E">
      <w:pPr>
        <w:pStyle w:val="100"/>
        <w:numPr>
          <w:ilvl w:val="0"/>
          <w:numId w:val="0"/>
        </w:numPr>
        <w:spacing w:line="276" w:lineRule="auto"/>
        <w:ind w:leftChars="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（1）中控室设备监控画面采用二维图形界面，画面可直观的观察到库区每个货位、堆垛机、输送机等设备的实时运行状态，包括系统的通讯状态、故障信息等。</w:t>
      </w:r>
    </w:p>
    <w:p w14:paraId="25027105">
      <w:pPr>
        <w:pStyle w:val="100"/>
        <w:numPr>
          <w:ilvl w:val="0"/>
          <w:numId w:val="0"/>
        </w:numPr>
        <w:spacing w:line="276" w:lineRule="auto"/>
        <w:ind w:leftChars="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（2）投标方为数据库服务器数据安全提供方案，即数据库服务器应采用双机热备份机制。</w:t>
      </w:r>
    </w:p>
    <w:p w14:paraId="5DF25EF3">
      <w:pPr>
        <w:pStyle w:val="100"/>
        <w:numPr>
          <w:ilvl w:val="0"/>
          <w:numId w:val="0"/>
        </w:numPr>
        <w:spacing w:line="276" w:lineRule="auto"/>
        <w:ind w:leftChars="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（3）系统采用SQLSERVER数据库。</w:t>
      </w:r>
    </w:p>
    <w:p w14:paraId="5F3697C8">
      <w:pPr>
        <w:pStyle w:val="100"/>
        <w:numPr>
          <w:ilvl w:val="0"/>
          <w:numId w:val="0"/>
        </w:numPr>
        <w:spacing w:line="276" w:lineRule="auto"/>
        <w:ind w:leftChars="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（4）操作系统均选用正版Windows系统。</w:t>
      </w:r>
    </w:p>
    <w:p w14:paraId="058FCCAF">
      <w:pPr>
        <w:pStyle w:val="100"/>
        <w:numPr>
          <w:ilvl w:val="0"/>
          <w:numId w:val="0"/>
        </w:numPr>
        <w:spacing w:line="276" w:lineRule="auto"/>
        <w:ind w:leftChars="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（5）台式机选用联想、DELL或同等品牌。</w:t>
      </w:r>
    </w:p>
    <w:p w14:paraId="3650EBE9">
      <w:pPr>
        <w:pStyle w:val="100"/>
        <w:numPr>
          <w:ilvl w:val="0"/>
          <w:numId w:val="0"/>
        </w:numPr>
        <w:spacing w:line="276" w:lineRule="auto"/>
        <w:ind w:leftChars="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（6）WCS与堆垛机的通信形式需安全可靠。</w:t>
      </w:r>
    </w:p>
    <w:p w14:paraId="7358FE0E">
      <w:pPr>
        <w:pStyle w:val="100"/>
        <w:numPr>
          <w:ilvl w:val="0"/>
          <w:numId w:val="0"/>
        </w:numPr>
        <w:spacing w:line="276" w:lineRule="auto"/>
        <w:ind w:leftChars="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（7）软件程序设计安全可靠，实现所有功能要求。</w:t>
      </w:r>
    </w:p>
    <w:p w14:paraId="02A20CBC">
      <w:pPr>
        <w:pStyle w:val="100"/>
        <w:numPr>
          <w:ilvl w:val="0"/>
          <w:numId w:val="0"/>
        </w:numPr>
        <w:spacing w:line="276" w:lineRule="auto"/>
        <w:ind w:leftChars="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（8）RF手持终端应能与计算机进行可靠的即时通讯。RF手持终端应能显示完整的相关信息，如出入库品种、批号、数量，出库的订单号等，并具有读码功能，可多终端同时使用不发生冲突和错乱。</w:t>
      </w:r>
    </w:p>
    <w:bookmarkEnd w:id="1684"/>
    <w:p w14:paraId="71CF03B7">
      <w:pPr>
        <w:numPr>
          <w:ilvl w:val="0"/>
          <w:numId w:val="0"/>
        </w:numPr>
        <w:spacing w:line="360" w:lineRule="auto"/>
        <w:ind w:left="0" w:leftChars="0" w:firstLine="0" w:firstLineChars="0"/>
        <w:outlineLvl w:val="1"/>
        <w:rPr>
          <w:rFonts w:hint="eastAsia" w:ascii="宋体" w:hAnsi="宋体" w:eastAsia="宋体" w:cs="宋体"/>
          <w:b/>
          <w:bCs/>
          <w:sz w:val="21"/>
          <w:szCs w:val="21"/>
          <w:lang w:val="en-US" w:eastAsia="zh-CN"/>
        </w:rPr>
      </w:pPr>
      <w:bookmarkStart w:id="1689" w:name="_Toc21236"/>
      <w:bookmarkStart w:id="1690" w:name="_Toc70413750"/>
      <w:bookmarkStart w:id="1691" w:name="_Toc449088114"/>
      <w:r>
        <w:rPr>
          <w:rFonts w:hint="eastAsia" w:ascii="宋体" w:hAnsi="宋体" w:eastAsia="宋体" w:cs="宋体"/>
          <w:b/>
          <w:bCs/>
          <w:sz w:val="21"/>
          <w:szCs w:val="21"/>
          <w:lang w:val="en-US" w:eastAsia="zh-CN"/>
        </w:rPr>
        <w:t>6设施/公用系统要求</w:t>
      </w:r>
      <w:bookmarkEnd w:id="1689"/>
      <w:bookmarkEnd w:id="1690"/>
    </w:p>
    <w:p w14:paraId="429BED06">
      <w:pPr>
        <w:pStyle w:val="100"/>
        <w:numPr>
          <w:ilvl w:val="0"/>
          <w:numId w:val="0"/>
        </w:numPr>
        <w:spacing w:line="276" w:lineRule="auto"/>
        <w:ind w:leftChars="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（1）投标方需提供本系统对使用环境的要求，工作区及货架区的照明等要求（包含但不限于）。</w:t>
      </w:r>
    </w:p>
    <w:p w14:paraId="0A7597CB">
      <w:pPr>
        <w:pStyle w:val="100"/>
        <w:numPr>
          <w:ilvl w:val="0"/>
          <w:numId w:val="0"/>
        </w:numPr>
        <w:spacing w:line="276" w:lineRule="auto"/>
        <w:ind w:leftChars="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（2）投标方需提供本系统的供电要求。</w:t>
      </w:r>
    </w:p>
    <w:p w14:paraId="7925B85E">
      <w:pPr>
        <w:pStyle w:val="100"/>
        <w:numPr>
          <w:ilvl w:val="0"/>
          <w:numId w:val="0"/>
        </w:numPr>
        <w:spacing w:line="276" w:lineRule="auto"/>
        <w:ind w:leftChars="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（3）投标方需提供地面的土建要求，如地面承载、地面公差、不均匀沉降度等要求。</w:t>
      </w:r>
    </w:p>
    <w:p w14:paraId="24848C4A">
      <w:pPr>
        <w:numPr>
          <w:ilvl w:val="0"/>
          <w:numId w:val="0"/>
        </w:numPr>
        <w:spacing w:line="360" w:lineRule="auto"/>
        <w:ind w:left="0" w:leftChars="0" w:firstLine="0" w:firstLineChars="0"/>
        <w:outlineLvl w:val="1"/>
        <w:rPr>
          <w:rFonts w:hint="eastAsia" w:ascii="宋体" w:hAnsi="宋体" w:eastAsia="宋体" w:cs="宋体"/>
          <w:b/>
          <w:bCs/>
          <w:sz w:val="21"/>
          <w:szCs w:val="21"/>
          <w:lang w:val="en-US" w:eastAsia="zh-CN"/>
        </w:rPr>
      </w:pPr>
      <w:bookmarkStart w:id="1692" w:name="_Toc24077"/>
      <w:bookmarkStart w:id="1693" w:name="_Toc70413751"/>
      <w:r>
        <w:rPr>
          <w:rFonts w:hint="eastAsia" w:ascii="宋体" w:hAnsi="宋体" w:eastAsia="宋体" w:cs="宋体"/>
          <w:b/>
          <w:bCs/>
          <w:sz w:val="21"/>
          <w:szCs w:val="21"/>
          <w:lang w:val="en-US" w:eastAsia="zh-CN"/>
        </w:rPr>
        <w:t>7安全要求</w:t>
      </w:r>
      <w:bookmarkEnd w:id="1691"/>
      <w:bookmarkEnd w:id="1692"/>
      <w:bookmarkEnd w:id="1693"/>
    </w:p>
    <w:p w14:paraId="7265B3CF">
      <w:pPr>
        <w:pStyle w:val="100"/>
        <w:numPr>
          <w:ilvl w:val="0"/>
          <w:numId w:val="0"/>
        </w:numPr>
        <w:spacing w:line="276" w:lineRule="auto"/>
        <w:ind w:leftChars="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（1）投标人应对系统的安全性作出具体描述和采取解决方案，并符合国家及行业有关标准；</w:t>
      </w:r>
    </w:p>
    <w:p w14:paraId="7CD42C3D">
      <w:pPr>
        <w:pStyle w:val="100"/>
        <w:numPr>
          <w:ilvl w:val="0"/>
          <w:numId w:val="0"/>
        </w:numPr>
        <w:spacing w:line="276" w:lineRule="auto"/>
        <w:ind w:leftChars="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（2）设备的控制及信息管理系统应稳定可靠，并具有较强的抗电磁干扰和防静电性能；</w:t>
      </w:r>
    </w:p>
    <w:p w14:paraId="7A40FFA6">
      <w:pPr>
        <w:pStyle w:val="100"/>
        <w:numPr>
          <w:ilvl w:val="0"/>
          <w:numId w:val="0"/>
        </w:numPr>
        <w:spacing w:line="276" w:lineRule="auto"/>
        <w:ind w:leftChars="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（3）设备设施的安装、调试、使用必须符合相应的国家标准和要求。所有人行、叉车通行的位置均设置防护防撞装置；</w:t>
      </w:r>
    </w:p>
    <w:p w14:paraId="6BC80FFD">
      <w:pPr>
        <w:pStyle w:val="100"/>
        <w:numPr>
          <w:ilvl w:val="0"/>
          <w:numId w:val="0"/>
        </w:numPr>
        <w:spacing w:line="276" w:lineRule="auto"/>
        <w:ind w:leftChars="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（4）设备应方便维护维修，对可能进行拆卸、维护的部件，留有足够的操作空间，对加油操作要保证能顺利操作；</w:t>
      </w:r>
    </w:p>
    <w:p w14:paraId="2E7220E9">
      <w:pPr>
        <w:pStyle w:val="100"/>
        <w:numPr>
          <w:ilvl w:val="0"/>
          <w:numId w:val="0"/>
        </w:numPr>
        <w:spacing w:line="276" w:lineRule="auto"/>
        <w:ind w:leftChars="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5）设备上的运动部件和运动的设备均须有安全保护措施，外围安装围栏，驱动部分应设有防护罩或盖板，所设置的防护罩和防护栏都有醒目的颜色标志，危险部位、活动部件涂以醒目的色彩，以保护人身、设备安全且与整体设备协调；</w:t>
      </w:r>
    </w:p>
    <w:p w14:paraId="19674DAD">
      <w:pPr>
        <w:pStyle w:val="100"/>
        <w:numPr>
          <w:ilvl w:val="0"/>
          <w:numId w:val="0"/>
        </w:numPr>
        <w:spacing w:line="276" w:lineRule="auto"/>
        <w:ind w:leftChars="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（6）张紧装置及其它有外露转动的部件，应设置防护装置；</w:t>
      </w:r>
    </w:p>
    <w:p w14:paraId="4A33E6B7">
      <w:pPr>
        <w:pStyle w:val="100"/>
        <w:numPr>
          <w:ilvl w:val="0"/>
          <w:numId w:val="0"/>
        </w:numPr>
        <w:spacing w:line="276" w:lineRule="auto"/>
        <w:ind w:leftChars="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（7）作业区域要设置有急停按钮及报警装置；</w:t>
      </w:r>
    </w:p>
    <w:p w14:paraId="0DA94C7B">
      <w:pPr>
        <w:pStyle w:val="100"/>
        <w:numPr>
          <w:ilvl w:val="0"/>
          <w:numId w:val="0"/>
        </w:numPr>
        <w:spacing w:line="276" w:lineRule="auto"/>
        <w:ind w:leftChars="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（8）设备外观应无明显工艺缺陷和破损，如表面开裂、轮廓边缘粗糙、有尖角、毛刺、连接松脱、电气导线裸露等；</w:t>
      </w:r>
    </w:p>
    <w:p w14:paraId="69F7470C">
      <w:pPr>
        <w:pStyle w:val="100"/>
        <w:numPr>
          <w:ilvl w:val="0"/>
          <w:numId w:val="0"/>
        </w:numPr>
        <w:spacing w:line="276" w:lineRule="auto"/>
        <w:ind w:leftChars="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（9）设备在有碍人身安全的地方应有明显的安全标志；</w:t>
      </w:r>
    </w:p>
    <w:p w14:paraId="48F88696">
      <w:pPr>
        <w:pStyle w:val="100"/>
        <w:numPr>
          <w:ilvl w:val="0"/>
          <w:numId w:val="0"/>
        </w:numPr>
        <w:spacing w:line="276" w:lineRule="auto"/>
        <w:ind w:leftChars="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（10）库房内所有作业通道，投标方应考虑强制防止物体从高处坠落的安全措施；</w:t>
      </w:r>
    </w:p>
    <w:p w14:paraId="388E7775">
      <w:pPr>
        <w:pStyle w:val="100"/>
        <w:numPr>
          <w:ilvl w:val="0"/>
          <w:numId w:val="0"/>
        </w:numPr>
        <w:spacing w:line="276" w:lineRule="auto"/>
        <w:ind w:leftChars="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（11）以上未包括的设备安全设计按GB5083-1999《生产设备安全卫生设计总则》执行。</w:t>
      </w:r>
    </w:p>
    <w:p w14:paraId="71D7A09E">
      <w:pPr>
        <w:numPr>
          <w:ilvl w:val="0"/>
          <w:numId w:val="0"/>
        </w:numPr>
        <w:spacing w:line="360" w:lineRule="auto"/>
        <w:ind w:left="0" w:leftChars="0" w:firstLine="0" w:firstLineChars="0"/>
        <w:outlineLvl w:val="1"/>
        <w:rPr>
          <w:rFonts w:hint="default" w:ascii="宋体" w:hAnsi="宋体" w:eastAsia="宋体" w:cs="宋体"/>
          <w:b/>
          <w:bCs/>
          <w:sz w:val="21"/>
          <w:szCs w:val="21"/>
          <w:lang w:val="en-US" w:eastAsia="zh-CN"/>
        </w:rPr>
      </w:pPr>
      <w:bookmarkStart w:id="1694" w:name="_Toc5450"/>
      <w:r>
        <w:rPr>
          <w:rFonts w:hint="eastAsia" w:ascii="宋体" w:hAnsi="宋体" w:eastAsia="宋体" w:cs="宋体"/>
          <w:b/>
          <w:bCs/>
          <w:sz w:val="21"/>
          <w:szCs w:val="21"/>
          <w:lang w:val="en-US" w:eastAsia="zh-CN"/>
        </w:rPr>
        <w:t>8工艺保鲜设备</w:t>
      </w:r>
      <w:bookmarkEnd w:id="1694"/>
    </w:p>
    <w:p w14:paraId="1F1F6740">
      <w:pPr>
        <w:pStyle w:val="100"/>
        <w:numPr>
          <w:ilvl w:val="0"/>
          <w:numId w:val="0"/>
        </w:numPr>
        <w:spacing w:line="276" w:lineRule="auto"/>
        <w:ind w:leftChars="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（1）要求加湿采用脉冲式高压微雾加湿，满足果蔬采后保鲜贮藏的超饱和加湿要求，并确保在保温冷库内（0度以上）的应用完全雾化、不出现滴水现象。</w:t>
      </w:r>
    </w:p>
    <w:p w14:paraId="022C8732">
      <w:pPr>
        <w:pStyle w:val="100"/>
        <w:numPr>
          <w:ilvl w:val="0"/>
          <w:numId w:val="0"/>
        </w:numPr>
        <w:spacing w:line="276" w:lineRule="auto"/>
        <w:ind w:leftChars="0"/>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（2）二氧化碳（CO2）气体管理系统，实现保鲜立体库内二氧化碳的自动在线监控及调控管理。</w:t>
      </w:r>
    </w:p>
    <w:p w14:paraId="1C880EAD">
      <w:pPr>
        <w:pStyle w:val="100"/>
        <w:numPr>
          <w:ilvl w:val="0"/>
          <w:numId w:val="0"/>
        </w:numPr>
        <w:spacing w:line="276" w:lineRule="auto"/>
        <w:ind w:leftChars="0"/>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（3）乙烯气体管理，为了避免外源乙烯反催熟库内的果蔬，需要对保鲜立体冷库进行乙烯气体的脱除管理设备，并实现在线的可视监控。</w:t>
      </w:r>
    </w:p>
    <w:p w14:paraId="3CD8922A">
      <w:pPr>
        <w:pStyle w:val="100"/>
        <w:numPr>
          <w:ilvl w:val="0"/>
          <w:numId w:val="0"/>
        </w:numPr>
        <w:spacing w:line="276" w:lineRule="auto"/>
        <w:ind w:leftChars="0"/>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（4）为了降低及避免农产品（果蔬）的损耗率，需要对立体冷库内进行选配微生物抑制（灭菌）管理设备，要求采用绿色无污染的分子技术，以实现对贮藏农产品及冷库的微生物进行管控。</w:t>
      </w:r>
    </w:p>
    <w:p w14:paraId="7D01AA6C">
      <w:pPr>
        <w:numPr>
          <w:ilvl w:val="0"/>
          <w:numId w:val="0"/>
        </w:numPr>
        <w:spacing w:line="360" w:lineRule="auto"/>
        <w:ind w:left="0" w:leftChars="0" w:firstLine="0" w:firstLineChars="0"/>
        <w:outlineLvl w:val="1"/>
        <w:rPr>
          <w:rFonts w:hint="default" w:ascii="宋体" w:hAnsi="宋体" w:eastAsia="宋体" w:cs="宋体"/>
          <w:b/>
          <w:bCs/>
          <w:sz w:val="21"/>
          <w:szCs w:val="21"/>
          <w:lang w:val="en-US" w:eastAsia="zh-CN"/>
        </w:rPr>
      </w:pPr>
      <w:bookmarkStart w:id="1695" w:name="_Toc31653"/>
      <w:r>
        <w:rPr>
          <w:rFonts w:hint="eastAsia" w:ascii="宋体" w:hAnsi="宋体" w:eastAsia="宋体" w:cs="宋体"/>
          <w:b/>
          <w:bCs/>
          <w:sz w:val="21"/>
          <w:szCs w:val="21"/>
          <w:lang w:val="en-US" w:eastAsia="zh-CN"/>
        </w:rPr>
        <w:t>9生产设备运营配套</w:t>
      </w:r>
      <w:bookmarkEnd w:id="1695"/>
    </w:p>
    <w:p w14:paraId="4EBB4FB6">
      <w:pPr>
        <w:pStyle w:val="100"/>
        <w:numPr>
          <w:ilvl w:val="0"/>
          <w:numId w:val="0"/>
        </w:numPr>
        <w:spacing w:line="276" w:lineRule="auto"/>
        <w:ind w:leftChars="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（1）根据本项目按满足实际运营所需，选型运营配套，以满足项目运营方的作业要求的生产线及相应配套。</w:t>
      </w:r>
    </w:p>
    <w:p w14:paraId="62CE27E4">
      <w:pPr>
        <w:pStyle w:val="100"/>
        <w:numPr>
          <w:ilvl w:val="0"/>
          <w:numId w:val="0"/>
        </w:numPr>
        <w:spacing w:line="276" w:lineRule="auto"/>
        <w:ind w:leftChars="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（2）基于项目品种可能比较多，基于运营柔性定位，需要选配满足蒙自市核心水果品种的采后分选生产线及工艺。</w:t>
      </w:r>
    </w:p>
    <w:p w14:paraId="428FEF5C">
      <w:pPr>
        <w:pStyle w:val="100"/>
        <w:numPr>
          <w:ilvl w:val="0"/>
          <w:numId w:val="0"/>
        </w:numPr>
        <w:spacing w:line="276" w:lineRule="auto"/>
        <w:ind w:leftChars="0"/>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（3）库内托盘，以满足总贮藏货架储位需求选配,分选车间周转筐选配</w:t>
      </w:r>
      <w:r>
        <w:rPr>
          <w:rFonts w:hint="default" w:ascii="宋体" w:hAnsi="宋体" w:eastAsia="宋体" w:cs="宋体"/>
          <w:kern w:val="2"/>
          <w:sz w:val="21"/>
          <w:szCs w:val="21"/>
          <w:lang w:val="en-US" w:eastAsia="zh-CN" w:bidi="ar-SA"/>
        </w:rPr>
        <w:t>20000</w:t>
      </w:r>
      <w:r>
        <w:rPr>
          <w:rFonts w:hint="eastAsia" w:ascii="宋体" w:hAnsi="宋体" w:eastAsia="宋体" w:cs="宋体"/>
          <w:kern w:val="2"/>
          <w:sz w:val="21"/>
          <w:szCs w:val="21"/>
          <w:lang w:val="en-US" w:eastAsia="zh-CN" w:bidi="ar-SA"/>
        </w:rPr>
        <w:t>个。</w:t>
      </w:r>
    </w:p>
    <w:p w14:paraId="3142672A">
      <w:pPr>
        <w:pStyle w:val="100"/>
        <w:numPr>
          <w:ilvl w:val="0"/>
          <w:numId w:val="0"/>
        </w:numPr>
        <w:spacing w:line="276" w:lineRule="auto"/>
        <w:ind w:leftChars="0"/>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（4）物流措施叉车，根据每栋建筑物流方式选配电池电叉车（3T）及站立式电拖车（地牛）搭配满足高效的运营作业需求；</w:t>
      </w:r>
    </w:p>
    <w:p w14:paraId="3A8C9CC3">
      <w:pPr>
        <w:pStyle w:val="100"/>
        <w:numPr>
          <w:ilvl w:val="0"/>
          <w:numId w:val="0"/>
        </w:numPr>
        <w:spacing w:line="276" w:lineRule="auto"/>
        <w:ind w:leftChars="0"/>
        <w:rPr>
          <w:rFonts w:hint="eastAsia" w:ascii="宋体" w:hAnsi="宋体" w:eastAsia="宋体" w:cs="宋体"/>
          <w:b/>
          <w:bCs/>
          <w:sz w:val="21"/>
          <w:szCs w:val="21"/>
          <w:highlight w:val="none"/>
          <w:lang w:val="en-US" w:eastAsia="zh-CN"/>
        </w:rPr>
      </w:pPr>
      <w:r>
        <w:rPr>
          <w:rFonts w:hint="eastAsia" w:ascii="宋体" w:hAnsi="宋体" w:eastAsia="宋体" w:cs="宋体"/>
          <w:kern w:val="2"/>
          <w:sz w:val="21"/>
          <w:szCs w:val="21"/>
          <w:lang w:val="en-US" w:eastAsia="zh-CN" w:bidi="ar-SA"/>
        </w:rPr>
        <w:t>（5）根据分选仓及冷库规模，选配相应的如纸箱成型机(折箱机)、空压机、洗地机、地磅、电动打包机、纸箱抗</w:t>
      </w:r>
      <w:r>
        <w:rPr>
          <w:rFonts w:hint="eastAsia" w:ascii="宋体" w:hAnsi="宋体" w:eastAsia="宋体" w:cs="宋体"/>
          <w:kern w:val="2"/>
          <w:sz w:val="21"/>
          <w:szCs w:val="21"/>
          <w:highlight w:val="none"/>
          <w:lang w:val="en-US" w:eastAsia="zh-CN" w:bidi="ar-SA"/>
        </w:rPr>
        <w:t>压测试仪等等。</w:t>
      </w:r>
      <w:bookmarkStart w:id="1696" w:name="_Toc40638761"/>
    </w:p>
    <w:p w14:paraId="2A4A3AEB">
      <w:pPr>
        <w:pStyle w:val="31"/>
        <w:ind w:left="0" w:leftChars="0" w:firstLine="0" w:firstLineChars="0"/>
        <w:jc w:val="center"/>
        <w:outlineLvl w:val="0"/>
        <w:rPr>
          <w:rFonts w:hint="eastAsia" w:ascii="宋体" w:hAnsi="宋体" w:eastAsia="宋体" w:cs="宋体"/>
          <w:sz w:val="21"/>
          <w:szCs w:val="21"/>
          <w:highlight w:val="none"/>
          <w:lang w:val="en-US" w:eastAsia="zh-CN"/>
        </w:rPr>
      </w:pPr>
      <w:bookmarkStart w:id="1697" w:name="_Toc9037"/>
      <w:r>
        <w:rPr>
          <w:rFonts w:hint="eastAsia" w:ascii="宋体" w:hAnsi="宋体" w:eastAsia="宋体" w:cs="宋体"/>
          <w:sz w:val="21"/>
          <w:szCs w:val="21"/>
          <w:highlight w:val="none"/>
          <w:lang w:val="en-US" w:eastAsia="zh-CN"/>
        </w:rPr>
        <w:t>三、</w:t>
      </w:r>
      <w:bookmarkEnd w:id="1696"/>
      <w:r>
        <w:rPr>
          <w:rFonts w:hint="eastAsia" w:ascii="宋体" w:hAnsi="宋体" w:eastAsia="宋体" w:cs="宋体"/>
          <w:sz w:val="21"/>
          <w:szCs w:val="21"/>
          <w:highlight w:val="none"/>
          <w:lang w:val="en-US" w:eastAsia="zh-CN"/>
        </w:rPr>
        <w:t>关键设备和主材品牌</w:t>
      </w:r>
      <w:bookmarkEnd w:id="1697"/>
    </w:p>
    <w:p w14:paraId="4D7C1807">
      <w:pPr>
        <w:rPr>
          <w:rFonts w:hint="eastAsia" w:ascii="宋体" w:hAnsi="宋体" w:eastAsia="宋体" w:cs="宋体"/>
          <w:sz w:val="21"/>
          <w:szCs w:val="21"/>
          <w:highlight w:val="none"/>
        </w:rPr>
      </w:pPr>
      <w:r>
        <w:rPr>
          <w:rFonts w:hint="eastAsia" w:ascii="宋体" w:hAnsi="宋体" w:eastAsia="宋体" w:cs="宋体"/>
          <w:sz w:val="21"/>
          <w:szCs w:val="21"/>
          <w:highlight w:val="none"/>
        </w:rPr>
        <w:t>5.1.1、关键设备和主材</w:t>
      </w:r>
      <w:r>
        <w:rPr>
          <w:rFonts w:hint="eastAsia" w:ascii="宋体" w:hAnsi="宋体" w:eastAsia="宋体" w:cs="宋体"/>
          <w:sz w:val="21"/>
          <w:szCs w:val="21"/>
          <w:highlight w:val="none"/>
          <w:lang w:val="en-US" w:eastAsia="zh-CN"/>
        </w:rPr>
        <w:t>优于</w:t>
      </w:r>
      <w:r>
        <w:rPr>
          <w:rFonts w:hint="eastAsia" w:ascii="宋体" w:hAnsi="宋体" w:eastAsia="宋体" w:cs="宋体"/>
          <w:sz w:val="21"/>
          <w:szCs w:val="21"/>
          <w:highlight w:val="none"/>
        </w:rPr>
        <w:t>或相当于下表所列设备。</w:t>
      </w:r>
      <w:bookmarkEnd w:id="1384"/>
      <w:bookmarkEnd w:id="1385"/>
      <w:bookmarkEnd w:id="1386"/>
      <w:bookmarkEnd w:id="1387"/>
      <w:bookmarkEnd w:id="1388"/>
      <w:bookmarkEnd w:id="1389"/>
      <w:bookmarkEnd w:id="1390"/>
      <w:bookmarkEnd w:id="1391"/>
      <w:bookmarkEnd w:id="1392"/>
      <w:bookmarkEnd w:id="1393"/>
    </w:p>
    <w:tbl>
      <w:tblPr>
        <w:tblStyle w:val="41"/>
        <w:tblW w:w="0" w:type="auto"/>
        <w:tblInd w:w="98" w:type="dxa"/>
        <w:tblLayout w:type="fixed"/>
        <w:tblCellMar>
          <w:top w:w="0" w:type="dxa"/>
          <w:left w:w="108" w:type="dxa"/>
          <w:bottom w:w="0" w:type="dxa"/>
          <w:right w:w="108" w:type="dxa"/>
        </w:tblCellMar>
      </w:tblPr>
      <w:tblGrid>
        <w:gridCol w:w="516"/>
        <w:gridCol w:w="2268"/>
        <w:gridCol w:w="1869"/>
        <w:gridCol w:w="1888"/>
        <w:gridCol w:w="1909"/>
      </w:tblGrid>
      <w:tr w14:paraId="58FF9A1F">
        <w:tblPrEx>
          <w:tblCellMar>
            <w:top w:w="0" w:type="dxa"/>
            <w:left w:w="108" w:type="dxa"/>
            <w:bottom w:w="0" w:type="dxa"/>
            <w:right w:w="108" w:type="dxa"/>
          </w:tblCellMar>
        </w:tblPrEx>
        <w:trPr>
          <w:trHeight w:val="519" w:hRule="atLeast"/>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055AF">
            <w:pPr>
              <w:widowControl/>
              <w:jc w:val="center"/>
              <w:textAlignment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kern w:val="0"/>
                <w:sz w:val="21"/>
                <w:szCs w:val="21"/>
                <w:highlight w:val="none"/>
                <w:lang w:bidi="ar"/>
              </w:rPr>
              <w:t>序号</w:t>
            </w: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1C078">
            <w:pPr>
              <w:widowControl/>
              <w:jc w:val="center"/>
              <w:textAlignment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kern w:val="0"/>
                <w:sz w:val="21"/>
                <w:szCs w:val="21"/>
                <w:highlight w:val="none"/>
                <w:lang w:bidi="ar"/>
              </w:rPr>
              <w:t>设备-材料名称</w:t>
            </w:r>
          </w:p>
        </w:tc>
        <w:tc>
          <w:tcPr>
            <w:tcW w:w="566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4DC7777">
            <w:pPr>
              <w:widowControl/>
              <w:jc w:val="center"/>
              <w:textAlignment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kern w:val="0"/>
                <w:sz w:val="21"/>
                <w:szCs w:val="21"/>
                <w:highlight w:val="none"/>
                <w:lang w:bidi="ar"/>
              </w:rPr>
              <w:t>推荐品牌</w:t>
            </w:r>
          </w:p>
        </w:tc>
      </w:tr>
      <w:tr w14:paraId="0900B38E">
        <w:tblPrEx>
          <w:tblCellMar>
            <w:top w:w="0" w:type="dxa"/>
            <w:left w:w="108" w:type="dxa"/>
            <w:bottom w:w="0" w:type="dxa"/>
            <w:right w:w="108" w:type="dxa"/>
          </w:tblCellMar>
        </w:tblPrEx>
        <w:trPr>
          <w:trHeight w:val="760" w:hRule="atLeast"/>
        </w:trPr>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5AE40">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1</w:t>
            </w: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E2A0C">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压缩机组（开启式螺杆）</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FAC14">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约克（美国）</w:t>
            </w:r>
          </w:p>
        </w:tc>
        <w:tc>
          <w:tcPr>
            <w:tcW w:w="1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663AF">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比泽尔（德国）</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92262">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瑞典SRM</w:t>
            </w:r>
          </w:p>
        </w:tc>
      </w:tr>
      <w:tr w14:paraId="37955103">
        <w:tblPrEx>
          <w:tblCellMar>
            <w:top w:w="0" w:type="dxa"/>
            <w:left w:w="108" w:type="dxa"/>
            <w:bottom w:w="0" w:type="dxa"/>
            <w:right w:w="108" w:type="dxa"/>
          </w:tblCellMar>
        </w:tblPrEx>
        <w:trPr>
          <w:trHeight w:val="800" w:hRule="atLeast"/>
        </w:trPr>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1790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3</w:t>
            </w: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1BD9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冷风机</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C0C4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凯络文（德国）</w:t>
            </w:r>
          </w:p>
        </w:tc>
        <w:tc>
          <w:tcPr>
            <w:tcW w:w="1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E2A5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昆腾（德国）</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7094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卡贝欧（德国）</w:t>
            </w:r>
          </w:p>
        </w:tc>
      </w:tr>
      <w:tr w14:paraId="0EDDA1DC">
        <w:tblPrEx>
          <w:tblCellMar>
            <w:top w:w="0" w:type="dxa"/>
            <w:left w:w="108" w:type="dxa"/>
            <w:bottom w:w="0" w:type="dxa"/>
            <w:right w:w="108" w:type="dxa"/>
          </w:tblCellMar>
        </w:tblPrEx>
        <w:trPr>
          <w:trHeight w:val="400" w:hRule="atLeast"/>
        </w:trPr>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884E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4</w:t>
            </w: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FA88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蒸发式冷凝器</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CA8E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宝丰（上海）</w:t>
            </w:r>
          </w:p>
        </w:tc>
        <w:tc>
          <w:tcPr>
            <w:tcW w:w="1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F7A7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源恒（江苏）</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D2DA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 xml:space="preserve"> 雪人股份</w:t>
            </w:r>
          </w:p>
        </w:tc>
      </w:tr>
      <w:tr w14:paraId="5495DF0B">
        <w:tblPrEx>
          <w:tblCellMar>
            <w:top w:w="0" w:type="dxa"/>
            <w:left w:w="108" w:type="dxa"/>
            <w:bottom w:w="0" w:type="dxa"/>
            <w:right w:w="108" w:type="dxa"/>
          </w:tblCellMar>
        </w:tblPrEx>
        <w:trPr>
          <w:trHeight w:val="260" w:hRule="atLeast"/>
        </w:trPr>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22F1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5</w:t>
            </w: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9ED1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 xml:space="preserve">控制系统 </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711F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西门子</w:t>
            </w:r>
          </w:p>
        </w:tc>
        <w:tc>
          <w:tcPr>
            <w:tcW w:w="1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DDC6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施耐德</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50B1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丹佛斯</w:t>
            </w:r>
          </w:p>
        </w:tc>
      </w:tr>
      <w:tr w14:paraId="359C1531">
        <w:tblPrEx>
          <w:tblCellMar>
            <w:top w:w="0" w:type="dxa"/>
            <w:left w:w="108" w:type="dxa"/>
            <w:bottom w:w="0" w:type="dxa"/>
            <w:right w:w="108" w:type="dxa"/>
          </w:tblCellMar>
        </w:tblPrEx>
        <w:trPr>
          <w:trHeight w:val="400" w:hRule="atLeast"/>
        </w:trPr>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16BB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6</w:t>
            </w: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C09E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自控阀门</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05A2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丹佛斯</w:t>
            </w:r>
          </w:p>
        </w:tc>
        <w:tc>
          <w:tcPr>
            <w:tcW w:w="1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F829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汉森</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6CE6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AWP</w:t>
            </w:r>
          </w:p>
        </w:tc>
      </w:tr>
      <w:tr w14:paraId="0A0496E9">
        <w:tblPrEx>
          <w:tblCellMar>
            <w:top w:w="0" w:type="dxa"/>
            <w:left w:w="108" w:type="dxa"/>
            <w:bottom w:w="0" w:type="dxa"/>
            <w:right w:w="108" w:type="dxa"/>
          </w:tblCellMar>
        </w:tblPrEx>
        <w:trPr>
          <w:trHeight w:val="400" w:hRule="atLeast"/>
        </w:trPr>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34B9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7</w:t>
            </w: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A0C8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羟基活氧（分子保鲜）设备</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3BAD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美国Miatech</w:t>
            </w:r>
          </w:p>
        </w:tc>
        <w:tc>
          <w:tcPr>
            <w:tcW w:w="1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1BBA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沐果悠悠</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0A6A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荷兰VA</w:t>
            </w:r>
          </w:p>
        </w:tc>
      </w:tr>
      <w:tr w14:paraId="7579CA55">
        <w:tblPrEx>
          <w:tblCellMar>
            <w:top w:w="0" w:type="dxa"/>
            <w:left w:w="108" w:type="dxa"/>
            <w:bottom w:w="0" w:type="dxa"/>
            <w:right w:w="108" w:type="dxa"/>
          </w:tblCellMar>
        </w:tblPrEx>
        <w:trPr>
          <w:trHeight w:val="400" w:hRule="atLeast"/>
        </w:trPr>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BBD5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8</w:t>
            </w: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761D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加湿设备</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66C9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瑞士Condair</w:t>
            </w:r>
          </w:p>
        </w:tc>
        <w:tc>
          <w:tcPr>
            <w:tcW w:w="1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3AA07">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宏远</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086D5">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沐果悠悠</w:t>
            </w:r>
          </w:p>
        </w:tc>
      </w:tr>
      <w:tr w14:paraId="0FD495BC">
        <w:tblPrEx>
          <w:tblCellMar>
            <w:top w:w="0" w:type="dxa"/>
            <w:left w:w="108" w:type="dxa"/>
            <w:bottom w:w="0" w:type="dxa"/>
            <w:right w:w="108" w:type="dxa"/>
          </w:tblCellMar>
        </w:tblPrEx>
        <w:trPr>
          <w:trHeight w:val="400" w:hRule="atLeast"/>
        </w:trPr>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C19B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9</w:t>
            </w: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157D1">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PIR保温板</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0EE1E">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晶雪</w:t>
            </w:r>
          </w:p>
        </w:tc>
        <w:tc>
          <w:tcPr>
            <w:tcW w:w="1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719D7">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大昌</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4F641">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月仙</w:t>
            </w:r>
          </w:p>
        </w:tc>
      </w:tr>
      <w:tr w14:paraId="6BFED621">
        <w:tblPrEx>
          <w:tblCellMar>
            <w:top w:w="0" w:type="dxa"/>
            <w:left w:w="108" w:type="dxa"/>
            <w:bottom w:w="0" w:type="dxa"/>
            <w:right w:w="108" w:type="dxa"/>
          </w:tblCellMar>
        </w:tblPrEx>
        <w:trPr>
          <w:trHeight w:val="400" w:hRule="atLeast"/>
        </w:trPr>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CF43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10</w:t>
            </w: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BC79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XPS保温板</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2B0DC">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欧文斯</w:t>
            </w:r>
          </w:p>
        </w:tc>
        <w:tc>
          <w:tcPr>
            <w:tcW w:w="1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5E016">
            <w:pPr>
              <w:widowControl/>
              <w:jc w:val="center"/>
              <w:textAlignment w:val="center"/>
              <w:rPr>
                <w:rFonts w:hint="default"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万华</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25F7E">
            <w:pPr>
              <w:widowControl/>
              <w:jc w:val="center"/>
              <w:textAlignment w:val="center"/>
              <w:rPr>
                <w:rFonts w:hint="default"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可耐福</w:t>
            </w:r>
          </w:p>
        </w:tc>
      </w:tr>
      <w:tr w14:paraId="4F353CA1">
        <w:tblPrEx>
          <w:tblCellMar>
            <w:top w:w="0" w:type="dxa"/>
            <w:left w:w="108" w:type="dxa"/>
            <w:bottom w:w="0" w:type="dxa"/>
            <w:right w:w="108" w:type="dxa"/>
          </w:tblCellMar>
        </w:tblPrEx>
        <w:trPr>
          <w:trHeight w:val="400" w:hRule="atLeast"/>
        </w:trPr>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D16C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11</w:t>
            </w: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68BE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冷库门</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8230C">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霍曼</w:t>
            </w:r>
          </w:p>
        </w:tc>
        <w:tc>
          <w:tcPr>
            <w:tcW w:w="1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A0BA8">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捷曼</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88C5D">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瑞泰</w:t>
            </w:r>
          </w:p>
        </w:tc>
      </w:tr>
      <w:tr w14:paraId="68CF0092">
        <w:tblPrEx>
          <w:tblCellMar>
            <w:top w:w="0" w:type="dxa"/>
            <w:left w:w="108" w:type="dxa"/>
            <w:bottom w:w="0" w:type="dxa"/>
            <w:right w:w="108" w:type="dxa"/>
          </w:tblCellMar>
        </w:tblPrEx>
        <w:trPr>
          <w:trHeight w:val="400" w:hRule="atLeast"/>
        </w:trPr>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18DB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12</w:t>
            </w: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1FEE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智能立体货架系统</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4CDD4">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德盛利</w:t>
            </w:r>
          </w:p>
        </w:tc>
        <w:tc>
          <w:tcPr>
            <w:tcW w:w="1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30077">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北自</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F8FAA">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大福</w:t>
            </w:r>
          </w:p>
        </w:tc>
      </w:tr>
    </w:tbl>
    <w:p w14:paraId="0B6BA74B">
      <w:pPr>
        <w:numPr>
          <w:ilvl w:val="0"/>
          <w:numId w:val="0"/>
        </w:numPr>
        <w:rPr>
          <w:rFonts w:hint="eastAsia"/>
          <w:sz w:val="21"/>
          <w:szCs w:val="21"/>
        </w:rPr>
      </w:pPr>
    </w:p>
    <w:p w14:paraId="1BA9348E">
      <w:pPr>
        <w:spacing w:line="312" w:lineRule="auto"/>
        <w:ind w:firstLine="420" w:firstLineChars="200"/>
        <w:jc w:val="left"/>
        <w:rPr>
          <w:rFonts w:hint="eastAsia" w:ascii="宋体" w:hAnsi="宋体" w:cs="宋体"/>
          <w:color w:val="000000" w:themeColor="text1"/>
          <w14:textFill>
            <w14:solidFill>
              <w14:schemeClr w14:val="tx1"/>
            </w14:solidFill>
          </w14:textFill>
        </w:rPr>
      </w:pPr>
      <w:r>
        <w:rPr>
          <w:rStyle w:val="82"/>
          <w:rFonts w:hint="eastAsia" w:ascii="宋体" w:hAnsi="宋体" w:cs="宋体"/>
          <w:bCs/>
          <w:color w:val="000000" w:themeColor="text1"/>
          <w:sz w:val="21"/>
          <w:szCs w:val="21"/>
          <w14:textFill>
            <w14:solidFill>
              <w14:schemeClr w14:val="tx1"/>
            </w14:solidFill>
          </w14:textFill>
        </w:rPr>
        <w:t>上述规范不足部分执行国家、地方及行业现行相关的强制性标准和技术规范、规程，如有新规范、新标准，按新规范、新标准执行。</w:t>
      </w:r>
      <w:r>
        <w:rPr>
          <w:rStyle w:val="82"/>
          <w:rFonts w:hint="eastAsia" w:ascii="宋体" w:hAnsi="宋体" w:cs="宋体"/>
          <w:bCs/>
          <w:color w:val="000000" w:themeColor="text1"/>
          <w:sz w:val="21"/>
          <w:szCs w:val="21"/>
          <w14:textFill>
            <w14:solidFill>
              <w14:schemeClr w14:val="tx1"/>
            </w14:solidFill>
          </w14:textFill>
        </w:rPr>
        <w:br w:type="page"/>
      </w:r>
      <w:bookmarkStart w:id="1698" w:name="_Toc14923"/>
      <w:r>
        <w:rPr>
          <w:rStyle w:val="82"/>
          <w:rFonts w:hint="eastAsia" w:ascii="宋体" w:hAnsi="宋体" w:cs="宋体"/>
          <w:bCs/>
          <w:color w:val="000000" w:themeColor="text1"/>
          <w:sz w:val="21"/>
          <w:szCs w:val="21"/>
          <w:lang w:val="en-US" w:eastAsia="zh-CN"/>
          <w14:textFill>
            <w14:solidFill>
              <w14:schemeClr w14:val="tx1"/>
            </w14:solidFill>
          </w14:textFill>
        </w:rPr>
        <w:t xml:space="preserve">                    </w:t>
      </w:r>
      <w:r>
        <w:rPr>
          <w:rFonts w:hint="eastAsia" w:ascii="宋体" w:hAnsi="宋体" w:cs="宋体"/>
          <w:b/>
          <w:bCs/>
          <w:color w:val="000000" w:themeColor="text1"/>
          <w:kern w:val="44"/>
          <w:sz w:val="44"/>
          <w:szCs w:val="44"/>
          <w14:textFill>
            <w14:solidFill>
              <w14:schemeClr w14:val="tx1"/>
            </w14:solidFill>
          </w14:textFill>
        </w:rPr>
        <w:t>第六章  发包人提供的资料</w:t>
      </w:r>
      <w:bookmarkEnd w:id="1698"/>
    </w:p>
    <w:p w14:paraId="14D8B8E4">
      <w:pPr>
        <w:rPr>
          <w:rFonts w:hint="eastAsia" w:ascii="宋体" w:hAnsi="宋体" w:cs="宋体"/>
          <w:b/>
          <w:color w:val="000000" w:themeColor="text1"/>
          <w:sz w:val="30"/>
          <w:szCs w:val="30"/>
          <w14:textFill>
            <w14:solidFill>
              <w14:schemeClr w14:val="tx1"/>
            </w14:solidFill>
          </w14:textFill>
        </w:rPr>
      </w:pPr>
    </w:p>
    <w:p w14:paraId="0B9E16AE">
      <w:pPr>
        <w:spacing w:line="360" w:lineRule="auto"/>
        <w:ind w:firstLine="420" w:firstLineChars="200"/>
        <w:rPr>
          <w:rFonts w:hint="eastAsia" w:ascii="宋体" w:hAnsi="宋体" w:cs="宋体"/>
          <w:color w:val="000000" w:themeColor="text1"/>
          <w:szCs w:val="21"/>
          <w14:textFill>
            <w14:solidFill>
              <w14:schemeClr w14:val="tx1"/>
            </w14:solidFill>
          </w14:textFill>
        </w:rPr>
      </w:pPr>
    </w:p>
    <w:p w14:paraId="44B0B307">
      <w:pPr>
        <w:spacing w:line="360" w:lineRule="auto"/>
        <w:ind w:firstLine="42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发包人提供的资料</w:t>
      </w:r>
    </w:p>
    <w:p w14:paraId="49E155AA">
      <w:pPr>
        <w:spacing w:line="360" w:lineRule="auto"/>
        <w:ind w:firstLine="42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 施工场地及毗邻区域内的供水、排水、供电、供气、供热、通信、广播电视等地下管线资料、气象和水文观测资料，相邻建筑物和构筑物、地下工程的有关资料，以及其他与建设工程有关的原始资料。</w:t>
      </w:r>
    </w:p>
    <w:p w14:paraId="351B4AC6">
      <w:pPr>
        <w:spacing w:line="360" w:lineRule="auto"/>
        <w:ind w:firstLine="42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 定位放线的基准点、基准线和基准标高。</w:t>
      </w:r>
    </w:p>
    <w:p w14:paraId="721FA927">
      <w:pPr>
        <w:spacing w:line="360" w:lineRule="auto"/>
        <w:ind w:firstLine="42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 发包人取得的有关审批、核准和备案材料，如</w:t>
      </w:r>
      <w:r>
        <w:rPr>
          <w:rFonts w:hint="eastAsia" w:ascii="宋体" w:hAnsi="宋体" w:cs="宋体"/>
          <w:color w:val="000000" w:themeColor="text1"/>
          <w:szCs w:val="21"/>
          <w:lang w:val="en-US" w:eastAsia="zh-CN"/>
          <w14:textFill>
            <w14:solidFill>
              <w14:schemeClr w14:val="tx1"/>
            </w14:solidFill>
          </w14:textFill>
        </w:rPr>
        <w:t>用地</w:t>
      </w:r>
      <w:r>
        <w:rPr>
          <w:rFonts w:hint="eastAsia" w:ascii="宋体" w:hAnsi="宋体" w:cs="宋体"/>
          <w:color w:val="000000" w:themeColor="text1"/>
          <w:szCs w:val="21"/>
          <w14:textFill>
            <w14:solidFill>
              <w14:schemeClr w14:val="tx1"/>
            </w14:solidFill>
          </w14:textFill>
        </w:rPr>
        <w:t>规划许可证。</w:t>
      </w:r>
    </w:p>
    <w:p w14:paraId="3BE5CF1A">
      <w:pPr>
        <w:spacing w:line="360" w:lineRule="auto"/>
        <w:ind w:firstLine="42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4．其他资料。</w:t>
      </w:r>
    </w:p>
    <w:p w14:paraId="1857AB28">
      <w:pPr>
        <w:spacing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p>
    <w:p w14:paraId="42B91640">
      <w:pPr>
        <w:spacing w:line="400" w:lineRule="exact"/>
        <w:rPr>
          <w:rFonts w:hint="eastAsia" w:ascii="宋体" w:hAnsi="宋体" w:cs="宋体"/>
          <w:color w:val="000000" w:themeColor="text1"/>
          <w14:textFill>
            <w14:solidFill>
              <w14:schemeClr w14:val="tx1"/>
            </w14:solidFill>
          </w14:textFill>
        </w:rPr>
      </w:pPr>
    </w:p>
    <w:p w14:paraId="2CB6CB8E">
      <w:pPr>
        <w:spacing w:line="400" w:lineRule="exact"/>
        <w:rPr>
          <w:rFonts w:hint="eastAsia" w:ascii="宋体" w:hAnsi="宋体" w:cs="宋体"/>
          <w:color w:val="000000" w:themeColor="text1"/>
          <w14:textFill>
            <w14:solidFill>
              <w14:schemeClr w14:val="tx1"/>
            </w14:solidFill>
          </w14:textFill>
        </w:rPr>
      </w:pPr>
    </w:p>
    <w:p w14:paraId="28952E48">
      <w:pPr>
        <w:spacing w:line="400" w:lineRule="exact"/>
        <w:rPr>
          <w:rFonts w:hint="eastAsia" w:ascii="宋体" w:hAnsi="宋体" w:cs="宋体"/>
          <w:color w:val="000000" w:themeColor="text1"/>
          <w14:textFill>
            <w14:solidFill>
              <w14:schemeClr w14:val="tx1"/>
            </w14:solidFill>
          </w14:textFill>
        </w:rPr>
      </w:pPr>
    </w:p>
    <w:p w14:paraId="49AC935F">
      <w:pPr>
        <w:spacing w:line="400" w:lineRule="exact"/>
        <w:rPr>
          <w:rFonts w:hint="eastAsia" w:ascii="宋体" w:hAnsi="宋体" w:cs="宋体"/>
          <w:color w:val="000000" w:themeColor="text1"/>
          <w14:textFill>
            <w14:solidFill>
              <w14:schemeClr w14:val="tx1"/>
            </w14:solidFill>
          </w14:textFill>
        </w:rPr>
      </w:pPr>
    </w:p>
    <w:p w14:paraId="49944D26">
      <w:pPr>
        <w:pStyle w:val="2"/>
        <w:jc w:val="center"/>
        <w:rPr>
          <w:rFonts w:hint="eastAsia" w:ascii="宋体" w:hAnsi="宋体" w:cs="宋体"/>
          <w:color w:val="000000" w:themeColor="text1"/>
          <w14:textFill>
            <w14:solidFill>
              <w14:schemeClr w14:val="tx1"/>
            </w14:solidFill>
          </w14:textFill>
        </w:rPr>
      </w:pPr>
      <w:bookmarkStart w:id="1699" w:name="_Toc247514244"/>
      <w:bookmarkStart w:id="1700" w:name="_Toc21042"/>
      <w:bookmarkStart w:id="1701" w:name="_Toc247527825"/>
      <w:bookmarkStart w:id="1702" w:name="_Toc3838"/>
      <w:bookmarkStart w:id="1703" w:name="_Toc152045786"/>
      <w:bookmarkStart w:id="1704" w:name="_Toc144974855"/>
      <w:bookmarkStart w:id="1705" w:name="_Toc152042575"/>
      <w:r>
        <w:rPr>
          <w:rFonts w:hint="eastAsia" w:ascii="宋体" w:hAnsi="宋体" w:cs="宋体"/>
          <w:color w:val="000000" w:themeColor="text1"/>
          <w14:textFill>
            <w14:solidFill>
              <w14:schemeClr w14:val="tx1"/>
            </w14:solidFill>
          </w14:textFill>
        </w:rPr>
        <w:t>第三卷</w:t>
      </w:r>
      <w:bookmarkEnd w:id="1699"/>
      <w:bookmarkEnd w:id="1700"/>
      <w:bookmarkEnd w:id="1701"/>
      <w:bookmarkEnd w:id="1702"/>
    </w:p>
    <w:p w14:paraId="3F0552E6">
      <w:pPr>
        <w:spacing w:line="400" w:lineRule="exact"/>
        <w:rPr>
          <w:rFonts w:hint="eastAsia" w:ascii="宋体" w:hAnsi="宋体" w:cs="宋体"/>
          <w:color w:val="000000" w:themeColor="text1"/>
          <w14:textFill>
            <w14:solidFill>
              <w14:schemeClr w14:val="tx1"/>
            </w14:solidFill>
          </w14:textFill>
        </w:rPr>
      </w:pPr>
      <w:r>
        <w:rPr>
          <w:rFonts w:hint="eastAsia" w:ascii="宋体" w:hAnsi="宋体" w:cs="宋体"/>
          <w:b/>
          <w:bCs/>
          <w:color w:val="000000" w:themeColor="text1"/>
          <w:sz w:val="32"/>
          <w14:textFill>
            <w14:solidFill>
              <w14:schemeClr w14:val="tx1"/>
            </w14:solidFill>
          </w14:textFill>
        </w:rPr>
        <w:br w:type="page"/>
      </w:r>
    </w:p>
    <w:p w14:paraId="5B9A9C57">
      <w:pPr>
        <w:spacing w:line="400" w:lineRule="exact"/>
        <w:jc w:val="center"/>
        <w:rPr>
          <w:rFonts w:hint="eastAsia" w:ascii="宋体" w:hAnsi="宋体" w:cs="宋体"/>
          <w:color w:val="000000" w:themeColor="text1"/>
          <w14:textFill>
            <w14:solidFill>
              <w14:schemeClr w14:val="tx1"/>
            </w14:solidFill>
          </w14:textFill>
        </w:rPr>
      </w:pPr>
    </w:p>
    <w:p w14:paraId="0B460A5C">
      <w:pPr>
        <w:pStyle w:val="2"/>
        <w:jc w:val="center"/>
        <w:rPr>
          <w:rFonts w:hint="eastAsia" w:ascii="宋体" w:hAnsi="宋体" w:cs="宋体"/>
          <w:color w:val="000000" w:themeColor="text1"/>
          <w14:textFill>
            <w14:solidFill>
              <w14:schemeClr w14:val="tx1"/>
            </w14:solidFill>
          </w14:textFill>
        </w:rPr>
      </w:pPr>
      <w:bookmarkStart w:id="1706" w:name="_Toc247514245"/>
      <w:bookmarkStart w:id="1707" w:name="_Toc13677"/>
      <w:bookmarkStart w:id="1708" w:name="_Toc247527826"/>
      <w:r>
        <w:rPr>
          <w:rFonts w:hint="eastAsia" w:ascii="宋体" w:hAnsi="宋体" w:cs="宋体"/>
          <w:color w:val="000000" w:themeColor="text1"/>
          <w14:textFill>
            <w14:solidFill>
              <w14:schemeClr w14:val="tx1"/>
            </w14:solidFill>
          </w14:textFill>
        </w:rPr>
        <w:t>第七章  投标文件格式</w:t>
      </w:r>
      <w:bookmarkEnd w:id="1703"/>
      <w:bookmarkEnd w:id="1704"/>
      <w:bookmarkEnd w:id="1705"/>
      <w:bookmarkEnd w:id="1706"/>
      <w:bookmarkEnd w:id="1707"/>
      <w:bookmarkEnd w:id="1708"/>
    </w:p>
    <w:p w14:paraId="17AF4219">
      <w:pPr>
        <w:spacing w:line="400" w:lineRule="exact"/>
        <w:rPr>
          <w:rFonts w:hint="eastAsia" w:ascii="宋体" w:hAnsi="宋体" w:cs="宋体"/>
          <w:color w:val="000000" w:themeColor="text1"/>
          <w:sz w:val="20"/>
          <w:szCs w:val="20"/>
          <w14:textFill>
            <w14:solidFill>
              <w14:schemeClr w14:val="tx1"/>
            </w14:solidFill>
          </w14:textFill>
        </w:rPr>
      </w:pPr>
    </w:p>
    <w:p w14:paraId="407C81F0">
      <w:pPr>
        <w:jc w:val="center"/>
        <w:rPr>
          <w:rFonts w:hint="eastAsia"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u w:val="single"/>
          <w:lang w:val="en-US" w:eastAsia="zh-CN"/>
          <w14:textFill>
            <w14:solidFill>
              <w14:schemeClr w14:val="tx1"/>
            </w14:solidFill>
          </w14:textFill>
        </w:rPr>
        <w:t xml:space="preserve">（       项目名称      ）                      </w:t>
      </w:r>
      <w:r>
        <w:rPr>
          <w:rFonts w:hint="eastAsia" w:ascii="宋体" w:hAnsi="宋体" w:cs="宋体"/>
          <w:color w:val="000000" w:themeColor="text1"/>
          <w:sz w:val="28"/>
          <w:szCs w:val="28"/>
          <w:u w:val="single"/>
          <w14:textFill>
            <w14:solidFill>
              <w14:schemeClr w14:val="tx1"/>
            </w14:solidFill>
          </w14:textFill>
        </w:rPr>
        <w:t xml:space="preserve">                 </w:t>
      </w:r>
    </w:p>
    <w:p w14:paraId="6F3E68BC">
      <w:pPr>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 </w:t>
      </w:r>
    </w:p>
    <w:p w14:paraId="5F507C1C">
      <w:pPr>
        <w:rPr>
          <w:rFonts w:hint="eastAsia" w:ascii="宋体" w:hAnsi="宋体" w:cs="宋体"/>
          <w:color w:val="000000" w:themeColor="text1"/>
          <w:sz w:val="20"/>
          <w:szCs w:val="20"/>
          <w14:textFill>
            <w14:solidFill>
              <w14:schemeClr w14:val="tx1"/>
            </w14:solidFill>
          </w14:textFill>
        </w:rPr>
      </w:pPr>
    </w:p>
    <w:p w14:paraId="4E759792">
      <w:pPr>
        <w:jc w:val="center"/>
        <w:rPr>
          <w:rFonts w:hint="eastAsia" w:ascii="宋体" w:hAnsi="宋体" w:cs="宋体"/>
          <w:b/>
          <w:color w:val="000000" w:themeColor="text1"/>
          <w:sz w:val="52"/>
          <w:szCs w:val="52"/>
          <w14:textFill>
            <w14:solidFill>
              <w14:schemeClr w14:val="tx1"/>
            </w14:solidFill>
          </w14:textFill>
        </w:rPr>
      </w:pPr>
      <w:r>
        <w:rPr>
          <w:rFonts w:hint="eastAsia" w:ascii="宋体" w:hAnsi="宋体" w:cs="宋体"/>
          <w:b/>
          <w:color w:val="000000" w:themeColor="text1"/>
          <w:sz w:val="52"/>
          <w:szCs w:val="52"/>
          <w14:textFill>
            <w14:solidFill>
              <w14:schemeClr w14:val="tx1"/>
            </w14:solidFill>
          </w14:textFill>
        </w:rPr>
        <w:t>投  标  文  件</w:t>
      </w:r>
    </w:p>
    <w:p w14:paraId="0B5ED375">
      <w:pPr>
        <w:jc w:val="center"/>
        <w:rPr>
          <w:rFonts w:hint="eastAsia" w:ascii="宋体" w:hAnsi="宋体" w:cs="宋体"/>
          <w:color w:val="000000" w:themeColor="text1"/>
          <w:sz w:val="28"/>
          <w:szCs w:val="28"/>
          <w14:textFill>
            <w14:solidFill>
              <w14:schemeClr w14:val="tx1"/>
            </w14:solidFill>
          </w14:textFill>
        </w:rPr>
      </w:pPr>
    </w:p>
    <w:p w14:paraId="2AFD4567">
      <w:pPr>
        <w:ind w:firstLine="2800" w:firstLineChars="1000"/>
        <w:rPr>
          <w:rFonts w:hint="eastAsia"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招标编号：</w:t>
      </w:r>
      <w:r>
        <w:rPr>
          <w:rFonts w:hint="eastAsia" w:ascii="宋体" w:hAnsi="宋体" w:cs="宋体"/>
          <w:color w:val="000000" w:themeColor="text1"/>
          <w:sz w:val="28"/>
          <w:szCs w:val="28"/>
          <w:u w:val="single"/>
          <w14:textFill>
            <w14:solidFill>
              <w14:schemeClr w14:val="tx1"/>
            </w14:solidFill>
          </w14:textFill>
        </w:rPr>
        <w:t xml:space="preserve">           </w:t>
      </w:r>
    </w:p>
    <w:p w14:paraId="09EE841B">
      <w:pPr>
        <w:rPr>
          <w:rFonts w:hint="eastAsia" w:ascii="宋体" w:hAnsi="宋体" w:cs="宋体"/>
          <w:color w:val="000000" w:themeColor="text1"/>
          <w:sz w:val="28"/>
          <w:szCs w:val="28"/>
          <w14:textFill>
            <w14:solidFill>
              <w14:schemeClr w14:val="tx1"/>
            </w14:solidFill>
          </w14:textFill>
        </w:rPr>
      </w:pPr>
    </w:p>
    <w:p w14:paraId="3DDEA140">
      <w:pPr>
        <w:rPr>
          <w:rFonts w:hint="eastAsia" w:ascii="宋体" w:hAnsi="宋体" w:cs="宋体"/>
          <w:color w:val="000000" w:themeColor="text1"/>
          <w:sz w:val="28"/>
          <w:szCs w:val="28"/>
          <w14:textFill>
            <w14:solidFill>
              <w14:schemeClr w14:val="tx1"/>
            </w14:solidFill>
          </w14:textFill>
        </w:rPr>
      </w:pPr>
    </w:p>
    <w:p w14:paraId="13C3916C">
      <w:pPr>
        <w:pStyle w:val="18"/>
        <w:ind w:left="1470" w:right="1470"/>
        <w:rPr>
          <w:rFonts w:hint="eastAsia" w:ascii="宋体" w:hAnsi="宋体" w:cs="宋体"/>
          <w:color w:val="000000" w:themeColor="text1"/>
          <w:sz w:val="28"/>
          <w:szCs w:val="28"/>
          <w14:textFill>
            <w14:solidFill>
              <w14:schemeClr w14:val="tx1"/>
            </w14:solidFill>
          </w14:textFill>
        </w:rPr>
      </w:pPr>
    </w:p>
    <w:p w14:paraId="4AEA9E55">
      <w:pPr>
        <w:rPr>
          <w:rFonts w:hint="eastAsia" w:ascii="宋体" w:hAnsi="宋体" w:cs="宋体"/>
          <w:color w:val="000000" w:themeColor="text1"/>
          <w:sz w:val="28"/>
          <w:szCs w:val="28"/>
          <w14:textFill>
            <w14:solidFill>
              <w14:schemeClr w14:val="tx1"/>
            </w14:solidFill>
          </w14:textFill>
        </w:rPr>
      </w:pPr>
    </w:p>
    <w:p w14:paraId="3F970419">
      <w:pPr>
        <w:pStyle w:val="18"/>
        <w:ind w:left="1470" w:right="1470"/>
        <w:rPr>
          <w:rFonts w:hint="eastAsia" w:ascii="宋体" w:hAnsi="宋体" w:cs="宋体"/>
          <w:color w:val="000000" w:themeColor="text1"/>
          <w14:textFill>
            <w14:solidFill>
              <w14:schemeClr w14:val="tx1"/>
            </w14:solidFill>
          </w14:textFill>
        </w:rPr>
      </w:pPr>
    </w:p>
    <w:p w14:paraId="540D7154">
      <w:pPr>
        <w:rPr>
          <w:rFonts w:hint="eastAsia" w:ascii="宋体" w:hAnsi="宋体" w:cs="宋体"/>
          <w:color w:val="000000" w:themeColor="text1"/>
          <w:sz w:val="28"/>
          <w:szCs w:val="28"/>
          <w14:textFill>
            <w14:solidFill>
              <w14:schemeClr w14:val="tx1"/>
            </w14:solidFill>
          </w14:textFill>
        </w:rPr>
      </w:pPr>
    </w:p>
    <w:p w14:paraId="7DACA196">
      <w:pPr>
        <w:rPr>
          <w:rFonts w:hint="eastAsia" w:ascii="宋体" w:hAnsi="宋体" w:cs="宋体"/>
          <w:color w:val="000000" w:themeColor="text1"/>
          <w:sz w:val="28"/>
          <w:szCs w:val="28"/>
          <w14:textFill>
            <w14:solidFill>
              <w14:schemeClr w14:val="tx1"/>
            </w14:solidFill>
          </w14:textFill>
        </w:rPr>
      </w:pPr>
    </w:p>
    <w:p w14:paraId="69082756">
      <w:pPr>
        <w:ind w:firstLine="280" w:firstLineChars="100"/>
        <w:rPr>
          <w:rFonts w:hint="eastAsia"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投标人：</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（电子签章）</w:t>
      </w:r>
    </w:p>
    <w:p w14:paraId="47051AF8">
      <w:pPr>
        <w:ind w:firstLine="280" w:firstLineChars="100"/>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法定代表人或其委托代理人：</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（电子签章）</w:t>
      </w:r>
    </w:p>
    <w:p w14:paraId="1052238D">
      <w:pPr>
        <w:ind w:firstLine="280" w:firstLineChars="100"/>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日  期：</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年</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月</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日</w:t>
      </w:r>
    </w:p>
    <w:p w14:paraId="66F3F4FE">
      <w:pPr>
        <w:spacing w:line="440" w:lineRule="exact"/>
        <w:rPr>
          <w:rFonts w:hint="eastAsia" w:ascii="宋体" w:hAnsi="宋体" w:cs="宋体"/>
          <w:color w:val="000000" w:themeColor="text1"/>
          <w:sz w:val="20"/>
          <w:szCs w:val="20"/>
          <w14:textFill>
            <w14:solidFill>
              <w14:schemeClr w14:val="tx1"/>
            </w14:solidFill>
          </w14:textFill>
        </w:rPr>
      </w:pPr>
    </w:p>
    <w:p w14:paraId="556C6176">
      <w:pPr>
        <w:spacing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p>
    <w:p w14:paraId="7F159DD9">
      <w:pPr>
        <w:jc w:val="center"/>
        <w:rPr>
          <w:rFonts w:hint="eastAsia" w:ascii="宋体" w:hAnsi="宋体" w:cs="宋体"/>
          <w:b/>
          <w:color w:val="000000" w:themeColor="text1"/>
          <w:sz w:val="32"/>
          <w14:textFill>
            <w14:solidFill>
              <w14:schemeClr w14:val="tx1"/>
            </w14:solidFill>
          </w14:textFill>
        </w:rPr>
      </w:pPr>
      <w:bookmarkStart w:id="1709" w:name="_Toc152042576"/>
      <w:bookmarkStart w:id="1710" w:name="_Toc12448"/>
      <w:bookmarkStart w:id="1711" w:name="_Toc247527827"/>
      <w:bookmarkStart w:id="1712" w:name="_Toc144974856"/>
      <w:bookmarkStart w:id="1713" w:name="_Toc247514246"/>
      <w:bookmarkStart w:id="1714" w:name="_Toc152045787"/>
      <w:r>
        <w:rPr>
          <w:rFonts w:hint="eastAsia" w:ascii="宋体" w:hAnsi="宋体" w:cs="宋体"/>
          <w:b/>
          <w:color w:val="000000" w:themeColor="text1"/>
          <w:sz w:val="32"/>
          <w14:textFill>
            <w14:solidFill>
              <w14:schemeClr w14:val="tx1"/>
            </w14:solidFill>
          </w14:textFill>
        </w:rPr>
        <w:t>目    录</w:t>
      </w:r>
      <w:bookmarkEnd w:id="1709"/>
      <w:bookmarkEnd w:id="1710"/>
      <w:bookmarkEnd w:id="1711"/>
      <w:bookmarkEnd w:id="1712"/>
      <w:bookmarkEnd w:id="1713"/>
      <w:bookmarkEnd w:id="1714"/>
    </w:p>
    <w:p w14:paraId="171B9871">
      <w:pPr>
        <w:spacing w:line="540" w:lineRule="exact"/>
        <w:rPr>
          <w:rFonts w:hint="eastAsia" w:ascii="宋体" w:hAnsi="宋体" w:cs="宋体"/>
          <w:color w:val="000000" w:themeColor="text1"/>
          <w14:textFill>
            <w14:solidFill>
              <w14:schemeClr w14:val="tx1"/>
            </w14:solidFill>
          </w14:textFill>
        </w:rPr>
      </w:pPr>
    </w:p>
    <w:p w14:paraId="0515642E">
      <w:pPr>
        <w:spacing w:line="5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一、投标（唱标）一览表</w:t>
      </w:r>
    </w:p>
    <w:p w14:paraId="5FAEEAF2">
      <w:pPr>
        <w:spacing w:line="5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二、投标函及投标函附录</w:t>
      </w:r>
    </w:p>
    <w:p w14:paraId="7A68AF5F">
      <w:pPr>
        <w:spacing w:line="5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三、法定代表人身份证明</w:t>
      </w:r>
    </w:p>
    <w:p w14:paraId="280FB0E5">
      <w:pPr>
        <w:spacing w:line="5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四、授权委托书</w:t>
      </w:r>
    </w:p>
    <w:p w14:paraId="6078BA50">
      <w:pPr>
        <w:spacing w:line="5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五、联合体协议书</w:t>
      </w:r>
    </w:p>
    <w:p w14:paraId="27509FD5">
      <w:pPr>
        <w:spacing w:line="5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六、承诺书</w:t>
      </w:r>
    </w:p>
    <w:p w14:paraId="5453EBD0">
      <w:pPr>
        <w:spacing w:line="5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七、投标保证金</w:t>
      </w:r>
    </w:p>
    <w:p w14:paraId="2BA268C9">
      <w:pPr>
        <w:spacing w:line="5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八、承包人建议书</w:t>
      </w:r>
    </w:p>
    <w:p w14:paraId="76298C59">
      <w:pPr>
        <w:spacing w:line="5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九、承包人实施计划</w:t>
      </w:r>
    </w:p>
    <w:p w14:paraId="1A2B8BF0">
      <w:pPr>
        <w:spacing w:line="5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十、资格审查资料</w:t>
      </w:r>
    </w:p>
    <w:p w14:paraId="13AF203B">
      <w:pPr>
        <w:spacing w:line="5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十一、其他资料</w:t>
      </w:r>
    </w:p>
    <w:p w14:paraId="3456C1F3">
      <w:pPr>
        <w:spacing w:line="540" w:lineRule="exact"/>
        <w:rPr>
          <w:rFonts w:hint="eastAsia" w:ascii="宋体" w:hAnsi="宋体" w:cs="宋体"/>
          <w:color w:val="000000" w:themeColor="text1"/>
          <w14:textFill>
            <w14:solidFill>
              <w14:schemeClr w14:val="tx1"/>
            </w14:solidFill>
          </w14:textFill>
        </w:rPr>
      </w:pPr>
    </w:p>
    <w:p w14:paraId="2E6FF52B">
      <w:pPr>
        <w:spacing w:line="540" w:lineRule="exact"/>
        <w:rPr>
          <w:rFonts w:hint="eastAsia" w:ascii="宋体" w:hAnsi="宋体" w:cs="宋体"/>
          <w:color w:val="000000" w:themeColor="text1"/>
          <w14:textFill>
            <w14:solidFill>
              <w14:schemeClr w14:val="tx1"/>
            </w14:solidFill>
          </w14:textFill>
        </w:rPr>
      </w:pPr>
    </w:p>
    <w:p w14:paraId="389834E1">
      <w:pPr>
        <w:rPr>
          <w:rFonts w:hint="eastAsia" w:ascii="宋体" w:hAnsi="宋体" w:cs="宋体"/>
          <w:color w:val="000000" w:themeColor="text1"/>
          <w14:textFill>
            <w14:solidFill>
              <w14:schemeClr w14:val="tx1"/>
            </w14:solidFill>
          </w14:textFill>
        </w:rPr>
      </w:pPr>
    </w:p>
    <w:p w14:paraId="24468F16">
      <w:pPr>
        <w:rPr>
          <w:rFonts w:hint="eastAsia" w:ascii="宋体" w:hAnsi="宋体" w:cs="宋体"/>
          <w:color w:val="000000" w:themeColor="text1"/>
          <w14:textFill>
            <w14:solidFill>
              <w14:schemeClr w14:val="tx1"/>
            </w14:solidFill>
          </w14:textFill>
        </w:rPr>
      </w:pPr>
    </w:p>
    <w:p w14:paraId="71139C6A">
      <w:pPr>
        <w:rPr>
          <w:rFonts w:hint="eastAsia" w:ascii="宋体" w:hAnsi="宋体" w:cs="宋体"/>
          <w:color w:val="000000" w:themeColor="text1"/>
          <w14:textFill>
            <w14:solidFill>
              <w14:schemeClr w14:val="tx1"/>
            </w14:solidFill>
          </w14:textFill>
        </w:rPr>
      </w:pPr>
    </w:p>
    <w:p w14:paraId="7B4FF4A0">
      <w:pPr>
        <w:rPr>
          <w:rFonts w:hint="eastAsia" w:ascii="宋体" w:hAnsi="宋体" w:cs="宋体"/>
          <w:color w:val="000000" w:themeColor="text1"/>
          <w14:textFill>
            <w14:solidFill>
              <w14:schemeClr w14:val="tx1"/>
            </w14:solidFill>
          </w14:textFill>
        </w:rPr>
      </w:pPr>
    </w:p>
    <w:p w14:paraId="6AEE1125">
      <w:pPr>
        <w:rPr>
          <w:rFonts w:hint="eastAsia" w:ascii="宋体" w:hAnsi="宋体" w:cs="宋体"/>
          <w:color w:val="000000" w:themeColor="text1"/>
          <w14:textFill>
            <w14:solidFill>
              <w14:schemeClr w14:val="tx1"/>
            </w14:solidFill>
          </w14:textFill>
        </w:rPr>
      </w:pPr>
    </w:p>
    <w:p w14:paraId="3F8109A7">
      <w:pPr>
        <w:rPr>
          <w:rFonts w:hint="eastAsia" w:ascii="宋体" w:hAnsi="宋体" w:cs="宋体"/>
          <w:color w:val="000000" w:themeColor="text1"/>
          <w14:textFill>
            <w14:solidFill>
              <w14:schemeClr w14:val="tx1"/>
            </w14:solidFill>
          </w14:textFill>
        </w:rPr>
      </w:pPr>
    </w:p>
    <w:p w14:paraId="085EDCC2">
      <w:pPr>
        <w:rPr>
          <w:rFonts w:hint="eastAsia" w:ascii="宋体" w:hAnsi="宋体" w:cs="宋体"/>
          <w:color w:val="000000" w:themeColor="text1"/>
          <w14:textFill>
            <w14:solidFill>
              <w14:schemeClr w14:val="tx1"/>
            </w14:solidFill>
          </w14:textFill>
        </w:rPr>
      </w:pPr>
    </w:p>
    <w:p w14:paraId="54CAEB2A">
      <w:pPr>
        <w:pStyle w:val="18"/>
        <w:ind w:left="1470" w:right="1470"/>
        <w:rPr>
          <w:rFonts w:hint="eastAsia" w:ascii="宋体" w:hAnsi="宋体" w:cs="宋体"/>
          <w:color w:val="000000" w:themeColor="text1"/>
          <w14:textFill>
            <w14:solidFill>
              <w14:schemeClr w14:val="tx1"/>
            </w14:solidFill>
          </w14:textFill>
        </w:rPr>
      </w:pPr>
    </w:p>
    <w:p w14:paraId="074716EC">
      <w:pPr>
        <w:rPr>
          <w:rFonts w:hint="eastAsia" w:ascii="宋体" w:hAnsi="宋体" w:cs="宋体"/>
          <w:color w:val="000000" w:themeColor="text1"/>
          <w14:textFill>
            <w14:solidFill>
              <w14:schemeClr w14:val="tx1"/>
            </w14:solidFill>
          </w14:textFill>
        </w:rPr>
      </w:pPr>
    </w:p>
    <w:p w14:paraId="15B2708D">
      <w:pPr>
        <w:rPr>
          <w:rFonts w:hint="eastAsia" w:ascii="宋体" w:hAnsi="宋体" w:cs="宋体"/>
          <w:color w:val="000000" w:themeColor="text1"/>
          <w14:textFill>
            <w14:solidFill>
              <w14:schemeClr w14:val="tx1"/>
            </w14:solidFill>
          </w14:textFill>
        </w:rPr>
      </w:pPr>
    </w:p>
    <w:p w14:paraId="0A95A706">
      <w:pPr>
        <w:rPr>
          <w:rFonts w:hint="eastAsia" w:ascii="宋体" w:hAnsi="宋体" w:cs="宋体"/>
          <w:color w:val="000000" w:themeColor="text1"/>
          <w14:textFill>
            <w14:solidFill>
              <w14:schemeClr w14:val="tx1"/>
            </w14:solidFill>
          </w14:textFill>
        </w:rPr>
      </w:pPr>
    </w:p>
    <w:p w14:paraId="348737A0">
      <w:pPr>
        <w:rPr>
          <w:rFonts w:hint="eastAsia" w:ascii="宋体" w:hAnsi="宋体" w:cs="宋体"/>
          <w:color w:val="000000" w:themeColor="text1"/>
          <w14:textFill>
            <w14:solidFill>
              <w14:schemeClr w14:val="tx1"/>
            </w14:solidFill>
          </w14:textFill>
        </w:rPr>
      </w:pPr>
    </w:p>
    <w:p w14:paraId="6E951D36">
      <w:pPr>
        <w:rPr>
          <w:rFonts w:hint="eastAsia" w:ascii="宋体" w:hAnsi="宋体" w:cs="宋体"/>
          <w:color w:val="000000" w:themeColor="text1"/>
          <w14:textFill>
            <w14:solidFill>
              <w14:schemeClr w14:val="tx1"/>
            </w14:solidFill>
          </w14:textFill>
        </w:rPr>
      </w:pPr>
    </w:p>
    <w:p w14:paraId="532BD255">
      <w:pPr>
        <w:rPr>
          <w:rFonts w:hint="eastAsia" w:ascii="宋体" w:hAnsi="宋体" w:cs="宋体"/>
          <w:color w:val="000000" w:themeColor="text1"/>
          <w14:textFill>
            <w14:solidFill>
              <w14:schemeClr w14:val="tx1"/>
            </w14:solidFill>
          </w14:textFill>
        </w:rPr>
      </w:pPr>
    </w:p>
    <w:p w14:paraId="7C6F3511">
      <w:pPr>
        <w:rPr>
          <w:rFonts w:hint="eastAsia" w:ascii="宋体" w:hAnsi="宋体" w:cs="宋体"/>
          <w:color w:val="000000" w:themeColor="text1"/>
          <w14:textFill>
            <w14:solidFill>
              <w14:schemeClr w14:val="tx1"/>
            </w14:solidFill>
          </w14:textFill>
        </w:rPr>
      </w:pPr>
    </w:p>
    <w:p w14:paraId="7DD57603">
      <w:pPr>
        <w:pStyle w:val="3"/>
        <w:numPr>
          <w:ilvl w:val="0"/>
          <w:numId w:val="13"/>
        </w:numPr>
        <w:jc w:val="center"/>
        <w:rPr>
          <w:rFonts w:hint="eastAsia" w:ascii="宋体" w:hAnsi="宋体" w:eastAsia="宋体" w:cs="宋体"/>
          <w:color w:val="000000" w:themeColor="text1"/>
          <w14:textFill>
            <w14:solidFill>
              <w14:schemeClr w14:val="tx1"/>
            </w14:solidFill>
          </w14:textFill>
        </w:rPr>
      </w:pPr>
      <w:bookmarkStart w:id="1715" w:name="_Toc54190085"/>
      <w:bookmarkStart w:id="1716" w:name="_Toc14970"/>
      <w:bookmarkStart w:id="1717" w:name="_Toc19129"/>
      <w:bookmarkStart w:id="1718" w:name="_Toc16254"/>
      <w:r>
        <w:rPr>
          <w:rFonts w:hint="eastAsia" w:ascii="宋体" w:hAnsi="宋体" w:eastAsia="宋体" w:cs="宋体"/>
          <w:color w:val="000000" w:themeColor="text1"/>
          <w14:textFill>
            <w14:solidFill>
              <w14:schemeClr w14:val="tx1"/>
            </w14:solidFill>
          </w14:textFill>
        </w:rPr>
        <w:t>投标（唱标）一览表</w:t>
      </w:r>
      <w:bookmarkEnd w:id="1715"/>
      <w:bookmarkEnd w:id="1716"/>
      <w:bookmarkEnd w:id="1717"/>
      <w:bookmarkEnd w:id="1718"/>
    </w:p>
    <w:p w14:paraId="69233A76">
      <w:pPr>
        <w:rPr>
          <w:rFonts w:hint="eastAsia" w:ascii="宋体" w:hAnsi="宋体" w:cs="宋体"/>
          <w:color w:val="000000" w:themeColor="text1"/>
          <w14:textFill>
            <w14:solidFill>
              <w14:schemeClr w14:val="tx1"/>
            </w14:solidFill>
          </w14:textFill>
        </w:rPr>
      </w:pPr>
    </w:p>
    <w:tbl>
      <w:tblPr>
        <w:tblStyle w:val="41"/>
        <w:tblW w:w="0" w:type="auto"/>
        <w:jc w:val="center"/>
        <w:tblLayout w:type="fixed"/>
        <w:tblCellMar>
          <w:top w:w="0" w:type="dxa"/>
          <w:left w:w="0" w:type="dxa"/>
          <w:bottom w:w="0" w:type="dxa"/>
          <w:right w:w="0" w:type="dxa"/>
        </w:tblCellMar>
      </w:tblPr>
      <w:tblGrid>
        <w:gridCol w:w="1944"/>
        <w:gridCol w:w="7526"/>
      </w:tblGrid>
      <w:tr w14:paraId="0DE26096">
        <w:tblPrEx>
          <w:tblCellMar>
            <w:top w:w="0" w:type="dxa"/>
            <w:left w:w="0" w:type="dxa"/>
            <w:bottom w:w="0" w:type="dxa"/>
            <w:right w:w="0" w:type="dxa"/>
          </w:tblCellMar>
        </w:tblPrEx>
        <w:trPr>
          <w:trHeight w:val="480" w:hRule="atLeast"/>
          <w:jc w:val="center"/>
        </w:trPr>
        <w:tc>
          <w:tcPr>
            <w:tcW w:w="1944" w:type="dxa"/>
            <w:tcBorders>
              <w:top w:val="single" w:color="auto" w:sz="8" w:space="0"/>
              <w:left w:val="single" w:color="auto" w:sz="8" w:space="0"/>
              <w:bottom w:val="single" w:color="auto" w:sz="8" w:space="0"/>
              <w:right w:val="single" w:color="auto" w:sz="8" w:space="0"/>
            </w:tcBorders>
            <w:vAlign w:val="center"/>
          </w:tcPr>
          <w:p w14:paraId="402C1C4C">
            <w:pPr>
              <w:widowControl/>
              <w:jc w:val="center"/>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项目名称</w:t>
            </w:r>
          </w:p>
        </w:tc>
        <w:tc>
          <w:tcPr>
            <w:tcW w:w="7526" w:type="dxa"/>
            <w:tcBorders>
              <w:top w:val="single" w:color="auto" w:sz="8" w:space="0"/>
              <w:left w:val="single" w:color="auto" w:sz="8" w:space="0"/>
              <w:bottom w:val="single" w:color="auto" w:sz="8" w:space="0"/>
              <w:right w:val="single" w:color="auto" w:sz="8" w:space="0"/>
            </w:tcBorders>
            <w:vAlign w:val="center"/>
          </w:tcPr>
          <w:p w14:paraId="3330324C">
            <w:pPr>
              <w:widowControl/>
              <w:jc w:val="center"/>
              <w:rPr>
                <w:rFonts w:hint="eastAsia" w:ascii="宋体" w:hAnsi="宋体" w:cs="宋体"/>
                <w:color w:val="000000" w:themeColor="text1"/>
                <w:kern w:val="0"/>
                <w:szCs w:val="21"/>
                <w14:textFill>
                  <w14:solidFill>
                    <w14:schemeClr w14:val="tx1"/>
                  </w14:solidFill>
                </w14:textFill>
              </w:rPr>
            </w:pPr>
          </w:p>
        </w:tc>
      </w:tr>
      <w:tr w14:paraId="5F3D819E">
        <w:tblPrEx>
          <w:tblCellMar>
            <w:top w:w="0" w:type="dxa"/>
            <w:left w:w="0" w:type="dxa"/>
            <w:bottom w:w="0" w:type="dxa"/>
            <w:right w:w="0" w:type="dxa"/>
          </w:tblCellMar>
        </w:tblPrEx>
        <w:trPr>
          <w:trHeight w:val="490" w:hRule="atLeast"/>
          <w:jc w:val="center"/>
        </w:trPr>
        <w:tc>
          <w:tcPr>
            <w:tcW w:w="1944" w:type="dxa"/>
            <w:tcBorders>
              <w:top w:val="single" w:color="auto" w:sz="8" w:space="0"/>
              <w:left w:val="single" w:color="auto" w:sz="8" w:space="0"/>
              <w:bottom w:val="single" w:color="auto" w:sz="8" w:space="0"/>
              <w:right w:val="single" w:color="auto" w:sz="8" w:space="0"/>
            </w:tcBorders>
            <w:vAlign w:val="center"/>
          </w:tcPr>
          <w:p w14:paraId="143B113B">
            <w:pPr>
              <w:widowControl/>
              <w:jc w:val="center"/>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投标人名称</w:t>
            </w:r>
          </w:p>
        </w:tc>
        <w:tc>
          <w:tcPr>
            <w:tcW w:w="7526" w:type="dxa"/>
            <w:tcBorders>
              <w:top w:val="single" w:color="auto" w:sz="8" w:space="0"/>
              <w:left w:val="single" w:color="auto" w:sz="8" w:space="0"/>
              <w:bottom w:val="single" w:color="auto" w:sz="8" w:space="0"/>
              <w:right w:val="single" w:color="auto" w:sz="8" w:space="0"/>
            </w:tcBorders>
            <w:vAlign w:val="center"/>
          </w:tcPr>
          <w:p w14:paraId="1EC2832E">
            <w:pPr>
              <w:widowControl/>
              <w:jc w:val="center"/>
              <w:rPr>
                <w:rFonts w:hint="eastAsia" w:ascii="宋体" w:hAnsi="宋体" w:cs="宋体"/>
                <w:color w:val="000000" w:themeColor="text1"/>
                <w:kern w:val="0"/>
                <w:szCs w:val="21"/>
                <w14:textFill>
                  <w14:solidFill>
                    <w14:schemeClr w14:val="tx1"/>
                  </w14:solidFill>
                </w14:textFill>
              </w:rPr>
            </w:pPr>
          </w:p>
        </w:tc>
      </w:tr>
      <w:tr w14:paraId="1DC7DDD3">
        <w:tblPrEx>
          <w:tblCellMar>
            <w:top w:w="0" w:type="dxa"/>
            <w:left w:w="0" w:type="dxa"/>
            <w:bottom w:w="0" w:type="dxa"/>
            <w:right w:w="0" w:type="dxa"/>
          </w:tblCellMar>
        </w:tblPrEx>
        <w:trPr>
          <w:trHeight w:val="878" w:hRule="atLeast"/>
          <w:jc w:val="center"/>
        </w:trPr>
        <w:tc>
          <w:tcPr>
            <w:tcW w:w="1944" w:type="dxa"/>
            <w:vMerge w:val="restart"/>
            <w:tcBorders>
              <w:left w:val="single" w:color="auto" w:sz="8" w:space="0"/>
              <w:right w:val="single" w:color="auto" w:sz="8" w:space="0"/>
            </w:tcBorders>
            <w:vAlign w:val="center"/>
          </w:tcPr>
          <w:p w14:paraId="7B2554BA">
            <w:pPr>
              <w:widowControl/>
              <w:jc w:val="center"/>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投标报价</w:t>
            </w:r>
          </w:p>
        </w:tc>
        <w:tc>
          <w:tcPr>
            <w:tcW w:w="7526" w:type="dxa"/>
            <w:tcBorders>
              <w:top w:val="single" w:color="auto" w:sz="8" w:space="0"/>
              <w:left w:val="single" w:color="auto" w:sz="8" w:space="0"/>
              <w:right w:val="single" w:color="auto" w:sz="8" w:space="0"/>
            </w:tcBorders>
            <w:vAlign w:val="center"/>
          </w:tcPr>
          <w:p w14:paraId="3E0D351C">
            <w:pPr>
              <w:widowControl/>
              <w:spacing w:before="50" w:after="50"/>
              <w:rPr>
                <w:rFonts w:hint="eastAsia" w:ascii="宋体" w:hAnsi="宋体" w:cs="宋体"/>
                <w:b/>
                <w:color w:val="000000" w:themeColor="text1"/>
                <w:kern w:val="0"/>
                <w:szCs w:val="21"/>
                <w:u w:val="single"/>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勘察费报价：</w:t>
            </w:r>
            <w:r>
              <w:rPr>
                <w:rFonts w:hint="eastAsia" w:ascii="宋体" w:hAnsi="宋体" w:cs="宋体"/>
                <w:color w:val="000000" w:themeColor="text1"/>
                <w:kern w:val="0"/>
                <w:szCs w:val="21"/>
                <w:u w:val="single"/>
                <w14:textFill>
                  <w14:solidFill>
                    <w14:schemeClr w14:val="tx1"/>
                  </w14:solidFill>
                </w14:textFill>
              </w:rPr>
              <w:t>勘察费优惠率   %；</w:t>
            </w:r>
          </w:p>
        </w:tc>
      </w:tr>
      <w:tr w14:paraId="48D05D4C">
        <w:tblPrEx>
          <w:tblCellMar>
            <w:top w:w="0" w:type="dxa"/>
            <w:left w:w="0" w:type="dxa"/>
            <w:bottom w:w="0" w:type="dxa"/>
            <w:right w:w="0" w:type="dxa"/>
          </w:tblCellMar>
        </w:tblPrEx>
        <w:trPr>
          <w:trHeight w:val="878" w:hRule="atLeast"/>
          <w:jc w:val="center"/>
        </w:trPr>
        <w:tc>
          <w:tcPr>
            <w:tcW w:w="1944" w:type="dxa"/>
            <w:vMerge w:val="continue"/>
            <w:tcBorders>
              <w:left w:val="single" w:color="auto" w:sz="8" w:space="0"/>
              <w:right w:val="single" w:color="auto" w:sz="8" w:space="0"/>
            </w:tcBorders>
            <w:vAlign w:val="center"/>
          </w:tcPr>
          <w:p w14:paraId="089C9923">
            <w:pPr>
              <w:widowControl/>
              <w:jc w:val="center"/>
              <w:rPr>
                <w:rFonts w:hint="eastAsia" w:ascii="宋体" w:hAnsi="宋体" w:cs="宋体"/>
                <w:color w:val="000000" w:themeColor="text1"/>
                <w:kern w:val="0"/>
                <w:szCs w:val="21"/>
                <w14:textFill>
                  <w14:solidFill>
                    <w14:schemeClr w14:val="tx1"/>
                  </w14:solidFill>
                </w14:textFill>
              </w:rPr>
            </w:pPr>
          </w:p>
        </w:tc>
        <w:tc>
          <w:tcPr>
            <w:tcW w:w="7526" w:type="dxa"/>
            <w:tcBorders>
              <w:top w:val="single" w:color="auto" w:sz="8" w:space="0"/>
              <w:left w:val="single" w:color="auto" w:sz="8" w:space="0"/>
              <w:right w:val="single" w:color="auto" w:sz="8" w:space="0"/>
            </w:tcBorders>
            <w:vAlign w:val="center"/>
          </w:tcPr>
          <w:p w14:paraId="7028C671">
            <w:pPr>
              <w:widowControl/>
              <w:spacing w:before="50" w:after="50"/>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设计费报价：</w:t>
            </w:r>
            <w:r>
              <w:rPr>
                <w:rFonts w:hint="eastAsia" w:ascii="宋体" w:hAnsi="宋体" w:cs="宋体"/>
                <w:bCs/>
                <w:color w:val="000000" w:themeColor="text1"/>
                <w:kern w:val="0"/>
                <w:szCs w:val="21"/>
                <w:u w:val="single"/>
                <w14:textFill>
                  <w14:solidFill>
                    <w14:schemeClr w14:val="tx1"/>
                  </w14:solidFill>
                </w14:textFill>
              </w:rPr>
              <w:t>设计费优惠率   %</w:t>
            </w:r>
            <w:r>
              <w:rPr>
                <w:rFonts w:hint="eastAsia" w:ascii="宋体" w:hAnsi="宋体" w:cs="宋体"/>
                <w:color w:val="000000" w:themeColor="text1"/>
                <w:kern w:val="0"/>
                <w:szCs w:val="21"/>
                <w14:textFill>
                  <w14:solidFill>
                    <w14:schemeClr w14:val="tx1"/>
                  </w14:solidFill>
                </w14:textFill>
              </w:rPr>
              <w:t>；</w:t>
            </w:r>
          </w:p>
        </w:tc>
      </w:tr>
      <w:tr w14:paraId="0FC512AA">
        <w:tblPrEx>
          <w:tblCellMar>
            <w:top w:w="0" w:type="dxa"/>
            <w:left w:w="0" w:type="dxa"/>
            <w:bottom w:w="0" w:type="dxa"/>
            <w:right w:w="0" w:type="dxa"/>
          </w:tblCellMar>
        </w:tblPrEx>
        <w:trPr>
          <w:trHeight w:val="744" w:hRule="atLeast"/>
          <w:jc w:val="center"/>
        </w:trPr>
        <w:tc>
          <w:tcPr>
            <w:tcW w:w="1944" w:type="dxa"/>
            <w:vMerge w:val="continue"/>
            <w:tcBorders>
              <w:left w:val="single" w:color="auto" w:sz="8" w:space="0"/>
              <w:right w:val="single" w:color="auto" w:sz="8" w:space="0"/>
            </w:tcBorders>
            <w:vAlign w:val="center"/>
          </w:tcPr>
          <w:p w14:paraId="265EAACF">
            <w:pPr>
              <w:widowControl/>
              <w:jc w:val="center"/>
              <w:rPr>
                <w:rFonts w:hint="eastAsia" w:ascii="宋体" w:hAnsi="宋体" w:cs="宋体"/>
                <w:color w:val="000000" w:themeColor="text1"/>
                <w:kern w:val="0"/>
                <w:szCs w:val="21"/>
                <w14:textFill>
                  <w14:solidFill>
                    <w14:schemeClr w14:val="tx1"/>
                  </w14:solidFill>
                </w14:textFill>
              </w:rPr>
            </w:pPr>
          </w:p>
        </w:tc>
        <w:tc>
          <w:tcPr>
            <w:tcW w:w="7526" w:type="dxa"/>
            <w:tcBorders>
              <w:top w:val="single" w:color="auto" w:sz="8" w:space="0"/>
              <w:left w:val="single" w:color="auto" w:sz="8" w:space="0"/>
              <w:right w:val="single" w:color="auto" w:sz="8" w:space="0"/>
            </w:tcBorders>
            <w:vAlign w:val="center"/>
          </w:tcPr>
          <w:p w14:paraId="410C8A3C">
            <w:pPr>
              <w:widowControl/>
              <w:spacing w:before="50" w:after="50"/>
              <w:rPr>
                <w:rFonts w:hint="eastAsia" w:ascii="宋体" w:hAnsi="宋体" w:cs="宋体"/>
                <w:b/>
                <w:color w:val="000000" w:themeColor="text1"/>
                <w:kern w:val="0"/>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施工费</w:t>
            </w:r>
            <w:r>
              <w:rPr>
                <w:rFonts w:hint="eastAsia" w:ascii="宋体" w:hAnsi="宋体" w:cs="宋体"/>
                <w:bCs/>
                <w:color w:val="000000" w:themeColor="text1"/>
                <w:kern w:val="0"/>
                <w:szCs w:val="21"/>
                <w14:textFill>
                  <w14:solidFill>
                    <w14:schemeClr w14:val="tx1"/>
                  </w14:solidFill>
                </w14:textFill>
              </w:rPr>
              <w:t>报价：</w:t>
            </w:r>
            <w:r>
              <w:rPr>
                <w:rFonts w:hint="eastAsia" w:ascii="宋体" w:hAnsi="宋体" w:cs="宋体"/>
                <w:bCs/>
                <w:color w:val="000000" w:themeColor="text1"/>
                <w:kern w:val="0"/>
                <w:szCs w:val="21"/>
                <w:u w:val="single"/>
                <w14:textFill>
                  <w14:solidFill>
                    <w14:schemeClr w14:val="tx1"/>
                  </w14:solidFill>
                </w14:textFill>
              </w:rPr>
              <w:t>建筑安装工程费结算优惠率     %。</w:t>
            </w:r>
          </w:p>
        </w:tc>
      </w:tr>
      <w:tr w14:paraId="6E045A73">
        <w:tblPrEx>
          <w:tblCellMar>
            <w:top w:w="0" w:type="dxa"/>
            <w:left w:w="0" w:type="dxa"/>
            <w:bottom w:w="0" w:type="dxa"/>
            <w:right w:w="0" w:type="dxa"/>
          </w:tblCellMar>
        </w:tblPrEx>
        <w:trPr>
          <w:trHeight w:val="529" w:hRule="atLeast"/>
          <w:jc w:val="center"/>
        </w:trPr>
        <w:tc>
          <w:tcPr>
            <w:tcW w:w="1944" w:type="dxa"/>
            <w:tcBorders>
              <w:top w:val="single" w:color="auto" w:sz="8" w:space="0"/>
              <w:left w:val="single" w:color="auto" w:sz="8" w:space="0"/>
              <w:right w:val="single" w:color="auto" w:sz="8" w:space="0"/>
            </w:tcBorders>
            <w:vAlign w:val="center"/>
          </w:tcPr>
          <w:p w14:paraId="760AFE46">
            <w:pPr>
              <w:widowControl/>
              <w:jc w:val="center"/>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工期</w:t>
            </w:r>
          </w:p>
        </w:tc>
        <w:tc>
          <w:tcPr>
            <w:tcW w:w="7526" w:type="dxa"/>
            <w:tcBorders>
              <w:top w:val="single" w:color="auto" w:sz="8" w:space="0"/>
              <w:left w:val="single" w:color="auto" w:sz="8" w:space="0"/>
              <w:right w:val="single" w:color="auto" w:sz="8" w:space="0"/>
            </w:tcBorders>
            <w:vAlign w:val="center"/>
          </w:tcPr>
          <w:p w14:paraId="56686D68">
            <w:pPr>
              <w:widowControl/>
              <w:spacing w:before="50" w:after="50"/>
              <w:jc w:val="center"/>
              <w:rPr>
                <w:rFonts w:hint="eastAsia" w:ascii="宋体" w:hAnsi="宋体" w:cs="宋体"/>
                <w:color w:val="000000" w:themeColor="text1"/>
                <w:kern w:val="0"/>
                <w:szCs w:val="21"/>
                <w14:textFill>
                  <w14:solidFill>
                    <w14:schemeClr w14:val="tx1"/>
                  </w14:solidFill>
                </w14:textFill>
              </w:rPr>
            </w:pPr>
          </w:p>
        </w:tc>
      </w:tr>
      <w:tr w14:paraId="08AA7E84">
        <w:tblPrEx>
          <w:tblCellMar>
            <w:top w:w="0" w:type="dxa"/>
            <w:left w:w="0" w:type="dxa"/>
            <w:bottom w:w="0" w:type="dxa"/>
            <w:right w:w="0" w:type="dxa"/>
          </w:tblCellMar>
        </w:tblPrEx>
        <w:trPr>
          <w:trHeight w:val="559" w:hRule="atLeast"/>
          <w:jc w:val="center"/>
        </w:trPr>
        <w:tc>
          <w:tcPr>
            <w:tcW w:w="1944" w:type="dxa"/>
            <w:tcBorders>
              <w:top w:val="single" w:color="auto" w:sz="8" w:space="0"/>
              <w:left w:val="single" w:color="auto" w:sz="8" w:space="0"/>
              <w:bottom w:val="single" w:color="auto" w:sz="8" w:space="0"/>
              <w:right w:val="single" w:color="auto" w:sz="8" w:space="0"/>
            </w:tcBorders>
            <w:vAlign w:val="center"/>
          </w:tcPr>
          <w:p w14:paraId="34778F1A">
            <w:pPr>
              <w:widowControl/>
              <w:jc w:val="center"/>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质量标准</w:t>
            </w:r>
          </w:p>
        </w:tc>
        <w:tc>
          <w:tcPr>
            <w:tcW w:w="7526" w:type="dxa"/>
            <w:tcBorders>
              <w:top w:val="single" w:color="auto" w:sz="8" w:space="0"/>
              <w:left w:val="single" w:color="auto" w:sz="8" w:space="0"/>
              <w:bottom w:val="single" w:color="auto" w:sz="8" w:space="0"/>
              <w:right w:val="single" w:color="auto" w:sz="8" w:space="0"/>
            </w:tcBorders>
            <w:vAlign w:val="center"/>
          </w:tcPr>
          <w:p w14:paraId="4368CE2A">
            <w:pPr>
              <w:widowControl/>
              <w:jc w:val="center"/>
              <w:rPr>
                <w:rFonts w:hint="eastAsia" w:ascii="宋体" w:hAnsi="宋体" w:cs="宋体"/>
                <w:color w:val="000000" w:themeColor="text1"/>
                <w:kern w:val="0"/>
                <w:szCs w:val="21"/>
                <w14:textFill>
                  <w14:solidFill>
                    <w14:schemeClr w14:val="tx1"/>
                  </w14:solidFill>
                </w14:textFill>
              </w:rPr>
            </w:pPr>
          </w:p>
        </w:tc>
      </w:tr>
      <w:tr w14:paraId="5F90087E">
        <w:tblPrEx>
          <w:tblCellMar>
            <w:top w:w="0" w:type="dxa"/>
            <w:left w:w="0" w:type="dxa"/>
            <w:bottom w:w="0" w:type="dxa"/>
            <w:right w:w="0" w:type="dxa"/>
          </w:tblCellMar>
        </w:tblPrEx>
        <w:trPr>
          <w:trHeight w:val="538" w:hRule="atLeast"/>
          <w:jc w:val="center"/>
        </w:trPr>
        <w:tc>
          <w:tcPr>
            <w:tcW w:w="1944" w:type="dxa"/>
            <w:tcBorders>
              <w:top w:val="single" w:color="auto" w:sz="8" w:space="0"/>
              <w:left w:val="single" w:color="auto" w:sz="8" w:space="0"/>
              <w:bottom w:val="single" w:color="auto" w:sz="8" w:space="0"/>
              <w:right w:val="single" w:color="auto" w:sz="8" w:space="0"/>
            </w:tcBorders>
            <w:vAlign w:val="center"/>
          </w:tcPr>
          <w:p w14:paraId="2C654009">
            <w:pPr>
              <w:widowControl/>
              <w:jc w:val="center"/>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项目经理</w:t>
            </w:r>
          </w:p>
        </w:tc>
        <w:tc>
          <w:tcPr>
            <w:tcW w:w="7526" w:type="dxa"/>
            <w:tcBorders>
              <w:top w:val="single" w:color="auto" w:sz="8" w:space="0"/>
              <w:left w:val="single" w:color="auto" w:sz="8" w:space="0"/>
              <w:bottom w:val="single" w:color="auto" w:sz="8" w:space="0"/>
              <w:right w:val="single" w:color="auto" w:sz="8" w:space="0"/>
            </w:tcBorders>
            <w:vAlign w:val="center"/>
          </w:tcPr>
          <w:p w14:paraId="6C0304A5">
            <w:pPr>
              <w:widowControl/>
              <w:spacing w:line="0" w:lineRule="atLeas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姓    名：                                      </w:t>
            </w:r>
          </w:p>
          <w:p w14:paraId="594EBB28">
            <w:pPr>
              <w:widowControl/>
              <w:spacing w:line="0" w:lineRule="atLeas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证书名称：               </w:t>
            </w:r>
          </w:p>
          <w:p w14:paraId="09853315">
            <w:pPr>
              <w:widowControl/>
              <w:spacing w:line="0" w:lineRule="atLeas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注册编号：</w:t>
            </w:r>
          </w:p>
          <w:p w14:paraId="10509F1D">
            <w:pPr>
              <w:widowControl/>
              <w:spacing w:line="0" w:lineRule="atLeas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身份证号码：</w:t>
            </w:r>
          </w:p>
        </w:tc>
      </w:tr>
      <w:tr w14:paraId="761A5C2B">
        <w:tblPrEx>
          <w:tblCellMar>
            <w:top w:w="0" w:type="dxa"/>
            <w:left w:w="0" w:type="dxa"/>
            <w:bottom w:w="0" w:type="dxa"/>
            <w:right w:w="0" w:type="dxa"/>
          </w:tblCellMar>
        </w:tblPrEx>
        <w:trPr>
          <w:trHeight w:val="538" w:hRule="atLeast"/>
          <w:jc w:val="center"/>
        </w:trPr>
        <w:tc>
          <w:tcPr>
            <w:tcW w:w="1944" w:type="dxa"/>
            <w:tcBorders>
              <w:top w:val="single" w:color="auto" w:sz="8" w:space="0"/>
              <w:left w:val="single" w:color="auto" w:sz="8" w:space="0"/>
              <w:bottom w:val="single" w:color="auto" w:sz="8" w:space="0"/>
              <w:right w:val="single" w:color="auto" w:sz="8" w:space="0"/>
            </w:tcBorders>
            <w:vAlign w:val="center"/>
          </w:tcPr>
          <w:p w14:paraId="3240871E">
            <w:pPr>
              <w:widowControl/>
              <w:jc w:val="center"/>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勘察负责人</w:t>
            </w:r>
          </w:p>
        </w:tc>
        <w:tc>
          <w:tcPr>
            <w:tcW w:w="7526" w:type="dxa"/>
            <w:tcBorders>
              <w:top w:val="single" w:color="auto" w:sz="8" w:space="0"/>
              <w:left w:val="single" w:color="auto" w:sz="8" w:space="0"/>
              <w:bottom w:val="single" w:color="auto" w:sz="8" w:space="0"/>
              <w:right w:val="single" w:color="auto" w:sz="8" w:space="0"/>
            </w:tcBorders>
            <w:vAlign w:val="center"/>
          </w:tcPr>
          <w:p w14:paraId="7FF8BDE6">
            <w:pPr>
              <w:widowControl/>
              <w:spacing w:line="0" w:lineRule="atLeas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姓    名：                                        </w:t>
            </w:r>
          </w:p>
          <w:p w14:paraId="7A7DB998">
            <w:pPr>
              <w:widowControl/>
              <w:spacing w:line="0" w:lineRule="atLeas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证书名称：               </w:t>
            </w:r>
          </w:p>
          <w:p w14:paraId="4C5C5494">
            <w:pPr>
              <w:widowControl/>
              <w:spacing w:line="0" w:lineRule="atLeas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注册编号：</w:t>
            </w:r>
          </w:p>
          <w:p w14:paraId="66651E3E">
            <w:pPr>
              <w:widowControl/>
              <w:spacing w:line="0" w:lineRule="atLeas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身份证号码： </w:t>
            </w:r>
          </w:p>
        </w:tc>
      </w:tr>
      <w:tr w14:paraId="03E47868">
        <w:tblPrEx>
          <w:tblCellMar>
            <w:top w:w="0" w:type="dxa"/>
            <w:left w:w="0" w:type="dxa"/>
            <w:bottom w:w="0" w:type="dxa"/>
            <w:right w:w="0" w:type="dxa"/>
          </w:tblCellMar>
        </w:tblPrEx>
        <w:trPr>
          <w:trHeight w:val="538" w:hRule="atLeast"/>
          <w:jc w:val="center"/>
        </w:trPr>
        <w:tc>
          <w:tcPr>
            <w:tcW w:w="1944" w:type="dxa"/>
            <w:tcBorders>
              <w:top w:val="single" w:color="auto" w:sz="8" w:space="0"/>
              <w:left w:val="single" w:color="auto" w:sz="8" w:space="0"/>
              <w:bottom w:val="single" w:color="auto" w:sz="8" w:space="0"/>
              <w:right w:val="single" w:color="auto" w:sz="8" w:space="0"/>
            </w:tcBorders>
            <w:vAlign w:val="center"/>
          </w:tcPr>
          <w:p w14:paraId="4B79015A">
            <w:pPr>
              <w:widowControl/>
              <w:jc w:val="center"/>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设计负责人</w:t>
            </w:r>
          </w:p>
        </w:tc>
        <w:tc>
          <w:tcPr>
            <w:tcW w:w="7526" w:type="dxa"/>
            <w:tcBorders>
              <w:top w:val="single" w:color="auto" w:sz="8" w:space="0"/>
              <w:left w:val="single" w:color="auto" w:sz="8" w:space="0"/>
              <w:bottom w:val="single" w:color="auto" w:sz="8" w:space="0"/>
              <w:right w:val="single" w:color="auto" w:sz="8" w:space="0"/>
            </w:tcBorders>
            <w:vAlign w:val="center"/>
          </w:tcPr>
          <w:p w14:paraId="28714E13">
            <w:pPr>
              <w:widowControl/>
              <w:spacing w:line="0" w:lineRule="atLeas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姓    名：                                        </w:t>
            </w:r>
          </w:p>
          <w:p w14:paraId="5E36A719">
            <w:pPr>
              <w:widowControl/>
              <w:spacing w:line="0" w:lineRule="atLeas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证书名称：               </w:t>
            </w:r>
          </w:p>
          <w:p w14:paraId="0B1CE0A7">
            <w:pPr>
              <w:widowControl/>
              <w:spacing w:line="0" w:lineRule="atLeas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注册编号：</w:t>
            </w:r>
          </w:p>
          <w:p w14:paraId="4F49F30D">
            <w:pPr>
              <w:widowControl/>
              <w:spacing w:line="0" w:lineRule="atLeas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身份证号码： </w:t>
            </w:r>
          </w:p>
        </w:tc>
      </w:tr>
      <w:tr w14:paraId="3A929B78">
        <w:tblPrEx>
          <w:tblCellMar>
            <w:top w:w="0" w:type="dxa"/>
            <w:left w:w="0" w:type="dxa"/>
            <w:bottom w:w="0" w:type="dxa"/>
            <w:right w:w="0" w:type="dxa"/>
          </w:tblCellMar>
        </w:tblPrEx>
        <w:trPr>
          <w:trHeight w:val="1055" w:hRule="atLeast"/>
          <w:jc w:val="center"/>
        </w:trPr>
        <w:tc>
          <w:tcPr>
            <w:tcW w:w="1944" w:type="dxa"/>
            <w:tcBorders>
              <w:top w:val="single" w:color="auto" w:sz="8" w:space="0"/>
              <w:left w:val="single" w:color="auto" w:sz="8" w:space="0"/>
              <w:bottom w:val="single" w:color="auto" w:sz="8" w:space="0"/>
              <w:right w:val="single" w:color="auto" w:sz="8" w:space="0"/>
            </w:tcBorders>
            <w:vAlign w:val="center"/>
          </w:tcPr>
          <w:p w14:paraId="2D46AC65">
            <w:pPr>
              <w:widowControl/>
              <w:jc w:val="center"/>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施工负责人</w:t>
            </w:r>
          </w:p>
        </w:tc>
        <w:tc>
          <w:tcPr>
            <w:tcW w:w="7526" w:type="dxa"/>
            <w:tcBorders>
              <w:top w:val="single" w:color="auto" w:sz="8" w:space="0"/>
              <w:left w:val="single" w:color="auto" w:sz="8" w:space="0"/>
              <w:bottom w:val="single" w:color="auto" w:sz="8" w:space="0"/>
              <w:right w:val="single" w:color="auto" w:sz="8" w:space="0"/>
            </w:tcBorders>
            <w:vAlign w:val="center"/>
          </w:tcPr>
          <w:p w14:paraId="270C8259">
            <w:pPr>
              <w:widowControl/>
              <w:spacing w:line="0" w:lineRule="atLeas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姓    名：                                      </w:t>
            </w:r>
          </w:p>
          <w:p w14:paraId="456FC16F">
            <w:pPr>
              <w:widowControl/>
              <w:spacing w:line="0" w:lineRule="atLeas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证书名称：               </w:t>
            </w:r>
          </w:p>
          <w:p w14:paraId="4DED21A4">
            <w:pPr>
              <w:widowControl/>
              <w:spacing w:line="0" w:lineRule="atLeas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证书编号：</w:t>
            </w:r>
          </w:p>
          <w:p w14:paraId="7DEAE02C">
            <w:pPr>
              <w:widowControl/>
              <w:spacing w:line="0" w:lineRule="atLeas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身份证号码：</w:t>
            </w:r>
          </w:p>
        </w:tc>
      </w:tr>
      <w:tr w14:paraId="5F2EBF0F">
        <w:tblPrEx>
          <w:tblCellMar>
            <w:top w:w="0" w:type="dxa"/>
            <w:left w:w="0" w:type="dxa"/>
            <w:bottom w:w="0" w:type="dxa"/>
            <w:right w:w="0" w:type="dxa"/>
          </w:tblCellMar>
        </w:tblPrEx>
        <w:trPr>
          <w:trHeight w:val="546" w:hRule="atLeast"/>
          <w:jc w:val="center"/>
        </w:trPr>
        <w:tc>
          <w:tcPr>
            <w:tcW w:w="1944" w:type="dxa"/>
            <w:tcBorders>
              <w:top w:val="single" w:color="auto" w:sz="8" w:space="0"/>
              <w:left w:val="single" w:color="auto" w:sz="8" w:space="0"/>
              <w:bottom w:val="single" w:color="auto" w:sz="8" w:space="0"/>
              <w:right w:val="single" w:color="auto" w:sz="8" w:space="0"/>
            </w:tcBorders>
            <w:vAlign w:val="center"/>
          </w:tcPr>
          <w:p w14:paraId="74A41367">
            <w:pPr>
              <w:widowControl/>
              <w:jc w:val="center"/>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备注</w:t>
            </w:r>
          </w:p>
        </w:tc>
        <w:tc>
          <w:tcPr>
            <w:tcW w:w="7526" w:type="dxa"/>
            <w:tcBorders>
              <w:top w:val="single" w:color="auto" w:sz="8" w:space="0"/>
              <w:left w:val="single" w:color="auto" w:sz="8" w:space="0"/>
              <w:bottom w:val="single" w:color="auto" w:sz="8" w:space="0"/>
              <w:right w:val="single" w:color="auto" w:sz="8" w:space="0"/>
            </w:tcBorders>
            <w:vAlign w:val="center"/>
          </w:tcPr>
          <w:p w14:paraId="743110F9">
            <w:pPr>
              <w:widowControl/>
              <w:jc w:val="center"/>
              <w:rPr>
                <w:rFonts w:hint="eastAsia" w:ascii="宋体" w:hAnsi="宋体" w:cs="宋体"/>
                <w:color w:val="000000" w:themeColor="text1"/>
                <w:kern w:val="0"/>
                <w:szCs w:val="21"/>
                <w14:textFill>
                  <w14:solidFill>
                    <w14:schemeClr w14:val="tx1"/>
                  </w14:solidFill>
                </w14:textFill>
              </w:rPr>
            </w:pPr>
          </w:p>
        </w:tc>
      </w:tr>
    </w:tbl>
    <w:p w14:paraId="7DD43988">
      <w:pPr>
        <w:widowControl/>
        <w:spacing w:line="300" w:lineRule="auto"/>
        <w:ind w:firstLine="490"/>
        <w:jc w:val="left"/>
        <w:rPr>
          <w:rFonts w:hint="eastAsia" w:ascii="宋体" w:hAnsi="宋体" w:cs="宋体"/>
          <w:color w:val="000000" w:themeColor="text1"/>
          <w:kern w:val="0"/>
          <w:szCs w:val="21"/>
          <w14:textFill>
            <w14:solidFill>
              <w14:schemeClr w14:val="tx1"/>
            </w14:solidFill>
          </w14:textFill>
        </w:rPr>
      </w:pPr>
    </w:p>
    <w:p w14:paraId="6B8B2772">
      <w:pPr>
        <w:widowControl/>
        <w:spacing w:line="300" w:lineRule="auto"/>
        <w:ind w:firstLine="490"/>
        <w:jc w:val="left"/>
        <w:rPr>
          <w:rFonts w:hint="eastAsia" w:ascii="宋体" w:hAnsi="宋体" w:cs="宋体"/>
          <w:color w:val="000000" w:themeColor="text1"/>
          <w:kern w:val="0"/>
          <w:szCs w:val="21"/>
          <w:u w:val="single"/>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投 标 人：</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（电子签章）（联合体牵头方）</w:t>
      </w:r>
    </w:p>
    <w:p w14:paraId="7666188F">
      <w:pPr>
        <w:widowControl/>
        <w:spacing w:line="300" w:lineRule="auto"/>
        <w:ind w:firstLine="490"/>
        <w:jc w:val="left"/>
        <w:rPr>
          <w:rFonts w:hint="eastAsia" w:ascii="宋体" w:hAnsi="宋体" w:cs="宋体"/>
          <w:color w:val="000000" w:themeColor="text1"/>
          <w:kern w:val="0"/>
          <w:szCs w:val="21"/>
          <w14:textFill>
            <w14:solidFill>
              <w14:schemeClr w14:val="tx1"/>
            </w14:solidFill>
          </w14:textFill>
        </w:rPr>
      </w:pPr>
    </w:p>
    <w:p w14:paraId="3E66A5D2">
      <w:pPr>
        <w:widowControl/>
        <w:spacing w:line="300" w:lineRule="auto"/>
        <w:ind w:firstLine="490"/>
        <w:jc w:val="left"/>
        <w:rPr>
          <w:rFonts w:hint="eastAsia" w:ascii="宋体" w:hAnsi="宋体" w:cs="宋体"/>
          <w:color w:val="000000" w:themeColor="text1"/>
          <w:kern w:val="0"/>
          <w:szCs w:val="21"/>
          <w:u w:val="single"/>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投标人法定代表人或其委托人：</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（电子签章）</w:t>
      </w:r>
      <w:r>
        <w:rPr>
          <w:rFonts w:hint="eastAsia" w:ascii="宋体" w:hAnsi="宋体" w:cs="宋体"/>
          <w:color w:val="000000" w:themeColor="text1"/>
          <w:kern w:val="0"/>
          <w:szCs w:val="21"/>
          <w:u w:val="single"/>
          <w14:textFill>
            <w14:solidFill>
              <w14:schemeClr w14:val="tx1"/>
            </w14:solidFill>
          </w14:textFill>
        </w:rPr>
        <w:t xml:space="preserve">       </w:t>
      </w:r>
    </w:p>
    <w:p w14:paraId="242037E6">
      <w:pPr>
        <w:widowControl/>
        <w:spacing w:line="300" w:lineRule="auto"/>
        <w:ind w:firstLine="490"/>
        <w:jc w:val="left"/>
        <w:rPr>
          <w:rFonts w:hint="eastAsia" w:ascii="宋体" w:hAnsi="宋体" w:cs="宋体"/>
          <w:color w:val="000000" w:themeColor="text1"/>
          <w:kern w:val="0"/>
          <w:szCs w:val="21"/>
          <w:u w:val="single"/>
          <w14:textFill>
            <w14:solidFill>
              <w14:schemeClr w14:val="tx1"/>
            </w14:solidFill>
          </w14:textFill>
        </w:rPr>
      </w:pPr>
    </w:p>
    <w:p w14:paraId="25BAAD54">
      <w:pPr>
        <w:ind w:firstLine="420" w:firstLineChars="200"/>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日   期：</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日</w:t>
      </w:r>
    </w:p>
    <w:p w14:paraId="7F01AD96">
      <w:pPr>
        <w:widowControl/>
        <w:spacing w:line="300" w:lineRule="auto"/>
        <w:jc w:val="left"/>
        <w:rPr>
          <w:rFonts w:hint="eastAsia" w:ascii="宋体" w:hAnsi="宋体" w:cs="宋体"/>
          <w:color w:val="000000" w:themeColor="text1"/>
          <w:kern w:val="0"/>
          <w:szCs w:val="21"/>
          <w14:textFill>
            <w14:solidFill>
              <w14:schemeClr w14:val="tx1"/>
            </w14:solidFill>
          </w14:textFill>
        </w:rPr>
      </w:pPr>
    </w:p>
    <w:p w14:paraId="095EB2EB">
      <w:pPr>
        <w:widowControl/>
        <w:spacing w:line="300" w:lineRule="auto"/>
        <w:jc w:val="left"/>
        <w:rPr>
          <w:rFonts w:hint="eastAsia"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注：小数点后两位，小数点后第三位“四舍五入”。</w:t>
      </w:r>
    </w:p>
    <w:p w14:paraId="658086FB">
      <w:pPr>
        <w:pStyle w:val="3"/>
        <w:jc w:val="center"/>
        <w:rPr>
          <w:rFonts w:hint="eastAsia" w:ascii="宋体" w:hAnsi="宋体" w:eastAsia="宋体" w:cs="宋体"/>
          <w:color w:val="000000" w:themeColor="text1"/>
          <w14:textFill>
            <w14:solidFill>
              <w14:schemeClr w14:val="tx1"/>
            </w14:solidFill>
          </w14:textFill>
        </w:rPr>
      </w:pPr>
      <w:bookmarkStart w:id="1719" w:name="_Toc20090"/>
      <w:bookmarkStart w:id="1720" w:name="_Toc247527828"/>
      <w:bookmarkStart w:id="1721" w:name="_Toc144974857"/>
      <w:bookmarkStart w:id="1722" w:name="_Toc152045788"/>
      <w:bookmarkStart w:id="1723" w:name="_Toc7811"/>
      <w:bookmarkStart w:id="1724" w:name="_Toc54190086"/>
      <w:bookmarkStart w:id="1725" w:name="_Toc152042577"/>
      <w:bookmarkStart w:id="1726" w:name="_Toc247514247"/>
      <w:bookmarkStart w:id="1727" w:name="_Toc20649"/>
      <w:r>
        <w:rPr>
          <w:rFonts w:hint="eastAsia" w:ascii="宋体" w:hAnsi="宋体" w:eastAsia="宋体" w:cs="宋体"/>
          <w:color w:val="000000" w:themeColor="text1"/>
          <w14:textFill>
            <w14:solidFill>
              <w14:schemeClr w14:val="tx1"/>
            </w14:solidFill>
          </w14:textFill>
        </w:rPr>
        <w:t>二、投标函及投标函附录</w:t>
      </w:r>
      <w:bookmarkEnd w:id="1719"/>
      <w:bookmarkEnd w:id="1720"/>
      <w:bookmarkEnd w:id="1721"/>
      <w:bookmarkEnd w:id="1722"/>
      <w:bookmarkEnd w:id="1723"/>
      <w:bookmarkEnd w:id="1724"/>
      <w:bookmarkEnd w:id="1725"/>
      <w:bookmarkEnd w:id="1726"/>
      <w:bookmarkEnd w:id="1727"/>
    </w:p>
    <w:p w14:paraId="7FB20114">
      <w:pPr>
        <w:pStyle w:val="4"/>
        <w:ind w:firstLine="138"/>
        <w:jc w:val="center"/>
        <w:rPr>
          <w:rFonts w:hint="eastAsia" w:ascii="宋体" w:eastAsia="宋体" w:cs="宋体"/>
          <w:b/>
          <w:color w:val="000000" w:themeColor="text1"/>
          <w14:textFill>
            <w14:solidFill>
              <w14:schemeClr w14:val="tx1"/>
            </w14:solidFill>
          </w14:textFill>
        </w:rPr>
      </w:pPr>
      <w:bookmarkStart w:id="1728" w:name="_Toc152042578"/>
      <w:bookmarkStart w:id="1729" w:name="_Toc144974858"/>
      <w:bookmarkStart w:id="1730" w:name="_Toc247527829"/>
      <w:bookmarkStart w:id="1731" w:name="_Toc247514248"/>
      <w:bookmarkStart w:id="1732" w:name="_Toc54190087"/>
      <w:bookmarkStart w:id="1733" w:name="_Toc8181"/>
      <w:bookmarkStart w:id="1734" w:name="_Toc152045789"/>
      <w:bookmarkStart w:id="1735" w:name="_Toc11263"/>
      <w:bookmarkStart w:id="1736" w:name="_Toc9162"/>
      <w:r>
        <w:rPr>
          <w:rFonts w:hint="eastAsia" w:ascii="宋体" w:eastAsia="宋体" w:cs="宋体"/>
          <w:b/>
          <w:color w:val="000000" w:themeColor="text1"/>
          <w14:textFill>
            <w14:solidFill>
              <w14:schemeClr w14:val="tx1"/>
            </w14:solidFill>
          </w14:textFill>
        </w:rPr>
        <w:t>（一）投标函</w:t>
      </w:r>
      <w:bookmarkEnd w:id="1728"/>
      <w:bookmarkEnd w:id="1729"/>
      <w:bookmarkEnd w:id="1730"/>
      <w:bookmarkEnd w:id="1731"/>
      <w:bookmarkEnd w:id="1732"/>
      <w:bookmarkEnd w:id="1733"/>
      <w:bookmarkEnd w:id="1734"/>
      <w:bookmarkEnd w:id="1735"/>
      <w:bookmarkEnd w:id="1736"/>
    </w:p>
    <w:p w14:paraId="60C74EC9">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（招标人名称）：</w:t>
      </w:r>
    </w:p>
    <w:p w14:paraId="57788885">
      <w:pPr>
        <w:spacing w:line="440" w:lineRule="exact"/>
        <w:ind w:firstLine="42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1．我方已仔细研究了</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u w:val="single"/>
          <w:lang w:eastAsia="zh-CN"/>
          <w14:textFill>
            <w14:solidFill>
              <w14:schemeClr w14:val="tx1"/>
            </w14:solidFill>
          </w14:textFill>
        </w:rPr>
        <w:t>（项目名称）</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招标文件的全部内容，愿以</w:t>
      </w:r>
      <w:r>
        <w:rPr>
          <w:rFonts w:hint="eastAsia" w:ascii="宋体" w:hAnsi="宋体" w:cs="宋体"/>
          <w:color w:val="000000" w:themeColor="text1"/>
          <w:kern w:val="0"/>
          <w:szCs w:val="21"/>
          <w14:textFill>
            <w14:solidFill>
              <w14:schemeClr w14:val="tx1"/>
            </w14:solidFill>
          </w14:textFill>
        </w:rPr>
        <w:t>勘察费优惠率</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设计费优惠率</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w:t>
      </w:r>
      <w:r>
        <w:rPr>
          <w:rFonts w:hint="eastAsia" w:ascii="宋体" w:hAnsi="宋体" w:cs="宋体"/>
          <w:bCs/>
          <w:color w:val="000000" w:themeColor="text1"/>
          <w:szCs w:val="21"/>
          <w14:textFill>
            <w14:solidFill>
              <w14:schemeClr w14:val="tx1"/>
            </w14:solidFill>
          </w14:textFill>
        </w:rPr>
        <w:t>建筑安装工程费</w:t>
      </w:r>
      <w:r>
        <w:rPr>
          <w:rFonts w:hint="eastAsia" w:ascii="宋体" w:hAnsi="宋体" w:cs="宋体"/>
          <w:color w:val="000000" w:themeColor="text1"/>
          <w:szCs w:val="21"/>
          <w14:textFill>
            <w14:solidFill>
              <w14:schemeClr w14:val="tx1"/>
            </w14:solidFill>
          </w14:textFill>
        </w:rPr>
        <w:t>结算优惠率</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作为本次投标报价，工期</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，按合同约定进行勘察、设计、</w:t>
      </w:r>
      <w:r>
        <w:rPr>
          <w:rFonts w:hint="eastAsia" w:ascii="宋体" w:hAnsi="宋体" w:cs="宋体"/>
          <w:color w:val="000000" w:themeColor="text1"/>
          <w:szCs w:val="21"/>
          <w:lang w:val="en-US" w:eastAsia="zh-CN"/>
          <w14:textFill>
            <w14:solidFill>
              <w14:schemeClr w14:val="tx1"/>
            </w14:solidFill>
          </w14:textFill>
        </w:rPr>
        <w:t>采购和施工</w:t>
      </w:r>
      <w:r>
        <w:rPr>
          <w:rFonts w:hint="eastAsia" w:ascii="宋体" w:hAnsi="宋体" w:cs="宋体"/>
          <w:color w:val="000000" w:themeColor="text1"/>
          <w:szCs w:val="21"/>
          <w14:textFill>
            <w14:solidFill>
              <w14:schemeClr w14:val="tx1"/>
            </w14:solidFill>
          </w14:textFill>
        </w:rPr>
        <w:t>实施和竣工承包工程，修补工程中的任何缺陷，实现工程目的。</w:t>
      </w:r>
    </w:p>
    <w:p w14:paraId="2C4B4ABD">
      <w:pPr>
        <w:spacing w:line="440" w:lineRule="exact"/>
        <w:ind w:firstLine="42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2．我方承诺在招标文件规定的投标有效期内不修改、撤销投标文件。</w:t>
      </w:r>
    </w:p>
    <w:p w14:paraId="5C8788E0">
      <w:pPr>
        <w:spacing w:line="440" w:lineRule="exact"/>
        <w:ind w:firstLine="42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3．随同本投标函提交投标保证金一份，金额为人民币（大写）</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p>
    <w:p w14:paraId="2BDDF179">
      <w:pPr>
        <w:spacing w:line="440" w:lineRule="exact"/>
        <w:ind w:firstLine="42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4．如我方中标：</w:t>
      </w:r>
    </w:p>
    <w:p w14:paraId="25F70F4B">
      <w:pPr>
        <w:spacing w:line="440" w:lineRule="exact"/>
        <w:ind w:firstLine="718" w:firstLineChars="342"/>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（1）我方承诺在收到中标通知书后，在中标通知书规定的期限内与你方签订合同。</w:t>
      </w:r>
    </w:p>
    <w:p w14:paraId="28077C50">
      <w:pPr>
        <w:spacing w:line="440" w:lineRule="exact"/>
        <w:ind w:firstLine="718" w:firstLineChars="342"/>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（2）随同本投标函递交的投标函附录属于合同文件的组成部分。</w:t>
      </w:r>
    </w:p>
    <w:p w14:paraId="1B1B68B9">
      <w:pPr>
        <w:spacing w:line="440" w:lineRule="exact"/>
        <w:ind w:firstLine="718" w:firstLineChars="342"/>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（3）我方承诺按照招标文件规定向你方递交履约担保。</w:t>
      </w:r>
    </w:p>
    <w:p w14:paraId="1E301744">
      <w:pPr>
        <w:spacing w:line="440" w:lineRule="exact"/>
        <w:ind w:firstLine="718" w:firstLineChars="342"/>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（4）我方承诺在合同约定的期限内完成并移交全部合同工程。</w:t>
      </w:r>
    </w:p>
    <w:p w14:paraId="1EF6412E">
      <w:pPr>
        <w:spacing w:line="440" w:lineRule="exact"/>
        <w:ind w:firstLine="42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w:t>
      </w:r>
      <w:r>
        <w:rPr>
          <w:rFonts w:hint="eastAsia" w:ascii="宋体" w:hAnsi="宋体" w:cs="宋体"/>
          <w:color w:val="000000" w:themeColor="text1"/>
          <w14:textFill>
            <w14:solidFill>
              <w14:schemeClr w14:val="tx1"/>
            </w14:solidFill>
          </w14:textFill>
        </w:rPr>
        <w:t>我方在此声明，所递交的投标文件及有关资料内容完整、真实和准确，且不存在第二章“投标人须知”第1.4.3项和第1.4.4项规定的任何一种情形。</w:t>
      </w:r>
    </w:p>
    <w:p w14:paraId="74285DAF">
      <w:pPr>
        <w:spacing w:line="440" w:lineRule="exact"/>
        <w:ind w:firstLine="42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6．（其他补充说明）。</w:t>
      </w:r>
    </w:p>
    <w:p w14:paraId="7BC5FEAF">
      <w:pPr>
        <w:spacing w:line="440" w:lineRule="exact"/>
        <w:ind w:firstLine="3675" w:firstLineChars="1750"/>
        <w:rPr>
          <w:rFonts w:hint="eastAsia" w:ascii="宋体" w:hAnsi="宋体" w:cs="宋体"/>
          <w:color w:val="000000" w:themeColor="text1"/>
          <w:szCs w:val="21"/>
          <w14:textFill>
            <w14:solidFill>
              <w14:schemeClr w14:val="tx1"/>
            </w14:solidFill>
          </w14:textFill>
        </w:rPr>
      </w:pPr>
    </w:p>
    <w:p w14:paraId="06F362B2">
      <w:pPr>
        <w:spacing w:line="440" w:lineRule="exact"/>
        <w:ind w:firstLine="2520" w:firstLineChars="1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电子签章</w:t>
      </w:r>
      <w:r>
        <w:rPr>
          <w:rFonts w:hint="eastAsia" w:ascii="宋体" w:hAnsi="宋体" w:cs="宋体"/>
          <w:color w:val="000000" w:themeColor="text1"/>
          <w:szCs w:val="21"/>
          <w14:textFill>
            <w14:solidFill>
              <w14:schemeClr w14:val="tx1"/>
            </w14:solidFill>
          </w14:textFill>
        </w:rPr>
        <w:t>）</w:t>
      </w:r>
    </w:p>
    <w:p w14:paraId="68B0B75C">
      <w:pPr>
        <w:spacing w:line="440" w:lineRule="exact"/>
        <w:ind w:firstLine="2520" w:firstLineChars="1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投标人法定代表人或其委托人：</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（电子签章）</w:t>
      </w:r>
    </w:p>
    <w:p w14:paraId="3391665C">
      <w:pPr>
        <w:spacing w:line="440" w:lineRule="exact"/>
        <w:ind w:firstLine="2520" w:firstLineChars="1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地址：</w:t>
      </w:r>
    </w:p>
    <w:p w14:paraId="7858863C">
      <w:pPr>
        <w:spacing w:line="440" w:lineRule="exact"/>
        <w:ind w:firstLine="2520" w:firstLineChars="1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网址：</w:t>
      </w:r>
    </w:p>
    <w:p w14:paraId="764CD584">
      <w:pPr>
        <w:spacing w:line="440" w:lineRule="exact"/>
        <w:ind w:firstLine="2520" w:firstLineChars="1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电话：</w:t>
      </w:r>
    </w:p>
    <w:p w14:paraId="4A255461">
      <w:pPr>
        <w:spacing w:line="440" w:lineRule="exact"/>
        <w:ind w:firstLine="2520" w:firstLineChars="1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传真：</w:t>
      </w:r>
    </w:p>
    <w:p w14:paraId="27D11FBE">
      <w:pPr>
        <w:spacing w:line="440" w:lineRule="exact"/>
        <w:ind w:firstLine="2520" w:firstLineChars="1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邮政编码：</w:t>
      </w:r>
    </w:p>
    <w:p w14:paraId="5BD1F559">
      <w:pPr>
        <w:pStyle w:val="16"/>
        <w:ind w:firstLine="2520" w:firstLineChars="1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日   期：</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日</w:t>
      </w:r>
    </w:p>
    <w:p w14:paraId="4F4CF2EE">
      <w:pPr>
        <w:spacing w:line="320" w:lineRule="exact"/>
        <w:rPr>
          <w:rFonts w:hint="eastAsia" w:ascii="宋体" w:hAnsi="宋体" w:cs="宋体"/>
          <w:b/>
          <w:caps/>
          <w:color w:val="000000" w:themeColor="text1"/>
          <w:szCs w:val="21"/>
          <w14:textFill>
            <w14:solidFill>
              <w14:schemeClr w14:val="tx1"/>
            </w14:solidFill>
          </w14:textFill>
        </w:rPr>
      </w:pPr>
    </w:p>
    <w:p w14:paraId="354BE4B8">
      <w:pPr>
        <w:spacing w:line="400" w:lineRule="exact"/>
        <w:ind w:left="1124" w:hanging="1120" w:hangingChars="400"/>
        <w:rPr>
          <w:rFonts w:hint="eastAsia" w:ascii="宋体" w:hAnsi="宋体" w:cs="宋体"/>
          <w:b/>
          <w:caps/>
          <w:color w:val="000000" w:themeColor="text1"/>
          <w:sz w:val="28"/>
          <w:szCs w:val="28"/>
          <w14:textFill>
            <w14:solidFill>
              <w14:schemeClr w14:val="tx1"/>
            </w14:solidFill>
          </w14:textFill>
        </w:rPr>
      </w:pPr>
    </w:p>
    <w:p w14:paraId="443D6648">
      <w:pPr>
        <w:spacing w:line="400" w:lineRule="exact"/>
        <w:ind w:left="1124" w:hanging="960" w:hangingChars="400"/>
        <w:rPr>
          <w:rFonts w:hint="eastAsia" w:ascii="宋体" w:hAnsi="宋体" w:cs="宋体"/>
          <w:b/>
          <w:caps/>
          <w:color w:val="000000" w:themeColor="text1"/>
          <w:sz w:val="24"/>
          <w:szCs w:val="24"/>
          <w14:textFill>
            <w14:solidFill>
              <w14:schemeClr w14:val="tx1"/>
            </w14:solidFill>
          </w14:textFill>
        </w:rPr>
      </w:pPr>
      <w:r>
        <w:rPr>
          <w:rFonts w:hint="eastAsia" w:ascii="宋体" w:hAnsi="宋体" w:cs="宋体"/>
          <w:b/>
          <w:caps/>
          <w:color w:val="000000" w:themeColor="text1"/>
          <w:sz w:val="24"/>
          <w:szCs w:val="24"/>
          <w14:textFill>
            <w14:solidFill>
              <w14:schemeClr w14:val="tx1"/>
            </w14:solidFill>
          </w14:textFill>
        </w:rPr>
        <w:t>注：1、投标人的投标报价中如果涉及报价内容不一致时，以投标函报价为准。</w:t>
      </w:r>
    </w:p>
    <w:p w14:paraId="27CF3072">
      <w:pPr>
        <w:spacing w:line="400" w:lineRule="exact"/>
        <w:ind w:firstLine="480" w:firstLineChars="200"/>
        <w:rPr>
          <w:rFonts w:hint="eastAsia" w:ascii="宋体" w:hAnsi="宋体" w:cs="宋体"/>
          <w:b/>
          <w:caps/>
          <w:color w:val="000000" w:themeColor="text1"/>
          <w:sz w:val="24"/>
          <w:szCs w:val="24"/>
          <w14:textFill>
            <w14:solidFill>
              <w14:schemeClr w14:val="tx1"/>
            </w14:solidFill>
          </w14:textFill>
        </w:rPr>
      </w:pPr>
      <w:r>
        <w:rPr>
          <w:rFonts w:hint="eastAsia" w:ascii="宋体" w:hAnsi="宋体" w:cs="宋体"/>
          <w:b/>
          <w:caps/>
          <w:color w:val="000000" w:themeColor="text1"/>
          <w:sz w:val="24"/>
          <w:szCs w:val="24"/>
          <w14:textFill>
            <w14:solidFill>
              <w14:schemeClr w14:val="tx1"/>
            </w14:solidFill>
          </w14:textFill>
        </w:rPr>
        <w:t>2、牵头人提供。</w:t>
      </w:r>
    </w:p>
    <w:p w14:paraId="73BCFA86">
      <w:pPr>
        <w:pStyle w:val="4"/>
        <w:ind w:firstLine="0" w:firstLineChars="0"/>
        <w:jc w:val="center"/>
        <w:rPr>
          <w:rFonts w:hint="eastAsia" w:ascii="宋体" w:eastAsia="宋体" w:cs="宋体"/>
          <w:color w:val="000000" w:themeColor="text1"/>
          <w14:textFill>
            <w14:solidFill>
              <w14:schemeClr w14:val="tx1"/>
            </w14:solidFill>
          </w14:textFill>
        </w:rPr>
      </w:pPr>
      <w:bookmarkStart w:id="1737" w:name="_Toc10059"/>
      <w:bookmarkStart w:id="1738" w:name="_Toc54190088"/>
      <w:bookmarkStart w:id="1739" w:name="_Toc144974859"/>
      <w:bookmarkStart w:id="1740" w:name="_Toc24123"/>
      <w:bookmarkStart w:id="1741" w:name="_Toc9771"/>
      <w:bookmarkStart w:id="1742" w:name="_Toc247514249"/>
      <w:bookmarkStart w:id="1743" w:name="_Toc152045790"/>
      <w:bookmarkStart w:id="1744" w:name="_Toc247527830"/>
      <w:bookmarkStart w:id="1745" w:name="_Toc152042579"/>
      <w:r>
        <w:rPr>
          <w:rFonts w:hint="eastAsia" w:ascii="宋体" w:eastAsia="宋体" w:cs="宋体"/>
          <w:color w:val="000000" w:themeColor="text1"/>
          <w14:textFill>
            <w14:solidFill>
              <w14:schemeClr w14:val="tx1"/>
            </w14:solidFill>
          </w14:textFill>
        </w:rPr>
        <w:t>（二）投标函附录</w:t>
      </w:r>
      <w:bookmarkEnd w:id="1737"/>
      <w:bookmarkEnd w:id="1738"/>
      <w:bookmarkEnd w:id="1739"/>
      <w:bookmarkEnd w:id="1740"/>
      <w:bookmarkEnd w:id="1741"/>
      <w:bookmarkEnd w:id="1742"/>
      <w:bookmarkEnd w:id="1743"/>
      <w:bookmarkEnd w:id="1744"/>
      <w:bookmarkEnd w:id="1745"/>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0"/>
        <w:gridCol w:w="2761"/>
        <w:gridCol w:w="3228"/>
        <w:gridCol w:w="950"/>
      </w:tblGrid>
      <w:tr w14:paraId="2B9A7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730" w:type="dxa"/>
            <w:vAlign w:val="center"/>
          </w:tcPr>
          <w:p w14:paraId="60AFB630">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序号</w:t>
            </w:r>
          </w:p>
        </w:tc>
        <w:tc>
          <w:tcPr>
            <w:tcW w:w="2761" w:type="dxa"/>
            <w:vAlign w:val="center"/>
          </w:tcPr>
          <w:p w14:paraId="36181F86">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条款名称</w:t>
            </w:r>
          </w:p>
        </w:tc>
        <w:tc>
          <w:tcPr>
            <w:tcW w:w="3228" w:type="dxa"/>
            <w:vAlign w:val="center"/>
          </w:tcPr>
          <w:p w14:paraId="00BF5FFD">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约定内容</w:t>
            </w:r>
          </w:p>
        </w:tc>
        <w:tc>
          <w:tcPr>
            <w:tcW w:w="950" w:type="dxa"/>
            <w:vAlign w:val="center"/>
          </w:tcPr>
          <w:p w14:paraId="608F68BB">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备注</w:t>
            </w:r>
          </w:p>
        </w:tc>
      </w:tr>
      <w:tr w14:paraId="2FF64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1730" w:type="dxa"/>
            <w:vAlign w:val="center"/>
          </w:tcPr>
          <w:p w14:paraId="20AEAE1E">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p>
        </w:tc>
        <w:tc>
          <w:tcPr>
            <w:tcW w:w="2761" w:type="dxa"/>
            <w:vAlign w:val="center"/>
          </w:tcPr>
          <w:p w14:paraId="452604B5">
            <w:pPr>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项目经理     </w:t>
            </w:r>
          </w:p>
        </w:tc>
        <w:tc>
          <w:tcPr>
            <w:tcW w:w="3228" w:type="dxa"/>
            <w:vAlign w:val="center"/>
          </w:tcPr>
          <w:p w14:paraId="7912E804">
            <w:pPr>
              <w:widowControl/>
              <w:spacing w:line="400" w:lineRule="exac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姓    名：                                  </w:t>
            </w:r>
          </w:p>
          <w:p w14:paraId="7EAFDA69">
            <w:pPr>
              <w:widowControl/>
              <w:spacing w:line="400" w:lineRule="exac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证书名称：               </w:t>
            </w:r>
          </w:p>
          <w:p w14:paraId="2CBF9C47">
            <w:pPr>
              <w:spacing w:line="400" w:lineRule="exac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注册编号：</w:t>
            </w:r>
          </w:p>
          <w:p w14:paraId="7FC65286">
            <w:pPr>
              <w:spacing w:line="400" w:lineRule="exac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联系电话：</w:t>
            </w:r>
          </w:p>
          <w:p w14:paraId="591E6761">
            <w:pP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身份证号码：</w:t>
            </w:r>
            <w:r>
              <w:rPr>
                <w:rFonts w:hint="eastAsia" w:ascii="宋体" w:hAnsi="宋体" w:cs="宋体"/>
                <w:color w:val="000000" w:themeColor="text1"/>
                <w:szCs w:val="21"/>
                <w14:textFill>
                  <w14:solidFill>
                    <w14:schemeClr w14:val="tx1"/>
                  </w14:solidFill>
                </w14:textFill>
              </w:rPr>
              <w:t xml:space="preserve">         </w:t>
            </w:r>
          </w:p>
        </w:tc>
        <w:tc>
          <w:tcPr>
            <w:tcW w:w="950" w:type="dxa"/>
            <w:vAlign w:val="center"/>
          </w:tcPr>
          <w:p w14:paraId="0B7B4A46">
            <w:pPr>
              <w:spacing w:line="440" w:lineRule="exact"/>
              <w:rPr>
                <w:rFonts w:hint="eastAsia" w:ascii="宋体" w:hAnsi="宋体" w:cs="宋体"/>
                <w:color w:val="000000" w:themeColor="text1"/>
                <w:szCs w:val="21"/>
                <w14:textFill>
                  <w14:solidFill>
                    <w14:schemeClr w14:val="tx1"/>
                  </w14:solidFill>
                </w14:textFill>
              </w:rPr>
            </w:pPr>
          </w:p>
        </w:tc>
      </w:tr>
      <w:tr w14:paraId="6F2EC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1730" w:type="dxa"/>
            <w:vAlign w:val="center"/>
          </w:tcPr>
          <w:p w14:paraId="44334E66">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p>
        </w:tc>
        <w:tc>
          <w:tcPr>
            <w:tcW w:w="2761" w:type="dxa"/>
            <w:vAlign w:val="center"/>
          </w:tcPr>
          <w:p w14:paraId="2C97ABFE">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勘察负责人</w:t>
            </w:r>
          </w:p>
        </w:tc>
        <w:tc>
          <w:tcPr>
            <w:tcW w:w="3228" w:type="dxa"/>
            <w:vAlign w:val="center"/>
          </w:tcPr>
          <w:p w14:paraId="7BD3729C">
            <w:pPr>
              <w:widowControl/>
              <w:spacing w:line="400" w:lineRule="exac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姓    名：                                  </w:t>
            </w:r>
          </w:p>
          <w:p w14:paraId="4D294AA1">
            <w:pPr>
              <w:widowControl/>
              <w:spacing w:line="400" w:lineRule="exac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证书名称：               </w:t>
            </w:r>
          </w:p>
          <w:p w14:paraId="520793CE">
            <w:pPr>
              <w:spacing w:line="400" w:lineRule="exac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注册编号：</w:t>
            </w:r>
          </w:p>
          <w:p w14:paraId="275E5955">
            <w:pPr>
              <w:spacing w:line="400" w:lineRule="exac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联系电话：</w:t>
            </w:r>
          </w:p>
          <w:p w14:paraId="528EABF3">
            <w:pPr>
              <w:spacing w:line="400" w:lineRule="exac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身份证号码：</w:t>
            </w:r>
            <w:r>
              <w:rPr>
                <w:rFonts w:hint="eastAsia" w:ascii="宋体" w:hAnsi="宋体" w:cs="宋体"/>
                <w:color w:val="000000" w:themeColor="text1"/>
                <w:szCs w:val="21"/>
                <w14:textFill>
                  <w14:solidFill>
                    <w14:schemeClr w14:val="tx1"/>
                  </w14:solidFill>
                </w14:textFill>
              </w:rPr>
              <w:t xml:space="preserve">   </w:t>
            </w:r>
          </w:p>
        </w:tc>
        <w:tc>
          <w:tcPr>
            <w:tcW w:w="950" w:type="dxa"/>
            <w:vAlign w:val="center"/>
          </w:tcPr>
          <w:p w14:paraId="2ED4B6B8">
            <w:pPr>
              <w:spacing w:line="440" w:lineRule="exact"/>
              <w:rPr>
                <w:rFonts w:hint="eastAsia" w:ascii="宋体" w:hAnsi="宋体" w:cs="宋体"/>
                <w:color w:val="000000" w:themeColor="text1"/>
                <w:szCs w:val="21"/>
                <w14:textFill>
                  <w14:solidFill>
                    <w14:schemeClr w14:val="tx1"/>
                  </w14:solidFill>
                </w14:textFill>
              </w:rPr>
            </w:pPr>
          </w:p>
        </w:tc>
      </w:tr>
      <w:tr w14:paraId="33F92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1730" w:type="dxa"/>
            <w:vAlign w:val="center"/>
          </w:tcPr>
          <w:p w14:paraId="313DD64A">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w:t>
            </w:r>
          </w:p>
        </w:tc>
        <w:tc>
          <w:tcPr>
            <w:tcW w:w="2761" w:type="dxa"/>
            <w:vAlign w:val="center"/>
          </w:tcPr>
          <w:p w14:paraId="34C45709">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设计负责人</w:t>
            </w:r>
          </w:p>
        </w:tc>
        <w:tc>
          <w:tcPr>
            <w:tcW w:w="3228" w:type="dxa"/>
            <w:vAlign w:val="center"/>
          </w:tcPr>
          <w:p w14:paraId="305420E1">
            <w:pPr>
              <w:widowControl/>
              <w:spacing w:line="400" w:lineRule="exac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姓    名：                                  </w:t>
            </w:r>
          </w:p>
          <w:p w14:paraId="720F3A08">
            <w:pPr>
              <w:widowControl/>
              <w:spacing w:line="400" w:lineRule="exac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证书名称：               </w:t>
            </w:r>
          </w:p>
          <w:p w14:paraId="6489A7D6">
            <w:pPr>
              <w:spacing w:line="400" w:lineRule="exac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注册编号：</w:t>
            </w:r>
          </w:p>
          <w:p w14:paraId="6401C475">
            <w:pPr>
              <w:spacing w:line="400" w:lineRule="exac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联系电话：</w:t>
            </w:r>
          </w:p>
          <w:p w14:paraId="0744BC5B">
            <w:pP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身份证号码：</w:t>
            </w:r>
            <w:r>
              <w:rPr>
                <w:rFonts w:hint="eastAsia" w:ascii="宋体" w:hAnsi="宋体" w:cs="宋体"/>
                <w:color w:val="000000" w:themeColor="text1"/>
                <w:szCs w:val="21"/>
                <w14:textFill>
                  <w14:solidFill>
                    <w14:schemeClr w14:val="tx1"/>
                  </w14:solidFill>
                </w14:textFill>
              </w:rPr>
              <w:t xml:space="preserve">   </w:t>
            </w:r>
          </w:p>
        </w:tc>
        <w:tc>
          <w:tcPr>
            <w:tcW w:w="950" w:type="dxa"/>
            <w:vAlign w:val="center"/>
          </w:tcPr>
          <w:p w14:paraId="2B9D95C6">
            <w:pPr>
              <w:spacing w:line="440" w:lineRule="exact"/>
              <w:ind w:firstLine="718" w:firstLineChars="342"/>
              <w:rPr>
                <w:rFonts w:hint="eastAsia" w:ascii="宋体" w:hAnsi="宋体" w:cs="宋体"/>
                <w:color w:val="000000" w:themeColor="text1"/>
                <w:szCs w:val="21"/>
                <w14:textFill>
                  <w14:solidFill>
                    <w14:schemeClr w14:val="tx1"/>
                  </w14:solidFill>
                </w14:textFill>
              </w:rPr>
            </w:pPr>
          </w:p>
        </w:tc>
      </w:tr>
      <w:tr w14:paraId="78F5B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1730" w:type="dxa"/>
            <w:vAlign w:val="center"/>
          </w:tcPr>
          <w:p w14:paraId="25E1099D">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w:t>
            </w:r>
          </w:p>
        </w:tc>
        <w:tc>
          <w:tcPr>
            <w:tcW w:w="2761" w:type="dxa"/>
            <w:vAlign w:val="center"/>
          </w:tcPr>
          <w:p w14:paraId="3733DA18">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施工负责人</w:t>
            </w:r>
          </w:p>
        </w:tc>
        <w:tc>
          <w:tcPr>
            <w:tcW w:w="3228" w:type="dxa"/>
            <w:vAlign w:val="center"/>
          </w:tcPr>
          <w:p w14:paraId="6EEEECA0">
            <w:pPr>
              <w:widowControl/>
              <w:spacing w:line="400" w:lineRule="exac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姓    名：                                  </w:t>
            </w:r>
          </w:p>
          <w:p w14:paraId="4F407CFE">
            <w:pPr>
              <w:widowControl/>
              <w:spacing w:line="400" w:lineRule="exac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证书名称：               </w:t>
            </w:r>
          </w:p>
          <w:p w14:paraId="191B77D0">
            <w:pPr>
              <w:spacing w:line="400" w:lineRule="exac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证书编号：</w:t>
            </w:r>
          </w:p>
          <w:p w14:paraId="05E14C19">
            <w:pP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联系电话：</w:t>
            </w:r>
            <w:r>
              <w:rPr>
                <w:rFonts w:hint="eastAsia" w:ascii="宋体" w:hAnsi="宋体" w:cs="宋体"/>
                <w:color w:val="000000" w:themeColor="text1"/>
                <w:szCs w:val="21"/>
                <w14:textFill>
                  <w14:solidFill>
                    <w14:schemeClr w14:val="tx1"/>
                  </w14:solidFill>
                </w14:textFill>
              </w:rPr>
              <w:t xml:space="preserve"> </w:t>
            </w:r>
          </w:p>
          <w:p w14:paraId="38BDB832">
            <w:pP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身份证号码：</w:t>
            </w:r>
            <w:r>
              <w:rPr>
                <w:rFonts w:hint="eastAsia" w:ascii="宋体" w:hAnsi="宋体" w:cs="宋体"/>
                <w:color w:val="000000" w:themeColor="text1"/>
                <w:szCs w:val="21"/>
                <w14:textFill>
                  <w14:solidFill>
                    <w14:schemeClr w14:val="tx1"/>
                  </w14:solidFill>
                </w14:textFill>
              </w:rPr>
              <w:t xml:space="preserve">  </w:t>
            </w:r>
          </w:p>
        </w:tc>
        <w:tc>
          <w:tcPr>
            <w:tcW w:w="950" w:type="dxa"/>
            <w:vAlign w:val="center"/>
          </w:tcPr>
          <w:p w14:paraId="38C20E05">
            <w:pPr>
              <w:spacing w:line="440" w:lineRule="exact"/>
              <w:ind w:firstLine="718" w:firstLineChars="342"/>
              <w:rPr>
                <w:rFonts w:hint="eastAsia" w:ascii="宋体" w:hAnsi="宋体" w:cs="宋体"/>
                <w:color w:val="000000" w:themeColor="text1"/>
                <w:szCs w:val="21"/>
                <w14:textFill>
                  <w14:solidFill>
                    <w14:schemeClr w14:val="tx1"/>
                  </w14:solidFill>
                </w14:textFill>
              </w:rPr>
            </w:pPr>
          </w:p>
        </w:tc>
      </w:tr>
      <w:tr w14:paraId="3F68C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1730" w:type="dxa"/>
            <w:vAlign w:val="center"/>
          </w:tcPr>
          <w:p w14:paraId="38D963AF">
            <w:pPr>
              <w:jc w:val="center"/>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5</w:t>
            </w:r>
          </w:p>
        </w:tc>
        <w:tc>
          <w:tcPr>
            <w:tcW w:w="2761" w:type="dxa"/>
            <w:vAlign w:val="center"/>
          </w:tcPr>
          <w:p w14:paraId="2F1FB148">
            <w:pPr>
              <w:jc w:val="center"/>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设备项目负责人</w:t>
            </w:r>
          </w:p>
        </w:tc>
        <w:tc>
          <w:tcPr>
            <w:tcW w:w="3228" w:type="dxa"/>
            <w:vAlign w:val="center"/>
          </w:tcPr>
          <w:p w14:paraId="6ACFC63C">
            <w:pPr>
              <w:widowControl/>
              <w:spacing w:line="400" w:lineRule="exac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姓    名：                                  </w:t>
            </w:r>
          </w:p>
          <w:p w14:paraId="539A3FE2">
            <w:pPr>
              <w:widowControl/>
              <w:spacing w:line="400" w:lineRule="exac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证书名称：               </w:t>
            </w:r>
          </w:p>
          <w:p w14:paraId="16E4B179">
            <w:pPr>
              <w:spacing w:line="400" w:lineRule="exac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证书编号：</w:t>
            </w:r>
          </w:p>
          <w:p w14:paraId="57B8362D">
            <w:pP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联系电话：</w:t>
            </w:r>
            <w:r>
              <w:rPr>
                <w:rFonts w:hint="eastAsia" w:ascii="宋体" w:hAnsi="宋体" w:cs="宋体"/>
                <w:color w:val="000000" w:themeColor="text1"/>
                <w:szCs w:val="21"/>
                <w14:textFill>
                  <w14:solidFill>
                    <w14:schemeClr w14:val="tx1"/>
                  </w14:solidFill>
                </w14:textFill>
              </w:rPr>
              <w:t xml:space="preserve"> </w:t>
            </w:r>
          </w:p>
          <w:p w14:paraId="3F8266A8">
            <w:pPr>
              <w:spacing w:line="400" w:lineRule="exac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身份证号码：</w:t>
            </w:r>
            <w:r>
              <w:rPr>
                <w:rFonts w:hint="eastAsia" w:ascii="宋体" w:hAnsi="宋体" w:cs="宋体"/>
                <w:color w:val="000000" w:themeColor="text1"/>
                <w:szCs w:val="21"/>
                <w14:textFill>
                  <w14:solidFill>
                    <w14:schemeClr w14:val="tx1"/>
                  </w14:solidFill>
                </w14:textFill>
              </w:rPr>
              <w:t xml:space="preserve"> </w:t>
            </w:r>
          </w:p>
        </w:tc>
        <w:tc>
          <w:tcPr>
            <w:tcW w:w="950" w:type="dxa"/>
            <w:vAlign w:val="center"/>
          </w:tcPr>
          <w:p w14:paraId="19FF3005">
            <w:pPr>
              <w:spacing w:line="440" w:lineRule="exact"/>
              <w:ind w:firstLine="718" w:firstLineChars="342"/>
              <w:rPr>
                <w:rFonts w:hint="eastAsia" w:ascii="宋体" w:hAnsi="宋体" w:cs="宋体"/>
                <w:color w:val="000000" w:themeColor="text1"/>
                <w:szCs w:val="21"/>
                <w14:textFill>
                  <w14:solidFill>
                    <w14:schemeClr w14:val="tx1"/>
                  </w14:solidFill>
                </w14:textFill>
              </w:rPr>
            </w:pPr>
          </w:p>
        </w:tc>
      </w:tr>
      <w:tr w14:paraId="4083A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1730" w:type="dxa"/>
            <w:vAlign w:val="center"/>
          </w:tcPr>
          <w:p w14:paraId="6AF706BA">
            <w:pPr>
              <w:jc w:val="center"/>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6</w:t>
            </w:r>
          </w:p>
        </w:tc>
        <w:tc>
          <w:tcPr>
            <w:tcW w:w="2761" w:type="dxa"/>
            <w:vAlign w:val="center"/>
          </w:tcPr>
          <w:p w14:paraId="461CA7E5">
            <w:pPr>
              <w:jc w:val="center"/>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新能源项目负责人</w:t>
            </w:r>
          </w:p>
        </w:tc>
        <w:tc>
          <w:tcPr>
            <w:tcW w:w="3228" w:type="dxa"/>
            <w:vAlign w:val="center"/>
          </w:tcPr>
          <w:p w14:paraId="55D10A7E">
            <w:pPr>
              <w:widowControl/>
              <w:spacing w:line="400" w:lineRule="exac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姓    名：                                  </w:t>
            </w:r>
          </w:p>
          <w:p w14:paraId="794B18EE">
            <w:pPr>
              <w:widowControl/>
              <w:spacing w:line="400" w:lineRule="exac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证书名称：               </w:t>
            </w:r>
          </w:p>
          <w:p w14:paraId="1FA8482E">
            <w:pPr>
              <w:spacing w:line="400" w:lineRule="exac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证书编号：</w:t>
            </w:r>
          </w:p>
          <w:p w14:paraId="0109C4EF">
            <w:pP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联系电话：</w:t>
            </w:r>
            <w:r>
              <w:rPr>
                <w:rFonts w:hint="eastAsia" w:ascii="宋体" w:hAnsi="宋体" w:cs="宋体"/>
                <w:color w:val="000000" w:themeColor="text1"/>
                <w:szCs w:val="21"/>
                <w14:textFill>
                  <w14:solidFill>
                    <w14:schemeClr w14:val="tx1"/>
                  </w14:solidFill>
                </w14:textFill>
              </w:rPr>
              <w:t xml:space="preserve"> </w:t>
            </w:r>
          </w:p>
          <w:p w14:paraId="1D23194E">
            <w:pPr>
              <w:spacing w:line="400" w:lineRule="exac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身份证号码：</w:t>
            </w:r>
            <w:r>
              <w:rPr>
                <w:rFonts w:hint="eastAsia" w:ascii="宋体" w:hAnsi="宋体" w:cs="宋体"/>
                <w:color w:val="000000" w:themeColor="text1"/>
                <w:szCs w:val="21"/>
                <w14:textFill>
                  <w14:solidFill>
                    <w14:schemeClr w14:val="tx1"/>
                  </w14:solidFill>
                </w14:textFill>
              </w:rPr>
              <w:t xml:space="preserve"> </w:t>
            </w:r>
          </w:p>
        </w:tc>
        <w:tc>
          <w:tcPr>
            <w:tcW w:w="950" w:type="dxa"/>
            <w:vAlign w:val="center"/>
          </w:tcPr>
          <w:p w14:paraId="2F84F1D6">
            <w:pPr>
              <w:spacing w:line="440" w:lineRule="exact"/>
              <w:ind w:firstLine="718" w:firstLineChars="342"/>
              <w:rPr>
                <w:rFonts w:hint="eastAsia" w:ascii="宋体" w:hAnsi="宋体" w:cs="宋体"/>
                <w:color w:val="000000" w:themeColor="text1"/>
                <w:szCs w:val="21"/>
                <w14:textFill>
                  <w14:solidFill>
                    <w14:schemeClr w14:val="tx1"/>
                  </w14:solidFill>
                </w14:textFill>
              </w:rPr>
            </w:pPr>
          </w:p>
        </w:tc>
      </w:tr>
      <w:tr w14:paraId="095F0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730" w:type="dxa"/>
            <w:vAlign w:val="center"/>
          </w:tcPr>
          <w:p w14:paraId="1F1EC771">
            <w:pPr>
              <w:jc w:val="center"/>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7</w:t>
            </w:r>
          </w:p>
        </w:tc>
        <w:tc>
          <w:tcPr>
            <w:tcW w:w="2761" w:type="dxa"/>
            <w:vAlign w:val="center"/>
          </w:tcPr>
          <w:p w14:paraId="5B84B245">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工期</w:t>
            </w:r>
          </w:p>
        </w:tc>
        <w:tc>
          <w:tcPr>
            <w:tcW w:w="3228" w:type="dxa"/>
            <w:vAlign w:val="center"/>
          </w:tcPr>
          <w:p w14:paraId="3BE5B2FD">
            <w:pPr>
              <w:spacing w:line="440" w:lineRule="exact"/>
              <w:rPr>
                <w:rFonts w:hint="eastAsia" w:ascii="宋体" w:hAnsi="宋体" w:cs="宋体"/>
                <w:color w:val="000000" w:themeColor="text1"/>
                <w:szCs w:val="21"/>
                <w14:textFill>
                  <w14:solidFill>
                    <w14:schemeClr w14:val="tx1"/>
                  </w14:solidFill>
                </w14:textFill>
              </w:rPr>
            </w:pPr>
          </w:p>
        </w:tc>
        <w:tc>
          <w:tcPr>
            <w:tcW w:w="950" w:type="dxa"/>
            <w:vAlign w:val="center"/>
          </w:tcPr>
          <w:p w14:paraId="2B9819CE">
            <w:pPr>
              <w:spacing w:line="440" w:lineRule="exact"/>
              <w:ind w:firstLine="718" w:firstLineChars="342"/>
              <w:rPr>
                <w:rFonts w:hint="eastAsia" w:ascii="宋体" w:hAnsi="宋体" w:cs="宋体"/>
                <w:color w:val="000000" w:themeColor="text1"/>
                <w:szCs w:val="21"/>
                <w14:textFill>
                  <w14:solidFill>
                    <w14:schemeClr w14:val="tx1"/>
                  </w14:solidFill>
                </w14:textFill>
              </w:rPr>
            </w:pPr>
          </w:p>
        </w:tc>
      </w:tr>
      <w:tr w14:paraId="5A9F2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730" w:type="dxa"/>
            <w:vAlign w:val="center"/>
          </w:tcPr>
          <w:p w14:paraId="23FC5B37">
            <w:pPr>
              <w:jc w:val="center"/>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8</w:t>
            </w:r>
          </w:p>
        </w:tc>
        <w:tc>
          <w:tcPr>
            <w:tcW w:w="2761" w:type="dxa"/>
            <w:vAlign w:val="center"/>
          </w:tcPr>
          <w:p w14:paraId="67596CE6">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质量标准</w:t>
            </w:r>
          </w:p>
        </w:tc>
        <w:tc>
          <w:tcPr>
            <w:tcW w:w="3228" w:type="dxa"/>
            <w:vAlign w:val="center"/>
          </w:tcPr>
          <w:p w14:paraId="17941CD8">
            <w:pPr>
              <w:spacing w:line="440" w:lineRule="exact"/>
              <w:jc w:val="center"/>
              <w:rPr>
                <w:rFonts w:hint="eastAsia" w:ascii="宋体" w:hAnsi="宋体" w:cs="宋体"/>
                <w:color w:val="000000" w:themeColor="text1"/>
                <w:szCs w:val="21"/>
                <w14:textFill>
                  <w14:solidFill>
                    <w14:schemeClr w14:val="tx1"/>
                  </w14:solidFill>
                </w14:textFill>
              </w:rPr>
            </w:pPr>
          </w:p>
        </w:tc>
        <w:tc>
          <w:tcPr>
            <w:tcW w:w="950" w:type="dxa"/>
            <w:vAlign w:val="center"/>
          </w:tcPr>
          <w:p w14:paraId="3B510328">
            <w:pPr>
              <w:spacing w:line="440" w:lineRule="exact"/>
              <w:rPr>
                <w:rFonts w:hint="eastAsia" w:ascii="宋体" w:hAnsi="宋体" w:cs="宋体"/>
                <w:color w:val="000000" w:themeColor="text1"/>
                <w:szCs w:val="21"/>
                <w14:textFill>
                  <w14:solidFill>
                    <w14:schemeClr w14:val="tx1"/>
                  </w14:solidFill>
                </w14:textFill>
              </w:rPr>
            </w:pPr>
          </w:p>
        </w:tc>
      </w:tr>
      <w:tr w14:paraId="19EFE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730" w:type="dxa"/>
            <w:vAlign w:val="center"/>
          </w:tcPr>
          <w:p w14:paraId="6525F541">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p>
        </w:tc>
        <w:tc>
          <w:tcPr>
            <w:tcW w:w="2761" w:type="dxa"/>
            <w:vAlign w:val="center"/>
          </w:tcPr>
          <w:p w14:paraId="56BF3993">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p>
        </w:tc>
        <w:tc>
          <w:tcPr>
            <w:tcW w:w="3228" w:type="dxa"/>
            <w:vAlign w:val="center"/>
          </w:tcPr>
          <w:p w14:paraId="4AA24D49">
            <w:pPr>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p>
        </w:tc>
        <w:tc>
          <w:tcPr>
            <w:tcW w:w="950" w:type="dxa"/>
            <w:vAlign w:val="center"/>
          </w:tcPr>
          <w:p w14:paraId="38CCBC5B">
            <w:pPr>
              <w:spacing w:line="440" w:lineRule="exact"/>
              <w:rPr>
                <w:rFonts w:hint="eastAsia" w:ascii="宋体" w:hAnsi="宋体" w:cs="宋体"/>
                <w:color w:val="000000" w:themeColor="text1"/>
                <w:szCs w:val="21"/>
                <w14:textFill>
                  <w14:solidFill>
                    <w14:schemeClr w14:val="tx1"/>
                  </w14:solidFill>
                </w14:textFill>
              </w:rPr>
            </w:pPr>
          </w:p>
        </w:tc>
      </w:tr>
      <w:tr w14:paraId="3E218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730" w:type="dxa"/>
          </w:tcPr>
          <w:p w14:paraId="0B1CDC70">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p>
        </w:tc>
        <w:tc>
          <w:tcPr>
            <w:tcW w:w="2761" w:type="dxa"/>
          </w:tcPr>
          <w:p w14:paraId="424D57C8">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p>
        </w:tc>
        <w:tc>
          <w:tcPr>
            <w:tcW w:w="3228" w:type="dxa"/>
            <w:vAlign w:val="center"/>
          </w:tcPr>
          <w:p w14:paraId="37FBD87C">
            <w:pPr>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p>
        </w:tc>
        <w:tc>
          <w:tcPr>
            <w:tcW w:w="950" w:type="dxa"/>
            <w:vAlign w:val="center"/>
          </w:tcPr>
          <w:p w14:paraId="23058B45">
            <w:pPr>
              <w:spacing w:line="440" w:lineRule="exact"/>
              <w:rPr>
                <w:rFonts w:hint="eastAsia" w:ascii="宋体" w:hAnsi="宋体" w:cs="宋体"/>
                <w:color w:val="000000" w:themeColor="text1"/>
                <w:szCs w:val="21"/>
                <w14:textFill>
                  <w14:solidFill>
                    <w14:schemeClr w14:val="tx1"/>
                  </w14:solidFill>
                </w14:textFill>
              </w:rPr>
            </w:pPr>
          </w:p>
        </w:tc>
      </w:tr>
    </w:tbl>
    <w:p w14:paraId="005FE4B4">
      <w:pPr>
        <w:spacing w:line="480" w:lineRule="auto"/>
        <w:ind w:firstLine="2520" w:firstLineChars="1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（电子签章）</w:t>
      </w:r>
    </w:p>
    <w:p w14:paraId="0B3B86F2">
      <w:pPr>
        <w:spacing w:line="480" w:lineRule="auto"/>
        <w:ind w:firstLine="2520" w:firstLineChars="1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投标人法定代表人或其委托人：</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（电子签章）</w:t>
      </w:r>
    </w:p>
    <w:p w14:paraId="54DC2FFE">
      <w:pPr>
        <w:spacing w:line="480" w:lineRule="auto"/>
        <w:ind w:firstLine="2520" w:firstLineChars="1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日   期：</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日</w:t>
      </w:r>
    </w:p>
    <w:p w14:paraId="79891250">
      <w:pPr>
        <w:spacing w:line="320" w:lineRule="exact"/>
        <w:rPr>
          <w:rFonts w:hint="eastAsia" w:ascii="宋体" w:hAnsi="宋体" w:cs="宋体"/>
          <w:b/>
          <w:caps/>
          <w:color w:val="000000" w:themeColor="text1"/>
          <w:szCs w:val="21"/>
          <w14:textFill>
            <w14:solidFill>
              <w14:schemeClr w14:val="tx1"/>
            </w14:solidFill>
          </w14:textFill>
        </w:rPr>
      </w:pPr>
    </w:p>
    <w:p w14:paraId="3ACC7532">
      <w:pPr>
        <w:spacing w:line="320" w:lineRule="exact"/>
        <w:rPr>
          <w:rFonts w:hint="eastAsia" w:ascii="宋体" w:hAnsi="宋体" w:cs="宋体"/>
          <w:b/>
          <w:caps/>
          <w:color w:val="000000" w:themeColor="text1"/>
          <w:szCs w:val="21"/>
          <w14:textFill>
            <w14:solidFill>
              <w14:schemeClr w14:val="tx1"/>
            </w14:solidFill>
          </w14:textFill>
        </w:rPr>
      </w:pPr>
      <w:r>
        <w:rPr>
          <w:rFonts w:hint="eastAsia" w:ascii="宋体" w:hAnsi="宋体" w:cs="宋体"/>
          <w:b/>
          <w:caps/>
          <w:color w:val="000000" w:themeColor="text1"/>
          <w:szCs w:val="21"/>
          <w14:textFill>
            <w14:solidFill>
              <w14:schemeClr w14:val="tx1"/>
            </w14:solidFill>
          </w14:textFill>
        </w:rPr>
        <w:t>注：牵头人提供。</w:t>
      </w:r>
    </w:p>
    <w:p w14:paraId="33C16CB5">
      <w:pPr>
        <w:rPr>
          <w:rFonts w:hint="eastAsia" w:ascii="宋体" w:hAnsi="宋体" w:eastAsia="宋体" w:cs="宋体"/>
          <w:color w:val="000000" w:themeColor="text1"/>
          <w14:textFill>
            <w14:solidFill>
              <w14:schemeClr w14:val="tx1"/>
            </w14:solidFill>
          </w14:textFill>
        </w:rPr>
      </w:pPr>
      <w:bookmarkStart w:id="1746" w:name="_Toc28788"/>
      <w:bookmarkStart w:id="1747" w:name="_Toc247514283"/>
      <w:bookmarkStart w:id="1748" w:name="_Toc54190089"/>
      <w:bookmarkStart w:id="1749" w:name="_Toc152045791"/>
      <w:bookmarkStart w:id="1750" w:name="_Toc144974860"/>
      <w:bookmarkStart w:id="1751" w:name="_Toc152042580"/>
      <w:bookmarkStart w:id="1752" w:name="_Toc247527831"/>
      <w:bookmarkStart w:id="1753" w:name="_Toc1656"/>
      <w:r>
        <w:rPr>
          <w:rFonts w:hint="eastAsia" w:ascii="宋体" w:hAnsi="宋体" w:eastAsia="宋体" w:cs="宋体"/>
          <w:color w:val="000000" w:themeColor="text1"/>
          <w14:textFill>
            <w14:solidFill>
              <w14:schemeClr w14:val="tx1"/>
            </w14:solidFill>
          </w14:textFill>
        </w:rPr>
        <w:br w:type="page"/>
      </w:r>
    </w:p>
    <w:p w14:paraId="53D3F761">
      <w:pPr>
        <w:pStyle w:val="3"/>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三、法定代表人身份证明</w:t>
      </w:r>
      <w:bookmarkEnd w:id="1746"/>
      <w:bookmarkEnd w:id="1747"/>
      <w:bookmarkEnd w:id="1748"/>
      <w:bookmarkEnd w:id="1749"/>
      <w:bookmarkEnd w:id="1750"/>
      <w:bookmarkEnd w:id="1751"/>
      <w:bookmarkEnd w:id="1752"/>
      <w:bookmarkEnd w:id="1753"/>
    </w:p>
    <w:p w14:paraId="3B24CF24">
      <w:pPr>
        <w:spacing w:line="440" w:lineRule="exact"/>
        <w:rPr>
          <w:rFonts w:hint="eastAsia" w:ascii="宋体" w:hAnsi="宋体" w:cs="宋体"/>
          <w:color w:val="000000" w:themeColor="text1"/>
          <w:szCs w:val="21"/>
          <w14:textFill>
            <w14:solidFill>
              <w14:schemeClr w14:val="tx1"/>
            </w14:solidFill>
          </w14:textFill>
        </w:rPr>
      </w:pPr>
    </w:p>
    <w:p w14:paraId="2ADF89E0">
      <w:pPr>
        <w:spacing w:line="48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投标人名称：</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p>
    <w:p w14:paraId="15E94A1E">
      <w:pPr>
        <w:spacing w:line="48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单位性质：</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p>
    <w:p w14:paraId="4F155C5A">
      <w:pPr>
        <w:spacing w:line="48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地址：</w:t>
      </w:r>
      <w:r>
        <w:rPr>
          <w:rFonts w:hint="eastAsia" w:ascii="宋体" w:hAnsi="宋体" w:cs="宋体"/>
          <w:color w:val="000000" w:themeColor="text1"/>
          <w:szCs w:val="21"/>
          <w:u w:val="single"/>
          <w14:textFill>
            <w14:solidFill>
              <w14:schemeClr w14:val="tx1"/>
            </w14:solidFill>
          </w14:textFill>
        </w:rPr>
        <w:t xml:space="preserve">                                   </w:t>
      </w:r>
    </w:p>
    <w:p w14:paraId="56E41E61">
      <w:pPr>
        <w:spacing w:line="48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成立时间：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日</w:t>
      </w:r>
    </w:p>
    <w:p w14:paraId="1DCF890B">
      <w:pPr>
        <w:spacing w:line="48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经营期限：</w:t>
      </w:r>
      <w:r>
        <w:rPr>
          <w:rFonts w:hint="eastAsia" w:ascii="宋体" w:hAnsi="宋体" w:cs="宋体"/>
          <w:color w:val="000000" w:themeColor="text1"/>
          <w:szCs w:val="21"/>
          <w:u w:val="single"/>
          <w14:textFill>
            <w14:solidFill>
              <w14:schemeClr w14:val="tx1"/>
            </w14:solidFill>
          </w14:textFill>
        </w:rPr>
        <w:t xml:space="preserve">                               </w:t>
      </w:r>
    </w:p>
    <w:p w14:paraId="1DEEAF60">
      <w:pPr>
        <w:spacing w:line="48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姓名：</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性别：</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年龄：</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职务：</w:t>
      </w:r>
      <w:r>
        <w:rPr>
          <w:rFonts w:hint="eastAsia" w:ascii="宋体" w:hAnsi="宋体" w:cs="宋体"/>
          <w:color w:val="000000" w:themeColor="text1"/>
          <w:szCs w:val="21"/>
          <w:u w:val="single"/>
          <w14:textFill>
            <w14:solidFill>
              <w14:schemeClr w14:val="tx1"/>
            </w14:solidFill>
          </w14:textFill>
        </w:rPr>
        <w:t xml:space="preserve">        </w:t>
      </w:r>
    </w:p>
    <w:p w14:paraId="1ADF216E">
      <w:pPr>
        <w:spacing w:line="48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系</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（投标人名称）的法定代表人。</w:t>
      </w:r>
    </w:p>
    <w:p w14:paraId="10A6B7A6">
      <w:pPr>
        <w:spacing w:line="480" w:lineRule="auto"/>
        <w:ind w:firstLine="42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特此证明。</w:t>
      </w:r>
    </w:p>
    <w:p w14:paraId="23CA1C86">
      <w:pPr>
        <w:spacing w:line="440" w:lineRule="exact"/>
        <w:rPr>
          <w:rFonts w:hint="eastAsia" w:ascii="宋体" w:hAnsi="宋体" w:cs="宋体"/>
          <w:color w:val="000000" w:themeColor="text1"/>
          <w:szCs w:val="21"/>
          <w14:textFill>
            <w14:solidFill>
              <w14:schemeClr w14:val="tx1"/>
            </w14:solidFill>
          </w14:textFill>
        </w:rPr>
      </w:pPr>
    </w:p>
    <w:p w14:paraId="2BCF20A5">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附：法定代表人身份证复印件。</w:t>
      </w:r>
    </w:p>
    <w:p w14:paraId="4EB85986">
      <w:pPr>
        <w:spacing w:line="440" w:lineRule="exact"/>
        <w:rPr>
          <w:rFonts w:hint="eastAsia" w:ascii="宋体" w:hAnsi="宋体" w:cs="宋体"/>
          <w:color w:val="000000" w:themeColor="text1"/>
          <w:szCs w:val="21"/>
          <w14:textFill>
            <w14:solidFill>
              <w14:schemeClr w14:val="tx1"/>
            </w14:solidFill>
          </w14:textFill>
        </w:rPr>
      </w:pPr>
    </w:p>
    <w:p w14:paraId="229CD80E">
      <w:pPr>
        <w:rPr>
          <w:rFonts w:hint="eastAsia" w:ascii="宋体" w:hAnsi="宋体" w:cs="宋体"/>
          <w:color w:val="000000" w:themeColor="text1"/>
          <w14:textFill>
            <w14:solidFill>
              <w14:schemeClr w14:val="tx1"/>
            </w14:solidFill>
          </w14:textFill>
        </w:rPr>
      </w:pPr>
    </w:p>
    <w:p w14:paraId="2B15E3C6">
      <w:pPr>
        <w:pStyle w:val="3"/>
        <w:rPr>
          <w:rFonts w:hint="eastAsia" w:ascii="宋体" w:hAnsi="宋体" w:eastAsia="宋体" w:cs="宋体"/>
          <w:color w:val="000000" w:themeColor="text1"/>
          <w14:textFill>
            <w14:solidFill>
              <w14:schemeClr w14:val="tx1"/>
            </w14:solidFill>
          </w14:textFill>
        </w:rPr>
      </w:pPr>
    </w:p>
    <w:p w14:paraId="209E536F">
      <w:pPr>
        <w:spacing w:line="60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投标人：</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（电子签章或盖单位章）</w:t>
      </w:r>
    </w:p>
    <w:p w14:paraId="1C0E8918">
      <w:pPr>
        <w:spacing w:line="600" w:lineRule="auto"/>
        <w:ind w:firstLine="2730" w:firstLineChars="13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日   期：</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日</w:t>
      </w:r>
    </w:p>
    <w:p w14:paraId="54B2D662">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p>
    <w:p w14:paraId="017F357D">
      <w:pPr>
        <w:spacing w:line="440" w:lineRule="exact"/>
        <w:rPr>
          <w:rFonts w:hint="eastAsia" w:ascii="宋体" w:hAnsi="宋体" w:cs="宋体"/>
          <w:color w:val="000000" w:themeColor="text1"/>
          <w:sz w:val="20"/>
          <w:szCs w:val="20"/>
          <w14:textFill>
            <w14:solidFill>
              <w14:schemeClr w14:val="tx1"/>
            </w14:solidFill>
          </w14:textFill>
        </w:rPr>
      </w:pPr>
    </w:p>
    <w:p w14:paraId="48241673">
      <w:pPr>
        <w:spacing w:line="440" w:lineRule="exact"/>
        <w:rPr>
          <w:rFonts w:hint="eastAsia" w:ascii="宋体" w:hAnsi="宋体" w:cs="宋体"/>
          <w:color w:val="000000" w:themeColor="text1"/>
          <w:sz w:val="20"/>
          <w:szCs w:val="20"/>
          <w14:textFill>
            <w14:solidFill>
              <w14:schemeClr w14:val="tx1"/>
            </w14:solidFill>
          </w14:textFill>
        </w:rPr>
      </w:pPr>
    </w:p>
    <w:p w14:paraId="3D045818">
      <w:pPr>
        <w:spacing w:line="440" w:lineRule="exact"/>
        <w:rPr>
          <w:rFonts w:hint="eastAsia" w:ascii="宋体" w:hAnsi="宋体" w:cs="宋体"/>
          <w:color w:val="000000" w:themeColor="text1"/>
          <w:sz w:val="20"/>
          <w:szCs w:val="20"/>
          <w14:textFill>
            <w14:solidFill>
              <w14:schemeClr w14:val="tx1"/>
            </w14:solidFill>
          </w14:textFill>
        </w:rPr>
      </w:pPr>
    </w:p>
    <w:p w14:paraId="76F5FBB1">
      <w:pPr>
        <w:spacing w:line="440" w:lineRule="exact"/>
        <w:rPr>
          <w:rFonts w:hint="eastAsia" w:ascii="宋体" w:hAnsi="宋体" w:cs="宋体"/>
          <w:color w:val="000000" w:themeColor="text1"/>
          <w:sz w:val="20"/>
          <w:szCs w:val="20"/>
          <w14:textFill>
            <w14:solidFill>
              <w14:schemeClr w14:val="tx1"/>
            </w14:solidFill>
          </w14:textFill>
        </w:rPr>
      </w:pPr>
    </w:p>
    <w:p w14:paraId="7C094CE8">
      <w:pPr>
        <w:spacing w:line="440" w:lineRule="exact"/>
        <w:rPr>
          <w:rFonts w:hint="eastAsia" w:ascii="宋体" w:hAnsi="宋体" w:cs="宋体"/>
          <w:color w:val="000000" w:themeColor="text1"/>
          <w:sz w:val="20"/>
          <w:szCs w:val="20"/>
          <w14:textFill>
            <w14:solidFill>
              <w14:schemeClr w14:val="tx1"/>
            </w14:solidFill>
          </w14:textFill>
        </w:rPr>
      </w:pPr>
      <w:r>
        <w:rPr>
          <w:rFonts w:hint="eastAsia" w:ascii="宋体" w:hAnsi="宋体" w:cs="宋体"/>
          <w:b/>
          <w:color w:val="000000" w:themeColor="text1"/>
          <w14:textFill>
            <w14:solidFill>
              <w14:schemeClr w14:val="tx1"/>
            </w14:solidFill>
          </w14:textFill>
        </w:rPr>
        <w:t>注：法定代表人身份证明书牵头人及联合体各方均须提供。</w:t>
      </w:r>
    </w:p>
    <w:p w14:paraId="7FB410C0">
      <w:pPr>
        <w:spacing w:line="440" w:lineRule="exact"/>
        <w:rPr>
          <w:rFonts w:hint="eastAsia" w:ascii="宋体" w:hAnsi="宋体" w:cs="宋体"/>
          <w:color w:val="000000" w:themeColor="text1"/>
          <w:sz w:val="20"/>
          <w:szCs w:val="20"/>
          <w14:textFill>
            <w14:solidFill>
              <w14:schemeClr w14:val="tx1"/>
            </w14:solidFill>
          </w14:textFill>
        </w:rPr>
      </w:pPr>
    </w:p>
    <w:p w14:paraId="09B5A4AE">
      <w:pPr>
        <w:pStyle w:val="3"/>
        <w:jc w:val="center"/>
        <w:rPr>
          <w:rFonts w:hint="eastAsia" w:ascii="宋体" w:hAnsi="宋体" w:eastAsia="宋体" w:cs="宋体"/>
          <w:color w:val="000000" w:themeColor="text1"/>
          <w14:textFill>
            <w14:solidFill>
              <w14:schemeClr w14:val="tx1"/>
            </w14:solidFill>
          </w14:textFill>
        </w:rPr>
      </w:pPr>
      <w:bookmarkStart w:id="1754" w:name="_Toc19032"/>
      <w:bookmarkStart w:id="1755" w:name="_Toc152042581"/>
      <w:bookmarkStart w:id="1756" w:name="_Toc247514284"/>
      <w:bookmarkStart w:id="1757" w:name="_Toc144974861"/>
      <w:bookmarkStart w:id="1758" w:name="_Toc54190090"/>
      <w:bookmarkStart w:id="1759" w:name="_Toc209"/>
      <w:bookmarkStart w:id="1760" w:name="_Toc152045792"/>
      <w:bookmarkStart w:id="1761" w:name="_Toc25374"/>
      <w:bookmarkStart w:id="1762" w:name="_Toc247527832"/>
      <w:r>
        <w:rPr>
          <w:rFonts w:hint="eastAsia" w:ascii="宋体" w:hAnsi="宋体" w:eastAsia="宋体" w:cs="宋体"/>
          <w:color w:val="000000" w:themeColor="text1"/>
          <w14:textFill>
            <w14:solidFill>
              <w14:schemeClr w14:val="tx1"/>
            </w14:solidFill>
          </w14:textFill>
        </w:rPr>
        <w:t>四、授权委托书</w:t>
      </w:r>
      <w:bookmarkEnd w:id="1754"/>
      <w:bookmarkEnd w:id="1755"/>
      <w:bookmarkEnd w:id="1756"/>
      <w:bookmarkEnd w:id="1757"/>
      <w:bookmarkEnd w:id="1758"/>
      <w:bookmarkEnd w:id="1759"/>
      <w:bookmarkEnd w:id="1760"/>
      <w:bookmarkEnd w:id="1761"/>
      <w:bookmarkEnd w:id="1762"/>
    </w:p>
    <w:p w14:paraId="0440D891">
      <w:pPr>
        <w:spacing w:line="440" w:lineRule="exact"/>
        <w:rPr>
          <w:rFonts w:hint="eastAsia" w:ascii="宋体" w:hAnsi="宋体" w:cs="宋体"/>
          <w:color w:val="000000" w:themeColor="text1"/>
          <w:szCs w:val="21"/>
          <w14:textFill>
            <w14:solidFill>
              <w14:schemeClr w14:val="tx1"/>
            </w14:solidFill>
          </w14:textFill>
        </w:rPr>
      </w:pPr>
    </w:p>
    <w:p w14:paraId="4025B95A">
      <w:pPr>
        <w:topLinePunct/>
        <w:spacing w:line="440" w:lineRule="exact"/>
        <w:ind w:firstLine="42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本人（姓名）系</w:t>
      </w:r>
      <w:r>
        <w:rPr>
          <w:rFonts w:hint="eastAsia" w:ascii="宋体" w:hAnsi="宋体" w:cs="宋体"/>
          <w:color w:val="000000" w:themeColor="text1"/>
          <w:szCs w:val="21"/>
          <w:u w:val="single"/>
          <w14:textFill>
            <w14:solidFill>
              <w14:schemeClr w14:val="tx1"/>
            </w14:solidFill>
          </w14:textFill>
        </w:rPr>
        <w:t>（投标人名称）</w:t>
      </w:r>
      <w:r>
        <w:rPr>
          <w:rFonts w:hint="eastAsia" w:ascii="宋体" w:hAnsi="宋体" w:cs="宋体"/>
          <w:color w:val="000000" w:themeColor="text1"/>
          <w:szCs w:val="21"/>
          <w14:textFill>
            <w14:solidFill>
              <w14:schemeClr w14:val="tx1"/>
            </w14:solidFill>
          </w14:textFill>
        </w:rPr>
        <w:t>的法定代表人，现委托</w:t>
      </w:r>
      <w:r>
        <w:rPr>
          <w:rFonts w:hint="eastAsia" w:ascii="宋体" w:hAnsi="宋体" w:cs="宋体"/>
          <w:color w:val="000000" w:themeColor="text1"/>
          <w:szCs w:val="21"/>
          <w:u w:val="single"/>
          <w14:textFill>
            <w14:solidFill>
              <w14:schemeClr w14:val="tx1"/>
            </w14:solidFill>
          </w14:textFill>
        </w:rPr>
        <w:t>（姓名）</w:t>
      </w:r>
      <w:r>
        <w:rPr>
          <w:rFonts w:hint="eastAsia" w:ascii="宋体" w:hAnsi="宋体" w:cs="宋体"/>
          <w:color w:val="000000" w:themeColor="text1"/>
          <w:szCs w:val="21"/>
          <w14:textFill>
            <w14:solidFill>
              <w14:schemeClr w14:val="tx1"/>
            </w14:solidFill>
          </w14:textFill>
        </w:rPr>
        <w:t>为我方代理人。代理人根据授权，以我方名义签署、澄清、说明、补正、递交、撤回、修改</w:t>
      </w:r>
      <w:r>
        <w:rPr>
          <w:rFonts w:hint="eastAsia" w:ascii="宋体" w:hAnsi="宋体" w:cs="宋体"/>
          <w:color w:val="000000" w:themeColor="text1"/>
          <w:szCs w:val="21"/>
          <w:u w:val="single"/>
          <w14:textFill>
            <w14:solidFill>
              <w14:schemeClr w14:val="tx1"/>
            </w14:solidFill>
          </w14:textFill>
        </w:rPr>
        <w:t xml:space="preserve">     （项目名称）</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投标文件、签订合同和处理有关事宜，其法律后果由我方承担。</w:t>
      </w:r>
    </w:p>
    <w:p w14:paraId="3AF276C7">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委托期限：</w:t>
      </w:r>
    </w:p>
    <w:p w14:paraId="08456457">
      <w:pPr>
        <w:spacing w:line="440" w:lineRule="exact"/>
        <w:ind w:firstLine="42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代理人无转委托权。</w:t>
      </w:r>
    </w:p>
    <w:p w14:paraId="7F87E265">
      <w:pPr>
        <w:spacing w:line="440" w:lineRule="exact"/>
        <w:ind w:firstLine="42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附：委托代理人身份证复印件</w:t>
      </w:r>
    </w:p>
    <w:p w14:paraId="7B15B14C">
      <w:pPr>
        <w:spacing w:line="440" w:lineRule="exact"/>
        <w:rPr>
          <w:rFonts w:hint="eastAsia" w:ascii="宋体" w:hAnsi="宋体" w:cs="宋体"/>
          <w:color w:val="000000" w:themeColor="text1"/>
          <w:szCs w:val="21"/>
          <w14:textFill>
            <w14:solidFill>
              <w14:schemeClr w14:val="tx1"/>
            </w14:solidFill>
          </w14:textFill>
        </w:rPr>
      </w:pPr>
    </w:p>
    <w:p w14:paraId="33682D1D">
      <w:pPr>
        <w:spacing w:line="440" w:lineRule="exact"/>
        <w:rPr>
          <w:rFonts w:hint="eastAsia" w:ascii="宋体" w:hAnsi="宋体" w:cs="宋体"/>
          <w:color w:val="000000" w:themeColor="text1"/>
          <w:szCs w:val="21"/>
          <w14:textFill>
            <w14:solidFill>
              <w14:schemeClr w14:val="tx1"/>
            </w14:solidFill>
          </w14:textFill>
        </w:rPr>
      </w:pPr>
    </w:p>
    <w:p w14:paraId="0D53CB08">
      <w:pPr>
        <w:spacing w:line="600" w:lineRule="auto"/>
        <w:ind w:firstLine="42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（电子签章或盖单位章）</w:t>
      </w:r>
    </w:p>
    <w:p w14:paraId="67DCF995">
      <w:pPr>
        <w:spacing w:line="600" w:lineRule="auto"/>
        <w:ind w:firstLine="42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法定代表人：</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（电子签章或签字）</w:t>
      </w:r>
    </w:p>
    <w:p w14:paraId="6AFA7AC0">
      <w:pPr>
        <w:spacing w:line="600" w:lineRule="auto"/>
        <w:ind w:firstLine="420" w:firstLineChars="200"/>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身份证号码：</w:t>
      </w:r>
      <w:r>
        <w:rPr>
          <w:rFonts w:hint="eastAsia" w:ascii="宋体" w:hAnsi="宋体" w:cs="宋体"/>
          <w:color w:val="000000" w:themeColor="text1"/>
          <w:szCs w:val="21"/>
          <w:u w:val="single"/>
          <w14:textFill>
            <w14:solidFill>
              <w14:schemeClr w14:val="tx1"/>
            </w14:solidFill>
          </w14:textFill>
        </w:rPr>
        <w:t xml:space="preserve">             </w:t>
      </w:r>
    </w:p>
    <w:p w14:paraId="1FD61EE4">
      <w:pPr>
        <w:spacing w:line="600" w:lineRule="auto"/>
        <w:ind w:firstLine="42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委托代理人：</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（电子签章或签字）</w:t>
      </w:r>
    </w:p>
    <w:p w14:paraId="3ED61BC5">
      <w:pPr>
        <w:spacing w:line="600" w:lineRule="auto"/>
        <w:ind w:firstLine="42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身份证号码：</w:t>
      </w:r>
    </w:p>
    <w:p w14:paraId="7D41734A">
      <w:pPr>
        <w:spacing w:line="600" w:lineRule="auto"/>
        <w:ind w:firstLine="420" w:firstLineChars="200"/>
        <w:rPr>
          <w:rFonts w:hint="eastAsia" w:ascii="宋体" w:hAnsi="宋体" w:cs="宋体"/>
          <w:color w:val="000000" w:themeColor="text1"/>
          <w:szCs w:val="21"/>
          <w14:textFill>
            <w14:solidFill>
              <w14:schemeClr w14:val="tx1"/>
            </w14:solidFill>
          </w14:textFill>
        </w:rPr>
      </w:pPr>
      <w:bookmarkStart w:id="1763" w:name="_Toc2906"/>
      <w:r>
        <w:rPr>
          <w:rFonts w:hint="eastAsia" w:ascii="宋体" w:hAnsi="宋体" w:cs="宋体"/>
          <w:color w:val="000000" w:themeColor="text1"/>
          <w:szCs w:val="21"/>
          <w14:textFill>
            <w14:solidFill>
              <w14:schemeClr w14:val="tx1"/>
            </w14:solidFill>
          </w14:textFill>
        </w:rPr>
        <w:t>电   话：</w:t>
      </w:r>
      <w:bookmarkEnd w:id="1763"/>
    </w:p>
    <w:p w14:paraId="49EFDDAB">
      <w:pPr>
        <w:spacing w:line="600" w:lineRule="auto"/>
        <w:ind w:firstLine="42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日   期：</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日</w:t>
      </w:r>
    </w:p>
    <w:p w14:paraId="7A3CB682">
      <w:pPr>
        <w:spacing w:line="600" w:lineRule="auto"/>
        <w:rPr>
          <w:rFonts w:hint="eastAsia" w:ascii="宋体" w:hAnsi="宋体" w:cs="宋体"/>
          <w:color w:val="000000" w:themeColor="text1"/>
          <w:sz w:val="20"/>
          <w:szCs w:val="20"/>
          <w14:textFill>
            <w14:solidFill>
              <w14:schemeClr w14:val="tx1"/>
            </w14:solidFill>
          </w14:textFill>
        </w:rPr>
      </w:pPr>
    </w:p>
    <w:p w14:paraId="5B70B4CA">
      <w:pPr>
        <w:spacing w:line="400" w:lineRule="exact"/>
        <w:rPr>
          <w:rFonts w:hint="eastAsia" w:ascii="宋体" w:hAnsi="宋体" w:cs="宋体"/>
          <w:color w:val="000000" w:themeColor="text1"/>
          <w:sz w:val="20"/>
          <w:szCs w:val="20"/>
          <w14:textFill>
            <w14:solidFill>
              <w14:schemeClr w14:val="tx1"/>
            </w14:solidFill>
          </w14:textFill>
        </w:rPr>
      </w:pPr>
    </w:p>
    <w:p w14:paraId="71D02E3B">
      <w:pPr>
        <w:spacing w:line="440" w:lineRule="exact"/>
        <w:ind w:firstLine="420" w:firstLineChars="200"/>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注：若为联合体，联合体牵头人提供即可。</w:t>
      </w:r>
    </w:p>
    <w:p w14:paraId="591FD4EB">
      <w:pPr>
        <w:spacing w:line="440" w:lineRule="exact"/>
        <w:ind w:firstLine="420" w:firstLineChars="200"/>
        <w:rPr>
          <w:rFonts w:hint="eastAsia" w:ascii="宋体" w:hAnsi="宋体" w:cs="宋体"/>
          <w:color w:val="000000" w:themeColor="text1"/>
          <w:szCs w:val="21"/>
          <w14:textFill>
            <w14:solidFill>
              <w14:schemeClr w14:val="tx1"/>
            </w14:solidFill>
          </w14:textFill>
        </w:rPr>
      </w:pPr>
    </w:p>
    <w:p w14:paraId="7C8A361B">
      <w:pPr>
        <w:rPr>
          <w:rFonts w:hint="eastAsia" w:ascii="宋体" w:hAnsi="宋体" w:cs="宋体"/>
          <w:color w:val="000000" w:themeColor="text1"/>
          <w14:textFill>
            <w14:solidFill>
              <w14:schemeClr w14:val="tx1"/>
            </w14:solidFill>
          </w14:textFill>
        </w:rPr>
      </w:pPr>
    </w:p>
    <w:p w14:paraId="39579A13">
      <w:pPr>
        <w:pStyle w:val="16"/>
        <w:rPr>
          <w:rFonts w:hint="eastAsia" w:ascii="宋体" w:hAnsi="宋体" w:cs="宋体"/>
          <w:color w:val="000000" w:themeColor="text1"/>
          <w14:textFill>
            <w14:solidFill>
              <w14:schemeClr w14:val="tx1"/>
            </w14:solidFill>
          </w14:textFill>
        </w:rPr>
      </w:pPr>
    </w:p>
    <w:p w14:paraId="108F31DE">
      <w:pPr>
        <w:rPr>
          <w:rFonts w:hint="eastAsia" w:ascii="宋体" w:hAnsi="宋体" w:cs="宋体"/>
          <w:color w:val="000000" w:themeColor="text1"/>
          <w14:textFill>
            <w14:solidFill>
              <w14:schemeClr w14:val="tx1"/>
            </w14:solidFill>
          </w14:textFill>
        </w:rPr>
      </w:pPr>
    </w:p>
    <w:p w14:paraId="2E3006ED">
      <w:pPr>
        <w:pStyle w:val="16"/>
        <w:rPr>
          <w:rFonts w:hint="eastAsia" w:ascii="宋体" w:hAnsi="宋体" w:cs="宋体"/>
          <w:color w:val="000000" w:themeColor="text1"/>
          <w14:textFill>
            <w14:solidFill>
              <w14:schemeClr w14:val="tx1"/>
            </w14:solidFill>
          </w14:textFill>
        </w:rPr>
      </w:pPr>
    </w:p>
    <w:p w14:paraId="2CAC76C8">
      <w:pPr>
        <w:pStyle w:val="3"/>
        <w:jc w:val="center"/>
        <w:rPr>
          <w:rFonts w:hint="eastAsia" w:ascii="宋体" w:hAnsi="宋体" w:eastAsia="宋体" w:cs="宋体"/>
          <w:color w:val="000000" w:themeColor="text1"/>
          <w14:textFill>
            <w14:solidFill>
              <w14:schemeClr w14:val="tx1"/>
            </w14:solidFill>
          </w14:textFill>
        </w:rPr>
      </w:pPr>
      <w:bookmarkStart w:id="1764" w:name="_Toc152045793"/>
      <w:bookmarkStart w:id="1765" w:name="_Toc7635"/>
      <w:bookmarkStart w:id="1766" w:name="_Toc247514285"/>
      <w:bookmarkStart w:id="1767" w:name="_Toc11797"/>
      <w:bookmarkStart w:id="1768" w:name="_Toc152042582"/>
      <w:bookmarkStart w:id="1769" w:name="_Toc247527833"/>
      <w:bookmarkStart w:id="1770" w:name="_Toc54190091"/>
      <w:bookmarkStart w:id="1771" w:name="_Toc31603"/>
      <w:r>
        <w:rPr>
          <w:rFonts w:hint="eastAsia" w:ascii="宋体" w:hAnsi="宋体" w:eastAsia="宋体" w:cs="宋体"/>
          <w:color w:val="000000" w:themeColor="text1"/>
          <w14:textFill>
            <w14:solidFill>
              <w14:schemeClr w14:val="tx1"/>
            </w14:solidFill>
          </w14:textFill>
        </w:rPr>
        <w:t>五、联合体协议书</w:t>
      </w:r>
      <w:bookmarkEnd w:id="1764"/>
      <w:bookmarkEnd w:id="1765"/>
      <w:bookmarkEnd w:id="1766"/>
      <w:bookmarkEnd w:id="1767"/>
      <w:bookmarkEnd w:id="1768"/>
      <w:bookmarkEnd w:id="1769"/>
      <w:bookmarkEnd w:id="1770"/>
      <w:bookmarkEnd w:id="1771"/>
    </w:p>
    <w:p w14:paraId="29AD96EA">
      <w:pPr>
        <w:spacing w:line="400" w:lineRule="exact"/>
        <w:rPr>
          <w:rFonts w:hint="eastAsia" w:ascii="宋体" w:hAnsi="宋体" w:cs="宋体"/>
          <w:color w:val="000000" w:themeColor="text1"/>
          <w:szCs w:val="21"/>
          <w14:textFill>
            <w14:solidFill>
              <w14:schemeClr w14:val="tx1"/>
            </w14:solidFill>
          </w14:textFill>
        </w:rPr>
      </w:pPr>
    </w:p>
    <w:p w14:paraId="52A27482">
      <w:pPr>
        <w:topLinePunct/>
        <w:spacing w:line="440" w:lineRule="exact"/>
        <w:ind w:firstLine="42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t>（所有成员单位名称）</w:t>
      </w:r>
      <w:r>
        <w:rPr>
          <w:rFonts w:hint="eastAsia" w:ascii="宋体" w:hAnsi="宋体" w:cs="宋体"/>
          <w:color w:val="000000" w:themeColor="text1"/>
          <w:szCs w:val="21"/>
          <w14:textFill>
            <w14:solidFill>
              <w14:schemeClr w14:val="tx1"/>
            </w14:solidFill>
          </w14:textFill>
        </w:rPr>
        <w:t>自愿组成</w:t>
      </w:r>
      <w:r>
        <w:rPr>
          <w:rFonts w:hint="eastAsia" w:ascii="宋体" w:hAnsi="宋体" w:cs="宋体"/>
          <w:color w:val="000000" w:themeColor="text1"/>
          <w:szCs w:val="21"/>
          <w:u w:val="single"/>
          <w14:textFill>
            <w14:solidFill>
              <w14:schemeClr w14:val="tx1"/>
            </w14:solidFill>
          </w14:textFill>
        </w:rPr>
        <w:t>（联合体名称）</w:t>
      </w:r>
      <w:r>
        <w:rPr>
          <w:rFonts w:hint="eastAsia" w:ascii="宋体" w:hAnsi="宋体" w:cs="宋体"/>
          <w:color w:val="000000" w:themeColor="text1"/>
          <w:szCs w:val="21"/>
          <w14:textFill>
            <w14:solidFill>
              <w14:schemeClr w14:val="tx1"/>
            </w14:solidFill>
          </w14:textFill>
        </w:rPr>
        <w:t>联合体，共同参加</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u w:val="single"/>
          <w:lang w:eastAsia="zh-CN"/>
          <w14:textFill>
            <w14:solidFill>
              <w14:schemeClr w14:val="tx1"/>
            </w14:solidFill>
          </w14:textFill>
        </w:rPr>
        <w:t>（项目名称）</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投标。现就联合体投标事宜订立如下协议。</w:t>
      </w:r>
    </w:p>
    <w:p w14:paraId="703B3C47">
      <w:pPr>
        <w:topLinePunct/>
        <w:spacing w:line="440" w:lineRule="exact"/>
        <w:ind w:firstLine="42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r>
        <w:rPr>
          <w:rFonts w:hint="eastAsia" w:ascii="宋体" w:hAnsi="宋体" w:cs="宋体"/>
          <w:color w:val="000000" w:themeColor="text1"/>
          <w:szCs w:val="21"/>
          <w:u w:val="single"/>
          <w14:textFill>
            <w14:solidFill>
              <w14:schemeClr w14:val="tx1"/>
            </w14:solidFill>
          </w14:textFill>
        </w:rPr>
        <w:t>（某成员单位名称）</w:t>
      </w:r>
      <w:r>
        <w:rPr>
          <w:rFonts w:hint="eastAsia" w:ascii="宋体" w:hAnsi="宋体" w:cs="宋体"/>
          <w:color w:val="000000" w:themeColor="text1"/>
          <w:szCs w:val="21"/>
          <w14:textFill>
            <w14:solidFill>
              <w14:schemeClr w14:val="tx1"/>
            </w14:solidFill>
          </w14:textFill>
        </w:rPr>
        <w:t>为</w:t>
      </w:r>
      <w:r>
        <w:rPr>
          <w:rFonts w:hint="eastAsia" w:ascii="宋体" w:hAnsi="宋体" w:cs="宋体"/>
          <w:color w:val="000000" w:themeColor="text1"/>
          <w:szCs w:val="21"/>
          <w:u w:val="single"/>
          <w14:textFill>
            <w14:solidFill>
              <w14:schemeClr w14:val="tx1"/>
            </w14:solidFill>
          </w14:textFill>
        </w:rPr>
        <w:t>（联合体名称）</w:t>
      </w:r>
      <w:r>
        <w:rPr>
          <w:rFonts w:hint="eastAsia" w:ascii="宋体" w:hAnsi="宋体" w:cs="宋体"/>
          <w:color w:val="000000" w:themeColor="text1"/>
          <w:szCs w:val="21"/>
          <w14:textFill>
            <w14:solidFill>
              <w14:schemeClr w14:val="tx1"/>
            </w14:solidFill>
          </w14:textFill>
        </w:rPr>
        <w:t>牵头人。</w:t>
      </w:r>
    </w:p>
    <w:p w14:paraId="415B1A8B">
      <w:pPr>
        <w:topLinePunct/>
        <w:spacing w:line="440" w:lineRule="exact"/>
        <w:ind w:firstLine="42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联合体牵头人合法代表联合体各成员负责本招标项目投标文件编制和合同谈判活动，并代表联合体提交和接收相关的资料、信息及指示，并处理与之有关的一切事务，负责合同实施阶段的主办、组织和协调工作。</w:t>
      </w:r>
    </w:p>
    <w:p w14:paraId="51219FFD">
      <w:pPr>
        <w:topLinePunct/>
        <w:spacing w:line="440" w:lineRule="exact"/>
        <w:ind w:firstLine="42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3、联合体将严格按照招标文件的各项要求，递交投标文件，履行合同，并对外承担各自职责范围之内的责任。</w:t>
      </w:r>
    </w:p>
    <w:p w14:paraId="48AC52EE">
      <w:pPr>
        <w:topLinePunct/>
        <w:spacing w:line="440" w:lineRule="exact"/>
        <w:ind w:firstLine="42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4、联合体各成员单位内部的职责分工如下：</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p>
    <w:p w14:paraId="6BDBCEEA">
      <w:pPr>
        <w:topLinePunct/>
        <w:spacing w:line="440" w:lineRule="exact"/>
        <w:ind w:firstLine="42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5、本协议书自签署之日起生效，合同履行完毕后自动失效。 </w:t>
      </w:r>
    </w:p>
    <w:p w14:paraId="6E33220B">
      <w:pPr>
        <w:topLinePunct/>
        <w:spacing w:line="440" w:lineRule="exact"/>
        <w:ind w:firstLine="42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6、本协议书一式份，联合体成员和招标人各执一份。</w:t>
      </w:r>
    </w:p>
    <w:p w14:paraId="03D7B92D">
      <w:pPr>
        <w:topLinePunct/>
        <w:spacing w:line="440" w:lineRule="exact"/>
        <w:rPr>
          <w:rFonts w:hint="eastAsia" w:ascii="宋体" w:hAnsi="宋体" w:cs="宋体"/>
          <w:color w:val="000000" w:themeColor="text1"/>
          <w:szCs w:val="21"/>
          <w14:textFill>
            <w14:solidFill>
              <w14:schemeClr w14:val="tx1"/>
            </w14:solidFill>
          </w14:textFill>
        </w:rPr>
      </w:pPr>
    </w:p>
    <w:p w14:paraId="65E8E13D">
      <w:pPr>
        <w:topLinePunct/>
        <w:spacing w:line="440" w:lineRule="exact"/>
        <w:ind w:firstLine="42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注：本协议书由委托代理人签字的，应附法定代表人签字的授权委托书。</w:t>
      </w:r>
    </w:p>
    <w:p w14:paraId="7DCC0E4A">
      <w:pPr>
        <w:topLinePunct/>
        <w:spacing w:line="440" w:lineRule="exact"/>
        <w:rPr>
          <w:rFonts w:hint="eastAsia" w:ascii="宋体" w:hAnsi="宋体" w:cs="宋体"/>
          <w:color w:val="000000" w:themeColor="text1"/>
          <w:szCs w:val="21"/>
          <w14:textFill>
            <w14:solidFill>
              <w14:schemeClr w14:val="tx1"/>
            </w14:solidFill>
          </w14:textFill>
        </w:rPr>
      </w:pPr>
    </w:p>
    <w:p w14:paraId="56A6EB33">
      <w:pPr>
        <w:topLinePunc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牵头人名称：</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（电子签章或盖单位章）</w:t>
      </w:r>
    </w:p>
    <w:p w14:paraId="06A2F2C3">
      <w:pPr>
        <w:topLinePunc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法定代表人或其委托代理人：</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（签字或电子签章）</w:t>
      </w:r>
    </w:p>
    <w:p w14:paraId="347467E3">
      <w:pPr>
        <w:topLinePunct/>
        <w:spacing w:line="440" w:lineRule="exact"/>
        <w:rPr>
          <w:rFonts w:hint="eastAsia" w:ascii="宋体" w:hAnsi="宋体" w:cs="宋体"/>
          <w:color w:val="000000" w:themeColor="text1"/>
          <w:szCs w:val="21"/>
          <w14:textFill>
            <w14:solidFill>
              <w14:schemeClr w14:val="tx1"/>
            </w14:solidFill>
          </w14:textFill>
        </w:rPr>
      </w:pPr>
    </w:p>
    <w:p w14:paraId="18F085B2">
      <w:pPr>
        <w:topLinePunc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成员一名称：</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（电子签章或盖单位章）</w:t>
      </w:r>
    </w:p>
    <w:p w14:paraId="366A42EA">
      <w:pPr>
        <w:topLinePunc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法定代表人或其委托代理人：</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（电子签章或签字）</w:t>
      </w:r>
    </w:p>
    <w:p w14:paraId="1EAD0F63">
      <w:pPr>
        <w:topLinePunct/>
        <w:spacing w:line="440" w:lineRule="exact"/>
        <w:rPr>
          <w:rFonts w:hint="eastAsia" w:ascii="宋体" w:hAnsi="宋体" w:cs="宋体"/>
          <w:color w:val="000000" w:themeColor="text1"/>
          <w:szCs w:val="21"/>
          <w14:textFill>
            <w14:solidFill>
              <w14:schemeClr w14:val="tx1"/>
            </w14:solidFill>
          </w14:textFill>
        </w:rPr>
      </w:pPr>
    </w:p>
    <w:p w14:paraId="5AAB1AE2">
      <w:pPr>
        <w:topLinePunc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成员二名称：</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（电子签章或盖单位章）</w:t>
      </w:r>
    </w:p>
    <w:p w14:paraId="49CDF3BD">
      <w:pPr>
        <w:topLinePunc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法定代表人或其委托代理人：</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（电子签章或签字）</w:t>
      </w:r>
    </w:p>
    <w:p w14:paraId="5F9012AD">
      <w:pPr>
        <w:topLinePunc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p>
    <w:p w14:paraId="286BD6F5">
      <w:pPr>
        <w:topLinePunct/>
        <w:spacing w:line="440" w:lineRule="exact"/>
        <w:rPr>
          <w:rFonts w:hint="eastAsia" w:ascii="宋体" w:hAnsi="宋体" w:cs="宋体"/>
          <w:color w:val="000000" w:themeColor="text1"/>
          <w:szCs w:val="21"/>
          <w14:textFill>
            <w14:solidFill>
              <w14:schemeClr w14:val="tx1"/>
            </w14:solidFill>
          </w14:textFill>
        </w:rPr>
      </w:pPr>
    </w:p>
    <w:p w14:paraId="47714767">
      <w:pPr>
        <w:spacing w:line="60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日   期：</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日</w:t>
      </w:r>
    </w:p>
    <w:p w14:paraId="57B91B8D">
      <w:pPr>
        <w:rPr>
          <w:rFonts w:hint="eastAsia" w:ascii="宋体" w:hAnsi="宋体" w:cs="宋体"/>
          <w:color w:val="000000" w:themeColor="text1"/>
          <w14:textFill>
            <w14:solidFill>
              <w14:schemeClr w14:val="tx1"/>
            </w14:solidFill>
          </w14:textFill>
        </w:rPr>
      </w:pPr>
    </w:p>
    <w:p w14:paraId="230B0785">
      <w:pPr>
        <w:rPr>
          <w:rFonts w:hint="eastAsia" w:ascii="宋体" w:hAnsi="宋体" w:cs="宋体"/>
          <w:color w:val="000000" w:themeColor="text1"/>
          <w14:textFill>
            <w14:solidFill>
              <w14:schemeClr w14:val="tx1"/>
            </w14:solidFill>
          </w14:textFill>
        </w:rPr>
      </w:pPr>
    </w:p>
    <w:p w14:paraId="6209D8BE">
      <w:pPr>
        <w:rPr>
          <w:rFonts w:hint="eastAsia" w:ascii="宋体" w:hAnsi="宋体" w:cs="宋体"/>
          <w:color w:val="000000" w:themeColor="text1"/>
          <w14:textFill>
            <w14:solidFill>
              <w14:schemeClr w14:val="tx1"/>
            </w14:solidFill>
          </w14:textFill>
        </w:rPr>
      </w:pPr>
    </w:p>
    <w:p w14:paraId="546C7D27">
      <w:pPr>
        <w:widowControl/>
        <w:jc w:val="left"/>
        <w:rPr>
          <w:rFonts w:hint="eastAsia" w:ascii="宋体" w:hAnsi="宋体" w:cs="宋体"/>
          <w:color w:val="000000" w:themeColor="text1"/>
          <w14:textFill>
            <w14:solidFill>
              <w14:schemeClr w14:val="tx1"/>
            </w14:solidFill>
          </w14:textFill>
        </w:rPr>
      </w:pPr>
    </w:p>
    <w:p w14:paraId="7C35442C">
      <w:pPr>
        <w:widowControl/>
        <w:jc w:val="center"/>
        <w:outlineLvl w:val="1"/>
        <w:rPr>
          <w:rFonts w:hint="eastAsia" w:ascii="宋体" w:hAnsi="宋体" w:cs="宋体"/>
          <w:b/>
          <w:color w:val="000000" w:themeColor="text1"/>
          <w:sz w:val="28"/>
          <w14:textFill>
            <w14:solidFill>
              <w14:schemeClr w14:val="tx1"/>
            </w14:solidFill>
          </w14:textFill>
        </w:rPr>
      </w:pPr>
      <w:bookmarkStart w:id="1772" w:name="_Toc18111"/>
      <w:bookmarkStart w:id="1773" w:name="_Toc54190092"/>
      <w:bookmarkStart w:id="1774" w:name="_Toc18822"/>
      <w:r>
        <w:rPr>
          <w:rFonts w:hint="eastAsia" w:ascii="宋体" w:hAnsi="宋体" w:cs="宋体"/>
          <w:b/>
          <w:color w:val="000000" w:themeColor="text1"/>
          <w:sz w:val="28"/>
          <w14:textFill>
            <w14:solidFill>
              <w14:schemeClr w14:val="tx1"/>
            </w14:solidFill>
          </w14:textFill>
        </w:rPr>
        <w:t>六、承诺书</w:t>
      </w:r>
      <w:bookmarkEnd w:id="1772"/>
      <w:bookmarkEnd w:id="1773"/>
      <w:bookmarkEnd w:id="1774"/>
    </w:p>
    <w:p w14:paraId="21D32953">
      <w:pPr>
        <w:pStyle w:val="135"/>
        <w:spacing w:line="567" w:lineRule="exact"/>
        <w:ind w:firstLine="440" w:firstLineChars="200"/>
        <w:jc w:val="both"/>
        <w:rPr>
          <w:rFonts w:hint="eastAsia"/>
          <w:color w:val="000000" w:themeColor="text1"/>
          <w:sz w:val="22"/>
          <w14:textFill>
            <w14:solidFill>
              <w14:schemeClr w14:val="tx1"/>
            </w14:solidFill>
          </w14:textFill>
        </w:rPr>
      </w:pPr>
      <w:r>
        <w:rPr>
          <w:rFonts w:hint="eastAsia"/>
          <w:color w:val="000000" w:themeColor="text1"/>
          <w:sz w:val="22"/>
          <w14:textFill>
            <w14:solidFill>
              <w14:schemeClr w14:val="tx1"/>
            </w14:solidFill>
          </w14:textFill>
        </w:rPr>
        <w:t>我单位作为项目的投标人，现作出如下承诺：</w:t>
      </w:r>
    </w:p>
    <w:p w14:paraId="0A1FA384">
      <w:pPr>
        <w:pStyle w:val="135"/>
        <w:spacing w:line="500" w:lineRule="exact"/>
        <w:ind w:firstLine="480" w:firstLineChars="200"/>
        <w:jc w:val="both"/>
        <w:rPr>
          <w:rFonts w:hint="eastAsia"/>
          <w:color w:val="000000" w:themeColor="text1"/>
          <w:sz w:val="22"/>
          <w14:textFill>
            <w14:solidFill>
              <w14:schemeClr w14:val="tx1"/>
            </w14:solidFill>
          </w14:textFill>
        </w:rPr>
      </w:pPr>
      <w:r>
        <w:rPr>
          <w:rFonts w:hint="eastAsia"/>
          <w:color w:val="000000" w:themeColor="text1"/>
          <w:sz w:val="24"/>
          <w:szCs w:val="34"/>
          <w:lang w:val="en-US" w:eastAsia="zh-CN" w:bidi="en-US"/>
          <w14:textFill>
            <w14:solidFill>
              <w14:schemeClr w14:val="tx1"/>
            </w14:solidFill>
          </w14:textFill>
        </w:rPr>
        <w:t>1、</w:t>
      </w:r>
      <w:r>
        <w:rPr>
          <w:rFonts w:hint="eastAsia"/>
          <w:color w:val="000000" w:themeColor="text1"/>
          <w:sz w:val="22"/>
          <w14:textFill>
            <w14:solidFill>
              <w14:schemeClr w14:val="tx1"/>
            </w14:solidFill>
          </w14:textFill>
        </w:rPr>
        <w:t>坚决贯彻落实习近平总书记关于扫黑除</w:t>
      </w:r>
      <w:r>
        <w:rPr>
          <w:rFonts w:hint="eastAsia"/>
          <w:color w:val="000000" w:themeColor="text1"/>
          <w:sz w:val="22"/>
          <w:lang w:eastAsia="zh-CN"/>
          <w14:textFill>
            <w14:solidFill>
              <w14:schemeClr w14:val="tx1"/>
            </w14:solidFill>
          </w14:textFill>
        </w:rPr>
        <w:t>恶</w:t>
      </w:r>
      <w:r>
        <w:rPr>
          <w:rFonts w:hint="eastAsia"/>
          <w:color w:val="000000" w:themeColor="text1"/>
          <w:sz w:val="22"/>
          <w14:textFill>
            <w14:solidFill>
              <w14:schemeClr w14:val="tx1"/>
            </w14:solidFill>
          </w14:textFill>
        </w:rPr>
        <w:t>专项斗争的重要指示精神，按照党中央国务院、</w:t>
      </w:r>
      <w:r>
        <w:rPr>
          <w:rFonts w:hint="eastAsia"/>
          <w:color w:val="000000" w:themeColor="text1"/>
          <w:sz w:val="22"/>
          <w:lang w:eastAsia="zh-CN"/>
          <w14:textFill>
            <w14:solidFill>
              <w14:schemeClr w14:val="tx1"/>
            </w14:solidFill>
          </w14:textFill>
        </w:rPr>
        <w:t>省委、省政府</w:t>
      </w:r>
      <w:r>
        <w:rPr>
          <w:rFonts w:hint="eastAsia"/>
          <w:color w:val="000000" w:themeColor="text1"/>
          <w:sz w:val="22"/>
          <w14:textFill>
            <w14:solidFill>
              <w14:schemeClr w14:val="tx1"/>
            </w14:solidFill>
          </w14:textFill>
        </w:rPr>
        <w:t>的决策部署，</w:t>
      </w:r>
      <w:r>
        <w:rPr>
          <w:rFonts w:hint="eastAsia"/>
          <w:color w:val="000000" w:themeColor="text1"/>
          <w:sz w:val="22"/>
          <w:lang w:eastAsia="zh-CN"/>
          <w14:textFill>
            <w14:solidFill>
              <w14:schemeClr w14:val="tx1"/>
            </w14:solidFill>
          </w14:textFill>
        </w:rPr>
        <w:t>严格遵守</w:t>
      </w:r>
      <w:r>
        <w:rPr>
          <w:rFonts w:hint="eastAsia"/>
          <w:color w:val="000000" w:themeColor="text1"/>
          <w:sz w:val="22"/>
          <w14:textFill>
            <w14:solidFill>
              <w14:schemeClr w14:val="tx1"/>
            </w14:solidFill>
          </w14:textFill>
        </w:rPr>
        <w:t>《住房和城乡建设部关于进一步加强房屋建筑和市政基础设施工程招标投标监管的指导意见》（建市</w:t>
      </w:r>
      <w:r>
        <w:rPr>
          <w:rFonts w:hint="eastAsia"/>
          <w:color w:val="000000" w:themeColor="text1"/>
          <w:sz w:val="22"/>
          <w:lang w:eastAsia="zh-CN"/>
          <w14:textFill>
            <w14:solidFill>
              <w14:schemeClr w14:val="tx1"/>
            </w14:solidFill>
          </w14:textFill>
        </w:rPr>
        <w:t>规〔2019〕</w:t>
      </w:r>
      <w:r>
        <w:rPr>
          <w:rFonts w:hint="eastAsia"/>
          <w:color w:val="000000" w:themeColor="text1"/>
          <w:sz w:val="24"/>
          <w:szCs w:val="34"/>
          <w:lang w:val="en-US" w:eastAsia="zh-CN" w:bidi="en-US"/>
          <w14:textFill>
            <w14:solidFill>
              <w14:schemeClr w14:val="tx1"/>
            </w14:solidFill>
          </w14:textFill>
        </w:rPr>
        <w:t>11</w:t>
      </w:r>
      <w:r>
        <w:rPr>
          <w:rFonts w:hint="eastAsia"/>
          <w:color w:val="000000" w:themeColor="text1"/>
          <w:sz w:val="22"/>
          <w14:textFill>
            <w14:solidFill>
              <w14:schemeClr w14:val="tx1"/>
            </w14:solidFill>
          </w14:textFill>
        </w:rPr>
        <w:t>号）文件要求，扎实开展好全省住建系统扫黑除恶专项斗争，营造良好的 建筑市场秩序</w:t>
      </w:r>
      <w:r>
        <w:rPr>
          <w:rFonts w:hint="eastAsia"/>
          <w:color w:val="000000" w:themeColor="text1"/>
          <w:sz w:val="22"/>
          <w:lang w:eastAsia="zh-CN"/>
          <w14:textFill>
            <w14:solidFill>
              <w14:schemeClr w14:val="tx1"/>
            </w14:solidFill>
          </w14:textFill>
        </w:rPr>
        <w:t>，</w:t>
      </w:r>
      <w:r>
        <w:rPr>
          <w:rFonts w:hint="eastAsia"/>
          <w:color w:val="000000" w:themeColor="text1"/>
          <w:sz w:val="22"/>
          <w14:textFill>
            <w14:solidFill>
              <w14:schemeClr w14:val="tx1"/>
            </w14:solidFill>
          </w14:textFill>
        </w:rPr>
        <w:t>促进建筑业高质量发展；</w:t>
      </w:r>
    </w:p>
    <w:p w14:paraId="7AEE4665">
      <w:pPr>
        <w:pStyle w:val="135"/>
        <w:tabs>
          <w:tab w:val="left" w:pos="1078"/>
        </w:tabs>
        <w:spacing w:line="500" w:lineRule="exact"/>
        <w:ind w:firstLine="398" w:firstLineChars="181"/>
        <w:jc w:val="both"/>
        <w:rPr>
          <w:rFonts w:hint="eastAsia"/>
          <w:color w:val="000000" w:themeColor="text1"/>
          <w:sz w:val="22"/>
          <w14:textFill>
            <w14:solidFill>
              <w14:schemeClr w14:val="tx1"/>
            </w14:solidFill>
          </w14:textFill>
        </w:rPr>
      </w:pPr>
      <w:bookmarkStart w:id="1775" w:name="bookmark3"/>
      <w:bookmarkEnd w:id="1775"/>
      <w:r>
        <w:rPr>
          <w:rFonts w:hint="eastAsia"/>
          <w:color w:val="000000" w:themeColor="text1"/>
          <w:sz w:val="22"/>
          <w:lang w:eastAsia="zh-CN"/>
          <w14:textFill>
            <w14:solidFill>
              <w14:schemeClr w14:val="tx1"/>
            </w14:solidFill>
          </w14:textFill>
        </w:rPr>
        <w:t>2、</w:t>
      </w:r>
      <w:r>
        <w:rPr>
          <w:rFonts w:hint="eastAsia"/>
          <w:color w:val="000000" w:themeColor="text1"/>
          <w:sz w:val="22"/>
          <w14:textFill>
            <w14:solidFill>
              <w14:schemeClr w14:val="tx1"/>
            </w14:solidFill>
          </w14:textFill>
        </w:rPr>
        <w:t>严格遵守《中华人民共和国招标投标法》等有关法律法规，公开、公平、公正和诚实信用参加工程项目投标</w:t>
      </w:r>
      <w:r>
        <w:rPr>
          <w:rFonts w:hint="eastAsia"/>
          <w:color w:val="000000" w:themeColor="text1"/>
          <w:sz w:val="22"/>
          <w:lang w:eastAsia="zh-CN"/>
          <w14:textFill>
            <w14:solidFill>
              <w14:schemeClr w14:val="tx1"/>
            </w14:solidFill>
          </w14:textFill>
        </w:rPr>
        <w:t>；</w:t>
      </w:r>
    </w:p>
    <w:p w14:paraId="06E5F5A1">
      <w:pPr>
        <w:pStyle w:val="135"/>
        <w:tabs>
          <w:tab w:val="left" w:pos="1078"/>
        </w:tabs>
        <w:spacing w:line="500" w:lineRule="exact"/>
        <w:jc w:val="both"/>
        <w:rPr>
          <w:rFonts w:hint="eastAsia"/>
          <w:color w:val="000000" w:themeColor="text1"/>
          <w:sz w:val="22"/>
          <w14:textFill>
            <w14:solidFill>
              <w14:schemeClr w14:val="tx1"/>
            </w14:solidFill>
          </w14:textFill>
        </w:rPr>
      </w:pPr>
      <w:bookmarkStart w:id="1776" w:name="bookmark4"/>
      <w:bookmarkEnd w:id="1776"/>
      <w:r>
        <w:rPr>
          <w:rFonts w:hint="eastAsia"/>
          <w:color w:val="000000" w:themeColor="text1"/>
          <w:sz w:val="22"/>
          <w:lang w:eastAsia="zh-CN"/>
          <w14:textFill>
            <w14:solidFill>
              <w14:schemeClr w14:val="tx1"/>
            </w14:solidFill>
          </w14:textFill>
        </w:rPr>
        <w:t>3、</w:t>
      </w:r>
      <w:r>
        <w:rPr>
          <w:rFonts w:hint="eastAsia"/>
          <w:color w:val="000000" w:themeColor="text1"/>
          <w:sz w:val="22"/>
          <w14:textFill>
            <w14:solidFill>
              <w14:schemeClr w14:val="tx1"/>
            </w14:solidFill>
          </w14:textFill>
        </w:rPr>
        <w:t>不与其他投标人相互串通投标或者与招标人、招标代理机构串通投标；</w:t>
      </w:r>
    </w:p>
    <w:p w14:paraId="6CF11F1D">
      <w:pPr>
        <w:pStyle w:val="135"/>
        <w:tabs>
          <w:tab w:val="left" w:pos="1050"/>
        </w:tabs>
        <w:spacing w:line="500" w:lineRule="exact"/>
        <w:jc w:val="both"/>
        <w:rPr>
          <w:rFonts w:hint="eastAsia"/>
          <w:color w:val="000000" w:themeColor="text1"/>
          <w:sz w:val="22"/>
          <w14:textFill>
            <w14:solidFill>
              <w14:schemeClr w14:val="tx1"/>
            </w14:solidFill>
          </w14:textFill>
        </w:rPr>
      </w:pPr>
      <w:bookmarkStart w:id="1777" w:name="bookmark5"/>
      <w:bookmarkEnd w:id="1777"/>
      <w:r>
        <w:rPr>
          <w:rFonts w:hint="eastAsia"/>
          <w:color w:val="000000" w:themeColor="text1"/>
          <w:sz w:val="22"/>
          <w:lang w:eastAsia="zh-CN"/>
          <w14:textFill>
            <w14:solidFill>
              <w14:schemeClr w14:val="tx1"/>
            </w14:solidFill>
          </w14:textFill>
        </w:rPr>
        <w:t>4、</w:t>
      </w:r>
      <w:r>
        <w:rPr>
          <w:rFonts w:hint="eastAsia"/>
          <w:color w:val="000000" w:themeColor="text1"/>
          <w:sz w:val="22"/>
          <w14:textFill>
            <w14:solidFill>
              <w14:schemeClr w14:val="tx1"/>
            </w14:solidFill>
          </w14:textFill>
        </w:rPr>
        <w:t>不向招标人、招标代理机构或者评标委员会成员行贿谋取中标；</w:t>
      </w:r>
    </w:p>
    <w:p w14:paraId="76B5C438">
      <w:pPr>
        <w:pStyle w:val="135"/>
        <w:tabs>
          <w:tab w:val="left" w:pos="1093"/>
        </w:tabs>
        <w:spacing w:line="500" w:lineRule="exact"/>
        <w:ind w:left="396" w:leftChars="189" w:firstLine="0"/>
        <w:jc w:val="both"/>
        <w:rPr>
          <w:rFonts w:hint="eastAsia"/>
          <w:color w:val="000000" w:themeColor="text1"/>
          <w:sz w:val="22"/>
          <w14:textFill>
            <w14:solidFill>
              <w14:schemeClr w14:val="tx1"/>
            </w14:solidFill>
          </w14:textFill>
        </w:rPr>
      </w:pPr>
      <w:bookmarkStart w:id="1778" w:name="bookmark6"/>
      <w:bookmarkEnd w:id="1778"/>
      <w:r>
        <w:rPr>
          <w:rFonts w:hint="eastAsia"/>
          <w:color w:val="000000" w:themeColor="text1"/>
          <w:sz w:val="22"/>
          <w:lang w:eastAsia="zh-CN"/>
          <w14:textFill>
            <w14:solidFill>
              <w14:schemeClr w14:val="tx1"/>
            </w14:solidFill>
          </w14:textFill>
        </w:rPr>
        <w:t>5、</w:t>
      </w:r>
      <w:r>
        <w:rPr>
          <w:rFonts w:hint="eastAsia"/>
          <w:color w:val="000000" w:themeColor="text1"/>
          <w:sz w:val="22"/>
          <w14:textFill>
            <w14:solidFill>
              <w14:schemeClr w14:val="tx1"/>
            </w14:solidFill>
          </w14:textFill>
        </w:rPr>
        <w:t>不以他人名义投标</w:t>
      </w:r>
      <w:r>
        <w:rPr>
          <w:rFonts w:hint="eastAsia"/>
          <w:color w:val="000000" w:themeColor="text1"/>
          <w:sz w:val="22"/>
          <w:lang w:eastAsia="zh-CN"/>
          <w14:textFill>
            <w14:solidFill>
              <w14:schemeClr w14:val="tx1"/>
            </w14:solidFill>
          </w14:textFill>
        </w:rPr>
        <w:t>，</w:t>
      </w:r>
      <w:r>
        <w:rPr>
          <w:rFonts w:hint="eastAsia"/>
          <w:color w:val="000000" w:themeColor="text1"/>
          <w:sz w:val="22"/>
          <w14:textFill>
            <w14:solidFill>
              <w14:schemeClr w14:val="tx1"/>
            </w14:solidFill>
          </w14:textFill>
        </w:rPr>
        <w:t>挂靠、借用资质投标或者以其他方式 弄虚作假</w:t>
      </w:r>
      <w:r>
        <w:rPr>
          <w:rFonts w:hint="eastAsia"/>
          <w:color w:val="000000" w:themeColor="text1"/>
          <w:sz w:val="22"/>
          <w:lang w:eastAsia="zh-CN"/>
          <w14:textFill>
            <w14:solidFill>
              <w14:schemeClr w14:val="tx1"/>
            </w14:solidFill>
          </w14:textFill>
        </w:rPr>
        <w:t>，</w:t>
      </w:r>
      <w:r>
        <w:rPr>
          <w:rFonts w:hint="eastAsia"/>
          <w:color w:val="000000" w:themeColor="text1"/>
          <w:sz w:val="22"/>
          <w14:textFill>
            <w14:solidFill>
              <w14:schemeClr w14:val="tx1"/>
            </w14:solidFill>
          </w14:textFill>
        </w:rPr>
        <w:t>骗取中标；</w:t>
      </w:r>
      <w:bookmarkStart w:id="1779" w:name="bookmark7"/>
      <w:bookmarkEnd w:id="1779"/>
    </w:p>
    <w:p w14:paraId="3A40EEDF">
      <w:pPr>
        <w:pStyle w:val="135"/>
        <w:tabs>
          <w:tab w:val="left" w:pos="1093"/>
        </w:tabs>
        <w:spacing w:line="500" w:lineRule="exact"/>
        <w:ind w:left="396" w:leftChars="189" w:firstLine="0"/>
        <w:jc w:val="both"/>
        <w:rPr>
          <w:rFonts w:hint="eastAsia"/>
          <w:color w:val="000000" w:themeColor="text1"/>
          <w:sz w:val="22"/>
          <w:lang w:eastAsia="zh-CN"/>
          <w14:textFill>
            <w14:solidFill>
              <w14:schemeClr w14:val="tx1"/>
            </w14:solidFill>
          </w14:textFill>
        </w:rPr>
      </w:pPr>
      <w:r>
        <w:rPr>
          <w:rFonts w:hint="eastAsia"/>
          <w:color w:val="000000" w:themeColor="text1"/>
          <w:sz w:val="22"/>
          <w:lang w:eastAsia="zh-CN"/>
          <w14:textFill>
            <w14:solidFill>
              <w14:schemeClr w14:val="tx1"/>
            </w14:solidFill>
          </w14:textFill>
        </w:rPr>
        <w:t>6、</w:t>
      </w:r>
      <w:r>
        <w:rPr>
          <w:rFonts w:hint="eastAsia"/>
          <w:color w:val="000000" w:themeColor="text1"/>
          <w:sz w:val="22"/>
          <w14:textFill>
            <w14:solidFill>
              <w14:schemeClr w14:val="tx1"/>
            </w14:solidFill>
          </w14:textFill>
        </w:rPr>
        <w:t>不以暴力手段胁迫其他潜在投标人放弃投标</w:t>
      </w:r>
      <w:r>
        <w:rPr>
          <w:rFonts w:hint="eastAsia"/>
          <w:color w:val="000000" w:themeColor="text1"/>
          <w:sz w:val="22"/>
          <w:lang w:eastAsia="zh-CN"/>
          <w14:textFill>
            <w14:solidFill>
              <w14:schemeClr w14:val="tx1"/>
            </w14:solidFill>
          </w14:textFill>
        </w:rPr>
        <w:t>，</w:t>
      </w:r>
      <w:r>
        <w:rPr>
          <w:rFonts w:hint="eastAsia"/>
          <w:color w:val="000000" w:themeColor="text1"/>
          <w:sz w:val="22"/>
          <w14:textFill>
            <w14:solidFill>
              <w14:schemeClr w14:val="tx1"/>
            </w14:solidFill>
          </w14:textFill>
        </w:rPr>
        <w:t>或胁迫中标 人放弃中标，强揽工程；</w:t>
      </w:r>
    </w:p>
    <w:p w14:paraId="4594DB0F">
      <w:pPr>
        <w:pStyle w:val="135"/>
        <w:tabs>
          <w:tab w:val="left" w:pos="1086"/>
        </w:tabs>
        <w:spacing w:line="500" w:lineRule="exact"/>
        <w:jc w:val="both"/>
        <w:rPr>
          <w:rFonts w:hint="eastAsia"/>
          <w:color w:val="000000" w:themeColor="text1"/>
          <w:sz w:val="22"/>
          <w14:textFill>
            <w14:solidFill>
              <w14:schemeClr w14:val="tx1"/>
            </w14:solidFill>
          </w14:textFill>
        </w:rPr>
      </w:pPr>
      <w:bookmarkStart w:id="1780" w:name="bookmark8"/>
      <w:bookmarkEnd w:id="1780"/>
      <w:r>
        <w:rPr>
          <w:rFonts w:hint="eastAsia"/>
          <w:color w:val="000000" w:themeColor="text1"/>
          <w:sz w:val="22"/>
          <w:lang w:val="zh-CN" w:eastAsia="zh-CN" w:bidi="zh-CN"/>
          <w14:textFill>
            <w14:solidFill>
              <w14:schemeClr w14:val="tx1"/>
            </w14:solidFill>
          </w14:textFill>
        </w:rPr>
        <w:t>7、不</w:t>
      </w:r>
      <w:r>
        <w:rPr>
          <w:rFonts w:hint="eastAsia"/>
          <w:color w:val="000000" w:themeColor="text1"/>
          <w:sz w:val="22"/>
          <w14:textFill>
            <w14:solidFill>
              <w14:schemeClr w14:val="tx1"/>
            </w14:solidFill>
          </w14:textFill>
        </w:rPr>
        <w:t>恶意举报投诉中标人或其他潜在投标人</w:t>
      </w:r>
      <w:r>
        <w:rPr>
          <w:rFonts w:hint="eastAsia"/>
          <w:color w:val="000000" w:themeColor="text1"/>
          <w:sz w:val="22"/>
          <w:lang w:eastAsia="zh-CN"/>
          <w14:textFill>
            <w14:solidFill>
              <w14:schemeClr w14:val="tx1"/>
            </w14:solidFill>
          </w14:textFill>
        </w:rPr>
        <w:t>，</w:t>
      </w:r>
      <w:r>
        <w:rPr>
          <w:rFonts w:hint="eastAsia"/>
          <w:color w:val="000000" w:themeColor="text1"/>
          <w:sz w:val="22"/>
          <w14:textFill>
            <w14:solidFill>
              <w14:schemeClr w14:val="tx1"/>
            </w14:solidFill>
          </w14:textFill>
        </w:rPr>
        <w:t>干扰招标投标 正常秩序；</w:t>
      </w:r>
    </w:p>
    <w:p w14:paraId="01733357">
      <w:pPr>
        <w:pStyle w:val="135"/>
        <w:tabs>
          <w:tab w:val="left" w:pos="1071"/>
        </w:tabs>
        <w:spacing w:line="500" w:lineRule="exact"/>
        <w:jc w:val="both"/>
        <w:rPr>
          <w:rFonts w:hint="eastAsia"/>
          <w:color w:val="000000" w:themeColor="text1"/>
          <w:sz w:val="22"/>
          <w14:textFill>
            <w14:solidFill>
              <w14:schemeClr w14:val="tx1"/>
            </w14:solidFill>
          </w14:textFill>
        </w:rPr>
      </w:pPr>
      <w:bookmarkStart w:id="1781" w:name="bookmark9"/>
      <w:bookmarkEnd w:id="1781"/>
      <w:r>
        <w:rPr>
          <w:rFonts w:hint="eastAsia"/>
          <w:color w:val="000000" w:themeColor="text1"/>
          <w:sz w:val="22"/>
          <w:lang w:eastAsia="zh-CN"/>
          <w14:textFill>
            <w14:solidFill>
              <w14:schemeClr w14:val="tx1"/>
            </w14:solidFill>
          </w14:textFill>
        </w:rPr>
        <w:t>8、</w:t>
      </w:r>
      <w:r>
        <w:rPr>
          <w:rFonts w:hint="eastAsia"/>
          <w:color w:val="000000" w:themeColor="text1"/>
          <w:sz w:val="22"/>
          <w14:textFill>
            <w14:solidFill>
              <w14:schemeClr w14:val="tx1"/>
            </w14:solidFill>
          </w14:textFill>
        </w:rPr>
        <w:t>不将中标项目转让给他人</w:t>
      </w:r>
      <w:r>
        <w:rPr>
          <w:rFonts w:hint="eastAsia"/>
          <w:color w:val="000000" w:themeColor="text1"/>
          <w:sz w:val="22"/>
          <w:lang w:eastAsia="zh-CN"/>
          <w14:textFill>
            <w14:solidFill>
              <w14:schemeClr w14:val="tx1"/>
            </w14:solidFill>
          </w14:textFill>
        </w:rPr>
        <w:t>，</w:t>
      </w:r>
      <w:r>
        <w:rPr>
          <w:rFonts w:hint="eastAsia"/>
          <w:color w:val="000000" w:themeColor="text1"/>
          <w:sz w:val="22"/>
          <w14:textFill>
            <w14:solidFill>
              <w14:schemeClr w14:val="tx1"/>
            </w14:solidFill>
          </w14:textFill>
        </w:rPr>
        <w:t>不将中标项目肢解分别转让给 他人，不将中标项目违法分包给他人；</w:t>
      </w:r>
    </w:p>
    <w:p w14:paraId="34F6203F">
      <w:pPr>
        <w:pStyle w:val="135"/>
        <w:tabs>
          <w:tab w:val="left" w:pos="1086"/>
        </w:tabs>
        <w:spacing w:line="500" w:lineRule="exact"/>
        <w:jc w:val="both"/>
        <w:rPr>
          <w:rFonts w:hint="eastAsia"/>
          <w:color w:val="000000" w:themeColor="text1"/>
          <w:sz w:val="22"/>
          <w14:textFill>
            <w14:solidFill>
              <w14:schemeClr w14:val="tx1"/>
            </w14:solidFill>
          </w14:textFill>
        </w:rPr>
      </w:pPr>
      <w:bookmarkStart w:id="1782" w:name="bookmark10"/>
      <w:bookmarkEnd w:id="1782"/>
      <w:r>
        <w:rPr>
          <w:rFonts w:hint="eastAsia"/>
          <w:color w:val="000000" w:themeColor="text1"/>
          <w:sz w:val="22"/>
          <w:lang w:eastAsia="zh-CN"/>
          <w14:textFill>
            <w14:solidFill>
              <w14:schemeClr w14:val="tx1"/>
            </w14:solidFill>
          </w14:textFill>
        </w:rPr>
        <w:t>9、</w:t>
      </w:r>
      <w:r>
        <w:rPr>
          <w:rFonts w:hint="eastAsia"/>
          <w:color w:val="000000" w:themeColor="text1"/>
          <w:sz w:val="22"/>
          <w14:textFill>
            <w14:solidFill>
              <w14:schemeClr w14:val="tx1"/>
            </w14:solidFill>
          </w14:textFill>
        </w:rPr>
        <w:t>在投标过程中，秉承诚实、信用、公平、公正的原则开展 工作，出具的各类书面文件、证件及资料均真实、有效</w:t>
      </w:r>
      <w:r>
        <w:rPr>
          <w:rFonts w:hint="eastAsia"/>
          <w:color w:val="000000" w:themeColor="text1"/>
          <w:sz w:val="22"/>
          <w:lang w:eastAsia="zh-CN"/>
          <w14:textFill>
            <w14:solidFill>
              <w14:schemeClr w14:val="tx1"/>
            </w14:solidFill>
          </w14:textFill>
        </w:rPr>
        <w:t>，</w:t>
      </w:r>
      <w:r>
        <w:rPr>
          <w:rFonts w:hint="eastAsia"/>
          <w:color w:val="000000" w:themeColor="text1"/>
          <w:sz w:val="22"/>
          <w14:textFill>
            <w14:solidFill>
              <w14:schemeClr w14:val="tx1"/>
            </w14:solidFill>
          </w14:textFill>
        </w:rPr>
        <w:t>不弄虚 作假。</w:t>
      </w:r>
    </w:p>
    <w:p w14:paraId="5732FCF6">
      <w:pPr>
        <w:pStyle w:val="135"/>
        <w:spacing w:after="540" w:line="500" w:lineRule="exact"/>
        <w:ind w:firstLine="440" w:firstLineChars="200"/>
        <w:jc w:val="both"/>
        <w:rPr>
          <w:rFonts w:hint="eastAsia"/>
          <w:color w:val="000000" w:themeColor="text1"/>
          <w:sz w:val="22"/>
          <w14:textFill>
            <w14:solidFill>
              <w14:schemeClr w14:val="tx1"/>
            </w14:solidFill>
          </w14:textFill>
        </w:rPr>
      </w:pPr>
      <w:r>
        <w:rPr>
          <w:rFonts w:hint="eastAsia"/>
          <w:color w:val="000000" w:themeColor="text1"/>
          <w:sz w:val="22"/>
          <w14:textFill>
            <w14:solidFill>
              <w14:schemeClr w14:val="tx1"/>
            </w14:solidFill>
          </w14:textFill>
        </w:rPr>
        <w:t>若违反上述行为，自愿承担相关责任，接受招标投标</w:t>
      </w:r>
      <w:r>
        <w:rPr>
          <w:rFonts w:hint="eastAsia"/>
          <w:color w:val="000000" w:themeColor="text1"/>
          <w:sz w:val="22"/>
          <w:lang w:eastAsia="zh-CN"/>
          <w14:textFill>
            <w14:solidFill>
              <w14:schemeClr w14:val="tx1"/>
            </w14:solidFill>
          </w14:textFill>
        </w:rPr>
        <w:t>监督管</w:t>
      </w:r>
      <w:r>
        <w:rPr>
          <w:rFonts w:hint="eastAsia"/>
          <w:color w:val="000000" w:themeColor="text1"/>
          <w:sz w:val="22"/>
          <w14:textFill>
            <w14:solidFill>
              <w14:schemeClr w14:val="tx1"/>
            </w14:solidFill>
          </w14:textFill>
        </w:rPr>
        <w:t>理部门、纪检监察部门或司法机关调查处理。</w:t>
      </w:r>
    </w:p>
    <w:p w14:paraId="24101939">
      <w:pPr>
        <w:pStyle w:val="135"/>
        <w:spacing w:after="540" w:line="500" w:lineRule="exact"/>
        <w:ind w:firstLine="620"/>
        <w:jc w:val="both"/>
        <w:rPr>
          <w:rFonts w:hint="eastAsia"/>
          <w:color w:val="000000" w:themeColor="text1"/>
          <w:sz w:val="22"/>
          <w14:textFill>
            <w14:solidFill>
              <w14:schemeClr w14:val="tx1"/>
            </w14:solidFill>
          </w14:textFill>
        </w:rPr>
      </w:pPr>
    </w:p>
    <w:p w14:paraId="2DA5E0E9">
      <w:pPr>
        <w:pStyle w:val="135"/>
        <w:spacing w:after="540" w:line="240" w:lineRule="exact"/>
        <w:ind w:firstLine="620"/>
        <w:jc w:val="center"/>
        <w:rPr>
          <w:rFonts w:hint="eastAsia"/>
          <w:color w:val="000000" w:themeColor="text1"/>
          <w:sz w:val="22"/>
          <w14:textFill>
            <w14:solidFill>
              <w14:schemeClr w14:val="tx1"/>
            </w14:solidFill>
          </w14:textFill>
        </w:rPr>
      </w:pPr>
      <w:r>
        <w:rPr>
          <w:rFonts w:hint="eastAsia"/>
          <w:color w:val="000000" w:themeColor="text1"/>
          <w:sz w:val="22"/>
          <w:lang w:val="en-US" w:eastAsia="zh-CN"/>
          <w14:textFill>
            <w14:solidFill>
              <w14:schemeClr w14:val="tx1"/>
            </w14:solidFill>
          </w14:textFill>
        </w:rPr>
        <w:t xml:space="preserve">                     </w:t>
      </w:r>
      <w:r>
        <w:rPr>
          <w:rFonts w:hint="eastAsia"/>
          <w:color w:val="000000" w:themeColor="text1"/>
          <w:sz w:val="22"/>
          <w14:textFill>
            <w14:solidFill>
              <w14:schemeClr w14:val="tx1"/>
            </w14:solidFill>
          </w14:textFill>
        </w:rPr>
        <w:t>投标人（盖单位章）：</w:t>
      </w:r>
    </w:p>
    <w:p w14:paraId="4543C39A">
      <w:pPr>
        <w:pStyle w:val="135"/>
        <w:spacing w:after="300" w:line="240" w:lineRule="exact"/>
        <w:ind w:firstLine="618"/>
        <w:jc w:val="center"/>
        <w:rPr>
          <w:rFonts w:hint="eastAsia"/>
          <w:color w:val="000000" w:themeColor="text1"/>
          <w:sz w:val="22"/>
          <w:lang w:eastAsia="zh-CN"/>
          <w14:textFill>
            <w14:solidFill>
              <w14:schemeClr w14:val="tx1"/>
            </w14:solidFill>
          </w14:textFill>
        </w:rPr>
      </w:pPr>
      <w:r>
        <w:rPr>
          <w:rFonts w:hint="eastAsia"/>
          <w:color w:val="000000" w:themeColor="text1"/>
          <w:sz w:val="22"/>
          <w:lang w:val="en-US" w:eastAsia="zh-CN"/>
          <w14:textFill>
            <w14:solidFill>
              <w14:schemeClr w14:val="tx1"/>
            </w14:solidFill>
          </w14:textFill>
        </w:rPr>
        <w:t xml:space="preserve">                      </w:t>
      </w:r>
      <w:r>
        <w:rPr>
          <w:rFonts w:hint="eastAsia"/>
          <w:color w:val="000000" w:themeColor="text1"/>
          <w:sz w:val="22"/>
          <w14:textFill>
            <w14:solidFill>
              <w14:schemeClr w14:val="tx1"/>
            </w14:solidFill>
          </w14:textFill>
        </w:rPr>
        <w:t>法定代表人（签字）：</w:t>
      </w:r>
    </w:p>
    <w:p w14:paraId="0C1E1E49">
      <w:pPr>
        <w:spacing w:line="600" w:lineRule="auto"/>
        <w:ind w:firstLine="4620" w:firstLineChars="21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日   期：</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日</w:t>
      </w:r>
    </w:p>
    <w:p w14:paraId="44111E8E">
      <w:pPr>
        <w:pStyle w:val="135"/>
        <w:spacing w:line="240" w:lineRule="exact"/>
        <w:ind w:firstLine="365" w:firstLineChars="166"/>
        <w:jc w:val="right"/>
        <w:rPr>
          <w:rFonts w:hint="eastAsia"/>
          <w:color w:val="000000" w:themeColor="text1"/>
          <w:sz w:val="22"/>
          <w:lang w:eastAsia="zh-CN"/>
          <w14:textFill>
            <w14:solidFill>
              <w14:schemeClr w14:val="tx1"/>
            </w14:solidFill>
          </w14:textFill>
        </w:rPr>
      </w:pPr>
    </w:p>
    <w:p w14:paraId="0003285F">
      <w:pPr>
        <w:spacing w:line="240" w:lineRule="exact"/>
        <w:jc w:val="right"/>
        <w:rPr>
          <w:rFonts w:hint="eastAsia" w:ascii="宋体" w:hAnsi="宋体" w:cs="宋体"/>
          <w:b/>
          <w:color w:val="000000" w:themeColor="text1"/>
          <w:sz w:val="32"/>
          <w14:textFill>
            <w14:solidFill>
              <w14:schemeClr w14:val="tx1"/>
            </w14:solidFill>
          </w14:textFill>
        </w:rPr>
      </w:pPr>
      <w:r>
        <w:rPr>
          <w:rFonts w:hint="eastAsia" w:ascii="宋体" w:hAnsi="宋体" w:cs="宋体"/>
          <w:b/>
          <w:color w:val="000000" w:themeColor="text1"/>
          <w:sz w:val="32"/>
          <w14:textFill>
            <w14:solidFill>
              <w14:schemeClr w14:val="tx1"/>
            </w14:solidFill>
          </w14:textFill>
        </w:rPr>
        <w:br w:type="page"/>
      </w:r>
      <w:bookmarkStart w:id="1783" w:name="_Toc144974862"/>
      <w:bookmarkStart w:id="1784" w:name="_Toc247514286"/>
      <w:bookmarkStart w:id="1785" w:name="_Toc247527834"/>
      <w:bookmarkStart w:id="1786" w:name="_Toc7108"/>
      <w:bookmarkStart w:id="1787" w:name="_Toc152042583"/>
      <w:bookmarkStart w:id="1788" w:name="_Toc152045794"/>
    </w:p>
    <w:p w14:paraId="58E7133E">
      <w:pPr>
        <w:jc w:val="center"/>
        <w:rPr>
          <w:rFonts w:hint="eastAsia" w:ascii="宋体" w:hAnsi="宋体" w:cs="宋体"/>
          <w:b/>
          <w:bCs/>
          <w:color w:val="000000" w:themeColor="text1"/>
          <w:sz w:val="28"/>
          <w:szCs w:val="28"/>
          <w:lang w:val="zh-TW" w:eastAsia="zh-TW" w:bidi="zh-TW"/>
          <w14:textFill>
            <w14:solidFill>
              <w14:schemeClr w14:val="tx1"/>
            </w14:solidFill>
          </w14:textFill>
        </w:rPr>
      </w:pPr>
      <w:r>
        <w:rPr>
          <w:rFonts w:hint="eastAsia" w:ascii="宋体" w:hAnsi="宋体" w:cs="宋体"/>
          <w:b/>
          <w:bCs/>
          <w:color w:val="000000" w:themeColor="text1"/>
          <w:sz w:val="28"/>
          <w:szCs w:val="28"/>
          <w:lang w:val="zh-TW" w:eastAsia="zh-TW" w:bidi="zh-TW"/>
          <w14:textFill>
            <w14:solidFill>
              <w14:schemeClr w14:val="tx1"/>
            </w14:solidFill>
          </w14:textFill>
        </w:rPr>
        <w:t>红河州公共资源交易投标人（供应商、竞买人、竞租人）</w:t>
      </w:r>
    </w:p>
    <w:p w14:paraId="7E8CFB62">
      <w:pPr>
        <w:spacing w:line="560" w:lineRule="exact"/>
        <w:jc w:val="center"/>
        <w:rPr>
          <w:rFonts w:hint="eastAsia" w:ascii="宋体" w:hAnsi="宋体" w:cs="宋体"/>
          <w:color w:val="000000" w:themeColor="text1"/>
          <w:sz w:val="22"/>
          <w:szCs w:val="30"/>
          <w:lang w:val="zh-TW" w:eastAsia="zh-TW" w:bidi="zh-TW"/>
          <w14:textFill>
            <w14:solidFill>
              <w14:schemeClr w14:val="tx1"/>
            </w14:solidFill>
          </w14:textFill>
        </w:rPr>
      </w:pPr>
      <w:r>
        <w:rPr>
          <w:rFonts w:hint="eastAsia" w:ascii="宋体" w:hAnsi="宋体" w:cs="宋体"/>
          <w:b/>
          <w:bCs/>
          <w:color w:val="000000" w:themeColor="text1"/>
          <w:sz w:val="28"/>
          <w:szCs w:val="28"/>
          <w:lang w:val="zh-TW" w:eastAsia="zh-TW" w:bidi="zh-TW"/>
          <w14:textFill>
            <w14:solidFill>
              <w14:schemeClr w14:val="tx1"/>
            </w14:solidFill>
          </w14:textFill>
        </w:rPr>
        <w:t>信用承诺书</w:t>
      </w:r>
    </w:p>
    <w:p w14:paraId="6DFF2398">
      <w:pPr>
        <w:spacing w:line="400" w:lineRule="exact"/>
        <w:ind w:firstLine="440" w:firstLineChars="200"/>
        <w:rPr>
          <w:rFonts w:hint="eastAsia" w:ascii="宋体" w:hAnsi="宋体" w:cs="宋体"/>
          <w:color w:val="000000" w:themeColor="text1"/>
          <w:sz w:val="22"/>
          <w:szCs w:val="30"/>
          <w:lang w:val="zh-TW" w:eastAsia="zh-TW" w:bidi="zh-TW"/>
          <w14:textFill>
            <w14:solidFill>
              <w14:schemeClr w14:val="tx1"/>
            </w14:solidFill>
          </w14:textFill>
        </w:rPr>
      </w:pPr>
      <w:r>
        <w:rPr>
          <w:rFonts w:hint="eastAsia" w:ascii="宋体" w:hAnsi="宋体" w:cs="宋体"/>
          <w:color w:val="000000" w:themeColor="text1"/>
          <w:sz w:val="22"/>
          <w:szCs w:val="30"/>
          <w:lang w:val="zh-TW" w:eastAsia="zh-TW" w:bidi="zh-TW"/>
          <w14:textFill>
            <w14:solidFill>
              <w14:schemeClr w14:val="tx1"/>
            </w14:solidFill>
          </w14:textFill>
        </w:rPr>
        <w:t>本企业（组织、人）参与</w:t>
      </w:r>
      <w:r>
        <w:rPr>
          <w:rFonts w:hint="eastAsia" w:ascii="宋体" w:hAnsi="宋体" w:cs="宋体"/>
          <w:color w:val="000000" w:themeColor="text1"/>
          <w:sz w:val="22"/>
          <w:szCs w:val="30"/>
          <w:u w:val="single"/>
          <w:lang w:val="zh-TW" w:eastAsia="zh-CN" w:bidi="zh-TW"/>
          <w14:textFill>
            <w14:solidFill>
              <w14:schemeClr w14:val="tx1"/>
            </w14:solidFill>
          </w14:textFill>
        </w:rPr>
        <w:t>（项目名称）</w:t>
      </w:r>
      <w:r>
        <w:rPr>
          <w:rFonts w:hint="eastAsia" w:ascii="宋体" w:hAnsi="宋体" w:cs="宋体"/>
          <w:color w:val="000000" w:themeColor="text1"/>
          <w:sz w:val="22"/>
          <w:szCs w:val="30"/>
          <w:lang w:val="zh-TW" w:eastAsia="zh-TW" w:bidi="zh-TW"/>
          <w14:textFill>
            <w14:solidFill>
              <w14:schemeClr w14:val="tx1"/>
            </w14:solidFill>
          </w14:textFill>
        </w:rPr>
        <w:t>（宗地、矿权）的投标（拍卖、挂牌、招租，下同）交易活动，按信用承诺制度要求，现作出如下承诺：</w:t>
      </w:r>
    </w:p>
    <w:p w14:paraId="26369C8D">
      <w:pPr>
        <w:spacing w:line="400" w:lineRule="exact"/>
        <w:ind w:firstLine="440" w:firstLineChars="200"/>
        <w:rPr>
          <w:rFonts w:hint="eastAsia" w:ascii="宋体" w:hAnsi="宋体" w:cs="宋体"/>
          <w:color w:val="000000" w:themeColor="text1"/>
          <w:sz w:val="22"/>
          <w:szCs w:val="30"/>
          <w:lang w:val="zh-TW" w:eastAsia="zh-TW" w:bidi="zh-TW"/>
          <w14:textFill>
            <w14:solidFill>
              <w14:schemeClr w14:val="tx1"/>
            </w14:solidFill>
          </w14:textFill>
        </w:rPr>
      </w:pPr>
      <w:r>
        <w:rPr>
          <w:rFonts w:hint="eastAsia" w:ascii="宋体" w:hAnsi="宋体" w:cs="宋体"/>
          <w:color w:val="000000" w:themeColor="text1"/>
          <w:sz w:val="22"/>
          <w:szCs w:val="30"/>
          <w:lang w:val="zh-TW" w:eastAsia="zh-TW" w:bidi="zh-TW"/>
          <w14:textFill>
            <w14:solidFill>
              <w14:schemeClr w14:val="tx1"/>
            </w14:solidFill>
          </w14:textFill>
        </w:rPr>
        <w:t>1、我单位参与此次投标（拍卖、挂牌、招租）交易活动所提交的资料都是合法、真实、有效的。</w:t>
      </w:r>
    </w:p>
    <w:p w14:paraId="2D99B0D2">
      <w:pPr>
        <w:spacing w:line="400" w:lineRule="exact"/>
        <w:ind w:firstLine="440" w:firstLineChars="200"/>
        <w:rPr>
          <w:rFonts w:hint="eastAsia" w:ascii="宋体" w:hAnsi="宋体" w:cs="宋体"/>
          <w:color w:val="000000" w:themeColor="text1"/>
          <w:sz w:val="22"/>
          <w:szCs w:val="30"/>
          <w:lang w:val="zh-TW" w:eastAsia="zh-TW" w:bidi="zh-TW"/>
          <w14:textFill>
            <w14:solidFill>
              <w14:schemeClr w14:val="tx1"/>
            </w14:solidFill>
          </w14:textFill>
        </w:rPr>
      </w:pPr>
      <w:r>
        <w:rPr>
          <w:rFonts w:hint="eastAsia" w:ascii="宋体" w:hAnsi="宋体" w:cs="宋体"/>
          <w:color w:val="000000" w:themeColor="text1"/>
          <w:sz w:val="22"/>
          <w:szCs w:val="30"/>
          <w:lang w:val="zh-TW" w:eastAsia="zh-TW" w:bidi="zh-TW"/>
          <w14:textFill>
            <w14:solidFill>
              <w14:schemeClr w14:val="tx1"/>
            </w14:solidFill>
          </w14:textFill>
        </w:rPr>
        <w:t>2、不与其他投标人（供应商、竞买人、竞租人）串通投标、围标，依法、依规公平参与竞争，不损害招标人（采购人、出让人、处置人）或其他投标人（供应商、竞买人、竞租人）的合法权益。</w:t>
      </w:r>
    </w:p>
    <w:p w14:paraId="68D22D07">
      <w:pPr>
        <w:spacing w:line="400" w:lineRule="exact"/>
        <w:ind w:firstLine="440" w:firstLineChars="200"/>
        <w:rPr>
          <w:rFonts w:hint="eastAsia" w:ascii="宋体" w:hAnsi="宋体" w:cs="宋体"/>
          <w:color w:val="000000" w:themeColor="text1"/>
          <w:sz w:val="22"/>
          <w:szCs w:val="30"/>
          <w:lang w:val="zh-TW" w:eastAsia="zh-TW" w:bidi="zh-TW"/>
          <w14:textFill>
            <w14:solidFill>
              <w14:schemeClr w14:val="tx1"/>
            </w14:solidFill>
          </w14:textFill>
        </w:rPr>
      </w:pPr>
      <w:r>
        <w:rPr>
          <w:rFonts w:hint="eastAsia" w:ascii="宋体" w:hAnsi="宋体" w:cs="宋体"/>
          <w:color w:val="000000" w:themeColor="text1"/>
          <w:sz w:val="22"/>
          <w:szCs w:val="30"/>
          <w:lang w:val="zh-TW" w:eastAsia="zh-TW" w:bidi="zh-TW"/>
          <w14:textFill>
            <w14:solidFill>
              <w14:schemeClr w14:val="tx1"/>
            </w14:solidFill>
          </w14:textFill>
        </w:rPr>
        <w:t>3、不转让、出租、出借资质证书、人员岗位证书，不以</w:t>
      </w:r>
      <w:r>
        <w:rPr>
          <w:rFonts w:hint="eastAsia" w:ascii="宋体" w:hAnsi="宋体" w:cs="宋体"/>
          <w:color w:val="000000" w:themeColor="text1"/>
          <w:sz w:val="22"/>
          <w:szCs w:val="30"/>
          <w:lang w:val="zh-TW" w:bidi="zh-TW"/>
          <w14:textFill>
            <w14:solidFill>
              <w14:schemeClr w14:val="tx1"/>
            </w14:solidFill>
          </w14:textFill>
        </w:rPr>
        <w:t>法律法规</w:t>
      </w:r>
      <w:r>
        <w:rPr>
          <w:rFonts w:hint="eastAsia" w:ascii="宋体" w:hAnsi="宋体" w:cs="宋体"/>
          <w:color w:val="000000" w:themeColor="text1"/>
          <w:sz w:val="22"/>
          <w:szCs w:val="30"/>
          <w:lang w:val="zh-TW" w:eastAsia="zh-TW" w:bidi="zh-TW"/>
          <w14:textFill>
            <w14:solidFill>
              <w14:schemeClr w14:val="tx1"/>
            </w14:solidFill>
          </w14:textFill>
        </w:rPr>
        <w:t>禁止的方式参与投标（竞买、竞租）。</w:t>
      </w:r>
    </w:p>
    <w:p w14:paraId="2F44A7F7">
      <w:pPr>
        <w:spacing w:line="400" w:lineRule="exact"/>
        <w:ind w:firstLine="440" w:firstLineChars="200"/>
        <w:rPr>
          <w:rFonts w:hint="eastAsia" w:ascii="宋体" w:hAnsi="宋体" w:cs="宋体"/>
          <w:color w:val="000000" w:themeColor="text1"/>
          <w:sz w:val="22"/>
          <w:szCs w:val="30"/>
          <w:lang w:val="zh-TW" w:eastAsia="zh-TW" w:bidi="zh-TW"/>
          <w14:textFill>
            <w14:solidFill>
              <w14:schemeClr w14:val="tx1"/>
            </w14:solidFill>
          </w14:textFill>
        </w:rPr>
      </w:pPr>
      <w:r>
        <w:rPr>
          <w:rFonts w:hint="eastAsia" w:ascii="宋体" w:hAnsi="宋体" w:cs="宋体"/>
          <w:color w:val="000000" w:themeColor="text1"/>
          <w:sz w:val="22"/>
          <w:szCs w:val="30"/>
          <w:lang w:val="zh-TW" w:eastAsia="zh-TW" w:bidi="zh-TW"/>
          <w14:textFill>
            <w14:solidFill>
              <w14:schemeClr w14:val="tx1"/>
            </w14:solidFill>
          </w14:textFill>
        </w:rPr>
        <w:t>4、不私下接触与该项目（宗地、矿权）有利害关系的招标人（采购人、出让人、处置人）相关人员、招标（集采、拍卖、评估）代理机构人员和评标（评审）专家，不与招标人（采购人、出让人、处置人）、招标（集采、拍卖、评估）代理机构、评标（评审）专家串通投标（竞买、竞租），不损害国家利益、社会公共利益或其他当事人的合法权益。</w:t>
      </w:r>
    </w:p>
    <w:p w14:paraId="09BB2E29">
      <w:pPr>
        <w:spacing w:line="400" w:lineRule="exact"/>
        <w:ind w:firstLine="440" w:firstLineChars="200"/>
        <w:rPr>
          <w:rFonts w:hint="eastAsia" w:ascii="宋体" w:hAnsi="宋体" w:cs="宋体"/>
          <w:color w:val="000000" w:themeColor="text1"/>
          <w:sz w:val="22"/>
          <w:szCs w:val="30"/>
          <w:lang w:val="zh-TW" w:eastAsia="zh-TW" w:bidi="zh-TW"/>
          <w14:textFill>
            <w14:solidFill>
              <w14:schemeClr w14:val="tx1"/>
            </w14:solidFill>
          </w14:textFill>
        </w:rPr>
      </w:pPr>
      <w:r>
        <w:rPr>
          <w:rFonts w:hint="eastAsia" w:ascii="宋体" w:hAnsi="宋体" w:cs="宋体"/>
          <w:color w:val="000000" w:themeColor="text1"/>
          <w:sz w:val="22"/>
          <w:szCs w:val="30"/>
          <w:lang w:val="zh-TW" w:eastAsia="zh-TW" w:bidi="zh-TW"/>
          <w14:textFill>
            <w14:solidFill>
              <w14:schemeClr w14:val="tx1"/>
            </w14:solidFill>
          </w14:textFill>
        </w:rPr>
        <w:t>5、不向招标人（采购人、出让人、处置人）、招标（集采、拍卖、评估）代理机构人员、评标委员会成员、公共资源交易中心人员、监督人员行贿、吃请、送礼或赠送有价证券，不组织其他有可能影响公正交易的活动。</w:t>
      </w:r>
    </w:p>
    <w:p w14:paraId="09208DD0">
      <w:pPr>
        <w:spacing w:line="400" w:lineRule="exact"/>
        <w:ind w:firstLine="440" w:firstLineChars="200"/>
        <w:rPr>
          <w:rFonts w:hint="eastAsia" w:ascii="宋体" w:hAnsi="宋体" w:cs="宋体"/>
          <w:color w:val="000000" w:themeColor="text1"/>
          <w:sz w:val="22"/>
          <w:szCs w:val="30"/>
          <w:lang w:val="zh-TW" w:eastAsia="zh-TW" w:bidi="zh-TW"/>
          <w14:textFill>
            <w14:solidFill>
              <w14:schemeClr w14:val="tx1"/>
            </w14:solidFill>
          </w14:textFill>
        </w:rPr>
      </w:pPr>
      <w:r>
        <w:rPr>
          <w:rFonts w:hint="eastAsia" w:ascii="宋体" w:hAnsi="宋体" w:cs="宋体"/>
          <w:color w:val="000000" w:themeColor="text1"/>
          <w:sz w:val="22"/>
          <w:szCs w:val="30"/>
          <w:lang w:val="zh-TW" w:eastAsia="zh-TW" w:bidi="zh-TW"/>
          <w14:textFill>
            <w14:solidFill>
              <w14:schemeClr w14:val="tx1"/>
            </w14:solidFill>
          </w14:textFill>
        </w:rPr>
        <w:t>6、不扰乱红河州的公共资源交易活动正常秩序。</w:t>
      </w:r>
    </w:p>
    <w:p w14:paraId="60C86BDC">
      <w:pPr>
        <w:spacing w:line="400" w:lineRule="exact"/>
        <w:ind w:firstLine="440" w:firstLineChars="200"/>
        <w:rPr>
          <w:rFonts w:hint="eastAsia" w:ascii="宋体" w:hAnsi="宋体" w:cs="宋体"/>
          <w:color w:val="000000" w:themeColor="text1"/>
          <w:sz w:val="22"/>
          <w:szCs w:val="30"/>
          <w:lang w:val="zh-TW" w:eastAsia="zh-TW" w:bidi="zh-TW"/>
          <w14:textFill>
            <w14:solidFill>
              <w14:schemeClr w14:val="tx1"/>
            </w14:solidFill>
          </w14:textFill>
        </w:rPr>
      </w:pPr>
      <w:r>
        <w:rPr>
          <w:rFonts w:hint="eastAsia" w:ascii="宋体" w:hAnsi="宋体" w:cs="宋体"/>
          <w:color w:val="000000" w:themeColor="text1"/>
          <w:sz w:val="22"/>
          <w:szCs w:val="30"/>
          <w:lang w:val="zh-TW" w:eastAsia="zh-TW" w:bidi="zh-TW"/>
          <w14:textFill>
            <w14:solidFill>
              <w14:schemeClr w14:val="tx1"/>
            </w14:solidFill>
          </w14:textFill>
        </w:rPr>
        <w:t>7、不进行虚假、恶意质疑、投诉。</w:t>
      </w:r>
    </w:p>
    <w:p w14:paraId="3FD7232D">
      <w:pPr>
        <w:spacing w:line="400" w:lineRule="exact"/>
        <w:ind w:firstLine="440" w:firstLineChars="200"/>
        <w:rPr>
          <w:rFonts w:hint="eastAsia" w:ascii="宋体" w:hAnsi="宋体" w:cs="宋体"/>
          <w:color w:val="000000" w:themeColor="text1"/>
          <w:sz w:val="22"/>
          <w:szCs w:val="30"/>
          <w:lang w:val="zh-TW" w:eastAsia="zh-TW" w:bidi="zh-TW"/>
          <w14:textFill>
            <w14:solidFill>
              <w14:schemeClr w14:val="tx1"/>
            </w14:solidFill>
          </w14:textFill>
        </w:rPr>
      </w:pPr>
      <w:r>
        <w:rPr>
          <w:rFonts w:hint="eastAsia" w:ascii="宋体" w:hAnsi="宋体" w:cs="宋体"/>
          <w:color w:val="000000" w:themeColor="text1"/>
          <w:sz w:val="22"/>
          <w:szCs w:val="30"/>
          <w:lang w:val="zh-TW" w:eastAsia="zh-TW" w:bidi="zh-TW"/>
          <w14:textFill>
            <w14:solidFill>
              <w14:schemeClr w14:val="tx1"/>
            </w14:solidFill>
          </w14:textFill>
        </w:rPr>
        <w:t>8、因违反</w:t>
      </w:r>
      <w:r>
        <w:rPr>
          <w:rFonts w:hint="eastAsia" w:ascii="宋体" w:hAnsi="宋体" w:cs="宋体"/>
          <w:color w:val="000000" w:themeColor="text1"/>
          <w:sz w:val="22"/>
          <w:szCs w:val="30"/>
          <w:lang w:val="zh-TW" w:bidi="zh-TW"/>
          <w14:textFill>
            <w14:solidFill>
              <w14:schemeClr w14:val="tx1"/>
            </w14:solidFill>
          </w14:textFill>
        </w:rPr>
        <w:t>法律法规</w:t>
      </w:r>
      <w:r>
        <w:rPr>
          <w:rFonts w:hint="eastAsia" w:ascii="宋体" w:hAnsi="宋体" w:cs="宋体"/>
          <w:color w:val="000000" w:themeColor="text1"/>
          <w:sz w:val="22"/>
          <w:szCs w:val="30"/>
          <w:lang w:val="zh-TW" w:eastAsia="zh-TW" w:bidi="zh-TW"/>
          <w14:textFill>
            <w14:solidFill>
              <w14:schemeClr w14:val="tx1"/>
            </w14:solidFill>
          </w14:textFill>
        </w:rPr>
        <w:t>或相关规定被查处时，不干预案件查处。</w:t>
      </w:r>
    </w:p>
    <w:p w14:paraId="0B5168D3">
      <w:pPr>
        <w:spacing w:line="400" w:lineRule="exact"/>
        <w:ind w:firstLine="440" w:firstLineChars="200"/>
        <w:rPr>
          <w:rFonts w:hint="eastAsia" w:ascii="宋体" w:hAnsi="宋体" w:cs="宋体"/>
          <w:color w:val="000000" w:themeColor="text1"/>
          <w:sz w:val="22"/>
          <w:szCs w:val="30"/>
          <w:lang w:val="zh-TW" w:eastAsia="zh-TW" w:bidi="zh-TW"/>
          <w14:textFill>
            <w14:solidFill>
              <w14:schemeClr w14:val="tx1"/>
            </w14:solidFill>
          </w14:textFill>
        </w:rPr>
      </w:pPr>
      <w:r>
        <w:rPr>
          <w:rFonts w:hint="eastAsia" w:ascii="宋体" w:hAnsi="宋体" w:cs="宋体"/>
          <w:color w:val="000000" w:themeColor="text1"/>
          <w:sz w:val="22"/>
          <w:szCs w:val="30"/>
          <w:lang w:val="zh-TW" w:eastAsia="zh-TW" w:bidi="zh-TW"/>
          <w14:textFill>
            <w14:solidFill>
              <w14:schemeClr w14:val="tx1"/>
            </w14:solidFill>
          </w14:textFill>
        </w:rPr>
        <w:t>如违反以上承诺，甘愿接受相关失信处罚、纪检监察机关或司法机关调查处理。违法、违规或不良行为事实成立的，本单位</w:t>
      </w:r>
      <w:r>
        <w:rPr>
          <w:rFonts w:hint="eastAsia" w:ascii="宋体" w:hAnsi="宋体" w:cs="宋体"/>
          <w:color w:val="000000" w:themeColor="text1"/>
          <w:sz w:val="22"/>
          <w:szCs w:val="30"/>
          <w:lang w:val="zh-TW" w:bidi="zh-TW"/>
          <w14:textFill>
            <w14:solidFill>
              <w14:schemeClr w14:val="tx1"/>
            </w14:solidFill>
          </w14:textFill>
        </w:rPr>
        <w:t>（</w:t>
      </w:r>
      <w:r>
        <w:rPr>
          <w:rFonts w:hint="eastAsia" w:ascii="宋体" w:hAnsi="宋体" w:cs="宋体"/>
          <w:color w:val="000000" w:themeColor="text1"/>
          <w:sz w:val="22"/>
          <w:szCs w:val="30"/>
          <w:lang w:val="zh-TW" w:eastAsia="zh-TW" w:bidi="zh-TW"/>
          <w14:textFill>
            <w14:solidFill>
              <w14:schemeClr w14:val="tx1"/>
            </w14:solidFill>
          </w14:textFill>
        </w:rPr>
        <w:t>组织、人</w:t>
      </w:r>
      <w:r>
        <w:rPr>
          <w:rFonts w:hint="eastAsia" w:ascii="宋体" w:hAnsi="宋体" w:cs="宋体"/>
          <w:color w:val="000000" w:themeColor="text1"/>
          <w:sz w:val="22"/>
          <w:szCs w:val="30"/>
          <w:lang w:val="zh-TW" w:bidi="zh-TW"/>
          <w14:textFill>
            <w14:solidFill>
              <w14:schemeClr w14:val="tx1"/>
            </w14:solidFill>
          </w14:textFill>
        </w:rPr>
        <w:t>）</w:t>
      </w:r>
      <w:r>
        <w:rPr>
          <w:rFonts w:hint="eastAsia" w:ascii="宋体" w:hAnsi="宋体" w:cs="宋体"/>
          <w:color w:val="000000" w:themeColor="text1"/>
          <w:sz w:val="22"/>
          <w:szCs w:val="30"/>
          <w:lang w:val="zh-TW" w:eastAsia="zh-TW" w:bidi="zh-TW"/>
          <w14:textFill>
            <w14:solidFill>
              <w14:schemeClr w14:val="tx1"/>
            </w14:solidFill>
          </w14:textFill>
        </w:rPr>
        <w:t>不再要求退还所提交的投标</w:t>
      </w:r>
      <w:r>
        <w:rPr>
          <w:rFonts w:hint="eastAsia" w:ascii="宋体" w:hAnsi="宋体" w:cs="宋体"/>
          <w:color w:val="000000" w:themeColor="text1"/>
          <w:sz w:val="22"/>
          <w:szCs w:val="30"/>
          <w:lang w:val="zh-TW" w:bidi="zh-TW"/>
          <w14:textFill>
            <w14:solidFill>
              <w14:schemeClr w14:val="tx1"/>
            </w14:solidFill>
          </w14:textFill>
        </w:rPr>
        <w:t>（</w:t>
      </w:r>
      <w:r>
        <w:rPr>
          <w:rFonts w:hint="eastAsia" w:ascii="宋体" w:hAnsi="宋体" w:cs="宋体"/>
          <w:color w:val="000000" w:themeColor="text1"/>
          <w:sz w:val="22"/>
          <w:szCs w:val="30"/>
          <w:lang w:val="zh-TW" w:eastAsia="zh-TW" w:bidi="zh-TW"/>
          <w14:textFill>
            <w14:solidFill>
              <w14:schemeClr w14:val="tx1"/>
            </w14:solidFill>
          </w14:textFill>
        </w:rPr>
        <w:t>竞买、竞租）保证金，并承担相关责任。给招标人（采购人、出让人、处置人）造成损失的，依法承担赔偿责任。</w:t>
      </w:r>
    </w:p>
    <w:p w14:paraId="1634BE8F">
      <w:pPr>
        <w:pStyle w:val="16"/>
        <w:rPr>
          <w:rFonts w:hint="eastAsia" w:ascii="宋体" w:hAnsi="宋体" w:cs="宋体"/>
          <w:color w:val="000000" w:themeColor="text1"/>
          <w:sz w:val="22"/>
          <w:szCs w:val="30"/>
          <w:lang w:val="zh-TW" w:eastAsia="zh-TW" w:bidi="zh-TW"/>
          <w14:textFill>
            <w14:solidFill>
              <w14:schemeClr w14:val="tx1"/>
            </w14:solidFill>
          </w14:textFill>
        </w:rPr>
      </w:pPr>
    </w:p>
    <w:p w14:paraId="0671E329">
      <w:pPr>
        <w:rPr>
          <w:rFonts w:hint="eastAsia" w:ascii="宋体" w:hAnsi="宋体" w:cs="宋体"/>
          <w:color w:val="000000" w:themeColor="text1"/>
          <w:lang w:val="zh-TW" w:eastAsia="zh-TW"/>
          <w14:textFill>
            <w14:solidFill>
              <w14:schemeClr w14:val="tx1"/>
            </w14:solidFill>
          </w14:textFill>
        </w:rPr>
      </w:pPr>
    </w:p>
    <w:p w14:paraId="143E0B74">
      <w:pPr>
        <w:spacing w:line="560" w:lineRule="exact"/>
        <w:jc w:val="center"/>
        <w:rPr>
          <w:rFonts w:hint="eastAsia" w:ascii="宋体" w:hAnsi="宋体" w:cs="宋体"/>
          <w:color w:val="000000" w:themeColor="text1"/>
          <w:sz w:val="22"/>
          <w:szCs w:val="30"/>
          <w:lang w:val="zh-TW" w:eastAsia="zh-TW" w:bidi="zh-TW"/>
          <w14:textFill>
            <w14:solidFill>
              <w14:schemeClr w14:val="tx1"/>
            </w14:solidFill>
          </w14:textFill>
        </w:rPr>
      </w:pPr>
      <w:r>
        <w:rPr>
          <w:rFonts w:hint="eastAsia" w:ascii="宋体" w:hAnsi="宋体" w:cs="宋体"/>
          <w:color w:val="000000" w:themeColor="text1"/>
          <w:sz w:val="22"/>
          <w:szCs w:val="30"/>
          <w:lang w:bidi="zh-TW"/>
          <w14:textFill>
            <w14:solidFill>
              <w14:schemeClr w14:val="tx1"/>
            </w14:solidFill>
          </w14:textFill>
        </w:rPr>
        <w:t xml:space="preserve">                                 </w:t>
      </w:r>
      <w:r>
        <w:rPr>
          <w:rFonts w:hint="eastAsia" w:ascii="宋体" w:hAnsi="宋体" w:cs="宋体"/>
          <w:color w:val="000000" w:themeColor="text1"/>
          <w:sz w:val="22"/>
          <w:szCs w:val="30"/>
          <w:lang w:val="zh-TW" w:eastAsia="zh-TW" w:bidi="zh-TW"/>
          <w14:textFill>
            <w14:solidFill>
              <w14:schemeClr w14:val="tx1"/>
            </w14:solidFill>
          </w14:textFill>
        </w:rPr>
        <w:t>承诺单位（组织、个人）（盖章）：</w:t>
      </w:r>
    </w:p>
    <w:p w14:paraId="43D93ED4">
      <w:pPr>
        <w:spacing w:line="560" w:lineRule="exact"/>
        <w:jc w:val="center"/>
        <w:rPr>
          <w:rFonts w:hint="eastAsia" w:ascii="宋体" w:hAnsi="宋体" w:cs="宋体"/>
          <w:color w:val="000000" w:themeColor="text1"/>
          <w:sz w:val="22"/>
          <w:szCs w:val="30"/>
          <w:lang w:val="zh-TW" w:eastAsia="zh-TW" w:bidi="zh-TW"/>
          <w14:textFill>
            <w14:solidFill>
              <w14:schemeClr w14:val="tx1"/>
            </w14:solidFill>
          </w14:textFill>
        </w:rPr>
      </w:pPr>
      <w:r>
        <w:rPr>
          <w:rFonts w:hint="eastAsia" w:ascii="宋体" w:hAnsi="宋体" w:cs="宋体"/>
          <w:color w:val="000000" w:themeColor="text1"/>
          <w:sz w:val="22"/>
          <w:szCs w:val="30"/>
          <w:lang w:bidi="zh-TW"/>
          <w14:textFill>
            <w14:solidFill>
              <w14:schemeClr w14:val="tx1"/>
            </w14:solidFill>
          </w14:textFill>
        </w:rPr>
        <w:t xml:space="preserve">                                         </w:t>
      </w:r>
      <w:r>
        <w:rPr>
          <w:rFonts w:hint="eastAsia" w:ascii="宋体" w:hAnsi="宋体" w:cs="宋体"/>
          <w:color w:val="000000" w:themeColor="text1"/>
          <w:sz w:val="22"/>
          <w:szCs w:val="30"/>
          <w:lang w:val="zh-TW" w:eastAsia="zh-TW" w:bidi="zh-TW"/>
          <w14:textFill>
            <w14:solidFill>
              <w14:schemeClr w14:val="tx1"/>
            </w14:solidFill>
          </w14:textFill>
        </w:rPr>
        <w:t>法定代表人或授权委托人（</w:t>
      </w:r>
      <w:r>
        <w:rPr>
          <w:rFonts w:hint="eastAsia" w:ascii="宋体" w:hAnsi="宋体" w:cs="宋体"/>
          <w:color w:val="000000" w:themeColor="text1"/>
          <w:sz w:val="22"/>
          <w:szCs w:val="30"/>
          <w:lang w:bidi="zh-TW"/>
          <w14:textFill>
            <w14:solidFill>
              <w14:schemeClr w14:val="tx1"/>
            </w14:solidFill>
          </w14:textFill>
        </w:rPr>
        <w:t>电子签章或签字</w:t>
      </w:r>
      <w:r>
        <w:rPr>
          <w:rFonts w:hint="eastAsia" w:ascii="宋体" w:hAnsi="宋体" w:cs="宋体"/>
          <w:color w:val="000000" w:themeColor="text1"/>
          <w:sz w:val="22"/>
          <w:szCs w:val="30"/>
          <w:lang w:val="zh-TW" w:eastAsia="zh-TW" w:bidi="zh-TW"/>
          <w14:textFill>
            <w14:solidFill>
              <w14:schemeClr w14:val="tx1"/>
            </w14:solidFill>
          </w14:textFill>
        </w:rPr>
        <w:t>）</w:t>
      </w:r>
      <w:bookmarkStart w:id="1789" w:name="_Toc54190093"/>
    </w:p>
    <w:p w14:paraId="1089BA82">
      <w:pPr>
        <w:spacing w:line="560" w:lineRule="exact"/>
        <w:jc w:val="center"/>
        <w:rPr>
          <w:rFonts w:hint="eastAsia" w:ascii="宋体" w:hAnsi="宋体" w:cs="宋体"/>
          <w:color w:val="000000" w:themeColor="text1"/>
          <w:sz w:val="22"/>
          <w:szCs w:val="30"/>
          <w:lang w:bidi="zh-TW"/>
          <w14:textFill>
            <w14:solidFill>
              <w14:schemeClr w14:val="tx1"/>
            </w14:solidFill>
          </w14:textFill>
        </w:rPr>
      </w:pPr>
      <w:r>
        <w:rPr>
          <w:rFonts w:hint="eastAsia" w:ascii="宋体" w:hAnsi="宋体" w:cs="宋体"/>
          <w:color w:val="000000" w:themeColor="text1"/>
          <w:sz w:val="22"/>
          <w:szCs w:val="30"/>
          <w:lang w:bidi="zh-TW"/>
          <w14:textFill>
            <w14:solidFill>
              <w14:schemeClr w14:val="tx1"/>
            </w14:solidFill>
          </w14:textFill>
        </w:rPr>
        <w:t xml:space="preserve">                                        日   期：        年        月       日</w:t>
      </w:r>
    </w:p>
    <w:p w14:paraId="73DE6B99">
      <w:pPr>
        <w:pStyle w:val="4"/>
        <w:ind w:firstLine="138"/>
        <w:jc w:val="center"/>
        <w:rPr>
          <w:rFonts w:hint="eastAsia" w:ascii="宋体" w:eastAsia="宋体" w:cs="宋体"/>
          <w:b/>
          <w:color w:val="000000" w:themeColor="text1"/>
          <w14:textFill>
            <w14:solidFill>
              <w14:schemeClr w14:val="tx1"/>
            </w14:solidFill>
          </w14:textFill>
        </w:rPr>
      </w:pPr>
    </w:p>
    <w:p w14:paraId="637C9A31">
      <w:pPr>
        <w:pStyle w:val="4"/>
        <w:ind w:firstLine="138"/>
        <w:jc w:val="center"/>
        <w:rPr>
          <w:rFonts w:hint="eastAsia" w:ascii="宋体" w:eastAsia="宋体" w:cs="宋体"/>
          <w:b/>
          <w:color w:val="000000" w:themeColor="text1"/>
          <w14:textFill>
            <w14:solidFill>
              <w14:schemeClr w14:val="tx1"/>
            </w14:solidFill>
          </w14:textFill>
        </w:rPr>
      </w:pPr>
      <w:r>
        <w:rPr>
          <w:rFonts w:hint="eastAsia" w:ascii="宋体" w:eastAsia="宋体" w:cs="宋体"/>
          <w:b/>
          <w:color w:val="000000" w:themeColor="text1"/>
          <w14:textFill>
            <w14:solidFill>
              <w14:schemeClr w14:val="tx1"/>
            </w14:solidFill>
          </w14:textFill>
        </w:rPr>
        <w:t>不拖欠农民工工资承诺书</w:t>
      </w:r>
    </w:p>
    <w:p w14:paraId="3CF5254A">
      <w:pPr>
        <w:spacing w:line="360" w:lineRule="auto"/>
        <w:jc w:val="center"/>
        <w:rPr>
          <w:rFonts w:hint="eastAsia" w:ascii="宋体" w:hAnsi="宋体" w:cs="宋体"/>
          <w:b/>
          <w:color w:val="000000" w:themeColor="text1"/>
          <w:kern w:val="0"/>
          <w:szCs w:val="21"/>
          <w14:textFill>
            <w14:solidFill>
              <w14:schemeClr w14:val="tx1"/>
            </w14:solidFill>
          </w14:textFill>
        </w:rPr>
      </w:pPr>
      <w:bookmarkStart w:id="1790" w:name="_Toc23445453"/>
      <w:bookmarkStart w:id="1791" w:name="_Toc17306397"/>
      <w:r>
        <w:rPr>
          <w:rFonts w:hint="eastAsia" w:ascii="宋体" w:hAnsi="宋体" w:cs="宋体"/>
          <w:b/>
          <w:color w:val="000000" w:themeColor="text1"/>
          <w:kern w:val="0"/>
          <w:szCs w:val="21"/>
          <w14:textFill>
            <w14:solidFill>
              <w14:schemeClr w14:val="tx1"/>
            </w14:solidFill>
          </w14:textFill>
        </w:rPr>
        <w:t>（格式自拟）</w:t>
      </w:r>
      <w:bookmarkEnd w:id="1790"/>
      <w:bookmarkEnd w:id="1791"/>
    </w:p>
    <w:p w14:paraId="431AE1A3">
      <w:pPr>
        <w:ind w:firstLine="5040" w:firstLineChars="24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p>
    <w:p w14:paraId="371EDCC8">
      <w:pPr>
        <w:pStyle w:val="3"/>
        <w:jc w:val="center"/>
        <w:rPr>
          <w:rFonts w:hint="eastAsia" w:ascii="宋体" w:hAnsi="宋体" w:eastAsia="宋体" w:cs="宋体"/>
          <w:color w:val="000000" w:themeColor="text1"/>
          <w14:textFill>
            <w14:solidFill>
              <w14:schemeClr w14:val="tx1"/>
            </w14:solidFill>
          </w14:textFill>
        </w:rPr>
      </w:pPr>
      <w:bookmarkStart w:id="1792" w:name="_Toc14115"/>
      <w:bookmarkStart w:id="1793" w:name="_Toc29190"/>
      <w:r>
        <w:rPr>
          <w:rFonts w:hint="eastAsia" w:ascii="宋体" w:hAnsi="宋体" w:eastAsia="宋体" w:cs="宋体"/>
          <w:color w:val="000000" w:themeColor="text1"/>
          <w14:textFill>
            <w14:solidFill>
              <w14:schemeClr w14:val="tx1"/>
            </w14:solidFill>
          </w14:textFill>
        </w:rPr>
        <w:t>七、投标保证金</w:t>
      </w:r>
      <w:bookmarkEnd w:id="1783"/>
      <w:bookmarkEnd w:id="1784"/>
      <w:bookmarkEnd w:id="1785"/>
      <w:bookmarkEnd w:id="1786"/>
      <w:bookmarkEnd w:id="1787"/>
      <w:bookmarkEnd w:id="1788"/>
      <w:bookmarkEnd w:id="1789"/>
      <w:bookmarkEnd w:id="1792"/>
      <w:bookmarkEnd w:id="1793"/>
    </w:p>
    <w:p w14:paraId="105FEC0E">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14:textFill>
            <w14:solidFill>
              <w14:schemeClr w14:val="tx1"/>
            </w14:solidFill>
          </w14:textFill>
        </w:rPr>
        <w:t>（招标人名称）：</w:t>
      </w:r>
    </w:p>
    <w:p w14:paraId="68B8AAF0">
      <w:pPr>
        <w:spacing w:line="440" w:lineRule="exact"/>
        <w:rPr>
          <w:rFonts w:hint="eastAsia" w:ascii="宋体" w:hAnsi="宋体" w:cs="宋体"/>
          <w:color w:val="000000" w:themeColor="text1"/>
          <w:szCs w:val="21"/>
          <w14:textFill>
            <w14:solidFill>
              <w14:schemeClr w14:val="tx1"/>
            </w14:solidFill>
          </w14:textFill>
        </w:rPr>
      </w:pPr>
    </w:p>
    <w:p w14:paraId="104181AA">
      <w:pPr>
        <w:spacing w:line="440" w:lineRule="exact"/>
        <w:ind w:firstLine="42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我方于年月日参加</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u w:val="single"/>
          <w:lang w:eastAsia="zh-CN"/>
          <w14:textFill>
            <w14:solidFill>
              <w14:schemeClr w14:val="tx1"/>
            </w14:solidFill>
          </w14:textFill>
        </w:rPr>
        <w:t>（项目名称）</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的投标，现保证：我方在规定的投标有效期内撤销或修改投标文件的，或者在收到中标通知书后无正当理由拒签合同或拒交规定履约担保的，投标保证金不予退还。</w:t>
      </w:r>
    </w:p>
    <w:p w14:paraId="2FA13AB9">
      <w:pPr>
        <w:spacing w:line="500" w:lineRule="exact"/>
        <w:ind w:firstLine="480" w:firstLineChars="200"/>
        <w:jc w:val="left"/>
        <w:rPr>
          <w:rFonts w:hint="eastAsia"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w:t>
      </w:r>
      <w:r>
        <w:rPr>
          <w:rFonts w:hint="eastAsia" w:ascii="宋体" w:hAnsi="宋体" w:cs="宋体"/>
          <w:b/>
          <w:caps/>
          <w:color w:val="000000" w:themeColor="text1"/>
          <w:sz w:val="24"/>
          <w14:textFill>
            <w14:solidFill>
              <w14:schemeClr w14:val="tx1"/>
            </w14:solidFill>
          </w14:textFill>
        </w:rPr>
        <w:t>注：牵头人提供</w:t>
      </w:r>
      <w:r>
        <w:rPr>
          <w:rFonts w:hint="eastAsia" w:ascii="宋体" w:hAnsi="宋体" w:cs="宋体"/>
          <w:caps/>
          <w:color w:val="000000" w:themeColor="text1"/>
          <w:sz w:val="24"/>
          <w14:textFill>
            <w14:solidFill>
              <w14:schemeClr w14:val="tx1"/>
            </w14:solidFill>
          </w14:textFill>
        </w:rPr>
        <w:t>。）</w:t>
      </w:r>
    </w:p>
    <w:p w14:paraId="204301AD">
      <w:pPr>
        <w:spacing w:line="440" w:lineRule="exact"/>
        <w:rPr>
          <w:rFonts w:hint="eastAsia" w:ascii="宋体" w:hAnsi="宋体" w:cs="宋体"/>
          <w:color w:val="000000" w:themeColor="text1"/>
          <w:szCs w:val="21"/>
          <w14:textFill>
            <w14:solidFill>
              <w14:schemeClr w14:val="tx1"/>
            </w14:solidFill>
          </w14:textFill>
        </w:rPr>
      </w:pPr>
    </w:p>
    <w:p w14:paraId="0A3E8CAE">
      <w:pPr>
        <w:pStyle w:val="16"/>
        <w:rPr>
          <w:rFonts w:hint="eastAsia" w:ascii="宋体" w:hAnsi="宋体" w:cs="宋体"/>
          <w:color w:val="000000" w:themeColor="text1"/>
          <w:szCs w:val="21"/>
          <w14:textFill>
            <w14:solidFill>
              <w14:schemeClr w14:val="tx1"/>
            </w14:solidFill>
          </w14:textFill>
        </w:rPr>
      </w:pPr>
    </w:p>
    <w:p w14:paraId="3868C170">
      <w:pPr>
        <w:rPr>
          <w:rFonts w:hint="eastAsia" w:ascii="宋体" w:hAnsi="宋体" w:cs="宋体"/>
          <w:color w:val="000000" w:themeColor="text1"/>
          <w:szCs w:val="21"/>
          <w14:textFill>
            <w14:solidFill>
              <w14:schemeClr w14:val="tx1"/>
            </w14:solidFill>
          </w14:textFill>
        </w:rPr>
      </w:pPr>
    </w:p>
    <w:p w14:paraId="2FB5DA4F">
      <w:pPr>
        <w:pStyle w:val="16"/>
        <w:rPr>
          <w:rFonts w:hint="eastAsia" w:ascii="宋体" w:hAnsi="宋体" w:cs="宋体"/>
          <w:color w:val="000000" w:themeColor="text1"/>
          <w:szCs w:val="21"/>
          <w14:textFill>
            <w14:solidFill>
              <w14:schemeClr w14:val="tx1"/>
            </w14:solidFill>
          </w14:textFill>
        </w:rPr>
      </w:pPr>
    </w:p>
    <w:p w14:paraId="0628485A">
      <w:pPr>
        <w:rPr>
          <w:rFonts w:hint="eastAsia" w:ascii="宋体" w:hAnsi="宋体" w:cs="宋体"/>
          <w:color w:val="000000" w:themeColor="text1"/>
          <w14:textFill>
            <w14:solidFill>
              <w14:schemeClr w14:val="tx1"/>
            </w14:solidFill>
          </w14:textFill>
        </w:rPr>
      </w:pPr>
    </w:p>
    <w:p w14:paraId="382EBF82">
      <w:pPr>
        <w:spacing w:line="440" w:lineRule="exact"/>
        <w:rPr>
          <w:rFonts w:hint="eastAsia" w:ascii="宋体" w:hAnsi="宋体" w:cs="宋体"/>
          <w:color w:val="000000" w:themeColor="text1"/>
          <w:szCs w:val="21"/>
          <w14:textFill>
            <w14:solidFill>
              <w14:schemeClr w14:val="tx1"/>
            </w14:solidFill>
          </w14:textFill>
        </w:rPr>
      </w:pPr>
    </w:p>
    <w:p w14:paraId="2D4E1D5E">
      <w:pPr>
        <w:spacing w:line="480" w:lineRule="auto"/>
        <w:ind w:firstLine="3150" w:firstLineChars="15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（电子签章或盖单位章）</w:t>
      </w:r>
    </w:p>
    <w:p w14:paraId="137BED0C">
      <w:pPr>
        <w:spacing w:line="480" w:lineRule="auto"/>
        <w:ind w:firstLine="3206" w:firstLineChars="1527"/>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投标人法定代表人或其委托人：</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（电子签章或签字）</w:t>
      </w:r>
    </w:p>
    <w:p w14:paraId="10283B2D">
      <w:pPr>
        <w:spacing w:line="480" w:lineRule="auto"/>
        <w:ind w:firstLine="3206" w:firstLineChars="1527"/>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地    址：</w:t>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p>
    <w:p w14:paraId="6242C009">
      <w:pPr>
        <w:spacing w:line="480" w:lineRule="auto"/>
        <w:ind w:firstLine="3206" w:firstLineChars="1527"/>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邮政编码：</w:t>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ab/>
      </w:r>
    </w:p>
    <w:p w14:paraId="39840643">
      <w:pPr>
        <w:spacing w:line="480" w:lineRule="auto"/>
        <w:ind w:firstLine="3206" w:firstLineChars="1527"/>
        <w:rPr>
          <w:rFonts w:hint="eastAsia" w:ascii="宋体" w:hAnsi="宋体" w:cs="宋体"/>
          <w:i/>
          <w:iCs/>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电    话：</w:t>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i/>
          <w:iCs/>
          <w:color w:val="000000" w:themeColor="text1"/>
          <w:szCs w:val="21"/>
          <w:u w:val="single"/>
          <w14:textFill>
            <w14:solidFill>
              <w14:schemeClr w14:val="tx1"/>
            </w14:solidFill>
          </w14:textFill>
        </w:rPr>
        <w:t xml:space="preserve">   </w:t>
      </w:r>
    </w:p>
    <w:p w14:paraId="36CE8676">
      <w:pPr>
        <w:spacing w:line="480" w:lineRule="auto"/>
        <w:ind w:firstLine="3206" w:firstLineChars="1527"/>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日   期：</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日</w:t>
      </w:r>
      <w:r>
        <w:rPr>
          <w:rFonts w:hint="eastAsia" w:ascii="宋体" w:hAnsi="宋体" w:cs="宋体"/>
          <w:color w:val="000000" w:themeColor="text1"/>
          <w14:textFill>
            <w14:solidFill>
              <w14:schemeClr w14:val="tx1"/>
            </w14:solidFill>
          </w14:textFill>
        </w:rPr>
        <w:br w:type="page"/>
      </w:r>
    </w:p>
    <w:p w14:paraId="2FCFB2F5">
      <w:pPr>
        <w:jc w:val="center"/>
        <w:rPr>
          <w:rFonts w:hint="eastAsia" w:ascii="宋体" w:hAnsi="宋体" w:cs="宋体"/>
          <w:b/>
          <w:caps/>
          <w:color w:val="000000" w:themeColor="text1"/>
          <w:sz w:val="32"/>
          <w:szCs w:val="28"/>
          <w14:textFill>
            <w14:solidFill>
              <w14:schemeClr w14:val="tx1"/>
            </w14:solidFill>
          </w14:textFill>
        </w:rPr>
      </w:pPr>
      <w:r>
        <w:rPr>
          <w:rFonts w:hint="eastAsia" w:ascii="宋体" w:hAnsi="宋体" w:cs="宋体"/>
          <w:b/>
          <w:caps/>
          <w:color w:val="000000" w:themeColor="text1"/>
          <w:sz w:val="28"/>
          <w:szCs w:val="28"/>
          <w14:textFill>
            <w14:solidFill>
              <w14:schemeClr w14:val="tx1"/>
            </w14:solidFill>
          </w14:textFill>
        </w:rPr>
        <w:t>投标保证金</w:t>
      </w:r>
    </w:p>
    <w:p w14:paraId="72554D30">
      <w:pPr>
        <w:spacing w:line="500" w:lineRule="exact"/>
        <w:ind w:firstLine="480" w:firstLineChars="200"/>
        <w:jc w:val="left"/>
        <w:rPr>
          <w:rFonts w:hint="eastAsia"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请投标人在投标截止前按招标文件要求缴纳投标保证金</w:t>
      </w:r>
      <w:r>
        <w:rPr>
          <w:rFonts w:hint="eastAsia" w:ascii="宋体" w:hAnsi="宋体" w:cs="宋体"/>
          <w:b/>
          <w:bCs/>
          <w:caps/>
          <w:color w:val="000000" w:themeColor="text1"/>
          <w:sz w:val="24"/>
          <w14:textFill>
            <w14:solidFill>
              <w14:schemeClr w14:val="tx1"/>
            </w14:solidFill>
          </w14:textFill>
        </w:rPr>
        <w:t>，</w:t>
      </w:r>
      <w:r>
        <w:rPr>
          <w:rFonts w:hint="eastAsia" w:ascii="宋体" w:hAnsi="宋体" w:cs="宋体"/>
          <w:caps/>
          <w:color w:val="000000" w:themeColor="text1"/>
          <w:sz w:val="24"/>
          <w14:textFill>
            <w14:solidFill>
              <w14:schemeClr w14:val="tx1"/>
            </w14:solidFill>
          </w14:textFill>
        </w:rPr>
        <w:t>保证金缴纳回执或相关票据需加盖单位公章后按招标文件的要求装订于投标文件内。未交投标保证金的投标人资料将拒绝接收。（</w:t>
      </w:r>
      <w:r>
        <w:rPr>
          <w:rFonts w:hint="eastAsia" w:ascii="宋体" w:hAnsi="宋体" w:cs="宋体"/>
          <w:b/>
          <w:caps/>
          <w:color w:val="000000" w:themeColor="text1"/>
          <w:sz w:val="24"/>
          <w14:textFill>
            <w14:solidFill>
              <w14:schemeClr w14:val="tx1"/>
            </w14:solidFill>
          </w14:textFill>
        </w:rPr>
        <w:t>注：牵头人提供</w:t>
      </w:r>
      <w:r>
        <w:rPr>
          <w:rFonts w:hint="eastAsia" w:ascii="宋体" w:hAnsi="宋体" w:cs="宋体"/>
          <w:caps/>
          <w:color w:val="000000" w:themeColor="text1"/>
          <w:sz w:val="24"/>
          <w14:textFill>
            <w14:solidFill>
              <w14:schemeClr w14:val="tx1"/>
            </w14:solidFill>
          </w14:textFill>
        </w:rPr>
        <w:t>。）</w:t>
      </w:r>
    </w:p>
    <w:p w14:paraId="055E7770">
      <w:pPr>
        <w:spacing w:line="500" w:lineRule="exact"/>
        <w:ind w:firstLine="617" w:firstLineChars="294"/>
        <w:rPr>
          <w:rFonts w:hint="eastAsia" w:ascii="宋体" w:hAnsi="宋体" w:cs="宋体"/>
          <w:caps/>
          <w:color w:val="000000" w:themeColor="text1"/>
          <w:szCs w:val="21"/>
          <w14:textFill>
            <w14:solidFill>
              <w14:schemeClr w14:val="tx1"/>
            </w14:solidFill>
          </w14:textFill>
        </w:rPr>
      </w:pPr>
    </w:p>
    <w:p w14:paraId="4D71A231">
      <w:pPr>
        <w:spacing w:line="200" w:lineRule="atLeast"/>
        <w:ind w:firstLine="617" w:firstLineChars="294"/>
        <w:rPr>
          <w:rFonts w:hint="eastAsia" w:ascii="宋体" w:hAnsi="宋体" w:cs="宋体"/>
          <w:caps/>
          <w:color w:val="000000" w:themeColor="text1"/>
          <w:szCs w:val="21"/>
          <w14:textFill>
            <w14:solidFill>
              <w14:schemeClr w14:val="tx1"/>
            </w14:solidFill>
          </w14:textFill>
        </w:rPr>
      </w:pPr>
    </w:p>
    <w:p w14:paraId="386D0AF2">
      <w:pPr>
        <w:spacing w:line="200" w:lineRule="atLeast"/>
        <w:ind w:firstLine="617" w:firstLineChars="294"/>
        <w:rPr>
          <w:rFonts w:hint="eastAsia" w:ascii="宋体" w:hAnsi="宋体" w:cs="宋体"/>
          <w:caps/>
          <w:color w:val="000000" w:themeColor="text1"/>
          <w:szCs w:val="21"/>
          <w14:textFill>
            <w14:solidFill>
              <w14:schemeClr w14:val="tx1"/>
            </w14:solidFill>
          </w14:textFill>
        </w:rPr>
      </w:pPr>
    </w:p>
    <w:p w14:paraId="6FFB04C3">
      <w:pPr>
        <w:spacing w:line="200" w:lineRule="atLeast"/>
        <w:ind w:firstLine="617" w:firstLineChars="294"/>
        <w:rPr>
          <w:rFonts w:hint="eastAsia" w:ascii="宋体" w:hAnsi="宋体" w:cs="宋体"/>
          <w:caps/>
          <w:color w:val="000000" w:themeColor="text1"/>
          <w:szCs w:val="21"/>
          <w14:textFill>
            <w14:solidFill>
              <w14:schemeClr w14:val="tx1"/>
            </w14:solidFill>
          </w14:textFill>
        </w:rPr>
      </w:pPr>
    </w:p>
    <w:p w14:paraId="45D5A4DA">
      <w:pPr>
        <w:spacing w:line="200" w:lineRule="atLeast"/>
        <w:ind w:firstLine="617" w:firstLineChars="294"/>
        <w:rPr>
          <w:rFonts w:hint="eastAsia" w:ascii="宋体" w:hAnsi="宋体" w:cs="宋体"/>
          <w:caps/>
          <w:color w:val="000000" w:themeColor="text1"/>
          <w:szCs w:val="21"/>
          <w14:textFill>
            <w14:solidFill>
              <w14:schemeClr w14:val="tx1"/>
            </w14:solidFill>
          </w14:textFill>
        </w:rPr>
      </w:pPr>
    </w:p>
    <w:p w14:paraId="707B2936">
      <w:pPr>
        <w:spacing w:line="200" w:lineRule="atLeast"/>
        <w:ind w:firstLine="617" w:firstLineChars="294"/>
        <w:rPr>
          <w:rFonts w:hint="eastAsia" w:ascii="宋体" w:hAnsi="宋体" w:cs="宋体"/>
          <w:caps/>
          <w:color w:val="000000" w:themeColor="text1"/>
          <w:szCs w:val="21"/>
          <w14:textFill>
            <w14:solidFill>
              <w14:schemeClr w14:val="tx1"/>
            </w14:solidFill>
          </w14:textFill>
        </w:rPr>
      </w:pPr>
    </w:p>
    <w:p w14:paraId="5006D23D">
      <w:pPr>
        <w:spacing w:line="200" w:lineRule="atLeast"/>
        <w:ind w:firstLine="617" w:firstLineChars="294"/>
        <w:rPr>
          <w:rFonts w:hint="eastAsia" w:ascii="宋体" w:hAnsi="宋体" w:cs="宋体"/>
          <w:caps/>
          <w:color w:val="000000" w:themeColor="text1"/>
          <w:szCs w:val="21"/>
          <w14:textFill>
            <w14:solidFill>
              <w14:schemeClr w14:val="tx1"/>
            </w14:solidFill>
          </w14:textFill>
        </w:rPr>
      </w:pPr>
    </w:p>
    <w:p w14:paraId="20544BEB">
      <w:pPr>
        <w:spacing w:line="200" w:lineRule="atLeast"/>
        <w:ind w:firstLine="617" w:firstLineChars="294"/>
        <w:rPr>
          <w:rFonts w:hint="eastAsia" w:ascii="宋体" w:hAnsi="宋体" w:cs="宋体"/>
          <w:caps/>
          <w:color w:val="000000" w:themeColor="text1"/>
          <w:szCs w:val="21"/>
          <w14:textFill>
            <w14:solidFill>
              <w14:schemeClr w14:val="tx1"/>
            </w14:solidFill>
          </w14:textFill>
        </w:rPr>
      </w:pPr>
    </w:p>
    <w:p w14:paraId="151179E8">
      <w:pPr>
        <w:spacing w:line="200" w:lineRule="atLeast"/>
        <w:ind w:firstLine="617" w:firstLineChars="294"/>
        <w:rPr>
          <w:rFonts w:hint="eastAsia" w:ascii="宋体" w:hAnsi="宋体" w:cs="宋体"/>
          <w:caps/>
          <w:color w:val="000000" w:themeColor="text1"/>
          <w:szCs w:val="21"/>
          <w14:textFill>
            <w14:solidFill>
              <w14:schemeClr w14:val="tx1"/>
            </w14:solidFill>
          </w14:textFill>
        </w:rPr>
      </w:pPr>
    </w:p>
    <w:tbl>
      <w:tblPr>
        <w:tblStyle w:val="41"/>
        <w:tblW w:w="0" w:type="auto"/>
        <w:tblInd w:w="6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0"/>
      </w:tblGrid>
      <w:tr w14:paraId="43B0E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0" w:hRule="atLeast"/>
        </w:trPr>
        <w:tc>
          <w:tcPr>
            <w:tcW w:w="7240" w:type="dxa"/>
          </w:tcPr>
          <w:p w14:paraId="495AE7ED">
            <w:pPr>
              <w:spacing w:line="200" w:lineRule="atLeast"/>
              <w:ind w:firstLine="617" w:firstLineChars="294"/>
              <w:rPr>
                <w:rFonts w:hint="eastAsia" w:ascii="宋体" w:hAnsi="宋体" w:cs="宋体"/>
                <w:caps/>
                <w:color w:val="000000" w:themeColor="text1"/>
                <w:szCs w:val="21"/>
                <w14:textFill>
                  <w14:solidFill>
                    <w14:schemeClr w14:val="tx1"/>
                  </w14:solidFill>
                </w14:textFill>
              </w:rPr>
            </w:pPr>
          </w:p>
          <w:p w14:paraId="3D550400">
            <w:pPr>
              <w:jc w:val="center"/>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此处提供</w:t>
            </w:r>
            <w:r>
              <w:rPr>
                <w:rFonts w:hint="eastAsia" w:ascii="宋体" w:hAnsi="宋体" w:cs="宋体"/>
                <w:b/>
                <w:color w:val="000000" w:themeColor="text1"/>
                <w:sz w:val="28"/>
                <w:szCs w:val="28"/>
                <w14:textFill>
                  <w14:solidFill>
                    <w14:schemeClr w14:val="tx1"/>
                  </w14:solidFill>
                </w14:textFill>
              </w:rPr>
              <w:t>保证金缴纳回执或相关票据复印件</w:t>
            </w:r>
          </w:p>
          <w:p w14:paraId="09FE1D51">
            <w:pPr>
              <w:jc w:val="center"/>
              <w:rPr>
                <w:rFonts w:hint="eastAsia" w:ascii="宋体" w:hAnsi="宋体" w:cs="宋体"/>
                <w:b/>
                <w:color w:val="000000" w:themeColor="text1"/>
                <w:sz w:val="28"/>
                <w:szCs w:val="28"/>
                <w14:textFill>
                  <w14:solidFill>
                    <w14:schemeClr w14:val="tx1"/>
                  </w14:solidFill>
                </w14:textFill>
              </w:rPr>
            </w:pPr>
          </w:p>
          <w:p w14:paraId="14EC9178">
            <w:pPr>
              <w:jc w:val="center"/>
              <w:rPr>
                <w:rFonts w:hint="eastAsia" w:ascii="宋体" w:hAnsi="宋体" w:cs="宋体"/>
                <w:caps/>
                <w:color w:val="000000" w:themeColor="text1"/>
                <w:szCs w:val="21"/>
                <w14:textFill>
                  <w14:solidFill>
                    <w14:schemeClr w14:val="tx1"/>
                  </w14:solidFill>
                </w14:textFill>
              </w:rPr>
            </w:pPr>
          </w:p>
        </w:tc>
      </w:tr>
    </w:tbl>
    <w:p w14:paraId="7F87C0D1">
      <w:pPr>
        <w:rPr>
          <w:rFonts w:hint="eastAsia" w:ascii="宋体" w:hAnsi="宋体" w:cs="宋体"/>
          <w:color w:val="000000" w:themeColor="text1"/>
          <w14:textFill>
            <w14:solidFill>
              <w14:schemeClr w14:val="tx1"/>
            </w14:solidFill>
          </w14:textFill>
        </w:rPr>
      </w:pPr>
      <w:bookmarkStart w:id="1794" w:name="_Toc247514288"/>
      <w:bookmarkStart w:id="1795" w:name="_Toc152042585"/>
      <w:bookmarkStart w:id="1796" w:name="_Toc144974864"/>
      <w:bookmarkStart w:id="1797" w:name="_Toc152045796"/>
      <w:bookmarkStart w:id="1798" w:name="_Toc54190094"/>
      <w:bookmarkStart w:id="1799" w:name="_Toc247527836"/>
      <w:bookmarkStart w:id="1800" w:name="_Toc30962"/>
      <w:r>
        <w:rPr>
          <w:rFonts w:hint="eastAsia" w:ascii="宋体" w:hAnsi="宋体" w:cs="宋体"/>
          <w:color w:val="000000" w:themeColor="text1"/>
          <w14:textFill>
            <w14:solidFill>
              <w14:schemeClr w14:val="tx1"/>
            </w14:solidFill>
          </w14:textFill>
        </w:rPr>
        <w:br w:type="page"/>
      </w:r>
    </w:p>
    <w:bookmarkEnd w:id="1794"/>
    <w:bookmarkEnd w:id="1795"/>
    <w:bookmarkEnd w:id="1796"/>
    <w:bookmarkEnd w:id="1797"/>
    <w:bookmarkEnd w:id="1798"/>
    <w:bookmarkEnd w:id="1799"/>
    <w:bookmarkEnd w:id="1800"/>
    <w:p w14:paraId="25F0FEE3">
      <w:pPr>
        <w:pStyle w:val="3"/>
        <w:numPr>
          <w:ilvl w:val="0"/>
          <w:numId w:val="14"/>
        </w:numPr>
        <w:jc w:val="center"/>
        <w:rPr>
          <w:rFonts w:hint="eastAsia" w:ascii="宋体" w:hAnsi="宋体" w:eastAsia="宋体" w:cs="宋体"/>
          <w:color w:val="000000" w:themeColor="text1"/>
          <w:highlight w:val="none"/>
          <w14:textFill>
            <w14:solidFill>
              <w14:schemeClr w14:val="tx1"/>
            </w14:solidFill>
          </w14:textFill>
        </w:rPr>
      </w:pPr>
      <w:bookmarkStart w:id="1801" w:name="_Toc20379"/>
      <w:bookmarkStart w:id="1802" w:name="_Toc26850"/>
      <w:r>
        <w:rPr>
          <w:rFonts w:hint="eastAsia" w:ascii="宋体" w:hAnsi="宋体" w:eastAsia="宋体" w:cs="宋体"/>
          <w:color w:val="000000" w:themeColor="text1"/>
          <w:highlight w:val="none"/>
          <w14:textFill>
            <w14:solidFill>
              <w14:schemeClr w14:val="tx1"/>
            </w14:solidFill>
          </w14:textFill>
        </w:rPr>
        <w:t>承包人建议书</w:t>
      </w:r>
      <w:bookmarkEnd w:id="1801"/>
      <w:bookmarkEnd w:id="1802"/>
      <w:r>
        <w:rPr>
          <w:rFonts w:hint="eastAsia" w:ascii="宋体" w:hAnsi="宋体" w:eastAsia="宋体" w:cs="宋体"/>
          <w:color w:val="000000" w:themeColor="text1"/>
          <w:highlight w:val="none"/>
          <w:lang w:val="en-US" w:eastAsia="zh-CN"/>
          <w14:textFill>
            <w14:solidFill>
              <w14:schemeClr w14:val="tx1"/>
            </w14:solidFill>
          </w14:textFill>
        </w:rPr>
        <w:t>及实施方案</w:t>
      </w:r>
    </w:p>
    <w:p w14:paraId="3F25ADDA">
      <w:pPr>
        <w:jc w:val="left"/>
        <w:rPr>
          <w:rFonts w:hint="default" w:ascii="宋体" w:hAnsi="宋体" w:cs="宋体"/>
          <w:color w:val="000000" w:themeColor="text1"/>
          <w:highlight w:val="none"/>
          <w:lang w:val="en-US"/>
          <w14:textFill>
            <w14:solidFill>
              <w14:schemeClr w14:val="tx1"/>
            </w14:solidFill>
          </w14:textFill>
        </w:rPr>
      </w:pPr>
      <w:r>
        <w:rPr>
          <w:rFonts w:hint="eastAsia"/>
          <w:highlight w:val="none"/>
          <w:lang w:val="en-US" w:eastAsia="zh-CN"/>
        </w:rPr>
        <w:t>一、承包人建议书</w:t>
      </w:r>
    </w:p>
    <w:p w14:paraId="3F1C1988">
      <w:pPr>
        <w:spacing w:line="48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（一）</w:t>
      </w:r>
      <w:r>
        <w:rPr>
          <w:rFonts w:hint="eastAsia" w:ascii="宋体" w:hAnsi="宋体" w:cs="宋体"/>
          <w:color w:val="000000" w:themeColor="text1"/>
          <w:highlight w:val="none"/>
          <w14:textFill>
            <w14:solidFill>
              <w14:schemeClr w14:val="tx1"/>
            </w14:solidFill>
          </w14:textFill>
        </w:rPr>
        <w:t>勘察方法、技术手段</w:t>
      </w:r>
    </w:p>
    <w:p w14:paraId="120833A3">
      <w:pPr>
        <w:spacing w:line="48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（二）设计建议书（可同时提供相应图纸，图幅不限）</w:t>
      </w:r>
    </w:p>
    <w:p w14:paraId="431BD2DE">
      <w:pPr>
        <w:spacing w:line="48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（三）设计详细说明</w:t>
      </w:r>
    </w:p>
    <w:p w14:paraId="6C737CB5">
      <w:pPr>
        <w:spacing w:line="48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四</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设计人员配备</w:t>
      </w:r>
    </w:p>
    <w:p w14:paraId="4512E5FB">
      <w:pPr>
        <w:spacing w:line="48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五</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设计组织方案</w:t>
      </w:r>
    </w:p>
    <w:p w14:paraId="6AE73AF5">
      <w:pPr>
        <w:spacing w:line="48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六</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其他</w:t>
      </w:r>
    </w:p>
    <w:p w14:paraId="3368B8B8">
      <w:pPr>
        <w:spacing w:line="480" w:lineRule="auto"/>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二、设备实施方案</w:t>
      </w:r>
    </w:p>
    <w:p w14:paraId="7047CECA">
      <w:pPr>
        <w:spacing w:line="480" w:lineRule="auto"/>
        <w:jc w:val="left"/>
        <w:rPr>
          <w:rFonts w:hint="eastAsia" w:ascii="宋体" w:hAnsi="宋体" w:eastAsia="宋体" w:cs="宋体"/>
          <w:color w:val="000000" w:themeColor="text1"/>
          <w:szCs w:val="21"/>
          <w:highlight w:val="none"/>
          <w:lang w:val="en-US" w:eastAsia="zh-CN"/>
          <w14:textFill>
            <w14:solidFill>
              <w14:schemeClr w14:val="tx1"/>
            </w14:solidFill>
          </w14:textFill>
        </w:rPr>
      </w:pPr>
      <w:bookmarkStart w:id="1803" w:name="_Toc2043"/>
      <w:bookmarkStart w:id="1804" w:name="_Toc31145"/>
      <w:r>
        <w:rPr>
          <w:rFonts w:hint="eastAsia" w:ascii="宋体" w:hAnsi="宋体" w:eastAsia="宋体" w:cs="宋体"/>
          <w:color w:val="000000" w:themeColor="text1"/>
          <w:szCs w:val="21"/>
          <w:highlight w:val="none"/>
          <w:lang w:val="en-US" w:eastAsia="zh-CN"/>
          <w14:textFill>
            <w14:solidFill>
              <w14:schemeClr w14:val="tx1"/>
            </w14:solidFill>
          </w14:textFill>
        </w:rPr>
        <w:t>三、</w:t>
      </w:r>
      <w:r>
        <w:rPr>
          <w:rFonts w:hint="eastAsia" w:ascii="宋体" w:hAnsi="宋体" w:eastAsia="宋体" w:cs="宋体"/>
          <w:color w:val="000000" w:themeColor="text1"/>
          <w:szCs w:val="21"/>
          <w:highlight w:val="none"/>
          <w14:textFill>
            <w14:solidFill>
              <w14:schemeClr w14:val="tx1"/>
            </w14:solidFill>
          </w14:textFill>
        </w:rPr>
        <w:t>承包人</w:t>
      </w:r>
      <w:r>
        <w:rPr>
          <w:rFonts w:hint="eastAsia" w:ascii="宋体" w:hAnsi="宋体" w:cs="宋体"/>
          <w:color w:val="000000" w:themeColor="text1"/>
          <w:szCs w:val="21"/>
          <w:highlight w:val="none"/>
          <w:lang w:val="en-US" w:eastAsia="zh-CN"/>
          <w14:textFill>
            <w14:solidFill>
              <w14:schemeClr w14:val="tx1"/>
            </w14:solidFill>
          </w14:textFill>
        </w:rPr>
        <w:t>建筑安装</w:t>
      </w:r>
      <w:r>
        <w:rPr>
          <w:rFonts w:hint="eastAsia" w:ascii="宋体" w:hAnsi="宋体" w:eastAsia="宋体" w:cs="宋体"/>
          <w:color w:val="000000" w:themeColor="text1"/>
          <w:szCs w:val="21"/>
          <w:highlight w:val="none"/>
          <w14:textFill>
            <w14:solidFill>
              <w14:schemeClr w14:val="tx1"/>
            </w14:solidFill>
          </w14:textFill>
        </w:rPr>
        <w:t>实施</w:t>
      </w:r>
      <w:bookmarkEnd w:id="1803"/>
      <w:bookmarkEnd w:id="1804"/>
      <w:r>
        <w:rPr>
          <w:rFonts w:hint="eastAsia" w:ascii="宋体" w:hAnsi="宋体" w:eastAsia="宋体" w:cs="宋体"/>
          <w:color w:val="000000" w:themeColor="text1"/>
          <w:szCs w:val="21"/>
          <w:highlight w:val="none"/>
          <w:lang w:val="en-US" w:eastAsia="zh-CN"/>
          <w14:textFill>
            <w14:solidFill>
              <w14:schemeClr w14:val="tx1"/>
            </w14:solidFill>
          </w14:textFill>
        </w:rPr>
        <w:t>方案</w:t>
      </w:r>
    </w:p>
    <w:p w14:paraId="7336F209">
      <w:pPr>
        <w:spacing w:line="480" w:lineRule="auto"/>
        <w:jc w:val="left"/>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（一）碳管理系统方案</w:t>
      </w:r>
    </w:p>
    <w:p w14:paraId="25D254B3">
      <w:pPr>
        <w:spacing w:line="480" w:lineRule="auto"/>
        <w:jc w:val="left"/>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（二）总体实施方案</w:t>
      </w:r>
    </w:p>
    <w:p w14:paraId="1AD29317">
      <w:pPr>
        <w:spacing w:line="480" w:lineRule="auto"/>
        <w:jc w:val="left"/>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（三）项目施工方案与技术措施</w:t>
      </w:r>
    </w:p>
    <w:p w14:paraId="40788D03">
      <w:pPr>
        <w:spacing w:line="480" w:lineRule="auto"/>
        <w:jc w:val="left"/>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（四）项目管理要点</w:t>
      </w:r>
    </w:p>
    <w:p w14:paraId="62AA264E">
      <w:pPr>
        <w:spacing w:line="480" w:lineRule="auto"/>
        <w:jc w:val="left"/>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（五）项目管理机构及人员配置</w:t>
      </w:r>
    </w:p>
    <w:p w14:paraId="4FE61712">
      <w:pPr>
        <w:rPr>
          <w:rFonts w:hint="eastAsia" w:ascii="宋体" w:hAnsi="宋体" w:eastAsia="宋体" w:cs="宋体"/>
          <w:color w:val="000000" w:themeColor="text1"/>
          <w:szCs w:val="27"/>
          <w:highlight w:val="none"/>
          <w14:textFill>
            <w14:solidFill>
              <w14:schemeClr w14:val="tx1"/>
            </w14:solidFill>
          </w14:textFill>
        </w:rPr>
      </w:pPr>
      <w:bookmarkStart w:id="1805" w:name="_Toc10356"/>
      <w:bookmarkStart w:id="1806" w:name="_Toc54190096"/>
      <w:bookmarkStart w:id="1807" w:name="_Toc15338"/>
      <w:bookmarkStart w:id="1808" w:name="_Toc2285"/>
      <w:r>
        <w:rPr>
          <w:rFonts w:hint="eastAsia" w:ascii="宋体" w:hAnsi="宋体" w:eastAsia="宋体" w:cs="宋体"/>
          <w:color w:val="000000" w:themeColor="text1"/>
          <w:szCs w:val="27"/>
          <w:highlight w:val="none"/>
          <w14:textFill>
            <w14:solidFill>
              <w14:schemeClr w14:val="tx1"/>
            </w14:solidFill>
          </w14:textFill>
        </w:rPr>
        <w:br w:type="page"/>
      </w:r>
    </w:p>
    <w:p w14:paraId="61E56387">
      <w:pPr>
        <w:pStyle w:val="3"/>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7"/>
          <w:lang w:val="en-US" w:eastAsia="zh-CN"/>
          <w14:textFill>
            <w14:solidFill>
              <w14:schemeClr w14:val="tx1"/>
            </w14:solidFill>
          </w14:textFill>
        </w:rPr>
        <w:t>九</w:t>
      </w:r>
      <w:r>
        <w:rPr>
          <w:rFonts w:hint="eastAsia" w:ascii="宋体" w:hAnsi="宋体" w:eastAsia="宋体" w:cs="宋体"/>
          <w:color w:val="000000" w:themeColor="text1"/>
          <w:sz w:val="27"/>
          <w:szCs w:val="27"/>
          <w14:textFill>
            <w14:solidFill>
              <w14:schemeClr w14:val="tx1"/>
            </w14:solidFill>
          </w14:textFill>
        </w:rPr>
        <w:t>、</w:t>
      </w:r>
      <w:bookmarkStart w:id="1809" w:name="_Toc247514299"/>
      <w:bookmarkStart w:id="1810" w:name="_Toc144974875"/>
      <w:bookmarkStart w:id="1811" w:name="_Toc152042596"/>
      <w:bookmarkStart w:id="1812" w:name="_Toc247527847"/>
      <w:bookmarkStart w:id="1813" w:name="_Toc152045807"/>
      <w:r>
        <w:rPr>
          <w:rFonts w:hint="eastAsia" w:ascii="宋体" w:hAnsi="宋体" w:eastAsia="宋体" w:cs="宋体"/>
          <w:color w:val="000000" w:themeColor="text1"/>
          <w14:textFill>
            <w14:solidFill>
              <w14:schemeClr w14:val="tx1"/>
            </w14:solidFill>
          </w14:textFill>
        </w:rPr>
        <w:t>资格审查资料</w:t>
      </w:r>
      <w:bookmarkEnd w:id="1805"/>
      <w:bookmarkEnd w:id="1806"/>
      <w:bookmarkEnd w:id="1807"/>
      <w:bookmarkEnd w:id="1808"/>
      <w:bookmarkEnd w:id="1809"/>
      <w:bookmarkEnd w:id="1810"/>
      <w:bookmarkEnd w:id="1811"/>
      <w:bookmarkEnd w:id="1812"/>
      <w:bookmarkEnd w:id="1813"/>
    </w:p>
    <w:p w14:paraId="3DDCB643">
      <w:pPr>
        <w:pStyle w:val="4"/>
        <w:jc w:val="center"/>
        <w:rPr>
          <w:rFonts w:hint="eastAsia" w:ascii="宋体" w:eastAsia="宋体" w:cs="宋体"/>
          <w:color w:val="000000" w:themeColor="text1"/>
          <w14:textFill>
            <w14:solidFill>
              <w14:schemeClr w14:val="tx1"/>
            </w14:solidFill>
          </w14:textFill>
        </w:rPr>
      </w:pPr>
      <w:bookmarkStart w:id="1814" w:name="_Toc54190097"/>
      <w:bookmarkStart w:id="1815" w:name="_Toc152042597"/>
      <w:bookmarkStart w:id="1816" w:name="_Toc15720"/>
      <w:bookmarkStart w:id="1817" w:name="_Toc144974876"/>
      <w:bookmarkStart w:id="1818" w:name="_Toc247514300"/>
      <w:bookmarkStart w:id="1819" w:name="_Toc28995"/>
      <w:bookmarkStart w:id="1820" w:name="_Toc247527848"/>
      <w:bookmarkStart w:id="1821" w:name="_Toc152045808"/>
      <w:r>
        <w:rPr>
          <w:rFonts w:hint="eastAsia" w:ascii="宋体" w:eastAsia="宋体" w:cs="宋体"/>
          <w:color w:val="000000" w:themeColor="text1"/>
          <w14:textFill>
            <w14:solidFill>
              <w14:schemeClr w14:val="tx1"/>
            </w14:solidFill>
          </w14:textFill>
        </w:rPr>
        <w:t>（一）投标人基本情况表</w:t>
      </w:r>
      <w:bookmarkEnd w:id="1814"/>
      <w:bookmarkEnd w:id="1815"/>
      <w:bookmarkEnd w:id="1816"/>
      <w:bookmarkEnd w:id="1817"/>
      <w:bookmarkEnd w:id="1818"/>
      <w:bookmarkEnd w:id="1819"/>
      <w:bookmarkEnd w:id="1820"/>
      <w:bookmarkEnd w:id="1821"/>
    </w:p>
    <w:tbl>
      <w:tblPr>
        <w:tblStyle w:val="41"/>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70"/>
        <w:gridCol w:w="920"/>
        <w:gridCol w:w="975"/>
        <w:gridCol w:w="861"/>
        <w:gridCol w:w="430"/>
        <w:gridCol w:w="319"/>
        <w:gridCol w:w="1104"/>
        <w:gridCol w:w="503"/>
        <w:gridCol w:w="882"/>
        <w:gridCol w:w="1926"/>
      </w:tblGrid>
      <w:tr w14:paraId="52C75B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770" w:type="dxa"/>
            <w:tcBorders>
              <w:top w:val="single" w:color="auto" w:sz="4" w:space="0"/>
              <w:left w:val="single" w:color="auto" w:sz="4" w:space="0"/>
              <w:bottom w:val="single" w:color="auto" w:sz="4" w:space="0"/>
              <w:right w:val="single" w:color="auto" w:sz="4" w:space="0"/>
            </w:tcBorders>
            <w:vAlign w:val="center"/>
          </w:tcPr>
          <w:p w14:paraId="0842C075">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投标人名称</w:t>
            </w:r>
          </w:p>
        </w:tc>
        <w:tc>
          <w:tcPr>
            <w:tcW w:w="7920" w:type="dxa"/>
            <w:gridSpan w:val="9"/>
            <w:tcBorders>
              <w:top w:val="single" w:color="auto" w:sz="4" w:space="0"/>
              <w:left w:val="single" w:color="auto" w:sz="4" w:space="0"/>
              <w:bottom w:val="single" w:color="auto" w:sz="4" w:space="0"/>
              <w:right w:val="single" w:color="auto" w:sz="4" w:space="0"/>
            </w:tcBorders>
            <w:vAlign w:val="center"/>
          </w:tcPr>
          <w:p w14:paraId="226DD9AE">
            <w:pPr>
              <w:topLinePunct/>
              <w:spacing w:line="440" w:lineRule="exact"/>
              <w:jc w:val="center"/>
              <w:rPr>
                <w:rFonts w:hint="eastAsia" w:ascii="宋体" w:hAnsi="宋体" w:cs="宋体"/>
                <w:color w:val="000000" w:themeColor="text1"/>
                <w:szCs w:val="21"/>
                <w14:textFill>
                  <w14:solidFill>
                    <w14:schemeClr w14:val="tx1"/>
                  </w14:solidFill>
                </w14:textFill>
              </w:rPr>
            </w:pPr>
          </w:p>
        </w:tc>
      </w:tr>
      <w:tr w14:paraId="02769E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770" w:type="dxa"/>
            <w:tcBorders>
              <w:top w:val="single" w:color="auto" w:sz="4" w:space="0"/>
              <w:left w:val="single" w:color="auto" w:sz="4" w:space="0"/>
              <w:bottom w:val="single" w:color="auto" w:sz="4" w:space="0"/>
              <w:right w:val="single" w:color="auto" w:sz="4" w:space="0"/>
            </w:tcBorders>
            <w:vAlign w:val="center"/>
          </w:tcPr>
          <w:p w14:paraId="2DB05D73">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注册地址</w:t>
            </w:r>
          </w:p>
        </w:tc>
        <w:tc>
          <w:tcPr>
            <w:tcW w:w="3505" w:type="dxa"/>
            <w:gridSpan w:val="5"/>
            <w:tcBorders>
              <w:top w:val="single" w:color="auto" w:sz="4" w:space="0"/>
              <w:left w:val="single" w:color="auto" w:sz="4" w:space="0"/>
              <w:bottom w:val="single" w:color="auto" w:sz="4" w:space="0"/>
              <w:right w:val="single" w:color="auto" w:sz="4" w:space="0"/>
            </w:tcBorders>
            <w:vAlign w:val="center"/>
          </w:tcPr>
          <w:p w14:paraId="37AB4F12">
            <w:pPr>
              <w:topLinePunct/>
              <w:spacing w:line="440" w:lineRule="exact"/>
              <w:jc w:val="center"/>
              <w:rPr>
                <w:rFonts w:hint="eastAsia" w:ascii="宋体" w:hAnsi="宋体" w:cs="宋体"/>
                <w:color w:val="000000" w:themeColor="text1"/>
                <w:szCs w:val="21"/>
                <w14:textFill>
                  <w14:solidFill>
                    <w14:schemeClr w14:val="tx1"/>
                  </w14:solidFill>
                </w14:textFill>
              </w:rPr>
            </w:pPr>
          </w:p>
        </w:tc>
        <w:tc>
          <w:tcPr>
            <w:tcW w:w="1104" w:type="dxa"/>
            <w:tcBorders>
              <w:top w:val="single" w:color="auto" w:sz="4" w:space="0"/>
              <w:left w:val="single" w:color="auto" w:sz="4" w:space="0"/>
              <w:bottom w:val="single" w:color="auto" w:sz="4" w:space="0"/>
              <w:right w:val="single" w:color="auto" w:sz="4" w:space="0"/>
            </w:tcBorders>
            <w:vAlign w:val="center"/>
          </w:tcPr>
          <w:p w14:paraId="0E70AE4A">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邮政编码</w:t>
            </w:r>
          </w:p>
        </w:tc>
        <w:tc>
          <w:tcPr>
            <w:tcW w:w="3311" w:type="dxa"/>
            <w:gridSpan w:val="3"/>
            <w:tcBorders>
              <w:top w:val="single" w:color="auto" w:sz="4" w:space="0"/>
              <w:left w:val="single" w:color="auto" w:sz="4" w:space="0"/>
              <w:bottom w:val="single" w:color="auto" w:sz="4" w:space="0"/>
              <w:right w:val="single" w:color="auto" w:sz="4" w:space="0"/>
            </w:tcBorders>
            <w:vAlign w:val="center"/>
          </w:tcPr>
          <w:p w14:paraId="0DE8CAEF">
            <w:pPr>
              <w:topLinePunct/>
              <w:spacing w:line="440" w:lineRule="exact"/>
              <w:jc w:val="center"/>
              <w:rPr>
                <w:rFonts w:hint="eastAsia" w:ascii="宋体" w:hAnsi="宋体" w:cs="宋体"/>
                <w:color w:val="000000" w:themeColor="text1"/>
                <w:szCs w:val="21"/>
                <w14:textFill>
                  <w14:solidFill>
                    <w14:schemeClr w14:val="tx1"/>
                  </w14:solidFill>
                </w14:textFill>
              </w:rPr>
            </w:pPr>
          </w:p>
        </w:tc>
      </w:tr>
      <w:tr w14:paraId="4D1BED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1770" w:type="dxa"/>
            <w:vMerge w:val="restart"/>
            <w:tcBorders>
              <w:top w:val="single" w:color="auto" w:sz="4" w:space="0"/>
              <w:left w:val="single" w:color="auto" w:sz="4" w:space="0"/>
              <w:bottom w:val="single" w:color="auto" w:sz="4" w:space="0"/>
              <w:right w:val="single" w:color="auto" w:sz="4" w:space="0"/>
            </w:tcBorders>
            <w:vAlign w:val="center"/>
          </w:tcPr>
          <w:p w14:paraId="284105E2">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联系方式</w:t>
            </w:r>
          </w:p>
        </w:tc>
        <w:tc>
          <w:tcPr>
            <w:tcW w:w="920" w:type="dxa"/>
            <w:tcBorders>
              <w:top w:val="single" w:color="auto" w:sz="4" w:space="0"/>
              <w:left w:val="single" w:color="auto" w:sz="4" w:space="0"/>
              <w:bottom w:val="single" w:color="auto" w:sz="4" w:space="0"/>
              <w:right w:val="single" w:color="auto" w:sz="4" w:space="0"/>
            </w:tcBorders>
            <w:vAlign w:val="center"/>
          </w:tcPr>
          <w:p w14:paraId="5B95513B">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联系人</w:t>
            </w:r>
          </w:p>
        </w:tc>
        <w:tc>
          <w:tcPr>
            <w:tcW w:w="2585" w:type="dxa"/>
            <w:gridSpan w:val="4"/>
            <w:tcBorders>
              <w:top w:val="single" w:color="auto" w:sz="4" w:space="0"/>
              <w:left w:val="single" w:color="auto" w:sz="4" w:space="0"/>
              <w:bottom w:val="single" w:color="auto" w:sz="4" w:space="0"/>
              <w:right w:val="single" w:color="auto" w:sz="4" w:space="0"/>
            </w:tcBorders>
            <w:vAlign w:val="center"/>
          </w:tcPr>
          <w:p w14:paraId="7E7B3FB9">
            <w:pPr>
              <w:topLinePunct/>
              <w:spacing w:line="440" w:lineRule="exact"/>
              <w:jc w:val="center"/>
              <w:rPr>
                <w:rFonts w:hint="eastAsia" w:ascii="宋体" w:hAnsi="宋体" w:cs="宋体"/>
                <w:color w:val="000000" w:themeColor="text1"/>
                <w:szCs w:val="21"/>
                <w14:textFill>
                  <w14:solidFill>
                    <w14:schemeClr w14:val="tx1"/>
                  </w14:solidFill>
                </w14:textFill>
              </w:rPr>
            </w:pPr>
          </w:p>
        </w:tc>
        <w:tc>
          <w:tcPr>
            <w:tcW w:w="1104" w:type="dxa"/>
            <w:tcBorders>
              <w:top w:val="single" w:color="auto" w:sz="4" w:space="0"/>
              <w:left w:val="single" w:color="auto" w:sz="4" w:space="0"/>
              <w:bottom w:val="single" w:color="auto" w:sz="4" w:space="0"/>
              <w:right w:val="single" w:color="auto" w:sz="4" w:space="0"/>
            </w:tcBorders>
            <w:vAlign w:val="center"/>
          </w:tcPr>
          <w:p w14:paraId="4AE07894">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电 话</w:t>
            </w:r>
          </w:p>
        </w:tc>
        <w:tc>
          <w:tcPr>
            <w:tcW w:w="3311" w:type="dxa"/>
            <w:gridSpan w:val="3"/>
            <w:tcBorders>
              <w:top w:val="single" w:color="auto" w:sz="4" w:space="0"/>
              <w:left w:val="single" w:color="auto" w:sz="4" w:space="0"/>
              <w:bottom w:val="single" w:color="auto" w:sz="4" w:space="0"/>
              <w:right w:val="single" w:color="auto" w:sz="4" w:space="0"/>
            </w:tcBorders>
            <w:vAlign w:val="center"/>
          </w:tcPr>
          <w:p w14:paraId="68BCE99E">
            <w:pPr>
              <w:topLinePunct/>
              <w:spacing w:line="440" w:lineRule="exact"/>
              <w:jc w:val="center"/>
              <w:rPr>
                <w:rFonts w:hint="eastAsia" w:ascii="宋体" w:hAnsi="宋体" w:cs="宋体"/>
                <w:color w:val="000000" w:themeColor="text1"/>
                <w:szCs w:val="21"/>
                <w14:textFill>
                  <w14:solidFill>
                    <w14:schemeClr w14:val="tx1"/>
                  </w14:solidFill>
                </w14:textFill>
              </w:rPr>
            </w:pPr>
          </w:p>
        </w:tc>
      </w:tr>
      <w:tr w14:paraId="496AF9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trPr>
        <w:tc>
          <w:tcPr>
            <w:tcW w:w="1770" w:type="dxa"/>
            <w:vMerge w:val="continue"/>
            <w:tcBorders>
              <w:top w:val="single" w:color="auto" w:sz="4" w:space="0"/>
              <w:left w:val="single" w:color="auto" w:sz="4" w:space="0"/>
              <w:bottom w:val="single" w:color="auto" w:sz="4" w:space="0"/>
              <w:right w:val="single" w:color="auto" w:sz="4" w:space="0"/>
            </w:tcBorders>
            <w:vAlign w:val="center"/>
          </w:tcPr>
          <w:p w14:paraId="667834F6">
            <w:pPr>
              <w:topLinePunct/>
              <w:spacing w:line="440" w:lineRule="exact"/>
              <w:jc w:val="center"/>
              <w:rPr>
                <w:rFonts w:hint="eastAsia" w:ascii="宋体" w:hAnsi="宋体" w:cs="宋体"/>
                <w:color w:val="000000" w:themeColor="text1"/>
                <w:szCs w:val="21"/>
                <w14:textFill>
                  <w14:solidFill>
                    <w14:schemeClr w14:val="tx1"/>
                  </w14:solidFill>
                </w14:textFill>
              </w:rPr>
            </w:pPr>
          </w:p>
        </w:tc>
        <w:tc>
          <w:tcPr>
            <w:tcW w:w="920" w:type="dxa"/>
            <w:tcBorders>
              <w:top w:val="single" w:color="auto" w:sz="4" w:space="0"/>
              <w:left w:val="single" w:color="auto" w:sz="4" w:space="0"/>
              <w:bottom w:val="single" w:color="auto" w:sz="4" w:space="0"/>
              <w:right w:val="single" w:color="auto" w:sz="4" w:space="0"/>
            </w:tcBorders>
            <w:vAlign w:val="center"/>
          </w:tcPr>
          <w:p w14:paraId="73445A29">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传  真</w:t>
            </w:r>
          </w:p>
        </w:tc>
        <w:tc>
          <w:tcPr>
            <w:tcW w:w="2585" w:type="dxa"/>
            <w:gridSpan w:val="4"/>
            <w:tcBorders>
              <w:top w:val="single" w:color="auto" w:sz="4" w:space="0"/>
              <w:left w:val="single" w:color="auto" w:sz="4" w:space="0"/>
              <w:bottom w:val="single" w:color="auto" w:sz="4" w:space="0"/>
              <w:right w:val="single" w:color="auto" w:sz="4" w:space="0"/>
            </w:tcBorders>
            <w:vAlign w:val="center"/>
          </w:tcPr>
          <w:p w14:paraId="3148EC01">
            <w:pPr>
              <w:topLinePunct/>
              <w:spacing w:line="440" w:lineRule="exact"/>
              <w:jc w:val="center"/>
              <w:rPr>
                <w:rFonts w:hint="eastAsia" w:ascii="宋体" w:hAnsi="宋体" w:cs="宋体"/>
                <w:color w:val="000000" w:themeColor="text1"/>
                <w:szCs w:val="21"/>
                <w14:textFill>
                  <w14:solidFill>
                    <w14:schemeClr w14:val="tx1"/>
                  </w14:solidFill>
                </w14:textFill>
              </w:rPr>
            </w:pPr>
          </w:p>
        </w:tc>
        <w:tc>
          <w:tcPr>
            <w:tcW w:w="1104" w:type="dxa"/>
            <w:tcBorders>
              <w:top w:val="single" w:color="auto" w:sz="4" w:space="0"/>
              <w:left w:val="single" w:color="auto" w:sz="4" w:space="0"/>
              <w:bottom w:val="single" w:color="auto" w:sz="4" w:space="0"/>
              <w:right w:val="single" w:color="auto" w:sz="4" w:space="0"/>
            </w:tcBorders>
            <w:vAlign w:val="center"/>
          </w:tcPr>
          <w:p w14:paraId="7F37B008">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网 址</w:t>
            </w:r>
          </w:p>
        </w:tc>
        <w:tc>
          <w:tcPr>
            <w:tcW w:w="3311" w:type="dxa"/>
            <w:gridSpan w:val="3"/>
            <w:tcBorders>
              <w:top w:val="single" w:color="auto" w:sz="4" w:space="0"/>
              <w:left w:val="single" w:color="auto" w:sz="4" w:space="0"/>
              <w:bottom w:val="single" w:color="auto" w:sz="4" w:space="0"/>
              <w:right w:val="single" w:color="auto" w:sz="4" w:space="0"/>
            </w:tcBorders>
            <w:vAlign w:val="center"/>
          </w:tcPr>
          <w:p w14:paraId="3B1A37E4">
            <w:pPr>
              <w:topLinePunct/>
              <w:spacing w:line="440" w:lineRule="exact"/>
              <w:jc w:val="center"/>
              <w:rPr>
                <w:rFonts w:hint="eastAsia" w:ascii="宋体" w:hAnsi="宋体" w:cs="宋体"/>
                <w:color w:val="000000" w:themeColor="text1"/>
                <w:szCs w:val="21"/>
                <w14:textFill>
                  <w14:solidFill>
                    <w14:schemeClr w14:val="tx1"/>
                  </w14:solidFill>
                </w14:textFill>
              </w:rPr>
            </w:pPr>
          </w:p>
        </w:tc>
      </w:tr>
      <w:tr w14:paraId="7CCBD3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1770" w:type="dxa"/>
            <w:tcBorders>
              <w:top w:val="single" w:color="auto" w:sz="4" w:space="0"/>
              <w:left w:val="single" w:color="auto" w:sz="4" w:space="0"/>
              <w:bottom w:val="single" w:color="auto" w:sz="4" w:space="0"/>
              <w:right w:val="single" w:color="auto" w:sz="4" w:space="0"/>
            </w:tcBorders>
            <w:vAlign w:val="center"/>
          </w:tcPr>
          <w:p w14:paraId="57BE1F5B">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组织结构</w:t>
            </w:r>
          </w:p>
        </w:tc>
        <w:tc>
          <w:tcPr>
            <w:tcW w:w="7920" w:type="dxa"/>
            <w:gridSpan w:val="9"/>
            <w:tcBorders>
              <w:top w:val="single" w:color="auto" w:sz="4" w:space="0"/>
              <w:left w:val="single" w:color="auto" w:sz="4" w:space="0"/>
              <w:bottom w:val="single" w:color="auto" w:sz="4" w:space="0"/>
              <w:right w:val="single" w:color="auto" w:sz="4" w:space="0"/>
            </w:tcBorders>
            <w:vAlign w:val="center"/>
          </w:tcPr>
          <w:p w14:paraId="3C11FA8A">
            <w:pPr>
              <w:topLinePunct/>
              <w:spacing w:line="440" w:lineRule="exact"/>
              <w:jc w:val="center"/>
              <w:rPr>
                <w:rFonts w:hint="eastAsia" w:ascii="宋体" w:hAnsi="宋体" w:cs="宋体"/>
                <w:color w:val="000000" w:themeColor="text1"/>
                <w:szCs w:val="21"/>
                <w14:textFill>
                  <w14:solidFill>
                    <w14:schemeClr w14:val="tx1"/>
                  </w14:solidFill>
                </w14:textFill>
              </w:rPr>
            </w:pPr>
          </w:p>
        </w:tc>
      </w:tr>
      <w:tr w14:paraId="01574D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1770" w:type="dxa"/>
            <w:tcBorders>
              <w:top w:val="single" w:color="auto" w:sz="4" w:space="0"/>
              <w:left w:val="single" w:color="auto" w:sz="4" w:space="0"/>
              <w:bottom w:val="single" w:color="auto" w:sz="4" w:space="0"/>
              <w:right w:val="single" w:color="auto" w:sz="4" w:space="0"/>
            </w:tcBorders>
            <w:vAlign w:val="center"/>
          </w:tcPr>
          <w:p w14:paraId="70F3252F">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法定代表人</w:t>
            </w:r>
          </w:p>
        </w:tc>
        <w:tc>
          <w:tcPr>
            <w:tcW w:w="920" w:type="dxa"/>
            <w:tcBorders>
              <w:top w:val="single" w:color="auto" w:sz="4" w:space="0"/>
              <w:left w:val="single" w:color="auto" w:sz="4" w:space="0"/>
              <w:bottom w:val="single" w:color="auto" w:sz="4" w:space="0"/>
              <w:right w:val="single" w:color="auto" w:sz="4" w:space="0"/>
            </w:tcBorders>
            <w:vAlign w:val="center"/>
          </w:tcPr>
          <w:p w14:paraId="072C8D3A">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姓名</w:t>
            </w:r>
          </w:p>
        </w:tc>
        <w:tc>
          <w:tcPr>
            <w:tcW w:w="975" w:type="dxa"/>
            <w:tcBorders>
              <w:top w:val="single" w:color="auto" w:sz="4" w:space="0"/>
              <w:left w:val="single" w:color="auto" w:sz="4" w:space="0"/>
              <w:bottom w:val="single" w:color="auto" w:sz="4" w:space="0"/>
              <w:right w:val="single" w:color="auto" w:sz="4" w:space="0"/>
            </w:tcBorders>
            <w:vAlign w:val="center"/>
          </w:tcPr>
          <w:p w14:paraId="6E0268F3">
            <w:pPr>
              <w:topLinePunct/>
              <w:spacing w:line="440" w:lineRule="exact"/>
              <w:jc w:val="center"/>
              <w:rPr>
                <w:rFonts w:hint="eastAsia" w:ascii="宋体" w:hAnsi="宋体" w:cs="宋体"/>
                <w:color w:val="000000" w:themeColor="text1"/>
                <w:szCs w:val="21"/>
                <w14:textFill>
                  <w14:solidFill>
                    <w14:schemeClr w14:val="tx1"/>
                  </w14:solidFill>
                </w14:textFill>
              </w:rPr>
            </w:pPr>
          </w:p>
        </w:tc>
        <w:tc>
          <w:tcPr>
            <w:tcW w:w="1291" w:type="dxa"/>
            <w:gridSpan w:val="2"/>
            <w:tcBorders>
              <w:top w:val="single" w:color="auto" w:sz="4" w:space="0"/>
              <w:left w:val="single" w:color="auto" w:sz="4" w:space="0"/>
              <w:bottom w:val="single" w:color="auto" w:sz="4" w:space="0"/>
              <w:right w:val="single" w:color="auto" w:sz="4" w:space="0"/>
            </w:tcBorders>
            <w:vAlign w:val="center"/>
          </w:tcPr>
          <w:p w14:paraId="35494076">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技术职称</w:t>
            </w:r>
          </w:p>
        </w:tc>
        <w:tc>
          <w:tcPr>
            <w:tcW w:w="1926" w:type="dxa"/>
            <w:gridSpan w:val="3"/>
            <w:tcBorders>
              <w:top w:val="single" w:color="auto" w:sz="4" w:space="0"/>
              <w:left w:val="single" w:color="auto" w:sz="4" w:space="0"/>
              <w:bottom w:val="single" w:color="auto" w:sz="4" w:space="0"/>
              <w:right w:val="single" w:color="auto" w:sz="4" w:space="0"/>
            </w:tcBorders>
            <w:vAlign w:val="center"/>
          </w:tcPr>
          <w:p w14:paraId="2A4CDCD3">
            <w:pPr>
              <w:topLinePunct/>
              <w:spacing w:line="440" w:lineRule="exact"/>
              <w:jc w:val="center"/>
              <w:rPr>
                <w:rFonts w:hint="eastAsia" w:ascii="宋体" w:hAnsi="宋体" w:cs="宋体"/>
                <w:color w:val="000000" w:themeColor="text1"/>
                <w:szCs w:val="21"/>
                <w14:textFill>
                  <w14:solidFill>
                    <w14:schemeClr w14:val="tx1"/>
                  </w14:solidFill>
                </w14:textFill>
              </w:rPr>
            </w:pPr>
          </w:p>
        </w:tc>
        <w:tc>
          <w:tcPr>
            <w:tcW w:w="882" w:type="dxa"/>
            <w:tcBorders>
              <w:top w:val="single" w:color="auto" w:sz="4" w:space="0"/>
              <w:left w:val="single" w:color="auto" w:sz="4" w:space="0"/>
              <w:bottom w:val="single" w:color="auto" w:sz="4" w:space="0"/>
              <w:right w:val="single" w:color="auto" w:sz="4" w:space="0"/>
            </w:tcBorders>
            <w:vAlign w:val="center"/>
          </w:tcPr>
          <w:p w14:paraId="7C69C6FD">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电话</w:t>
            </w:r>
          </w:p>
        </w:tc>
        <w:tc>
          <w:tcPr>
            <w:tcW w:w="1926" w:type="dxa"/>
            <w:tcBorders>
              <w:top w:val="single" w:color="auto" w:sz="4" w:space="0"/>
              <w:left w:val="single" w:color="auto" w:sz="4" w:space="0"/>
              <w:bottom w:val="single" w:color="auto" w:sz="4" w:space="0"/>
              <w:right w:val="single" w:color="auto" w:sz="4" w:space="0"/>
            </w:tcBorders>
            <w:vAlign w:val="center"/>
          </w:tcPr>
          <w:p w14:paraId="56421443">
            <w:pPr>
              <w:topLinePunct/>
              <w:spacing w:line="440" w:lineRule="exact"/>
              <w:jc w:val="center"/>
              <w:rPr>
                <w:rFonts w:hint="eastAsia" w:ascii="宋体" w:hAnsi="宋体" w:cs="宋体"/>
                <w:color w:val="000000" w:themeColor="text1"/>
                <w:szCs w:val="21"/>
                <w14:textFill>
                  <w14:solidFill>
                    <w14:schemeClr w14:val="tx1"/>
                  </w14:solidFill>
                </w14:textFill>
              </w:rPr>
            </w:pPr>
          </w:p>
        </w:tc>
      </w:tr>
      <w:tr w14:paraId="7B516F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trPr>
        <w:tc>
          <w:tcPr>
            <w:tcW w:w="1770" w:type="dxa"/>
            <w:tcBorders>
              <w:top w:val="single" w:color="auto" w:sz="4" w:space="0"/>
              <w:left w:val="single" w:color="auto" w:sz="4" w:space="0"/>
              <w:bottom w:val="single" w:color="auto" w:sz="4" w:space="0"/>
              <w:right w:val="single" w:color="auto" w:sz="4" w:space="0"/>
            </w:tcBorders>
            <w:vAlign w:val="center"/>
          </w:tcPr>
          <w:p w14:paraId="4C1F62F1">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技术负责人</w:t>
            </w:r>
          </w:p>
        </w:tc>
        <w:tc>
          <w:tcPr>
            <w:tcW w:w="920" w:type="dxa"/>
            <w:tcBorders>
              <w:top w:val="single" w:color="auto" w:sz="4" w:space="0"/>
              <w:left w:val="single" w:color="auto" w:sz="4" w:space="0"/>
              <w:bottom w:val="single" w:color="auto" w:sz="4" w:space="0"/>
              <w:right w:val="single" w:color="auto" w:sz="4" w:space="0"/>
            </w:tcBorders>
            <w:vAlign w:val="center"/>
          </w:tcPr>
          <w:p w14:paraId="6DD094BD">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姓名</w:t>
            </w:r>
          </w:p>
        </w:tc>
        <w:tc>
          <w:tcPr>
            <w:tcW w:w="975" w:type="dxa"/>
            <w:tcBorders>
              <w:top w:val="single" w:color="auto" w:sz="4" w:space="0"/>
              <w:left w:val="single" w:color="auto" w:sz="4" w:space="0"/>
              <w:bottom w:val="single" w:color="auto" w:sz="4" w:space="0"/>
              <w:right w:val="single" w:color="auto" w:sz="4" w:space="0"/>
            </w:tcBorders>
            <w:vAlign w:val="center"/>
          </w:tcPr>
          <w:p w14:paraId="04C29D8F">
            <w:pPr>
              <w:topLinePunct/>
              <w:spacing w:line="440" w:lineRule="exact"/>
              <w:jc w:val="center"/>
              <w:rPr>
                <w:rFonts w:hint="eastAsia" w:ascii="宋体" w:hAnsi="宋体" w:cs="宋体"/>
                <w:color w:val="000000" w:themeColor="text1"/>
                <w:szCs w:val="21"/>
                <w14:textFill>
                  <w14:solidFill>
                    <w14:schemeClr w14:val="tx1"/>
                  </w14:solidFill>
                </w14:textFill>
              </w:rPr>
            </w:pPr>
          </w:p>
        </w:tc>
        <w:tc>
          <w:tcPr>
            <w:tcW w:w="1291" w:type="dxa"/>
            <w:gridSpan w:val="2"/>
            <w:tcBorders>
              <w:top w:val="single" w:color="auto" w:sz="4" w:space="0"/>
              <w:left w:val="single" w:color="auto" w:sz="4" w:space="0"/>
              <w:bottom w:val="single" w:color="auto" w:sz="4" w:space="0"/>
              <w:right w:val="single" w:color="auto" w:sz="4" w:space="0"/>
            </w:tcBorders>
            <w:vAlign w:val="center"/>
          </w:tcPr>
          <w:p w14:paraId="5E2D03B8">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技术职称</w:t>
            </w:r>
          </w:p>
        </w:tc>
        <w:tc>
          <w:tcPr>
            <w:tcW w:w="1926" w:type="dxa"/>
            <w:gridSpan w:val="3"/>
            <w:tcBorders>
              <w:top w:val="single" w:color="auto" w:sz="4" w:space="0"/>
              <w:left w:val="single" w:color="auto" w:sz="4" w:space="0"/>
              <w:bottom w:val="single" w:color="auto" w:sz="4" w:space="0"/>
              <w:right w:val="single" w:color="auto" w:sz="4" w:space="0"/>
            </w:tcBorders>
            <w:vAlign w:val="center"/>
          </w:tcPr>
          <w:p w14:paraId="1384C05E">
            <w:pPr>
              <w:topLinePunct/>
              <w:spacing w:line="440" w:lineRule="exact"/>
              <w:jc w:val="center"/>
              <w:rPr>
                <w:rFonts w:hint="eastAsia" w:ascii="宋体" w:hAnsi="宋体" w:cs="宋体"/>
                <w:color w:val="000000" w:themeColor="text1"/>
                <w:szCs w:val="21"/>
                <w14:textFill>
                  <w14:solidFill>
                    <w14:schemeClr w14:val="tx1"/>
                  </w14:solidFill>
                </w14:textFill>
              </w:rPr>
            </w:pPr>
          </w:p>
        </w:tc>
        <w:tc>
          <w:tcPr>
            <w:tcW w:w="882" w:type="dxa"/>
            <w:tcBorders>
              <w:top w:val="single" w:color="auto" w:sz="4" w:space="0"/>
              <w:left w:val="single" w:color="auto" w:sz="4" w:space="0"/>
              <w:bottom w:val="single" w:color="auto" w:sz="4" w:space="0"/>
              <w:right w:val="single" w:color="auto" w:sz="4" w:space="0"/>
            </w:tcBorders>
            <w:vAlign w:val="center"/>
          </w:tcPr>
          <w:p w14:paraId="76A7EDD7">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电话</w:t>
            </w:r>
          </w:p>
        </w:tc>
        <w:tc>
          <w:tcPr>
            <w:tcW w:w="1926" w:type="dxa"/>
            <w:tcBorders>
              <w:top w:val="single" w:color="auto" w:sz="4" w:space="0"/>
              <w:left w:val="single" w:color="auto" w:sz="4" w:space="0"/>
              <w:bottom w:val="single" w:color="auto" w:sz="4" w:space="0"/>
              <w:right w:val="single" w:color="auto" w:sz="4" w:space="0"/>
            </w:tcBorders>
            <w:vAlign w:val="center"/>
          </w:tcPr>
          <w:p w14:paraId="0A8A3013">
            <w:pPr>
              <w:topLinePunct/>
              <w:spacing w:line="440" w:lineRule="exact"/>
              <w:jc w:val="center"/>
              <w:rPr>
                <w:rFonts w:hint="eastAsia" w:ascii="宋体" w:hAnsi="宋体" w:cs="宋体"/>
                <w:color w:val="000000" w:themeColor="text1"/>
                <w:szCs w:val="21"/>
                <w14:textFill>
                  <w14:solidFill>
                    <w14:schemeClr w14:val="tx1"/>
                  </w14:solidFill>
                </w14:textFill>
              </w:rPr>
            </w:pPr>
          </w:p>
        </w:tc>
      </w:tr>
      <w:tr w14:paraId="6F2492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770" w:type="dxa"/>
            <w:tcBorders>
              <w:top w:val="single" w:color="auto" w:sz="4" w:space="0"/>
              <w:left w:val="single" w:color="auto" w:sz="4" w:space="0"/>
              <w:bottom w:val="single" w:color="auto" w:sz="4" w:space="0"/>
              <w:right w:val="single" w:color="auto" w:sz="4" w:space="0"/>
            </w:tcBorders>
            <w:vAlign w:val="center"/>
          </w:tcPr>
          <w:p w14:paraId="0B02B98B">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成立时间</w:t>
            </w:r>
          </w:p>
        </w:tc>
        <w:tc>
          <w:tcPr>
            <w:tcW w:w="1895" w:type="dxa"/>
            <w:gridSpan w:val="2"/>
            <w:tcBorders>
              <w:top w:val="single" w:color="auto" w:sz="4" w:space="0"/>
              <w:left w:val="single" w:color="auto" w:sz="4" w:space="0"/>
              <w:bottom w:val="single" w:color="auto" w:sz="4" w:space="0"/>
              <w:right w:val="single" w:color="auto" w:sz="4" w:space="0"/>
            </w:tcBorders>
            <w:vAlign w:val="center"/>
          </w:tcPr>
          <w:p w14:paraId="75571696">
            <w:pPr>
              <w:topLinePunct/>
              <w:spacing w:line="440" w:lineRule="exact"/>
              <w:jc w:val="center"/>
              <w:rPr>
                <w:rFonts w:hint="eastAsia" w:ascii="宋体" w:hAnsi="宋体" w:cs="宋体"/>
                <w:color w:val="000000" w:themeColor="text1"/>
                <w:szCs w:val="21"/>
                <w14:textFill>
                  <w14:solidFill>
                    <w14:schemeClr w14:val="tx1"/>
                  </w14:solidFill>
                </w14:textFill>
              </w:rPr>
            </w:pPr>
          </w:p>
        </w:tc>
        <w:tc>
          <w:tcPr>
            <w:tcW w:w="6025" w:type="dxa"/>
            <w:gridSpan w:val="7"/>
            <w:tcBorders>
              <w:top w:val="single" w:color="auto" w:sz="4" w:space="0"/>
              <w:left w:val="single" w:color="auto" w:sz="4" w:space="0"/>
              <w:bottom w:val="single" w:color="auto" w:sz="4" w:space="0"/>
              <w:right w:val="single" w:color="auto" w:sz="4" w:space="0"/>
            </w:tcBorders>
            <w:vAlign w:val="center"/>
          </w:tcPr>
          <w:p w14:paraId="22690AD0">
            <w:pPr>
              <w:topLinePunct/>
              <w:spacing w:line="440" w:lineRule="exact"/>
              <w:ind w:firstLine="105" w:firstLineChars="50"/>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员工总人数：</w:t>
            </w:r>
          </w:p>
        </w:tc>
      </w:tr>
      <w:tr w14:paraId="3D6E4A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1770" w:type="dxa"/>
            <w:tcBorders>
              <w:top w:val="single" w:color="auto" w:sz="4" w:space="0"/>
              <w:left w:val="single" w:color="auto" w:sz="4" w:space="0"/>
              <w:bottom w:val="single" w:color="auto" w:sz="4" w:space="0"/>
              <w:right w:val="single" w:color="auto" w:sz="4" w:space="0"/>
            </w:tcBorders>
            <w:vAlign w:val="center"/>
          </w:tcPr>
          <w:p w14:paraId="62477117">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企业资质等级</w:t>
            </w:r>
          </w:p>
        </w:tc>
        <w:tc>
          <w:tcPr>
            <w:tcW w:w="1895" w:type="dxa"/>
            <w:gridSpan w:val="2"/>
            <w:tcBorders>
              <w:top w:val="single" w:color="auto" w:sz="4" w:space="0"/>
              <w:left w:val="single" w:color="auto" w:sz="4" w:space="0"/>
              <w:bottom w:val="single" w:color="auto" w:sz="4" w:space="0"/>
              <w:right w:val="single" w:color="auto" w:sz="4" w:space="0"/>
            </w:tcBorders>
            <w:vAlign w:val="center"/>
          </w:tcPr>
          <w:p w14:paraId="2FD51AA9">
            <w:pPr>
              <w:topLinePunct/>
              <w:spacing w:line="440" w:lineRule="exact"/>
              <w:jc w:val="center"/>
              <w:rPr>
                <w:rFonts w:hint="eastAsia" w:ascii="宋体" w:hAnsi="宋体" w:cs="宋体"/>
                <w:color w:val="000000" w:themeColor="text1"/>
                <w:szCs w:val="21"/>
                <w14:textFill>
                  <w14:solidFill>
                    <w14:schemeClr w14:val="tx1"/>
                  </w14:solidFill>
                </w14:textFill>
              </w:rPr>
            </w:pPr>
          </w:p>
        </w:tc>
        <w:tc>
          <w:tcPr>
            <w:tcW w:w="861" w:type="dxa"/>
            <w:vMerge w:val="restart"/>
            <w:tcBorders>
              <w:top w:val="single" w:color="auto" w:sz="4" w:space="0"/>
              <w:left w:val="single" w:color="auto" w:sz="4" w:space="0"/>
              <w:bottom w:val="single" w:color="auto" w:sz="4" w:space="0"/>
              <w:right w:val="single" w:color="auto" w:sz="4" w:space="0"/>
            </w:tcBorders>
            <w:vAlign w:val="center"/>
          </w:tcPr>
          <w:p w14:paraId="73EB8900">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其中</w:t>
            </w:r>
          </w:p>
        </w:tc>
        <w:tc>
          <w:tcPr>
            <w:tcW w:w="2356" w:type="dxa"/>
            <w:gridSpan w:val="4"/>
            <w:tcBorders>
              <w:top w:val="single" w:color="auto" w:sz="4" w:space="0"/>
              <w:left w:val="single" w:color="auto" w:sz="4" w:space="0"/>
              <w:bottom w:val="single" w:color="auto" w:sz="4" w:space="0"/>
              <w:right w:val="single" w:color="auto" w:sz="4" w:space="0"/>
            </w:tcBorders>
            <w:vAlign w:val="center"/>
          </w:tcPr>
          <w:p w14:paraId="1C0EF532">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项目经理</w:t>
            </w:r>
          </w:p>
        </w:tc>
        <w:tc>
          <w:tcPr>
            <w:tcW w:w="2808" w:type="dxa"/>
            <w:gridSpan w:val="2"/>
            <w:tcBorders>
              <w:top w:val="single" w:color="auto" w:sz="4" w:space="0"/>
              <w:left w:val="single" w:color="auto" w:sz="4" w:space="0"/>
              <w:bottom w:val="single" w:color="auto" w:sz="4" w:space="0"/>
              <w:right w:val="single" w:color="auto" w:sz="4" w:space="0"/>
            </w:tcBorders>
            <w:vAlign w:val="center"/>
          </w:tcPr>
          <w:p w14:paraId="0A4B5887">
            <w:pPr>
              <w:topLinePunct/>
              <w:spacing w:line="440" w:lineRule="exact"/>
              <w:jc w:val="center"/>
              <w:rPr>
                <w:rFonts w:hint="eastAsia" w:ascii="宋体" w:hAnsi="宋体" w:cs="宋体"/>
                <w:color w:val="000000" w:themeColor="text1"/>
                <w:szCs w:val="21"/>
                <w14:textFill>
                  <w14:solidFill>
                    <w14:schemeClr w14:val="tx1"/>
                  </w14:solidFill>
                </w14:textFill>
              </w:rPr>
            </w:pPr>
          </w:p>
        </w:tc>
      </w:tr>
      <w:tr w14:paraId="242AC4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0" w:hRule="atLeast"/>
        </w:trPr>
        <w:tc>
          <w:tcPr>
            <w:tcW w:w="1770" w:type="dxa"/>
            <w:tcBorders>
              <w:top w:val="single" w:color="auto" w:sz="4" w:space="0"/>
              <w:left w:val="single" w:color="auto" w:sz="4" w:space="0"/>
              <w:bottom w:val="single" w:color="auto" w:sz="4" w:space="0"/>
              <w:right w:val="single" w:color="auto" w:sz="4" w:space="0"/>
            </w:tcBorders>
            <w:vAlign w:val="center"/>
          </w:tcPr>
          <w:p w14:paraId="5F2B5BB1">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营业执照号</w:t>
            </w:r>
          </w:p>
        </w:tc>
        <w:tc>
          <w:tcPr>
            <w:tcW w:w="1895" w:type="dxa"/>
            <w:gridSpan w:val="2"/>
            <w:tcBorders>
              <w:top w:val="single" w:color="auto" w:sz="4" w:space="0"/>
              <w:left w:val="single" w:color="auto" w:sz="4" w:space="0"/>
              <w:bottom w:val="single" w:color="auto" w:sz="4" w:space="0"/>
              <w:right w:val="single" w:color="auto" w:sz="4" w:space="0"/>
            </w:tcBorders>
            <w:vAlign w:val="center"/>
          </w:tcPr>
          <w:p w14:paraId="7570299C">
            <w:pPr>
              <w:topLinePunct/>
              <w:spacing w:line="440" w:lineRule="exact"/>
              <w:jc w:val="center"/>
              <w:rPr>
                <w:rFonts w:hint="eastAsia" w:ascii="宋体" w:hAnsi="宋体" w:cs="宋体"/>
                <w:color w:val="000000" w:themeColor="text1"/>
                <w:szCs w:val="21"/>
                <w14:textFill>
                  <w14:solidFill>
                    <w14:schemeClr w14:val="tx1"/>
                  </w14:solidFill>
                </w14:textFill>
              </w:rPr>
            </w:pPr>
          </w:p>
        </w:tc>
        <w:tc>
          <w:tcPr>
            <w:tcW w:w="861" w:type="dxa"/>
            <w:vMerge w:val="continue"/>
            <w:tcBorders>
              <w:top w:val="single" w:color="auto" w:sz="4" w:space="0"/>
              <w:left w:val="single" w:color="auto" w:sz="4" w:space="0"/>
              <w:bottom w:val="single" w:color="auto" w:sz="4" w:space="0"/>
              <w:right w:val="single" w:color="auto" w:sz="4" w:space="0"/>
            </w:tcBorders>
            <w:vAlign w:val="center"/>
          </w:tcPr>
          <w:p w14:paraId="521B48FB">
            <w:pPr>
              <w:topLinePunct/>
              <w:spacing w:line="440" w:lineRule="exact"/>
              <w:jc w:val="center"/>
              <w:rPr>
                <w:rFonts w:hint="eastAsia" w:ascii="宋体" w:hAnsi="宋体" w:cs="宋体"/>
                <w:color w:val="000000" w:themeColor="text1"/>
                <w:szCs w:val="21"/>
                <w14:textFill>
                  <w14:solidFill>
                    <w14:schemeClr w14:val="tx1"/>
                  </w14:solidFill>
                </w14:textFill>
              </w:rPr>
            </w:pPr>
          </w:p>
        </w:tc>
        <w:tc>
          <w:tcPr>
            <w:tcW w:w="2356" w:type="dxa"/>
            <w:gridSpan w:val="4"/>
            <w:tcBorders>
              <w:top w:val="single" w:color="auto" w:sz="4" w:space="0"/>
              <w:left w:val="single" w:color="auto" w:sz="4" w:space="0"/>
              <w:bottom w:val="single" w:color="auto" w:sz="4" w:space="0"/>
              <w:right w:val="single" w:color="auto" w:sz="4" w:space="0"/>
            </w:tcBorders>
            <w:vAlign w:val="center"/>
          </w:tcPr>
          <w:p w14:paraId="51894084">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高级职称人员</w:t>
            </w:r>
          </w:p>
        </w:tc>
        <w:tc>
          <w:tcPr>
            <w:tcW w:w="2808" w:type="dxa"/>
            <w:gridSpan w:val="2"/>
            <w:tcBorders>
              <w:top w:val="single" w:color="auto" w:sz="4" w:space="0"/>
              <w:left w:val="single" w:color="auto" w:sz="4" w:space="0"/>
              <w:bottom w:val="single" w:color="auto" w:sz="4" w:space="0"/>
              <w:right w:val="single" w:color="auto" w:sz="4" w:space="0"/>
            </w:tcBorders>
            <w:vAlign w:val="center"/>
          </w:tcPr>
          <w:p w14:paraId="2756E6BD">
            <w:pPr>
              <w:topLinePunct/>
              <w:spacing w:line="440" w:lineRule="exact"/>
              <w:jc w:val="center"/>
              <w:rPr>
                <w:rFonts w:hint="eastAsia" w:ascii="宋体" w:hAnsi="宋体" w:cs="宋体"/>
                <w:color w:val="000000" w:themeColor="text1"/>
                <w:szCs w:val="21"/>
                <w14:textFill>
                  <w14:solidFill>
                    <w14:schemeClr w14:val="tx1"/>
                  </w14:solidFill>
                </w14:textFill>
              </w:rPr>
            </w:pPr>
          </w:p>
        </w:tc>
      </w:tr>
      <w:tr w14:paraId="23621C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trPr>
        <w:tc>
          <w:tcPr>
            <w:tcW w:w="1770" w:type="dxa"/>
            <w:tcBorders>
              <w:top w:val="single" w:color="auto" w:sz="4" w:space="0"/>
              <w:left w:val="single" w:color="auto" w:sz="4" w:space="0"/>
              <w:bottom w:val="single" w:color="auto" w:sz="4" w:space="0"/>
              <w:right w:val="single" w:color="auto" w:sz="4" w:space="0"/>
            </w:tcBorders>
            <w:vAlign w:val="center"/>
          </w:tcPr>
          <w:p w14:paraId="5DA93EAD">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注册资金</w:t>
            </w:r>
          </w:p>
        </w:tc>
        <w:tc>
          <w:tcPr>
            <w:tcW w:w="1895" w:type="dxa"/>
            <w:gridSpan w:val="2"/>
            <w:tcBorders>
              <w:top w:val="single" w:color="auto" w:sz="4" w:space="0"/>
              <w:left w:val="single" w:color="auto" w:sz="4" w:space="0"/>
              <w:bottom w:val="single" w:color="auto" w:sz="4" w:space="0"/>
              <w:right w:val="single" w:color="auto" w:sz="4" w:space="0"/>
            </w:tcBorders>
            <w:vAlign w:val="center"/>
          </w:tcPr>
          <w:p w14:paraId="5B0665E1">
            <w:pPr>
              <w:topLinePunct/>
              <w:spacing w:line="440" w:lineRule="exact"/>
              <w:jc w:val="center"/>
              <w:rPr>
                <w:rFonts w:hint="eastAsia" w:ascii="宋体" w:hAnsi="宋体" w:cs="宋体"/>
                <w:color w:val="000000" w:themeColor="text1"/>
                <w:szCs w:val="21"/>
                <w14:textFill>
                  <w14:solidFill>
                    <w14:schemeClr w14:val="tx1"/>
                  </w14:solidFill>
                </w14:textFill>
              </w:rPr>
            </w:pPr>
          </w:p>
        </w:tc>
        <w:tc>
          <w:tcPr>
            <w:tcW w:w="861" w:type="dxa"/>
            <w:vMerge w:val="continue"/>
            <w:tcBorders>
              <w:top w:val="single" w:color="auto" w:sz="4" w:space="0"/>
              <w:left w:val="single" w:color="auto" w:sz="4" w:space="0"/>
              <w:bottom w:val="single" w:color="auto" w:sz="4" w:space="0"/>
              <w:right w:val="single" w:color="auto" w:sz="4" w:space="0"/>
            </w:tcBorders>
            <w:vAlign w:val="center"/>
          </w:tcPr>
          <w:p w14:paraId="762FD490">
            <w:pPr>
              <w:topLinePunct/>
              <w:spacing w:line="440" w:lineRule="exact"/>
              <w:jc w:val="center"/>
              <w:rPr>
                <w:rFonts w:hint="eastAsia" w:ascii="宋体" w:hAnsi="宋体" w:cs="宋体"/>
                <w:color w:val="000000" w:themeColor="text1"/>
                <w:szCs w:val="21"/>
                <w14:textFill>
                  <w14:solidFill>
                    <w14:schemeClr w14:val="tx1"/>
                  </w14:solidFill>
                </w14:textFill>
              </w:rPr>
            </w:pPr>
          </w:p>
        </w:tc>
        <w:tc>
          <w:tcPr>
            <w:tcW w:w="2356" w:type="dxa"/>
            <w:gridSpan w:val="4"/>
            <w:tcBorders>
              <w:top w:val="single" w:color="auto" w:sz="4" w:space="0"/>
              <w:left w:val="single" w:color="auto" w:sz="4" w:space="0"/>
              <w:bottom w:val="single" w:color="auto" w:sz="4" w:space="0"/>
              <w:right w:val="single" w:color="auto" w:sz="4" w:space="0"/>
            </w:tcBorders>
            <w:vAlign w:val="center"/>
          </w:tcPr>
          <w:p w14:paraId="678F2F59">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中级职称人员</w:t>
            </w:r>
          </w:p>
        </w:tc>
        <w:tc>
          <w:tcPr>
            <w:tcW w:w="2808" w:type="dxa"/>
            <w:gridSpan w:val="2"/>
            <w:tcBorders>
              <w:top w:val="single" w:color="auto" w:sz="4" w:space="0"/>
              <w:left w:val="single" w:color="auto" w:sz="4" w:space="0"/>
              <w:bottom w:val="single" w:color="auto" w:sz="4" w:space="0"/>
              <w:right w:val="single" w:color="auto" w:sz="4" w:space="0"/>
            </w:tcBorders>
            <w:vAlign w:val="center"/>
          </w:tcPr>
          <w:p w14:paraId="016DE68D">
            <w:pPr>
              <w:topLinePunct/>
              <w:spacing w:line="440" w:lineRule="exact"/>
              <w:jc w:val="center"/>
              <w:rPr>
                <w:rFonts w:hint="eastAsia" w:ascii="宋体" w:hAnsi="宋体" w:cs="宋体"/>
                <w:color w:val="000000" w:themeColor="text1"/>
                <w:szCs w:val="21"/>
                <w14:textFill>
                  <w14:solidFill>
                    <w14:schemeClr w14:val="tx1"/>
                  </w14:solidFill>
                </w14:textFill>
              </w:rPr>
            </w:pPr>
          </w:p>
        </w:tc>
      </w:tr>
      <w:tr w14:paraId="7810AE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1770" w:type="dxa"/>
            <w:tcBorders>
              <w:top w:val="single" w:color="auto" w:sz="4" w:space="0"/>
              <w:left w:val="single" w:color="auto" w:sz="4" w:space="0"/>
              <w:bottom w:val="single" w:color="auto" w:sz="4" w:space="0"/>
              <w:right w:val="single" w:color="auto" w:sz="4" w:space="0"/>
            </w:tcBorders>
            <w:vAlign w:val="center"/>
          </w:tcPr>
          <w:p w14:paraId="49076522">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开户银行</w:t>
            </w:r>
          </w:p>
        </w:tc>
        <w:tc>
          <w:tcPr>
            <w:tcW w:w="1895" w:type="dxa"/>
            <w:gridSpan w:val="2"/>
            <w:tcBorders>
              <w:top w:val="single" w:color="auto" w:sz="4" w:space="0"/>
              <w:left w:val="single" w:color="auto" w:sz="4" w:space="0"/>
              <w:bottom w:val="single" w:color="auto" w:sz="4" w:space="0"/>
              <w:right w:val="single" w:color="auto" w:sz="4" w:space="0"/>
            </w:tcBorders>
            <w:vAlign w:val="center"/>
          </w:tcPr>
          <w:p w14:paraId="0430800A">
            <w:pPr>
              <w:topLinePunct/>
              <w:spacing w:line="440" w:lineRule="exact"/>
              <w:jc w:val="center"/>
              <w:rPr>
                <w:rFonts w:hint="eastAsia" w:ascii="宋体" w:hAnsi="宋体" w:cs="宋体"/>
                <w:color w:val="000000" w:themeColor="text1"/>
                <w:szCs w:val="21"/>
                <w14:textFill>
                  <w14:solidFill>
                    <w14:schemeClr w14:val="tx1"/>
                  </w14:solidFill>
                </w14:textFill>
              </w:rPr>
            </w:pPr>
          </w:p>
        </w:tc>
        <w:tc>
          <w:tcPr>
            <w:tcW w:w="861" w:type="dxa"/>
            <w:vMerge w:val="continue"/>
            <w:tcBorders>
              <w:top w:val="single" w:color="auto" w:sz="4" w:space="0"/>
              <w:left w:val="single" w:color="auto" w:sz="4" w:space="0"/>
              <w:bottom w:val="single" w:color="auto" w:sz="4" w:space="0"/>
              <w:right w:val="single" w:color="auto" w:sz="4" w:space="0"/>
            </w:tcBorders>
            <w:vAlign w:val="center"/>
          </w:tcPr>
          <w:p w14:paraId="04B3A946">
            <w:pPr>
              <w:topLinePunct/>
              <w:spacing w:line="440" w:lineRule="exact"/>
              <w:jc w:val="center"/>
              <w:rPr>
                <w:rFonts w:hint="eastAsia" w:ascii="宋体" w:hAnsi="宋体" w:cs="宋体"/>
                <w:color w:val="000000" w:themeColor="text1"/>
                <w:szCs w:val="21"/>
                <w14:textFill>
                  <w14:solidFill>
                    <w14:schemeClr w14:val="tx1"/>
                  </w14:solidFill>
                </w14:textFill>
              </w:rPr>
            </w:pPr>
          </w:p>
        </w:tc>
        <w:tc>
          <w:tcPr>
            <w:tcW w:w="2356" w:type="dxa"/>
            <w:gridSpan w:val="4"/>
            <w:tcBorders>
              <w:top w:val="single" w:color="auto" w:sz="4" w:space="0"/>
              <w:left w:val="single" w:color="auto" w:sz="4" w:space="0"/>
              <w:bottom w:val="single" w:color="auto" w:sz="4" w:space="0"/>
              <w:right w:val="single" w:color="auto" w:sz="4" w:space="0"/>
            </w:tcBorders>
            <w:vAlign w:val="center"/>
          </w:tcPr>
          <w:p w14:paraId="0F634930">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初级职称人员</w:t>
            </w:r>
          </w:p>
        </w:tc>
        <w:tc>
          <w:tcPr>
            <w:tcW w:w="2808" w:type="dxa"/>
            <w:gridSpan w:val="2"/>
            <w:tcBorders>
              <w:top w:val="single" w:color="auto" w:sz="4" w:space="0"/>
              <w:left w:val="single" w:color="auto" w:sz="4" w:space="0"/>
              <w:bottom w:val="single" w:color="auto" w:sz="4" w:space="0"/>
              <w:right w:val="single" w:color="auto" w:sz="4" w:space="0"/>
            </w:tcBorders>
            <w:vAlign w:val="center"/>
          </w:tcPr>
          <w:p w14:paraId="477F5FC3">
            <w:pPr>
              <w:topLinePunct/>
              <w:spacing w:line="440" w:lineRule="exact"/>
              <w:jc w:val="center"/>
              <w:rPr>
                <w:rFonts w:hint="eastAsia" w:ascii="宋体" w:hAnsi="宋体" w:cs="宋体"/>
                <w:color w:val="000000" w:themeColor="text1"/>
                <w:szCs w:val="21"/>
                <w14:textFill>
                  <w14:solidFill>
                    <w14:schemeClr w14:val="tx1"/>
                  </w14:solidFill>
                </w14:textFill>
              </w:rPr>
            </w:pPr>
          </w:p>
        </w:tc>
      </w:tr>
      <w:tr w14:paraId="634AFD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6" w:hRule="atLeast"/>
        </w:trPr>
        <w:tc>
          <w:tcPr>
            <w:tcW w:w="1770" w:type="dxa"/>
            <w:tcBorders>
              <w:top w:val="single" w:color="auto" w:sz="4" w:space="0"/>
              <w:left w:val="single" w:color="auto" w:sz="4" w:space="0"/>
              <w:bottom w:val="single" w:color="auto" w:sz="4" w:space="0"/>
              <w:right w:val="single" w:color="auto" w:sz="4" w:space="0"/>
            </w:tcBorders>
            <w:vAlign w:val="center"/>
          </w:tcPr>
          <w:p w14:paraId="1F4ED024">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账号</w:t>
            </w:r>
          </w:p>
        </w:tc>
        <w:tc>
          <w:tcPr>
            <w:tcW w:w="1895" w:type="dxa"/>
            <w:gridSpan w:val="2"/>
            <w:tcBorders>
              <w:top w:val="single" w:color="auto" w:sz="4" w:space="0"/>
              <w:left w:val="single" w:color="auto" w:sz="4" w:space="0"/>
              <w:bottom w:val="single" w:color="auto" w:sz="4" w:space="0"/>
              <w:right w:val="single" w:color="auto" w:sz="4" w:space="0"/>
            </w:tcBorders>
            <w:vAlign w:val="center"/>
          </w:tcPr>
          <w:p w14:paraId="3EC97E5B">
            <w:pPr>
              <w:topLinePunct/>
              <w:spacing w:line="440" w:lineRule="exact"/>
              <w:jc w:val="center"/>
              <w:rPr>
                <w:rFonts w:hint="eastAsia" w:ascii="宋体" w:hAnsi="宋体" w:cs="宋体"/>
                <w:color w:val="000000" w:themeColor="text1"/>
                <w:szCs w:val="21"/>
                <w14:textFill>
                  <w14:solidFill>
                    <w14:schemeClr w14:val="tx1"/>
                  </w14:solidFill>
                </w14:textFill>
              </w:rPr>
            </w:pPr>
          </w:p>
        </w:tc>
        <w:tc>
          <w:tcPr>
            <w:tcW w:w="861" w:type="dxa"/>
            <w:vMerge w:val="continue"/>
            <w:tcBorders>
              <w:top w:val="single" w:color="auto" w:sz="4" w:space="0"/>
              <w:left w:val="single" w:color="auto" w:sz="4" w:space="0"/>
              <w:bottom w:val="single" w:color="auto" w:sz="4" w:space="0"/>
              <w:right w:val="single" w:color="auto" w:sz="4" w:space="0"/>
            </w:tcBorders>
            <w:vAlign w:val="center"/>
          </w:tcPr>
          <w:p w14:paraId="1CF4DBA4">
            <w:pPr>
              <w:topLinePunct/>
              <w:spacing w:line="440" w:lineRule="exact"/>
              <w:jc w:val="center"/>
              <w:rPr>
                <w:rFonts w:hint="eastAsia" w:ascii="宋体" w:hAnsi="宋体" w:cs="宋体"/>
                <w:color w:val="000000" w:themeColor="text1"/>
                <w:szCs w:val="21"/>
                <w14:textFill>
                  <w14:solidFill>
                    <w14:schemeClr w14:val="tx1"/>
                  </w14:solidFill>
                </w14:textFill>
              </w:rPr>
            </w:pPr>
          </w:p>
        </w:tc>
        <w:tc>
          <w:tcPr>
            <w:tcW w:w="2356" w:type="dxa"/>
            <w:gridSpan w:val="4"/>
            <w:tcBorders>
              <w:top w:val="single" w:color="auto" w:sz="4" w:space="0"/>
              <w:left w:val="single" w:color="auto" w:sz="4" w:space="0"/>
              <w:bottom w:val="single" w:color="auto" w:sz="4" w:space="0"/>
              <w:right w:val="single" w:color="auto" w:sz="4" w:space="0"/>
            </w:tcBorders>
            <w:vAlign w:val="center"/>
          </w:tcPr>
          <w:p w14:paraId="015E86E5">
            <w:pPr>
              <w:topLinePunct/>
              <w:spacing w:line="440" w:lineRule="exact"/>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技工</w:t>
            </w:r>
          </w:p>
        </w:tc>
        <w:tc>
          <w:tcPr>
            <w:tcW w:w="2808" w:type="dxa"/>
            <w:gridSpan w:val="2"/>
            <w:tcBorders>
              <w:top w:val="single" w:color="auto" w:sz="4" w:space="0"/>
              <w:left w:val="single" w:color="auto" w:sz="4" w:space="0"/>
              <w:bottom w:val="single" w:color="auto" w:sz="4" w:space="0"/>
              <w:right w:val="single" w:color="auto" w:sz="4" w:space="0"/>
            </w:tcBorders>
            <w:vAlign w:val="center"/>
          </w:tcPr>
          <w:p w14:paraId="4FF193C3">
            <w:pPr>
              <w:topLinePunct/>
              <w:spacing w:line="440" w:lineRule="exact"/>
              <w:jc w:val="center"/>
              <w:rPr>
                <w:rFonts w:hint="eastAsia" w:ascii="宋体" w:hAnsi="宋体" w:cs="宋体"/>
                <w:color w:val="000000" w:themeColor="text1"/>
                <w:szCs w:val="21"/>
                <w14:textFill>
                  <w14:solidFill>
                    <w14:schemeClr w14:val="tx1"/>
                  </w14:solidFill>
                </w14:textFill>
              </w:rPr>
            </w:pPr>
          </w:p>
        </w:tc>
      </w:tr>
      <w:tr w14:paraId="75E72C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84" w:hRule="atLeast"/>
        </w:trPr>
        <w:tc>
          <w:tcPr>
            <w:tcW w:w="1770" w:type="dxa"/>
            <w:tcBorders>
              <w:top w:val="single" w:color="auto" w:sz="4" w:space="0"/>
              <w:left w:val="single" w:color="auto" w:sz="4" w:space="0"/>
              <w:right w:val="single" w:color="auto" w:sz="4" w:space="0"/>
            </w:tcBorders>
            <w:vAlign w:val="center"/>
          </w:tcPr>
          <w:p w14:paraId="3587E6B2">
            <w:pPr>
              <w:topLinePunct/>
              <w:spacing w:line="440" w:lineRule="exact"/>
              <w:ind w:firstLine="210" w:firstLineChars="100"/>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经营范围</w:t>
            </w:r>
          </w:p>
        </w:tc>
        <w:tc>
          <w:tcPr>
            <w:tcW w:w="7920" w:type="dxa"/>
            <w:gridSpan w:val="9"/>
            <w:tcBorders>
              <w:top w:val="single" w:color="auto" w:sz="4" w:space="0"/>
              <w:left w:val="single" w:color="auto" w:sz="4" w:space="0"/>
              <w:right w:val="single" w:color="auto" w:sz="4" w:space="0"/>
            </w:tcBorders>
            <w:vAlign w:val="center"/>
          </w:tcPr>
          <w:p w14:paraId="6791698E">
            <w:pPr>
              <w:topLinePunct/>
              <w:spacing w:line="440" w:lineRule="exact"/>
              <w:rPr>
                <w:rFonts w:hint="eastAsia" w:ascii="宋体" w:hAnsi="宋体" w:cs="宋体"/>
                <w:color w:val="000000" w:themeColor="text1"/>
                <w:szCs w:val="21"/>
                <w14:textFill>
                  <w14:solidFill>
                    <w14:schemeClr w14:val="tx1"/>
                  </w14:solidFill>
                </w14:textFill>
              </w:rPr>
            </w:pPr>
          </w:p>
        </w:tc>
      </w:tr>
      <w:tr w14:paraId="321381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1770" w:type="dxa"/>
            <w:tcBorders>
              <w:top w:val="single" w:color="auto" w:sz="4" w:space="0"/>
              <w:left w:val="single" w:color="auto" w:sz="4" w:space="0"/>
              <w:bottom w:val="single" w:color="auto" w:sz="4" w:space="0"/>
              <w:right w:val="single" w:color="auto" w:sz="4" w:space="0"/>
            </w:tcBorders>
            <w:vAlign w:val="center"/>
          </w:tcPr>
          <w:p w14:paraId="207E9D6E">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备注</w:t>
            </w:r>
          </w:p>
        </w:tc>
        <w:tc>
          <w:tcPr>
            <w:tcW w:w="7920" w:type="dxa"/>
            <w:gridSpan w:val="9"/>
            <w:tcBorders>
              <w:top w:val="single" w:color="auto" w:sz="4" w:space="0"/>
              <w:left w:val="single" w:color="auto" w:sz="4" w:space="0"/>
              <w:bottom w:val="single" w:color="auto" w:sz="4" w:space="0"/>
              <w:right w:val="single" w:color="auto" w:sz="4" w:space="0"/>
            </w:tcBorders>
            <w:vAlign w:val="center"/>
          </w:tcPr>
          <w:p w14:paraId="745BA544">
            <w:pPr>
              <w:topLinePunct/>
              <w:spacing w:line="440" w:lineRule="exact"/>
              <w:jc w:val="center"/>
              <w:rPr>
                <w:rFonts w:hint="eastAsia" w:ascii="宋体" w:hAnsi="宋体" w:cs="宋体"/>
                <w:color w:val="000000" w:themeColor="text1"/>
                <w:szCs w:val="21"/>
                <w14:textFill>
                  <w14:solidFill>
                    <w14:schemeClr w14:val="tx1"/>
                  </w14:solidFill>
                </w14:textFill>
              </w:rPr>
            </w:pPr>
          </w:p>
        </w:tc>
      </w:tr>
    </w:tbl>
    <w:p w14:paraId="4D3E53CB">
      <w:pPr>
        <w:autoSpaceDE w:val="0"/>
        <w:autoSpaceDN w:val="0"/>
        <w:adjustRightInd w:val="0"/>
        <w:snapToGrid w:val="0"/>
        <w:spacing w:line="300" w:lineRule="auto"/>
        <w:ind w:firstLine="420" w:firstLineChars="200"/>
        <w:rPr>
          <w:rFonts w:hint="eastAsia" w:ascii="宋体" w:hAnsi="宋体" w:cs="宋体"/>
          <w:b/>
          <w:color w:val="000000" w:themeColor="text1"/>
          <w:szCs w:val="21"/>
          <w14:textFill>
            <w14:solidFill>
              <w14:schemeClr w14:val="tx1"/>
            </w14:solidFill>
          </w14:textFill>
        </w:rPr>
      </w:pPr>
    </w:p>
    <w:p w14:paraId="22F9F100">
      <w:pPr>
        <w:autoSpaceDE w:val="0"/>
        <w:autoSpaceDN w:val="0"/>
        <w:adjustRightInd w:val="0"/>
        <w:snapToGrid w:val="0"/>
        <w:spacing w:line="300" w:lineRule="auto"/>
        <w:ind w:firstLine="420" w:firstLineChars="200"/>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注：1、投标人需随此表附上营业执照、资质等级证书、安全生产许可证等文件的复印件。</w:t>
      </w:r>
    </w:p>
    <w:p w14:paraId="46325138">
      <w:pPr>
        <w:autoSpaceDE w:val="0"/>
        <w:autoSpaceDN w:val="0"/>
        <w:adjustRightInd w:val="0"/>
        <w:snapToGrid w:val="0"/>
        <w:spacing w:line="300" w:lineRule="auto"/>
        <w:ind w:firstLine="522" w:firstLineChars="249"/>
        <w:rPr>
          <w:rFonts w:hint="eastAsia" w:ascii="宋体" w:hAnsi="宋体" w:cs="宋体"/>
          <w:color w:val="000000" w:themeColor="text1"/>
          <w:sz w:val="20"/>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   2、以联合体形式投标的，联合体各方均应分别填写此表并附相关资料，联合体各方各自对其所填表格及所附资料盖章。</w:t>
      </w:r>
    </w:p>
    <w:p w14:paraId="3BD21A91">
      <w:pPr>
        <w:pStyle w:val="4"/>
        <w:jc w:val="center"/>
        <w:rPr>
          <w:rFonts w:hint="eastAsia" w:ascii="宋体" w:eastAsia="宋体" w:cs="宋体"/>
          <w:color w:val="000000" w:themeColor="text1"/>
          <w14:textFill>
            <w14:solidFill>
              <w14:schemeClr w14:val="tx1"/>
            </w14:solidFill>
          </w14:textFill>
        </w:rPr>
      </w:pPr>
      <w:bookmarkStart w:id="1822" w:name="_Toc247514301"/>
      <w:bookmarkStart w:id="1823" w:name="_Toc9484"/>
      <w:bookmarkStart w:id="1824" w:name="_Toc144974877"/>
      <w:bookmarkStart w:id="1825" w:name="_Toc25056"/>
      <w:bookmarkStart w:id="1826" w:name="_Toc247527849"/>
      <w:bookmarkStart w:id="1827" w:name="_Toc152045809"/>
      <w:bookmarkStart w:id="1828" w:name="_Toc54190098"/>
      <w:bookmarkStart w:id="1829" w:name="_Toc3043"/>
      <w:bookmarkStart w:id="1830" w:name="_Toc152042598"/>
      <w:r>
        <w:rPr>
          <w:rFonts w:hint="eastAsia" w:ascii="宋体" w:eastAsia="宋体" w:cs="宋体"/>
          <w:color w:val="000000" w:themeColor="text1"/>
          <w14:textFill>
            <w14:solidFill>
              <w14:schemeClr w14:val="tx1"/>
            </w14:solidFill>
          </w14:textFill>
        </w:rPr>
        <w:t>（二）近年财务状况表</w:t>
      </w:r>
      <w:bookmarkEnd w:id="1822"/>
      <w:bookmarkEnd w:id="1823"/>
      <w:bookmarkEnd w:id="1824"/>
      <w:bookmarkEnd w:id="1825"/>
      <w:bookmarkEnd w:id="1826"/>
      <w:bookmarkEnd w:id="1827"/>
      <w:bookmarkEnd w:id="1828"/>
      <w:bookmarkEnd w:id="1829"/>
      <w:bookmarkEnd w:id="1830"/>
    </w:p>
    <w:p w14:paraId="714350B4">
      <w:pPr>
        <w:spacing w:line="340" w:lineRule="exact"/>
        <w:jc w:val="lef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附：提供</w:t>
      </w:r>
      <w:r>
        <w:rPr>
          <w:rFonts w:hint="eastAsia" w:ascii="宋体" w:hAnsi="宋体" w:cs="宋体"/>
          <w:b/>
          <w:color w:val="000000" w:themeColor="text1"/>
          <w:szCs w:val="21"/>
          <w:lang w:val="en-US" w:eastAsia="zh-CN"/>
          <w14:textFill>
            <w14:solidFill>
              <w14:schemeClr w14:val="tx1"/>
            </w14:solidFill>
          </w14:textFill>
        </w:rPr>
        <w:t>2024</w:t>
      </w:r>
      <w:r>
        <w:rPr>
          <w:rFonts w:hint="eastAsia" w:ascii="宋体" w:hAnsi="宋体" w:cs="宋体"/>
          <w:b/>
          <w:color w:val="000000" w:themeColor="text1"/>
          <w:szCs w:val="21"/>
          <w14:textFill>
            <w14:solidFill>
              <w14:schemeClr w14:val="tx1"/>
            </w14:solidFill>
          </w14:textFill>
        </w:rPr>
        <w:t>年度或</w:t>
      </w:r>
      <w:r>
        <w:rPr>
          <w:rFonts w:hint="eastAsia" w:ascii="宋体" w:hAnsi="宋体" w:cs="宋体"/>
          <w:b/>
          <w:color w:val="000000" w:themeColor="text1"/>
          <w:szCs w:val="21"/>
          <w:lang w:val="en-US" w:eastAsia="zh-CN"/>
          <w14:textFill>
            <w14:solidFill>
              <w14:schemeClr w14:val="tx1"/>
            </w14:solidFill>
          </w14:textFill>
        </w:rPr>
        <w:t>2025</w:t>
      </w:r>
      <w:r>
        <w:rPr>
          <w:rFonts w:hint="eastAsia" w:ascii="宋体" w:hAnsi="宋体" w:cs="宋体"/>
          <w:b/>
          <w:color w:val="000000" w:themeColor="text1"/>
          <w:szCs w:val="21"/>
          <w14:textFill>
            <w14:solidFill>
              <w14:schemeClr w14:val="tx1"/>
            </w14:solidFill>
          </w14:textFill>
        </w:rPr>
        <w:t>年度财务报表（含资产负债表、利润表、现金流量），并经合法的会计师事务所或审计师事务所审计（须按“财办</w:t>
      </w:r>
      <w:r>
        <w:rPr>
          <w:rFonts w:hint="eastAsia" w:ascii="宋体" w:hAnsi="宋体" w:cs="宋体"/>
          <w:b/>
          <w:color w:val="000000" w:themeColor="text1"/>
          <w:szCs w:val="21"/>
          <w:lang w:eastAsia="zh-CN"/>
          <w14:textFill>
            <w14:solidFill>
              <w14:schemeClr w14:val="tx1"/>
            </w14:solidFill>
          </w14:textFill>
        </w:rPr>
        <w:t>〔2022〕32号”“</w:t>
      </w:r>
      <w:r>
        <w:rPr>
          <w:rFonts w:hint="eastAsia" w:ascii="宋体" w:hAnsi="宋体" w:cs="宋体"/>
          <w:b/>
          <w:color w:val="000000" w:themeColor="text1"/>
          <w:szCs w:val="21"/>
          <w14:textFill>
            <w14:solidFill>
              <w14:schemeClr w14:val="tx1"/>
            </w14:solidFill>
          </w14:textFill>
        </w:rPr>
        <w:t>财会</w:t>
      </w:r>
      <w:r>
        <w:rPr>
          <w:rFonts w:hint="eastAsia" w:ascii="宋体" w:hAnsi="宋体" w:cs="宋体"/>
          <w:b/>
          <w:color w:val="000000" w:themeColor="text1"/>
          <w:szCs w:val="21"/>
          <w:lang w:eastAsia="zh-CN"/>
          <w14:textFill>
            <w14:solidFill>
              <w14:schemeClr w14:val="tx1"/>
            </w14:solidFill>
          </w14:textFill>
        </w:rPr>
        <w:t>〔2023〕15号</w:t>
      </w:r>
      <w:r>
        <w:rPr>
          <w:rFonts w:hint="eastAsia" w:ascii="宋体" w:hAnsi="宋体" w:cs="宋体"/>
          <w:b/>
          <w:color w:val="000000" w:themeColor="text1"/>
          <w:szCs w:val="21"/>
          <w14:textFill>
            <w14:solidFill>
              <w14:schemeClr w14:val="tx1"/>
            </w14:solidFill>
          </w14:textFill>
        </w:rPr>
        <w:t>”文件要求在注册会计师行业统一监管平台报备并赋予验证码），财务状况良好，财务报表真实准确、清晰（2024年7月至今新成立的公司提供银行资信证明）。（联合体参与投标的，本项由牵头人提供）</w:t>
      </w:r>
    </w:p>
    <w:p w14:paraId="28B11637">
      <w:pPr>
        <w:spacing w:line="300" w:lineRule="exact"/>
        <w:jc w:val="center"/>
        <w:rPr>
          <w:rFonts w:hint="eastAsia" w:ascii="宋体" w:hAnsi="宋体" w:cs="宋体"/>
          <w:b/>
          <w:caps/>
          <w:color w:val="000000" w:themeColor="text1"/>
          <w:sz w:val="24"/>
          <w14:textFill>
            <w14:solidFill>
              <w14:schemeClr w14:val="tx1"/>
            </w14:solidFill>
          </w14:textFill>
        </w:rPr>
      </w:pPr>
    </w:p>
    <w:p w14:paraId="484477B8">
      <w:pPr>
        <w:spacing w:line="460" w:lineRule="exact"/>
        <w:ind w:firstLine="420" w:firstLineChars="200"/>
        <w:rPr>
          <w:rFonts w:hint="eastAsia" w:ascii="宋体" w:hAnsi="宋体" w:cs="宋体"/>
          <w:b/>
          <w:color w:val="000000" w:themeColor="text1"/>
          <w:szCs w:val="21"/>
          <w14:textFill>
            <w14:solidFill>
              <w14:schemeClr w14:val="tx1"/>
            </w14:solidFill>
          </w14:textFill>
        </w:rPr>
      </w:pPr>
    </w:p>
    <w:p w14:paraId="049A8DD3">
      <w:pPr>
        <w:spacing w:line="460" w:lineRule="exact"/>
        <w:ind w:firstLine="420" w:firstLineChars="200"/>
        <w:rPr>
          <w:rFonts w:hint="eastAsia" w:ascii="宋体" w:hAnsi="宋体" w:cs="宋体"/>
          <w:b/>
          <w:color w:val="000000" w:themeColor="text1"/>
          <w:szCs w:val="21"/>
          <w14:textFill>
            <w14:solidFill>
              <w14:schemeClr w14:val="tx1"/>
            </w14:solidFill>
          </w14:textFill>
        </w:rPr>
      </w:pPr>
    </w:p>
    <w:p w14:paraId="0737410C">
      <w:pPr>
        <w:topLinePunct/>
        <w:spacing w:line="440" w:lineRule="exact"/>
        <w:jc w:val="center"/>
        <w:rPr>
          <w:rFonts w:hint="eastAsia" w:ascii="宋体" w:hAnsi="宋体" w:cs="宋体"/>
          <w:color w:val="000000" w:themeColor="text1"/>
          <w:sz w:val="20"/>
          <w:szCs w:val="20"/>
          <w14:textFill>
            <w14:solidFill>
              <w14:schemeClr w14:val="tx1"/>
            </w14:solidFill>
          </w14:textFill>
        </w:rPr>
      </w:pPr>
    </w:p>
    <w:p w14:paraId="017E9734">
      <w:pPr>
        <w:spacing w:line="440" w:lineRule="exact"/>
        <w:rPr>
          <w:rFonts w:hint="eastAsia" w:ascii="宋体" w:hAnsi="宋体" w:cs="宋体"/>
          <w:color w:val="000000" w:themeColor="text1"/>
          <w:sz w:val="20"/>
          <w:szCs w:val="20"/>
          <w14:textFill>
            <w14:solidFill>
              <w14:schemeClr w14:val="tx1"/>
            </w14:solidFill>
          </w14:textFill>
        </w:rPr>
      </w:pPr>
    </w:p>
    <w:p w14:paraId="2EB94081">
      <w:pPr>
        <w:spacing w:line="440" w:lineRule="exact"/>
        <w:rPr>
          <w:rFonts w:hint="eastAsia" w:ascii="宋体" w:hAnsi="宋体" w:cs="宋体"/>
          <w:color w:val="000000" w:themeColor="text1"/>
          <w:sz w:val="20"/>
          <w:szCs w:val="20"/>
          <w14:textFill>
            <w14:solidFill>
              <w14:schemeClr w14:val="tx1"/>
            </w14:solidFill>
          </w14:textFill>
        </w:rPr>
      </w:pPr>
    </w:p>
    <w:p w14:paraId="1198FFFE">
      <w:pPr>
        <w:spacing w:line="440" w:lineRule="exact"/>
        <w:rPr>
          <w:rFonts w:hint="eastAsia" w:ascii="宋体" w:hAnsi="宋体" w:cs="宋体"/>
          <w:color w:val="000000" w:themeColor="text1"/>
          <w:sz w:val="20"/>
          <w:szCs w:val="20"/>
          <w14:textFill>
            <w14:solidFill>
              <w14:schemeClr w14:val="tx1"/>
            </w14:solidFill>
          </w14:textFill>
        </w:rPr>
      </w:pPr>
    </w:p>
    <w:p w14:paraId="447A468B">
      <w:pPr>
        <w:spacing w:line="440" w:lineRule="exact"/>
        <w:rPr>
          <w:rFonts w:hint="eastAsia" w:ascii="宋体" w:hAnsi="宋体" w:cs="宋体"/>
          <w:color w:val="000000" w:themeColor="text1"/>
          <w:sz w:val="20"/>
          <w:szCs w:val="20"/>
          <w14:textFill>
            <w14:solidFill>
              <w14:schemeClr w14:val="tx1"/>
            </w14:solidFill>
          </w14:textFill>
        </w:rPr>
      </w:pPr>
    </w:p>
    <w:p w14:paraId="4A4D9DDC">
      <w:pPr>
        <w:spacing w:line="440" w:lineRule="exact"/>
        <w:rPr>
          <w:rFonts w:hint="eastAsia" w:ascii="宋体" w:hAnsi="宋体" w:cs="宋体"/>
          <w:color w:val="000000" w:themeColor="text1"/>
          <w:sz w:val="20"/>
          <w:szCs w:val="20"/>
          <w14:textFill>
            <w14:solidFill>
              <w14:schemeClr w14:val="tx1"/>
            </w14:solidFill>
          </w14:textFill>
        </w:rPr>
      </w:pPr>
    </w:p>
    <w:p w14:paraId="50501774">
      <w:pPr>
        <w:spacing w:line="440" w:lineRule="exact"/>
        <w:rPr>
          <w:rFonts w:hint="eastAsia" w:ascii="宋体" w:hAnsi="宋体" w:cs="宋体"/>
          <w:color w:val="000000" w:themeColor="text1"/>
          <w:sz w:val="20"/>
          <w:szCs w:val="20"/>
          <w14:textFill>
            <w14:solidFill>
              <w14:schemeClr w14:val="tx1"/>
            </w14:solidFill>
          </w14:textFill>
        </w:rPr>
      </w:pPr>
    </w:p>
    <w:p w14:paraId="04E58F76">
      <w:pPr>
        <w:spacing w:line="440" w:lineRule="exact"/>
        <w:rPr>
          <w:rFonts w:hint="eastAsia" w:ascii="宋体" w:hAnsi="宋体" w:cs="宋体"/>
          <w:color w:val="000000" w:themeColor="text1"/>
          <w:sz w:val="20"/>
          <w:szCs w:val="20"/>
          <w14:textFill>
            <w14:solidFill>
              <w14:schemeClr w14:val="tx1"/>
            </w14:solidFill>
          </w14:textFill>
        </w:rPr>
      </w:pPr>
    </w:p>
    <w:p w14:paraId="6F54F3AA">
      <w:pPr>
        <w:spacing w:line="440" w:lineRule="exact"/>
        <w:rPr>
          <w:rFonts w:hint="eastAsia" w:ascii="宋体" w:hAnsi="宋体" w:cs="宋体"/>
          <w:color w:val="000000" w:themeColor="text1"/>
          <w:sz w:val="20"/>
          <w:szCs w:val="20"/>
          <w14:textFill>
            <w14:solidFill>
              <w14:schemeClr w14:val="tx1"/>
            </w14:solidFill>
          </w14:textFill>
        </w:rPr>
      </w:pPr>
    </w:p>
    <w:p w14:paraId="5D0A30E2">
      <w:pPr>
        <w:spacing w:line="440" w:lineRule="exact"/>
        <w:rPr>
          <w:rFonts w:hint="eastAsia" w:ascii="宋体" w:hAnsi="宋体" w:cs="宋体"/>
          <w:color w:val="000000" w:themeColor="text1"/>
          <w:sz w:val="20"/>
          <w:szCs w:val="20"/>
          <w14:textFill>
            <w14:solidFill>
              <w14:schemeClr w14:val="tx1"/>
            </w14:solidFill>
          </w14:textFill>
        </w:rPr>
      </w:pPr>
    </w:p>
    <w:p w14:paraId="3746193B">
      <w:pPr>
        <w:spacing w:line="440" w:lineRule="exact"/>
        <w:rPr>
          <w:rFonts w:hint="eastAsia" w:ascii="宋体" w:hAnsi="宋体" w:cs="宋体"/>
          <w:color w:val="000000" w:themeColor="text1"/>
          <w:sz w:val="20"/>
          <w:szCs w:val="20"/>
          <w14:textFill>
            <w14:solidFill>
              <w14:schemeClr w14:val="tx1"/>
            </w14:solidFill>
          </w14:textFill>
        </w:rPr>
      </w:pPr>
    </w:p>
    <w:p w14:paraId="670CD5DE">
      <w:pPr>
        <w:spacing w:line="440" w:lineRule="exact"/>
        <w:rPr>
          <w:rFonts w:hint="eastAsia" w:ascii="宋体" w:hAnsi="宋体" w:cs="宋体"/>
          <w:color w:val="000000" w:themeColor="text1"/>
          <w:sz w:val="20"/>
          <w:szCs w:val="20"/>
          <w14:textFill>
            <w14:solidFill>
              <w14:schemeClr w14:val="tx1"/>
            </w14:solidFill>
          </w14:textFill>
        </w:rPr>
      </w:pPr>
    </w:p>
    <w:p w14:paraId="5D7B1827">
      <w:pPr>
        <w:spacing w:line="440" w:lineRule="exact"/>
        <w:rPr>
          <w:rFonts w:hint="eastAsia" w:ascii="宋体" w:hAnsi="宋体" w:cs="宋体"/>
          <w:color w:val="000000" w:themeColor="text1"/>
          <w:sz w:val="20"/>
          <w:szCs w:val="20"/>
          <w14:textFill>
            <w14:solidFill>
              <w14:schemeClr w14:val="tx1"/>
            </w14:solidFill>
          </w14:textFill>
        </w:rPr>
      </w:pPr>
    </w:p>
    <w:p w14:paraId="0CE2C41E">
      <w:pPr>
        <w:spacing w:line="440" w:lineRule="exact"/>
        <w:rPr>
          <w:rFonts w:hint="eastAsia" w:ascii="宋体" w:hAnsi="宋体" w:cs="宋体"/>
          <w:color w:val="000000" w:themeColor="text1"/>
          <w:sz w:val="20"/>
          <w:szCs w:val="20"/>
          <w14:textFill>
            <w14:solidFill>
              <w14:schemeClr w14:val="tx1"/>
            </w14:solidFill>
          </w14:textFill>
        </w:rPr>
      </w:pPr>
    </w:p>
    <w:p w14:paraId="78E0C684">
      <w:pPr>
        <w:spacing w:line="440" w:lineRule="exact"/>
        <w:rPr>
          <w:rFonts w:hint="eastAsia" w:ascii="宋体" w:hAnsi="宋体" w:cs="宋体"/>
          <w:color w:val="000000" w:themeColor="text1"/>
          <w:sz w:val="20"/>
          <w:szCs w:val="20"/>
          <w14:textFill>
            <w14:solidFill>
              <w14:schemeClr w14:val="tx1"/>
            </w14:solidFill>
          </w14:textFill>
        </w:rPr>
      </w:pPr>
    </w:p>
    <w:p w14:paraId="63626FF7">
      <w:pPr>
        <w:spacing w:line="440" w:lineRule="exact"/>
        <w:rPr>
          <w:rFonts w:hint="eastAsia" w:ascii="宋体" w:hAnsi="宋体" w:cs="宋体"/>
          <w:color w:val="000000" w:themeColor="text1"/>
          <w:sz w:val="20"/>
          <w:szCs w:val="20"/>
          <w14:textFill>
            <w14:solidFill>
              <w14:schemeClr w14:val="tx1"/>
            </w14:solidFill>
          </w14:textFill>
        </w:rPr>
      </w:pPr>
    </w:p>
    <w:p w14:paraId="6355DA0C">
      <w:pPr>
        <w:spacing w:line="440" w:lineRule="exact"/>
        <w:rPr>
          <w:rFonts w:hint="eastAsia" w:ascii="宋体" w:hAnsi="宋体" w:cs="宋体"/>
          <w:color w:val="000000" w:themeColor="text1"/>
          <w:sz w:val="20"/>
          <w:szCs w:val="20"/>
          <w14:textFill>
            <w14:solidFill>
              <w14:schemeClr w14:val="tx1"/>
            </w14:solidFill>
          </w14:textFill>
        </w:rPr>
      </w:pPr>
    </w:p>
    <w:p w14:paraId="300474D2">
      <w:pPr>
        <w:spacing w:line="440" w:lineRule="exact"/>
        <w:rPr>
          <w:rFonts w:hint="eastAsia" w:ascii="宋体" w:hAnsi="宋体" w:cs="宋体"/>
          <w:color w:val="000000" w:themeColor="text1"/>
          <w:sz w:val="20"/>
          <w:szCs w:val="20"/>
          <w14:textFill>
            <w14:solidFill>
              <w14:schemeClr w14:val="tx1"/>
            </w14:solidFill>
          </w14:textFill>
        </w:rPr>
      </w:pPr>
    </w:p>
    <w:p w14:paraId="5DCBFE5E">
      <w:pPr>
        <w:spacing w:line="440" w:lineRule="exact"/>
        <w:rPr>
          <w:rFonts w:hint="eastAsia" w:ascii="宋体" w:hAnsi="宋体" w:cs="宋体"/>
          <w:color w:val="000000" w:themeColor="text1"/>
          <w:sz w:val="20"/>
          <w:szCs w:val="20"/>
          <w14:textFill>
            <w14:solidFill>
              <w14:schemeClr w14:val="tx1"/>
            </w14:solidFill>
          </w14:textFill>
        </w:rPr>
      </w:pPr>
    </w:p>
    <w:p w14:paraId="67B163EB">
      <w:pPr>
        <w:spacing w:line="440" w:lineRule="exact"/>
        <w:rPr>
          <w:rFonts w:hint="eastAsia" w:ascii="宋体" w:hAnsi="宋体" w:cs="宋体"/>
          <w:color w:val="000000" w:themeColor="text1"/>
          <w:sz w:val="20"/>
          <w:szCs w:val="20"/>
          <w14:textFill>
            <w14:solidFill>
              <w14:schemeClr w14:val="tx1"/>
            </w14:solidFill>
          </w14:textFill>
        </w:rPr>
      </w:pPr>
    </w:p>
    <w:p w14:paraId="605F5E41">
      <w:pPr>
        <w:spacing w:line="440" w:lineRule="exact"/>
        <w:rPr>
          <w:rFonts w:hint="eastAsia" w:ascii="宋体" w:hAnsi="宋体" w:cs="宋体"/>
          <w:color w:val="000000" w:themeColor="text1"/>
          <w:sz w:val="20"/>
          <w:szCs w:val="20"/>
          <w14:textFill>
            <w14:solidFill>
              <w14:schemeClr w14:val="tx1"/>
            </w14:solidFill>
          </w14:textFill>
        </w:rPr>
      </w:pPr>
    </w:p>
    <w:p w14:paraId="5543EB4F">
      <w:pPr>
        <w:spacing w:line="440" w:lineRule="exact"/>
        <w:rPr>
          <w:rFonts w:hint="eastAsia" w:ascii="宋体" w:hAnsi="宋体" w:cs="宋体"/>
          <w:color w:val="000000" w:themeColor="text1"/>
          <w:sz w:val="20"/>
          <w:szCs w:val="20"/>
          <w14:textFill>
            <w14:solidFill>
              <w14:schemeClr w14:val="tx1"/>
            </w14:solidFill>
          </w14:textFill>
        </w:rPr>
      </w:pPr>
    </w:p>
    <w:p w14:paraId="7359A18C">
      <w:pPr>
        <w:spacing w:line="440" w:lineRule="exact"/>
        <w:rPr>
          <w:rFonts w:hint="eastAsia" w:ascii="宋体" w:hAnsi="宋体" w:cs="宋体"/>
          <w:color w:val="000000" w:themeColor="text1"/>
          <w:sz w:val="23"/>
          <w:szCs w:val="23"/>
          <w14:textFill>
            <w14:solidFill>
              <w14:schemeClr w14:val="tx1"/>
            </w14:solidFill>
          </w14:textFill>
        </w:rPr>
      </w:pPr>
    </w:p>
    <w:p w14:paraId="6FE68B9C">
      <w:pPr>
        <w:pStyle w:val="4"/>
        <w:spacing w:line="416" w:lineRule="auto"/>
        <w:jc w:val="center"/>
        <w:rPr>
          <w:rFonts w:hint="eastAsia" w:ascii="宋体" w:eastAsia="宋体" w:cs="宋体"/>
          <w:color w:val="000000" w:themeColor="text1"/>
          <w14:textFill>
            <w14:solidFill>
              <w14:schemeClr w14:val="tx1"/>
            </w14:solidFill>
          </w14:textFill>
        </w:rPr>
      </w:pPr>
      <w:bookmarkStart w:id="1831" w:name="_Toc54190099"/>
      <w:bookmarkStart w:id="1832" w:name="_Toc152045810"/>
      <w:bookmarkStart w:id="1833" w:name="_Toc30147"/>
      <w:bookmarkStart w:id="1834" w:name="_Toc152042599"/>
      <w:bookmarkStart w:id="1835" w:name="_Toc247514302"/>
      <w:bookmarkStart w:id="1836" w:name="_Toc25665"/>
      <w:bookmarkStart w:id="1837" w:name="_Toc14127"/>
      <w:bookmarkStart w:id="1838" w:name="_Toc247527850"/>
      <w:bookmarkStart w:id="1839" w:name="_Toc144974878"/>
      <w:r>
        <w:rPr>
          <w:rFonts w:hint="eastAsia" w:ascii="宋体" w:eastAsia="宋体" w:cs="宋体"/>
          <w:color w:val="000000" w:themeColor="text1"/>
          <w14:textFill>
            <w14:solidFill>
              <w14:schemeClr w14:val="tx1"/>
            </w14:solidFill>
          </w14:textFill>
        </w:rPr>
        <w:t>（三）近年完成的类似项目情况表</w:t>
      </w:r>
      <w:bookmarkEnd w:id="1831"/>
      <w:bookmarkEnd w:id="1832"/>
      <w:bookmarkEnd w:id="1833"/>
      <w:bookmarkEnd w:id="1834"/>
      <w:bookmarkEnd w:id="1835"/>
      <w:bookmarkEnd w:id="1836"/>
      <w:bookmarkEnd w:id="1837"/>
      <w:bookmarkEnd w:id="1838"/>
      <w:bookmarkEnd w:id="1839"/>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9"/>
        <w:gridCol w:w="7301"/>
      </w:tblGrid>
      <w:tr w14:paraId="1876D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2269" w:type="dxa"/>
            <w:vAlign w:val="center"/>
          </w:tcPr>
          <w:p w14:paraId="50037171">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项目名称</w:t>
            </w:r>
          </w:p>
        </w:tc>
        <w:tc>
          <w:tcPr>
            <w:tcW w:w="7301" w:type="dxa"/>
          </w:tcPr>
          <w:p w14:paraId="74F79719">
            <w:pPr>
              <w:topLinePunct/>
              <w:spacing w:line="440" w:lineRule="exact"/>
              <w:rPr>
                <w:rFonts w:hint="eastAsia" w:ascii="宋体" w:hAnsi="宋体" w:cs="宋体"/>
                <w:color w:val="000000" w:themeColor="text1"/>
                <w:szCs w:val="21"/>
                <w14:textFill>
                  <w14:solidFill>
                    <w14:schemeClr w14:val="tx1"/>
                  </w14:solidFill>
                </w14:textFill>
              </w:rPr>
            </w:pPr>
          </w:p>
        </w:tc>
      </w:tr>
      <w:tr w14:paraId="4A673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2269" w:type="dxa"/>
            <w:vAlign w:val="center"/>
          </w:tcPr>
          <w:p w14:paraId="53508216">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项目所在地</w:t>
            </w:r>
          </w:p>
        </w:tc>
        <w:tc>
          <w:tcPr>
            <w:tcW w:w="7301" w:type="dxa"/>
          </w:tcPr>
          <w:p w14:paraId="6F2FD750">
            <w:pPr>
              <w:topLinePunct/>
              <w:spacing w:line="440" w:lineRule="exact"/>
              <w:rPr>
                <w:rFonts w:hint="eastAsia" w:ascii="宋体" w:hAnsi="宋体" w:cs="宋体"/>
                <w:color w:val="000000" w:themeColor="text1"/>
                <w:szCs w:val="21"/>
                <w14:textFill>
                  <w14:solidFill>
                    <w14:schemeClr w14:val="tx1"/>
                  </w14:solidFill>
                </w14:textFill>
              </w:rPr>
            </w:pPr>
          </w:p>
        </w:tc>
      </w:tr>
      <w:tr w14:paraId="53EEC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269" w:type="dxa"/>
            <w:vAlign w:val="center"/>
          </w:tcPr>
          <w:p w14:paraId="5FD8E434">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发包人名称</w:t>
            </w:r>
          </w:p>
        </w:tc>
        <w:tc>
          <w:tcPr>
            <w:tcW w:w="7301" w:type="dxa"/>
          </w:tcPr>
          <w:p w14:paraId="7F07110A">
            <w:pPr>
              <w:topLinePunct/>
              <w:spacing w:line="440" w:lineRule="exact"/>
              <w:rPr>
                <w:rFonts w:hint="eastAsia" w:ascii="宋体" w:hAnsi="宋体" w:cs="宋体"/>
                <w:color w:val="000000" w:themeColor="text1"/>
                <w:szCs w:val="21"/>
                <w14:textFill>
                  <w14:solidFill>
                    <w14:schemeClr w14:val="tx1"/>
                  </w14:solidFill>
                </w14:textFill>
              </w:rPr>
            </w:pPr>
          </w:p>
        </w:tc>
      </w:tr>
      <w:tr w14:paraId="3581F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2269" w:type="dxa"/>
            <w:vAlign w:val="center"/>
          </w:tcPr>
          <w:p w14:paraId="156E204E">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发包人地址</w:t>
            </w:r>
          </w:p>
        </w:tc>
        <w:tc>
          <w:tcPr>
            <w:tcW w:w="7301" w:type="dxa"/>
          </w:tcPr>
          <w:p w14:paraId="665FA188">
            <w:pPr>
              <w:topLinePunct/>
              <w:spacing w:line="440" w:lineRule="exact"/>
              <w:rPr>
                <w:rFonts w:hint="eastAsia" w:ascii="宋体" w:hAnsi="宋体" w:cs="宋体"/>
                <w:color w:val="000000" w:themeColor="text1"/>
                <w:szCs w:val="21"/>
                <w14:textFill>
                  <w14:solidFill>
                    <w14:schemeClr w14:val="tx1"/>
                  </w14:solidFill>
                </w14:textFill>
              </w:rPr>
            </w:pPr>
          </w:p>
        </w:tc>
      </w:tr>
      <w:tr w14:paraId="793F1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269" w:type="dxa"/>
            <w:vAlign w:val="center"/>
          </w:tcPr>
          <w:p w14:paraId="08FB171A">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发包人电话</w:t>
            </w:r>
          </w:p>
        </w:tc>
        <w:tc>
          <w:tcPr>
            <w:tcW w:w="7301" w:type="dxa"/>
          </w:tcPr>
          <w:p w14:paraId="7B6A9AB9">
            <w:pPr>
              <w:topLinePunct/>
              <w:spacing w:line="440" w:lineRule="exact"/>
              <w:rPr>
                <w:rFonts w:hint="eastAsia" w:ascii="宋体" w:hAnsi="宋体" w:cs="宋体"/>
                <w:color w:val="000000" w:themeColor="text1"/>
                <w:szCs w:val="21"/>
                <w14:textFill>
                  <w14:solidFill>
                    <w14:schemeClr w14:val="tx1"/>
                  </w14:solidFill>
                </w14:textFill>
              </w:rPr>
            </w:pPr>
          </w:p>
        </w:tc>
      </w:tr>
      <w:tr w14:paraId="4E9EA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269" w:type="dxa"/>
            <w:vAlign w:val="center"/>
          </w:tcPr>
          <w:p w14:paraId="27DDA34A">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合同价格</w:t>
            </w:r>
          </w:p>
        </w:tc>
        <w:tc>
          <w:tcPr>
            <w:tcW w:w="7301" w:type="dxa"/>
          </w:tcPr>
          <w:p w14:paraId="47B90AB1">
            <w:pPr>
              <w:topLinePunct/>
              <w:spacing w:line="440" w:lineRule="exact"/>
              <w:rPr>
                <w:rFonts w:hint="eastAsia" w:ascii="宋体" w:hAnsi="宋体" w:cs="宋体"/>
                <w:color w:val="000000" w:themeColor="text1"/>
                <w:szCs w:val="21"/>
                <w14:textFill>
                  <w14:solidFill>
                    <w14:schemeClr w14:val="tx1"/>
                  </w14:solidFill>
                </w14:textFill>
              </w:rPr>
            </w:pPr>
          </w:p>
        </w:tc>
      </w:tr>
      <w:tr w14:paraId="74AB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269" w:type="dxa"/>
            <w:vAlign w:val="center"/>
          </w:tcPr>
          <w:p w14:paraId="33CA6AD7">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开工日期</w:t>
            </w:r>
          </w:p>
        </w:tc>
        <w:tc>
          <w:tcPr>
            <w:tcW w:w="7301" w:type="dxa"/>
          </w:tcPr>
          <w:p w14:paraId="6A913B38">
            <w:pPr>
              <w:topLinePunct/>
              <w:spacing w:line="440" w:lineRule="exact"/>
              <w:rPr>
                <w:rFonts w:hint="eastAsia" w:ascii="宋体" w:hAnsi="宋体" w:cs="宋体"/>
                <w:color w:val="000000" w:themeColor="text1"/>
                <w:szCs w:val="21"/>
                <w14:textFill>
                  <w14:solidFill>
                    <w14:schemeClr w14:val="tx1"/>
                  </w14:solidFill>
                </w14:textFill>
              </w:rPr>
            </w:pPr>
          </w:p>
        </w:tc>
      </w:tr>
      <w:tr w14:paraId="249B0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2269" w:type="dxa"/>
            <w:vAlign w:val="center"/>
          </w:tcPr>
          <w:p w14:paraId="43178DDF">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竣工</w:t>
            </w:r>
            <w:r>
              <w:rPr>
                <w:rFonts w:hint="eastAsia" w:ascii="宋体" w:hAnsi="宋体" w:cs="宋体"/>
                <w:color w:val="000000" w:themeColor="text1"/>
                <w:szCs w:val="21"/>
                <w14:textFill>
                  <w14:solidFill>
                    <w14:schemeClr w14:val="tx1"/>
                  </w14:solidFill>
                </w14:textFill>
              </w:rPr>
              <w:t>日期</w:t>
            </w:r>
          </w:p>
        </w:tc>
        <w:tc>
          <w:tcPr>
            <w:tcW w:w="7301" w:type="dxa"/>
          </w:tcPr>
          <w:p w14:paraId="10E5459C">
            <w:pPr>
              <w:topLinePunct/>
              <w:spacing w:line="440" w:lineRule="exact"/>
              <w:rPr>
                <w:rFonts w:hint="eastAsia" w:ascii="宋体" w:hAnsi="宋体" w:cs="宋体"/>
                <w:color w:val="000000" w:themeColor="text1"/>
                <w:szCs w:val="21"/>
                <w14:textFill>
                  <w14:solidFill>
                    <w14:schemeClr w14:val="tx1"/>
                  </w14:solidFill>
                </w14:textFill>
              </w:rPr>
            </w:pPr>
          </w:p>
        </w:tc>
      </w:tr>
      <w:tr w14:paraId="763D4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2269" w:type="dxa"/>
            <w:vAlign w:val="center"/>
          </w:tcPr>
          <w:p w14:paraId="32EB4BC7">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承担的工作</w:t>
            </w:r>
          </w:p>
        </w:tc>
        <w:tc>
          <w:tcPr>
            <w:tcW w:w="7301" w:type="dxa"/>
          </w:tcPr>
          <w:p w14:paraId="50260CC3">
            <w:pPr>
              <w:topLinePunct/>
              <w:spacing w:line="440" w:lineRule="exact"/>
              <w:rPr>
                <w:rFonts w:hint="eastAsia" w:ascii="宋体" w:hAnsi="宋体" w:cs="宋体"/>
                <w:color w:val="000000" w:themeColor="text1"/>
                <w:szCs w:val="21"/>
                <w14:textFill>
                  <w14:solidFill>
                    <w14:schemeClr w14:val="tx1"/>
                  </w14:solidFill>
                </w14:textFill>
              </w:rPr>
            </w:pPr>
          </w:p>
        </w:tc>
      </w:tr>
      <w:tr w14:paraId="4908C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2269" w:type="dxa"/>
            <w:vAlign w:val="center"/>
          </w:tcPr>
          <w:p w14:paraId="63B37009">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工程质量</w:t>
            </w:r>
          </w:p>
        </w:tc>
        <w:tc>
          <w:tcPr>
            <w:tcW w:w="7301" w:type="dxa"/>
          </w:tcPr>
          <w:p w14:paraId="1A43C2A4">
            <w:pPr>
              <w:topLinePunct/>
              <w:spacing w:line="440" w:lineRule="exact"/>
              <w:rPr>
                <w:rFonts w:hint="eastAsia" w:ascii="宋体" w:hAnsi="宋体" w:cs="宋体"/>
                <w:color w:val="000000" w:themeColor="text1"/>
                <w:szCs w:val="21"/>
                <w14:textFill>
                  <w14:solidFill>
                    <w14:schemeClr w14:val="tx1"/>
                  </w14:solidFill>
                </w14:textFill>
              </w:rPr>
            </w:pPr>
          </w:p>
        </w:tc>
      </w:tr>
      <w:tr w14:paraId="42B9A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2269" w:type="dxa"/>
            <w:vAlign w:val="center"/>
          </w:tcPr>
          <w:p w14:paraId="02A44629">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项目负责人</w:t>
            </w:r>
          </w:p>
        </w:tc>
        <w:tc>
          <w:tcPr>
            <w:tcW w:w="7301" w:type="dxa"/>
          </w:tcPr>
          <w:p w14:paraId="1CF3661B">
            <w:pPr>
              <w:topLinePunct/>
              <w:spacing w:line="440" w:lineRule="exact"/>
              <w:rPr>
                <w:rFonts w:hint="eastAsia" w:ascii="宋体" w:hAnsi="宋体" w:cs="宋体"/>
                <w:color w:val="000000" w:themeColor="text1"/>
                <w:szCs w:val="21"/>
                <w14:textFill>
                  <w14:solidFill>
                    <w14:schemeClr w14:val="tx1"/>
                  </w14:solidFill>
                </w14:textFill>
              </w:rPr>
            </w:pPr>
          </w:p>
        </w:tc>
      </w:tr>
      <w:tr w14:paraId="05CDE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2269" w:type="dxa"/>
            <w:vAlign w:val="center"/>
          </w:tcPr>
          <w:p w14:paraId="695ABB0A">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技术负责人</w:t>
            </w:r>
          </w:p>
        </w:tc>
        <w:tc>
          <w:tcPr>
            <w:tcW w:w="7301" w:type="dxa"/>
          </w:tcPr>
          <w:p w14:paraId="0E834BDE">
            <w:pPr>
              <w:topLinePunct/>
              <w:spacing w:line="440" w:lineRule="exact"/>
              <w:rPr>
                <w:rFonts w:hint="eastAsia" w:ascii="宋体" w:hAnsi="宋体" w:cs="宋体"/>
                <w:color w:val="000000" w:themeColor="text1"/>
                <w:szCs w:val="21"/>
                <w14:textFill>
                  <w14:solidFill>
                    <w14:schemeClr w14:val="tx1"/>
                  </w14:solidFill>
                </w14:textFill>
              </w:rPr>
            </w:pPr>
          </w:p>
        </w:tc>
      </w:tr>
      <w:tr w14:paraId="6B60F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269" w:type="dxa"/>
            <w:vAlign w:val="center"/>
          </w:tcPr>
          <w:p w14:paraId="76A480E7">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项目描述</w:t>
            </w:r>
          </w:p>
        </w:tc>
        <w:tc>
          <w:tcPr>
            <w:tcW w:w="7301" w:type="dxa"/>
          </w:tcPr>
          <w:p w14:paraId="0A18BA15">
            <w:pPr>
              <w:topLinePunct/>
              <w:spacing w:line="440" w:lineRule="exact"/>
              <w:rPr>
                <w:rFonts w:hint="eastAsia" w:ascii="宋体" w:hAnsi="宋体" w:cs="宋体"/>
                <w:color w:val="000000" w:themeColor="text1"/>
                <w:szCs w:val="21"/>
                <w14:textFill>
                  <w14:solidFill>
                    <w14:schemeClr w14:val="tx1"/>
                  </w14:solidFill>
                </w14:textFill>
              </w:rPr>
            </w:pPr>
          </w:p>
          <w:p w14:paraId="3BA8C15B">
            <w:pPr>
              <w:topLinePunct/>
              <w:spacing w:line="440" w:lineRule="exact"/>
              <w:rPr>
                <w:rFonts w:hint="eastAsia" w:ascii="宋体" w:hAnsi="宋体" w:cs="宋体"/>
                <w:color w:val="000000" w:themeColor="text1"/>
                <w:szCs w:val="21"/>
                <w14:textFill>
                  <w14:solidFill>
                    <w14:schemeClr w14:val="tx1"/>
                  </w14:solidFill>
                </w14:textFill>
              </w:rPr>
            </w:pPr>
          </w:p>
          <w:p w14:paraId="71DDAB03">
            <w:pPr>
              <w:topLinePunct/>
              <w:spacing w:line="440" w:lineRule="exact"/>
              <w:rPr>
                <w:rFonts w:hint="eastAsia" w:ascii="宋体" w:hAnsi="宋体" w:cs="宋体"/>
                <w:color w:val="000000" w:themeColor="text1"/>
                <w:szCs w:val="21"/>
                <w14:textFill>
                  <w14:solidFill>
                    <w14:schemeClr w14:val="tx1"/>
                  </w14:solidFill>
                </w14:textFill>
              </w:rPr>
            </w:pPr>
          </w:p>
          <w:p w14:paraId="1B1D2B7D">
            <w:pPr>
              <w:topLinePunct/>
              <w:spacing w:line="440" w:lineRule="exact"/>
              <w:rPr>
                <w:rFonts w:hint="eastAsia" w:ascii="宋体" w:hAnsi="宋体" w:cs="宋体"/>
                <w:color w:val="000000" w:themeColor="text1"/>
                <w:szCs w:val="21"/>
                <w14:textFill>
                  <w14:solidFill>
                    <w14:schemeClr w14:val="tx1"/>
                  </w14:solidFill>
                </w14:textFill>
              </w:rPr>
            </w:pPr>
          </w:p>
        </w:tc>
      </w:tr>
      <w:tr w14:paraId="67BBE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269" w:type="dxa"/>
            <w:vAlign w:val="center"/>
          </w:tcPr>
          <w:p w14:paraId="26AB5762">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备注</w:t>
            </w:r>
          </w:p>
        </w:tc>
        <w:tc>
          <w:tcPr>
            <w:tcW w:w="7301" w:type="dxa"/>
          </w:tcPr>
          <w:p w14:paraId="116AF8B5">
            <w:pPr>
              <w:topLinePunct/>
              <w:spacing w:line="440" w:lineRule="exact"/>
              <w:rPr>
                <w:rFonts w:hint="eastAsia" w:ascii="宋体" w:hAnsi="宋体" w:cs="宋体"/>
                <w:color w:val="000000" w:themeColor="text1"/>
                <w:szCs w:val="21"/>
                <w14:textFill>
                  <w14:solidFill>
                    <w14:schemeClr w14:val="tx1"/>
                  </w14:solidFill>
                </w14:textFill>
              </w:rPr>
            </w:pPr>
          </w:p>
        </w:tc>
      </w:tr>
    </w:tbl>
    <w:p w14:paraId="33A8D7CE">
      <w:pPr>
        <w:autoSpaceDE w:val="0"/>
        <w:autoSpaceDN w:val="0"/>
        <w:adjustRightInd w:val="0"/>
        <w:snapToGrid w:val="0"/>
        <w:spacing w:line="300" w:lineRule="auto"/>
        <w:ind w:left="1140" w:leftChars="200" w:hanging="720" w:hangingChars="343"/>
        <w:rPr>
          <w:rFonts w:hint="eastAsia" w:ascii="宋体" w:hAnsi="宋体" w:cs="宋体"/>
          <w:b/>
          <w:color w:val="000000" w:themeColor="text1"/>
          <w:szCs w:val="21"/>
          <w14:textFill>
            <w14:solidFill>
              <w14:schemeClr w14:val="tx1"/>
            </w14:solidFill>
          </w14:textFill>
        </w:rPr>
      </w:pPr>
      <w:bookmarkStart w:id="1840" w:name="_Toc247527851"/>
      <w:bookmarkStart w:id="1841" w:name="_Toc247514303"/>
      <w:bookmarkStart w:id="1842" w:name="_Toc144974879"/>
      <w:bookmarkStart w:id="1843" w:name="_Toc152045811"/>
      <w:bookmarkStart w:id="1844" w:name="_Toc152042600"/>
    </w:p>
    <w:p w14:paraId="301E6DA2">
      <w:pPr>
        <w:autoSpaceDE w:val="0"/>
        <w:autoSpaceDN w:val="0"/>
        <w:adjustRightInd w:val="0"/>
        <w:snapToGrid w:val="0"/>
        <w:spacing w:line="300" w:lineRule="auto"/>
        <w:ind w:left="1140" w:leftChars="200" w:hanging="720" w:hangingChars="343"/>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注：1、投标人应随此表附上相关的业绩证明（施工项目应附中标通知书或合同协议书或竣工验收备案表，勘察、设计</w:t>
      </w:r>
      <w:r>
        <w:rPr>
          <w:rFonts w:hint="eastAsia" w:ascii="宋体" w:hAnsi="宋体" w:cs="宋体"/>
          <w:b/>
          <w:color w:val="000000" w:themeColor="text1"/>
          <w:szCs w:val="21"/>
          <w:lang w:eastAsia="zh-CN"/>
          <w14:textFill>
            <w14:solidFill>
              <w14:schemeClr w14:val="tx1"/>
            </w14:solidFill>
          </w14:textFill>
        </w:rPr>
        <w:t>、</w:t>
      </w:r>
      <w:r>
        <w:rPr>
          <w:rFonts w:hint="eastAsia" w:ascii="宋体" w:hAnsi="宋体" w:cs="宋体"/>
          <w:b/>
          <w:color w:val="000000" w:themeColor="text1"/>
          <w:szCs w:val="21"/>
          <w:lang w:val="en-US" w:eastAsia="zh-CN"/>
          <w14:textFill>
            <w14:solidFill>
              <w14:schemeClr w14:val="tx1"/>
            </w14:solidFill>
          </w14:textFill>
        </w:rPr>
        <w:t>设备</w:t>
      </w:r>
      <w:r>
        <w:rPr>
          <w:rFonts w:hint="eastAsia" w:ascii="宋体" w:hAnsi="宋体" w:cs="宋体"/>
          <w:b/>
          <w:color w:val="000000" w:themeColor="text1"/>
          <w:szCs w:val="21"/>
          <w14:textFill>
            <w14:solidFill>
              <w14:schemeClr w14:val="tx1"/>
            </w14:solidFill>
          </w14:textFill>
        </w:rPr>
        <w:t>项目应附中标通知书或合同协议书）。</w:t>
      </w:r>
    </w:p>
    <w:p w14:paraId="04395B48">
      <w:pPr>
        <w:autoSpaceDE w:val="0"/>
        <w:autoSpaceDN w:val="0"/>
        <w:adjustRightInd w:val="0"/>
        <w:snapToGrid w:val="0"/>
        <w:spacing w:line="300" w:lineRule="auto"/>
        <w:ind w:left="1140" w:leftChars="200" w:hanging="720" w:hangingChars="343"/>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    2、如有多个已完工项目，每个项目填一张此表，附后。</w:t>
      </w:r>
    </w:p>
    <w:p w14:paraId="3DFA9F9D">
      <w:pPr>
        <w:autoSpaceDE w:val="0"/>
        <w:autoSpaceDN w:val="0"/>
        <w:adjustRightInd w:val="0"/>
        <w:snapToGrid w:val="0"/>
        <w:spacing w:line="300" w:lineRule="auto"/>
        <w:ind w:left="1140" w:leftChars="200" w:hanging="720" w:hangingChars="343"/>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    3、以联合体形式投标的，联合体各方均应分别填写此表并附相关资料，联合体各方各自对其所填表格及所附资料盖章。</w:t>
      </w:r>
    </w:p>
    <w:p w14:paraId="420062B7">
      <w:pPr>
        <w:pStyle w:val="4"/>
        <w:jc w:val="center"/>
        <w:rPr>
          <w:rFonts w:hint="eastAsia" w:ascii="宋体" w:eastAsia="宋体" w:cs="宋体"/>
          <w:color w:val="000000" w:themeColor="text1"/>
          <w14:textFill>
            <w14:solidFill>
              <w14:schemeClr w14:val="tx1"/>
            </w14:solidFill>
          </w14:textFill>
        </w:rPr>
      </w:pPr>
      <w:bookmarkStart w:id="1845" w:name="_Toc26647"/>
      <w:bookmarkStart w:id="1846" w:name="_Toc6566"/>
      <w:bookmarkStart w:id="1847" w:name="_Toc54190100"/>
      <w:bookmarkStart w:id="1848" w:name="_Toc26895"/>
      <w:r>
        <w:rPr>
          <w:rFonts w:hint="eastAsia" w:ascii="宋体" w:eastAsia="宋体" w:cs="宋体"/>
          <w:color w:val="000000" w:themeColor="text1"/>
          <w14:textFill>
            <w14:solidFill>
              <w14:schemeClr w14:val="tx1"/>
            </w14:solidFill>
          </w14:textFill>
        </w:rPr>
        <w:t>（四）正在实施的和新承接的项目情况表</w:t>
      </w:r>
      <w:bookmarkEnd w:id="1840"/>
      <w:bookmarkEnd w:id="1841"/>
      <w:bookmarkEnd w:id="1842"/>
      <w:bookmarkEnd w:id="1843"/>
      <w:bookmarkEnd w:id="1844"/>
      <w:bookmarkEnd w:id="1845"/>
      <w:bookmarkEnd w:id="1846"/>
      <w:bookmarkEnd w:id="1847"/>
      <w:bookmarkEnd w:id="1848"/>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9"/>
        <w:gridCol w:w="7406"/>
      </w:tblGrid>
      <w:tr w14:paraId="6274E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2119" w:type="dxa"/>
            <w:vAlign w:val="center"/>
          </w:tcPr>
          <w:p w14:paraId="4153E6A0">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项目名称</w:t>
            </w:r>
          </w:p>
        </w:tc>
        <w:tc>
          <w:tcPr>
            <w:tcW w:w="7406" w:type="dxa"/>
          </w:tcPr>
          <w:p w14:paraId="43FA61D5">
            <w:pPr>
              <w:topLinePunct/>
              <w:spacing w:line="440" w:lineRule="exact"/>
              <w:rPr>
                <w:rFonts w:hint="eastAsia" w:ascii="宋体" w:hAnsi="宋体" w:cs="宋体"/>
                <w:color w:val="000000" w:themeColor="text1"/>
                <w:szCs w:val="21"/>
                <w14:textFill>
                  <w14:solidFill>
                    <w14:schemeClr w14:val="tx1"/>
                  </w14:solidFill>
                </w14:textFill>
              </w:rPr>
            </w:pPr>
          </w:p>
        </w:tc>
      </w:tr>
      <w:tr w14:paraId="03CD7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2119" w:type="dxa"/>
            <w:vAlign w:val="center"/>
          </w:tcPr>
          <w:p w14:paraId="7BCF14D1">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项目所在地</w:t>
            </w:r>
          </w:p>
        </w:tc>
        <w:tc>
          <w:tcPr>
            <w:tcW w:w="7406" w:type="dxa"/>
          </w:tcPr>
          <w:p w14:paraId="72108A9D">
            <w:pPr>
              <w:topLinePunct/>
              <w:spacing w:line="440" w:lineRule="exact"/>
              <w:rPr>
                <w:rFonts w:hint="eastAsia" w:ascii="宋体" w:hAnsi="宋体" w:cs="宋体"/>
                <w:color w:val="000000" w:themeColor="text1"/>
                <w:szCs w:val="21"/>
                <w14:textFill>
                  <w14:solidFill>
                    <w14:schemeClr w14:val="tx1"/>
                  </w14:solidFill>
                </w14:textFill>
              </w:rPr>
            </w:pPr>
          </w:p>
        </w:tc>
      </w:tr>
      <w:tr w14:paraId="40E2A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119" w:type="dxa"/>
            <w:vAlign w:val="center"/>
          </w:tcPr>
          <w:p w14:paraId="03D88670">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发包人名称</w:t>
            </w:r>
          </w:p>
        </w:tc>
        <w:tc>
          <w:tcPr>
            <w:tcW w:w="7406" w:type="dxa"/>
          </w:tcPr>
          <w:p w14:paraId="5255A600">
            <w:pPr>
              <w:topLinePunct/>
              <w:spacing w:line="440" w:lineRule="exact"/>
              <w:rPr>
                <w:rFonts w:hint="eastAsia" w:ascii="宋体" w:hAnsi="宋体" w:cs="宋体"/>
                <w:color w:val="000000" w:themeColor="text1"/>
                <w:szCs w:val="21"/>
                <w14:textFill>
                  <w14:solidFill>
                    <w14:schemeClr w14:val="tx1"/>
                  </w14:solidFill>
                </w14:textFill>
              </w:rPr>
            </w:pPr>
          </w:p>
        </w:tc>
      </w:tr>
      <w:tr w14:paraId="26425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2119" w:type="dxa"/>
            <w:vAlign w:val="center"/>
          </w:tcPr>
          <w:p w14:paraId="6BCE4F24">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发包人地址</w:t>
            </w:r>
          </w:p>
        </w:tc>
        <w:tc>
          <w:tcPr>
            <w:tcW w:w="7406" w:type="dxa"/>
          </w:tcPr>
          <w:p w14:paraId="35144F48">
            <w:pPr>
              <w:topLinePunct/>
              <w:spacing w:line="440" w:lineRule="exact"/>
              <w:rPr>
                <w:rFonts w:hint="eastAsia" w:ascii="宋体" w:hAnsi="宋体" w:cs="宋体"/>
                <w:color w:val="000000" w:themeColor="text1"/>
                <w:szCs w:val="21"/>
                <w14:textFill>
                  <w14:solidFill>
                    <w14:schemeClr w14:val="tx1"/>
                  </w14:solidFill>
                </w14:textFill>
              </w:rPr>
            </w:pPr>
          </w:p>
        </w:tc>
      </w:tr>
      <w:tr w14:paraId="33CAF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119" w:type="dxa"/>
            <w:vAlign w:val="center"/>
          </w:tcPr>
          <w:p w14:paraId="5B37F171">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发包人电话</w:t>
            </w:r>
          </w:p>
        </w:tc>
        <w:tc>
          <w:tcPr>
            <w:tcW w:w="7406" w:type="dxa"/>
          </w:tcPr>
          <w:p w14:paraId="70FD6C69">
            <w:pPr>
              <w:topLinePunct/>
              <w:spacing w:line="440" w:lineRule="exact"/>
              <w:rPr>
                <w:rFonts w:hint="eastAsia" w:ascii="宋体" w:hAnsi="宋体" w:cs="宋体"/>
                <w:color w:val="000000" w:themeColor="text1"/>
                <w:szCs w:val="21"/>
                <w14:textFill>
                  <w14:solidFill>
                    <w14:schemeClr w14:val="tx1"/>
                  </w14:solidFill>
                </w14:textFill>
              </w:rPr>
            </w:pPr>
          </w:p>
        </w:tc>
      </w:tr>
      <w:tr w14:paraId="7A32C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119" w:type="dxa"/>
            <w:vAlign w:val="center"/>
          </w:tcPr>
          <w:p w14:paraId="746202DA">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签约合同价</w:t>
            </w:r>
          </w:p>
        </w:tc>
        <w:tc>
          <w:tcPr>
            <w:tcW w:w="7406" w:type="dxa"/>
          </w:tcPr>
          <w:p w14:paraId="39AABA9B">
            <w:pPr>
              <w:topLinePunct/>
              <w:spacing w:line="440" w:lineRule="exact"/>
              <w:rPr>
                <w:rFonts w:hint="eastAsia" w:ascii="宋体" w:hAnsi="宋体" w:cs="宋体"/>
                <w:color w:val="000000" w:themeColor="text1"/>
                <w:szCs w:val="21"/>
                <w14:textFill>
                  <w14:solidFill>
                    <w14:schemeClr w14:val="tx1"/>
                  </w14:solidFill>
                </w14:textFill>
              </w:rPr>
            </w:pPr>
          </w:p>
        </w:tc>
      </w:tr>
      <w:tr w14:paraId="0B116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119" w:type="dxa"/>
            <w:vAlign w:val="center"/>
          </w:tcPr>
          <w:p w14:paraId="2020B61D">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开工日期</w:t>
            </w:r>
          </w:p>
        </w:tc>
        <w:tc>
          <w:tcPr>
            <w:tcW w:w="7406" w:type="dxa"/>
          </w:tcPr>
          <w:p w14:paraId="1150D02B">
            <w:pPr>
              <w:topLinePunct/>
              <w:spacing w:line="440" w:lineRule="exact"/>
              <w:rPr>
                <w:rFonts w:hint="eastAsia" w:ascii="宋体" w:hAnsi="宋体" w:cs="宋体"/>
                <w:color w:val="000000" w:themeColor="text1"/>
                <w:szCs w:val="21"/>
                <w14:textFill>
                  <w14:solidFill>
                    <w14:schemeClr w14:val="tx1"/>
                  </w14:solidFill>
                </w14:textFill>
              </w:rPr>
            </w:pPr>
          </w:p>
        </w:tc>
      </w:tr>
      <w:tr w14:paraId="44B11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2119" w:type="dxa"/>
            <w:vAlign w:val="center"/>
          </w:tcPr>
          <w:p w14:paraId="1D20F669">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计划</w:t>
            </w:r>
            <w:r>
              <w:rPr>
                <w:rFonts w:hint="eastAsia" w:ascii="宋体" w:hAnsi="宋体" w:cs="宋体"/>
                <w:color w:val="000000" w:themeColor="text1"/>
                <w14:textFill>
                  <w14:solidFill>
                    <w14:schemeClr w14:val="tx1"/>
                  </w14:solidFill>
                </w14:textFill>
              </w:rPr>
              <w:t>竣工</w:t>
            </w:r>
            <w:r>
              <w:rPr>
                <w:rFonts w:hint="eastAsia" w:ascii="宋体" w:hAnsi="宋体" w:cs="宋体"/>
                <w:color w:val="000000" w:themeColor="text1"/>
                <w:szCs w:val="21"/>
                <w14:textFill>
                  <w14:solidFill>
                    <w14:schemeClr w14:val="tx1"/>
                  </w14:solidFill>
                </w14:textFill>
              </w:rPr>
              <w:t>日期</w:t>
            </w:r>
          </w:p>
        </w:tc>
        <w:tc>
          <w:tcPr>
            <w:tcW w:w="7406" w:type="dxa"/>
          </w:tcPr>
          <w:p w14:paraId="4B9E41B7">
            <w:pPr>
              <w:topLinePunct/>
              <w:spacing w:line="440" w:lineRule="exact"/>
              <w:rPr>
                <w:rFonts w:hint="eastAsia" w:ascii="宋体" w:hAnsi="宋体" w:cs="宋体"/>
                <w:color w:val="000000" w:themeColor="text1"/>
                <w:szCs w:val="21"/>
                <w14:textFill>
                  <w14:solidFill>
                    <w14:schemeClr w14:val="tx1"/>
                  </w14:solidFill>
                </w14:textFill>
              </w:rPr>
            </w:pPr>
          </w:p>
        </w:tc>
      </w:tr>
      <w:tr w14:paraId="2AA77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2119" w:type="dxa"/>
            <w:vAlign w:val="center"/>
          </w:tcPr>
          <w:p w14:paraId="172E79DD">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承担的工作</w:t>
            </w:r>
          </w:p>
        </w:tc>
        <w:tc>
          <w:tcPr>
            <w:tcW w:w="7406" w:type="dxa"/>
          </w:tcPr>
          <w:p w14:paraId="2D96686D">
            <w:pPr>
              <w:topLinePunct/>
              <w:spacing w:line="440" w:lineRule="exact"/>
              <w:rPr>
                <w:rFonts w:hint="eastAsia" w:ascii="宋体" w:hAnsi="宋体" w:cs="宋体"/>
                <w:color w:val="000000" w:themeColor="text1"/>
                <w:szCs w:val="21"/>
                <w14:textFill>
                  <w14:solidFill>
                    <w14:schemeClr w14:val="tx1"/>
                  </w14:solidFill>
                </w14:textFill>
              </w:rPr>
            </w:pPr>
          </w:p>
        </w:tc>
      </w:tr>
      <w:tr w14:paraId="42D12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2119" w:type="dxa"/>
            <w:vAlign w:val="center"/>
          </w:tcPr>
          <w:p w14:paraId="1D260652">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工程质量</w:t>
            </w:r>
          </w:p>
        </w:tc>
        <w:tc>
          <w:tcPr>
            <w:tcW w:w="7406" w:type="dxa"/>
          </w:tcPr>
          <w:p w14:paraId="3FAB9CC7">
            <w:pPr>
              <w:topLinePunct/>
              <w:spacing w:line="440" w:lineRule="exact"/>
              <w:rPr>
                <w:rFonts w:hint="eastAsia" w:ascii="宋体" w:hAnsi="宋体" w:cs="宋体"/>
                <w:color w:val="000000" w:themeColor="text1"/>
                <w:szCs w:val="21"/>
                <w14:textFill>
                  <w14:solidFill>
                    <w14:schemeClr w14:val="tx1"/>
                  </w14:solidFill>
                </w14:textFill>
              </w:rPr>
            </w:pPr>
          </w:p>
        </w:tc>
      </w:tr>
      <w:tr w14:paraId="4C60D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2119" w:type="dxa"/>
            <w:vAlign w:val="center"/>
          </w:tcPr>
          <w:p w14:paraId="1F8DAE42">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项目经理</w:t>
            </w:r>
          </w:p>
        </w:tc>
        <w:tc>
          <w:tcPr>
            <w:tcW w:w="7406" w:type="dxa"/>
          </w:tcPr>
          <w:p w14:paraId="2B08D5E5">
            <w:pPr>
              <w:topLinePunct/>
              <w:spacing w:line="440" w:lineRule="exact"/>
              <w:rPr>
                <w:rFonts w:hint="eastAsia" w:ascii="宋体" w:hAnsi="宋体" w:cs="宋体"/>
                <w:color w:val="000000" w:themeColor="text1"/>
                <w:szCs w:val="21"/>
                <w14:textFill>
                  <w14:solidFill>
                    <w14:schemeClr w14:val="tx1"/>
                  </w14:solidFill>
                </w14:textFill>
              </w:rPr>
            </w:pPr>
          </w:p>
        </w:tc>
      </w:tr>
      <w:tr w14:paraId="1D324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2119" w:type="dxa"/>
            <w:vAlign w:val="center"/>
          </w:tcPr>
          <w:p w14:paraId="672A9A90">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技术负责人</w:t>
            </w:r>
          </w:p>
        </w:tc>
        <w:tc>
          <w:tcPr>
            <w:tcW w:w="7406" w:type="dxa"/>
          </w:tcPr>
          <w:p w14:paraId="6FA0DD8F">
            <w:pPr>
              <w:topLinePunct/>
              <w:spacing w:line="440" w:lineRule="exact"/>
              <w:rPr>
                <w:rFonts w:hint="eastAsia" w:ascii="宋体" w:hAnsi="宋体" w:cs="宋体"/>
                <w:color w:val="000000" w:themeColor="text1"/>
                <w:szCs w:val="21"/>
                <w14:textFill>
                  <w14:solidFill>
                    <w14:schemeClr w14:val="tx1"/>
                  </w14:solidFill>
                </w14:textFill>
              </w:rPr>
            </w:pPr>
          </w:p>
        </w:tc>
      </w:tr>
      <w:tr w14:paraId="317E8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2119" w:type="dxa"/>
            <w:vAlign w:val="center"/>
          </w:tcPr>
          <w:p w14:paraId="19DD61A8">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项目描述</w:t>
            </w:r>
          </w:p>
        </w:tc>
        <w:tc>
          <w:tcPr>
            <w:tcW w:w="7406" w:type="dxa"/>
          </w:tcPr>
          <w:p w14:paraId="721C42F8">
            <w:pPr>
              <w:topLinePunct/>
              <w:spacing w:line="440" w:lineRule="exact"/>
              <w:rPr>
                <w:rFonts w:hint="eastAsia" w:ascii="宋体" w:hAnsi="宋体" w:cs="宋体"/>
                <w:color w:val="000000" w:themeColor="text1"/>
                <w:szCs w:val="21"/>
                <w14:textFill>
                  <w14:solidFill>
                    <w14:schemeClr w14:val="tx1"/>
                  </w14:solidFill>
                </w14:textFill>
              </w:rPr>
            </w:pPr>
          </w:p>
          <w:p w14:paraId="188D7B2F">
            <w:pPr>
              <w:topLinePunct/>
              <w:spacing w:line="440" w:lineRule="exact"/>
              <w:rPr>
                <w:rFonts w:hint="eastAsia" w:ascii="宋体" w:hAnsi="宋体" w:cs="宋体"/>
                <w:color w:val="000000" w:themeColor="text1"/>
                <w:szCs w:val="21"/>
                <w14:textFill>
                  <w14:solidFill>
                    <w14:schemeClr w14:val="tx1"/>
                  </w14:solidFill>
                </w14:textFill>
              </w:rPr>
            </w:pPr>
          </w:p>
          <w:p w14:paraId="0A55907D">
            <w:pPr>
              <w:topLinePunct/>
              <w:spacing w:line="440" w:lineRule="exact"/>
              <w:rPr>
                <w:rFonts w:hint="eastAsia" w:ascii="宋体" w:hAnsi="宋体" w:cs="宋体"/>
                <w:color w:val="000000" w:themeColor="text1"/>
                <w:szCs w:val="21"/>
                <w14:textFill>
                  <w14:solidFill>
                    <w14:schemeClr w14:val="tx1"/>
                  </w14:solidFill>
                </w14:textFill>
              </w:rPr>
            </w:pPr>
          </w:p>
          <w:p w14:paraId="7AE3E03A">
            <w:pPr>
              <w:topLinePunct/>
              <w:spacing w:line="440" w:lineRule="exact"/>
              <w:rPr>
                <w:rFonts w:hint="eastAsia" w:ascii="宋体" w:hAnsi="宋体" w:cs="宋体"/>
                <w:color w:val="000000" w:themeColor="text1"/>
                <w:szCs w:val="21"/>
                <w14:textFill>
                  <w14:solidFill>
                    <w14:schemeClr w14:val="tx1"/>
                  </w14:solidFill>
                </w14:textFill>
              </w:rPr>
            </w:pPr>
          </w:p>
          <w:p w14:paraId="6C38FDD8">
            <w:pPr>
              <w:topLinePunct/>
              <w:spacing w:line="440" w:lineRule="exact"/>
              <w:rPr>
                <w:rFonts w:hint="eastAsia" w:ascii="宋体" w:hAnsi="宋体" w:cs="宋体"/>
                <w:color w:val="000000" w:themeColor="text1"/>
                <w:szCs w:val="21"/>
                <w14:textFill>
                  <w14:solidFill>
                    <w14:schemeClr w14:val="tx1"/>
                  </w14:solidFill>
                </w14:textFill>
              </w:rPr>
            </w:pPr>
          </w:p>
        </w:tc>
      </w:tr>
      <w:tr w14:paraId="71BF7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2119" w:type="dxa"/>
            <w:vAlign w:val="center"/>
          </w:tcPr>
          <w:p w14:paraId="31946991">
            <w:pPr>
              <w:topLinePunct/>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备注</w:t>
            </w:r>
          </w:p>
        </w:tc>
        <w:tc>
          <w:tcPr>
            <w:tcW w:w="7406" w:type="dxa"/>
          </w:tcPr>
          <w:p w14:paraId="6912CE00">
            <w:pPr>
              <w:topLinePunct/>
              <w:spacing w:line="440" w:lineRule="exact"/>
              <w:rPr>
                <w:rFonts w:hint="eastAsia" w:ascii="宋体" w:hAnsi="宋体" w:cs="宋体"/>
                <w:color w:val="000000" w:themeColor="text1"/>
                <w:szCs w:val="21"/>
                <w14:textFill>
                  <w14:solidFill>
                    <w14:schemeClr w14:val="tx1"/>
                  </w14:solidFill>
                </w14:textFill>
              </w:rPr>
            </w:pPr>
          </w:p>
        </w:tc>
      </w:tr>
    </w:tbl>
    <w:p w14:paraId="434860FE">
      <w:pPr>
        <w:autoSpaceDE w:val="0"/>
        <w:autoSpaceDN w:val="0"/>
        <w:adjustRightInd w:val="0"/>
        <w:snapToGrid w:val="0"/>
        <w:spacing w:line="300" w:lineRule="auto"/>
        <w:ind w:left="1140" w:leftChars="200" w:hanging="720" w:hangingChars="343"/>
        <w:rPr>
          <w:rFonts w:hint="eastAsia" w:ascii="宋体" w:hAnsi="宋体" w:cs="宋体"/>
          <w:b/>
          <w:color w:val="000000" w:themeColor="text1"/>
          <w:szCs w:val="21"/>
          <w14:textFill>
            <w14:solidFill>
              <w14:schemeClr w14:val="tx1"/>
            </w14:solidFill>
          </w14:textFill>
        </w:rPr>
      </w:pPr>
      <w:bookmarkStart w:id="1849" w:name="_Toc152045812"/>
      <w:bookmarkStart w:id="1850" w:name="_Toc144974880"/>
      <w:bookmarkStart w:id="1851" w:name="_Toc247527852"/>
      <w:bookmarkStart w:id="1852" w:name="_Toc152042601"/>
      <w:bookmarkStart w:id="1853" w:name="_Toc247514304"/>
    </w:p>
    <w:p w14:paraId="62CE68E1">
      <w:pPr>
        <w:autoSpaceDE w:val="0"/>
        <w:autoSpaceDN w:val="0"/>
        <w:adjustRightInd w:val="0"/>
        <w:snapToGrid w:val="0"/>
        <w:spacing w:line="300" w:lineRule="auto"/>
        <w:ind w:left="1140" w:leftChars="200" w:hanging="720" w:hangingChars="343"/>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注：1、投标人应随此表附上相关的业绩证明（业绩证明以中标通知书或合同协议书为准）。</w:t>
      </w:r>
    </w:p>
    <w:p w14:paraId="64CEE0D4">
      <w:pPr>
        <w:autoSpaceDE w:val="0"/>
        <w:autoSpaceDN w:val="0"/>
        <w:adjustRightInd w:val="0"/>
        <w:snapToGrid w:val="0"/>
        <w:spacing w:line="300" w:lineRule="auto"/>
        <w:ind w:left="1140" w:leftChars="200" w:hanging="720" w:hangingChars="343"/>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    2、如有多个正在实施的项目，每个项目填一张此表，附后。</w:t>
      </w:r>
    </w:p>
    <w:p w14:paraId="6C7AB6AE">
      <w:pPr>
        <w:autoSpaceDE w:val="0"/>
        <w:autoSpaceDN w:val="0"/>
        <w:adjustRightInd w:val="0"/>
        <w:snapToGrid w:val="0"/>
        <w:spacing w:line="300" w:lineRule="auto"/>
        <w:ind w:left="1140" w:leftChars="200" w:hanging="720" w:hangingChars="343"/>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    3、以联合体形式投标的，联合体各方均应分别填写此表并附相关资料，联合体各方各自对其所填表格及所附资料盖章。</w:t>
      </w:r>
    </w:p>
    <w:p w14:paraId="42EA5816">
      <w:pPr>
        <w:spacing w:line="440" w:lineRule="exact"/>
        <w:rPr>
          <w:rFonts w:hint="eastAsia" w:ascii="宋体" w:hAnsi="宋体" w:cs="宋体"/>
          <w:color w:val="000000" w:themeColor="text1"/>
          <w14:textFill>
            <w14:solidFill>
              <w14:schemeClr w14:val="tx1"/>
            </w14:solidFill>
          </w14:textFill>
        </w:rPr>
      </w:pPr>
    </w:p>
    <w:p w14:paraId="0D5D40AF">
      <w:pPr>
        <w:pStyle w:val="4"/>
        <w:ind w:firstLine="0" w:firstLineChars="0"/>
        <w:rPr>
          <w:rFonts w:hint="eastAsia" w:ascii="宋体" w:eastAsia="宋体" w:cs="宋体"/>
          <w:color w:val="000000" w:themeColor="text1"/>
          <w14:textFill>
            <w14:solidFill>
              <w14:schemeClr w14:val="tx1"/>
            </w14:solidFill>
          </w14:textFill>
        </w:rPr>
      </w:pPr>
      <w:bookmarkStart w:id="1854" w:name="_Toc11177"/>
      <w:bookmarkStart w:id="1855" w:name="_Toc54190101"/>
    </w:p>
    <w:p w14:paraId="34A45538">
      <w:pPr>
        <w:pStyle w:val="4"/>
        <w:jc w:val="center"/>
        <w:rPr>
          <w:rFonts w:hint="eastAsia" w:ascii="宋体" w:eastAsia="宋体" w:cs="宋体"/>
          <w:color w:val="000000" w:themeColor="text1"/>
          <w14:textFill>
            <w14:solidFill>
              <w14:schemeClr w14:val="tx1"/>
            </w14:solidFill>
          </w14:textFill>
        </w:rPr>
      </w:pPr>
      <w:bookmarkStart w:id="1856" w:name="_Toc10657"/>
      <w:bookmarkStart w:id="1857" w:name="_Toc4147"/>
      <w:r>
        <w:rPr>
          <w:rFonts w:hint="eastAsia" w:ascii="宋体" w:eastAsia="宋体" w:cs="宋体"/>
          <w:color w:val="000000" w:themeColor="text1"/>
          <w14:textFill>
            <w14:solidFill>
              <w14:schemeClr w14:val="tx1"/>
            </w14:solidFill>
          </w14:textFill>
        </w:rPr>
        <w:t>（五）近年发生的重大诉讼及仲裁情况</w:t>
      </w:r>
      <w:bookmarkEnd w:id="1849"/>
      <w:bookmarkEnd w:id="1850"/>
      <w:bookmarkEnd w:id="1851"/>
      <w:bookmarkEnd w:id="1852"/>
      <w:bookmarkEnd w:id="1853"/>
      <w:bookmarkEnd w:id="1854"/>
      <w:bookmarkEnd w:id="1855"/>
      <w:bookmarkEnd w:id="1856"/>
      <w:bookmarkEnd w:id="1857"/>
    </w:p>
    <w:p w14:paraId="0703A959">
      <w:pPr>
        <w:spacing w:line="440" w:lineRule="exact"/>
        <w:jc w:val="center"/>
        <w:rPr>
          <w:rFonts w:hint="eastAsia" w:ascii="宋体" w:hAnsi="宋体" w:cs="宋体"/>
          <w:color w:val="000000" w:themeColor="text1"/>
          <w14:textFill>
            <w14:solidFill>
              <w14:schemeClr w14:val="tx1"/>
            </w14:solidFill>
          </w14:textFill>
        </w:rPr>
      </w:pPr>
      <w:bookmarkStart w:id="1858" w:name="_Toc152045813"/>
      <w:bookmarkStart w:id="1859" w:name="_Toc152042602"/>
      <w:bookmarkStart w:id="1860" w:name="_Toc144974881"/>
      <w:bookmarkStart w:id="1861" w:name="_Toc247527853"/>
      <w:bookmarkStart w:id="1862" w:name="_Toc247514305"/>
      <w:bookmarkStart w:id="1863" w:name="_Toc247530162"/>
      <w:r>
        <w:rPr>
          <w:rFonts w:hint="eastAsia" w:ascii="宋体" w:hAnsi="宋体" w:cs="宋体"/>
          <w:color w:val="000000" w:themeColor="text1"/>
          <w14:textFill>
            <w14:solidFill>
              <w14:schemeClr w14:val="tx1"/>
            </w14:solidFill>
          </w14:textFill>
        </w:rPr>
        <w:t>（</w:t>
      </w:r>
      <w:r>
        <w:rPr>
          <w:rFonts w:hint="eastAsia" w:ascii="宋体" w:hAnsi="宋体" w:cs="宋体"/>
          <w:color w:val="000000" w:themeColor="text1"/>
          <w:lang w:val="en-US" w:eastAsia="zh-CN"/>
          <w14:textFill>
            <w14:solidFill>
              <w14:schemeClr w14:val="tx1"/>
            </w14:solidFill>
          </w14:textFill>
        </w:rPr>
        <w:t>勘察、</w:t>
      </w:r>
      <w:r>
        <w:rPr>
          <w:rFonts w:hint="eastAsia" w:ascii="宋体" w:hAnsi="宋体" w:cs="宋体"/>
          <w:color w:val="000000" w:themeColor="text1"/>
          <w14:textFill>
            <w14:solidFill>
              <w14:schemeClr w14:val="tx1"/>
            </w14:solidFill>
          </w14:textFill>
        </w:rPr>
        <w:t>设计单位、</w:t>
      </w:r>
      <w:r>
        <w:rPr>
          <w:rFonts w:hint="eastAsia" w:ascii="宋体" w:hAnsi="宋体" w:cs="宋体"/>
          <w:color w:val="000000" w:themeColor="text1"/>
          <w:lang w:val="en-US" w:eastAsia="zh-CN"/>
          <w14:textFill>
            <w14:solidFill>
              <w14:schemeClr w14:val="tx1"/>
            </w14:solidFill>
          </w14:textFill>
        </w:rPr>
        <w:t>设备、</w:t>
      </w:r>
      <w:r>
        <w:rPr>
          <w:rFonts w:hint="eastAsia" w:ascii="宋体" w:hAnsi="宋体" w:cs="宋体"/>
          <w:color w:val="000000" w:themeColor="text1"/>
          <w14:textFill>
            <w14:solidFill>
              <w14:schemeClr w14:val="tx1"/>
            </w14:solidFill>
          </w14:textFill>
        </w:rPr>
        <w:t>施工单位均需提供，格式自拟）</w:t>
      </w:r>
    </w:p>
    <w:p w14:paraId="309D0028">
      <w:pPr>
        <w:spacing w:line="440" w:lineRule="exact"/>
        <w:rPr>
          <w:rFonts w:hint="eastAsia" w:ascii="宋体" w:hAnsi="宋体" w:cs="宋体"/>
          <w:color w:val="000000" w:themeColor="text1"/>
          <w14:textFill>
            <w14:solidFill>
              <w14:schemeClr w14:val="tx1"/>
            </w14:solidFill>
          </w14:textFill>
        </w:rPr>
      </w:pPr>
    </w:p>
    <w:p w14:paraId="6D4D7983">
      <w:pPr>
        <w:spacing w:line="440" w:lineRule="exact"/>
        <w:rPr>
          <w:rFonts w:hint="eastAsia" w:ascii="宋体" w:hAnsi="宋体" w:cs="宋体"/>
          <w:color w:val="000000" w:themeColor="text1"/>
          <w14:textFill>
            <w14:solidFill>
              <w14:schemeClr w14:val="tx1"/>
            </w14:solidFill>
          </w14:textFill>
        </w:rPr>
      </w:pPr>
    </w:p>
    <w:p w14:paraId="5E204C06">
      <w:pPr>
        <w:spacing w:line="440" w:lineRule="exact"/>
        <w:rPr>
          <w:rFonts w:hint="eastAsia" w:ascii="宋体" w:hAnsi="宋体" w:cs="宋体"/>
          <w:color w:val="000000" w:themeColor="text1"/>
          <w14:textFill>
            <w14:solidFill>
              <w14:schemeClr w14:val="tx1"/>
            </w14:solidFill>
          </w14:textFill>
        </w:rPr>
      </w:pPr>
    </w:p>
    <w:p w14:paraId="231BDC73">
      <w:pPr>
        <w:spacing w:line="440" w:lineRule="exact"/>
        <w:rPr>
          <w:rFonts w:hint="eastAsia" w:ascii="宋体" w:hAnsi="宋体" w:cs="宋体"/>
          <w:color w:val="000000" w:themeColor="text1"/>
          <w14:textFill>
            <w14:solidFill>
              <w14:schemeClr w14:val="tx1"/>
            </w14:solidFill>
          </w14:textFill>
        </w:rPr>
      </w:pPr>
    </w:p>
    <w:p w14:paraId="6847FD5A">
      <w:pPr>
        <w:spacing w:line="440" w:lineRule="exact"/>
        <w:rPr>
          <w:rFonts w:hint="eastAsia" w:ascii="宋体" w:hAnsi="宋体" w:cs="宋体"/>
          <w:color w:val="000000" w:themeColor="text1"/>
          <w14:textFill>
            <w14:solidFill>
              <w14:schemeClr w14:val="tx1"/>
            </w14:solidFill>
          </w14:textFill>
        </w:rPr>
      </w:pPr>
    </w:p>
    <w:p w14:paraId="37BBB8B9">
      <w:pPr>
        <w:spacing w:line="440" w:lineRule="exact"/>
        <w:rPr>
          <w:rFonts w:hint="eastAsia" w:ascii="宋体" w:hAnsi="宋体" w:cs="宋体"/>
          <w:color w:val="000000" w:themeColor="text1"/>
          <w14:textFill>
            <w14:solidFill>
              <w14:schemeClr w14:val="tx1"/>
            </w14:solidFill>
          </w14:textFill>
        </w:rPr>
      </w:pPr>
    </w:p>
    <w:p w14:paraId="215B8695">
      <w:pPr>
        <w:spacing w:line="440" w:lineRule="exact"/>
        <w:rPr>
          <w:rFonts w:hint="eastAsia" w:ascii="宋体" w:hAnsi="宋体" w:cs="宋体"/>
          <w:color w:val="000000" w:themeColor="text1"/>
          <w14:textFill>
            <w14:solidFill>
              <w14:schemeClr w14:val="tx1"/>
            </w14:solidFill>
          </w14:textFill>
        </w:rPr>
      </w:pPr>
    </w:p>
    <w:p w14:paraId="7036F345">
      <w:pPr>
        <w:spacing w:line="440" w:lineRule="exact"/>
        <w:rPr>
          <w:rFonts w:hint="eastAsia" w:ascii="宋体" w:hAnsi="宋体" w:cs="宋体"/>
          <w:color w:val="000000" w:themeColor="text1"/>
          <w14:textFill>
            <w14:solidFill>
              <w14:schemeClr w14:val="tx1"/>
            </w14:solidFill>
          </w14:textFill>
        </w:rPr>
      </w:pPr>
    </w:p>
    <w:p w14:paraId="11CA49CE">
      <w:pPr>
        <w:spacing w:line="440" w:lineRule="exact"/>
        <w:rPr>
          <w:rFonts w:hint="eastAsia" w:ascii="宋体" w:hAnsi="宋体" w:cs="宋体"/>
          <w:color w:val="000000" w:themeColor="text1"/>
          <w14:textFill>
            <w14:solidFill>
              <w14:schemeClr w14:val="tx1"/>
            </w14:solidFill>
          </w14:textFill>
        </w:rPr>
      </w:pPr>
    </w:p>
    <w:p w14:paraId="12876DB9">
      <w:pPr>
        <w:spacing w:line="440" w:lineRule="exact"/>
        <w:rPr>
          <w:rFonts w:hint="eastAsia" w:ascii="宋体" w:hAnsi="宋体" w:cs="宋体"/>
          <w:color w:val="000000" w:themeColor="text1"/>
          <w14:textFill>
            <w14:solidFill>
              <w14:schemeClr w14:val="tx1"/>
            </w14:solidFill>
          </w14:textFill>
        </w:rPr>
      </w:pPr>
    </w:p>
    <w:p w14:paraId="5036E1CF">
      <w:pPr>
        <w:spacing w:line="440" w:lineRule="exact"/>
        <w:rPr>
          <w:rFonts w:hint="eastAsia" w:ascii="宋体" w:hAnsi="宋体" w:cs="宋体"/>
          <w:color w:val="000000" w:themeColor="text1"/>
          <w14:textFill>
            <w14:solidFill>
              <w14:schemeClr w14:val="tx1"/>
            </w14:solidFill>
          </w14:textFill>
        </w:rPr>
      </w:pPr>
    </w:p>
    <w:p w14:paraId="70618CB6">
      <w:pPr>
        <w:spacing w:line="440" w:lineRule="exact"/>
        <w:rPr>
          <w:rFonts w:hint="eastAsia" w:ascii="宋体" w:hAnsi="宋体" w:cs="宋体"/>
          <w:color w:val="000000" w:themeColor="text1"/>
          <w14:textFill>
            <w14:solidFill>
              <w14:schemeClr w14:val="tx1"/>
            </w14:solidFill>
          </w14:textFill>
        </w:rPr>
      </w:pPr>
    </w:p>
    <w:p w14:paraId="4BC8712B">
      <w:pPr>
        <w:spacing w:line="440" w:lineRule="exact"/>
        <w:rPr>
          <w:rFonts w:hint="eastAsia" w:ascii="宋体" w:hAnsi="宋体" w:cs="宋体"/>
          <w:color w:val="000000" w:themeColor="text1"/>
          <w14:textFill>
            <w14:solidFill>
              <w14:schemeClr w14:val="tx1"/>
            </w14:solidFill>
          </w14:textFill>
        </w:rPr>
      </w:pPr>
    </w:p>
    <w:p w14:paraId="26E21410">
      <w:pPr>
        <w:spacing w:line="440" w:lineRule="exact"/>
        <w:rPr>
          <w:rFonts w:hint="eastAsia" w:ascii="宋体" w:hAnsi="宋体" w:cs="宋体"/>
          <w:color w:val="000000" w:themeColor="text1"/>
          <w14:textFill>
            <w14:solidFill>
              <w14:schemeClr w14:val="tx1"/>
            </w14:solidFill>
          </w14:textFill>
        </w:rPr>
      </w:pPr>
    </w:p>
    <w:p w14:paraId="14DFB1D0">
      <w:pPr>
        <w:spacing w:line="440" w:lineRule="exact"/>
        <w:rPr>
          <w:rFonts w:hint="eastAsia" w:ascii="宋体" w:hAnsi="宋体" w:cs="宋体"/>
          <w:color w:val="000000" w:themeColor="text1"/>
          <w14:textFill>
            <w14:solidFill>
              <w14:schemeClr w14:val="tx1"/>
            </w14:solidFill>
          </w14:textFill>
        </w:rPr>
      </w:pPr>
    </w:p>
    <w:p w14:paraId="203EEC95">
      <w:pPr>
        <w:spacing w:line="440" w:lineRule="exact"/>
        <w:rPr>
          <w:rFonts w:hint="eastAsia" w:ascii="宋体" w:hAnsi="宋体" w:cs="宋体"/>
          <w:color w:val="000000" w:themeColor="text1"/>
          <w14:textFill>
            <w14:solidFill>
              <w14:schemeClr w14:val="tx1"/>
            </w14:solidFill>
          </w14:textFill>
        </w:rPr>
      </w:pPr>
    </w:p>
    <w:p w14:paraId="6C067DF4">
      <w:pPr>
        <w:spacing w:line="440" w:lineRule="exact"/>
        <w:rPr>
          <w:rFonts w:hint="eastAsia" w:ascii="宋体" w:hAnsi="宋体" w:cs="宋体"/>
          <w:color w:val="000000" w:themeColor="text1"/>
          <w14:textFill>
            <w14:solidFill>
              <w14:schemeClr w14:val="tx1"/>
            </w14:solidFill>
          </w14:textFill>
        </w:rPr>
      </w:pPr>
    </w:p>
    <w:p w14:paraId="072EDBB4">
      <w:pPr>
        <w:spacing w:line="440" w:lineRule="exact"/>
        <w:rPr>
          <w:rFonts w:hint="eastAsia" w:ascii="宋体" w:hAnsi="宋体" w:cs="宋体"/>
          <w:color w:val="000000" w:themeColor="text1"/>
          <w14:textFill>
            <w14:solidFill>
              <w14:schemeClr w14:val="tx1"/>
            </w14:solidFill>
          </w14:textFill>
        </w:rPr>
      </w:pPr>
    </w:p>
    <w:p w14:paraId="470BCC7F">
      <w:pPr>
        <w:spacing w:line="440" w:lineRule="exact"/>
        <w:rPr>
          <w:rFonts w:hint="eastAsia" w:ascii="宋体" w:hAnsi="宋体" w:cs="宋体"/>
          <w:color w:val="000000" w:themeColor="text1"/>
          <w14:textFill>
            <w14:solidFill>
              <w14:schemeClr w14:val="tx1"/>
            </w14:solidFill>
          </w14:textFill>
        </w:rPr>
      </w:pPr>
    </w:p>
    <w:p w14:paraId="0A841793">
      <w:pPr>
        <w:spacing w:line="440" w:lineRule="exact"/>
        <w:rPr>
          <w:rFonts w:hint="eastAsia" w:ascii="宋体" w:hAnsi="宋体" w:cs="宋体"/>
          <w:color w:val="000000" w:themeColor="text1"/>
          <w14:textFill>
            <w14:solidFill>
              <w14:schemeClr w14:val="tx1"/>
            </w14:solidFill>
          </w14:textFill>
        </w:rPr>
      </w:pPr>
    </w:p>
    <w:p w14:paraId="1443B7C7">
      <w:pPr>
        <w:spacing w:line="440" w:lineRule="exact"/>
        <w:rPr>
          <w:rFonts w:hint="eastAsia" w:ascii="宋体" w:hAnsi="宋体" w:cs="宋体"/>
          <w:color w:val="000000" w:themeColor="text1"/>
          <w14:textFill>
            <w14:solidFill>
              <w14:schemeClr w14:val="tx1"/>
            </w14:solidFill>
          </w14:textFill>
        </w:rPr>
      </w:pPr>
    </w:p>
    <w:p w14:paraId="257F36A2">
      <w:pPr>
        <w:spacing w:line="440" w:lineRule="exact"/>
        <w:rPr>
          <w:rFonts w:hint="eastAsia" w:ascii="宋体" w:hAnsi="宋体" w:cs="宋体"/>
          <w:color w:val="000000" w:themeColor="text1"/>
          <w14:textFill>
            <w14:solidFill>
              <w14:schemeClr w14:val="tx1"/>
            </w14:solidFill>
          </w14:textFill>
        </w:rPr>
      </w:pPr>
    </w:p>
    <w:p w14:paraId="0BDAC8B7">
      <w:pPr>
        <w:spacing w:line="440" w:lineRule="exact"/>
        <w:rPr>
          <w:rFonts w:hint="eastAsia" w:ascii="宋体" w:hAnsi="宋体" w:cs="宋体"/>
          <w:color w:val="000000" w:themeColor="text1"/>
          <w14:textFill>
            <w14:solidFill>
              <w14:schemeClr w14:val="tx1"/>
            </w14:solidFill>
          </w14:textFill>
        </w:rPr>
      </w:pPr>
    </w:p>
    <w:p w14:paraId="6A6F4F0D">
      <w:pPr>
        <w:spacing w:line="440" w:lineRule="exact"/>
        <w:rPr>
          <w:rFonts w:hint="eastAsia" w:ascii="宋体" w:hAnsi="宋体" w:cs="宋体"/>
          <w:color w:val="000000" w:themeColor="text1"/>
          <w14:textFill>
            <w14:solidFill>
              <w14:schemeClr w14:val="tx1"/>
            </w14:solidFill>
          </w14:textFill>
        </w:rPr>
      </w:pPr>
    </w:p>
    <w:p w14:paraId="0B5C1E0A">
      <w:pPr>
        <w:pStyle w:val="4"/>
        <w:jc w:val="center"/>
        <w:rPr>
          <w:rFonts w:hint="eastAsia" w:ascii="宋体" w:eastAsia="宋体" w:cs="宋体"/>
          <w:color w:val="000000" w:themeColor="text1"/>
          <w14:textFill>
            <w14:solidFill>
              <w14:schemeClr w14:val="tx1"/>
            </w14:solidFill>
          </w14:textFill>
        </w:rPr>
      </w:pPr>
      <w:bookmarkStart w:id="1864" w:name="_Toc54190102"/>
      <w:bookmarkStart w:id="1865" w:name="_Toc11756"/>
      <w:bookmarkStart w:id="1866" w:name="_Toc2466"/>
      <w:bookmarkStart w:id="1867" w:name="_Toc22012"/>
      <w:r>
        <w:rPr>
          <w:rFonts w:hint="eastAsia" w:ascii="宋体" w:eastAsia="宋体" w:cs="宋体"/>
          <w:color w:val="000000" w:themeColor="text1"/>
          <w14:textFill>
            <w14:solidFill>
              <w14:schemeClr w14:val="tx1"/>
            </w14:solidFill>
          </w14:textFill>
        </w:rPr>
        <w:t>（六）拟投入本项目的主要施工设备表</w:t>
      </w:r>
      <w:bookmarkEnd w:id="1864"/>
      <w:bookmarkEnd w:id="1865"/>
      <w:bookmarkEnd w:id="1866"/>
      <w:bookmarkEnd w:id="1867"/>
    </w:p>
    <w:tbl>
      <w:tblPr>
        <w:tblStyle w:val="41"/>
        <w:tblpPr w:leftFromText="180" w:rightFromText="180" w:vertAnchor="text" w:horzAnchor="page" w:tblpX="1710" w:tblpY="37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5"/>
        <w:gridCol w:w="1086"/>
        <w:gridCol w:w="761"/>
        <w:gridCol w:w="990"/>
        <w:gridCol w:w="672"/>
        <w:gridCol w:w="738"/>
        <w:gridCol w:w="1212"/>
        <w:gridCol w:w="874"/>
        <w:gridCol w:w="1055"/>
        <w:gridCol w:w="691"/>
      </w:tblGrid>
      <w:tr w14:paraId="722FA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vAlign w:val="center"/>
          </w:tcPr>
          <w:p w14:paraId="0F1F45FC">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序号</w:t>
            </w:r>
          </w:p>
        </w:tc>
        <w:tc>
          <w:tcPr>
            <w:tcW w:w="1086" w:type="dxa"/>
            <w:vAlign w:val="center"/>
          </w:tcPr>
          <w:p w14:paraId="7BF51F23">
            <w:pPr>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设备名称</w:t>
            </w:r>
          </w:p>
        </w:tc>
        <w:tc>
          <w:tcPr>
            <w:tcW w:w="761" w:type="dxa"/>
            <w:vAlign w:val="center"/>
          </w:tcPr>
          <w:p w14:paraId="490CB546">
            <w:pPr>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型号</w:t>
            </w:r>
          </w:p>
          <w:p w14:paraId="29880343">
            <w:pPr>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规格</w:t>
            </w:r>
          </w:p>
        </w:tc>
        <w:tc>
          <w:tcPr>
            <w:tcW w:w="990" w:type="dxa"/>
            <w:vAlign w:val="center"/>
          </w:tcPr>
          <w:p w14:paraId="0A08F0F5">
            <w:pPr>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数量</w:t>
            </w:r>
          </w:p>
        </w:tc>
        <w:tc>
          <w:tcPr>
            <w:tcW w:w="672" w:type="dxa"/>
            <w:vAlign w:val="center"/>
          </w:tcPr>
          <w:p w14:paraId="13A4EAFA">
            <w:pPr>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国别</w:t>
            </w:r>
          </w:p>
          <w:p w14:paraId="4AA3AD15">
            <w:pPr>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产地</w:t>
            </w:r>
          </w:p>
        </w:tc>
        <w:tc>
          <w:tcPr>
            <w:tcW w:w="738" w:type="dxa"/>
            <w:vAlign w:val="center"/>
          </w:tcPr>
          <w:p w14:paraId="08D7AE9C">
            <w:pPr>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制造</w:t>
            </w:r>
          </w:p>
          <w:p w14:paraId="4A0283A3">
            <w:pPr>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年份</w:t>
            </w:r>
          </w:p>
        </w:tc>
        <w:tc>
          <w:tcPr>
            <w:tcW w:w="1212" w:type="dxa"/>
            <w:vAlign w:val="center"/>
          </w:tcPr>
          <w:p w14:paraId="62930EBC">
            <w:pPr>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额定功率（kW）</w:t>
            </w:r>
          </w:p>
        </w:tc>
        <w:tc>
          <w:tcPr>
            <w:tcW w:w="874" w:type="dxa"/>
            <w:vAlign w:val="center"/>
          </w:tcPr>
          <w:p w14:paraId="47AF2AEB">
            <w:pPr>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生产</w:t>
            </w:r>
          </w:p>
          <w:p w14:paraId="746C2EB4">
            <w:pPr>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能力</w:t>
            </w:r>
          </w:p>
        </w:tc>
        <w:tc>
          <w:tcPr>
            <w:tcW w:w="1055" w:type="dxa"/>
            <w:vAlign w:val="center"/>
          </w:tcPr>
          <w:p w14:paraId="60F282E3">
            <w:pPr>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用于施工部位</w:t>
            </w:r>
          </w:p>
        </w:tc>
        <w:tc>
          <w:tcPr>
            <w:tcW w:w="691" w:type="dxa"/>
            <w:vAlign w:val="center"/>
          </w:tcPr>
          <w:p w14:paraId="142116A4">
            <w:pPr>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备注</w:t>
            </w:r>
          </w:p>
        </w:tc>
      </w:tr>
      <w:tr w14:paraId="0F27C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vAlign w:val="center"/>
          </w:tcPr>
          <w:p w14:paraId="3B6BFED2">
            <w:pPr>
              <w:spacing w:line="440" w:lineRule="exact"/>
              <w:jc w:val="center"/>
              <w:rPr>
                <w:rFonts w:hint="eastAsia" w:ascii="宋体" w:hAnsi="宋体" w:cs="宋体"/>
                <w:color w:val="000000" w:themeColor="text1"/>
                <w:szCs w:val="21"/>
                <w14:textFill>
                  <w14:solidFill>
                    <w14:schemeClr w14:val="tx1"/>
                  </w14:solidFill>
                </w14:textFill>
              </w:rPr>
            </w:pPr>
          </w:p>
        </w:tc>
        <w:tc>
          <w:tcPr>
            <w:tcW w:w="1086" w:type="dxa"/>
            <w:vAlign w:val="center"/>
          </w:tcPr>
          <w:p w14:paraId="20DE03C6">
            <w:pPr>
              <w:spacing w:line="440" w:lineRule="exact"/>
              <w:jc w:val="center"/>
              <w:rPr>
                <w:rFonts w:hint="eastAsia" w:ascii="宋体" w:hAnsi="宋体" w:cs="宋体"/>
                <w:color w:val="000000" w:themeColor="text1"/>
                <w:szCs w:val="21"/>
                <w14:textFill>
                  <w14:solidFill>
                    <w14:schemeClr w14:val="tx1"/>
                  </w14:solidFill>
                </w14:textFill>
              </w:rPr>
            </w:pPr>
          </w:p>
        </w:tc>
        <w:tc>
          <w:tcPr>
            <w:tcW w:w="761" w:type="dxa"/>
            <w:vAlign w:val="center"/>
          </w:tcPr>
          <w:p w14:paraId="3CFB56F6">
            <w:pPr>
              <w:spacing w:line="440" w:lineRule="exact"/>
              <w:jc w:val="center"/>
              <w:rPr>
                <w:rFonts w:hint="eastAsia" w:ascii="宋体" w:hAnsi="宋体" w:cs="宋体"/>
                <w:color w:val="000000" w:themeColor="text1"/>
                <w:szCs w:val="21"/>
                <w14:textFill>
                  <w14:solidFill>
                    <w14:schemeClr w14:val="tx1"/>
                  </w14:solidFill>
                </w14:textFill>
              </w:rPr>
            </w:pPr>
          </w:p>
        </w:tc>
        <w:tc>
          <w:tcPr>
            <w:tcW w:w="990" w:type="dxa"/>
            <w:vAlign w:val="center"/>
          </w:tcPr>
          <w:p w14:paraId="200A4A78">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vAlign w:val="center"/>
          </w:tcPr>
          <w:p w14:paraId="10E88A6C">
            <w:pPr>
              <w:spacing w:line="440" w:lineRule="exact"/>
              <w:jc w:val="center"/>
              <w:rPr>
                <w:rFonts w:hint="eastAsia" w:ascii="宋体" w:hAnsi="宋体" w:cs="宋体"/>
                <w:color w:val="000000" w:themeColor="text1"/>
                <w:szCs w:val="21"/>
                <w14:textFill>
                  <w14:solidFill>
                    <w14:schemeClr w14:val="tx1"/>
                  </w14:solidFill>
                </w14:textFill>
              </w:rPr>
            </w:pPr>
          </w:p>
        </w:tc>
        <w:tc>
          <w:tcPr>
            <w:tcW w:w="738" w:type="dxa"/>
            <w:vAlign w:val="center"/>
          </w:tcPr>
          <w:p w14:paraId="4D63B681">
            <w:pPr>
              <w:spacing w:line="440" w:lineRule="exact"/>
              <w:jc w:val="center"/>
              <w:rPr>
                <w:rFonts w:hint="eastAsia" w:ascii="宋体" w:hAnsi="宋体" w:cs="宋体"/>
                <w:color w:val="000000" w:themeColor="text1"/>
                <w:szCs w:val="21"/>
                <w14:textFill>
                  <w14:solidFill>
                    <w14:schemeClr w14:val="tx1"/>
                  </w14:solidFill>
                </w14:textFill>
              </w:rPr>
            </w:pPr>
          </w:p>
        </w:tc>
        <w:tc>
          <w:tcPr>
            <w:tcW w:w="1212" w:type="dxa"/>
            <w:vAlign w:val="center"/>
          </w:tcPr>
          <w:p w14:paraId="070AEEF5">
            <w:pPr>
              <w:spacing w:line="440" w:lineRule="exact"/>
              <w:jc w:val="center"/>
              <w:rPr>
                <w:rFonts w:hint="eastAsia" w:ascii="宋体" w:hAnsi="宋体" w:cs="宋体"/>
                <w:color w:val="000000" w:themeColor="text1"/>
                <w:szCs w:val="21"/>
                <w14:textFill>
                  <w14:solidFill>
                    <w14:schemeClr w14:val="tx1"/>
                  </w14:solidFill>
                </w14:textFill>
              </w:rPr>
            </w:pPr>
          </w:p>
        </w:tc>
        <w:tc>
          <w:tcPr>
            <w:tcW w:w="874" w:type="dxa"/>
            <w:vAlign w:val="center"/>
          </w:tcPr>
          <w:p w14:paraId="2DF32473">
            <w:pPr>
              <w:spacing w:line="440" w:lineRule="exact"/>
              <w:jc w:val="center"/>
              <w:rPr>
                <w:rFonts w:hint="eastAsia" w:ascii="宋体" w:hAnsi="宋体" w:cs="宋体"/>
                <w:color w:val="000000" w:themeColor="text1"/>
                <w:szCs w:val="21"/>
                <w14:textFill>
                  <w14:solidFill>
                    <w14:schemeClr w14:val="tx1"/>
                  </w14:solidFill>
                </w14:textFill>
              </w:rPr>
            </w:pPr>
          </w:p>
        </w:tc>
        <w:tc>
          <w:tcPr>
            <w:tcW w:w="1055" w:type="dxa"/>
            <w:vAlign w:val="center"/>
          </w:tcPr>
          <w:p w14:paraId="6C53EFB1">
            <w:pPr>
              <w:spacing w:line="440" w:lineRule="exact"/>
              <w:jc w:val="center"/>
              <w:rPr>
                <w:rFonts w:hint="eastAsia" w:ascii="宋体" w:hAnsi="宋体" w:cs="宋体"/>
                <w:color w:val="000000" w:themeColor="text1"/>
                <w:szCs w:val="21"/>
                <w14:textFill>
                  <w14:solidFill>
                    <w14:schemeClr w14:val="tx1"/>
                  </w14:solidFill>
                </w14:textFill>
              </w:rPr>
            </w:pPr>
          </w:p>
        </w:tc>
        <w:tc>
          <w:tcPr>
            <w:tcW w:w="691" w:type="dxa"/>
            <w:vAlign w:val="center"/>
          </w:tcPr>
          <w:p w14:paraId="2A756A57">
            <w:pPr>
              <w:spacing w:line="440" w:lineRule="exact"/>
              <w:jc w:val="center"/>
              <w:rPr>
                <w:rFonts w:hint="eastAsia" w:ascii="宋体" w:hAnsi="宋体" w:cs="宋体"/>
                <w:color w:val="000000" w:themeColor="text1"/>
                <w:szCs w:val="21"/>
                <w14:textFill>
                  <w14:solidFill>
                    <w14:schemeClr w14:val="tx1"/>
                  </w14:solidFill>
                </w14:textFill>
              </w:rPr>
            </w:pPr>
          </w:p>
        </w:tc>
      </w:tr>
      <w:tr w14:paraId="7493E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vAlign w:val="center"/>
          </w:tcPr>
          <w:p w14:paraId="1DE14CCE">
            <w:pPr>
              <w:spacing w:line="440" w:lineRule="exact"/>
              <w:jc w:val="center"/>
              <w:rPr>
                <w:rFonts w:hint="eastAsia" w:ascii="宋体" w:hAnsi="宋体" w:cs="宋体"/>
                <w:color w:val="000000" w:themeColor="text1"/>
                <w:szCs w:val="21"/>
                <w14:textFill>
                  <w14:solidFill>
                    <w14:schemeClr w14:val="tx1"/>
                  </w14:solidFill>
                </w14:textFill>
              </w:rPr>
            </w:pPr>
          </w:p>
        </w:tc>
        <w:tc>
          <w:tcPr>
            <w:tcW w:w="1086" w:type="dxa"/>
            <w:vAlign w:val="center"/>
          </w:tcPr>
          <w:p w14:paraId="37C62D8E">
            <w:pPr>
              <w:spacing w:line="440" w:lineRule="exact"/>
              <w:jc w:val="center"/>
              <w:rPr>
                <w:rFonts w:hint="eastAsia" w:ascii="宋体" w:hAnsi="宋体" w:cs="宋体"/>
                <w:color w:val="000000" w:themeColor="text1"/>
                <w:szCs w:val="21"/>
                <w14:textFill>
                  <w14:solidFill>
                    <w14:schemeClr w14:val="tx1"/>
                  </w14:solidFill>
                </w14:textFill>
              </w:rPr>
            </w:pPr>
          </w:p>
        </w:tc>
        <w:tc>
          <w:tcPr>
            <w:tcW w:w="761" w:type="dxa"/>
            <w:vAlign w:val="center"/>
          </w:tcPr>
          <w:p w14:paraId="71CF1E8A">
            <w:pPr>
              <w:spacing w:line="440" w:lineRule="exact"/>
              <w:jc w:val="center"/>
              <w:rPr>
                <w:rFonts w:hint="eastAsia" w:ascii="宋体" w:hAnsi="宋体" w:cs="宋体"/>
                <w:color w:val="000000" w:themeColor="text1"/>
                <w:szCs w:val="21"/>
                <w14:textFill>
                  <w14:solidFill>
                    <w14:schemeClr w14:val="tx1"/>
                  </w14:solidFill>
                </w14:textFill>
              </w:rPr>
            </w:pPr>
          </w:p>
        </w:tc>
        <w:tc>
          <w:tcPr>
            <w:tcW w:w="990" w:type="dxa"/>
            <w:vAlign w:val="center"/>
          </w:tcPr>
          <w:p w14:paraId="126E1B0E">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vAlign w:val="center"/>
          </w:tcPr>
          <w:p w14:paraId="126109B4">
            <w:pPr>
              <w:spacing w:line="440" w:lineRule="exact"/>
              <w:jc w:val="center"/>
              <w:rPr>
                <w:rFonts w:hint="eastAsia" w:ascii="宋体" w:hAnsi="宋体" w:cs="宋体"/>
                <w:color w:val="000000" w:themeColor="text1"/>
                <w:szCs w:val="21"/>
                <w14:textFill>
                  <w14:solidFill>
                    <w14:schemeClr w14:val="tx1"/>
                  </w14:solidFill>
                </w14:textFill>
              </w:rPr>
            </w:pPr>
          </w:p>
        </w:tc>
        <w:tc>
          <w:tcPr>
            <w:tcW w:w="738" w:type="dxa"/>
            <w:vAlign w:val="center"/>
          </w:tcPr>
          <w:p w14:paraId="27B5C5DA">
            <w:pPr>
              <w:spacing w:line="440" w:lineRule="exact"/>
              <w:jc w:val="center"/>
              <w:rPr>
                <w:rFonts w:hint="eastAsia" w:ascii="宋体" w:hAnsi="宋体" w:cs="宋体"/>
                <w:color w:val="000000" w:themeColor="text1"/>
                <w:szCs w:val="21"/>
                <w14:textFill>
                  <w14:solidFill>
                    <w14:schemeClr w14:val="tx1"/>
                  </w14:solidFill>
                </w14:textFill>
              </w:rPr>
            </w:pPr>
          </w:p>
        </w:tc>
        <w:tc>
          <w:tcPr>
            <w:tcW w:w="1212" w:type="dxa"/>
            <w:vAlign w:val="center"/>
          </w:tcPr>
          <w:p w14:paraId="62F0A42D">
            <w:pPr>
              <w:spacing w:line="440" w:lineRule="exact"/>
              <w:jc w:val="center"/>
              <w:rPr>
                <w:rFonts w:hint="eastAsia" w:ascii="宋体" w:hAnsi="宋体" w:cs="宋体"/>
                <w:color w:val="000000" w:themeColor="text1"/>
                <w:szCs w:val="21"/>
                <w14:textFill>
                  <w14:solidFill>
                    <w14:schemeClr w14:val="tx1"/>
                  </w14:solidFill>
                </w14:textFill>
              </w:rPr>
            </w:pPr>
          </w:p>
        </w:tc>
        <w:tc>
          <w:tcPr>
            <w:tcW w:w="874" w:type="dxa"/>
            <w:vAlign w:val="center"/>
          </w:tcPr>
          <w:p w14:paraId="73A23013">
            <w:pPr>
              <w:spacing w:line="440" w:lineRule="exact"/>
              <w:jc w:val="center"/>
              <w:rPr>
                <w:rFonts w:hint="eastAsia" w:ascii="宋体" w:hAnsi="宋体" w:cs="宋体"/>
                <w:color w:val="000000" w:themeColor="text1"/>
                <w:szCs w:val="21"/>
                <w14:textFill>
                  <w14:solidFill>
                    <w14:schemeClr w14:val="tx1"/>
                  </w14:solidFill>
                </w14:textFill>
              </w:rPr>
            </w:pPr>
          </w:p>
        </w:tc>
        <w:tc>
          <w:tcPr>
            <w:tcW w:w="1055" w:type="dxa"/>
            <w:vAlign w:val="center"/>
          </w:tcPr>
          <w:p w14:paraId="2A7594AA">
            <w:pPr>
              <w:spacing w:line="440" w:lineRule="exact"/>
              <w:jc w:val="center"/>
              <w:rPr>
                <w:rFonts w:hint="eastAsia" w:ascii="宋体" w:hAnsi="宋体" w:cs="宋体"/>
                <w:color w:val="000000" w:themeColor="text1"/>
                <w:szCs w:val="21"/>
                <w14:textFill>
                  <w14:solidFill>
                    <w14:schemeClr w14:val="tx1"/>
                  </w14:solidFill>
                </w14:textFill>
              </w:rPr>
            </w:pPr>
          </w:p>
        </w:tc>
        <w:tc>
          <w:tcPr>
            <w:tcW w:w="691" w:type="dxa"/>
            <w:vAlign w:val="center"/>
          </w:tcPr>
          <w:p w14:paraId="265B5667">
            <w:pPr>
              <w:spacing w:line="440" w:lineRule="exact"/>
              <w:jc w:val="center"/>
              <w:rPr>
                <w:rFonts w:hint="eastAsia" w:ascii="宋体" w:hAnsi="宋体" w:cs="宋体"/>
                <w:color w:val="000000" w:themeColor="text1"/>
                <w:szCs w:val="21"/>
                <w14:textFill>
                  <w14:solidFill>
                    <w14:schemeClr w14:val="tx1"/>
                  </w14:solidFill>
                </w14:textFill>
              </w:rPr>
            </w:pPr>
          </w:p>
        </w:tc>
      </w:tr>
      <w:tr w14:paraId="34E67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062F7C16">
            <w:pPr>
              <w:spacing w:line="440" w:lineRule="exact"/>
              <w:jc w:val="center"/>
              <w:rPr>
                <w:rFonts w:hint="eastAsia" w:ascii="宋体" w:hAnsi="宋体" w:cs="宋体"/>
                <w:color w:val="000000" w:themeColor="text1"/>
                <w:szCs w:val="21"/>
                <w14:textFill>
                  <w14:solidFill>
                    <w14:schemeClr w14:val="tx1"/>
                  </w14:solidFill>
                </w14:textFill>
              </w:rPr>
            </w:pPr>
          </w:p>
        </w:tc>
        <w:tc>
          <w:tcPr>
            <w:tcW w:w="1086" w:type="dxa"/>
          </w:tcPr>
          <w:p w14:paraId="7A0C1409">
            <w:pPr>
              <w:spacing w:line="440" w:lineRule="exact"/>
              <w:jc w:val="center"/>
              <w:rPr>
                <w:rFonts w:hint="eastAsia" w:ascii="宋体" w:hAnsi="宋体" w:cs="宋体"/>
                <w:color w:val="000000" w:themeColor="text1"/>
                <w:szCs w:val="21"/>
                <w14:textFill>
                  <w14:solidFill>
                    <w14:schemeClr w14:val="tx1"/>
                  </w14:solidFill>
                </w14:textFill>
              </w:rPr>
            </w:pPr>
          </w:p>
        </w:tc>
        <w:tc>
          <w:tcPr>
            <w:tcW w:w="761" w:type="dxa"/>
          </w:tcPr>
          <w:p w14:paraId="76062212">
            <w:pPr>
              <w:spacing w:line="440" w:lineRule="exact"/>
              <w:jc w:val="center"/>
              <w:rPr>
                <w:rFonts w:hint="eastAsia" w:ascii="宋体" w:hAnsi="宋体" w:cs="宋体"/>
                <w:color w:val="000000" w:themeColor="text1"/>
                <w:szCs w:val="21"/>
                <w14:textFill>
                  <w14:solidFill>
                    <w14:schemeClr w14:val="tx1"/>
                  </w14:solidFill>
                </w14:textFill>
              </w:rPr>
            </w:pPr>
          </w:p>
        </w:tc>
        <w:tc>
          <w:tcPr>
            <w:tcW w:w="990" w:type="dxa"/>
          </w:tcPr>
          <w:p w14:paraId="577BE8A2">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072BD0BA">
            <w:pPr>
              <w:spacing w:line="440" w:lineRule="exact"/>
              <w:jc w:val="center"/>
              <w:rPr>
                <w:rFonts w:hint="eastAsia" w:ascii="宋体" w:hAnsi="宋体" w:cs="宋体"/>
                <w:color w:val="000000" w:themeColor="text1"/>
                <w:szCs w:val="21"/>
                <w14:textFill>
                  <w14:solidFill>
                    <w14:schemeClr w14:val="tx1"/>
                  </w14:solidFill>
                </w14:textFill>
              </w:rPr>
            </w:pPr>
          </w:p>
        </w:tc>
        <w:tc>
          <w:tcPr>
            <w:tcW w:w="738" w:type="dxa"/>
          </w:tcPr>
          <w:p w14:paraId="4007335B">
            <w:pPr>
              <w:spacing w:line="440" w:lineRule="exact"/>
              <w:jc w:val="center"/>
              <w:rPr>
                <w:rFonts w:hint="eastAsia" w:ascii="宋体" w:hAnsi="宋体" w:cs="宋体"/>
                <w:color w:val="000000" w:themeColor="text1"/>
                <w:szCs w:val="21"/>
                <w14:textFill>
                  <w14:solidFill>
                    <w14:schemeClr w14:val="tx1"/>
                  </w14:solidFill>
                </w14:textFill>
              </w:rPr>
            </w:pPr>
          </w:p>
        </w:tc>
        <w:tc>
          <w:tcPr>
            <w:tcW w:w="1212" w:type="dxa"/>
          </w:tcPr>
          <w:p w14:paraId="140A7AF3">
            <w:pPr>
              <w:spacing w:line="440" w:lineRule="exact"/>
              <w:jc w:val="center"/>
              <w:rPr>
                <w:rFonts w:hint="eastAsia" w:ascii="宋体" w:hAnsi="宋体" w:cs="宋体"/>
                <w:color w:val="000000" w:themeColor="text1"/>
                <w:szCs w:val="21"/>
                <w14:textFill>
                  <w14:solidFill>
                    <w14:schemeClr w14:val="tx1"/>
                  </w14:solidFill>
                </w14:textFill>
              </w:rPr>
            </w:pPr>
          </w:p>
        </w:tc>
        <w:tc>
          <w:tcPr>
            <w:tcW w:w="874" w:type="dxa"/>
          </w:tcPr>
          <w:p w14:paraId="47BD2404">
            <w:pPr>
              <w:spacing w:line="440" w:lineRule="exact"/>
              <w:jc w:val="center"/>
              <w:rPr>
                <w:rFonts w:hint="eastAsia" w:ascii="宋体" w:hAnsi="宋体" w:cs="宋体"/>
                <w:color w:val="000000" w:themeColor="text1"/>
                <w:szCs w:val="21"/>
                <w14:textFill>
                  <w14:solidFill>
                    <w14:schemeClr w14:val="tx1"/>
                  </w14:solidFill>
                </w14:textFill>
              </w:rPr>
            </w:pPr>
          </w:p>
        </w:tc>
        <w:tc>
          <w:tcPr>
            <w:tcW w:w="1055" w:type="dxa"/>
          </w:tcPr>
          <w:p w14:paraId="0596BDE5">
            <w:pPr>
              <w:spacing w:line="440" w:lineRule="exact"/>
              <w:jc w:val="center"/>
              <w:rPr>
                <w:rFonts w:hint="eastAsia" w:ascii="宋体" w:hAnsi="宋体" w:cs="宋体"/>
                <w:color w:val="000000" w:themeColor="text1"/>
                <w:szCs w:val="21"/>
                <w14:textFill>
                  <w14:solidFill>
                    <w14:schemeClr w14:val="tx1"/>
                  </w14:solidFill>
                </w14:textFill>
              </w:rPr>
            </w:pPr>
          </w:p>
        </w:tc>
        <w:tc>
          <w:tcPr>
            <w:tcW w:w="691" w:type="dxa"/>
          </w:tcPr>
          <w:p w14:paraId="393A88AB">
            <w:pPr>
              <w:spacing w:line="440" w:lineRule="exact"/>
              <w:jc w:val="center"/>
              <w:rPr>
                <w:rFonts w:hint="eastAsia" w:ascii="宋体" w:hAnsi="宋体" w:cs="宋体"/>
                <w:color w:val="000000" w:themeColor="text1"/>
                <w:szCs w:val="21"/>
                <w14:textFill>
                  <w14:solidFill>
                    <w14:schemeClr w14:val="tx1"/>
                  </w14:solidFill>
                </w14:textFill>
              </w:rPr>
            </w:pPr>
          </w:p>
        </w:tc>
      </w:tr>
      <w:tr w14:paraId="0A7B0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705ECFFF">
            <w:pPr>
              <w:spacing w:line="440" w:lineRule="exact"/>
              <w:jc w:val="center"/>
              <w:rPr>
                <w:rFonts w:hint="eastAsia" w:ascii="宋体" w:hAnsi="宋体" w:cs="宋体"/>
                <w:color w:val="000000" w:themeColor="text1"/>
                <w:szCs w:val="21"/>
                <w14:textFill>
                  <w14:solidFill>
                    <w14:schemeClr w14:val="tx1"/>
                  </w14:solidFill>
                </w14:textFill>
              </w:rPr>
            </w:pPr>
          </w:p>
        </w:tc>
        <w:tc>
          <w:tcPr>
            <w:tcW w:w="1086" w:type="dxa"/>
          </w:tcPr>
          <w:p w14:paraId="38AB9370">
            <w:pPr>
              <w:spacing w:line="440" w:lineRule="exact"/>
              <w:jc w:val="center"/>
              <w:rPr>
                <w:rFonts w:hint="eastAsia" w:ascii="宋体" w:hAnsi="宋体" w:cs="宋体"/>
                <w:color w:val="000000" w:themeColor="text1"/>
                <w:szCs w:val="21"/>
                <w14:textFill>
                  <w14:solidFill>
                    <w14:schemeClr w14:val="tx1"/>
                  </w14:solidFill>
                </w14:textFill>
              </w:rPr>
            </w:pPr>
          </w:p>
        </w:tc>
        <w:tc>
          <w:tcPr>
            <w:tcW w:w="761" w:type="dxa"/>
          </w:tcPr>
          <w:p w14:paraId="261D14C8">
            <w:pPr>
              <w:spacing w:line="440" w:lineRule="exact"/>
              <w:jc w:val="center"/>
              <w:rPr>
                <w:rFonts w:hint="eastAsia" w:ascii="宋体" w:hAnsi="宋体" w:cs="宋体"/>
                <w:color w:val="000000" w:themeColor="text1"/>
                <w:szCs w:val="21"/>
                <w14:textFill>
                  <w14:solidFill>
                    <w14:schemeClr w14:val="tx1"/>
                  </w14:solidFill>
                </w14:textFill>
              </w:rPr>
            </w:pPr>
          </w:p>
        </w:tc>
        <w:tc>
          <w:tcPr>
            <w:tcW w:w="990" w:type="dxa"/>
          </w:tcPr>
          <w:p w14:paraId="150FAFBE">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1D7628C9">
            <w:pPr>
              <w:spacing w:line="440" w:lineRule="exact"/>
              <w:jc w:val="center"/>
              <w:rPr>
                <w:rFonts w:hint="eastAsia" w:ascii="宋体" w:hAnsi="宋体" w:cs="宋体"/>
                <w:color w:val="000000" w:themeColor="text1"/>
                <w:szCs w:val="21"/>
                <w14:textFill>
                  <w14:solidFill>
                    <w14:schemeClr w14:val="tx1"/>
                  </w14:solidFill>
                </w14:textFill>
              </w:rPr>
            </w:pPr>
          </w:p>
        </w:tc>
        <w:tc>
          <w:tcPr>
            <w:tcW w:w="738" w:type="dxa"/>
          </w:tcPr>
          <w:p w14:paraId="7743759B">
            <w:pPr>
              <w:spacing w:line="440" w:lineRule="exact"/>
              <w:jc w:val="center"/>
              <w:rPr>
                <w:rFonts w:hint="eastAsia" w:ascii="宋体" w:hAnsi="宋体" w:cs="宋体"/>
                <w:color w:val="000000" w:themeColor="text1"/>
                <w:szCs w:val="21"/>
                <w14:textFill>
                  <w14:solidFill>
                    <w14:schemeClr w14:val="tx1"/>
                  </w14:solidFill>
                </w14:textFill>
              </w:rPr>
            </w:pPr>
          </w:p>
        </w:tc>
        <w:tc>
          <w:tcPr>
            <w:tcW w:w="1212" w:type="dxa"/>
          </w:tcPr>
          <w:p w14:paraId="3503B336">
            <w:pPr>
              <w:spacing w:line="440" w:lineRule="exact"/>
              <w:jc w:val="center"/>
              <w:rPr>
                <w:rFonts w:hint="eastAsia" w:ascii="宋体" w:hAnsi="宋体" w:cs="宋体"/>
                <w:color w:val="000000" w:themeColor="text1"/>
                <w:szCs w:val="21"/>
                <w14:textFill>
                  <w14:solidFill>
                    <w14:schemeClr w14:val="tx1"/>
                  </w14:solidFill>
                </w14:textFill>
              </w:rPr>
            </w:pPr>
          </w:p>
        </w:tc>
        <w:tc>
          <w:tcPr>
            <w:tcW w:w="874" w:type="dxa"/>
          </w:tcPr>
          <w:p w14:paraId="6086FE26">
            <w:pPr>
              <w:spacing w:line="440" w:lineRule="exact"/>
              <w:jc w:val="center"/>
              <w:rPr>
                <w:rFonts w:hint="eastAsia" w:ascii="宋体" w:hAnsi="宋体" w:cs="宋体"/>
                <w:color w:val="000000" w:themeColor="text1"/>
                <w:szCs w:val="21"/>
                <w14:textFill>
                  <w14:solidFill>
                    <w14:schemeClr w14:val="tx1"/>
                  </w14:solidFill>
                </w14:textFill>
              </w:rPr>
            </w:pPr>
          </w:p>
        </w:tc>
        <w:tc>
          <w:tcPr>
            <w:tcW w:w="1055" w:type="dxa"/>
          </w:tcPr>
          <w:p w14:paraId="357A625E">
            <w:pPr>
              <w:spacing w:line="440" w:lineRule="exact"/>
              <w:jc w:val="center"/>
              <w:rPr>
                <w:rFonts w:hint="eastAsia" w:ascii="宋体" w:hAnsi="宋体" w:cs="宋体"/>
                <w:color w:val="000000" w:themeColor="text1"/>
                <w:szCs w:val="21"/>
                <w14:textFill>
                  <w14:solidFill>
                    <w14:schemeClr w14:val="tx1"/>
                  </w14:solidFill>
                </w14:textFill>
              </w:rPr>
            </w:pPr>
          </w:p>
        </w:tc>
        <w:tc>
          <w:tcPr>
            <w:tcW w:w="691" w:type="dxa"/>
          </w:tcPr>
          <w:p w14:paraId="761B3DDF">
            <w:pPr>
              <w:spacing w:line="440" w:lineRule="exact"/>
              <w:jc w:val="center"/>
              <w:rPr>
                <w:rFonts w:hint="eastAsia" w:ascii="宋体" w:hAnsi="宋体" w:cs="宋体"/>
                <w:color w:val="000000" w:themeColor="text1"/>
                <w:szCs w:val="21"/>
                <w14:textFill>
                  <w14:solidFill>
                    <w14:schemeClr w14:val="tx1"/>
                  </w14:solidFill>
                </w14:textFill>
              </w:rPr>
            </w:pPr>
          </w:p>
        </w:tc>
      </w:tr>
      <w:tr w14:paraId="60A0D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6F15B15A">
            <w:pPr>
              <w:spacing w:line="440" w:lineRule="exact"/>
              <w:jc w:val="center"/>
              <w:rPr>
                <w:rFonts w:hint="eastAsia" w:ascii="宋体" w:hAnsi="宋体" w:cs="宋体"/>
                <w:color w:val="000000" w:themeColor="text1"/>
                <w:szCs w:val="21"/>
                <w14:textFill>
                  <w14:solidFill>
                    <w14:schemeClr w14:val="tx1"/>
                  </w14:solidFill>
                </w14:textFill>
              </w:rPr>
            </w:pPr>
          </w:p>
        </w:tc>
        <w:tc>
          <w:tcPr>
            <w:tcW w:w="1086" w:type="dxa"/>
          </w:tcPr>
          <w:p w14:paraId="2CFCA509">
            <w:pPr>
              <w:spacing w:line="440" w:lineRule="exact"/>
              <w:jc w:val="center"/>
              <w:rPr>
                <w:rFonts w:hint="eastAsia" w:ascii="宋体" w:hAnsi="宋体" w:cs="宋体"/>
                <w:color w:val="000000" w:themeColor="text1"/>
                <w:szCs w:val="21"/>
                <w14:textFill>
                  <w14:solidFill>
                    <w14:schemeClr w14:val="tx1"/>
                  </w14:solidFill>
                </w14:textFill>
              </w:rPr>
            </w:pPr>
          </w:p>
        </w:tc>
        <w:tc>
          <w:tcPr>
            <w:tcW w:w="761" w:type="dxa"/>
          </w:tcPr>
          <w:p w14:paraId="2CB62F0F">
            <w:pPr>
              <w:spacing w:line="440" w:lineRule="exact"/>
              <w:jc w:val="center"/>
              <w:rPr>
                <w:rFonts w:hint="eastAsia" w:ascii="宋体" w:hAnsi="宋体" w:cs="宋体"/>
                <w:color w:val="000000" w:themeColor="text1"/>
                <w:szCs w:val="21"/>
                <w14:textFill>
                  <w14:solidFill>
                    <w14:schemeClr w14:val="tx1"/>
                  </w14:solidFill>
                </w14:textFill>
              </w:rPr>
            </w:pPr>
          </w:p>
        </w:tc>
        <w:tc>
          <w:tcPr>
            <w:tcW w:w="990" w:type="dxa"/>
          </w:tcPr>
          <w:p w14:paraId="463FCD5F">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3074DD15">
            <w:pPr>
              <w:spacing w:line="440" w:lineRule="exact"/>
              <w:jc w:val="center"/>
              <w:rPr>
                <w:rFonts w:hint="eastAsia" w:ascii="宋体" w:hAnsi="宋体" w:cs="宋体"/>
                <w:color w:val="000000" w:themeColor="text1"/>
                <w:szCs w:val="21"/>
                <w14:textFill>
                  <w14:solidFill>
                    <w14:schemeClr w14:val="tx1"/>
                  </w14:solidFill>
                </w14:textFill>
              </w:rPr>
            </w:pPr>
          </w:p>
        </w:tc>
        <w:tc>
          <w:tcPr>
            <w:tcW w:w="738" w:type="dxa"/>
          </w:tcPr>
          <w:p w14:paraId="597E5ECE">
            <w:pPr>
              <w:spacing w:line="440" w:lineRule="exact"/>
              <w:jc w:val="center"/>
              <w:rPr>
                <w:rFonts w:hint="eastAsia" w:ascii="宋体" w:hAnsi="宋体" w:cs="宋体"/>
                <w:color w:val="000000" w:themeColor="text1"/>
                <w:szCs w:val="21"/>
                <w14:textFill>
                  <w14:solidFill>
                    <w14:schemeClr w14:val="tx1"/>
                  </w14:solidFill>
                </w14:textFill>
              </w:rPr>
            </w:pPr>
          </w:p>
        </w:tc>
        <w:tc>
          <w:tcPr>
            <w:tcW w:w="1212" w:type="dxa"/>
          </w:tcPr>
          <w:p w14:paraId="1B2E74D8">
            <w:pPr>
              <w:spacing w:line="440" w:lineRule="exact"/>
              <w:jc w:val="center"/>
              <w:rPr>
                <w:rFonts w:hint="eastAsia" w:ascii="宋体" w:hAnsi="宋体" w:cs="宋体"/>
                <w:color w:val="000000" w:themeColor="text1"/>
                <w:szCs w:val="21"/>
                <w14:textFill>
                  <w14:solidFill>
                    <w14:schemeClr w14:val="tx1"/>
                  </w14:solidFill>
                </w14:textFill>
              </w:rPr>
            </w:pPr>
          </w:p>
        </w:tc>
        <w:tc>
          <w:tcPr>
            <w:tcW w:w="874" w:type="dxa"/>
          </w:tcPr>
          <w:p w14:paraId="0B5777CA">
            <w:pPr>
              <w:spacing w:line="440" w:lineRule="exact"/>
              <w:jc w:val="center"/>
              <w:rPr>
                <w:rFonts w:hint="eastAsia" w:ascii="宋体" w:hAnsi="宋体" w:cs="宋体"/>
                <w:color w:val="000000" w:themeColor="text1"/>
                <w:szCs w:val="21"/>
                <w14:textFill>
                  <w14:solidFill>
                    <w14:schemeClr w14:val="tx1"/>
                  </w14:solidFill>
                </w14:textFill>
              </w:rPr>
            </w:pPr>
          </w:p>
        </w:tc>
        <w:tc>
          <w:tcPr>
            <w:tcW w:w="1055" w:type="dxa"/>
          </w:tcPr>
          <w:p w14:paraId="6A0FE2D2">
            <w:pPr>
              <w:spacing w:line="440" w:lineRule="exact"/>
              <w:jc w:val="center"/>
              <w:rPr>
                <w:rFonts w:hint="eastAsia" w:ascii="宋体" w:hAnsi="宋体" w:cs="宋体"/>
                <w:color w:val="000000" w:themeColor="text1"/>
                <w:szCs w:val="21"/>
                <w14:textFill>
                  <w14:solidFill>
                    <w14:schemeClr w14:val="tx1"/>
                  </w14:solidFill>
                </w14:textFill>
              </w:rPr>
            </w:pPr>
          </w:p>
        </w:tc>
        <w:tc>
          <w:tcPr>
            <w:tcW w:w="691" w:type="dxa"/>
          </w:tcPr>
          <w:p w14:paraId="392D1E5C">
            <w:pPr>
              <w:spacing w:line="440" w:lineRule="exact"/>
              <w:jc w:val="center"/>
              <w:rPr>
                <w:rFonts w:hint="eastAsia" w:ascii="宋体" w:hAnsi="宋体" w:cs="宋体"/>
                <w:color w:val="000000" w:themeColor="text1"/>
                <w:szCs w:val="21"/>
                <w14:textFill>
                  <w14:solidFill>
                    <w14:schemeClr w14:val="tx1"/>
                  </w14:solidFill>
                </w14:textFill>
              </w:rPr>
            </w:pPr>
          </w:p>
        </w:tc>
      </w:tr>
      <w:tr w14:paraId="3239D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000ED57D">
            <w:pPr>
              <w:spacing w:line="440" w:lineRule="exact"/>
              <w:jc w:val="center"/>
              <w:rPr>
                <w:rFonts w:hint="eastAsia" w:ascii="宋体" w:hAnsi="宋体" w:cs="宋体"/>
                <w:color w:val="000000" w:themeColor="text1"/>
                <w:szCs w:val="21"/>
                <w14:textFill>
                  <w14:solidFill>
                    <w14:schemeClr w14:val="tx1"/>
                  </w14:solidFill>
                </w14:textFill>
              </w:rPr>
            </w:pPr>
          </w:p>
        </w:tc>
        <w:tc>
          <w:tcPr>
            <w:tcW w:w="1086" w:type="dxa"/>
          </w:tcPr>
          <w:p w14:paraId="4BA047FE">
            <w:pPr>
              <w:spacing w:line="440" w:lineRule="exact"/>
              <w:jc w:val="center"/>
              <w:rPr>
                <w:rFonts w:hint="eastAsia" w:ascii="宋体" w:hAnsi="宋体" w:cs="宋体"/>
                <w:color w:val="000000" w:themeColor="text1"/>
                <w:szCs w:val="21"/>
                <w14:textFill>
                  <w14:solidFill>
                    <w14:schemeClr w14:val="tx1"/>
                  </w14:solidFill>
                </w14:textFill>
              </w:rPr>
            </w:pPr>
          </w:p>
        </w:tc>
        <w:tc>
          <w:tcPr>
            <w:tcW w:w="761" w:type="dxa"/>
          </w:tcPr>
          <w:p w14:paraId="4A28349D">
            <w:pPr>
              <w:spacing w:line="440" w:lineRule="exact"/>
              <w:jc w:val="center"/>
              <w:rPr>
                <w:rFonts w:hint="eastAsia" w:ascii="宋体" w:hAnsi="宋体" w:cs="宋体"/>
                <w:color w:val="000000" w:themeColor="text1"/>
                <w:szCs w:val="21"/>
                <w14:textFill>
                  <w14:solidFill>
                    <w14:schemeClr w14:val="tx1"/>
                  </w14:solidFill>
                </w14:textFill>
              </w:rPr>
            </w:pPr>
          </w:p>
        </w:tc>
        <w:tc>
          <w:tcPr>
            <w:tcW w:w="990" w:type="dxa"/>
          </w:tcPr>
          <w:p w14:paraId="0C17820B">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71589DEF">
            <w:pPr>
              <w:spacing w:line="440" w:lineRule="exact"/>
              <w:jc w:val="center"/>
              <w:rPr>
                <w:rFonts w:hint="eastAsia" w:ascii="宋体" w:hAnsi="宋体" w:cs="宋体"/>
                <w:color w:val="000000" w:themeColor="text1"/>
                <w:szCs w:val="21"/>
                <w14:textFill>
                  <w14:solidFill>
                    <w14:schemeClr w14:val="tx1"/>
                  </w14:solidFill>
                </w14:textFill>
              </w:rPr>
            </w:pPr>
          </w:p>
        </w:tc>
        <w:tc>
          <w:tcPr>
            <w:tcW w:w="738" w:type="dxa"/>
          </w:tcPr>
          <w:p w14:paraId="5D150D55">
            <w:pPr>
              <w:spacing w:line="440" w:lineRule="exact"/>
              <w:jc w:val="center"/>
              <w:rPr>
                <w:rFonts w:hint="eastAsia" w:ascii="宋体" w:hAnsi="宋体" w:cs="宋体"/>
                <w:color w:val="000000" w:themeColor="text1"/>
                <w:szCs w:val="21"/>
                <w14:textFill>
                  <w14:solidFill>
                    <w14:schemeClr w14:val="tx1"/>
                  </w14:solidFill>
                </w14:textFill>
              </w:rPr>
            </w:pPr>
          </w:p>
        </w:tc>
        <w:tc>
          <w:tcPr>
            <w:tcW w:w="1212" w:type="dxa"/>
          </w:tcPr>
          <w:p w14:paraId="511A452B">
            <w:pPr>
              <w:spacing w:line="440" w:lineRule="exact"/>
              <w:jc w:val="center"/>
              <w:rPr>
                <w:rFonts w:hint="eastAsia" w:ascii="宋体" w:hAnsi="宋体" w:cs="宋体"/>
                <w:color w:val="000000" w:themeColor="text1"/>
                <w:szCs w:val="21"/>
                <w14:textFill>
                  <w14:solidFill>
                    <w14:schemeClr w14:val="tx1"/>
                  </w14:solidFill>
                </w14:textFill>
              </w:rPr>
            </w:pPr>
          </w:p>
        </w:tc>
        <w:tc>
          <w:tcPr>
            <w:tcW w:w="874" w:type="dxa"/>
          </w:tcPr>
          <w:p w14:paraId="69DBC544">
            <w:pPr>
              <w:spacing w:line="440" w:lineRule="exact"/>
              <w:jc w:val="center"/>
              <w:rPr>
                <w:rFonts w:hint="eastAsia" w:ascii="宋体" w:hAnsi="宋体" w:cs="宋体"/>
                <w:color w:val="000000" w:themeColor="text1"/>
                <w:szCs w:val="21"/>
                <w14:textFill>
                  <w14:solidFill>
                    <w14:schemeClr w14:val="tx1"/>
                  </w14:solidFill>
                </w14:textFill>
              </w:rPr>
            </w:pPr>
          </w:p>
        </w:tc>
        <w:tc>
          <w:tcPr>
            <w:tcW w:w="1055" w:type="dxa"/>
          </w:tcPr>
          <w:p w14:paraId="6502B1F0">
            <w:pPr>
              <w:spacing w:line="440" w:lineRule="exact"/>
              <w:jc w:val="center"/>
              <w:rPr>
                <w:rFonts w:hint="eastAsia" w:ascii="宋体" w:hAnsi="宋体" w:cs="宋体"/>
                <w:color w:val="000000" w:themeColor="text1"/>
                <w:szCs w:val="21"/>
                <w14:textFill>
                  <w14:solidFill>
                    <w14:schemeClr w14:val="tx1"/>
                  </w14:solidFill>
                </w14:textFill>
              </w:rPr>
            </w:pPr>
          </w:p>
        </w:tc>
        <w:tc>
          <w:tcPr>
            <w:tcW w:w="691" w:type="dxa"/>
          </w:tcPr>
          <w:p w14:paraId="536D18BA">
            <w:pPr>
              <w:spacing w:line="440" w:lineRule="exact"/>
              <w:jc w:val="center"/>
              <w:rPr>
                <w:rFonts w:hint="eastAsia" w:ascii="宋体" w:hAnsi="宋体" w:cs="宋体"/>
                <w:color w:val="000000" w:themeColor="text1"/>
                <w:szCs w:val="21"/>
                <w14:textFill>
                  <w14:solidFill>
                    <w14:schemeClr w14:val="tx1"/>
                  </w14:solidFill>
                </w14:textFill>
              </w:rPr>
            </w:pPr>
          </w:p>
        </w:tc>
      </w:tr>
      <w:tr w14:paraId="2E3C3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2A1AC9A0">
            <w:pPr>
              <w:spacing w:line="440" w:lineRule="exact"/>
              <w:jc w:val="center"/>
              <w:rPr>
                <w:rFonts w:hint="eastAsia" w:ascii="宋体" w:hAnsi="宋体" w:cs="宋体"/>
                <w:color w:val="000000" w:themeColor="text1"/>
                <w:szCs w:val="21"/>
                <w14:textFill>
                  <w14:solidFill>
                    <w14:schemeClr w14:val="tx1"/>
                  </w14:solidFill>
                </w14:textFill>
              </w:rPr>
            </w:pPr>
          </w:p>
        </w:tc>
        <w:tc>
          <w:tcPr>
            <w:tcW w:w="1086" w:type="dxa"/>
          </w:tcPr>
          <w:p w14:paraId="23D3E846">
            <w:pPr>
              <w:spacing w:line="440" w:lineRule="exact"/>
              <w:jc w:val="center"/>
              <w:rPr>
                <w:rFonts w:hint="eastAsia" w:ascii="宋体" w:hAnsi="宋体" w:cs="宋体"/>
                <w:color w:val="000000" w:themeColor="text1"/>
                <w:szCs w:val="21"/>
                <w14:textFill>
                  <w14:solidFill>
                    <w14:schemeClr w14:val="tx1"/>
                  </w14:solidFill>
                </w14:textFill>
              </w:rPr>
            </w:pPr>
          </w:p>
        </w:tc>
        <w:tc>
          <w:tcPr>
            <w:tcW w:w="761" w:type="dxa"/>
          </w:tcPr>
          <w:p w14:paraId="7353EF53">
            <w:pPr>
              <w:spacing w:line="440" w:lineRule="exact"/>
              <w:jc w:val="center"/>
              <w:rPr>
                <w:rFonts w:hint="eastAsia" w:ascii="宋体" w:hAnsi="宋体" w:cs="宋体"/>
                <w:color w:val="000000" w:themeColor="text1"/>
                <w:szCs w:val="21"/>
                <w14:textFill>
                  <w14:solidFill>
                    <w14:schemeClr w14:val="tx1"/>
                  </w14:solidFill>
                </w14:textFill>
              </w:rPr>
            </w:pPr>
          </w:p>
        </w:tc>
        <w:tc>
          <w:tcPr>
            <w:tcW w:w="990" w:type="dxa"/>
          </w:tcPr>
          <w:p w14:paraId="201CD1C2">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220ED245">
            <w:pPr>
              <w:spacing w:line="440" w:lineRule="exact"/>
              <w:jc w:val="center"/>
              <w:rPr>
                <w:rFonts w:hint="eastAsia" w:ascii="宋体" w:hAnsi="宋体" w:cs="宋体"/>
                <w:color w:val="000000" w:themeColor="text1"/>
                <w:szCs w:val="21"/>
                <w14:textFill>
                  <w14:solidFill>
                    <w14:schemeClr w14:val="tx1"/>
                  </w14:solidFill>
                </w14:textFill>
              </w:rPr>
            </w:pPr>
          </w:p>
        </w:tc>
        <w:tc>
          <w:tcPr>
            <w:tcW w:w="738" w:type="dxa"/>
          </w:tcPr>
          <w:p w14:paraId="43D903A2">
            <w:pPr>
              <w:spacing w:line="440" w:lineRule="exact"/>
              <w:jc w:val="center"/>
              <w:rPr>
                <w:rFonts w:hint="eastAsia" w:ascii="宋体" w:hAnsi="宋体" w:cs="宋体"/>
                <w:color w:val="000000" w:themeColor="text1"/>
                <w:szCs w:val="21"/>
                <w14:textFill>
                  <w14:solidFill>
                    <w14:schemeClr w14:val="tx1"/>
                  </w14:solidFill>
                </w14:textFill>
              </w:rPr>
            </w:pPr>
          </w:p>
        </w:tc>
        <w:tc>
          <w:tcPr>
            <w:tcW w:w="1212" w:type="dxa"/>
          </w:tcPr>
          <w:p w14:paraId="413C402B">
            <w:pPr>
              <w:spacing w:line="440" w:lineRule="exact"/>
              <w:jc w:val="center"/>
              <w:rPr>
                <w:rFonts w:hint="eastAsia" w:ascii="宋体" w:hAnsi="宋体" w:cs="宋体"/>
                <w:color w:val="000000" w:themeColor="text1"/>
                <w:szCs w:val="21"/>
                <w14:textFill>
                  <w14:solidFill>
                    <w14:schemeClr w14:val="tx1"/>
                  </w14:solidFill>
                </w14:textFill>
              </w:rPr>
            </w:pPr>
          </w:p>
        </w:tc>
        <w:tc>
          <w:tcPr>
            <w:tcW w:w="874" w:type="dxa"/>
          </w:tcPr>
          <w:p w14:paraId="7240FDAE">
            <w:pPr>
              <w:spacing w:line="440" w:lineRule="exact"/>
              <w:jc w:val="center"/>
              <w:rPr>
                <w:rFonts w:hint="eastAsia" w:ascii="宋体" w:hAnsi="宋体" w:cs="宋体"/>
                <w:color w:val="000000" w:themeColor="text1"/>
                <w:szCs w:val="21"/>
                <w14:textFill>
                  <w14:solidFill>
                    <w14:schemeClr w14:val="tx1"/>
                  </w14:solidFill>
                </w14:textFill>
              </w:rPr>
            </w:pPr>
          </w:p>
        </w:tc>
        <w:tc>
          <w:tcPr>
            <w:tcW w:w="1055" w:type="dxa"/>
          </w:tcPr>
          <w:p w14:paraId="2771349D">
            <w:pPr>
              <w:spacing w:line="440" w:lineRule="exact"/>
              <w:jc w:val="center"/>
              <w:rPr>
                <w:rFonts w:hint="eastAsia" w:ascii="宋体" w:hAnsi="宋体" w:cs="宋体"/>
                <w:color w:val="000000" w:themeColor="text1"/>
                <w:szCs w:val="21"/>
                <w14:textFill>
                  <w14:solidFill>
                    <w14:schemeClr w14:val="tx1"/>
                  </w14:solidFill>
                </w14:textFill>
              </w:rPr>
            </w:pPr>
          </w:p>
        </w:tc>
        <w:tc>
          <w:tcPr>
            <w:tcW w:w="691" w:type="dxa"/>
          </w:tcPr>
          <w:p w14:paraId="0589A2F1">
            <w:pPr>
              <w:spacing w:line="440" w:lineRule="exact"/>
              <w:jc w:val="center"/>
              <w:rPr>
                <w:rFonts w:hint="eastAsia" w:ascii="宋体" w:hAnsi="宋体" w:cs="宋体"/>
                <w:color w:val="000000" w:themeColor="text1"/>
                <w:szCs w:val="21"/>
                <w14:textFill>
                  <w14:solidFill>
                    <w14:schemeClr w14:val="tx1"/>
                  </w14:solidFill>
                </w14:textFill>
              </w:rPr>
            </w:pPr>
          </w:p>
        </w:tc>
      </w:tr>
      <w:tr w14:paraId="6B92A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1F8DB56D">
            <w:pPr>
              <w:spacing w:line="440" w:lineRule="exact"/>
              <w:jc w:val="center"/>
              <w:rPr>
                <w:rFonts w:hint="eastAsia" w:ascii="宋体" w:hAnsi="宋体" w:cs="宋体"/>
                <w:color w:val="000000" w:themeColor="text1"/>
                <w:szCs w:val="21"/>
                <w14:textFill>
                  <w14:solidFill>
                    <w14:schemeClr w14:val="tx1"/>
                  </w14:solidFill>
                </w14:textFill>
              </w:rPr>
            </w:pPr>
          </w:p>
        </w:tc>
        <w:tc>
          <w:tcPr>
            <w:tcW w:w="1086" w:type="dxa"/>
          </w:tcPr>
          <w:p w14:paraId="0DAEBF33">
            <w:pPr>
              <w:spacing w:line="440" w:lineRule="exact"/>
              <w:jc w:val="center"/>
              <w:rPr>
                <w:rFonts w:hint="eastAsia" w:ascii="宋体" w:hAnsi="宋体" w:cs="宋体"/>
                <w:color w:val="000000" w:themeColor="text1"/>
                <w:szCs w:val="21"/>
                <w14:textFill>
                  <w14:solidFill>
                    <w14:schemeClr w14:val="tx1"/>
                  </w14:solidFill>
                </w14:textFill>
              </w:rPr>
            </w:pPr>
          </w:p>
        </w:tc>
        <w:tc>
          <w:tcPr>
            <w:tcW w:w="761" w:type="dxa"/>
          </w:tcPr>
          <w:p w14:paraId="7965D7E3">
            <w:pPr>
              <w:spacing w:line="440" w:lineRule="exact"/>
              <w:jc w:val="center"/>
              <w:rPr>
                <w:rFonts w:hint="eastAsia" w:ascii="宋体" w:hAnsi="宋体" w:cs="宋体"/>
                <w:color w:val="000000" w:themeColor="text1"/>
                <w:szCs w:val="21"/>
                <w14:textFill>
                  <w14:solidFill>
                    <w14:schemeClr w14:val="tx1"/>
                  </w14:solidFill>
                </w14:textFill>
              </w:rPr>
            </w:pPr>
          </w:p>
        </w:tc>
        <w:tc>
          <w:tcPr>
            <w:tcW w:w="990" w:type="dxa"/>
          </w:tcPr>
          <w:p w14:paraId="5CBC290C">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2B353921">
            <w:pPr>
              <w:spacing w:line="440" w:lineRule="exact"/>
              <w:jc w:val="center"/>
              <w:rPr>
                <w:rFonts w:hint="eastAsia" w:ascii="宋体" w:hAnsi="宋体" w:cs="宋体"/>
                <w:color w:val="000000" w:themeColor="text1"/>
                <w:szCs w:val="21"/>
                <w14:textFill>
                  <w14:solidFill>
                    <w14:schemeClr w14:val="tx1"/>
                  </w14:solidFill>
                </w14:textFill>
              </w:rPr>
            </w:pPr>
          </w:p>
        </w:tc>
        <w:tc>
          <w:tcPr>
            <w:tcW w:w="738" w:type="dxa"/>
          </w:tcPr>
          <w:p w14:paraId="06C350A5">
            <w:pPr>
              <w:spacing w:line="440" w:lineRule="exact"/>
              <w:jc w:val="center"/>
              <w:rPr>
                <w:rFonts w:hint="eastAsia" w:ascii="宋体" w:hAnsi="宋体" w:cs="宋体"/>
                <w:color w:val="000000" w:themeColor="text1"/>
                <w:szCs w:val="21"/>
                <w14:textFill>
                  <w14:solidFill>
                    <w14:schemeClr w14:val="tx1"/>
                  </w14:solidFill>
                </w14:textFill>
              </w:rPr>
            </w:pPr>
          </w:p>
        </w:tc>
        <w:tc>
          <w:tcPr>
            <w:tcW w:w="1212" w:type="dxa"/>
          </w:tcPr>
          <w:p w14:paraId="038BD539">
            <w:pPr>
              <w:spacing w:line="440" w:lineRule="exact"/>
              <w:jc w:val="center"/>
              <w:rPr>
                <w:rFonts w:hint="eastAsia" w:ascii="宋体" w:hAnsi="宋体" w:cs="宋体"/>
                <w:color w:val="000000" w:themeColor="text1"/>
                <w:szCs w:val="21"/>
                <w14:textFill>
                  <w14:solidFill>
                    <w14:schemeClr w14:val="tx1"/>
                  </w14:solidFill>
                </w14:textFill>
              </w:rPr>
            </w:pPr>
          </w:p>
        </w:tc>
        <w:tc>
          <w:tcPr>
            <w:tcW w:w="874" w:type="dxa"/>
          </w:tcPr>
          <w:p w14:paraId="460794F3">
            <w:pPr>
              <w:spacing w:line="440" w:lineRule="exact"/>
              <w:jc w:val="center"/>
              <w:rPr>
                <w:rFonts w:hint="eastAsia" w:ascii="宋体" w:hAnsi="宋体" w:cs="宋体"/>
                <w:color w:val="000000" w:themeColor="text1"/>
                <w:szCs w:val="21"/>
                <w14:textFill>
                  <w14:solidFill>
                    <w14:schemeClr w14:val="tx1"/>
                  </w14:solidFill>
                </w14:textFill>
              </w:rPr>
            </w:pPr>
          </w:p>
        </w:tc>
        <w:tc>
          <w:tcPr>
            <w:tcW w:w="1055" w:type="dxa"/>
          </w:tcPr>
          <w:p w14:paraId="22DE5D75">
            <w:pPr>
              <w:spacing w:line="440" w:lineRule="exact"/>
              <w:jc w:val="center"/>
              <w:rPr>
                <w:rFonts w:hint="eastAsia" w:ascii="宋体" w:hAnsi="宋体" w:cs="宋体"/>
                <w:color w:val="000000" w:themeColor="text1"/>
                <w:szCs w:val="21"/>
                <w14:textFill>
                  <w14:solidFill>
                    <w14:schemeClr w14:val="tx1"/>
                  </w14:solidFill>
                </w14:textFill>
              </w:rPr>
            </w:pPr>
          </w:p>
        </w:tc>
        <w:tc>
          <w:tcPr>
            <w:tcW w:w="691" w:type="dxa"/>
          </w:tcPr>
          <w:p w14:paraId="2A751B3D">
            <w:pPr>
              <w:spacing w:line="440" w:lineRule="exact"/>
              <w:jc w:val="center"/>
              <w:rPr>
                <w:rFonts w:hint="eastAsia" w:ascii="宋体" w:hAnsi="宋体" w:cs="宋体"/>
                <w:color w:val="000000" w:themeColor="text1"/>
                <w:szCs w:val="21"/>
                <w14:textFill>
                  <w14:solidFill>
                    <w14:schemeClr w14:val="tx1"/>
                  </w14:solidFill>
                </w14:textFill>
              </w:rPr>
            </w:pPr>
          </w:p>
        </w:tc>
      </w:tr>
      <w:tr w14:paraId="400E3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3B1D39DD">
            <w:pPr>
              <w:spacing w:line="440" w:lineRule="exact"/>
              <w:jc w:val="center"/>
              <w:rPr>
                <w:rFonts w:hint="eastAsia" w:ascii="宋体" w:hAnsi="宋体" w:cs="宋体"/>
                <w:color w:val="000000" w:themeColor="text1"/>
                <w:szCs w:val="21"/>
                <w14:textFill>
                  <w14:solidFill>
                    <w14:schemeClr w14:val="tx1"/>
                  </w14:solidFill>
                </w14:textFill>
              </w:rPr>
            </w:pPr>
          </w:p>
        </w:tc>
        <w:tc>
          <w:tcPr>
            <w:tcW w:w="1086" w:type="dxa"/>
          </w:tcPr>
          <w:p w14:paraId="5D06A96C">
            <w:pPr>
              <w:spacing w:line="440" w:lineRule="exact"/>
              <w:jc w:val="center"/>
              <w:rPr>
                <w:rFonts w:hint="eastAsia" w:ascii="宋体" w:hAnsi="宋体" w:cs="宋体"/>
                <w:color w:val="000000" w:themeColor="text1"/>
                <w:szCs w:val="21"/>
                <w14:textFill>
                  <w14:solidFill>
                    <w14:schemeClr w14:val="tx1"/>
                  </w14:solidFill>
                </w14:textFill>
              </w:rPr>
            </w:pPr>
          </w:p>
        </w:tc>
        <w:tc>
          <w:tcPr>
            <w:tcW w:w="761" w:type="dxa"/>
          </w:tcPr>
          <w:p w14:paraId="273D28C5">
            <w:pPr>
              <w:spacing w:line="440" w:lineRule="exact"/>
              <w:jc w:val="center"/>
              <w:rPr>
                <w:rFonts w:hint="eastAsia" w:ascii="宋体" w:hAnsi="宋体" w:cs="宋体"/>
                <w:color w:val="000000" w:themeColor="text1"/>
                <w:szCs w:val="21"/>
                <w14:textFill>
                  <w14:solidFill>
                    <w14:schemeClr w14:val="tx1"/>
                  </w14:solidFill>
                </w14:textFill>
              </w:rPr>
            </w:pPr>
          </w:p>
        </w:tc>
        <w:tc>
          <w:tcPr>
            <w:tcW w:w="990" w:type="dxa"/>
          </w:tcPr>
          <w:p w14:paraId="07F15977">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43F4A6E8">
            <w:pPr>
              <w:spacing w:line="440" w:lineRule="exact"/>
              <w:jc w:val="center"/>
              <w:rPr>
                <w:rFonts w:hint="eastAsia" w:ascii="宋体" w:hAnsi="宋体" w:cs="宋体"/>
                <w:color w:val="000000" w:themeColor="text1"/>
                <w:szCs w:val="21"/>
                <w14:textFill>
                  <w14:solidFill>
                    <w14:schemeClr w14:val="tx1"/>
                  </w14:solidFill>
                </w14:textFill>
              </w:rPr>
            </w:pPr>
          </w:p>
        </w:tc>
        <w:tc>
          <w:tcPr>
            <w:tcW w:w="738" w:type="dxa"/>
          </w:tcPr>
          <w:p w14:paraId="08781B3E">
            <w:pPr>
              <w:spacing w:line="440" w:lineRule="exact"/>
              <w:jc w:val="center"/>
              <w:rPr>
                <w:rFonts w:hint="eastAsia" w:ascii="宋体" w:hAnsi="宋体" w:cs="宋体"/>
                <w:color w:val="000000" w:themeColor="text1"/>
                <w:szCs w:val="21"/>
                <w14:textFill>
                  <w14:solidFill>
                    <w14:schemeClr w14:val="tx1"/>
                  </w14:solidFill>
                </w14:textFill>
              </w:rPr>
            </w:pPr>
          </w:p>
        </w:tc>
        <w:tc>
          <w:tcPr>
            <w:tcW w:w="1212" w:type="dxa"/>
          </w:tcPr>
          <w:p w14:paraId="1D1694E4">
            <w:pPr>
              <w:spacing w:line="440" w:lineRule="exact"/>
              <w:jc w:val="center"/>
              <w:rPr>
                <w:rFonts w:hint="eastAsia" w:ascii="宋体" w:hAnsi="宋体" w:cs="宋体"/>
                <w:color w:val="000000" w:themeColor="text1"/>
                <w:szCs w:val="21"/>
                <w14:textFill>
                  <w14:solidFill>
                    <w14:schemeClr w14:val="tx1"/>
                  </w14:solidFill>
                </w14:textFill>
              </w:rPr>
            </w:pPr>
          </w:p>
        </w:tc>
        <w:tc>
          <w:tcPr>
            <w:tcW w:w="874" w:type="dxa"/>
          </w:tcPr>
          <w:p w14:paraId="58CF085E">
            <w:pPr>
              <w:spacing w:line="440" w:lineRule="exact"/>
              <w:jc w:val="center"/>
              <w:rPr>
                <w:rFonts w:hint="eastAsia" w:ascii="宋体" w:hAnsi="宋体" w:cs="宋体"/>
                <w:color w:val="000000" w:themeColor="text1"/>
                <w:szCs w:val="21"/>
                <w14:textFill>
                  <w14:solidFill>
                    <w14:schemeClr w14:val="tx1"/>
                  </w14:solidFill>
                </w14:textFill>
              </w:rPr>
            </w:pPr>
          </w:p>
        </w:tc>
        <w:tc>
          <w:tcPr>
            <w:tcW w:w="1055" w:type="dxa"/>
          </w:tcPr>
          <w:p w14:paraId="16C2495E">
            <w:pPr>
              <w:spacing w:line="440" w:lineRule="exact"/>
              <w:jc w:val="center"/>
              <w:rPr>
                <w:rFonts w:hint="eastAsia" w:ascii="宋体" w:hAnsi="宋体" w:cs="宋体"/>
                <w:color w:val="000000" w:themeColor="text1"/>
                <w:szCs w:val="21"/>
                <w14:textFill>
                  <w14:solidFill>
                    <w14:schemeClr w14:val="tx1"/>
                  </w14:solidFill>
                </w14:textFill>
              </w:rPr>
            </w:pPr>
          </w:p>
        </w:tc>
        <w:tc>
          <w:tcPr>
            <w:tcW w:w="691" w:type="dxa"/>
          </w:tcPr>
          <w:p w14:paraId="0517B7D9">
            <w:pPr>
              <w:spacing w:line="440" w:lineRule="exact"/>
              <w:jc w:val="center"/>
              <w:rPr>
                <w:rFonts w:hint="eastAsia" w:ascii="宋体" w:hAnsi="宋体" w:cs="宋体"/>
                <w:color w:val="000000" w:themeColor="text1"/>
                <w:szCs w:val="21"/>
                <w14:textFill>
                  <w14:solidFill>
                    <w14:schemeClr w14:val="tx1"/>
                  </w14:solidFill>
                </w14:textFill>
              </w:rPr>
            </w:pPr>
          </w:p>
        </w:tc>
      </w:tr>
      <w:tr w14:paraId="28B16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5E4B4DF0">
            <w:pPr>
              <w:spacing w:line="440" w:lineRule="exact"/>
              <w:jc w:val="center"/>
              <w:rPr>
                <w:rFonts w:hint="eastAsia" w:ascii="宋体" w:hAnsi="宋体" w:cs="宋体"/>
                <w:color w:val="000000" w:themeColor="text1"/>
                <w:szCs w:val="21"/>
                <w14:textFill>
                  <w14:solidFill>
                    <w14:schemeClr w14:val="tx1"/>
                  </w14:solidFill>
                </w14:textFill>
              </w:rPr>
            </w:pPr>
          </w:p>
        </w:tc>
        <w:tc>
          <w:tcPr>
            <w:tcW w:w="1086" w:type="dxa"/>
          </w:tcPr>
          <w:p w14:paraId="1D67A97A">
            <w:pPr>
              <w:spacing w:line="440" w:lineRule="exact"/>
              <w:jc w:val="center"/>
              <w:rPr>
                <w:rFonts w:hint="eastAsia" w:ascii="宋体" w:hAnsi="宋体" w:cs="宋体"/>
                <w:color w:val="000000" w:themeColor="text1"/>
                <w:szCs w:val="21"/>
                <w14:textFill>
                  <w14:solidFill>
                    <w14:schemeClr w14:val="tx1"/>
                  </w14:solidFill>
                </w14:textFill>
              </w:rPr>
            </w:pPr>
          </w:p>
        </w:tc>
        <w:tc>
          <w:tcPr>
            <w:tcW w:w="761" w:type="dxa"/>
          </w:tcPr>
          <w:p w14:paraId="60886DA9">
            <w:pPr>
              <w:spacing w:line="440" w:lineRule="exact"/>
              <w:jc w:val="center"/>
              <w:rPr>
                <w:rFonts w:hint="eastAsia" w:ascii="宋体" w:hAnsi="宋体" w:cs="宋体"/>
                <w:color w:val="000000" w:themeColor="text1"/>
                <w:szCs w:val="21"/>
                <w14:textFill>
                  <w14:solidFill>
                    <w14:schemeClr w14:val="tx1"/>
                  </w14:solidFill>
                </w14:textFill>
              </w:rPr>
            </w:pPr>
          </w:p>
        </w:tc>
        <w:tc>
          <w:tcPr>
            <w:tcW w:w="990" w:type="dxa"/>
          </w:tcPr>
          <w:p w14:paraId="36C95F54">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51431B76">
            <w:pPr>
              <w:spacing w:line="440" w:lineRule="exact"/>
              <w:jc w:val="center"/>
              <w:rPr>
                <w:rFonts w:hint="eastAsia" w:ascii="宋体" w:hAnsi="宋体" w:cs="宋体"/>
                <w:color w:val="000000" w:themeColor="text1"/>
                <w:szCs w:val="21"/>
                <w14:textFill>
                  <w14:solidFill>
                    <w14:schemeClr w14:val="tx1"/>
                  </w14:solidFill>
                </w14:textFill>
              </w:rPr>
            </w:pPr>
          </w:p>
        </w:tc>
        <w:tc>
          <w:tcPr>
            <w:tcW w:w="738" w:type="dxa"/>
          </w:tcPr>
          <w:p w14:paraId="24E0F98E">
            <w:pPr>
              <w:spacing w:line="440" w:lineRule="exact"/>
              <w:jc w:val="center"/>
              <w:rPr>
                <w:rFonts w:hint="eastAsia" w:ascii="宋体" w:hAnsi="宋体" w:cs="宋体"/>
                <w:color w:val="000000" w:themeColor="text1"/>
                <w:szCs w:val="21"/>
                <w14:textFill>
                  <w14:solidFill>
                    <w14:schemeClr w14:val="tx1"/>
                  </w14:solidFill>
                </w14:textFill>
              </w:rPr>
            </w:pPr>
          </w:p>
        </w:tc>
        <w:tc>
          <w:tcPr>
            <w:tcW w:w="1212" w:type="dxa"/>
          </w:tcPr>
          <w:p w14:paraId="01A5F591">
            <w:pPr>
              <w:spacing w:line="440" w:lineRule="exact"/>
              <w:jc w:val="center"/>
              <w:rPr>
                <w:rFonts w:hint="eastAsia" w:ascii="宋体" w:hAnsi="宋体" w:cs="宋体"/>
                <w:color w:val="000000" w:themeColor="text1"/>
                <w:szCs w:val="21"/>
                <w14:textFill>
                  <w14:solidFill>
                    <w14:schemeClr w14:val="tx1"/>
                  </w14:solidFill>
                </w14:textFill>
              </w:rPr>
            </w:pPr>
          </w:p>
        </w:tc>
        <w:tc>
          <w:tcPr>
            <w:tcW w:w="874" w:type="dxa"/>
          </w:tcPr>
          <w:p w14:paraId="291340E6">
            <w:pPr>
              <w:spacing w:line="440" w:lineRule="exact"/>
              <w:jc w:val="center"/>
              <w:rPr>
                <w:rFonts w:hint="eastAsia" w:ascii="宋体" w:hAnsi="宋体" w:cs="宋体"/>
                <w:color w:val="000000" w:themeColor="text1"/>
                <w:szCs w:val="21"/>
                <w14:textFill>
                  <w14:solidFill>
                    <w14:schemeClr w14:val="tx1"/>
                  </w14:solidFill>
                </w14:textFill>
              </w:rPr>
            </w:pPr>
          </w:p>
        </w:tc>
        <w:tc>
          <w:tcPr>
            <w:tcW w:w="1055" w:type="dxa"/>
          </w:tcPr>
          <w:p w14:paraId="497F3538">
            <w:pPr>
              <w:spacing w:line="440" w:lineRule="exact"/>
              <w:jc w:val="center"/>
              <w:rPr>
                <w:rFonts w:hint="eastAsia" w:ascii="宋体" w:hAnsi="宋体" w:cs="宋体"/>
                <w:color w:val="000000" w:themeColor="text1"/>
                <w:szCs w:val="21"/>
                <w14:textFill>
                  <w14:solidFill>
                    <w14:schemeClr w14:val="tx1"/>
                  </w14:solidFill>
                </w14:textFill>
              </w:rPr>
            </w:pPr>
          </w:p>
        </w:tc>
        <w:tc>
          <w:tcPr>
            <w:tcW w:w="691" w:type="dxa"/>
          </w:tcPr>
          <w:p w14:paraId="37D8AB86">
            <w:pPr>
              <w:spacing w:line="440" w:lineRule="exact"/>
              <w:jc w:val="center"/>
              <w:rPr>
                <w:rFonts w:hint="eastAsia" w:ascii="宋体" w:hAnsi="宋体" w:cs="宋体"/>
                <w:color w:val="000000" w:themeColor="text1"/>
                <w:szCs w:val="21"/>
                <w14:textFill>
                  <w14:solidFill>
                    <w14:schemeClr w14:val="tx1"/>
                  </w14:solidFill>
                </w14:textFill>
              </w:rPr>
            </w:pPr>
          </w:p>
        </w:tc>
      </w:tr>
      <w:tr w14:paraId="6A9EB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0A4693A9">
            <w:pPr>
              <w:spacing w:line="440" w:lineRule="exact"/>
              <w:jc w:val="center"/>
              <w:rPr>
                <w:rFonts w:hint="eastAsia" w:ascii="宋体" w:hAnsi="宋体" w:cs="宋体"/>
                <w:color w:val="000000" w:themeColor="text1"/>
                <w:szCs w:val="21"/>
                <w14:textFill>
                  <w14:solidFill>
                    <w14:schemeClr w14:val="tx1"/>
                  </w14:solidFill>
                </w14:textFill>
              </w:rPr>
            </w:pPr>
          </w:p>
        </w:tc>
        <w:tc>
          <w:tcPr>
            <w:tcW w:w="1086" w:type="dxa"/>
          </w:tcPr>
          <w:p w14:paraId="59780638">
            <w:pPr>
              <w:spacing w:line="440" w:lineRule="exact"/>
              <w:jc w:val="center"/>
              <w:rPr>
                <w:rFonts w:hint="eastAsia" w:ascii="宋体" w:hAnsi="宋体" w:cs="宋体"/>
                <w:color w:val="000000" w:themeColor="text1"/>
                <w:szCs w:val="21"/>
                <w14:textFill>
                  <w14:solidFill>
                    <w14:schemeClr w14:val="tx1"/>
                  </w14:solidFill>
                </w14:textFill>
              </w:rPr>
            </w:pPr>
          </w:p>
        </w:tc>
        <w:tc>
          <w:tcPr>
            <w:tcW w:w="761" w:type="dxa"/>
          </w:tcPr>
          <w:p w14:paraId="38579A77">
            <w:pPr>
              <w:spacing w:line="440" w:lineRule="exact"/>
              <w:jc w:val="center"/>
              <w:rPr>
                <w:rFonts w:hint="eastAsia" w:ascii="宋体" w:hAnsi="宋体" w:cs="宋体"/>
                <w:color w:val="000000" w:themeColor="text1"/>
                <w:szCs w:val="21"/>
                <w14:textFill>
                  <w14:solidFill>
                    <w14:schemeClr w14:val="tx1"/>
                  </w14:solidFill>
                </w14:textFill>
              </w:rPr>
            </w:pPr>
          </w:p>
        </w:tc>
        <w:tc>
          <w:tcPr>
            <w:tcW w:w="990" w:type="dxa"/>
          </w:tcPr>
          <w:p w14:paraId="7A289E2A">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4265D0BB">
            <w:pPr>
              <w:spacing w:line="440" w:lineRule="exact"/>
              <w:jc w:val="center"/>
              <w:rPr>
                <w:rFonts w:hint="eastAsia" w:ascii="宋体" w:hAnsi="宋体" w:cs="宋体"/>
                <w:color w:val="000000" w:themeColor="text1"/>
                <w:szCs w:val="21"/>
                <w14:textFill>
                  <w14:solidFill>
                    <w14:schemeClr w14:val="tx1"/>
                  </w14:solidFill>
                </w14:textFill>
              </w:rPr>
            </w:pPr>
          </w:p>
        </w:tc>
        <w:tc>
          <w:tcPr>
            <w:tcW w:w="738" w:type="dxa"/>
          </w:tcPr>
          <w:p w14:paraId="430902CA">
            <w:pPr>
              <w:spacing w:line="440" w:lineRule="exact"/>
              <w:jc w:val="center"/>
              <w:rPr>
                <w:rFonts w:hint="eastAsia" w:ascii="宋体" w:hAnsi="宋体" w:cs="宋体"/>
                <w:color w:val="000000" w:themeColor="text1"/>
                <w:szCs w:val="21"/>
                <w14:textFill>
                  <w14:solidFill>
                    <w14:schemeClr w14:val="tx1"/>
                  </w14:solidFill>
                </w14:textFill>
              </w:rPr>
            </w:pPr>
          </w:p>
        </w:tc>
        <w:tc>
          <w:tcPr>
            <w:tcW w:w="1212" w:type="dxa"/>
          </w:tcPr>
          <w:p w14:paraId="582A0FE8">
            <w:pPr>
              <w:spacing w:line="440" w:lineRule="exact"/>
              <w:jc w:val="center"/>
              <w:rPr>
                <w:rFonts w:hint="eastAsia" w:ascii="宋体" w:hAnsi="宋体" w:cs="宋体"/>
                <w:color w:val="000000" w:themeColor="text1"/>
                <w:szCs w:val="21"/>
                <w14:textFill>
                  <w14:solidFill>
                    <w14:schemeClr w14:val="tx1"/>
                  </w14:solidFill>
                </w14:textFill>
              </w:rPr>
            </w:pPr>
          </w:p>
        </w:tc>
        <w:tc>
          <w:tcPr>
            <w:tcW w:w="874" w:type="dxa"/>
          </w:tcPr>
          <w:p w14:paraId="2397CF8D">
            <w:pPr>
              <w:spacing w:line="440" w:lineRule="exact"/>
              <w:jc w:val="center"/>
              <w:rPr>
                <w:rFonts w:hint="eastAsia" w:ascii="宋体" w:hAnsi="宋体" w:cs="宋体"/>
                <w:color w:val="000000" w:themeColor="text1"/>
                <w:szCs w:val="21"/>
                <w14:textFill>
                  <w14:solidFill>
                    <w14:schemeClr w14:val="tx1"/>
                  </w14:solidFill>
                </w14:textFill>
              </w:rPr>
            </w:pPr>
          </w:p>
        </w:tc>
        <w:tc>
          <w:tcPr>
            <w:tcW w:w="1055" w:type="dxa"/>
          </w:tcPr>
          <w:p w14:paraId="07CE56F9">
            <w:pPr>
              <w:spacing w:line="440" w:lineRule="exact"/>
              <w:jc w:val="center"/>
              <w:rPr>
                <w:rFonts w:hint="eastAsia" w:ascii="宋体" w:hAnsi="宋体" w:cs="宋体"/>
                <w:color w:val="000000" w:themeColor="text1"/>
                <w:szCs w:val="21"/>
                <w14:textFill>
                  <w14:solidFill>
                    <w14:schemeClr w14:val="tx1"/>
                  </w14:solidFill>
                </w14:textFill>
              </w:rPr>
            </w:pPr>
          </w:p>
        </w:tc>
        <w:tc>
          <w:tcPr>
            <w:tcW w:w="691" w:type="dxa"/>
          </w:tcPr>
          <w:p w14:paraId="05D9EAA2">
            <w:pPr>
              <w:spacing w:line="440" w:lineRule="exact"/>
              <w:jc w:val="center"/>
              <w:rPr>
                <w:rFonts w:hint="eastAsia" w:ascii="宋体" w:hAnsi="宋体" w:cs="宋体"/>
                <w:color w:val="000000" w:themeColor="text1"/>
                <w:szCs w:val="21"/>
                <w14:textFill>
                  <w14:solidFill>
                    <w14:schemeClr w14:val="tx1"/>
                  </w14:solidFill>
                </w14:textFill>
              </w:rPr>
            </w:pPr>
          </w:p>
        </w:tc>
      </w:tr>
      <w:tr w14:paraId="200CE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15A8FEE7">
            <w:pPr>
              <w:spacing w:line="440" w:lineRule="exact"/>
              <w:jc w:val="center"/>
              <w:rPr>
                <w:rFonts w:hint="eastAsia" w:ascii="宋体" w:hAnsi="宋体" w:cs="宋体"/>
                <w:color w:val="000000" w:themeColor="text1"/>
                <w:szCs w:val="21"/>
                <w14:textFill>
                  <w14:solidFill>
                    <w14:schemeClr w14:val="tx1"/>
                  </w14:solidFill>
                </w14:textFill>
              </w:rPr>
            </w:pPr>
          </w:p>
        </w:tc>
        <w:tc>
          <w:tcPr>
            <w:tcW w:w="1086" w:type="dxa"/>
          </w:tcPr>
          <w:p w14:paraId="35BC15F0">
            <w:pPr>
              <w:spacing w:line="440" w:lineRule="exact"/>
              <w:jc w:val="center"/>
              <w:rPr>
                <w:rFonts w:hint="eastAsia" w:ascii="宋体" w:hAnsi="宋体" w:cs="宋体"/>
                <w:color w:val="000000" w:themeColor="text1"/>
                <w:szCs w:val="21"/>
                <w14:textFill>
                  <w14:solidFill>
                    <w14:schemeClr w14:val="tx1"/>
                  </w14:solidFill>
                </w14:textFill>
              </w:rPr>
            </w:pPr>
          </w:p>
        </w:tc>
        <w:tc>
          <w:tcPr>
            <w:tcW w:w="761" w:type="dxa"/>
          </w:tcPr>
          <w:p w14:paraId="2CBA9233">
            <w:pPr>
              <w:spacing w:line="440" w:lineRule="exact"/>
              <w:jc w:val="center"/>
              <w:rPr>
                <w:rFonts w:hint="eastAsia" w:ascii="宋体" w:hAnsi="宋体" w:cs="宋体"/>
                <w:color w:val="000000" w:themeColor="text1"/>
                <w:szCs w:val="21"/>
                <w14:textFill>
                  <w14:solidFill>
                    <w14:schemeClr w14:val="tx1"/>
                  </w14:solidFill>
                </w14:textFill>
              </w:rPr>
            </w:pPr>
          </w:p>
        </w:tc>
        <w:tc>
          <w:tcPr>
            <w:tcW w:w="990" w:type="dxa"/>
          </w:tcPr>
          <w:p w14:paraId="6EBEDF33">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08405377">
            <w:pPr>
              <w:spacing w:line="440" w:lineRule="exact"/>
              <w:jc w:val="center"/>
              <w:rPr>
                <w:rFonts w:hint="eastAsia" w:ascii="宋体" w:hAnsi="宋体" w:cs="宋体"/>
                <w:color w:val="000000" w:themeColor="text1"/>
                <w:szCs w:val="21"/>
                <w14:textFill>
                  <w14:solidFill>
                    <w14:schemeClr w14:val="tx1"/>
                  </w14:solidFill>
                </w14:textFill>
              </w:rPr>
            </w:pPr>
          </w:p>
        </w:tc>
        <w:tc>
          <w:tcPr>
            <w:tcW w:w="738" w:type="dxa"/>
          </w:tcPr>
          <w:p w14:paraId="7D05E9BE">
            <w:pPr>
              <w:spacing w:line="440" w:lineRule="exact"/>
              <w:jc w:val="center"/>
              <w:rPr>
                <w:rFonts w:hint="eastAsia" w:ascii="宋体" w:hAnsi="宋体" w:cs="宋体"/>
                <w:color w:val="000000" w:themeColor="text1"/>
                <w:szCs w:val="21"/>
                <w14:textFill>
                  <w14:solidFill>
                    <w14:schemeClr w14:val="tx1"/>
                  </w14:solidFill>
                </w14:textFill>
              </w:rPr>
            </w:pPr>
          </w:p>
        </w:tc>
        <w:tc>
          <w:tcPr>
            <w:tcW w:w="1212" w:type="dxa"/>
          </w:tcPr>
          <w:p w14:paraId="34E6BB25">
            <w:pPr>
              <w:spacing w:line="440" w:lineRule="exact"/>
              <w:jc w:val="center"/>
              <w:rPr>
                <w:rFonts w:hint="eastAsia" w:ascii="宋体" w:hAnsi="宋体" w:cs="宋体"/>
                <w:color w:val="000000" w:themeColor="text1"/>
                <w:szCs w:val="21"/>
                <w14:textFill>
                  <w14:solidFill>
                    <w14:schemeClr w14:val="tx1"/>
                  </w14:solidFill>
                </w14:textFill>
              </w:rPr>
            </w:pPr>
          </w:p>
        </w:tc>
        <w:tc>
          <w:tcPr>
            <w:tcW w:w="874" w:type="dxa"/>
          </w:tcPr>
          <w:p w14:paraId="6F1F8C3B">
            <w:pPr>
              <w:spacing w:line="440" w:lineRule="exact"/>
              <w:jc w:val="center"/>
              <w:rPr>
                <w:rFonts w:hint="eastAsia" w:ascii="宋体" w:hAnsi="宋体" w:cs="宋体"/>
                <w:color w:val="000000" w:themeColor="text1"/>
                <w:szCs w:val="21"/>
                <w14:textFill>
                  <w14:solidFill>
                    <w14:schemeClr w14:val="tx1"/>
                  </w14:solidFill>
                </w14:textFill>
              </w:rPr>
            </w:pPr>
          </w:p>
        </w:tc>
        <w:tc>
          <w:tcPr>
            <w:tcW w:w="1055" w:type="dxa"/>
          </w:tcPr>
          <w:p w14:paraId="11BB752C">
            <w:pPr>
              <w:spacing w:line="440" w:lineRule="exact"/>
              <w:jc w:val="center"/>
              <w:rPr>
                <w:rFonts w:hint="eastAsia" w:ascii="宋体" w:hAnsi="宋体" w:cs="宋体"/>
                <w:color w:val="000000" w:themeColor="text1"/>
                <w:szCs w:val="21"/>
                <w14:textFill>
                  <w14:solidFill>
                    <w14:schemeClr w14:val="tx1"/>
                  </w14:solidFill>
                </w14:textFill>
              </w:rPr>
            </w:pPr>
          </w:p>
        </w:tc>
        <w:tc>
          <w:tcPr>
            <w:tcW w:w="691" w:type="dxa"/>
          </w:tcPr>
          <w:p w14:paraId="1ECBC0EE">
            <w:pPr>
              <w:spacing w:line="440" w:lineRule="exact"/>
              <w:jc w:val="center"/>
              <w:rPr>
                <w:rFonts w:hint="eastAsia" w:ascii="宋体" w:hAnsi="宋体" w:cs="宋体"/>
                <w:color w:val="000000" w:themeColor="text1"/>
                <w:szCs w:val="21"/>
                <w14:textFill>
                  <w14:solidFill>
                    <w14:schemeClr w14:val="tx1"/>
                  </w14:solidFill>
                </w14:textFill>
              </w:rPr>
            </w:pPr>
          </w:p>
        </w:tc>
      </w:tr>
      <w:tr w14:paraId="58CE1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73186363">
            <w:pPr>
              <w:spacing w:line="440" w:lineRule="exact"/>
              <w:jc w:val="center"/>
              <w:rPr>
                <w:rFonts w:hint="eastAsia" w:ascii="宋体" w:hAnsi="宋体" w:cs="宋体"/>
                <w:color w:val="000000" w:themeColor="text1"/>
                <w:szCs w:val="21"/>
                <w14:textFill>
                  <w14:solidFill>
                    <w14:schemeClr w14:val="tx1"/>
                  </w14:solidFill>
                </w14:textFill>
              </w:rPr>
            </w:pPr>
          </w:p>
        </w:tc>
        <w:tc>
          <w:tcPr>
            <w:tcW w:w="1086" w:type="dxa"/>
          </w:tcPr>
          <w:p w14:paraId="46DEBA95">
            <w:pPr>
              <w:spacing w:line="440" w:lineRule="exact"/>
              <w:jc w:val="center"/>
              <w:rPr>
                <w:rFonts w:hint="eastAsia" w:ascii="宋体" w:hAnsi="宋体" w:cs="宋体"/>
                <w:color w:val="000000" w:themeColor="text1"/>
                <w:szCs w:val="21"/>
                <w14:textFill>
                  <w14:solidFill>
                    <w14:schemeClr w14:val="tx1"/>
                  </w14:solidFill>
                </w14:textFill>
              </w:rPr>
            </w:pPr>
          </w:p>
        </w:tc>
        <w:tc>
          <w:tcPr>
            <w:tcW w:w="761" w:type="dxa"/>
          </w:tcPr>
          <w:p w14:paraId="740F1D79">
            <w:pPr>
              <w:spacing w:line="440" w:lineRule="exact"/>
              <w:jc w:val="center"/>
              <w:rPr>
                <w:rFonts w:hint="eastAsia" w:ascii="宋体" w:hAnsi="宋体" w:cs="宋体"/>
                <w:color w:val="000000" w:themeColor="text1"/>
                <w:szCs w:val="21"/>
                <w14:textFill>
                  <w14:solidFill>
                    <w14:schemeClr w14:val="tx1"/>
                  </w14:solidFill>
                </w14:textFill>
              </w:rPr>
            </w:pPr>
          </w:p>
        </w:tc>
        <w:tc>
          <w:tcPr>
            <w:tcW w:w="990" w:type="dxa"/>
          </w:tcPr>
          <w:p w14:paraId="37902ECB">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4E793CB8">
            <w:pPr>
              <w:spacing w:line="440" w:lineRule="exact"/>
              <w:jc w:val="center"/>
              <w:rPr>
                <w:rFonts w:hint="eastAsia" w:ascii="宋体" w:hAnsi="宋体" w:cs="宋体"/>
                <w:color w:val="000000" w:themeColor="text1"/>
                <w:szCs w:val="21"/>
                <w14:textFill>
                  <w14:solidFill>
                    <w14:schemeClr w14:val="tx1"/>
                  </w14:solidFill>
                </w14:textFill>
              </w:rPr>
            </w:pPr>
          </w:p>
        </w:tc>
        <w:tc>
          <w:tcPr>
            <w:tcW w:w="738" w:type="dxa"/>
          </w:tcPr>
          <w:p w14:paraId="6B4F1C73">
            <w:pPr>
              <w:spacing w:line="440" w:lineRule="exact"/>
              <w:jc w:val="center"/>
              <w:rPr>
                <w:rFonts w:hint="eastAsia" w:ascii="宋体" w:hAnsi="宋体" w:cs="宋体"/>
                <w:color w:val="000000" w:themeColor="text1"/>
                <w:szCs w:val="21"/>
                <w14:textFill>
                  <w14:solidFill>
                    <w14:schemeClr w14:val="tx1"/>
                  </w14:solidFill>
                </w14:textFill>
              </w:rPr>
            </w:pPr>
          </w:p>
        </w:tc>
        <w:tc>
          <w:tcPr>
            <w:tcW w:w="1212" w:type="dxa"/>
          </w:tcPr>
          <w:p w14:paraId="2C17F226">
            <w:pPr>
              <w:spacing w:line="440" w:lineRule="exact"/>
              <w:jc w:val="center"/>
              <w:rPr>
                <w:rFonts w:hint="eastAsia" w:ascii="宋体" w:hAnsi="宋体" w:cs="宋体"/>
                <w:color w:val="000000" w:themeColor="text1"/>
                <w:szCs w:val="21"/>
                <w14:textFill>
                  <w14:solidFill>
                    <w14:schemeClr w14:val="tx1"/>
                  </w14:solidFill>
                </w14:textFill>
              </w:rPr>
            </w:pPr>
          </w:p>
        </w:tc>
        <w:tc>
          <w:tcPr>
            <w:tcW w:w="874" w:type="dxa"/>
          </w:tcPr>
          <w:p w14:paraId="7FEB8E9C">
            <w:pPr>
              <w:spacing w:line="440" w:lineRule="exact"/>
              <w:jc w:val="center"/>
              <w:rPr>
                <w:rFonts w:hint="eastAsia" w:ascii="宋体" w:hAnsi="宋体" w:cs="宋体"/>
                <w:color w:val="000000" w:themeColor="text1"/>
                <w:szCs w:val="21"/>
                <w14:textFill>
                  <w14:solidFill>
                    <w14:schemeClr w14:val="tx1"/>
                  </w14:solidFill>
                </w14:textFill>
              </w:rPr>
            </w:pPr>
          </w:p>
        </w:tc>
        <w:tc>
          <w:tcPr>
            <w:tcW w:w="1055" w:type="dxa"/>
          </w:tcPr>
          <w:p w14:paraId="4D1C1B2E">
            <w:pPr>
              <w:spacing w:line="440" w:lineRule="exact"/>
              <w:jc w:val="center"/>
              <w:rPr>
                <w:rFonts w:hint="eastAsia" w:ascii="宋体" w:hAnsi="宋体" w:cs="宋体"/>
                <w:color w:val="000000" w:themeColor="text1"/>
                <w:szCs w:val="21"/>
                <w14:textFill>
                  <w14:solidFill>
                    <w14:schemeClr w14:val="tx1"/>
                  </w14:solidFill>
                </w14:textFill>
              </w:rPr>
            </w:pPr>
          </w:p>
        </w:tc>
        <w:tc>
          <w:tcPr>
            <w:tcW w:w="691" w:type="dxa"/>
          </w:tcPr>
          <w:p w14:paraId="528CAD60">
            <w:pPr>
              <w:spacing w:line="440" w:lineRule="exact"/>
              <w:jc w:val="center"/>
              <w:rPr>
                <w:rFonts w:hint="eastAsia" w:ascii="宋体" w:hAnsi="宋体" w:cs="宋体"/>
                <w:color w:val="000000" w:themeColor="text1"/>
                <w:szCs w:val="21"/>
                <w14:textFill>
                  <w14:solidFill>
                    <w14:schemeClr w14:val="tx1"/>
                  </w14:solidFill>
                </w14:textFill>
              </w:rPr>
            </w:pPr>
          </w:p>
        </w:tc>
      </w:tr>
      <w:tr w14:paraId="41D9F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6EB6037C">
            <w:pPr>
              <w:spacing w:line="440" w:lineRule="exact"/>
              <w:jc w:val="center"/>
              <w:rPr>
                <w:rFonts w:hint="eastAsia" w:ascii="宋体" w:hAnsi="宋体" w:cs="宋体"/>
                <w:color w:val="000000" w:themeColor="text1"/>
                <w:szCs w:val="21"/>
                <w14:textFill>
                  <w14:solidFill>
                    <w14:schemeClr w14:val="tx1"/>
                  </w14:solidFill>
                </w14:textFill>
              </w:rPr>
            </w:pPr>
          </w:p>
        </w:tc>
        <w:tc>
          <w:tcPr>
            <w:tcW w:w="1086" w:type="dxa"/>
          </w:tcPr>
          <w:p w14:paraId="7FECE988">
            <w:pPr>
              <w:spacing w:line="440" w:lineRule="exact"/>
              <w:jc w:val="center"/>
              <w:rPr>
                <w:rFonts w:hint="eastAsia" w:ascii="宋体" w:hAnsi="宋体" w:cs="宋体"/>
                <w:color w:val="000000" w:themeColor="text1"/>
                <w:szCs w:val="21"/>
                <w14:textFill>
                  <w14:solidFill>
                    <w14:schemeClr w14:val="tx1"/>
                  </w14:solidFill>
                </w14:textFill>
              </w:rPr>
            </w:pPr>
          </w:p>
        </w:tc>
        <w:tc>
          <w:tcPr>
            <w:tcW w:w="761" w:type="dxa"/>
          </w:tcPr>
          <w:p w14:paraId="70E622AD">
            <w:pPr>
              <w:spacing w:line="440" w:lineRule="exact"/>
              <w:jc w:val="center"/>
              <w:rPr>
                <w:rFonts w:hint="eastAsia" w:ascii="宋体" w:hAnsi="宋体" w:cs="宋体"/>
                <w:color w:val="000000" w:themeColor="text1"/>
                <w:szCs w:val="21"/>
                <w14:textFill>
                  <w14:solidFill>
                    <w14:schemeClr w14:val="tx1"/>
                  </w14:solidFill>
                </w14:textFill>
              </w:rPr>
            </w:pPr>
          </w:p>
        </w:tc>
        <w:tc>
          <w:tcPr>
            <w:tcW w:w="990" w:type="dxa"/>
          </w:tcPr>
          <w:p w14:paraId="4FE5A077">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084943C0">
            <w:pPr>
              <w:spacing w:line="440" w:lineRule="exact"/>
              <w:jc w:val="center"/>
              <w:rPr>
                <w:rFonts w:hint="eastAsia" w:ascii="宋体" w:hAnsi="宋体" w:cs="宋体"/>
                <w:color w:val="000000" w:themeColor="text1"/>
                <w:szCs w:val="21"/>
                <w14:textFill>
                  <w14:solidFill>
                    <w14:schemeClr w14:val="tx1"/>
                  </w14:solidFill>
                </w14:textFill>
              </w:rPr>
            </w:pPr>
          </w:p>
        </w:tc>
        <w:tc>
          <w:tcPr>
            <w:tcW w:w="738" w:type="dxa"/>
          </w:tcPr>
          <w:p w14:paraId="7AA3E18A">
            <w:pPr>
              <w:spacing w:line="440" w:lineRule="exact"/>
              <w:jc w:val="center"/>
              <w:rPr>
                <w:rFonts w:hint="eastAsia" w:ascii="宋体" w:hAnsi="宋体" w:cs="宋体"/>
                <w:color w:val="000000" w:themeColor="text1"/>
                <w:szCs w:val="21"/>
                <w14:textFill>
                  <w14:solidFill>
                    <w14:schemeClr w14:val="tx1"/>
                  </w14:solidFill>
                </w14:textFill>
              </w:rPr>
            </w:pPr>
          </w:p>
        </w:tc>
        <w:tc>
          <w:tcPr>
            <w:tcW w:w="1212" w:type="dxa"/>
          </w:tcPr>
          <w:p w14:paraId="76778CB2">
            <w:pPr>
              <w:spacing w:line="440" w:lineRule="exact"/>
              <w:jc w:val="center"/>
              <w:rPr>
                <w:rFonts w:hint="eastAsia" w:ascii="宋体" w:hAnsi="宋体" w:cs="宋体"/>
                <w:color w:val="000000" w:themeColor="text1"/>
                <w:szCs w:val="21"/>
                <w14:textFill>
                  <w14:solidFill>
                    <w14:schemeClr w14:val="tx1"/>
                  </w14:solidFill>
                </w14:textFill>
              </w:rPr>
            </w:pPr>
          </w:p>
        </w:tc>
        <w:tc>
          <w:tcPr>
            <w:tcW w:w="874" w:type="dxa"/>
          </w:tcPr>
          <w:p w14:paraId="00CD6F9A">
            <w:pPr>
              <w:spacing w:line="440" w:lineRule="exact"/>
              <w:jc w:val="center"/>
              <w:rPr>
                <w:rFonts w:hint="eastAsia" w:ascii="宋体" w:hAnsi="宋体" w:cs="宋体"/>
                <w:color w:val="000000" w:themeColor="text1"/>
                <w:szCs w:val="21"/>
                <w14:textFill>
                  <w14:solidFill>
                    <w14:schemeClr w14:val="tx1"/>
                  </w14:solidFill>
                </w14:textFill>
              </w:rPr>
            </w:pPr>
          </w:p>
        </w:tc>
        <w:tc>
          <w:tcPr>
            <w:tcW w:w="1055" w:type="dxa"/>
          </w:tcPr>
          <w:p w14:paraId="0457F070">
            <w:pPr>
              <w:spacing w:line="440" w:lineRule="exact"/>
              <w:jc w:val="center"/>
              <w:rPr>
                <w:rFonts w:hint="eastAsia" w:ascii="宋体" w:hAnsi="宋体" w:cs="宋体"/>
                <w:color w:val="000000" w:themeColor="text1"/>
                <w:szCs w:val="21"/>
                <w14:textFill>
                  <w14:solidFill>
                    <w14:schemeClr w14:val="tx1"/>
                  </w14:solidFill>
                </w14:textFill>
              </w:rPr>
            </w:pPr>
          </w:p>
        </w:tc>
        <w:tc>
          <w:tcPr>
            <w:tcW w:w="691" w:type="dxa"/>
          </w:tcPr>
          <w:p w14:paraId="6F262696">
            <w:pPr>
              <w:spacing w:line="440" w:lineRule="exact"/>
              <w:jc w:val="center"/>
              <w:rPr>
                <w:rFonts w:hint="eastAsia" w:ascii="宋体" w:hAnsi="宋体" w:cs="宋体"/>
                <w:color w:val="000000" w:themeColor="text1"/>
                <w:szCs w:val="21"/>
                <w14:textFill>
                  <w14:solidFill>
                    <w14:schemeClr w14:val="tx1"/>
                  </w14:solidFill>
                </w14:textFill>
              </w:rPr>
            </w:pPr>
          </w:p>
        </w:tc>
      </w:tr>
      <w:tr w14:paraId="0DE36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6DB9088C">
            <w:pPr>
              <w:spacing w:line="440" w:lineRule="exact"/>
              <w:jc w:val="center"/>
              <w:rPr>
                <w:rFonts w:hint="eastAsia" w:ascii="宋体" w:hAnsi="宋体" w:cs="宋体"/>
                <w:color w:val="000000" w:themeColor="text1"/>
                <w:szCs w:val="21"/>
                <w14:textFill>
                  <w14:solidFill>
                    <w14:schemeClr w14:val="tx1"/>
                  </w14:solidFill>
                </w14:textFill>
              </w:rPr>
            </w:pPr>
          </w:p>
        </w:tc>
        <w:tc>
          <w:tcPr>
            <w:tcW w:w="1086" w:type="dxa"/>
          </w:tcPr>
          <w:p w14:paraId="7E4EDDDF">
            <w:pPr>
              <w:spacing w:line="440" w:lineRule="exact"/>
              <w:jc w:val="center"/>
              <w:rPr>
                <w:rFonts w:hint="eastAsia" w:ascii="宋体" w:hAnsi="宋体" w:cs="宋体"/>
                <w:color w:val="000000" w:themeColor="text1"/>
                <w:szCs w:val="21"/>
                <w14:textFill>
                  <w14:solidFill>
                    <w14:schemeClr w14:val="tx1"/>
                  </w14:solidFill>
                </w14:textFill>
              </w:rPr>
            </w:pPr>
          </w:p>
        </w:tc>
        <w:tc>
          <w:tcPr>
            <w:tcW w:w="761" w:type="dxa"/>
          </w:tcPr>
          <w:p w14:paraId="401844C2">
            <w:pPr>
              <w:spacing w:line="440" w:lineRule="exact"/>
              <w:jc w:val="center"/>
              <w:rPr>
                <w:rFonts w:hint="eastAsia" w:ascii="宋体" w:hAnsi="宋体" w:cs="宋体"/>
                <w:color w:val="000000" w:themeColor="text1"/>
                <w:szCs w:val="21"/>
                <w14:textFill>
                  <w14:solidFill>
                    <w14:schemeClr w14:val="tx1"/>
                  </w14:solidFill>
                </w14:textFill>
              </w:rPr>
            </w:pPr>
          </w:p>
        </w:tc>
        <w:tc>
          <w:tcPr>
            <w:tcW w:w="990" w:type="dxa"/>
          </w:tcPr>
          <w:p w14:paraId="749F7FD4">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129F01EA">
            <w:pPr>
              <w:spacing w:line="440" w:lineRule="exact"/>
              <w:jc w:val="center"/>
              <w:rPr>
                <w:rFonts w:hint="eastAsia" w:ascii="宋体" w:hAnsi="宋体" w:cs="宋体"/>
                <w:color w:val="000000" w:themeColor="text1"/>
                <w:szCs w:val="21"/>
                <w14:textFill>
                  <w14:solidFill>
                    <w14:schemeClr w14:val="tx1"/>
                  </w14:solidFill>
                </w14:textFill>
              </w:rPr>
            </w:pPr>
          </w:p>
        </w:tc>
        <w:tc>
          <w:tcPr>
            <w:tcW w:w="738" w:type="dxa"/>
          </w:tcPr>
          <w:p w14:paraId="12810825">
            <w:pPr>
              <w:spacing w:line="440" w:lineRule="exact"/>
              <w:jc w:val="center"/>
              <w:rPr>
                <w:rFonts w:hint="eastAsia" w:ascii="宋体" w:hAnsi="宋体" w:cs="宋体"/>
                <w:color w:val="000000" w:themeColor="text1"/>
                <w:szCs w:val="21"/>
                <w14:textFill>
                  <w14:solidFill>
                    <w14:schemeClr w14:val="tx1"/>
                  </w14:solidFill>
                </w14:textFill>
              </w:rPr>
            </w:pPr>
          </w:p>
        </w:tc>
        <w:tc>
          <w:tcPr>
            <w:tcW w:w="1212" w:type="dxa"/>
          </w:tcPr>
          <w:p w14:paraId="4C8D9314">
            <w:pPr>
              <w:spacing w:line="440" w:lineRule="exact"/>
              <w:jc w:val="center"/>
              <w:rPr>
                <w:rFonts w:hint="eastAsia" w:ascii="宋体" w:hAnsi="宋体" w:cs="宋体"/>
                <w:color w:val="000000" w:themeColor="text1"/>
                <w:szCs w:val="21"/>
                <w14:textFill>
                  <w14:solidFill>
                    <w14:schemeClr w14:val="tx1"/>
                  </w14:solidFill>
                </w14:textFill>
              </w:rPr>
            </w:pPr>
          </w:p>
        </w:tc>
        <w:tc>
          <w:tcPr>
            <w:tcW w:w="874" w:type="dxa"/>
          </w:tcPr>
          <w:p w14:paraId="42D39417">
            <w:pPr>
              <w:spacing w:line="440" w:lineRule="exact"/>
              <w:jc w:val="center"/>
              <w:rPr>
                <w:rFonts w:hint="eastAsia" w:ascii="宋体" w:hAnsi="宋体" w:cs="宋体"/>
                <w:color w:val="000000" w:themeColor="text1"/>
                <w:szCs w:val="21"/>
                <w14:textFill>
                  <w14:solidFill>
                    <w14:schemeClr w14:val="tx1"/>
                  </w14:solidFill>
                </w14:textFill>
              </w:rPr>
            </w:pPr>
          </w:p>
        </w:tc>
        <w:tc>
          <w:tcPr>
            <w:tcW w:w="1055" w:type="dxa"/>
          </w:tcPr>
          <w:p w14:paraId="521A7711">
            <w:pPr>
              <w:spacing w:line="440" w:lineRule="exact"/>
              <w:jc w:val="center"/>
              <w:rPr>
                <w:rFonts w:hint="eastAsia" w:ascii="宋体" w:hAnsi="宋体" w:cs="宋体"/>
                <w:color w:val="000000" w:themeColor="text1"/>
                <w:szCs w:val="21"/>
                <w14:textFill>
                  <w14:solidFill>
                    <w14:schemeClr w14:val="tx1"/>
                  </w14:solidFill>
                </w14:textFill>
              </w:rPr>
            </w:pPr>
          </w:p>
        </w:tc>
        <w:tc>
          <w:tcPr>
            <w:tcW w:w="691" w:type="dxa"/>
          </w:tcPr>
          <w:p w14:paraId="4E8834A6">
            <w:pPr>
              <w:spacing w:line="440" w:lineRule="exact"/>
              <w:jc w:val="center"/>
              <w:rPr>
                <w:rFonts w:hint="eastAsia" w:ascii="宋体" w:hAnsi="宋体" w:cs="宋体"/>
                <w:color w:val="000000" w:themeColor="text1"/>
                <w:szCs w:val="21"/>
                <w14:textFill>
                  <w14:solidFill>
                    <w14:schemeClr w14:val="tx1"/>
                  </w14:solidFill>
                </w14:textFill>
              </w:rPr>
            </w:pPr>
          </w:p>
        </w:tc>
      </w:tr>
      <w:tr w14:paraId="0AFF7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5821ADD9">
            <w:pPr>
              <w:spacing w:line="440" w:lineRule="exact"/>
              <w:jc w:val="center"/>
              <w:rPr>
                <w:rFonts w:hint="eastAsia" w:ascii="宋体" w:hAnsi="宋体" w:cs="宋体"/>
                <w:color w:val="000000" w:themeColor="text1"/>
                <w:szCs w:val="21"/>
                <w14:textFill>
                  <w14:solidFill>
                    <w14:schemeClr w14:val="tx1"/>
                  </w14:solidFill>
                </w14:textFill>
              </w:rPr>
            </w:pPr>
          </w:p>
        </w:tc>
        <w:tc>
          <w:tcPr>
            <w:tcW w:w="1086" w:type="dxa"/>
          </w:tcPr>
          <w:p w14:paraId="75979988">
            <w:pPr>
              <w:spacing w:line="440" w:lineRule="exact"/>
              <w:jc w:val="center"/>
              <w:rPr>
                <w:rFonts w:hint="eastAsia" w:ascii="宋体" w:hAnsi="宋体" w:cs="宋体"/>
                <w:color w:val="000000" w:themeColor="text1"/>
                <w:szCs w:val="21"/>
                <w14:textFill>
                  <w14:solidFill>
                    <w14:schemeClr w14:val="tx1"/>
                  </w14:solidFill>
                </w14:textFill>
              </w:rPr>
            </w:pPr>
          </w:p>
        </w:tc>
        <w:tc>
          <w:tcPr>
            <w:tcW w:w="761" w:type="dxa"/>
          </w:tcPr>
          <w:p w14:paraId="77154713">
            <w:pPr>
              <w:spacing w:line="440" w:lineRule="exact"/>
              <w:jc w:val="center"/>
              <w:rPr>
                <w:rFonts w:hint="eastAsia" w:ascii="宋体" w:hAnsi="宋体" w:cs="宋体"/>
                <w:color w:val="000000" w:themeColor="text1"/>
                <w:szCs w:val="21"/>
                <w14:textFill>
                  <w14:solidFill>
                    <w14:schemeClr w14:val="tx1"/>
                  </w14:solidFill>
                </w14:textFill>
              </w:rPr>
            </w:pPr>
          </w:p>
        </w:tc>
        <w:tc>
          <w:tcPr>
            <w:tcW w:w="990" w:type="dxa"/>
          </w:tcPr>
          <w:p w14:paraId="483061DE">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49FFFA36">
            <w:pPr>
              <w:spacing w:line="440" w:lineRule="exact"/>
              <w:jc w:val="center"/>
              <w:rPr>
                <w:rFonts w:hint="eastAsia" w:ascii="宋体" w:hAnsi="宋体" w:cs="宋体"/>
                <w:color w:val="000000" w:themeColor="text1"/>
                <w:szCs w:val="21"/>
                <w14:textFill>
                  <w14:solidFill>
                    <w14:schemeClr w14:val="tx1"/>
                  </w14:solidFill>
                </w14:textFill>
              </w:rPr>
            </w:pPr>
          </w:p>
        </w:tc>
        <w:tc>
          <w:tcPr>
            <w:tcW w:w="738" w:type="dxa"/>
          </w:tcPr>
          <w:p w14:paraId="6EBAA709">
            <w:pPr>
              <w:spacing w:line="440" w:lineRule="exact"/>
              <w:jc w:val="center"/>
              <w:rPr>
                <w:rFonts w:hint="eastAsia" w:ascii="宋体" w:hAnsi="宋体" w:cs="宋体"/>
                <w:color w:val="000000" w:themeColor="text1"/>
                <w:szCs w:val="21"/>
                <w14:textFill>
                  <w14:solidFill>
                    <w14:schemeClr w14:val="tx1"/>
                  </w14:solidFill>
                </w14:textFill>
              </w:rPr>
            </w:pPr>
          </w:p>
        </w:tc>
        <w:tc>
          <w:tcPr>
            <w:tcW w:w="1212" w:type="dxa"/>
          </w:tcPr>
          <w:p w14:paraId="73CB2399">
            <w:pPr>
              <w:spacing w:line="440" w:lineRule="exact"/>
              <w:jc w:val="center"/>
              <w:rPr>
                <w:rFonts w:hint="eastAsia" w:ascii="宋体" w:hAnsi="宋体" w:cs="宋体"/>
                <w:color w:val="000000" w:themeColor="text1"/>
                <w:szCs w:val="21"/>
                <w14:textFill>
                  <w14:solidFill>
                    <w14:schemeClr w14:val="tx1"/>
                  </w14:solidFill>
                </w14:textFill>
              </w:rPr>
            </w:pPr>
          </w:p>
        </w:tc>
        <w:tc>
          <w:tcPr>
            <w:tcW w:w="874" w:type="dxa"/>
          </w:tcPr>
          <w:p w14:paraId="1DD20475">
            <w:pPr>
              <w:spacing w:line="440" w:lineRule="exact"/>
              <w:jc w:val="center"/>
              <w:rPr>
                <w:rFonts w:hint="eastAsia" w:ascii="宋体" w:hAnsi="宋体" w:cs="宋体"/>
                <w:color w:val="000000" w:themeColor="text1"/>
                <w:szCs w:val="21"/>
                <w14:textFill>
                  <w14:solidFill>
                    <w14:schemeClr w14:val="tx1"/>
                  </w14:solidFill>
                </w14:textFill>
              </w:rPr>
            </w:pPr>
          </w:p>
        </w:tc>
        <w:tc>
          <w:tcPr>
            <w:tcW w:w="1055" w:type="dxa"/>
          </w:tcPr>
          <w:p w14:paraId="4BB874DD">
            <w:pPr>
              <w:spacing w:line="440" w:lineRule="exact"/>
              <w:jc w:val="center"/>
              <w:rPr>
                <w:rFonts w:hint="eastAsia" w:ascii="宋体" w:hAnsi="宋体" w:cs="宋体"/>
                <w:color w:val="000000" w:themeColor="text1"/>
                <w:szCs w:val="21"/>
                <w14:textFill>
                  <w14:solidFill>
                    <w14:schemeClr w14:val="tx1"/>
                  </w14:solidFill>
                </w14:textFill>
              </w:rPr>
            </w:pPr>
          </w:p>
        </w:tc>
        <w:tc>
          <w:tcPr>
            <w:tcW w:w="691" w:type="dxa"/>
          </w:tcPr>
          <w:p w14:paraId="736705C9">
            <w:pPr>
              <w:spacing w:line="440" w:lineRule="exact"/>
              <w:jc w:val="center"/>
              <w:rPr>
                <w:rFonts w:hint="eastAsia" w:ascii="宋体" w:hAnsi="宋体" w:cs="宋体"/>
                <w:color w:val="000000" w:themeColor="text1"/>
                <w:szCs w:val="21"/>
                <w14:textFill>
                  <w14:solidFill>
                    <w14:schemeClr w14:val="tx1"/>
                  </w14:solidFill>
                </w14:textFill>
              </w:rPr>
            </w:pPr>
          </w:p>
        </w:tc>
      </w:tr>
      <w:tr w14:paraId="754F7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22868190">
            <w:pPr>
              <w:spacing w:line="440" w:lineRule="exact"/>
              <w:jc w:val="center"/>
              <w:rPr>
                <w:rFonts w:hint="eastAsia" w:ascii="宋体" w:hAnsi="宋体" w:cs="宋体"/>
                <w:color w:val="000000" w:themeColor="text1"/>
                <w:szCs w:val="21"/>
                <w14:textFill>
                  <w14:solidFill>
                    <w14:schemeClr w14:val="tx1"/>
                  </w14:solidFill>
                </w14:textFill>
              </w:rPr>
            </w:pPr>
          </w:p>
        </w:tc>
        <w:tc>
          <w:tcPr>
            <w:tcW w:w="1086" w:type="dxa"/>
          </w:tcPr>
          <w:p w14:paraId="055EC0DA">
            <w:pPr>
              <w:spacing w:line="440" w:lineRule="exact"/>
              <w:jc w:val="center"/>
              <w:rPr>
                <w:rFonts w:hint="eastAsia" w:ascii="宋体" w:hAnsi="宋体" w:cs="宋体"/>
                <w:color w:val="000000" w:themeColor="text1"/>
                <w:szCs w:val="21"/>
                <w14:textFill>
                  <w14:solidFill>
                    <w14:schemeClr w14:val="tx1"/>
                  </w14:solidFill>
                </w14:textFill>
              </w:rPr>
            </w:pPr>
          </w:p>
        </w:tc>
        <w:tc>
          <w:tcPr>
            <w:tcW w:w="761" w:type="dxa"/>
          </w:tcPr>
          <w:p w14:paraId="58D37EA0">
            <w:pPr>
              <w:spacing w:line="440" w:lineRule="exact"/>
              <w:jc w:val="center"/>
              <w:rPr>
                <w:rFonts w:hint="eastAsia" w:ascii="宋体" w:hAnsi="宋体" w:cs="宋体"/>
                <w:color w:val="000000" w:themeColor="text1"/>
                <w:szCs w:val="21"/>
                <w14:textFill>
                  <w14:solidFill>
                    <w14:schemeClr w14:val="tx1"/>
                  </w14:solidFill>
                </w14:textFill>
              </w:rPr>
            </w:pPr>
          </w:p>
        </w:tc>
        <w:tc>
          <w:tcPr>
            <w:tcW w:w="990" w:type="dxa"/>
          </w:tcPr>
          <w:p w14:paraId="5AAF7510">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31DF8E77">
            <w:pPr>
              <w:spacing w:line="440" w:lineRule="exact"/>
              <w:jc w:val="center"/>
              <w:rPr>
                <w:rFonts w:hint="eastAsia" w:ascii="宋体" w:hAnsi="宋体" w:cs="宋体"/>
                <w:color w:val="000000" w:themeColor="text1"/>
                <w:szCs w:val="21"/>
                <w14:textFill>
                  <w14:solidFill>
                    <w14:schemeClr w14:val="tx1"/>
                  </w14:solidFill>
                </w14:textFill>
              </w:rPr>
            </w:pPr>
          </w:p>
        </w:tc>
        <w:tc>
          <w:tcPr>
            <w:tcW w:w="738" w:type="dxa"/>
          </w:tcPr>
          <w:p w14:paraId="106F113D">
            <w:pPr>
              <w:spacing w:line="440" w:lineRule="exact"/>
              <w:jc w:val="center"/>
              <w:rPr>
                <w:rFonts w:hint="eastAsia" w:ascii="宋体" w:hAnsi="宋体" w:cs="宋体"/>
                <w:color w:val="000000" w:themeColor="text1"/>
                <w:szCs w:val="21"/>
                <w14:textFill>
                  <w14:solidFill>
                    <w14:schemeClr w14:val="tx1"/>
                  </w14:solidFill>
                </w14:textFill>
              </w:rPr>
            </w:pPr>
          </w:p>
        </w:tc>
        <w:tc>
          <w:tcPr>
            <w:tcW w:w="1212" w:type="dxa"/>
          </w:tcPr>
          <w:p w14:paraId="01BDA0EB">
            <w:pPr>
              <w:spacing w:line="440" w:lineRule="exact"/>
              <w:jc w:val="center"/>
              <w:rPr>
                <w:rFonts w:hint="eastAsia" w:ascii="宋体" w:hAnsi="宋体" w:cs="宋体"/>
                <w:color w:val="000000" w:themeColor="text1"/>
                <w:szCs w:val="21"/>
                <w14:textFill>
                  <w14:solidFill>
                    <w14:schemeClr w14:val="tx1"/>
                  </w14:solidFill>
                </w14:textFill>
              </w:rPr>
            </w:pPr>
          </w:p>
        </w:tc>
        <w:tc>
          <w:tcPr>
            <w:tcW w:w="874" w:type="dxa"/>
          </w:tcPr>
          <w:p w14:paraId="1E6F4194">
            <w:pPr>
              <w:spacing w:line="440" w:lineRule="exact"/>
              <w:jc w:val="center"/>
              <w:rPr>
                <w:rFonts w:hint="eastAsia" w:ascii="宋体" w:hAnsi="宋体" w:cs="宋体"/>
                <w:color w:val="000000" w:themeColor="text1"/>
                <w:szCs w:val="21"/>
                <w14:textFill>
                  <w14:solidFill>
                    <w14:schemeClr w14:val="tx1"/>
                  </w14:solidFill>
                </w14:textFill>
              </w:rPr>
            </w:pPr>
          </w:p>
        </w:tc>
        <w:tc>
          <w:tcPr>
            <w:tcW w:w="1055" w:type="dxa"/>
          </w:tcPr>
          <w:p w14:paraId="4BCD96D2">
            <w:pPr>
              <w:spacing w:line="440" w:lineRule="exact"/>
              <w:jc w:val="center"/>
              <w:rPr>
                <w:rFonts w:hint="eastAsia" w:ascii="宋体" w:hAnsi="宋体" w:cs="宋体"/>
                <w:color w:val="000000" w:themeColor="text1"/>
                <w:szCs w:val="21"/>
                <w14:textFill>
                  <w14:solidFill>
                    <w14:schemeClr w14:val="tx1"/>
                  </w14:solidFill>
                </w14:textFill>
              </w:rPr>
            </w:pPr>
          </w:p>
        </w:tc>
        <w:tc>
          <w:tcPr>
            <w:tcW w:w="691" w:type="dxa"/>
          </w:tcPr>
          <w:p w14:paraId="78E12BC6">
            <w:pPr>
              <w:spacing w:line="440" w:lineRule="exact"/>
              <w:jc w:val="center"/>
              <w:rPr>
                <w:rFonts w:hint="eastAsia" w:ascii="宋体" w:hAnsi="宋体" w:cs="宋体"/>
                <w:color w:val="000000" w:themeColor="text1"/>
                <w:szCs w:val="21"/>
                <w14:textFill>
                  <w14:solidFill>
                    <w14:schemeClr w14:val="tx1"/>
                  </w14:solidFill>
                </w14:textFill>
              </w:rPr>
            </w:pPr>
          </w:p>
        </w:tc>
      </w:tr>
      <w:tr w14:paraId="0F71E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6C522565">
            <w:pPr>
              <w:spacing w:line="440" w:lineRule="exact"/>
              <w:jc w:val="center"/>
              <w:rPr>
                <w:rFonts w:hint="eastAsia" w:ascii="宋体" w:hAnsi="宋体" w:cs="宋体"/>
                <w:color w:val="000000" w:themeColor="text1"/>
                <w:szCs w:val="21"/>
                <w14:textFill>
                  <w14:solidFill>
                    <w14:schemeClr w14:val="tx1"/>
                  </w14:solidFill>
                </w14:textFill>
              </w:rPr>
            </w:pPr>
          </w:p>
        </w:tc>
        <w:tc>
          <w:tcPr>
            <w:tcW w:w="1086" w:type="dxa"/>
          </w:tcPr>
          <w:p w14:paraId="1F4E34A3">
            <w:pPr>
              <w:spacing w:line="440" w:lineRule="exact"/>
              <w:jc w:val="center"/>
              <w:rPr>
                <w:rFonts w:hint="eastAsia" w:ascii="宋体" w:hAnsi="宋体" w:cs="宋体"/>
                <w:color w:val="000000" w:themeColor="text1"/>
                <w:szCs w:val="21"/>
                <w14:textFill>
                  <w14:solidFill>
                    <w14:schemeClr w14:val="tx1"/>
                  </w14:solidFill>
                </w14:textFill>
              </w:rPr>
            </w:pPr>
          </w:p>
        </w:tc>
        <w:tc>
          <w:tcPr>
            <w:tcW w:w="761" w:type="dxa"/>
          </w:tcPr>
          <w:p w14:paraId="48FF93A2">
            <w:pPr>
              <w:spacing w:line="440" w:lineRule="exact"/>
              <w:jc w:val="center"/>
              <w:rPr>
                <w:rFonts w:hint="eastAsia" w:ascii="宋体" w:hAnsi="宋体" w:cs="宋体"/>
                <w:color w:val="000000" w:themeColor="text1"/>
                <w:szCs w:val="21"/>
                <w14:textFill>
                  <w14:solidFill>
                    <w14:schemeClr w14:val="tx1"/>
                  </w14:solidFill>
                </w14:textFill>
              </w:rPr>
            </w:pPr>
          </w:p>
        </w:tc>
        <w:tc>
          <w:tcPr>
            <w:tcW w:w="990" w:type="dxa"/>
          </w:tcPr>
          <w:p w14:paraId="62D7B38E">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7C87AFD6">
            <w:pPr>
              <w:spacing w:line="440" w:lineRule="exact"/>
              <w:jc w:val="center"/>
              <w:rPr>
                <w:rFonts w:hint="eastAsia" w:ascii="宋体" w:hAnsi="宋体" w:cs="宋体"/>
                <w:color w:val="000000" w:themeColor="text1"/>
                <w:szCs w:val="21"/>
                <w14:textFill>
                  <w14:solidFill>
                    <w14:schemeClr w14:val="tx1"/>
                  </w14:solidFill>
                </w14:textFill>
              </w:rPr>
            </w:pPr>
          </w:p>
        </w:tc>
        <w:tc>
          <w:tcPr>
            <w:tcW w:w="738" w:type="dxa"/>
          </w:tcPr>
          <w:p w14:paraId="3D62C962">
            <w:pPr>
              <w:spacing w:line="440" w:lineRule="exact"/>
              <w:jc w:val="center"/>
              <w:rPr>
                <w:rFonts w:hint="eastAsia" w:ascii="宋体" w:hAnsi="宋体" w:cs="宋体"/>
                <w:color w:val="000000" w:themeColor="text1"/>
                <w:szCs w:val="21"/>
                <w14:textFill>
                  <w14:solidFill>
                    <w14:schemeClr w14:val="tx1"/>
                  </w14:solidFill>
                </w14:textFill>
              </w:rPr>
            </w:pPr>
          </w:p>
        </w:tc>
        <w:tc>
          <w:tcPr>
            <w:tcW w:w="1212" w:type="dxa"/>
          </w:tcPr>
          <w:p w14:paraId="5E48EEA1">
            <w:pPr>
              <w:spacing w:line="440" w:lineRule="exact"/>
              <w:jc w:val="center"/>
              <w:rPr>
                <w:rFonts w:hint="eastAsia" w:ascii="宋体" w:hAnsi="宋体" w:cs="宋体"/>
                <w:color w:val="000000" w:themeColor="text1"/>
                <w:szCs w:val="21"/>
                <w14:textFill>
                  <w14:solidFill>
                    <w14:schemeClr w14:val="tx1"/>
                  </w14:solidFill>
                </w14:textFill>
              </w:rPr>
            </w:pPr>
          </w:p>
        </w:tc>
        <w:tc>
          <w:tcPr>
            <w:tcW w:w="874" w:type="dxa"/>
          </w:tcPr>
          <w:p w14:paraId="4AB0A160">
            <w:pPr>
              <w:spacing w:line="440" w:lineRule="exact"/>
              <w:jc w:val="center"/>
              <w:rPr>
                <w:rFonts w:hint="eastAsia" w:ascii="宋体" w:hAnsi="宋体" w:cs="宋体"/>
                <w:color w:val="000000" w:themeColor="text1"/>
                <w:szCs w:val="21"/>
                <w14:textFill>
                  <w14:solidFill>
                    <w14:schemeClr w14:val="tx1"/>
                  </w14:solidFill>
                </w14:textFill>
              </w:rPr>
            </w:pPr>
          </w:p>
        </w:tc>
        <w:tc>
          <w:tcPr>
            <w:tcW w:w="1055" w:type="dxa"/>
          </w:tcPr>
          <w:p w14:paraId="75EFE24B">
            <w:pPr>
              <w:spacing w:line="440" w:lineRule="exact"/>
              <w:jc w:val="center"/>
              <w:rPr>
                <w:rFonts w:hint="eastAsia" w:ascii="宋体" w:hAnsi="宋体" w:cs="宋体"/>
                <w:color w:val="000000" w:themeColor="text1"/>
                <w:szCs w:val="21"/>
                <w14:textFill>
                  <w14:solidFill>
                    <w14:schemeClr w14:val="tx1"/>
                  </w14:solidFill>
                </w14:textFill>
              </w:rPr>
            </w:pPr>
          </w:p>
        </w:tc>
        <w:tc>
          <w:tcPr>
            <w:tcW w:w="691" w:type="dxa"/>
          </w:tcPr>
          <w:p w14:paraId="1342F65A">
            <w:pPr>
              <w:spacing w:line="440" w:lineRule="exact"/>
              <w:jc w:val="center"/>
              <w:rPr>
                <w:rFonts w:hint="eastAsia" w:ascii="宋体" w:hAnsi="宋体" w:cs="宋体"/>
                <w:color w:val="000000" w:themeColor="text1"/>
                <w:szCs w:val="21"/>
                <w14:textFill>
                  <w14:solidFill>
                    <w14:schemeClr w14:val="tx1"/>
                  </w14:solidFill>
                </w14:textFill>
              </w:rPr>
            </w:pPr>
          </w:p>
        </w:tc>
      </w:tr>
      <w:tr w14:paraId="4EAD4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10B40155">
            <w:pPr>
              <w:spacing w:line="440" w:lineRule="exact"/>
              <w:jc w:val="center"/>
              <w:rPr>
                <w:rFonts w:hint="eastAsia" w:ascii="宋体" w:hAnsi="宋体" w:cs="宋体"/>
                <w:color w:val="000000" w:themeColor="text1"/>
                <w:szCs w:val="21"/>
                <w14:textFill>
                  <w14:solidFill>
                    <w14:schemeClr w14:val="tx1"/>
                  </w14:solidFill>
                </w14:textFill>
              </w:rPr>
            </w:pPr>
          </w:p>
        </w:tc>
        <w:tc>
          <w:tcPr>
            <w:tcW w:w="1086" w:type="dxa"/>
          </w:tcPr>
          <w:p w14:paraId="30D43BE9">
            <w:pPr>
              <w:spacing w:line="440" w:lineRule="exact"/>
              <w:jc w:val="center"/>
              <w:rPr>
                <w:rFonts w:hint="eastAsia" w:ascii="宋体" w:hAnsi="宋体" w:cs="宋体"/>
                <w:color w:val="000000" w:themeColor="text1"/>
                <w:szCs w:val="21"/>
                <w14:textFill>
                  <w14:solidFill>
                    <w14:schemeClr w14:val="tx1"/>
                  </w14:solidFill>
                </w14:textFill>
              </w:rPr>
            </w:pPr>
          </w:p>
        </w:tc>
        <w:tc>
          <w:tcPr>
            <w:tcW w:w="761" w:type="dxa"/>
          </w:tcPr>
          <w:p w14:paraId="7AC98657">
            <w:pPr>
              <w:spacing w:line="440" w:lineRule="exact"/>
              <w:jc w:val="center"/>
              <w:rPr>
                <w:rFonts w:hint="eastAsia" w:ascii="宋体" w:hAnsi="宋体" w:cs="宋体"/>
                <w:color w:val="000000" w:themeColor="text1"/>
                <w:szCs w:val="21"/>
                <w14:textFill>
                  <w14:solidFill>
                    <w14:schemeClr w14:val="tx1"/>
                  </w14:solidFill>
                </w14:textFill>
              </w:rPr>
            </w:pPr>
          </w:p>
        </w:tc>
        <w:tc>
          <w:tcPr>
            <w:tcW w:w="990" w:type="dxa"/>
          </w:tcPr>
          <w:p w14:paraId="20EC2D7B">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203D5662">
            <w:pPr>
              <w:spacing w:line="440" w:lineRule="exact"/>
              <w:jc w:val="center"/>
              <w:rPr>
                <w:rFonts w:hint="eastAsia" w:ascii="宋体" w:hAnsi="宋体" w:cs="宋体"/>
                <w:color w:val="000000" w:themeColor="text1"/>
                <w:szCs w:val="21"/>
                <w14:textFill>
                  <w14:solidFill>
                    <w14:schemeClr w14:val="tx1"/>
                  </w14:solidFill>
                </w14:textFill>
              </w:rPr>
            </w:pPr>
          </w:p>
        </w:tc>
        <w:tc>
          <w:tcPr>
            <w:tcW w:w="738" w:type="dxa"/>
          </w:tcPr>
          <w:p w14:paraId="4673DD7E">
            <w:pPr>
              <w:spacing w:line="440" w:lineRule="exact"/>
              <w:jc w:val="center"/>
              <w:rPr>
                <w:rFonts w:hint="eastAsia" w:ascii="宋体" w:hAnsi="宋体" w:cs="宋体"/>
                <w:color w:val="000000" w:themeColor="text1"/>
                <w:szCs w:val="21"/>
                <w14:textFill>
                  <w14:solidFill>
                    <w14:schemeClr w14:val="tx1"/>
                  </w14:solidFill>
                </w14:textFill>
              </w:rPr>
            </w:pPr>
          </w:p>
        </w:tc>
        <w:tc>
          <w:tcPr>
            <w:tcW w:w="1212" w:type="dxa"/>
          </w:tcPr>
          <w:p w14:paraId="68BB4750">
            <w:pPr>
              <w:spacing w:line="440" w:lineRule="exact"/>
              <w:jc w:val="center"/>
              <w:rPr>
                <w:rFonts w:hint="eastAsia" w:ascii="宋体" w:hAnsi="宋体" w:cs="宋体"/>
                <w:color w:val="000000" w:themeColor="text1"/>
                <w:szCs w:val="21"/>
                <w14:textFill>
                  <w14:solidFill>
                    <w14:schemeClr w14:val="tx1"/>
                  </w14:solidFill>
                </w14:textFill>
              </w:rPr>
            </w:pPr>
          </w:p>
        </w:tc>
        <w:tc>
          <w:tcPr>
            <w:tcW w:w="874" w:type="dxa"/>
          </w:tcPr>
          <w:p w14:paraId="514802A7">
            <w:pPr>
              <w:spacing w:line="440" w:lineRule="exact"/>
              <w:jc w:val="center"/>
              <w:rPr>
                <w:rFonts w:hint="eastAsia" w:ascii="宋体" w:hAnsi="宋体" w:cs="宋体"/>
                <w:color w:val="000000" w:themeColor="text1"/>
                <w:szCs w:val="21"/>
                <w14:textFill>
                  <w14:solidFill>
                    <w14:schemeClr w14:val="tx1"/>
                  </w14:solidFill>
                </w14:textFill>
              </w:rPr>
            </w:pPr>
          </w:p>
        </w:tc>
        <w:tc>
          <w:tcPr>
            <w:tcW w:w="1055" w:type="dxa"/>
          </w:tcPr>
          <w:p w14:paraId="38938D43">
            <w:pPr>
              <w:spacing w:line="440" w:lineRule="exact"/>
              <w:jc w:val="center"/>
              <w:rPr>
                <w:rFonts w:hint="eastAsia" w:ascii="宋体" w:hAnsi="宋体" w:cs="宋体"/>
                <w:color w:val="000000" w:themeColor="text1"/>
                <w:szCs w:val="21"/>
                <w14:textFill>
                  <w14:solidFill>
                    <w14:schemeClr w14:val="tx1"/>
                  </w14:solidFill>
                </w14:textFill>
              </w:rPr>
            </w:pPr>
          </w:p>
        </w:tc>
        <w:tc>
          <w:tcPr>
            <w:tcW w:w="691" w:type="dxa"/>
          </w:tcPr>
          <w:p w14:paraId="15262248">
            <w:pPr>
              <w:spacing w:line="440" w:lineRule="exact"/>
              <w:jc w:val="center"/>
              <w:rPr>
                <w:rFonts w:hint="eastAsia" w:ascii="宋体" w:hAnsi="宋体" w:cs="宋体"/>
                <w:color w:val="000000" w:themeColor="text1"/>
                <w:szCs w:val="21"/>
                <w14:textFill>
                  <w14:solidFill>
                    <w14:schemeClr w14:val="tx1"/>
                  </w14:solidFill>
                </w14:textFill>
              </w:rPr>
            </w:pPr>
          </w:p>
        </w:tc>
      </w:tr>
      <w:tr w14:paraId="31724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4D8CCBCA">
            <w:pPr>
              <w:spacing w:line="440" w:lineRule="exact"/>
              <w:jc w:val="center"/>
              <w:rPr>
                <w:rFonts w:hint="eastAsia" w:ascii="宋体" w:hAnsi="宋体" w:cs="宋体"/>
                <w:color w:val="000000" w:themeColor="text1"/>
                <w:szCs w:val="21"/>
                <w14:textFill>
                  <w14:solidFill>
                    <w14:schemeClr w14:val="tx1"/>
                  </w14:solidFill>
                </w14:textFill>
              </w:rPr>
            </w:pPr>
          </w:p>
        </w:tc>
        <w:tc>
          <w:tcPr>
            <w:tcW w:w="1086" w:type="dxa"/>
          </w:tcPr>
          <w:p w14:paraId="2D3B9784">
            <w:pPr>
              <w:spacing w:line="440" w:lineRule="exact"/>
              <w:jc w:val="center"/>
              <w:rPr>
                <w:rFonts w:hint="eastAsia" w:ascii="宋体" w:hAnsi="宋体" w:cs="宋体"/>
                <w:color w:val="000000" w:themeColor="text1"/>
                <w:szCs w:val="21"/>
                <w14:textFill>
                  <w14:solidFill>
                    <w14:schemeClr w14:val="tx1"/>
                  </w14:solidFill>
                </w14:textFill>
              </w:rPr>
            </w:pPr>
          </w:p>
        </w:tc>
        <w:tc>
          <w:tcPr>
            <w:tcW w:w="761" w:type="dxa"/>
          </w:tcPr>
          <w:p w14:paraId="35E40E7E">
            <w:pPr>
              <w:spacing w:line="440" w:lineRule="exact"/>
              <w:jc w:val="center"/>
              <w:rPr>
                <w:rFonts w:hint="eastAsia" w:ascii="宋体" w:hAnsi="宋体" w:cs="宋体"/>
                <w:color w:val="000000" w:themeColor="text1"/>
                <w:szCs w:val="21"/>
                <w14:textFill>
                  <w14:solidFill>
                    <w14:schemeClr w14:val="tx1"/>
                  </w14:solidFill>
                </w14:textFill>
              </w:rPr>
            </w:pPr>
          </w:p>
        </w:tc>
        <w:tc>
          <w:tcPr>
            <w:tcW w:w="990" w:type="dxa"/>
          </w:tcPr>
          <w:p w14:paraId="13FE30A0">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1C980C67">
            <w:pPr>
              <w:spacing w:line="440" w:lineRule="exact"/>
              <w:jc w:val="center"/>
              <w:rPr>
                <w:rFonts w:hint="eastAsia" w:ascii="宋体" w:hAnsi="宋体" w:cs="宋体"/>
                <w:color w:val="000000" w:themeColor="text1"/>
                <w:szCs w:val="21"/>
                <w14:textFill>
                  <w14:solidFill>
                    <w14:schemeClr w14:val="tx1"/>
                  </w14:solidFill>
                </w14:textFill>
              </w:rPr>
            </w:pPr>
          </w:p>
        </w:tc>
        <w:tc>
          <w:tcPr>
            <w:tcW w:w="738" w:type="dxa"/>
          </w:tcPr>
          <w:p w14:paraId="50FE687A">
            <w:pPr>
              <w:spacing w:line="440" w:lineRule="exact"/>
              <w:jc w:val="center"/>
              <w:rPr>
                <w:rFonts w:hint="eastAsia" w:ascii="宋体" w:hAnsi="宋体" w:cs="宋体"/>
                <w:color w:val="000000" w:themeColor="text1"/>
                <w:szCs w:val="21"/>
                <w14:textFill>
                  <w14:solidFill>
                    <w14:schemeClr w14:val="tx1"/>
                  </w14:solidFill>
                </w14:textFill>
              </w:rPr>
            </w:pPr>
          </w:p>
        </w:tc>
        <w:tc>
          <w:tcPr>
            <w:tcW w:w="1212" w:type="dxa"/>
          </w:tcPr>
          <w:p w14:paraId="021EBC3D">
            <w:pPr>
              <w:spacing w:line="440" w:lineRule="exact"/>
              <w:jc w:val="center"/>
              <w:rPr>
                <w:rFonts w:hint="eastAsia" w:ascii="宋体" w:hAnsi="宋体" w:cs="宋体"/>
                <w:color w:val="000000" w:themeColor="text1"/>
                <w:szCs w:val="21"/>
                <w14:textFill>
                  <w14:solidFill>
                    <w14:schemeClr w14:val="tx1"/>
                  </w14:solidFill>
                </w14:textFill>
              </w:rPr>
            </w:pPr>
          </w:p>
        </w:tc>
        <w:tc>
          <w:tcPr>
            <w:tcW w:w="874" w:type="dxa"/>
          </w:tcPr>
          <w:p w14:paraId="1F2316BA">
            <w:pPr>
              <w:spacing w:line="440" w:lineRule="exact"/>
              <w:jc w:val="center"/>
              <w:rPr>
                <w:rFonts w:hint="eastAsia" w:ascii="宋体" w:hAnsi="宋体" w:cs="宋体"/>
                <w:color w:val="000000" w:themeColor="text1"/>
                <w:szCs w:val="21"/>
                <w14:textFill>
                  <w14:solidFill>
                    <w14:schemeClr w14:val="tx1"/>
                  </w14:solidFill>
                </w14:textFill>
              </w:rPr>
            </w:pPr>
          </w:p>
        </w:tc>
        <w:tc>
          <w:tcPr>
            <w:tcW w:w="1055" w:type="dxa"/>
          </w:tcPr>
          <w:p w14:paraId="62AC4554">
            <w:pPr>
              <w:spacing w:line="440" w:lineRule="exact"/>
              <w:jc w:val="center"/>
              <w:rPr>
                <w:rFonts w:hint="eastAsia" w:ascii="宋体" w:hAnsi="宋体" w:cs="宋体"/>
                <w:color w:val="000000" w:themeColor="text1"/>
                <w:szCs w:val="21"/>
                <w14:textFill>
                  <w14:solidFill>
                    <w14:schemeClr w14:val="tx1"/>
                  </w14:solidFill>
                </w14:textFill>
              </w:rPr>
            </w:pPr>
          </w:p>
        </w:tc>
        <w:tc>
          <w:tcPr>
            <w:tcW w:w="691" w:type="dxa"/>
          </w:tcPr>
          <w:p w14:paraId="7EB18B5B">
            <w:pPr>
              <w:spacing w:line="440" w:lineRule="exact"/>
              <w:jc w:val="center"/>
              <w:rPr>
                <w:rFonts w:hint="eastAsia" w:ascii="宋体" w:hAnsi="宋体" w:cs="宋体"/>
                <w:color w:val="000000" w:themeColor="text1"/>
                <w:szCs w:val="21"/>
                <w14:textFill>
                  <w14:solidFill>
                    <w14:schemeClr w14:val="tx1"/>
                  </w14:solidFill>
                </w14:textFill>
              </w:rPr>
            </w:pPr>
          </w:p>
        </w:tc>
      </w:tr>
      <w:tr w14:paraId="7205C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70A910E5">
            <w:pPr>
              <w:spacing w:line="440" w:lineRule="exact"/>
              <w:jc w:val="center"/>
              <w:rPr>
                <w:rFonts w:hint="eastAsia" w:ascii="宋体" w:hAnsi="宋体" w:cs="宋体"/>
                <w:color w:val="000000" w:themeColor="text1"/>
                <w:szCs w:val="21"/>
                <w14:textFill>
                  <w14:solidFill>
                    <w14:schemeClr w14:val="tx1"/>
                  </w14:solidFill>
                </w14:textFill>
              </w:rPr>
            </w:pPr>
          </w:p>
        </w:tc>
        <w:tc>
          <w:tcPr>
            <w:tcW w:w="1086" w:type="dxa"/>
          </w:tcPr>
          <w:p w14:paraId="261BB0F1">
            <w:pPr>
              <w:spacing w:line="440" w:lineRule="exact"/>
              <w:jc w:val="center"/>
              <w:rPr>
                <w:rFonts w:hint="eastAsia" w:ascii="宋体" w:hAnsi="宋体" w:cs="宋体"/>
                <w:color w:val="000000" w:themeColor="text1"/>
                <w:szCs w:val="21"/>
                <w14:textFill>
                  <w14:solidFill>
                    <w14:schemeClr w14:val="tx1"/>
                  </w14:solidFill>
                </w14:textFill>
              </w:rPr>
            </w:pPr>
          </w:p>
        </w:tc>
        <w:tc>
          <w:tcPr>
            <w:tcW w:w="761" w:type="dxa"/>
          </w:tcPr>
          <w:p w14:paraId="2E3C0834">
            <w:pPr>
              <w:spacing w:line="440" w:lineRule="exact"/>
              <w:jc w:val="center"/>
              <w:rPr>
                <w:rFonts w:hint="eastAsia" w:ascii="宋体" w:hAnsi="宋体" w:cs="宋体"/>
                <w:color w:val="000000" w:themeColor="text1"/>
                <w:szCs w:val="21"/>
                <w14:textFill>
                  <w14:solidFill>
                    <w14:schemeClr w14:val="tx1"/>
                  </w14:solidFill>
                </w14:textFill>
              </w:rPr>
            </w:pPr>
          </w:p>
        </w:tc>
        <w:tc>
          <w:tcPr>
            <w:tcW w:w="990" w:type="dxa"/>
          </w:tcPr>
          <w:p w14:paraId="5AF880C7">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49D04422">
            <w:pPr>
              <w:spacing w:line="440" w:lineRule="exact"/>
              <w:jc w:val="center"/>
              <w:rPr>
                <w:rFonts w:hint="eastAsia" w:ascii="宋体" w:hAnsi="宋体" w:cs="宋体"/>
                <w:color w:val="000000" w:themeColor="text1"/>
                <w:szCs w:val="21"/>
                <w14:textFill>
                  <w14:solidFill>
                    <w14:schemeClr w14:val="tx1"/>
                  </w14:solidFill>
                </w14:textFill>
              </w:rPr>
            </w:pPr>
          </w:p>
        </w:tc>
        <w:tc>
          <w:tcPr>
            <w:tcW w:w="738" w:type="dxa"/>
          </w:tcPr>
          <w:p w14:paraId="1EF657BB">
            <w:pPr>
              <w:spacing w:line="440" w:lineRule="exact"/>
              <w:jc w:val="center"/>
              <w:rPr>
                <w:rFonts w:hint="eastAsia" w:ascii="宋体" w:hAnsi="宋体" w:cs="宋体"/>
                <w:color w:val="000000" w:themeColor="text1"/>
                <w:szCs w:val="21"/>
                <w14:textFill>
                  <w14:solidFill>
                    <w14:schemeClr w14:val="tx1"/>
                  </w14:solidFill>
                </w14:textFill>
              </w:rPr>
            </w:pPr>
          </w:p>
        </w:tc>
        <w:tc>
          <w:tcPr>
            <w:tcW w:w="1212" w:type="dxa"/>
          </w:tcPr>
          <w:p w14:paraId="39E54514">
            <w:pPr>
              <w:spacing w:line="440" w:lineRule="exact"/>
              <w:jc w:val="center"/>
              <w:rPr>
                <w:rFonts w:hint="eastAsia" w:ascii="宋体" w:hAnsi="宋体" w:cs="宋体"/>
                <w:color w:val="000000" w:themeColor="text1"/>
                <w:szCs w:val="21"/>
                <w14:textFill>
                  <w14:solidFill>
                    <w14:schemeClr w14:val="tx1"/>
                  </w14:solidFill>
                </w14:textFill>
              </w:rPr>
            </w:pPr>
          </w:p>
        </w:tc>
        <w:tc>
          <w:tcPr>
            <w:tcW w:w="874" w:type="dxa"/>
          </w:tcPr>
          <w:p w14:paraId="3EC9C40A">
            <w:pPr>
              <w:spacing w:line="440" w:lineRule="exact"/>
              <w:jc w:val="center"/>
              <w:rPr>
                <w:rFonts w:hint="eastAsia" w:ascii="宋体" w:hAnsi="宋体" w:cs="宋体"/>
                <w:color w:val="000000" w:themeColor="text1"/>
                <w:szCs w:val="21"/>
                <w14:textFill>
                  <w14:solidFill>
                    <w14:schemeClr w14:val="tx1"/>
                  </w14:solidFill>
                </w14:textFill>
              </w:rPr>
            </w:pPr>
          </w:p>
        </w:tc>
        <w:tc>
          <w:tcPr>
            <w:tcW w:w="1055" w:type="dxa"/>
          </w:tcPr>
          <w:p w14:paraId="565605D8">
            <w:pPr>
              <w:spacing w:line="440" w:lineRule="exact"/>
              <w:jc w:val="center"/>
              <w:rPr>
                <w:rFonts w:hint="eastAsia" w:ascii="宋体" w:hAnsi="宋体" w:cs="宋体"/>
                <w:color w:val="000000" w:themeColor="text1"/>
                <w:szCs w:val="21"/>
                <w14:textFill>
                  <w14:solidFill>
                    <w14:schemeClr w14:val="tx1"/>
                  </w14:solidFill>
                </w14:textFill>
              </w:rPr>
            </w:pPr>
          </w:p>
        </w:tc>
        <w:tc>
          <w:tcPr>
            <w:tcW w:w="691" w:type="dxa"/>
          </w:tcPr>
          <w:p w14:paraId="6CA421E8">
            <w:pPr>
              <w:spacing w:line="440" w:lineRule="exact"/>
              <w:jc w:val="center"/>
              <w:rPr>
                <w:rFonts w:hint="eastAsia" w:ascii="宋体" w:hAnsi="宋体" w:cs="宋体"/>
                <w:color w:val="000000" w:themeColor="text1"/>
                <w:szCs w:val="21"/>
                <w14:textFill>
                  <w14:solidFill>
                    <w14:schemeClr w14:val="tx1"/>
                  </w14:solidFill>
                </w14:textFill>
              </w:rPr>
            </w:pPr>
          </w:p>
        </w:tc>
      </w:tr>
      <w:tr w14:paraId="03F74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7A66F087">
            <w:pPr>
              <w:spacing w:line="440" w:lineRule="exact"/>
              <w:jc w:val="center"/>
              <w:rPr>
                <w:rFonts w:hint="eastAsia" w:ascii="宋体" w:hAnsi="宋体" w:cs="宋体"/>
                <w:color w:val="000000" w:themeColor="text1"/>
                <w:szCs w:val="21"/>
                <w14:textFill>
                  <w14:solidFill>
                    <w14:schemeClr w14:val="tx1"/>
                  </w14:solidFill>
                </w14:textFill>
              </w:rPr>
            </w:pPr>
          </w:p>
        </w:tc>
        <w:tc>
          <w:tcPr>
            <w:tcW w:w="1086" w:type="dxa"/>
          </w:tcPr>
          <w:p w14:paraId="40ABD806">
            <w:pPr>
              <w:spacing w:line="440" w:lineRule="exact"/>
              <w:jc w:val="center"/>
              <w:rPr>
                <w:rFonts w:hint="eastAsia" w:ascii="宋体" w:hAnsi="宋体" w:cs="宋体"/>
                <w:color w:val="000000" w:themeColor="text1"/>
                <w:szCs w:val="21"/>
                <w14:textFill>
                  <w14:solidFill>
                    <w14:schemeClr w14:val="tx1"/>
                  </w14:solidFill>
                </w14:textFill>
              </w:rPr>
            </w:pPr>
          </w:p>
        </w:tc>
        <w:tc>
          <w:tcPr>
            <w:tcW w:w="761" w:type="dxa"/>
          </w:tcPr>
          <w:p w14:paraId="46DDE686">
            <w:pPr>
              <w:spacing w:line="440" w:lineRule="exact"/>
              <w:jc w:val="center"/>
              <w:rPr>
                <w:rFonts w:hint="eastAsia" w:ascii="宋体" w:hAnsi="宋体" w:cs="宋体"/>
                <w:color w:val="000000" w:themeColor="text1"/>
                <w:szCs w:val="21"/>
                <w14:textFill>
                  <w14:solidFill>
                    <w14:schemeClr w14:val="tx1"/>
                  </w14:solidFill>
                </w14:textFill>
              </w:rPr>
            </w:pPr>
          </w:p>
        </w:tc>
        <w:tc>
          <w:tcPr>
            <w:tcW w:w="990" w:type="dxa"/>
          </w:tcPr>
          <w:p w14:paraId="63513DDA">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4CCA39BC">
            <w:pPr>
              <w:spacing w:line="440" w:lineRule="exact"/>
              <w:jc w:val="center"/>
              <w:rPr>
                <w:rFonts w:hint="eastAsia" w:ascii="宋体" w:hAnsi="宋体" w:cs="宋体"/>
                <w:color w:val="000000" w:themeColor="text1"/>
                <w:szCs w:val="21"/>
                <w14:textFill>
                  <w14:solidFill>
                    <w14:schemeClr w14:val="tx1"/>
                  </w14:solidFill>
                </w14:textFill>
              </w:rPr>
            </w:pPr>
          </w:p>
        </w:tc>
        <w:tc>
          <w:tcPr>
            <w:tcW w:w="738" w:type="dxa"/>
          </w:tcPr>
          <w:p w14:paraId="75257F32">
            <w:pPr>
              <w:spacing w:line="440" w:lineRule="exact"/>
              <w:jc w:val="center"/>
              <w:rPr>
                <w:rFonts w:hint="eastAsia" w:ascii="宋体" w:hAnsi="宋体" w:cs="宋体"/>
                <w:color w:val="000000" w:themeColor="text1"/>
                <w:szCs w:val="21"/>
                <w14:textFill>
                  <w14:solidFill>
                    <w14:schemeClr w14:val="tx1"/>
                  </w14:solidFill>
                </w14:textFill>
              </w:rPr>
            </w:pPr>
          </w:p>
        </w:tc>
        <w:tc>
          <w:tcPr>
            <w:tcW w:w="1212" w:type="dxa"/>
          </w:tcPr>
          <w:p w14:paraId="18033E86">
            <w:pPr>
              <w:spacing w:line="440" w:lineRule="exact"/>
              <w:jc w:val="center"/>
              <w:rPr>
                <w:rFonts w:hint="eastAsia" w:ascii="宋体" w:hAnsi="宋体" w:cs="宋体"/>
                <w:color w:val="000000" w:themeColor="text1"/>
                <w:szCs w:val="21"/>
                <w14:textFill>
                  <w14:solidFill>
                    <w14:schemeClr w14:val="tx1"/>
                  </w14:solidFill>
                </w14:textFill>
              </w:rPr>
            </w:pPr>
          </w:p>
        </w:tc>
        <w:tc>
          <w:tcPr>
            <w:tcW w:w="874" w:type="dxa"/>
          </w:tcPr>
          <w:p w14:paraId="664CA414">
            <w:pPr>
              <w:spacing w:line="440" w:lineRule="exact"/>
              <w:jc w:val="center"/>
              <w:rPr>
                <w:rFonts w:hint="eastAsia" w:ascii="宋体" w:hAnsi="宋体" w:cs="宋体"/>
                <w:color w:val="000000" w:themeColor="text1"/>
                <w:szCs w:val="21"/>
                <w14:textFill>
                  <w14:solidFill>
                    <w14:schemeClr w14:val="tx1"/>
                  </w14:solidFill>
                </w14:textFill>
              </w:rPr>
            </w:pPr>
          </w:p>
        </w:tc>
        <w:tc>
          <w:tcPr>
            <w:tcW w:w="1055" w:type="dxa"/>
          </w:tcPr>
          <w:p w14:paraId="2D8CDF31">
            <w:pPr>
              <w:spacing w:line="440" w:lineRule="exact"/>
              <w:jc w:val="center"/>
              <w:rPr>
                <w:rFonts w:hint="eastAsia" w:ascii="宋体" w:hAnsi="宋体" w:cs="宋体"/>
                <w:color w:val="000000" w:themeColor="text1"/>
                <w:szCs w:val="21"/>
                <w14:textFill>
                  <w14:solidFill>
                    <w14:schemeClr w14:val="tx1"/>
                  </w14:solidFill>
                </w14:textFill>
              </w:rPr>
            </w:pPr>
          </w:p>
        </w:tc>
        <w:tc>
          <w:tcPr>
            <w:tcW w:w="691" w:type="dxa"/>
          </w:tcPr>
          <w:p w14:paraId="4D108F5C">
            <w:pPr>
              <w:spacing w:line="440" w:lineRule="exact"/>
              <w:jc w:val="center"/>
              <w:rPr>
                <w:rFonts w:hint="eastAsia" w:ascii="宋体" w:hAnsi="宋体" w:cs="宋体"/>
                <w:color w:val="000000" w:themeColor="text1"/>
                <w:szCs w:val="21"/>
                <w14:textFill>
                  <w14:solidFill>
                    <w14:schemeClr w14:val="tx1"/>
                  </w14:solidFill>
                </w14:textFill>
              </w:rPr>
            </w:pPr>
          </w:p>
        </w:tc>
      </w:tr>
      <w:tr w14:paraId="1BB97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14B29F99">
            <w:pPr>
              <w:spacing w:line="440" w:lineRule="exact"/>
              <w:jc w:val="center"/>
              <w:rPr>
                <w:rFonts w:hint="eastAsia" w:ascii="宋体" w:hAnsi="宋体" w:cs="宋体"/>
                <w:color w:val="000000" w:themeColor="text1"/>
                <w:szCs w:val="21"/>
                <w14:textFill>
                  <w14:solidFill>
                    <w14:schemeClr w14:val="tx1"/>
                  </w14:solidFill>
                </w14:textFill>
              </w:rPr>
            </w:pPr>
          </w:p>
        </w:tc>
        <w:tc>
          <w:tcPr>
            <w:tcW w:w="1086" w:type="dxa"/>
          </w:tcPr>
          <w:p w14:paraId="33CD51C6">
            <w:pPr>
              <w:spacing w:line="440" w:lineRule="exact"/>
              <w:jc w:val="center"/>
              <w:rPr>
                <w:rFonts w:hint="eastAsia" w:ascii="宋体" w:hAnsi="宋体" w:cs="宋体"/>
                <w:color w:val="000000" w:themeColor="text1"/>
                <w:szCs w:val="21"/>
                <w14:textFill>
                  <w14:solidFill>
                    <w14:schemeClr w14:val="tx1"/>
                  </w14:solidFill>
                </w14:textFill>
              </w:rPr>
            </w:pPr>
          </w:p>
        </w:tc>
        <w:tc>
          <w:tcPr>
            <w:tcW w:w="761" w:type="dxa"/>
          </w:tcPr>
          <w:p w14:paraId="7109FDEE">
            <w:pPr>
              <w:spacing w:line="440" w:lineRule="exact"/>
              <w:jc w:val="center"/>
              <w:rPr>
                <w:rFonts w:hint="eastAsia" w:ascii="宋体" w:hAnsi="宋体" w:cs="宋体"/>
                <w:color w:val="000000" w:themeColor="text1"/>
                <w:szCs w:val="21"/>
                <w14:textFill>
                  <w14:solidFill>
                    <w14:schemeClr w14:val="tx1"/>
                  </w14:solidFill>
                </w14:textFill>
              </w:rPr>
            </w:pPr>
          </w:p>
        </w:tc>
        <w:tc>
          <w:tcPr>
            <w:tcW w:w="990" w:type="dxa"/>
          </w:tcPr>
          <w:p w14:paraId="4E924198">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755E2732">
            <w:pPr>
              <w:spacing w:line="440" w:lineRule="exact"/>
              <w:jc w:val="center"/>
              <w:rPr>
                <w:rFonts w:hint="eastAsia" w:ascii="宋体" w:hAnsi="宋体" w:cs="宋体"/>
                <w:color w:val="000000" w:themeColor="text1"/>
                <w:szCs w:val="21"/>
                <w14:textFill>
                  <w14:solidFill>
                    <w14:schemeClr w14:val="tx1"/>
                  </w14:solidFill>
                </w14:textFill>
              </w:rPr>
            </w:pPr>
          </w:p>
        </w:tc>
        <w:tc>
          <w:tcPr>
            <w:tcW w:w="738" w:type="dxa"/>
          </w:tcPr>
          <w:p w14:paraId="4767472B">
            <w:pPr>
              <w:spacing w:line="440" w:lineRule="exact"/>
              <w:jc w:val="center"/>
              <w:rPr>
                <w:rFonts w:hint="eastAsia" w:ascii="宋体" w:hAnsi="宋体" w:cs="宋体"/>
                <w:color w:val="000000" w:themeColor="text1"/>
                <w:szCs w:val="21"/>
                <w14:textFill>
                  <w14:solidFill>
                    <w14:schemeClr w14:val="tx1"/>
                  </w14:solidFill>
                </w14:textFill>
              </w:rPr>
            </w:pPr>
          </w:p>
        </w:tc>
        <w:tc>
          <w:tcPr>
            <w:tcW w:w="1212" w:type="dxa"/>
          </w:tcPr>
          <w:p w14:paraId="7B0261AA">
            <w:pPr>
              <w:spacing w:line="440" w:lineRule="exact"/>
              <w:jc w:val="center"/>
              <w:rPr>
                <w:rFonts w:hint="eastAsia" w:ascii="宋体" w:hAnsi="宋体" w:cs="宋体"/>
                <w:color w:val="000000" w:themeColor="text1"/>
                <w:szCs w:val="21"/>
                <w14:textFill>
                  <w14:solidFill>
                    <w14:schemeClr w14:val="tx1"/>
                  </w14:solidFill>
                </w14:textFill>
              </w:rPr>
            </w:pPr>
          </w:p>
        </w:tc>
        <w:tc>
          <w:tcPr>
            <w:tcW w:w="874" w:type="dxa"/>
          </w:tcPr>
          <w:p w14:paraId="200AEFEB">
            <w:pPr>
              <w:spacing w:line="440" w:lineRule="exact"/>
              <w:jc w:val="center"/>
              <w:rPr>
                <w:rFonts w:hint="eastAsia" w:ascii="宋体" w:hAnsi="宋体" w:cs="宋体"/>
                <w:color w:val="000000" w:themeColor="text1"/>
                <w:szCs w:val="21"/>
                <w14:textFill>
                  <w14:solidFill>
                    <w14:schemeClr w14:val="tx1"/>
                  </w14:solidFill>
                </w14:textFill>
              </w:rPr>
            </w:pPr>
          </w:p>
        </w:tc>
        <w:tc>
          <w:tcPr>
            <w:tcW w:w="1055" w:type="dxa"/>
          </w:tcPr>
          <w:p w14:paraId="66E4E57C">
            <w:pPr>
              <w:spacing w:line="440" w:lineRule="exact"/>
              <w:jc w:val="center"/>
              <w:rPr>
                <w:rFonts w:hint="eastAsia" w:ascii="宋体" w:hAnsi="宋体" w:cs="宋体"/>
                <w:color w:val="000000" w:themeColor="text1"/>
                <w:szCs w:val="21"/>
                <w14:textFill>
                  <w14:solidFill>
                    <w14:schemeClr w14:val="tx1"/>
                  </w14:solidFill>
                </w14:textFill>
              </w:rPr>
            </w:pPr>
          </w:p>
        </w:tc>
        <w:tc>
          <w:tcPr>
            <w:tcW w:w="691" w:type="dxa"/>
          </w:tcPr>
          <w:p w14:paraId="16CAD37F">
            <w:pPr>
              <w:spacing w:line="440" w:lineRule="exact"/>
              <w:jc w:val="center"/>
              <w:rPr>
                <w:rFonts w:hint="eastAsia" w:ascii="宋体" w:hAnsi="宋体" w:cs="宋体"/>
                <w:color w:val="000000" w:themeColor="text1"/>
                <w:szCs w:val="21"/>
                <w14:textFill>
                  <w14:solidFill>
                    <w14:schemeClr w14:val="tx1"/>
                  </w14:solidFill>
                </w14:textFill>
              </w:rPr>
            </w:pPr>
          </w:p>
        </w:tc>
      </w:tr>
    </w:tbl>
    <w:p w14:paraId="4278C614">
      <w:pPr>
        <w:pStyle w:val="4"/>
        <w:spacing w:before="0" w:after="0" w:line="416" w:lineRule="auto"/>
        <w:ind w:firstLine="98"/>
        <w:jc w:val="center"/>
        <w:rPr>
          <w:rFonts w:hint="eastAsia" w:ascii="宋体" w:eastAsia="宋体" w:cs="宋体"/>
          <w:color w:val="000000" w:themeColor="text1"/>
          <w14:textFill>
            <w14:solidFill>
              <w14:schemeClr w14:val="tx1"/>
            </w14:solidFill>
          </w14:textFill>
        </w:rPr>
      </w:pPr>
      <w:r>
        <w:rPr>
          <w:rFonts w:hint="eastAsia" w:ascii="宋体" w:eastAsia="宋体" w:cs="宋体"/>
          <w:color w:val="000000" w:themeColor="text1"/>
          <w:sz w:val="20"/>
          <w:szCs w:val="20"/>
          <w14:textFill>
            <w14:solidFill>
              <w14:schemeClr w14:val="tx1"/>
            </w14:solidFill>
          </w14:textFill>
        </w:rPr>
        <w:br w:type="page"/>
      </w:r>
      <w:bookmarkStart w:id="1868" w:name="_Toc152042587"/>
      <w:bookmarkStart w:id="1869" w:name="_Toc144974866"/>
      <w:bookmarkStart w:id="1870" w:name="_Toc28980"/>
      <w:bookmarkStart w:id="1871" w:name="_Toc4381"/>
      <w:bookmarkStart w:id="1872" w:name="_Toc32515"/>
      <w:bookmarkStart w:id="1873" w:name="_Toc179632818"/>
      <w:bookmarkStart w:id="1874" w:name="_Toc54190103"/>
      <w:bookmarkStart w:id="1875" w:name="_Toc152045798"/>
      <w:r>
        <w:rPr>
          <w:rFonts w:hint="eastAsia" w:ascii="宋体" w:eastAsia="宋体" w:cs="宋体"/>
          <w:color w:val="000000" w:themeColor="text1"/>
          <w14:textFill>
            <w14:solidFill>
              <w14:schemeClr w14:val="tx1"/>
            </w14:solidFill>
          </w14:textFill>
        </w:rPr>
        <w:t>（七）拟配备本项目的试验和检测仪器设备表</w:t>
      </w:r>
      <w:bookmarkEnd w:id="1868"/>
      <w:bookmarkEnd w:id="1869"/>
      <w:bookmarkEnd w:id="1870"/>
      <w:bookmarkEnd w:id="1871"/>
      <w:bookmarkEnd w:id="1872"/>
      <w:bookmarkEnd w:id="1873"/>
      <w:bookmarkEnd w:id="1874"/>
      <w:bookmarkEnd w:id="1875"/>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1087"/>
        <w:gridCol w:w="760"/>
        <w:gridCol w:w="991"/>
        <w:gridCol w:w="672"/>
        <w:gridCol w:w="738"/>
        <w:gridCol w:w="1212"/>
        <w:gridCol w:w="1653"/>
        <w:gridCol w:w="688"/>
      </w:tblGrid>
      <w:tr w14:paraId="059EB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vAlign w:val="center"/>
          </w:tcPr>
          <w:p w14:paraId="65F85F1B">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序号</w:t>
            </w:r>
          </w:p>
        </w:tc>
        <w:tc>
          <w:tcPr>
            <w:tcW w:w="1087" w:type="dxa"/>
            <w:vAlign w:val="center"/>
          </w:tcPr>
          <w:p w14:paraId="5400BCD9">
            <w:pPr>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仪器设备名称</w:t>
            </w:r>
          </w:p>
        </w:tc>
        <w:tc>
          <w:tcPr>
            <w:tcW w:w="760" w:type="dxa"/>
            <w:vAlign w:val="center"/>
          </w:tcPr>
          <w:p w14:paraId="3905DE8D">
            <w:pPr>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型号</w:t>
            </w:r>
          </w:p>
          <w:p w14:paraId="6AED4352">
            <w:pPr>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规格</w:t>
            </w:r>
          </w:p>
        </w:tc>
        <w:tc>
          <w:tcPr>
            <w:tcW w:w="991" w:type="dxa"/>
            <w:vAlign w:val="center"/>
          </w:tcPr>
          <w:p w14:paraId="4A7AEEDB">
            <w:pPr>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数量</w:t>
            </w:r>
          </w:p>
        </w:tc>
        <w:tc>
          <w:tcPr>
            <w:tcW w:w="672" w:type="dxa"/>
            <w:vAlign w:val="center"/>
          </w:tcPr>
          <w:p w14:paraId="07C0A0EF">
            <w:pPr>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国别</w:t>
            </w:r>
          </w:p>
          <w:p w14:paraId="2596F375">
            <w:pPr>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产地</w:t>
            </w:r>
          </w:p>
        </w:tc>
        <w:tc>
          <w:tcPr>
            <w:tcW w:w="738" w:type="dxa"/>
            <w:vAlign w:val="center"/>
          </w:tcPr>
          <w:p w14:paraId="2229630B">
            <w:pPr>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制造</w:t>
            </w:r>
          </w:p>
          <w:p w14:paraId="1E317B95">
            <w:pPr>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年份</w:t>
            </w:r>
          </w:p>
        </w:tc>
        <w:tc>
          <w:tcPr>
            <w:tcW w:w="1212" w:type="dxa"/>
            <w:vAlign w:val="center"/>
          </w:tcPr>
          <w:p w14:paraId="773E4B70">
            <w:pPr>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已使用台时数</w:t>
            </w:r>
          </w:p>
        </w:tc>
        <w:tc>
          <w:tcPr>
            <w:tcW w:w="1653" w:type="dxa"/>
            <w:vAlign w:val="center"/>
          </w:tcPr>
          <w:p w14:paraId="78DB5AF2">
            <w:pPr>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用途</w:t>
            </w:r>
          </w:p>
        </w:tc>
        <w:tc>
          <w:tcPr>
            <w:tcW w:w="688" w:type="dxa"/>
            <w:vAlign w:val="center"/>
          </w:tcPr>
          <w:p w14:paraId="2F06B514">
            <w:pPr>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备注</w:t>
            </w:r>
          </w:p>
        </w:tc>
      </w:tr>
      <w:tr w14:paraId="52383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vAlign w:val="center"/>
          </w:tcPr>
          <w:p w14:paraId="4FF8230B">
            <w:pPr>
              <w:spacing w:line="440" w:lineRule="exact"/>
              <w:jc w:val="center"/>
              <w:rPr>
                <w:rFonts w:hint="eastAsia" w:ascii="宋体" w:hAnsi="宋体" w:cs="宋体"/>
                <w:color w:val="000000" w:themeColor="text1"/>
                <w:szCs w:val="21"/>
                <w14:textFill>
                  <w14:solidFill>
                    <w14:schemeClr w14:val="tx1"/>
                  </w14:solidFill>
                </w14:textFill>
              </w:rPr>
            </w:pPr>
          </w:p>
        </w:tc>
        <w:tc>
          <w:tcPr>
            <w:tcW w:w="1087" w:type="dxa"/>
            <w:vAlign w:val="center"/>
          </w:tcPr>
          <w:p w14:paraId="046C8FCF">
            <w:pPr>
              <w:spacing w:line="440" w:lineRule="exact"/>
              <w:jc w:val="center"/>
              <w:rPr>
                <w:rFonts w:hint="eastAsia" w:ascii="宋体" w:hAnsi="宋体" w:cs="宋体"/>
                <w:color w:val="000000" w:themeColor="text1"/>
                <w:szCs w:val="21"/>
                <w14:textFill>
                  <w14:solidFill>
                    <w14:schemeClr w14:val="tx1"/>
                  </w14:solidFill>
                </w14:textFill>
              </w:rPr>
            </w:pPr>
          </w:p>
        </w:tc>
        <w:tc>
          <w:tcPr>
            <w:tcW w:w="760" w:type="dxa"/>
            <w:vAlign w:val="center"/>
          </w:tcPr>
          <w:p w14:paraId="7E828E29">
            <w:pPr>
              <w:spacing w:line="440" w:lineRule="exact"/>
              <w:jc w:val="center"/>
              <w:rPr>
                <w:rFonts w:hint="eastAsia" w:ascii="宋体" w:hAnsi="宋体" w:cs="宋体"/>
                <w:color w:val="000000" w:themeColor="text1"/>
                <w:szCs w:val="21"/>
                <w14:textFill>
                  <w14:solidFill>
                    <w14:schemeClr w14:val="tx1"/>
                  </w14:solidFill>
                </w14:textFill>
              </w:rPr>
            </w:pPr>
          </w:p>
        </w:tc>
        <w:tc>
          <w:tcPr>
            <w:tcW w:w="991" w:type="dxa"/>
            <w:vAlign w:val="center"/>
          </w:tcPr>
          <w:p w14:paraId="31F91CDD">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vAlign w:val="center"/>
          </w:tcPr>
          <w:p w14:paraId="52A43FD4">
            <w:pPr>
              <w:spacing w:line="440" w:lineRule="exact"/>
              <w:jc w:val="center"/>
              <w:rPr>
                <w:rFonts w:hint="eastAsia" w:ascii="宋体" w:hAnsi="宋体" w:cs="宋体"/>
                <w:color w:val="000000" w:themeColor="text1"/>
                <w:szCs w:val="21"/>
                <w14:textFill>
                  <w14:solidFill>
                    <w14:schemeClr w14:val="tx1"/>
                  </w14:solidFill>
                </w14:textFill>
              </w:rPr>
            </w:pPr>
          </w:p>
        </w:tc>
        <w:tc>
          <w:tcPr>
            <w:tcW w:w="738" w:type="dxa"/>
            <w:vAlign w:val="center"/>
          </w:tcPr>
          <w:p w14:paraId="2FCF1794">
            <w:pPr>
              <w:spacing w:line="440" w:lineRule="exact"/>
              <w:jc w:val="center"/>
              <w:rPr>
                <w:rFonts w:hint="eastAsia" w:ascii="宋体" w:hAnsi="宋体" w:cs="宋体"/>
                <w:color w:val="000000" w:themeColor="text1"/>
                <w:szCs w:val="21"/>
                <w14:textFill>
                  <w14:solidFill>
                    <w14:schemeClr w14:val="tx1"/>
                  </w14:solidFill>
                </w14:textFill>
              </w:rPr>
            </w:pPr>
          </w:p>
        </w:tc>
        <w:tc>
          <w:tcPr>
            <w:tcW w:w="1212" w:type="dxa"/>
            <w:vAlign w:val="center"/>
          </w:tcPr>
          <w:p w14:paraId="0FA419AB">
            <w:pPr>
              <w:spacing w:line="440" w:lineRule="exact"/>
              <w:jc w:val="center"/>
              <w:rPr>
                <w:rFonts w:hint="eastAsia" w:ascii="宋体" w:hAnsi="宋体" w:cs="宋体"/>
                <w:color w:val="000000" w:themeColor="text1"/>
                <w:szCs w:val="21"/>
                <w14:textFill>
                  <w14:solidFill>
                    <w14:schemeClr w14:val="tx1"/>
                  </w14:solidFill>
                </w14:textFill>
              </w:rPr>
            </w:pPr>
          </w:p>
        </w:tc>
        <w:tc>
          <w:tcPr>
            <w:tcW w:w="1653" w:type="dxa"/>
            <w:vAlign w:val="center"/>
          </w:tcPr>
          <w:p w14:paraId="2B5FF677">
            <w:pPr>
              <w:spacing w:line="440" w:lineRule="exact"/>
              <w:jc w:val="center"/>
              <w:rPr>
                <w:rFonts w:hint="eastAsia" w:ascii="宋体" w:hAnsi="宋体" w:cs="宋体"/>
                <w:color w:val="000000" w:themeColor="text1"/>
                <w:szCs w:val="21"/>
                <w14:textFill>
                  <w14:solidFill>
                    <w14:schemeClr w14:val="tx1"/>
                  </w14:solidFill>
                </w14:textFill>
              </w:rPr>
            </w:pPr>
          </w:p>
        </w:tc>
        <w:tc>
          <w:tcPr>
            <w:tcW w:w="688" w:type="dxa"/>
            <w:vAlign w:val="center"/>
          </w:tcPr>
          <w:p w14:paraId="1B8972E9">
            <w:pPr>
              <w:spacing w:line="440" w:lineRule="exact"/>
              <w:jc w:val="center"/>
              <w:rPr>
                <w:rFonts w:hint="eastAsia" w:ascii="宋体" w:hAnsi="宋体" w:cs="宋体"/>
                <w:color w:val="000000" w:themeColor="text1"/>
                <w:szCs w:val="21"/>
                <w14:textFill>
                  <w14:solidFill>
                    <w14:schemeClr w14:val="tx1"/>
                  </w14:solidFill>
                </w14:textFill>
              </w:rPr>
            </w:pPr>
          </w:p>
        </w:tc>
      </w:tr>
      <w:tr w14:paraId="0BE0C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vAlign w:val="center"/>
          </w:tcPr>
          <w:p w14:paraId="4E42ED81">
            <w:pPr>
              <w:spacing w:line="440" w:lineRule="exact"/>
              <w:jc w:val="center"/>
              <w:rPr>
                <w:rFonts w:hint="eastAsia" w:ascii="宋体" w:hAnsi="宋体" w:cs="宋体"/>
                <w:color w:val="000000" w:themeColor="text1"/>
                <w:szCs w:val="21"/>
                <w14:textFill>
                  <w14:solidFill>
                    <w14:schemeClr w14:val="tx1"/>
                  </w14:solidFill>
                </w14:textFill>
              </w:rPr>
            </w:pPr>
          </w:p>
        </w:tc>
        <w:tc>
          <w:tcPr>
            <w:tcW w:w="1087" w:type="dxa"/>
            <w:vAlign w:val="center"/>
          </w:tcPr>
          <w:p w14:paraId="020B9B6A">
            <w:pPr>
              <w:spacing w:line="440" w:lineRule="exact"/>
              <w:jc w:val="center"/>
              <w:rPr>
                <w:rFonts w:hint="eastAsia" w:ascii="宋体" w:hAnsi="宋体" w:cs="宋体"/>
                <w:color w:val="000000" w:themeColor="text1"/>
                <w:szCs w:val="21"/>
                <w14:textFill>
                  <w14:solidFill>
                    <w14:schemeClr w14:val="tx1"/>
                  </w14:solidFill>
                </w14:textFill>
              </w:rPr>
            </w:pPr>
          </w:p>
        </w:tc>
        <w:tc>
          <w:tcPr>
            <w:tcW w:w="760" w:type="dxa"/>
            <w:vAlign w:val="center"/>
          </w:tcPr>
          <w:p w14:paraId="2148D2E1">
            <w:pPr>
              <w:spacing w:line="440" w:lineRule="exact"/>
              <w:jc w:val="center"/>
              <w:rPr>
                <w:rFonts w:hint="eastAsia" w:ascii="宋体" w:hAnsi="宋体" w:cs="宋体"/>
                <w:color w:val="000000" w:themeColor="text1"/>
                <w:szCs w:val="21"/>
                <w14:textFill>
                  <w14:solidFill>
                    <w14:schemeClr w14:val="tx1"/>
                  </w14:solidFill>
                </w14:textFill>
              </w:rPr>
            </w:pPr>
          </w:p>
        </w:tc>
        <w:tc>
          <w:tcPr>
            <w:tcW w:w="991" w:type="dxa"/>
            <w:vAlign w:val="center"/>
          </w:tcPr>
          <w:p w14:paraId="04F51A95">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vAlign w:val="center"/>
          </w:tcPr>
          <w:p w14:paraId="78507A1C">
            <w:pPr>
              <w:spacing w:line="440" w:lineRule="exact"/>
              <w:jc w:val="center"/>
              <w:rPr>
                <w:rFonts w:hint="eastAsia" w:ascii="宋体" w:hAnsi="宋体" w:cs="宋体"/>
                <w:color w:val="000000" w:themeColor="text1"/>
                <w:szCs w:val="21"/>
                <w14:textFill>
                  <w14:solidFill>
                    <w14:schemeClr w14:val="tx1"/>
                  </w14:solidFill>
                </w14:textFill>
              </w:rPr>
            </w:pPr>
          </w:p>
        </w:tc>
        <w:tc>
          <w:tcPr>
            <w:tcW w:w="738" w:type="dxa"/>
            <w:vAlign w:val="center"/>
          </w:tcPr>
          <w:p w14:paraId="2CEC9196">
            <w:pPr>
              <w:spacing w:line="440" w:lineRule="exact"/>
              <w:jc w:val="center"/>
              <w:rPr>
                <w:rFonts w:hint="eastAsia" w:ascii="宋体" w:hAnsi="宋体" w:cs="宋体"/>
                <w:color w:val="000000" w:themeColor="text1"/>
                <w:szCs w:val="21"/>
                <w14:textFill>
                  <w14:solidFill>
                    <w14:schemeClr w14:val="tx1"/>
                  </w14:solidFill>
                </w14:textFill>
              </w:rPr>
            </w:pPr>
          </w:p>
        </w:tc>
        <w:tc>
          <w:tcPr>
            <w:tcW w:w="1212" w:type="dxa"/>
            <w:vAlign w:val="center"/>
          </w:tcPr>
          <w:p w14:paraId="0D8C6423">
            <w:pPr>
              <w:spacing w:line="440" w:lineRule="exact"/>
              <w:jc w:val="center"/>
              <w:rPr>
                <w:rFonts w:hint="eastAsia" w:ascii="宋体" w:hAnsi="宋体" w:cs="宋体"/>
                <w:color w:val="000000" w:themeColor="text1"/>
                <w:szCs w:val="21"/>
                <w14:textFill>
                  <w14:solidFill>
                    <w14:schemeClr w14:val="tx1"/>
                  </w14:solidFill>
                </w14:textFill>
              </w:rPr>
            </w:pPr>
          </w:p>
        </w:tc>
        <w:tc>
          <w:tcPr>
            <w:tcW w:w="1653" w:type="dxa"/>
            <w:vAlign w:val="center"/>
          </w:tcPr>
          <w:p w14:paraId="33986CB2">
            <w:pPr>
              <w:spacing w:line="440" w:lineRule="exact"/>
              <w:jc w:val="center"/>
              <w:rPr>
                <w:rFonts w:hint="eastAsia" w:ascii="宋体" w:hAnsi="宋体" w:cs="宋体"/>
                <w:color w:val="000000" w:themeColor="text1"/>
                <w:szCs w:val="21"/>
                <w14:textFill>
                  <w14:solidFill>
                    <w14:schemeClr w14:val="tx1"/>
                  </w14:solidFill>
                </w14:textFill>
              </w:rPr>
            </w:pPr>
          </w:p>
        </w:tc>
        <w:tc>
          <w:tcPr>
            <w:tcW w:w="688" w:type="dxa"/>
            <w:vAlign w:val="center"/>
          </w:tcPr>
          <w:p w14:paraId="7EA8CDFA">
            <w:pPr>
              <w:spacing w:line="440" w:lineRule="exact"/>
              <w:jc w:val="center"/>
              <w:rPr>
                <w:rFonts w:hint="eastAsia" w:ascii="宋体" w:hAnsi="宋体" w:cs="宋体"/>
                <w:color w:val="000000" w:themeColor="text1"/>
                <w:szCs w:val="21"/>
                <w14:textFill>
                  <w14:solidFill>
                    <w14:schemeClr w14:val="tx1"/>
                  </w14:solidFill>
                </w14:textFill>
              </w:rPr>
            </w:pPr>
          </w:p>
        </w:tc>
      </w:tr>
      <w:tr w14:paraId="6D1D8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529C9BC4">
            <w:pPr>
              <w:spacing w:line="440" w:lineRule="exact"/>
              <w:jc w:val="center"/>
              <w:rPr>
                <w:rFonts w:hint="eastAsia" w:ascii="宋体" w:hAnsi="宋体" w:cs="宋体"/>
                <w:color w:val="000000" w:themeColor="text1"/>
                <w:szCs w:val="21"/>
                <w14:textFill>
                  <w14:solidFill>
                    <w14:schemeClr w14:val="tx1"/>
                  </w14:solidFill>
                </w14:textFill>
              </w:rPr>
            </w:pPr>
          </w:p>
        </w:tc>
        <w:tc>
          <w:tcPr>
            <w:tcW w:w="1087" w:type="dxa"/>
          </w:tcPr>
          <w:p w14:paraId="5DFE3FDE">
            <w:pPr>
              <w:spacing w:line="440" w:lineRule="exact"/>
              <w:jc w:val="center"/>
              <w:rPr>
                <w:rFonts w:hint="eastAsia" w:ascii="宋体" w:hAnsi="宋体" w:cs="宋体"/>
                <w:color w:val="000000" w:themeColor="text1"/>
                <w:szCs w:val="21"/>
                <w14:textFill>
                  <w14:solidFill>
                    <w14:schemeClr w14:val="tx1"/>
                  </w14:solidFill>
                </w14:textFill>
              </w:rPr>
            </w:pPr>
          </w:p>
        </w:tc>
        <w:tc>
          <w:tcPr>
            <w:tcW w:w="760" w:type="dxa"/>
          </w:tcPr>
          <w:p w14:paraId="30BB9613">
            <w:pPr>
              <w:spacing w:line="440" w:lineRule="exact"/>
              <w:jc w:val="center"/>
              <w:rPr>
                <w:rFonts w:hint="eastAsia" w:ascii="宋体" w:hAnsi="宋体" w:cs="宋体"/>
                <w:color w:val="000000" w:themeColor="text1"/>
                <w:szCs w:val="21"/>
                <w14:textFill>
                  <w14:solidFill>
                    <w14:schemeClr w14:val="tx1"/>
                  </w14:solidFill>
                </w14:textFill>
              </w:rPr>
            </w:pPr>
          </w:p>
        </w:tc>
        <w:tc>
          <w:tcPr>
            <w:tcW w:w="991" w:type="dxa"/>
          </w:tcPr>
          <w:p w14:paraId="064D5553">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00A866D2">
            <w:pPr>
              <w:spacing w:line="440" w:lineRule="exact"/>
              <w:jc w:val="center"/>
              <w:rPr>
                <w:rFonts w:hint="eastAsia" w:ascii="宋体" w:hAnsi="宋体" w:cs="宋体"/>
                <w:color w:val="000000" w:themeColor="text1"/>
                <w:szCs w:val="21"/>
                <w14:textFill>
                  <w14:solidFill>
                    <w14:schemeClr w14:val="tx1"/>
                  </w14:solidFill>
                </w14:textFill>
              </w:rPr>
            </w:pPr>
          </w:p>
        </w:tc>
        <w:tc>
          <w:tcPr>
            <w:tcW w:w="738" w:type="dxa"/>
          </w:tcPr>
          <w:p w14:paraId="6A33BAAD">
            <w:pPr>
              <w:spacing w:line="440" w:lineRule="exact"/>
              <w:jc w:val="center"/>
              <w:rPr>
                <w:rFonts w:hint="eastAsia" w:ascii="宋体" w:hAnsi="宋体" w:cs="宋体"/>
                <w:color w:val="000000" w:themeColor="text1"/>
                <w:szCs w:val="21"/>
                <w14:textFill>
                  <w14:solidFill>
                    <w14:schemeClr w14:val="tx1"/>
                  </w14:solidFill>
                </w14:textFill>
              </w:rPr>
            </w:pPr>
          </w:p>
        </w:tc>
        <w:tc>
          <w:tcPr>
            <w:tcW w:w="1212" w:type="dxa"/>
          </w:tcPr>
          <w:p w14:paraId="603EE3ED">
            <w:pPr>
              <w:spacing w:line="440" w:lineRule="exact"/>
              <w:jc w:val="center"/>
              <w:rPr>
                <w:rFonts w:hint="eastAsia" w:ascii="宋体" w:hAnsi="宋体" w:cs="宋体"/>
                <w:color w:val="000000" w:themeColor="text1"/>
                <w:szCs w:val="21"/>
                <w14:textFill>
                  <w14:solidFill>
                    <w14:schemeClr w14:val="tx1"/>
                  </w14:solidFill>
                </w14:textFill>
              </w:rPr>
            </w:pPr>
          </w:p>
        </w:tc>
        <w:tc>
          <w:tcPr>
            <w:tcW w:w="1653" w:type="dxa"/>
          </w:tcPr>
          <w:p w14:paraId="147DF163">
            <w:pPr>
              <w:spacing w:line="440" w:lineRule="exact"/>
              <w:jc w:val="center"/>
              <w:rPr>
                <w:rFonts w:hint="eastAsia" w:ascii="宋体" w:hAnsi="宋体" w:cs="宋体"/>
                <w:color w:val="000000" w:themeColor="text1"/>
                <w:szCs w:val="21"/>
                <w14:textFill>
                  <w14:solidFill>
                    <w14:schemeClr w14:val="tx1"/>
                  </w14:solidFill>
                </w14:textFill>
              </w:rPr>
            </w:pPr>
          </w:p>
        </w:tc>
        <w:tc>
          <w:tcPr>
            <w:tcW w:w="688" w:type="dxa"/>
          </w:tcPr>
          <w:p w14:paraId="284B2AA0">
            <w:pPr>
              <w:spacing w:line="440" w:lineRule="exact"/>
              <w:jc w:val="center"/>
              <w:rPr>
                <w:rFonts w:hint="eastAsia" w:ascii="宋体" w:hAnsi="宋体" w:cs="宋体"/>
                <w:color w:val="000000" w:themeColor="text1"/>
                <w:szCs w:val="21"/>
                <w14:textFill>
                  <w14:solidFill>
                    <w14:schemeClr w14:val="tx1"/>
                  </w14:solidFill>
                </w14:textFill>
              </w:rPr>
            </w:pPr>
          </w:p>
        </w:tc>
      </w:tr>
      <w:tr w14:paraId="45BB6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6774A71D">
            <w:pPr>
              <w:spacing w:line="440" w:lineRule="exact"/>
              <w:jc w:val="center"/>
              <w:rPr>
                <w:rFonts w:hint="eastAsia" w:ascii="宋体" w:hAnsi="宋体" w:cs="宋体"/>
                <w:color w:val="000000" w:themeColor="text1"/>
                <w:szCs w:val="21"/>
                <w14:textFill>
                  <w14:solidFill>
                    <w14:schemeClr w14:val="tx1"/>
                  </w14:solidFill>
                </w14:textFill>
              </w:rPr>
            </w:pPr>
          </w:p>
        </w:tc>
        <w:tc>
          <w:tcPr>
            <w:tcW w:w="1087" w:type="dxa"/>
          </w:tcPr>
          <w:p w14:paraId="5DA3A148">
            <w:pPr>
              <w:spacing w:line="440" w:lineRule="exact"/>
              <w:jc w:val="center"/>
              <w:rPr>
                <w:rFonts w:hint="eastAsia" w:ascii="宋体" w:hAnsi="宋体" w:cs="宋体"/>
                <w:color w:val="000000" w:themeColor="text1"/>
                <w:szCs w:val="21"/>
                <w14:textFill>
                  <w14:solidFill>
                    <w14:schemeClr w14:val="tx1"/>
                  </w14:solidFill>
                </w14:textFill>
              </w:rPr>
            </w:pPr>
          </w:p>
        </w:tc>
        <w:tc>
          <w:tcPr>
            <w:tcW w:w="760" w:type="dxa"/>
          </w:tcPr>
          <w:p w14:paraId="6B42DC47">
            <w:pPr>
              <w:spacing w:line="440" w:lineRule="exact"/>
              <w:jc w:val="center"/>
              <w:rPr>
                <w:rFonts w:hint="eastAsia" w:ascii="宋体" w:hAnsi="宋体" w:cs="宋体"/>
                <w:color w:val="000000" w:themeColor="text1"/>
                <w:szCs w:val="21"/>
                <w14:textFill>
                  <w14:solidFill>
                    <w14:schemeClr w14:val="tx1"/>
                  </w14:solidFill>
                </w14:textFill>
              </w:rPr>
            </w:pPr>
          </w:p>
        </w:tc>
        <w:tc>
          <w:tcPr>
            <w:tcW w:w="991" w:type="dxa"/>
          </w:tcPr>
          <w:p w14:paraId="41D3AD3C">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157B02AB">
            <w:pPr>
              <w:spacing w:line="440" w:lineRule="exact"/>
              <w:jc w:val="center"/>
              <w:rPr>
                <w:rFonts w:hint="eastAsia" w:ascii="宋体" w:hAnsi="宋体" w:cs="宋体"/>
                <w:color w:val="000000" w:themeColor="text1"/>
                <w:szCs w:val="21"/>
                <w14:textFill>
                  <w14:solidFill>
                    <w14:schemeClr w14:val="tx1"/>
                  </w14:solidFill>
                </w14:textFill>
              </w:rPr>
            </w:pPr>
          </w:p>
        </w:tc>
        <w:tc>
          <w:tcPr>
            <w:tcW w:w="738" w:type="dxa"/>
          </w:tcPr>
          <w:p w14:paraId="00FED0C5">
            <w:pPr>
              <w:spacing w:line="440" w:lineRule="exact"/>
              <w:jc w:val="center"/>
              <w:rPr>
                <w:rFonts w:hint="eastAsia" w:ascii="宋体" w:hAnsi="宋体" w:cs="宋体"/>
                <w:color w:val="000000" w:themeColor="text1"/>
                <w:szCs w:val="21"/>
                <w14:textFill>
                  <w14:solidFill>
                    <w14:schemeClr w14:val="tx1"/>
                  </w14:solidFill>
                </w14:textFill>
              </w:rPr>
            </w:pPr>
          </w:p>
        </w:tc>
        <w:tc>
          <w:tcPr>
            <w:tcW w:w="1212" w:type="dxa"/>
          </w:tcPr>
          <w:p w14:paraId="1D0E65ED">
            <w:pPr>
              <w:spacing w:line="440" w:lineRule="exact"/>
              <w:jc w:val="center"/>
              <w:rPr>
                <w:rFonts w:hint="eastAsia" w:ascii="宋体" w:hAnsi="宋体" w:cs="宋体"/>
                <w:color w:val="000000" w:themeColor="text1"/>
                <w:szCs w:val="21"/>
                <w14:textFill>
                  <w14:solidFill>
                    <w14:schemeClr w14:val="tx1"/>
                  </w14:solidFill>
                </w14:textFill>
              </w:rPr>
            </w:pPr>
          </w:p>
        </w:tc>
        <w:tc>
          <w:tcPr>
            <w:tcW w:w="1653" w:type="dxa"/>
          </w:tcPr>
          <w:p w14:paraId="39011C8E">
            <w:pPr>
              <w:spacing w:line="440" w:lineRule="exact"/>
              <w:jc w:val="center"/>
              <w:rPr>
                <w:rFonts w:hint="eastAsia" w:ascii="宋体" w:hAnsi="宋体" w:cs="宋体"/>
                <w:color w:val="000000" w:themeColor="text1"/>
                <w:szCs w:val="21"/>
                <w14:textFill>
                  <w14:solidFill>
                    <w14:schemeClr w14:val="tx1"/>
                  </w14:solidFill>
                </w14:textFill>
              </w:rPr>
            </w:pPr>
          </w:p>
        </w:tc>
        <w:tc>
          <w:tcPr>
            <w:tcW w:w="688" w:type="dxa"/>
          </w:tcPr>
          <w:p w14:paraId="2D2325DE">
            <w:pPr>
              <w:spacing w:line="440" w:lineRule="exact"/>
              <w:jc w:val="center"/>
              <w:rPr>
                <w:rFonts w:hint="eastAsia" w:ascii="宋体" w:hAnsi="宋体" w:cs="宋体"/>
                <w:color w:val="000000" w:themeColor="text1"/>
                <w:szCs w:val="21"/>
                <w14:textFill>
                  <w14:solidFill>
                    <w14:schemeClr w14:val="tx1"/>
                  </w14:solidFill>
                </w14:textFill>
              </w:rPr>
            </w:pPr>
          </w:p>
        </w:tc>
      </w:tr>
      <w:tr w14:paraId="466A5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4BA74A0D">
            <w:pPr>
              <w:spacing w:line="440" w:lineRule="exact"/>
              <w:jc w:val="center"/>
              <w:rPr>
                <w:rFonts w:hint="eastAsia" w:ascii="宋体" w:hAnsi="宋体" w:cs="宋体"/>
                <w:color w:val="000000" w:themeColor="text1"/>
                <w:szCs w:val="21"/>
                <w14:textFill>
                  <w14:solidFill>
                    <w14:schemeClr w14:val="tx1"/>
                  </w14:solidFill>
                </w14:textFill>
              </w:rPr>
            </w:pPr>
          </w:p>
        </w:tc>
        <w:tc>
          <w:tcPr>
            <w:tcW w:w="1087" w:type="dxa"/>
          </w:tcPr>
          <w:p w14:paraId="7E9E3281">
            <w:pPr>
              <w:spacing w:line="440" w:lineRule="exact"/>
              <w:jc w:val="center"/>
              <w:rPr>
                <w:rFonts w:hint="eastAsia" w:ascii="宋体" w:hAnsi="宋体" w:cs="宋体"/>
                <w:color w:val="000000" w:themeColor="text1"/>
                <w:szCs w:val="21"/>
                <w14:textFill>
                  <w14:solidFill>
                    <w14:schemeClr w14:val="tx1"/>
                  </w14:solidFill>
                </w14:textFill>
              </w:rPr>
            </w:pPr>
          </w:p>
        </w:tc>
        <w:tc>
          <w:tcPr>
            <w:tcW w:w="760" w:type="dxa"/>
          </w:tcPr>
          <w:p w14:paraId="58DC08C8">
            <w:pPr>
              <w:spacing w:line="440" w:lineRule="exact"/>
              <w:jc w:val="center"/>
              <w:rPr>
                <w:rFonts w:hint="eastAsia" w:ascii="宋体" w:hAnsi="宋体" w:cs="宋体"/>
                <w:color w:val="000000" w:themeColor="text1"/>
                <w:szCs w:val="21"/>
                <w14:textFill>
                  <w14:solidFill>
                    <w14:schemeClr w14:val="tx1"/>
                  </w14:solidFill>
                </w14:textFill>
              </w:rPr>
            </w:pPr>
          </w:p>
        </w:tc>
        <w:tc>
          <w:tcPr>
            <w:tcW w:w="991" w:type="dxa"/>
          </w:tcPr>
          <w:p w14:paraId="34DEE856">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540352A3">
            <w:pPr>
              <w:spacing w:line="440" w:lineRule="exact"/>
              <w:jc w:val="center"/>
              <w:rPr>
                <w:rFonts w:hint="eastAsia" w:ascii="宋体" w:hAnsi="宋体" w:cs="宋体"/>
                <w:color w:val="000000" w:themeColor="text1"/>
                <w:szCs w:val="21"/>
                <w14:textFill>
                  <w14:solidFill>
                    <w14:schemeClr w14:val="tx1"/>
                  </w14:solidFill>
                </w14:textFill>
              </w:rPr>
            </w:pPr>
          </w:p>
        </w:tc>
        <w:tc>
          <w:tcPr>
            <w:tcW w:w="738" w:type="dxa"/>
          </w:tcPr>
          <w:p w14:paraId="3DB9B568">
            <w:pPr>
              <w:spacing w:line="440" w:lineRule="exact"/>
              <w:jc w:val="center"/>
              <w:rPr>
                <w:rFonts w:hint="eastAsia" w:ascii="宋体" w:hAnsi="宋体" w:cs="宋体"/>
                <w:color w:val="000000" w:themeColor="text1"/>
                <w:szCs w:val="21"/>
                <w14:textFill>
                  <w14:solidFill>
                    <w14:schemeClr w14:val="tx1"/>
                  </w14:solidFill>
                </w14:textFill>
              </w:rPr>
            </w:pPr>
          </w:p>
        </w:tc>
        <w:tc>
          <w:tcPr>
            <w:tcW w:w="1212" w:type="dxa"/>
          </w:tcPr>
          <w:p w14:paraId="0C7EBB0F">
            <w:pPr>
              <w:spacing w:line="440" w:lineRule="exact"/>
              <w:jc w:val="center"/>
              <w:rPr>
                <w:rFonts w:hint="eastAsia" w:ascii="宋体" w:hAnsi="宋体" w:cs="宋体"/>
                <w:color w:val="000000" w:themeColor="text1"/>
                <w:szCs w:val="21"/>
                <w14:textFill>
                  <w14:solidFill>
                    <w14:schemeClr w14:val="tx1"/>
                  </w14:solidFill>
                </w14:textFill>
              </w:rPr>
            </w:pPr>
          </w:p>
        </w:tc>
        <w:tc>
          <w:tcPr>
            <w:tcW w:w="1653" w:type="dxa"/>
          </w:tcPr>
          <w:p w14:paraId="00934702">
            <w:pPr>
              <w:spacing w:line="440" w:lineRule="exact"/>
              <w:jc w:val="center"/>
              <w:rPr>
                <w:rFonts w:hint="eastAsia" w:ascii="宋体" w:hAnsi="宋体" w:cs="宋体"/>
                <w:color w:val="000000" w:themeColor="text1"/>
                <w:szCs w:val="21"/>
                <w14:textFill>
                  <w14:solidFill>
                    <w14:schemeClr w14:val="tx1"/>
                  </w14:solidFill>
                </w14:textFill>
              </w:rPr>
            </w:pPr>
          </w:p>
        </w:tc>
        <w:tc>
          <w:tcPr>
            <w:tcW w:w="688" w:type="dxa"/>
          </w:tcPr>
          <w:p w14:paraId="1A50C3C5">
            <w:pPr>
              <w:spacing w:line="440" w:lineRule="exact"/>
              <w:jc w:val="center"/>
              <w:rPr>
                <w:rFonts w:hint="eastAsia" w:ascii="宋体" w:hAnsi="宋体" w:cs="宋体"/>
                <w:color w:val="000000" w:themeColor="text1"/>
                <w:szCs w:val="21"/>
                <w14:textFill>
                  <w14:solidFill>
                    <w14:schemeClr w14:val="tx1"/>
                  </w14:solidFill>
                </w14:textFill>
              </w:rPr>
            </w:pPr>
          </w:p>
        </w:tc>
      </w:tr>
      <w:tr w14:paraId="3565E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5A164812">
            <w:pPr>
              <w:spacing w:line="440" w:lineRule="exact"/>
              <w:jc w:val="center"/>
              <w:rPr>
                <w:rFonts w:hint="eastAsia" w:ascii="宋体" w:hAnsi="宋体" w:cs="宋体"/>
                <w:color w:val="000000" w:themeColor="text1"/>
                <w:szCs w:val="21"/>
                <w14:textFill>
                  <w14:solidFill>
                    <w14:schemeClr w14:val="tx1"/>
                  </w14:solidFill>
                </w14:textFill>
              </w:rPr>
            </w:pPr>
          </w:p>
        </w:tc>
        <w:tc>
          <w:tcPr>
            <w:tcW w:w="1087" w:type="dxa"/>
          </w:tcPr>
          <w:p w14:paraId="4D876F3E">
            <w:pPr>
              <w:spacing w:line="440" w:lineRule="exact"/>
              <w:jc w:val="center"/>
              <w:rPr>
                <w:rFonts w:hint="eastAsia" w:ascii="宋体" w:hAnsi="宋体" w:cs="宋体"/>
                <w:color w:val="000000" w:themeColor="text1"/>
                <w:szCs w:val="21"/>
                <w14:textFill>
                  <w14:solidFill>
                    <w14:schemeClr w14:val="tx1"/>
                  </w14:solidFill>
                </w14:textFill>
              </w:rPr>
            </w:pPr>
          </w:p>
        </w:tc>
        <w:tc>
          <w:tcPr>
            <w:tcW w:w="760" w:type="dxa"/>
          </w:tcPr>
          <w:p w14:paraId="48DD2CBD">
            <w:pPr>
              <w:spacing w:line="440" w:lineRule="exact"/>
              <w:jc w:val="center"/>
              <w:rPr>
                <w:rFonts w:hint="eastAsia" w:ascii="宋体" w:hAnsi="宋体" w:cs="宋体"/>
                <w:color w:val="000000" w:themeColor="text1"/>
                <w:szCs w:val="21"/>
                <w14:textFill>
                  <w14:solidFill>
                    <w14:schemeClr w14:val="tx1"/>
                  </w14:solidFill>
                </w14:textFill>
              </w:rPr>
            </w:pPr>
          </w:p>
        </w:tc>
        <w:tc>
          <w:tcPr>
            <w:tcW w:w="991" w:type="dxa"/>
          </w:tcPr>
          <w:p w14:paraId="76BAD8EC">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60B69FC1">
            <w:pPr>
              <w:spacing w:line="440" w:lineRule="exact"/>
              <w:jc w:val="center"/>
              <w:rPr>
                <w:rFonts w:hint="eastAsia" w:ascii="宋体" w:hAnsi="宋体" w:cs="宋体"/>
                <w:color w:val="000000" w:themeColor="text1"/>
                <w:szCs w:val="21"/>
                <w14:textFill>
                  <w14:solidFill>
                    <w14:schemeClr w14:val="tx1"/>
                  </w14:solidFill>
                </w14:textFill>
              </w:rPr>
            </w:pPr>
          </w:p>
        </w:tc>
        <w:tc>
          <w:tcPr>
            <w:tcW w:w="738" w:type="dxa"/>
          </w:tcPr>
          <w:p w14:paraId="38F8A5C7">
            <w:pPr>
              <w:spacing w:line="440" w:lineRule="exact"/>
              <w:jc w:val="center"/>
              <w:rPr>
                <w:rFonts w:hint="eastAsia" w:ascii="宋体" w:hAnsi="宋体" w:cs="宋体"/>
                <w:color w:val="000000" w:themeColor="text1"/>
                <w:szCs w:val="21"/>
                <w14:textFill>
                  <w14:solidFill>
                    <w14:schemeClr w14:val="tx1"/>
                  </w14:solidFill>
                </w14:textFill>
              </w:rPr>
            </w:pPr>
          </w:p>
        </w:tc>
        <w:tc>
          <w:tcPr>
            <w:tcW w:w="1212" w:type="dxa"/>
          </w:tcPr>
          <w:p w14:paraId="3BEE11B9">
            <w:pPr>
              <w:spacing w:line="440" w:lineRule="exact"/>
              <w:jc w:val="center"/>
              <w:rPr>
                <w:rFonts w:hint="eastAsia" w:ascii="宋体" w:hAnsi="宋体" w:cs="宋体"/>
                <w:color w:val="000000" w:themeColor="text1"/>
                <w:szCs w:val="21"/>
                <w14:textFill>
                  <w14:solidFill>
                    <w14:schemeClr w14:val="tx1"/>
                  </w14:solidFill>
                </w14:textFill>
              </w:rPr>
            </w:pPr>
          </w:p>
        </w:tc>
        <w:tc>
          <w:tcPr>
            <w:tcW w:w="1653" w:type="dxa"/>
          </w:tcPr>
          <w:p w14:paraId="3A2AD0FE">
            <w:pPr>
              <w:spacing w:line="440" w:lineRule="exact"/>
              <w:jc w:val="center"/>
              <w:rPr>
                <w:rFonts w:hint="eastAsia" w:ascii="宋体" w:hAnsi="宋体" w:cs="宋体"/>
                <w:color w:val="000000" w:themeColor="text1"/>
                <w:szCs w:val="21"/>
                <w14:textFill>
                  <w14:solidFill>
                    <w14:schemeClr w14:val="tx1"/>
                  </w14:solidFill>
                </w14:textFill>
              </w:rPr>
            </w:pPr>
          </w:p>
        </w:tc>
        <w:tc>
          <w:tcPr>
            <w:tcW w:w="688" w:type="dxa"/>
          </w:tcPr>
          <w:p w14:paraId="4D8A1C13">
            <w:pPr>
              <w:spacing w:line="440" w:lineRule="exact"/>
              <w:jc w:val="center"/>
              <w:rPr>
                <w:rFonts w:hint="eastAsia" w:ascii="宋体" w:hAnsi="宋体" w:cs="宋体"/>
                <w:color w:val="000000" w:themeColor="text1"/>
                <w:szCs w:val="21"/>
                <w14:textFill>
                  <w14:solidFill>
                    <w14:schemeClr w14:val="tx1"/>
                  </w14:solidFill>
                </w14:textFill>
              </w:rPr>
            </w:pPr>
          </w:p>
        </w:tc>
      </w:tr>
      <w:tr w14:paraId="26ECE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724385E5">
            <w:pPr>
              <w:spacing w:line="440" w:lineRule="exact"/>
              <w:jc w:val="center"/>
              <w:rPr>
                <w:rFonts w:hint="eastAsia" w:ascii="宋体" w:hAnsi="宋体" w:cs="宋体"/>
                <w:color w:val="000000" w:themeColor="text1"/>
                <w:szCs w:val="21"/>
                <w14:textFill>
                  <w14:solidFill>
                    <w14:schemeClr w14:val="tx1"/>
                  </w14:solidFill>
                </w14:textFill>
              </w:rPr>
            </w:pPr>
          </w:p>
        </w:tc>
        <w:tc>
          <w:tcPr>
            <w:tcW w:w="1087" w:type="dxa"/>
          </w:tcPr>
          <w:p w14:paraId="61969E6E">
            <w:pPr>
              <w:spacing w:line="440" w:lineRule="exact"/>
              <w:jc w:val="center"/>
              <w:rPr>
                <w:rFonts w:hint="eastAsia" w:ascii="宋体" w:hAnsi="宋体" w:cs="宋体"/>
                <w:color w:val="000000" w:themeColor="text1"/>
                <w:szCs w:val="21"/>
                <w14:textFill>
                  <w14:solidFill>
                    <w14:schemeClr w14:val="tx1"/>
                  </w14:solidFill>
                </w14:textFill>
              </w:rPr>
            </w:pPr>
          </w:p>
        </w:tc>
        <w:tc>
          <w:tcPr>
            <w:tcW w:w="760" w:type="dxa"/>
          </w:tcPr>
          <w:p w14:paraId="0776FF0C">
            <w:pPr>
              <w:spacing w:line="440" w:lineRule="exact"/>
              <w:jc w:val="center"/>
              <w:rPr>
                <w:rFonts w:hint="eastAsia" w:ascii="宋体" w:hAnsi="宋体" w:cs="宋体"/>
                <w:color w:val="000000" w:themeColor="text1"/>
                <w:szCs w:val="21"/>
                <w14:textFill>
                  <w14:solidFill>
                    <w14:schemeClr w14:val="tx1"/>
                  </w14:solidFill>
                </w14:textFill>
              </w:rPr>
            </w:pPr>
          </w:p>
        </w:tc>
        <w:tc>
          <w:tcPr>
            <w:tcW w:w="991" w:type="dxa"/>
          </w:tcPr>
          <w:p w14:paraId="4BF53283">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5CBE82DE">
            <w:pPr>
              <w:spacing w:line="440" w:lineRule="exact"/>
              <w:jc w:val="center"/>
              <w:rPr>
                <w:rFonts w:hint="eastAsia" w:ascii="宋体" w:hAnsi="宋体" w:cs="宋体"/>
                <w:color w:val="000000" w:themeColor="text1"/>
                <w:szCs w:val="21"/>
                <w14:textFill>
                  <w14:solidFill>
                    <w14:schemeClr w14:val="tx1"/>
                  </w14:solidFill>
                </w14:textFill>
              </w:rPr>
            </w:pPr>
          </w:p>
        </w:tc>
        <w:tc>
          <w:tcPr>
            <w:tcW w:w="738" w:type="dxa"/>
          </w:tcPr>
          <w:p w14:paraId="383092AE">
            <w:pPr>
              <w:spacing w:line="440" w:lineRule="exact"/>
              <w:jc w:val="center"/>
              <w:rPr>
                <w:rFonts w:hint="eastAsia" w:ascii="宋体" w:hAnsi="宋体" w:cs="宋体"/>
                <w:color w:val="000000" w:themeColor="text1"/>
                <w:szCs w:val="21"/>
                <w14:textFill>
                  <w14:solidFill>
                    <w14:schemeClr w14:val="tx1"/>
                  </w14:solidFill>
                </w14:textFill>
              </w:rPr>
            </w:pPr>
          </w:p>
        </w:tc>
        <w:tc>
          <w:tcPr>
            <w:tcW w:w="1212" w:type="dxa"/>
          </w:tcPr>
          <w:p w14:paraId="079F5C68">
            <w:pPr>
              <w:spacing w:line="440" w:lineRule="exact"/>
              <w:jc w:val="center"/>
              <w:rPr>
                <w:rFonts w:hint="eastAsia" w:ascii="宋体" w:hAnsi="宋体" w:cs="宋体"/>
                <w:color w:val="000000" w:themeColor="text1"/>
                <w:szCs w:val="21"/>
                <w14:textFill>
                  <w14:solidFill>
                    <w14:schemeClr w14:val="tx1"/>
                  </w14:solidFill>
                </w14:textFill>
              </w:rPr>
            </w:pPr>
          </w:p>
        </w:tc>
        <w:tc>
          <w:tcPr>
            <w:tcW w:w="1653" w:type="dxa"/>
          </w:tcPr>
          <w:p w14:paraId="0849598F">
            <w:pPr>
              <w:spacing w:line="440" w:lineRule="exact"/>
              <w:jc w:val="center"/>
              <w:rPr>
                <w:rFonts w:hint="eastAsia" w:ascii="宋体" w:hAnsi="宋体" w:cs="宋体"/>
                <w:color w:val="000000" w:themeColor="text1"/>
                <w:szCs w:val="21"/>
                <w14:textFill>
                  <w14:solidFill>
                    <w14:schemeClr w14:val="tx1"/>
                  </w14:solidFill>
                </w14:textFill>
              </w:rPr>
            </w:pPr>
          </w:p>
        </w:tc>
        <w:tc>
          <w:tcPr>
            <w:tcW w:w="688" w:type="dxa"/>
          </w:tcPr>
          <w:p w14:paraId="336F9303">
            <w:pPr>
              <w:spacing w:line="440" w:lineRule="exact"/>
              <w:jc w:val="center"/>
              <w:rPr>
                <w:rFonts w:hint="eastAsia" w:ascii="宋体" w:hAnsi="宋体" w:cs="宋体"/>
                <w:color w:val="000000" w:themeColor="text1"/>
                <w:szCs w:val="21"/>
                <w14:textFill>
                  <w14:solidFill>
                    <w14:schemeClr w14:val="tx1"/>
                  </w14:solidFill>
                </w14:textFill>
              </w:rPr>
            </w:pPr>
          </w:p>
        </w:tc>
      </w:tr>
      <w:tr w14:paraId="5763A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4FAF896C">
            <w:pPr>
              <w:spacing w:line="440" w:lineRule="exact"/>
              <w:jc w:val="center"/>
              <w:rPr>
                <w:rFonts w:hint="eastAsia" w:ascii="宋体" w:hAnsi="宋体" w:cs="宋体"/>
                <w:color w:val="000000" w:themeColor="text1"/>
                <w:szCs w:val="21"/>
                <w14:textFill>
                  <w14:solidFill>
                    <w14:schemeClr w14:val="tx1"/>
                  </w14:solidFill>
                </w14:textFill>
              </w:rPr>
            </w:pPr>
          </w:p>
        </w:tc>
        <w:tc>
          <w:tcPr>
            <w:tcW w:w="1087" w:type="dxa"/>
          </w:tcPr>
          <w:p w14:paraId="548D4082">
            <w:pPr>
              <w:spacing w:line="440" w:lineRule="exact"/>
              <w:jc w:val="center"/>
              <w:rPr>
                <w:rFonts w:hint="eastAsia" w:ascii="宋体" w:hAnsi="宋体" w:cs="宋体"/>
                <w:color w:val="000000" w:themeColor="text1"/>
                <w:szCs w:val="21"/>
                <w14:textFill>
                  <w14:solidFill>
                    <w14:schemeClr w14:val="tx1"/>
                  </w14:solidFill>
                </w14:textFill>
              </w:rPr>
            </w:pPr>
          </w:p>
        </w:tc>
        <w:tc>
          <w:tcPr>
            <w:tcW w:w="760" w:type="dxa"/>
          </w:tcPr>
          <w:p w14:paraId="641A4173">
            <w:pPr>
              <w:spacing w:line="440" w:lineRule="exact"/>
              <w:jc w:val="center"/>
              <w:rPr>
                <w:rFonts w:hint="eastAsia" w:ascii="宋体" w:hAnsi="宋体" w:cs="宋体"/>
                <w:color w:val="000000" w:themeColor="text1"/>
                <w:szCs w:val="21"/>
                <w14:textFill>
                  <w14:solidFill>
                    <w14:schemeClr w14:val="tx1"/>
                  </w14:solidFill>
                </w14:textFill>
              </w:rPr>
            </w:pPr>
          </w:p>
        </w:tc>
        <w:tc>
          <w:tcPr>
            <w:tcW w:w="991" w:type="dxa"/>
          </w:tcPr>
          <w:p w14:paraId="585FEB2D">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55FCC92E">
            <w:pPr>
              <w:spacing w:line="440" w:lineRule="exact"/>
              <w:jc w:val="center"/>
              <w:rPr>
                <w:rFonts w:hint="eastAsia" w:ascii="宋体" w:hAnsi="宋体" w:cs="宋体"/>
                <w:color w:val="000000" w:themeColor="text1"/>
                <w:szCs w:val="21"/>
                <w14:textFill>
                  <w14:solidFill>
                    <w14:schemeClr w14:val="tx1"/>
                  </w14:solidFill>
                </w14:textFill>
              </w:rPr>
            </w:pPr>
          </w:p>
        </w:tc>
        <w:tc>
          <w:tcPr>
            <w:tcW w:w="738" w:type="dxa"/>
          </w:tcPr>
          <w:p w14:paraId="1CE12744">
            <w:pPr>
              <w:spacing w:line="440" w:lineRule="exact"/>
              <w:jc w:val="center"/>
              <w:rPr>
                <w:rFonts w:hint="eastAsia" w:ascii="宋体" w:hAnsi="宋体" w:cs="宋体"/>
                <w:color w:val="000000" w:themeColor="text1"/>
                <w:szCs w:val="21"/>
                <w14:textFill>
                  <w14:solidFill>
                    <w14:schemeClr w14:val="tx1"/>
                  </w14:solidFill>
                </w14:textFill>
              </w:rPr>
            </w:pPr>
          </w:p>
        </w:tc>
        <w:tc>
          <w:tcPr>
            <w:tcW w:w="1212" w:type="dxa"/>
          </w:tcPr>
          <w:p w14:paraId="7385DCA3">
            <w:pPr>
              <w:spacing w:line="440" w:lineRule="exact"/>
              <w:jc w:val="center"/>
              <w:rPr>
                <w:rFonts w:hint="eastAsia" w:ascii="宋体" w:hAnsi="宋体" w:cs="宋体"/>
                <w:color w:val="000000" w:themeColor="text1"/>
                <w:szCs w:val="21"/>
                <w14:textFill>
                  <w14:solidFill>
                    <w14:schemeClr w14:val="tx1"/>
                  </w14:solidFill>
                </w14:textFill>
              </w:rPr>
            </w:pPr>
          </w:p>
        </w:tc>
        <w:tc>
          <w:tcPr>
            <w:tcW w:w="1653" w:type="dxa"/>
          </w:tcPr>
          <w:p w14:paraId="3A2FB354">
            <w:pPr>
              <w:spacing w:line="440" w:lineRule="exact"/>
              <w:jc w:val="center"/>
              <w:rPr>
                <w:rFonts w:hint="eastAsia" w:ascii="宋体" w:hAnsi="宋体" w:cs="宋体"/>
                <w:color w:val="000000" w:themeColor="text1"/>
                <w:szCs w:val="21"/>
                <w14:textFill>
                  <w14:solidFill>
                    <w14:schemeClr w14:val="tx1"/>
                  </w14:solidFill>
                </w14:textFill>
              </w:rPr>
            </w:pPr>
          </w:p>
        </w:tc>
        <w:tc>
          <w:tcPr>
            <w:tcW w:w="688" w:type="dxa"/>
          </w:tcPr>
          <w:p w14:paraId="476950B4">
            <w:pPr>
              <w:spacing w:line="440" w:lineRule="exact"/>
              <w:jc w:val="center"/>
              <w:rPr>
                <w:rFonts w:hint="eastAsia" w:ascii="宋体" w:hAnsi="宋体" w:cs="宋体"/>
                <w:color w:val="000000" w:themeColor="text1"/>
                <w:szCs w:val="21"/>
                <w14:textFill>
                  <w14:solidFill>
                    <w14:schemeClr w14:val="tx1"/>
                  </w14:solidFill>
                </w14:textFill>
              </w:rPr>
            </w:pPr>
          </w:p>
        </w:tc>
      </w:tr>
      <w:tr w14:paraId="5D690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42227763">
            <w:pPr>
              <w:spacing w:line="440" w:lineRule="exact"/>
              <w:jc w:val="center"/>
              <w:rPr>
                <w:rFonts w:hint="eastAsia" w:ascii="宋体" w:hAnsi="宋体" w:cs="宋体"/>
                <w:color w:val="000000" w:themeColor="text1"/>
                <w:szCs w:val="21"/>
                <w14:textFill>
                  <w14:solidFill>
                    <w14:schemeClr w14:val="tx1"/>
                  </w14:solidFill>
                </w14:textFill>
              </w:rPr>
            </w:pPr>
          </w:p>
        </w:tc>
        <w:tc>
          <w:tcPr>
            <w:tcW w:w="1087" w:type="dxa"/>
          </w:tcPr>
          <w:p w14:paraId="3A5264C0">
            <w:pPr>
              <w:spacing w:line="440" w:lineRule="exact"/>
              <w:jc w:val="center"/>
              <w:rPr>
                <w:rFonts w:hint="eastAsia" w:ascii="宋体" w:hAnsi="宋体" w:cs="宋体"/>
                <w:color w:val="000000" w:themeColor="text1"/>
                <w:szCs w:val="21"/>
                <w14:textFill>
                  <w14:solidFill>
                    <w14:schemeClr w14:val="tx1"/>
                  </w14:solidFill>
                </w14:textFill>
              </w:rPr>
            </w:pPr>
          </w:p>
        </w:tc>
        <w:tc>
          <w:tcPr>
            <w:tcW w:w="760" w:type="dxa"/>
          </w:tcPr>
          <w:p w14:paraId="0508FFBC">
            <w:pPr>
              <w:spacing w:line="440" w:lineRule="exact"/>
              <w:jc w:val="center"/>
              <w:rPr>
                <w:rFonts w:hint="eastAsia" w:ascii="宋体" w:hAnsi="宋体" w:cs="宋体"/>
                <w:color w:val="000000" w:themeColor="text1"/>
                <w:szCs w:val="21"/>
                <w14:textFill>
                  <w14:solidFill>
                    <w14:schemeClr w14:val="tx1"/>
                  </w14:solidFill>
                </w14:textFill>
              </w:rPr>
            </w:pPr>
          </w:p>
        </w:tc>
        <w:tc>
          <w:tcPr>
            <w:tcW w:w="991" w:type="dxa"/>
          </w:tcPr>
          <w:p w14:paraId="555C98AD">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563C9C02">
            <w:pPr>
              <w:spacing w:line="440" w:lineRule="exact"/>
              <w:jc w:val="center"/>
              <w:rPr>
                <w:rFonts w:hint="eastAsia" w:ascii="宋体" w:hAnsi="宋体" w:cs="宋体"/>
                <w:color w:val="000000" w:themeColor="text1"/>
                <w:szCs w:val="21"/>
                <w14:textFill>
                  <w14:solidFill>
                    <w14:schemeClr w14:val="tx1"/>
                  </w14:solidFill>
                </w14:textFill>
              </w:rPr>
            </w:pPr>
          </w:p>
        </w:tc>
        <w:tc>
          <w:tcPr>
            <w:tcW w:w="738" w:type="dxa"/>
          </w:tcPr>
          <w:p w14:paraId="74ACAAB2">
            <w:pPr>
              <w:spacing w:line="440" w:lineRule="exact"/>
              <w:jc w:val="center"/>
              <w:rPr>
                <w:rFonts w:hint="eastAsia" w:ascii="宋体" w:hAnsi="宋体" w:cs="宋体"/>
                <w:color w:val="000000" w:themeColor="text1"/>
                <w:szCs w:val="21"/>
                <w14:textFill>
                  <w14:solidFill>
                    <w14:schemeClr w14:val="tx1"/>
                  </w14:solidFill>
                </w14:textFill>
              </w:rPr>
            </w:pPr>
          </w:p>
        </w:tc>
        <w:tc>
          <w:tcPr>
            <w:tcW w:w="1212" w:type="dxa"/>
          </w:tcPr>
          <w:p w14:paraId="016666D3">
            <w:pPr>
              <w:spacing w:line="440" w:lineRule="exact"/>
              <w:jc w:val="center"/>
              <w:rPr>
                <w:rFonts w:hint="eastAsia" w:ascii="宋体" w:hAnsi="宋体" w:cs="宋体"/>
                <w:color w:val="000000" w:themeColor="text1"/>
                <w:szCs w:val="21"/>
                <w14:textFill>
                  <w14:solidFill>
                    <w14:schemeClr w14:val="tx1"/>
                  </w14:solidFill>
                </w14:textFill>
              </w:rPr>
            </w:pPr>
          </w:p>
        </w:tc>
        <w:tc>
          <w:tcPr>
            <w:tcW w:w="1653" w:type="dxa"/>
          </w:tcPr>
          <w:p w14:paraId="7E5FC495">
            <w:pPr>
              <w:spacing w:line="440" w:lineRule="exact"/>
              <w:jc w:val="center"/>
              <w:rPr>
                <w:rFonts w:hint="eastAsia" w:ascii="宋体" w:hAnsi="宋体" w:cs="宋体"/>
                <w:color w:val="000000" w:themeColor="text1"/>
                <w:szCs w:val="21"/>
                <w14:textFill>
                  <w14:solidFill>
                    <w14:schemeClr w14:val="tx1"/>
                  </w14:solidFill>
                </w14:textFill>
              </w:rPr>
            </w:pPr>
          </w:p>
        </w:tc>
        <w:tc>
          <w:tcPr>
            <w:tcW w:w="688" w:type="dxa"/>
          </w:tcPr>
          <w:p w14:paraId="7487BE86">
            <w:pPr>
              <w:spacing w:line="440" w:lineRule="exact"/>
              <w:jc w:val="center"/>
              <w:rPr>
                <w:rFonts w:hint="eastAsia" w:ascii="宋体" w:hAnsi="宋体" w:cs="宋体"/>
                <w:color w:val="000000" w:themeColor="text1"/>
                <w:szCs w:val="21"/>
                <w14:textFill>
                  <w14:solidFill>
                    <w14:schemeClr w14:val="tx1"/>
                  </w14:solidFill>
                </w14:textFill>
              </w:rPr>
            </w:pPr>
          </w:p>
        </w:tc>
      </w:tr>
      <w:tr w14:paraId="5B397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3EFB4397">
            <w:pPr>
              <w:spacing w:line="440" w:lineRule="exact"/>
              <w:jc w:val="center"/>
              <w:rPr>
                <w:rFonts w:hint="eastAsia" w:ascii="宋体" w:hAnsi="宋体" w:cs="宋体"/>
                <w:color w:val="000000" w:themeColor="text1"/>
                <w:szCs w:val="21"/>
                <w14:textFill>
                  <w14:solidFill>
                    <w14:schemeClr w14:val="tx1"/>
                  </w14:solidFill>
                </w14:textFill>
              </w:rPr>
            </w:pPr>
          </w:p>
        </w:tc>
        <w:tc>
          <w:tcPr>
            <w:tcW w:w="1087" w:type="dxa"/>
          </w:tcPr>
          <w:p w14:paraId="77FA2559">
            <w:pPr>
              <w:spacing w:line="440" w:lineRule="exact"/>
              <w:jc w:val="center"/>
              <w:rPr>
                <w:rFonts w:hint="eastAsia" w:ascii="宋体" w:hAnsi="宋体" w:cs="宋体"/>
                <w:color w:val="000000" w:themeColor="text1"/>
                <w:szCs w:val="21"/>
                <w14:textFill>
                  <w14:solidFill>
                    <w14:schemeClr w14:val="tx1"/>
                  </w14:solidFill>
                </w14:textFill>
              </w:rPr>
            </w:pPr>
          </w:p>
        </w:tc>
        <w:tc>
          <w:tcPr>
            <w:tcW w:w="760" w:type="dxa"/>
          </w:tcPr>
          <w:p w14:paraId="3A7D466C">
            <w:pPr>
              <w:spacing w:line="440" w:lineRule="exact"/>
              <w:jc w:val="center"/>
              <w:rPr>
                <w:rFonts w:hint="eastAsia" w:ascii="宋体" w:hAnsi="宋体" w:cs="宋体"/>
                <w:color w:val="000000" w:themeColor="text1"/>
                <w:szCs w:val="21"/>
                <w14:textFill>
                  <w14:solidFill>
                    <w14:schemeClr w14:val="tx1"/>
                  </w14:solidFill>
                </w14:textFill>
              </w:rPr>
            </w:pPr>
          </w:p>
        </w:tc>
        <w:tc>
          <w:tcPr>
            <w:tcW w:w="991" w:type="dxa"/>
          </w:tcPr>
          <w:p w14:paraId="0B7B6A48">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19002C7D">
            <w:pPr>
              <w:spacing w:line="440" w:lineRule="exact"/>
              <w:jc w:val="center"/>
              <w:rPr>
                <w:rFonts w:hint="eastAsia" w:ascii="宋体" w:hAnsi="宋体" w:cs="宋体"/>
                <w:color w:val="000000" w:themeColor="text1"/>
                <w:szCs w:val="21"/>
                <w14:textFill>
                  <w14:solidFill>
                    <w14:schemeClr w14:val="tx1"/>
                  </w14:solidFill>
                </w14:textFill>
              </w:rPr>
            </w:pPr>
          </w:p>
        </w:tc>
        <w:tc>
          <w:tcPr>
            <w:tcW w:w="738" w:type="dxa"/>
          </w:tcPr>
          <w:p w14:paraId="47B19D1D">
            <w:pPr>
              <w:spacing w:line="440" w:lineRule="exact"/>
              <w:jc w:val="center"/>
              <w:rPr>
                <w:rFonts w:hint="eastAsia" w:ascii="宋体" w:hAnsi="宋体" w:cs="宋体"/>
                <w:color w:val="000000" w:themeColor="text1"/>
                <w:szCs w:val="21"/>
                <w14:textFill>
                  <w14:solidFill>
                    <w14:schemeClr w14:val="tx1"/>
                  </w14:solidFill>
                </w14:textFill>
              </w:rPr>
            </w:pPr>
          </w:p>
        </w:tc>
        <w:tc>
          <w:tcPr>
            <w:tcW w:w="1212" w:type="dxa"/>
          </w:tcPr>
          <w:p w14:paraId="48C26211">
            <w:pPr>
              <w:spacing w:line="440" w:lineRule="exact"/>
              <w:jc w:val="center"/>
              <w:rPr>
                <w:rFonts w:hint="eastAsia" w:ascii="宋体" w:hAnsi="宋体" w:cs="宋体"/>
                <w:color w:val="000000" w:themeColor="text1"/>
                <w:szCs w:val="21"/>
                <w14:textFill>
                  <w14:solidFill>
                    <w14:schemeClr w14:val="tx1"/>
                  </w14:solidFill>
                </w14:textFill>
              </w:rPr>
            </w:pPr>
          </w:p>
        </w:tc>
        <w:tc>
          <w:tcPr>
            <w:tcW w:w="1653" w:type="dxa"/>
          </w:tcPr>
          <w:p w14:paraId="77E36CF7">
            <w:pPr>
              <w:spacing w:line="440" w:lineRule="exact"/>
              <w:jc w:val="center"/>
              <w:rPr>
                <w:rFonts w:hint="eastAsia" w:ascii="宋体" w:hAnsi="宋体" w:cs="宋体"/>
                <w:color w:val="000000" w:themeColor="text1"/>
                <w:szCs w:val="21"/>
                <w14:textFill>
                  <w14:solidFill>
                    <w14:schemeClr w14:val="tx1"/>
                  </w14:solidFill>
                </w14:textFill>
              </w:rPr>
            </w:pPr>
          </w:p>
        </w:tc>
        <w:tc>
          <w:tcPr>
            <w:tcW w:w="688" w:type="dxa"/>
          </w:tcPr>
          <w:p w14:paraId="4CFDEB94">
            <w:pPr>
              <w:spacing w:line="440" w:lineRule="exact"/>
              <w:jc w:val="center"/>
              <w:rPr>
                <w:rFonts w:hint="eastAsia" w:ascii="宋体" w:hAnsi="宋体" w:cs="宋体"/>
                <w:color w:val="000000" w:themeColor="text1"/>
                <w:szCs w:val="21"/>
                <w14:textFill>
                  <w14:solidFill>
                    <w14:schemeClr w14:val="tx1"/>
                  </w14:solidFill>
                </w14:textFill>
              </w:rPr>
            </w:pPr>
          </w:p>
        </w:tc>
      </w:tr>
      <w:tr w14:paraId="2F9F2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57709119">
            <w:pPr>
              <w:spacing w:line="440" w:lineRule="exact"/>
              <w:jc w:val="center"/>
              <w:rPr>
                <w:rFonts w:hint="eastAsia" w:ascii="宋体" w:hAnsi="宋体" w:cs="宋体"/>
                <w:color w:val="000000" w:themeColor="text1"/>
                <w:szCs w:val="21"/>
                <w14:textFill>
                  <w14:solidFill>
                    <w14:schemeClr w14:val="tx1"/>
                  </w14:solidFill>
                </w14:textFill>
              </w:rPr>
            </w:pPr>
          </w:p>
        </w:tc>
        <w:tc>
          <w:tcPr>
            <w:tcW w:w="1087" w:type="dxa"/>
          </w:tcPr>
          <w:p w14:paraId="556169EA">
            <w:pPr>
              <w:spacing w:line="440" w:lineRule="exact"/>
              <w:jc w:val="center"/>
              <w:rPr>
                <w:rFonts w:hint="eastAsia" w:ascii="宋体" w:hAnsi="宋体" w:cs="宋体"/>
                <w:color w:val="000000" w:themeColor="text1"/>
                <w:szCs w:val="21"/>
                <w14:textFill>
                  <w14:solidFill>
                    <w14:schemeClr w14:val="tx1"/>
                  </w14:solidFill>
                </w14:textFill>
              </w:rPr>
            </w:pPr>
          </w:p>
        </w:tc>
        <w:tc>
          <w:tcPr>
            <w:tcW w:w="760" w:type="dxa"/>
          </w:tcPr>
          <w:p w14:paraId="4103B8EF">
            <w:pPr>
              <w:spacing w:line="440" w:lineRule="exact"/>
              <w:jc w:val="center"/>
              <w:rPr>
                <w:rFonts w:hint="eastAsia" w:ascii="宋体" w:hAnsi="宋体" w:cs="宋体"/>
                <w:color w:val="000000" w:themeColor="text1"/>
                <w:szCs w:val="21"/>
                <w14:textFill>
                  <w14:solidFill>
                    <w14:schemeClr w14:val="tx1"/>
                  </w14:solidFill>
                </w14:textFill>
              </w:rPr>
            </w:pPr>
          </w:p>
        </w:tc>
        <w:tc>
          <w:tcPr>
            <w:tcW w:w="991" w:type="dxa"/>
          </w:tcPr>
          <w:p w14:paraId="5F11BA3E">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59CD598C">
            <w:pPr>
              <w:spacing w:line="440" w:lineRule="exact"/>
              <w:jc w:val="center"/>
              <w:rPr>
                <w:rFonts w:hint="eastAsia" w:ascii="宋体" w:hAnsi="宋体" w:cs="宋体"/>
                <w:color w:val="000000" w:themeColor="text1"/>
                <w:szCs w:val="21"/>
                <w14:textFill>
                  <w14:solidFill>
                    <w14:schemeClr w14:val="tx1"/>
                  </w14:solidFill>
                </w14:textFill>
              </w:rPr>
            </w:pPr>
          </w:p>
        </w:tc>
        <w:tc>
          <w:tcPr>
            <w:tcW w:w="738" w:type="dxa"/>
          </w:tcPr>
          <w:p w14:paraId="331B6CE0">
            <w:pPr>
              <w:spacing w:line="440" w:lineRule="exact"/>
              <w:jc w:val="center"/>
              <w:rPr>
                <w:rFonts w:hint="eastAsia" w:ascii="宋体" w:hAnsi="宋体" w:cs="宋体"/>
                <w:color w:val="000000" w:themeColor="text1"/>
                <w:szCs w:val="21"/>
                <w14:textFill>
                  <w14:solidFill>
                    <w14:schemeClr w14:val="tx1"/>
                  </w14:solidFill>
                </w14:textFill>
              </w:rPr>
            </w:pPr>
          </w:p>
        </w:tc>
        <w:tc>
          <w:tcPr>
            <w:tcW w:w="1212" w:type="dxa"/>
          </w:tcPr>
          <w:p w14:paraId="1052DA10">
            <w:pPr>
              <w:spacing w:line="440" w:lineRule="exact"/>
              <w:jc w:val="center"/>
              <w:rPr>
                <w:rFonts w:hint="eastAsia" w:ascii="宋体" w:hAnsi="宋体" w:cs="宋体"/>
                <w:color w:val="000000" w:themeColor="text1"/>
                <w:szCs w:val="21"/>
                <w14:textFill>
                  <w14:solidFill>
                    <w14:schemeClr w14:val="tx1"/>
                  </w14:solidFill>
                </w14:textFill>
              </w:rPr>
            </w:pPr>
          </w:p>
        </w:tc>
        <w:tc>
          <w:tcPr>
            <w:tcW w:w="1653" w:type="dxa"/>
          </w:tcPr>
          <w:p w14:paraId="0437D532">
            <w:pPr>
              <w:spacing w:line="440" w:lineRule="exact"/>
              <w:jc w:val="center"/>
              <w:rPr>
                <w:rFonts w:hint="eastAsia" w:ascii="宋体" w:hAnsi="宋体" w:cs="宋体"/>
                <w:color w:val="000000" w:themeColor="text1"/>
                <w:szCs w:val="21"/>
                <w14:textFill>
                  <w14:solidFill>
                    <w14:schemeClr w14:val="tx1"/>
                  </w14:solidFill>
                </w14:textFill>
              </w:rPr>
            </w:pPr>
          </w:p>
        </w:tc>
        <w:tc>
          <w:tcPr>
            <w:tcW w:w="688" w:type="dxa"/>
          </w:tcPr>
          <w:p w14:paraId="1682564D">
            <w:pPr>
              <w:spacing w:line="440" w:lineRule="exact"/>
              <w:jc w:val="center"/>
              <w:rPr>
                <w:rFonts w:hint="eastAsia" w:ascii="宋体" w:hAnsi="宋体" w:cs="宋体"/>
                <w:color w:val="000000" w:themeColor="text1"/>
                <w:szCs w:val="21"/>
                <w14:textFill>
                  <w14:solidFill>
                    <w14:schemeClr w14:val="tx1"/>
                  </w14:solidFill>
                </w14:textFill>
              </w:rPr>
            </w:pPr>
          </w:p>
        </w:tc>
      </w:tr>
      <w:tr w14:paraId="2E583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3E07AF47">
            <w:pPr>
              <w:spacing w:line="440" w:lineRule="exact"/>
              <w:jc w:val="center"/>
              <w:rPr>
                <w:rFonts w:hint="eastAsia" w:ascii="宋体" w:hAnsi="宋体" w:cs="宋体"/>
                <w:color w:val="000000" w:themeColor="text1"/>
                <w:szCs w:val="21"/>
                <w14:textFill>
                  <w14:solidFill>
                    <w14:schemeClr w14:val="tx1"/>
                  </w14:solidFill>
                </w14:textFill>
              </w:rPr>
            </w:pPr>
          </w:p>
        </w:tc>
        <w:tc>
          <w:tcPr>
            <w:tcW w:w="1087" w:type="dxa"/>
          </w:tcPr>
          <w:p w14:paraId="7D85BF19">
            <w:pPr>
              <w:spacing w:line="440" w:lineRule="exact"/>
              <w:jc w:val="center"/>
              <w:rPr>
                <w:rFonts w:hint="eastAsia" w:ascii="宋体" w:hAnsi="宋体" w:cs="宋体"/>
                <w:color w:val="000000" w:themeColor="text1"/>
                <w:szCs w:val="21"/>
                <w14:textFill>
                  <w14:solidFill>
                    <w14:schemeClr w14:val="tx1"/>
                  </w14:solidFill>
                </w14:textFill>
              </w:rPr>
            </w:pPr>
          </w:p>
        </w:tc>
        <w:tc>
          <w:tcPr>
            <w:tcW w:w="760" w:type="dxa"/>
          </w:tcPr>
          <w:p w14:paraId="700D3429">
            <w:pPr>
              <w:spacing w:line="440" w:lineRule="exact"/>
              <w:jc w:val="center"/>
              <w:rPr>
                <w:rFonts w:hint="eastAsia" w:ascii="宋体" w:hAnsi="宋体" w:cs="宋体"/>
                <w:color w:val="000000" w:themeColor="text1"/>
                <w:szCs w:val="21"/>
                <w14:textFill>
                  <w14:solidFill>
                    <w14:schemeClr w14:val="tx1"/>
                  </w14:solidFill>
                </w14:textFill>
              </w:rPr>
            </w:pPr>
          </w:p>
        </w:tc>
        <w:tc>
          <w:tcPr>
            <w:tcW w:w="991" w:type="dxa"/>
          </w:tcPr>
          <w:p w14:paraId="553FDEDB">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0C9788F9">
            <w:pPr>
              <w:spacing w:line="440" w:lineRule="exact"/>
              <w:jc w:val="center"/>
              <w:rPr>
                <w:rFonts w:hint="eastAsia" w:ascii="宋体" w:hAnsi="宋体" w:cs="宋体"/>
                <w:color w:val="000000" w:themeColor="text1"/>
                <w:szCs w:val="21"/>
                <w14:textFill>
                  <w14:solidFill>
                    <w14:schemeClr w14:val="tx1"/>
                  </w14:solidFill>
                </w14:textFill>
              </w:rPr>
            </w:pPr>
          </w:p>
        </w:tc>
        <w:tc>
          <w:tcPr>
            <w:tcW w:w="738" w:type="dxa"/>
          </w:tcPr>
          <w:p w14:paraId="36262AA5">
            <w:pPr>
              <w:spacing w:line="440" w:lineRule="exact"/>
              <w:jc w:val="center"/>
              <w:rPr>
                <w:rFonts w:hint="eastAsia" w:ascii="宋体" w:hAnsi="宋体" w:cs="宋体"/>
                <w:color w:val="000000" w:themeColor="text1"/>
                <w:szCs w:val="21"/>
                <w14:textFill>
                  <w14:solidFill>
                    <w14:schemeClr w14:val="tx1"/>
                  </w14:solidFill>
                </w14:textFill>
              </w:rPr>
            </w:pPr>
          </w:p>
        </w:tc>
        <w:tc>
          <w:tcPr>
            <w:tcW w:w="1212" w:type="dxa"/>
          </w:tcPr>
          <w:p w14:paraId="56D95423">
            <w:pPr>
              <w:spacing w:line="440" w:lineRule="exact"/>
              <w:jc w:val="center"/>
              <w:rPr>
                <w:rFonts w:hint="eastAsia" w:ascii="宋体" w:hAnsi="宋体" w:cs="宋体"/>
                <w:color w:val="000000" w:themeColor="text1"/>
                <w:szCs w:val="21"/>
                <w14:textFill>
                  <w14:solidFill>
                    <w14:schemeClr w14:val="tx1"/>
                  </w14:solidFill>
                </w14:textFill>
              </w:rPr>
            </w:pPr>
          </w:p>
        </w:tc>
        <w:tc>
          <w:tcPr>
            <w:tcW w:w="1653" w:type="dxa"/>
          </w:tcPr>
          <w:p w14:paraId="1A2F7296">
            <w:pPr>
              <w:spacing w:line="440" w:lineRule="exact"/>
              <w:jc w:val="center"/>
              <w:rPr>
                <w:rFonts w:hint="eastAsia" w:ascii="宋体" w:hAnsi="宋体" w:cs="宋体"/>
                <w:color w:val="000000" w:themeColor="text1"/>
                <w:szCs w:val="21"/>
                <w14:textFill>
                  <w14:solidFill>
                    <w14:schemeClr w14:val="tx1"/>
                  </w14:solidFill>
                </w14:textFill>
              </w:rPr>
            </w:pPr>
          </w:p>
        </w:tc>
        <w:tc>
          <w:tcPr>
            <w:tcW w:w="688" w:type="dxa"/>
          </w:tcPr>
          <w:p w14:paraId="1C2298F3">
            <w:pPr>
              <w:spacing w:line="440" w:lineRule="exact"/>
              <w:jc w:val="center"/>
              <w:rPr>
                <w:rFonts w:hint="eastAsia" w:ascii="宋体" w:hAnsi="宋体" w:cs="宋体"/>
                <w:color w:val="000000" w:themeColor="text1"/>
                <w:szCs w:val="21"/>
                <w14:textFill>
                  <w14:solidFill>
                    <w14:schemeClr w14:val="tx1"/>
                  </w14:solidFill>
                </w14:textFill>
              </w:rPr>
            </w:pPr>
          </w:p>
        </w:tc>
      </w:tr>
      <w:tr w14:paraId="6C8A8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7B3AB719">
            <w:pPr>
              <w:spacing w:line="440" w:lineRule="exact"/>
              <w:jc w:val="center"/>
              <w:rPr>
                <w:rFonts w:hint="eastAsia" w:ascii="宋体" w:hAnsi="宋体" w:cs="宋体"/>
                <w:color w:val="000000" w:themeColor="text1"/>
                <w:szCs w:val="21"/>
                <w14:textFill>
                  <w14:solidFill>
                    <w14:schemeClr w14:val="tx1"/>
                  </w14:solidFill>
                </w14:textFill>
              </w:rPr>
            </w:pPr>
          </w:p>
        </w:tc>
        <w:tc>
          <w:tcPr>
            <w:tcW w:w="1087" w:type="dxa"/>
          </w:tcPr>
          <w:p w14:paraId="483C17B1">
            <w:pPr>
              <w:spacing w:line="440" w:lineRule="exact"/>
              <w:jc w:val="center"/>
              <w:rPr>
                <w:rFonts w:hint="eastAsia" w:ascii="宋体" w:hAnsi="宋体" w:cs="宋体"/>
                <w:color w:val="000000" w:themeColor="text1"/>
                <w:szCs w:val="21"/>
                <w14:textFill>
                  <w14:solidFill>
                    <w14:schemeClr w14:val="tx1"/>
                  </w14:solidFill>
                </w14:textFill>
              </w:rPr>
            </w:pPr>
          </w:p>
        </w:tc>
        <w:tc>
          <w:tcPr>
            <w:tcW w:w="760" w:type="dxa"/>
          </w:tcPr>
          <w:p w14:paraId="1F56FC90">
            <w:pPr>
              <w:spacing w:line="440" w:lineRule="exact"/>
              <w:jc w:val="center"/>
              <w:rPr>
                <w:rFonts w:hint="eastAsia" w:ascii="宋体" w:hAnsi="宋体" w:cs="宋体"/>
                <w:color w:val="000000" w:themeColor="text1"/>
                <w:szCs w:val="21"/>
                <w14:textFill>
                  <w14:solidFill>
                    <w14:schemeClr w14:val="tx1"/>
                  </w14:solidFill>
                </w14:textFill>
              </w:rPr>
            </w:pPr>
          </w:p>
        </w:tc>
        <w:tc>
          <w:tcPr>
            <w:tcW w:w="991" w:type="dxa"/>
          </w:tcPr>
          <w:p w14:paraId="250CB1B0">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09E985F2">
            <w:pPr>
              <w:spacing w:line="440" w:lineRule="exact"/>
              <w:jc w:val="center"/>
              <w:rPr>
                <w:rFonts w:hint="eastAsia" w:ascii="宋体" w:hAnsi="宋体" w:cs="宋体"/>
                <w:color w:val="000000" w:themeColor="text1"/>
                <w:szCs w:val="21"/>
                <w14:textFill>
                  <w14:solidFill>
                    <w14:schemeClr w14:val="tx1"/>
                  </w14:solidFill>
                </w14:textFill>
              </w:rPr>
            </w:pPr>
          </w:p>
        </w:tc>
        <w:tc>
          <w:tcPr>
            <w:tcW w:w="738" w:type="dxa"/>
          </w:tcPr>
          <w:p w14:paraId="3483F8ED">
            <w:pPr>
              <w:spacing w:line="440" w:lineRule="exact"/>
              <w:jc w:val="center"/>
              <w:rPr>
                <w:rFonts w:hint="eastAsia" w:ascii="宋体" w:hAnsi="宋体" w:cs="宋体"/>
                <w:color w:val="000000" w:themeColor="text1"/>
                <w:szCs w:val="21"/>
                <w14:textFill>
                  <w14:solidFill>
                    <w14:schemeClr w14:val="tx1"/>
                  </w14:solidFill>
                </w14:textFill>
              </w:rPr>
            </w:pPr>
          </w:p>
        </w:tc>
        <w:tc>
          <w:tcPr>
            <w:tcW w:w="1212" w:type="dxa"/>
          </w:tcPr>
          <w:p w14:paraId="31438AB9">
            <w:pPr>
              <w:spacing w:line="440" w:lineRule="exact"/>
              <w:jc w:val="center"/>
              <w:rPr>
                <w:rFonts w:hint="eastAsia" w:ascii="宋体" w:hAnsi="宋体" w:cs="宋体"/>
                <w:color w:val="000000" w:themeColor="text1"/>
                <w:szCs w:val="21"/>
                <w14:textFill>
                  <w14:solidFill>
                    <w14:schemeClr w14:val="tx1"/>
                  </w14:solidFill>
                </w14:textFill>
              </w:rPr>
            </w:pPr>
          </w:p>
        </w:tc>
        <w:tc>
          <w:tcPr>
            <w:tcW w:w="1653" w:type="dxa"/>
          </w:tcPr>
          <w:p w14:paraId="617AD7EB">
            <w:pPr>
              <w:spacing w:line="440" w:lineRule="exact"/>
              <w:jc w:val="center"/>
              <w:rPr>
                <w:rFonts w:hint="eastAsia" w:ascii="宋体" w:hAnsi="宋体" w:cs="宋体"/>
                <w:color w:val="000000" w:themeColor="text1"/>
                <w:szCs w:val="21"/>
                <w14:textFill>
                  <w14:solidFill>
                    <w14:schemeClr w14:val="tx1"/>
                  </w14:solidFill>
                </w14:textFill>
              </w:rPr>
            </w:pPr>
          </w:p>
        </w:tc>
        <w:tc>
          <w:tcPr>
            <w:tcW w:w="688" w:type="dxa"/>
          </w:tcPr>
          <w:p w14:paraId="388A25A8">
            <w:pPr>
              <w:spacing w:line="440" w:lineRule="exact"/>
              <w:jc w:val="center"/>
              <w:rPr>
                <w:rFonts w:hint="eastAsia" w:ascii="宋体" w:hAnsi="宋体" w:cs="宋体"/>
                <w:color w:val="000000" w:themeColor="text1"/>
                <w:szCs w:val="21"/>
                <w14:textFill>
                  <w14:solidFill>
                    <w14:schemeClr w14:val="tx1"/>
                  </w14:solidFill>
                </w14:textFill>
              </w:rPr>
            </w:pPr>
          </w:p>
        </w:tc>
      </w:tr>
      <w:tr w14:paraId="22959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7DF66E72">
            <w:pPr>
              <w:spacing w:line="440" w:lineRule="exact"/>
              <w:jc w:val="center"/>
              <w:rPr>
                <w:rFonts w:hint="eastAsia" w:ascii="宋体" w:hAnsi="宋体" w:cs="宋体"/>
                <w:color w:val="000000" w:themeColor="text1"/>
                <w:szCs w:val="21"/>
                <w14:textFill>
                  <w14:solidFill>
                    <w14:schemeClr w14:val="tx1"/>
                  </w14:solidFill>
                </w14:textFill>
              </w:rPr>
            </w:pPr>
          </w:p>
        </w:tc>
        <w:tc>
          <w:tcPr>
            <w:tcW w:w="1087" w:type="dxa"/>
          </w:tcPr>
          <w:p w14:paraId="5F53FC7B">
            <w:pPr>
              <w:spacing w:line="440" w:lineRule="exact"/>
              <w:jc w:val="center"/>
              <w:rPr>
                <w:rFonts w:hint="eastAsia" w:ascii="宋体" w:hAnsi="宋体" w:cs="宋体"/>
                <w:color w:val="000000" w:themeColor="text1"/>
                <w:szCs w:val="21"/>
                <w14:textFill>
                  <w14:solidFill>
                    <w14:schemeClr w14:val="tx1"/>
                  </w14:solidFill>
                </w14:textFill>
              </w:rPr>
            </w:pPr>
          </w:p>
        </w:tc>
        <w:tc>
          <w:tcPr>
            <w:tcW w:w="760" w:type="dxa"/>
          </w:tcPr>
          <w:p w14:paraId="14C74AAC">
            <w:pPr>
              <w:spacing w:line="440" w:lineRule="exact"/>
              <w:jc w:val="center"/>
              <w:rPr>
                <w:rFonts w:hint="eastAsia" w:ascii="宋体" w:hAnsi="宋体" w:cs="宋体"/>
                <w:color w:val="000000" w:themeColor="text1"/>
                <w:szCs w:val="21"/>
                <w14:textFill>
                  <w14:solidFill>
                    <w14:schemeClr w14:val="tx1"/>
                  </w14:solidFill>
                </w14:textFill>
              </w:rPr>
            </w:pPr>
          </w:p>
        </w:tc>
        <w:tc>
          <w:tcPr>
            <w:tcW w:w="991" w:type="dxa"/>
          </w:tcPr>
          <w:p w14:paraId="63ECC2A2">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49FEBFD6">
            <w:pPr>
              <w:spacing w:line="440" w:lineRule="exact"/>
              <w:jc w:val="center"/>
              <w:rPr>
                <w:rFonts w:hint="eastAsia" w:ascii="宋体" w:hAnsi="宋体" w:cs="宋体"/>
                <w:color w:val="000000" w:themeColor="text1"/>
                <w:szCs w:val="21"/>
                <w14:textFill>
                  <w14:solidFill>
                    <w14:schemeClr w14:val="tx1"/>
                  </w14:solidFill>
                </w14:textFill>
              </w:rPr>
            </w:pPr>
          </w:p>
        </w:tc>
        <w:tc>
          <w:tcPr>
            <w:tcW w:w="738" w:type="dxa"/>
          </w:tcPr>
          <w:p w14:paraId="1A6C2D7B">
            <w:pPr>
              <w:spacing w:line="440" w:lineRule="exact"/>
              <w:jc w:val="center"/>
              <w:rPr>
                <w:rFonts w:hint="eastAsia" w:ascii="宋体" w:hAnsi="宋体" w:cs="宋体"/>
                <w:color w:val="000000" w:themeColor="text1"/>
                <w:szCs w:val="21"/>
                <w14:textFill>
                  <w14:solidFill>
                    <w14:schemeClr w14:val="tx1"/>
                  </w14:solidFill>
                </w14:textFill>
              </w:rPr>
            </w:pPr>
          </w:p>
        </w:tc>
        <w:tc>
          <w:tcPr>
            <w:tcW w:w="1212" w:type="dxa"/>
          </w:tcPr>
          <w:p w14:paraId="519A6C7B">
            <w:pPr>
              <w:spacing w:line="440" w:lineRule="exact"/>
              <w:jc w:val="center"/>
              <w:rPr>
                <w:rFonts w:hint="eastAsia" w:ascii="宋体" w:hAnsi="宋体" w:cs="宋体"/>
                <w:color w:val="000000" w:themeColor="text1"/>
                <w:szCs w:val="21"/>
                <w14:textFill>
                  <w14:solidFill>
                    <w14:schemeClr w14:val="tx1"/>
                  </w14:solidFill>
                </w14:textFill>
              </w:rPr>
            </w:pPr>
          </w:p>
        </w:tc>
        <w:tc>
          <w:tcPr>
            <w:tcW w:w="1653" w:type="dxa"/>
          </w:tcPr>
          <w:p w14:paraId="5A8D10F8">
            <w:pPr>
              <w:spacing w:line="440" w:lineRule="exact"/>
              <w:jc w:val="center"/>
              <w:rPr>
                <w:rFonts w:hint="eastAsia" w:ascii="宋体" w:hAnsi="宋体" w:cs="宋体"/>
                <w:color w:val="000000" w:themeColor="text1"/>
                <w:szCs w:val="21"/>
                <w14:textFill>
                  <w14:solidFill>
                    <w14:schemeClr w14:val="tx1"/>
                  </w14:solidFill>
                </w14:textFill>
              </w:rPr>
            </w:pPr>
          </w:p>
        </w:tc>
        <w:tc>
          <w:tcPr>
            <w:tcW w:w="688" w:type="dxa"/>
          </w:tcPr>
          <w:p w14:paraId="56C87BCB">
            <w:pPr>
              <w:spacing w:line="440" w:lineRule="exact"/>
              <w:jc w:val="center"/>
              <w:rPr>
                <w:rFonts w:hint="eastAsia" w:ascii="宋体" w:hAnsi="宋体" w:cs="宋体"/>
                <w:color w:val="000000" w:themeColor="text1"/>
                <w:szCs w:val="21"/>
                <w14:textFill>
                  <w14:solidFill>
                    <w14:schemeClr w14:val="tx1"/>
                  </w14:solidFill>
                </w14:textFill>
              </w:rPr>
            </w:pPr>
          </w:p>
        </w:tc>
      </w:tr>
      <w:tr w14:paraId="272B9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0EBE4507">
            <w:pPr>
              <w:spacing w:line="440" w:lineRule="exact"/>
              <w:jc w:val="center"/>
              <w:rPr>
                <w:rFonts w:hint="eastAsia" w:ascii="宋体" w:hAnsi="宋体" w:cs="宋体"/>
                <w:color w:val="000000" w:themeColor="text1"/>
                <w:szCs w:val="21"/>
                <w14:textFill>
                  <w14:solidFill>
                    <w14:schemeClr w14:val="tx1"/>
                  </w14:solidFill>
                </w14:textFill>
              </w:rPr>
            </w:pPr>
          </w:p>
        </w:tc>
        <w:tc>
          <w:tcPr>
            <w:tcW w:w="1087" w:type="dxa"/>
          </w:tcPr>
          <w:p w14:paraId="2D5FCFFA">
            <w:pPr>
              <w:spacing w:line="440" w:lineRule="exact"/>
              <w:jc w:val="center"/>
              <w:rPr>
                <w:rFonts w:hint="eastAsia" w:ascii="宋体" w:hAnsi="宋体" w:cs="宋体"/>
                <w:color w:val="000000" w:themeColor="text1"/>
                <w:szCs w:val="21"/>
                <w14:textFill>
                  <w14:solidFill>
                    <w14:schemeClr w14:val="tx1"/>
                  </w14:solidFill>
                </w14:textFill>
              </w:rPr>
            </w:pPr>
          </w:p>
        </w:tc>
        <w:tc>
          <w:tcPr>
            <w:tcW w:w="760" w:type="dxa"/>
          </w:tcPr>
          <w:p w14:paraId="2634C6D3">
            <w:pPr>
              <w:spacing w:line="440" w:lineRule="exact"/>
              <w:jc w:val="center"/>
              <w:rPr>
                <w:rFonts w:hint="eastAsia" w:ascii="宋体" w:hAnsi="宋体" w:cs="宋体"/>
                <w:color w:val="000000" w:themeColor="text1"/>
                <w:szCs w:val="21"/>
                <w14:textFill>
                  <w14:solidFill>
                    <w14:schemeClr w14:val="tx1"/>
                  </w14:solidFill>
                </w14:textFill>
              </w:rPr>
            </w:pPr>
          </w:p>
        </w:tc>
        <w:tc>
          <w:tcPr>
            <w:tcW w:w="991" w:type="dxa"/>
          </w:tcPr>
          <w:p w14:paraId="01A4D3C8">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3C9934B2">
            <w:pPr>
              <w:spacing w:line="440" w:lineRule="exact"/>
              <w:jc w:val="center"/>
              <w:rPr>
                <w:rFonts w:hint="eastAsia" w:ascii="宋体" w:hAnsi="宋体" w:cs="宋体"/>
                <w:color w:val="000000" w:themeColor="text1"/>
                <w:szCs w:val="21"/>
                <w14:textFill>
                  <w14:solidFill>
                    <w14:schemeClr w14:val="tx1"/>
                  </w14:solidFill>
                </w14:textFill>
              </w:rPr>
            </w:pPr>
          </w:p>
        </w:tc>
        <w:tc>
          <w:tcPr>
            <w:tcW w:w="738" w:type="dxa"/>
          </w:tcPr>
          <w:p w14:paraId="4A415780">
            <w:pPr>
              <w:spacing w:line="440" w:lineRule="exact"/>
              <w:jc w:val="center"/>
              <w:rPr>
                <w:rFonts w:hint="eastAsia" w:ascii="宋体" w:hAnsi="宋体" w:cs="宋体"/>
                <w:color w:val="000000" w:themeColor="text1"/>
                <w:szCs w:val="21"/>
                <w14:textFill>
                  <w14:solidFill>
                    <w14:schemeClr w14:val="tx1"/>
                  </w14:solidFill>
                </w14:textFill>
              </w:rPr>
            </w:pPr>
          </w:p>
        </w:tc>
        <w:tc>
          <w:tcPr>
            <w:tcW w:w="1212" w:type="dxa"/>
          </w:tcPr>
          <w:p w14:paraId="0362639D">
            <w:pPr>
              <w:spacing w:line="440" w:lineRule="exact"/>
              <w:jc w:val="center"/>
              <w:rPr>
                <w:rFonts w:hint="eastAsia" w:ascii="宋体" w:hAnsi="宋体" w:cs="宋体"/>
                <w:color w:val="000000" w:themeColor="text1"/>
                <w:szCs w:val="21"/>
                <w14:textFill>
                  <w14:solidFill>
                    <w14:schemeClr w14:val="tx1"/>
                  </w14:solidFill>
                </w14:textFill>
              </w:rPr>
            </w:pPr>
          </w:p>
        </w:tc>
        <w:tc>
          <w:tcPr>
            <w:tcW w:w="1653" w:type="dxa"/>
          </w:tcPr>
          <w:p w14:paraId="13E9F006">
            <w:pPr>
              <w:spacing w:line="440" w:lineRule="exact"/>
              <w:jc w:val="center"/>
              <w:rPr>
                <w:rFonts w:hint="eastAsia" w:ascii="宋体" w:hAnsi="宋体" w:cs="宋体"/>
                <w:color w:val="000000" w:themeColor="text1"/>
                <w:szCs w:val="21"/>
                <w14:textFill>
                  <w14:solidFill>
                    <w14:schemeClr w14:val="tx1"/>
                  </w14:solidFill>
                </w14:textFill>
              </w:rPr>
            </w:pPr>
          </w:p>
        </w:tc>
        <w:tc>
          <w:tcPr>
            <w:tcW w:w="688" w:type="dxa"/>
          </w:tcPr>
          <w:p w14:paraId="7C615DA2">
            <w:pPr>
              <w:spacing w:line="440" w:lineRule="exact"/>
              <w:jc w:val="center"/>
              <w:rPr>
                <w:rFonts w:hint="eastAsia" w:ascii="宋体" w:hAnsi="宋体" w:cs="宋体"/>
                <w:color w:val="000000" w:themeColor="text1"/>
                <w:szCs w:val="21"/>
                <w14:textFill>
                  <w14:solidFill>
                    <w14:schemeClr w14:val="tx1"/>
                  </w14:solidFill>
                </w14:textFill>
              </w:rPr>
            </w:pPr>
          </w:p>
        </w:tc>
      </w:tr>
      <w:tr w14:paraId="39B75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5F89C65D">
            <w:pPr>
              <w:spacing w:line="440" w:lineRule="exact"/>
              <w:jc w:val="center"/>
              <w:rPr>
                <w:rFonts w:hint="eastAsia" w:ascii="宋体" w:hAnsi="宋体" w:cs="宋体"/>
                <w:color w:val="000000" w:themeColor="text1"/>
                <w:szCs w:val="21"/>
                <w14:textFill>
                  <w14:solidFill>
                    <w14:schemeClr w14:val="tx1"/>
                  </w14:solidFill>
                </w14:textFill>
              </w:rPr>
            </w:pPr>
          </w:p>
        </w:tc>
        <w:tc>
          <w:tcPr>
            <w:tcW w:w="1087" w:type="dxa"/>
          </w:tcPr>
          <w:p w14:paraId="5D8DDDE2">
            <w:pPr>
              <w:spacing w:line="440" w:lineRule="exact"/>
              <w:jc w:val="center"/>
              <w:rPr>
                <w:rFonts w:hint="eastAsia" w:ascii="宋体" w:hAnsi="宋体" w:cs="宋体"/>
                <w:color w:val="000000" w:themeColor="text1"/>
                <w:szCs w:val="21"/>
                <w14:textFill>
                  <w14:solidFill>
                    <w14:schemeClr w14:val="tx1"/>
                  </w14:solidFill>
                </w14:textFill>
              </w:rPr>
            </w:pPr>
          </w:p>
        </w:tc>
        <w:tc>
          <w:tcPr>
            <w:tcW w:w="760" w:type="dxa"/>
          </w:tcPr>
          <w:p w14:paraId="7DF5E2CA">
            <w:pPr>
              <w:spacing w:line="440" w:lineRule="exact"/>
              <w:jc w:val="center"/>
              <w:rPr>
                <w:rFonts w:hint="eastAsia" w:ascii="宋体" w:hAnsi="宋体" w:cs="宋体"/>
                <w:color w:val="000000" w:themeColor="text1"/>
                <w:szCs w:val="21"/>
                <w14:textFill>
                  <w14:solidFill>
                    <w14:schemeClr w14:val="tx1"/>
                  </w14:solidFill>
                </w14:textFill>
              </w:rPr>
            </w:pPr>
          </w:p>
        </w:tc>
        <w:tc>
          <w:tcPr>
            <w:tcW w:w="991" w:type="dxa"/>
          </w:tcPr>
          <w:p w14:paraId="34F3D190">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1F06DBFC">
            <w:pPr>
              <w:spacing w:line="440" w:lineRule="exact"/>
              <w:jc w:val="center"/>
              <w:rPr>
                <w:rFonts w:hint="eastAsia" w:ascii="宋体" w:hAnsi="宋体" w:cs="宋体"/>
                <w:color w:val="000000" w:themeColor="text1"/>
                <w:szCs w:val="21"/>
                <w14:textFill>
                  <w14:solidFill>
                    <w14:schemeClr w14:val="tx1"/>
                  </w14:solidFill>
                </w14:textFill>
              </w:rPr>
            </w:pPr>
          </w:p>
        </w:tc>
        <w:tc>
          <w:tcPr>
            <w:tcW w:w="738" w:type="dxa"/>
          </w:tcPr>
          <w:p w14:paraId="54340DB7">
            <w:pPr>
              <w:spacing w:line="440" w:lineRule="exact"/>
              <w:jc w:val="center"/>
              <w:rPr>
                <w:rFonts w:hint="eastAsia" w:ascii="宋体" w:hAnsi="宋体" w:cs="宋体"/>
                <w:color w:val="000000" w:themeColor="text1"/>
                <w:szCs w:val="21"/>
                <w14:textFill>
                  <w14:solidFill>
                    <w14:schemeClr w14:val="tx1"/>
                  </w14:solidFill>
                </w14:textFill>
              </w:rPr>
            </w:pPr>
          </w:p>
        </w:tc>
        <w:tc>
          <w:tcPr>
            <w:tcW w:w="1212" w:type="dxa"/>
          </w:tcPr>
          <w:p w14:paraId="778B82E0">
            <w:pPr>
              <w:spacing w:line="440" w:lineRule="exact"/>
              <w:jc w:val="center"/>
              <w:rPr>
                <w:rFonts w:hint="eastAsia" w:ascii="宋体" w:hAnsi="宋体" w:cs="宋体"/>
                <w:color w:val="000000" w:themeColor="text1"/>
                <w:szCs w:val="21"/>
                <w14:textFill>
                  <w14:solidFill>
                    <w14:schemeClr w14:val="tx1"/>
                  </w14:solidFill>
                </w14:textFill>
              </w:rPr>
            </w:pPr>
          </w:p>
        </w:tc>
        <w:tc>
          <w:tcPr>
            <w:tcW w:w="1653" w:type="dxa"/>
          </w:tcPr>
          <w:p w14:paraId="4D95DD3C">
            <w:pPr>
              <w:spacing w:line="440" w:lineRule="exact"/>
              <w:jc w:val="center"/>
              <w:rPr>
                <w:rFonts w:hint="eastAsia" w:ascii="宋体" w:hAnsi="宋体" w:cs="宋体"/>
                <w:color w:val="000000" w:themeColor="text1"/>
                <w:szCs w:val="21"/>
                <w14:textFill>
                  <w14:solidFill>
                    <w14:schemeClr w14:val="tx1"/>
                  </w14:solidFill>
                </w14:textFill>
              </w:rPr>
            </w:pPr>
          </w:p>
        </w:tc>
        <w:tc>
          <w:tcPr>
            <w:tcW w:w="688" w:type="dxa"/>
          </w:tcPr>
          <w:p w14:paraId="06A997F6">
            <w:pPr>
              <w:spacing w:line="440" w:lineRule="exact"/>
              <w:jc w:val="center"/>
              <w:rPr>
                <w:rFonts w:hint="eastAsia" w:ascii="宋体" w:hAnsi="宋体" w:cs="宋体"/>
                <w:color w:val="000000" w:themeColor="text1"/>
                <w:szCs w:val="21"/>
                <w14:textFill>
                  <w14:solidFill>
                    <w14:schemeClr w14:val="tx1"/>
                  </w14:solidFill>
                </w14:textFill>
              </w:rPr>
            </w:pPr>
          </w:p>
        </w:tc>
      </w:tr>
      <w:tr w14:paraId="42468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28A3969D">
            <w:pPr>
              <w:spacing w:line="440" w:lineRule="exact"/>
              <w:jc w:val="center"/>
              <w:rPr>
                <w:rFonts w:hint="eastAsia" w:ascii="宋体" w:hAnsi="宋体" w:cs="宋体"/>
                <w:color w:val="000000" w:themeColor="text1"/>
                <w:szCs w:val="21"/>
                <w14:textFill>
                  <w14:solidFill>
                    <w14:schemeClr w14:val="tx1"/>
                  </w14:solidFill>
                </w14:textFill>
              </w:rPr>
            </w:pPr>
          </w:p>
        </w:tc>
        <w:tc>
          <w:tcPr>
            <w:tcW w:w="1087" w:type="dxa"/>
          </w:tcPr>
          <w:p w14:paraId="020C43BB">
            <w:pPr>
              <w:spacing w:line="440" w:lineRule="exact"/>
              <w:jc w:val="center"/>
              <w:rPr>
                <w:rFonts w:hint="eastAsia" w:ascii="宋体" w:hAnsi="宋体" w:cs="宋体"/>
                <w:color w:val="000000" w:themeColor="text1"/>
                <w:szCs w:val="21"/>
                <w14:textFill>
                  <w14:solidFill>
                    <w14:schemeClr w14:val="tx1"/>
                  </w14:solidFill>
                </w14:textFill>
              </w:rPr>
            </w:pPr>
          </w:p>
        </w:tc>
        <w:tc>
          <w:tcPr>
            <w:tcW w:w="760" w:type="dxa"/>
          </w:tcPr>
          <w:p w14:paraId="7384E489">
            <w:pPr>
              <w:spacing w:line="440" w:lineRule="exact"/>
              <w:jc w:val="center"/>
              <w:rPr>
                <w:rFonts w:hint="eastAsia" w:ascii="宋体" w:hAnsi="宋体" w:cs="宋体"/>
                <w:color w:val="000000" w:themeColor="text1"/>
                <w:szCs w:val="21"/>
                <w14:textFill>
                  <w14:solidFill>
                    <w14:schemeClr w14:val="tx1"/>
                  </w14:solidFill>
                </w14:textFill>
              </w:rPr>
            </w:pPr>
          </w:p>
        </w:tc>
        <w:tc>
          <w:tcPr>
            <w:tcW w:w="991" w:type="dxa"/>
          </w:tcPr>
          <w:p w14:paraId="56B3CA97">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319F22C6">
            <w:pPr>
              <w:spacing w:line="440" w:lineRule="exact"/>
              <w:jc w:val="center"/>
              <w:rPr>
                <w:rFonts w:hint="eastAsia" w:ascii="宋体" w:hAnsi="宋体" w:cs="宋体"/>
                <w:color w:val="000000" w:themeColor="text1"/>
                <w:szCs w:val="21"/>
                <w14:textFill>
                  <w14:solidFill>
                    <w14:schemeClr w14:val="tx1"/>
                  </w14:solidFill>
                </w14:textFill>
              </w:rPr>
            </w:pPr>
          </w:p>
        </w:tc>
        <w:tc>
          <w:tcPr>
            <w:tcW w:w="738" w:type="dxa"/>
          </w:tcPr>
          <w:p w14:paraId="632AA867">
            <w:pPr>
              <w:spacing w:line="440" w:lineRule="exact"/>
              <w:jc w:val="center"/>
              <w:rPr>
                <w:rFonts w:hint="eastAsia" w:ascii="宋体" w:hAnsi="宋体" w:cs="宋体"/>
                <w:color w:val="000000" w:themeColor="text1"/>
                <w:szCs w:val="21"/>
                <w14:textFill>
                  <w14:solidFill>
                    <w14:schemeClr w14:val="tx1"/>
                  </w14:solidFill>
                </w14:textFill>
              </w:rPr>
            </w:pPr>
          </w:p>
        </w:tc>
        <w:tc>
          <w:tcPr>
            <w:tcW w:w="1212" w:type="dxa"/>
          </w:tcPr>
          <w:p w14:paraId="79B94D97">
            <w:pPr>
              <w:spacing w:line="440" w:lineRule="exact"/>
              <w:jc w:val="center"/>
              <w:rPr>
                <w:rFonts w:hint="eastAsia" w:ascii="宋体" w:hAnsi="宋体" w:cs="宋体"/>
                <w:color w:val="000000" w:themeColor="text1"/>
                <w:szCs w:val="21"/>
                <w14:textFill>
                  <w14:solidFill>
                    <w14:schemeClr w14:val="tx1"/>
                  </w14:solidFill>
                </w14:textFill>
              </w:rPr>
            </w:pPr>
          </w:p>
        </w:tc>
        <w:tc>
          <w:tcPr>
            <w:tcW w:w="1653" w:type="dxa"/>
          </w:tcPr>
          <w:p w14:paraId="59561FC6">
            <w:pPr>
              <w:spacing w:line="440" w:lineRule="exact"/>
              <w:jc w:val="center"/>
              <w:rPr>
                <w:rFonts w:hint="eastAsia" w:ascii="宋体" w:hAnsi="宋体" w:cs="宋体"/>
                <w:color w:val="000000" w:themeColor="text1"/>
                <w:szCs w:val="21"/>
                <w14:textFill>
                  <w14:solidFill>
                    <w14:schemeClr w14:val="tx1"/>
                  </w14:solidFill>
                </w14:textFill>
              </w:rPr>
            </w:pPr>
          </w:p>
        </w:tc>
        <w:tc>
          <w:tcPr>
            <w:tcW w:w="688" w:type="dxa"/>
          </w:tcPr>
          <w:p w14:paraId="1DFA42D3">
            <w:pPr>
              <w:spacing w:line="440" w:lineRule="exact"/>
              <w:jc w:val="center"/>
              <w:rPr>
                <w:rFonts w:hint="eastAsia" w:ascii="宋体" w:hAnsi="宋体" w:cs="宋体"/>
                <w:color w:val="000000" w:themeColor="text1"/>
                <w:szCs w:val="21"/>
                <w14:textFill>
                  <w14:solidFill>
                    <w14:schemeClr w14:val="tx1"/>
                  </w14:solidFill>
                </w14:textFill>
              </w:rPr>
            </w:pPr>
          </w:p>
        </w:tc>
      </w:tr>
      <w:tr w14:paraId="7D9C4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4FB37E92">
            <w:pPr>
              <w:spacing w:line="440" w:lineRule="exact"/>
              <w:jc w:val="center"/>
              <w:rPr>
                <w:rFonts w:hint="eastAsia" w:ascii="宋体" w:hAnsi="宋体" w:cs="宋体"/>
                <w:color w:val="000000" w:themeColor="text1"/>
                <w:szCs w:val="21"/>
                <w14:textFill>
                  <w14:solidFill>
                    <w14:schemeClr w14:val="tx1"/>
                  </w14:solidFill>
                </w14:textFill>
              </w:rPr>
            </w:pPr>
          </w:p>
        </w:tc>
        <w:tc>
          <w:tcPr>
            <w:tcW w:w="1087" w:type="dxa"/>
          </w:tcPr>
          <w:p w14:paraId="6D4B1177">
            <w:pPr>
              <w:spacing w:line="440" w:lineRule="exact"/>
              <w:jc w:val="center"/>
              <w:rPr>
                <w:rFonts w:hint="eastAsia" w:ascii="宋体" w:hAnsi="宋体" w:cs="宋体"/>
                <w:color w:val="000000" w:themeColor="text1"/>
                <w:szCs w:val="21"/>
                <w14:textFill>
                  <w14:solidFill>
                    <w14:schemeClr w14:val="tx1"/>
                  </w14:solidFill>
                </w14:textFill>
              </w:rPr>
            </w:pPr>
          </w:p>
        </w:tc>
        <w:tc>
          <w:tcPr>
            <w:tcW w:w="760" w:type="dxa"/>
          </w:tcPr>
          <w:p w14:paraId="2D94A13C">
            <w:pPr>
              <w:spacing w:line="440" w:lineRule="exact"/>
              <w:jc w:val="center"/>
              <w:rPr>
                <w:rFonts w:hint="eastAsia" w:ascii="宋体" w:hAnsi="宋体" w:cs="宋体"/>
                <w:color w:val="000000" w:themeColor="text1"/>
                <w:szCs w:val="21"/>
                <w14:textFill>
                  <w14:solidFill>
                    <w14:schemeClr w14:val="tx1"/>
                  </w14:solidFill>
                </w14:textFill>
              </w:rPr>
            </w:pPr>
          </w:p>
        </w:tc>
        <w:tc>
          <w:tcPr>
            <w:tcW w:w="991" w:type="dxa"/>
          </w:tcPr>
          <w:p w14:paraId="508293ED">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3AF19D78">
            <w:pPr>
              <w:spacing w:line="440" w:lineRule="exact"/>
              <w:jc w:val="center"/>
              <w:rPr>
                <w:rFonts w:hint="eastAsia" w:ascii="宋体" w:hAnsi="宋体" w:cs="宋体"/>
                <w:color w:val="000000" w:themeColor="text1"/>
                <w:szCs w:val="21"/>
                <w14:textFill>
                  <w14:solidFill>
                    <w14:schemeClr w14:val="tx1"/>
                  </w14:solidFill>
                </w14:textFill>
              </w:rPr>
            </w:pPr>
          </w:p>
        </w:tc>
        <w:tc>
          <w:tcPr>
            <w:tcW w:w="738" w:type="dxa"/>
          </w:tcPr>
          <w:p w14:paraId="141C197A">
            <w:pPr>
              <w:spacing w:line="440" w:lineRule="exact"/>
              <w:jc w:val="center"/>
              <w:rPr>
                <w:rFonts w:hint="eastAsia" w:ascii="宋体" w:hAnsi="宋体" w:cs="宋体"/>
                <w:color w:val="000000" w:themeColor="text1"/>
                <w:szCs w:val="21"/>
                <w14:textFill>
                  <w14:solidFill>
                    <w14:schemeClr w14:val="tx1"/>
                  </w14:solidFill>
                </w14:textFill>
              </w:rPr>
            </w:pPr>
          </w:p>
        </w:tc>
        <w:tc>
          <w:tcPr>
            <w:tcW w:w="1212" w:type="dxa"/>
          </w:tcPr>
          <w:p w14:paraId="6D823808">
            <w:pPr>
              <w:spacing w:line="440" w:lineRule="exact"/>
              <w:jc w:val="center"/>
              <w:rPr>
                <w:rFonts w:hint="eastAsia" w:ascii="宋体" w:hAnsi="宋体" w:cs="宋体"/>
                <w:color w:val="000000" w:themeColor="text1"/>
                <w:szCs w:val="21"/>
                <w14:textFill>
                  <w14:solidFill>
                    <w14:schemeClr w14:val="tx1"/>
                  </w14:solidFill>
                </w14:textFill>
              </w:rPr>
            </w:pPr>
          </w:p>
        </w:tc>
        <w:tc>
          <w:tcPr>
            <w:tcW w:w="1653" w:type="dxa"/>
          </w:tcPr>
          <w:p w14:paraId="65E35B57">
            <w:pPr>
              <w:spacing w:line="440" w:lineRule="exact"/>
              <w:jc w:val="center"/>
              <w:rPr>
                <w:rFonts w:hint="eastAsia" w:ascii="宋体" w:hAnsi="宋体" w:cs="宋体"/>
                <w:color w:val="000000" w:themeColor="text1"/>
                <w:szCs w:val="21"/>
                <w14:textFill>
                  <w14:solidFill>
                    <w14:schemeClr w14:val="tx1"/>
                  </w14:solidFill>
                </w14:textFill>
              </w:rPr>
            </w:pPr>
          </w:p>
        </w:tc>
        <w:tc>
          <w:tcPr>
            <w:tcW w:w="688" w:type="dxa"/>
          </w:tcPr>
          <w:p w14:paraId="41FB312B">
            <w:pPr>
              <w:spacing w:line="440" w:lineRule="exact"/>
              <w:jc w:val="center"/>
              <w:rPr>
                <w:rFonts w:hint="eastAsia" w:ascii="宋体" w:hAnsi="宋体" w:cs="宋体"/>
                <w:color w:val="000000" w:themeColor="text1"/>
                <w:szCs w:val="21"/>
                <w14:textFill>
                  <w14:solidFill>
                    <w14:schemeClr w14:val="tx1"/>
                  </w14:solidFill>
                </w14:textFill>
              </w:rPr>
            </w:pPr>
          </w:p>
        </w:tc>
      </w:tr>
      <w:tr w14:paraId="4A653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648EF4A4">
            <w:pPr>
              <w:spacing w:line="440" w:lineRule="exact"/>
              <w:jc w:val="center"/>
              <w:rPr>
                <w:rFonts w:hint="eastAsia" w:ascii="宋体" w:hAnsi="宋体" w:cs="宋体"/>
                <w:color w:val="000000" w:themeColor="text1"/>
                <w:szCs w:val="21"/>
                <w14:textFill>
                  <w14:solidFill>
                    <w14:schemeClr w14:val="tx1"/>
                  </w14:solidFill>
                </w14:textFill>
              </w:rPr>
            </w:pPr>
          </w:p>
        </w:tc>
        <w:tc>
          <w:tcPr>
            <w:tcW w:w="1087" w:type="dxa"/>
          </w:tcPr>
          <w:p w14:paraId="01CB785D">
            <w:pPr>
              <w:spacing w:line="440" w:lineRule="exact"/>
              <w:jc w:val="center"/>
              <w:rPr>
                <w:rFonts w:hint="eastAsia" w:ascii="宋体" w:hAnsi="宋体" w:cs="宋体"/>
                <w:color w:val="000000" w:themeColor="text1"/>
                <w:szCs w:val="21"/>
                <w14:textFill>
                  <w14:solidFill>
                    <w14:schemeClr w14:val="tx1"/>
                  </w14:solidFill>
                </w14:textFill>
              </w:rPr>
            </w:pPr>
          </w:p>
        </w:tc>
        <w:tc>
          <w:tcPr>
            <w:tcW w:w="760" w:type="dxa"/>
          </w:tcPr>
          <w:p w14:paraId="2669F8B8">
            <w:pPr>
              <w:spacing w:line="440" w:lineRule="exact"/>
              <w:jc w:val="center"/>
              <w:rPr>
                <w:rFonts w:hint="eastAsia" w:ascii="宋体" w:hAnsi="宋体" w:cs="宋体"/>
                <w:color w:val="000000" w:themeColor="text1"/>
                <w:szCs w:val="21"/>
                <w14:textFill>
                  <w14:solidFill>
                    <w14:schemeClr w14:val="tx1"/>
                  </w14:solidFill>
                </w14:textFill>
              </w:rPr>
            </w:pPr>
          </w:p>
        </w:tc>
        <w:tc>
          <w:tcPr>
            <w:tcW w:w="991" w:type="dxa"/>
          </w:tcPr>
          <w:p w14:paraId="084AE9D9">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6516A83D">
            <w:pPr>
              <w:spacing w:line="440" w:lineRule="exact"/>
              <w:jc w:val="center"/>
              <w:rPr>
                <w:rFonts w:hint="eastAsia" w:ascii="宋体" w:hAnsi="宋体" w:cs="宋体"/>
                <w:color w:val="000000" w:themeColor="text1"/>
                <w:szCs w:val="21"/>
                <w14:textFill>
                  <w14:solidFill>
                    <w14:schemeClr w14:val="tx1"/>
                  </w14:solidFill>
                </w14:textFill>
              </w:rPr>
            </w:pPr>
          </w:p>
        </w:tc>
        <w:tc>
          <w:tcPr>
            <w:tcW w:w="738" w:type="dxa"/>
          </w:tcPr>
          <w:p w14:paraId="57407257">
            <w:pPr>
              <w:spacing w:line="440" w:lineRule="exact"/>
              <w:jc w:val="center"/>
              <w:rPr>
                <w:rFonts w:hint="eastAsia" w:ascii="宋体" w:hAnsi="宋体" w:cs="宋体"/>
                <w:color w:val="000000" w:themeColor="text1"/>
                <w:szCs w:val="21"/>
                <w14:textFill>
                  <w14:solidFill>
                    <w14:schemeClr w14:val="tx1"/>
                  </w14:solidFill>
                </w14:textFill>
              </w:rPr>
            </w:pPr>
          </w:p>
        </w:tc>
        <w:tc>
          <w:tcPr>
            <w:tcW w:w="1212" w:type="dxa"/>
          </w:tcPr>
          <w:p w14:paraId="3ABCC228">
            <w:pPr>
              <w:spacing w:line="440" w:lineRule="exact"/>
              <w:jc w:val="center"/>
              <w:rPr>
                <w:rFonts w:hint="eastAsia" w:ascii="宋体" w:hAnsi="宋体" w:cs="宋体"/>
                <w:color w:val="000000" w:themeColor="text1"/>
                <w:szCs w:val="21"/>
                <w14:textFill>
                  <w14:solidFill>
                    <w14:schemeClr w14:val="tx1"/>
                  </w14:solidFill>
                </w14:textFill>
              </w:rPr>
            </w:pPr>
          </w:p>
        </w:tc>
        <w:tc>
          <w:tcPr>
            <w:tcW w:w="1653" w:type="dxa"/>
          </w:tcPr>
          <w:p w14:paraId="7BEADA07">
            <w:pPr>
              <w:spacing w:line="440" w:lineRule="exact"/>
              <w:jc w:val="center"/>
              <w:rPr>
                <w:rFonts w:hint="eastAsia" w:ascii="宋体" w:hAnsi="宋体" w:cs="宋体"/>
                <w:color w:val="000000" w:themeColor="text1"/>
                <w:szCs w:val="21"/>
                <w14:textFill>
                  <w14:solidFill>
                    <w14:schemeClr w14:val="tx1"/>
                  </w14:solidFill>
                </w14:textFill>
              </w:rPr>
            </w:pPr>
          </w:p>
        </w:tc>
        <w:tc>
          <w:tcPr>
            <w:tcW w:w="688" w:type="dxa"/>
          </w:tcPr>
          <w:p w14:paraId="048A69F2">
            <w:pPr>
              <w:spacing w:line="440" w:lineRule="exact"/>
              <w:jc w:val="center"/>
              <w:rPr>
                <w:rFonts w:hint="eastAsia" w:ascii="宋体" w:hAnsi="宋体" w:cs="宋体"/>
                <w:color w:val="000000" w:themeColor="text1"/>
                <w:szCs w:val="21"/>
                <w14:textFill>
                  <w14:solidFill>
                    <w14:schemeClr w14:val="tx1"/>
                  </w14:solidFill>
                </w14:textFill>
              </w:rPr>
            </w:pPr>
          </w:p>
        </w:tc>
      </w:tr>
      <w:tr w14:paraId="1ED70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24C01C12">
            <w:pPr>
              <w:spacing w:line="440" w:lineRule="exact"/>
              <w:jc w:val="center"/>
              <w:rPr>
                <w:rFonts w:hint="eastAsia" w:ascii="宋体" w:hAnsi="宋体" w:cs="宋体"/>
                <w:color w:val="000000" w:themeColor="text1"/>
                <w:szCs w:val="21"/>
                <w14:textFill>
                  <w14:solidFill>
                    <w14:schemeClr w14:val="tx1"/>
                  </w14:solidFill>
                </w14:textFill>
              </w:rPr>
            </w:pPr>
          </w:p>
        </w:tc>
        <w:tc>
          <w:tcPr>
            <w:tcW w:w="1087" w:type="dxa"/>
          </w:tcPr>
          <w:p w14:paraId="59B87F18">
            <w:pPr>
              <w:spacing w:line="440" w:lineRule="exact"/>
              <w:jc w:val="center"/>
              <w:rPr>
                <w:rFonts w:hint="eastAsia" w:ascii="宋体" w:hAnsi="宋体" w:cs="宋体"/>
                <w:color w:val="000000" w:themeColor="text1"/>
                <w:szCs w:val="21"/>
                <w14:textFill>
                  <w14:solidFill>
                    <w14:schemeClr w14:val="tx1"/>
                  </w14:solidFill>
                </w14:textFill>
              </w:rPr>
            </w:pPr>
          </w:p>
        </w:tc>
        <w:tc>
          <w:tcPr>
            <w:tcW w:w="760" w:type="dxa"/>
          </w:tcPr>
          <w:p w14:paraId="3EFBC78A">
            <w:pPr>
              <w:spacing w:line="440" w:lineRule="exact"/>
              <w:jc w:val="center"/>
              <w:rPr>
                <w:rFonts w:hint="eastAsia" w:ascii="宋体" w:hAnsi="宋体" w:cs="宋体"/>
                <w:color w:val="000000" w:themeColor="text1"/>
                <w:szCs w:val="21"/>
                <w14:textFill>
                  <w14:solidFill>
                    <w14:schemeClr w14:val="tx1"/>
                  </w14:solidFill>
                </w14:textFill>
              </w:rPr>
            </w:pPr>
          </w:p>
        </w:tc>
        <w:tc>
          <w:tcPr>
            <w:tcW w:w="991" w:type="dxa"/>
          </w:tcPr>
          <w:p w14:paraId="165AEBA6">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495DF20C">
            <w:pPr>
              <w:spacing w:line="440" w:lineRule="exact"/>
              <w:jc w:val="center"/>
              <w:rPr>
                <w:rFonts w:hint="eastAsia" w:ascii="宋体" w:hAnsi="宋体" w:cs="宋体"/>
                <w:color w:val="000000" w:themeColor="text1"/>
                <w:szCs w:val="21"/>
                <w14:textFill>
                  <w14:solidFill>
                    <w14:schemeClr w14:val="tx1"/>
                  </w14:solidFill>
                </w14:textFill>
              </w:rPr>
            </w:pPr>
          </w:p>
        </w:tc>
        <w:tc>
          <w:tcPr>
            <w:tcW w:w="738" w:type="dxa"/>
          </w:tcPr>
          <w:p w14:paraId="6681C5A7">
            <w:pPr>
              <w:spacing w:line="440" w:lineRule="exact"/>
              <w:jc w:val="center"/>
              <w:rPr>
                <w:rFonts w:hint="eastAsia" w:ascii="宋体" w:hAnsi="宋体" w:cs="宋体"/>
                <w:color w:val="000000" w:themeColor="text1"/>
                <w:szCs w:val="21"/>
                <w14:textFill>
                  <w14:solidFill>
                    <w14:schemeClr w14:val="tx1"/>
                  </w14:solidFill>
                </w14:textFill>
              </w:rPr>
            </w:pPr>
          </w:p>
        </w:tc>
        <w:tc>
          <w:tcPr>
            <w:tcW w:w="1212" w:type="dxa"/>
          </w:tcPr>
          <w:p w14:paraId="021816D8">
            <w:pPr>
              <w:spacing w:line="440" w:lineRule="exact"/>
              <w:jc w:val="center"/>
              <w:rPr>
                <w:rFonts w:hint="eastAsia" w:ascii="宋体" w:hAnsi="宋体" w:cs="宋体"/>
                <w:color w:val="000000" w:themeColor="text1"/>
                <w:szCs w:val="21"/>
                <w14:textFill>
                  <w14:solidFill>
                    <w14:schemeClr w14:val="tx1"/>
                  </w14:solidFill>
                </w14:textFill>
              </w:rPr>
            </w:pPr>
          </w:p>
        </w:tc>
        <w:tc>
          <w:tcPr>
            <w:tcW w:w="1653" w:type="dxa"/>
          </w:tcPr>
          <w:p w14:paraId="0C27B185">
            <w:pPr>
              <w:spacing w:line="440" w:lineRule="exact"/>
              <w:jc w:val="center"/>
              <w:rPr>
                <w:rFonts w:hint="eastAsia" w:ascii="宋体" w:hAnsi="宋体" w:cs="宋体"/>
                <w:color w:val="000000" w:themeColor="text1"/>
                <w:szCs w:val="21"/>
                <w14:textFill>
                  <w14:solidFill>
                    <w14:schemeClr w14:val="tx1"/>
                  </w14:solidFill>
                </w14:textFill>
              </w:rPr>
            </w:pPr>
          </w:p>
        </w:tc>
        <w:tc>
          <w:tcPr>
            <w:tcW w:w="688" w:type="dxa"/>
          </w:tcPr>
          <w:p w14:paraId="4D44E225">
            <w:pPr>
              <w:spacing w:line="440" w:lineRule="exact"/>
              <w:jc w:val="center"/>
              <w:rPr>
                <w:rFonts w:hint="eastAsia" w:ascii="宋体" w:hAnsi="宋体" w:cs="宋体"/>
                <w:color w:val="000000" w:themeColor="text1"/>
                <w:szCs w:val="21"/>
                <w14:textFill>
                  <w14:solidFill>
                    <w14:schemeClr w14:val="tx1"/>
                  </w14:solidFill>
                </w14:textFill>
              </w:rPr>
            </w:pPr>
          </w:p>
        </w:tc>
      </w:tr>
      <w:tr w14:paraId="79FB4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141DD2AF">
            <w:pPr>
              <w:spacing w:line="440" w:lineRule="exact"/>
              <w:jc w:val="center"/>
              <w:rPr>
                <w:rFonts w:hint="eastAsia" w:ascii="宋体" w:hAnsi="宋体" w:cs="宋体"/>
                <w:color w:val="000000" w:themeColor="text1"/>
                <w:szCs w:val="21"/>
                <w14:textFill>
                  <w14:solidFill>
                    <w14:schemeClr w14:val="tx1"/>
                  </w14:solidFill>
                </w14:textFill>
              </w:rPr>
            </w:pPr>
          </w:p>
        </w:tc>
        <w:tc>
          <w:tcPr>
            <w:tcW w:w="1087" w:type="dxa"/>
          </w:tcPr>
          <w:p w14:paraId="5808E25B">
            <w:pPr>
              <w:spacing w:line="440" w:lineRule="exact"/>
              <w:jc w:val="center"/>
              <w:rPr>
                <w:rFonts w:hint="eastAsia" w:ascii="宋体" w:hAnsi="宋体" w:cs="宋体"/>
                <w:color w:val="000000" w:themeColor="text1"/>
                <w:szCs w:val="21"/>
                <w14:textFill>
                  <w14:solidFill>
                    <w14:schemeClr w14:val="tx1"/>
                  </w14:solidFill>
                </w14:textFill>
              </w:rPr>
            </w:pPr>
          </w:p>
        </w:tc>
        <w:tc>
          <w:tcPr>
            <w:tcW w:w="760" w:type="dxa"/>
          </w:tcPr>
          <w:p w14:paraId="4B69FEE1">
            <w:pPr>
              <w:spacing w:line="440" w:lineRule="exact"/>
              <w:jc w:val="center"/>
              <w:rPr>
                <w:rFonts w:hint="eastAsia" w:ascii="宋体" w:hAnsi="宋体" w:cs="宋体"/>
                <w:color w:val="000000" w:themeColor="text1"/>
                <w:szCs w:val="21"/>
                <w14:textFill>
                  <w14:solidFill>
                    <w14:schemeClr w14:val="tx1"/>
                  </w14:solidFill>
                </w14:textFill>
              </w:rPr>
            </w:pPr>
          </w:p>
        </w:tc>
        <w:tc>
          <w:tcPr>
            <w:tcW w:w="991" w:type="dxa"/>
          </w:tcPr>
          <w:p w14:paraId="4C369670">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4743A9B7">
            <w:pPr>
              <w:spacing w:line="440" w:lineRule="exact"/>
              <w:jc w:val="center"/>
              <w:rPr>
                <w:rFonts w:hint="eastAsia" w:ascii="宋体" w:hAnsi="宋体" w:cs="宋体"/>
                <w:color w:val="000000" w:themeColor="text1"/>
                <w:szCs w:val="21"/>
                <w14:textFill>
                  <w14:solidFill>
                    <w14:schemeClr w14:val="tx1"/>
                  </w14:solidFill>
                </w14:textFill>
              </w:rPr>
            </w:pPr>
          </w:p>
        </w:tc>
        <w:tc>
          <w:tcPr>
            <w:tcW w:w="738" w:type="dxa"/>
          </w:tcPr>
          <w:p w14:paraId="67D71F8C">
            <w:pPr>
              <w:spacing w:line="440" w:lineRule="exact"/>
              <w:jc w:val="center"/>
              <w:rPr>
                <w:rFonts w:hint="eastAsia" w:ascii="宋体" w:hAnsi="宋体" w:cs="宋体"/>
                <w:color w:val="000000" w:themeColor="text1"/>
                <w:szCs w:val="21"/>
                <w14:textFill>
                  <w14:solidFill>
                    <w14:schemeClr w14:val="tx1"/>
                  </w14:solidFill>
                </w14:textFill>
              </w:rPr>
            </w:pPr>
          </w:p>
        </w:tc>
        <w:tc>
          <w:tcPr>
            <w:tcW w:w="1212" w:type="dxa"/>
          </w:tcPr>
          <w:p w14:paraId="1C8E4643">
            <w:pPr>
              <w:spacing w:line="440" w:lineRule="exact"/>
              <w:jc w:val="center"/>
              <w:rPr>
                <w:rFonts w:hint="eastAsia" w:ascii="宋体" w:hAnsi="宋体" w:cs="宋体"/>
                <w:color w:val="000000" w:themeColor="text1"/>
                <w:szCs w:val="21"/>
                <w14:textFill>
                  <w14:solidFill>
                    <w14:schemeClr w14:val="tx1"/>
                  </w14:solidFill>
                </w14:textFill>
              </w:rPr>
            </w:pPr>
          </w:p>
        </w:tc>
        <w:tc>
          <w:tcPr>
            <w:tcW w:w="1653" w:type="dxa"/>
          </w:tcPr>
          <w:p w14:paraId="55C5CA3C">
            <w:pPr>
              <w:spacing w:line="440" w:lineRule="exact"/>
              <w:jc w:val="center"/>
              <w:rPr>
                <w:rFonts w:hint="eastAsia" w:ascii="宋体" w:hAnsi="宋体" w:cs="宋体"/>
                <w:color w:val="000000" w:themeColor="text1"/>
                <w:szCs w:val="21"/>
                <w14:textFill>
                  <w14:solidFill>
                    <w14:schemeClr w14:val="tx1"/>
                  </w14:solidFill>
                </w14:textFill>
              </w:rPr>
            </w:pPr>
          </w:p>
        </w:tc>
        <w:tc>
          <w:tcPr>
            <w:tcW w:w="688" w:type="dxa"/>
          </w:tcPr>
          <w:p w14:paraId="30514FF1">
            <w:pPr>
              <w:spacing w:line="440" w:lineRule="exact"/>
              <w:jc w:val="center"/>
              <w:rPr>
                <w:rFonts w:hint="eastAsia" w:ascii="宋体" w:hAnsi="宋体" w:cs="宋体"/>
                <w:color w:val="000000" w:themeColor="text1"/>
                <w:szCs w:val="21"/>
                <w14:textFill>
                  <w14:solidFill>
                    <w14:schemeClr w14:val="tx1"/>
                  </w14:solidFill>
                </w14:textFill>
              </w:rPr>
            </w:pPr>
          </w:p>
        </w:tc>
      </w:tr>
      <w:tr w14:paraId="14862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6F2B84F2">
            <w:pPr>
              <w:spacing w:line="440" w:lineRule="exact"/>
              <w:jc w:val="center"/>
              <w:rPr>
                <w:rFonts w:hint="eastAsia" w:ascii="宋体" w:hAnsi="宋体" w:cs="宋体"/>
                <w:color w:val="000000" w:themeColor="text1"/>
                <w:szCs w:val="21"/>
                <w14:textFill>
                  <w14:solidFill>
                    <w14:schemeClr w14:val="tx1"/>
                  </w14:solidFill>
                </w14:textFill>
              </w:rPr>
            </w:pPr>
          </w:p>
        </w:tc>
        <w:tc>
          <w:tcPr>
            <w:tcW w:w="1087" w:type="dxa"/>
          </w:tcPr>
          <w:p w14:paraId="703EFFEC">
            <w:pPr>
              <w:spacing w:line="440" w:lineRule="exact"/>
              <w:jc w:val="center"/>
              <w:rPr>
                <w:rFonts w:hint="eastAsia" w:ascii="宋体" w:hAnsi="宋体" w:cs="宋体"/>
                <w:color w:val="000000" w:themeColor="text1"/>
                <w:szCs w:val="21"/>
                <w14:textFill>
                  <w14:solidFill>
                    <w14:schemeClr w14:val="tx1"/>
                  </w14:solidFill>
                </w14:textFill>
              </w:rPr>
            </w:pPr>
          </w:p>
        </w:tc>
        <w:tc>
          <w:tcPr>
            <w:tcW w:w="760" w:type="dxa"/>
          </w:tcPr>
          <w:p w14:paraId="22E103DB">
            <w:pPr>
              <w:spacing w:line="440" w:lineRule="exact"/>
              <w:jc w:val="center"/>
              <w:rPr>
                <w:rFonts w:hint="eastAsia" w:ascii="宋体" w:hAnsi="宋体" w:cs="宋体"/>
                <w:color w:val="000000" w:themeColor="text1"/>
                <w:szCs w:val="21"/>
                <w14:textFill>
                  <w14:solidFill>
                    <w14:schemeClr w14:val="tx1"/>
                  </w14:solidFill>
                </w14:textFill>
              </w:rPr>
            </w:pPr>
          </w:p>
        </w:tc>
        <w:tc>
          <w:tcPr>
            <w:tcW w:w="991" w:type="dxa"/>
          </w:tcPr>
          <w:p w14:paraId="1F3AAD47">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65FDF8BB">
            <w:pPr>
              <w:spacing w:line="440" w:lineRule="exact"/>
              <w:jc w:val="center"/>
              <w:rPr>
                <w:rFonts w:hint="eastAsia" w:ascii="宋体" w:hAnsi="宋体" w:cs="宋体"/>
                <w:color w:val="000000" w:themeColor="text1"/>
                <w:szCs w:val="21"/>
                <w14:textFill>
                  <w14:solidFill>
                    <w14:schemeClr w14:val="tx1"/>
                  </w14:solidFill>
                </w14:textFill>
              </w:rPr>
            </w:pPr>
          </w:p>
        </w:tc>
        <w:tc>
          <w:tcPr>
            <w:tcW w:w="738" w:type="dxa"/>
          </w:tcPr>
          <w:p w14:paraId="73A77AC1">
            <w:pPr>
              <w:spacing w:line="440" w:lineRule="exact"/>
              <w:jc w:val="center"/>
              <w:rPr>
                <w:rFonts w:hint="eastAsia" w:ascii="宋体" w:hAnsi="宋体" w:cs="宋体"/>
                <w:color w:val="000000" w:themeColor="text1"/>
                <w:szCs w:val="21"/>
                <w14:textFill>
                  <w14:solidFill>
                    <w14:schemeClr w14:val="tx1"/>
                  </w14:solidFill>
                </w14:textFill>
              </w:rPr>
            </w:pPr>
          </w:p>
        </w:tc>
        <w:tc>
          <w:tcPr>
            <w:tcW w:w="1212" w:type="dxa"/>
          </w:tcPr>
          <w:p w14:paraId="5B9CBB06">
            <w:pPr>
              <w:spacing w:line="440" w:lineRule="exact"/>
              <w:jc w:val="center"/>
              <w:rPr>
                <w:rFonts w:hint="eastAsia" w:ascii="宋体" w:hAnsi="宋体" w:cs="宋体"/>
                <w:color w:val="000000" w:themeColor="text1"/>
                <w:szCs w:val="21"/>
                <w14:textFill>
                  <w14:solidFill>
                    <w14:schemeClr w14:val="tx1"/>
                  </w14:solidFill>
                </w14:textFill>
              </w:rPr>
            </w:pPr>
          </w:p>
        </w:tc>
        <w:tc>
          <w:tcPr>
            <w:tcW w:w="1653" w:type="dxa"/>
          </w:tcPr>
          <w:p w14:paraId="642DC297">
            <w:pPr>
              <w:spacing w:line="440" w:lineRule="exact"/>
              <w:jc w:val="center"/>
              <w:rPr>
                <w:rFonts w:hint="eastAsia" w:ascii="宋体" w:hAnsi="宋体" w:cs="宋体"/>
                <w:color w:val="000000" w:themeColor="text1"/>
                <w:szCs w:val="21"/>
                <w14:textFill>
                  <w14:solidFill>
                    <w14:schemeClr w14:val="tx1"/>
                  </w14:solidFill>
                </w14:textFill>
              </w:rPr>
            </w:pPr>
          </w:p>
        </w:tc>
        <w:tc>
          <w:tcPr>
            <w:tcW w:w="688" w:type="dxa"/>
          </w:tcPr>
          <w:p w14:paraId="37992298">
            <w:pPr>
              <w:spacing w:line="440" w:lineRule="exact"/>
              <w:jc w:val="center"/>
              <w:rPr>
                <w:rFonts w:hint="eastAsia" w:ascii="宋体" w:hAnsi="宋体" w:cs="宋体"/>
                <w:color w:val="000000" w:themeColor="text1"/>
                <w:szCs w:val="21"/>
                <w14:textFill>
                  <w14:solidFill>
                    <w14:schemeClr w14:val="tx1"/>
                  </w14:solidFill>
                </w14:textFill>
              </w:rPr>
            </w:pPr>
          </w:p>
        </w:tc>
      </w:tr>
      <w:tr w14:paraId="3755D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7A41CA57">
            <w:pPr>
              <w:spacing w:line="440" w:lineRule="exact"/>
              <w:jc w:val="center"/>
              <w:rPr>
                <w:rFonts w:hint="eastAsia" w:ascii="宋体" w:hAnsi="宋体" w:cs="宋体"/>
                <w:color w:val="000000" w:themeColor="text1"/>
                <w:szCs w:val="21"/>
                <w14:textFill>
                  <w14:solidFill>
                    <w14:schemeClr w14:val="tx1"/>
                  </w14:solidFill>
                </w14:textFill>
              </w:rPr>
            </w:pPr>
          </w:p>
        </w:tc>
        <w:tc>
          <w:tcPr>
            <w:tcW w:w="1087" w:type="dxa"/>
          </w:tcPr>
          <w:p w14:paraId="762D9369">
            <w:pPr>
              <w:spacing w:line="440" w:lineRule="exact"/>
              <w:jc w:val="center"/>
              <w:rPr>
                <w:rFonts w:hint="eastAsia" w:ascii="宋体" w:hAnsi="宋体" w:cs="宋体"/>
                <w:color w:val="000000" w:themeColor="text1"/>
                <w:szCs w:val="21"/>
                <w14:textFill>
                  <w14:solidFill>
                    <w14:schemeClr w14:val="tx1"/>
                  </w14:solidFill>
                </w14:textFill>
              </w:rPr>
            </w:pPr>
          </w:p>
        </w:tc>
        <w:tc>
          <w:tcPr>
            <w:tcW w:w="760" w:type="dxa"/>
          </w:tcPr>
          <w:p w14:paraId="302DA777">
            <w:pPr>
              <w:spacing w:line="440" w:lineRule="exact"/>
              <w:jc w:val="center"/>
              <w:rPr>
                <w:rFonts w:hint="eastAsia" w:ascii="宋体" w:hAnsi="宋体" w:cs="宋体"/>
                <w:color w:val="000000" w:themeColor="text1"/>
                <w:szCs w:val="21"/>
                <w14:textFill>
                  <w14:solidFill>
                    <w14:schemeClr w14:val="tx1"/>
                  </w14:solidFill>
                </w14:textFill>
              </w:rPr>
            </w:pPr>
          </w:p>
        </w:tc>
        <w:tc>
          <w:tcPr>
            <w:tcW w:w="991" w:type="dxa"/>
          </w:tcPr>
          <w:p w14:paraId="0C5B6C8D">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51DF7062">
            <w:pPr>
              <w:spacing w:line="440" w:lineRule="exact"/>
              <w:jc w:val="center"/>
              <w:rPr>
                <w:rFonts w:hint="eastAsia" w:ascii="宋体" w:hAnsi="宋体" w:cs="宋体"/>
                <w:color w:val="000000" w:themeColor="text1"/>
                <w:szCs w:val="21"/>
                <w14:textFill>
                  <w14:solidFill>
                    <w14:schemeClr w14:val="tx1"/>
                  </w14:solidFill>
                </w14:textFill>
              </w:rPr>
            </w:pPr>
          </w:p>
        </w:tc>
        <w:tc>
          <w:tcPr>
            <w:tcW w:w="738" w:type="dxa"/>
          </w:tcPr>
          <w:p w14:paraId="27690239">
            <w:pPr>
              <w:spacing w:line="440" w:lineRule="exact"/>
              <w:jc w:val="center"/>
              <w:rPr>
                <w:rFonts w:hint="eastAsia" w:ascii="宋体" w:hAnsi="宋体" w:cs="宋体"/>
                <w:color w:val="000000" w:themeColor="text1"/>
                <w:szCs w:val="21"/>
                <w14:textFill>
                  <w14:solidFill>
                    <w14:schemeClr w14:val="tx1"/>
                  </w14:solidFill>
                </w14:textFill>
              </w:rPr>
            </w:pPr>
          </w:p>
        </w:tc>
        <w:tc>
          <w:tcPr>
            <w:tcW w:w="1212" w:type="dxa"/>
          </w:tcPr>
          <w:p w14:paraId="0B510EED">
            <w:pPr>
              <w:spacing w:line="440" w:lineRule="exact"/>
              <w:jc w:val="center"/>
              <w:rPr>
                <w:rFonts w:hint="eastAsia" w:ascii="宋体" w:hAnsi="宋体" w:cs="宋体"/>
                <w:color w:val="000000" w:themeColor="text1"/>
                <w:szCs w:val="21"/>
                <w14:textFill>
                  <w14:solidFill>
                    <w14:schemeClr w14:val="tx1"/>
                  </w14:solidFill>
                </w14:textFill>
              </w:rPr>
            </w:pPr>
          </w:p>
        </w:tc>
        <w:tc>
          <w:tcPr>
            <w:tcW w:w="1653" w:type="dxa"/>
          </w:tcPr>
          <w:p w14:paraId="55D87DBF">
            <w:pPr>
              <w:spacing w:line="440" w:lineRule="exact"/>
              <w:jc w:val="center"/>
              <w:rPr>
                <w:rFonts w:hint="eastAsia" w:ascii="宋体" w:hAnsi="宋体" w:cs="宋体"/>
                <w:color w:val="000000" w:themeColor="text1"/>
                <w:szCs w:val="21"/>
                <w14:textFill>
                  <w14:solidFill>
                    <w14:schemeClr w14:val="tx1"/>
                  </w14:solidFill>
                </w14:textFill>
              </w:rPr>
            </w:pPr>
          </w:p>
        </w:tc>
        <w:tc>
          <w:tcPr>
            <w:tcW w:w="688" w:type="dxa"/>
          </w:tcPr>
          <w:p w14:paraId="52B5B2CF">
            <w:pPr>
              <w:spacing w:line="440" w:lineRule="exact"/>
              <w:jc w:val="center"/>
              <w:rPr>
                <w:rFonts w:hint="eastAsia" w:ascii="宋体" w:hAnsi="宋体" w:cs="宋体"/>
                <w:color w:val="000000" w:themeColor="text1"/>
                <w:szCs w:val="21"/>
                <w14:textFill>
                  <w14:solidFill>
                    <w14:schemeClr w14:val="tx1"/>
                  </w14:solidFill>
                </w14:textFill>
              </w:rPr>
            </w:pPr>
          </w:p>
        </w:tc>
      </w:tr>
    </w:tbl>
    <w:p w14:paraId="39588ACB">
      <w:pPr>
        <w:spacing w:line="440" w:lineRule="exact"/>
        <w:jc w:val="center"/>
        <w:rPr>
          <w:rFonts w:hint="eastAsia" w:ascii="宋体" w:hAnsi="宋体" w:cs="宋体"/>
          <w:color w:val="000000" w:themeColor="text1"/>
          <w14:textFill>
            <w14:solidFill>
              <w14:schemeClr w14:val="tx1"/>
            </w14:solidFill>
          </w14:textFill>
        </w:rPr>
      </w:pPr>
      <w:bookmarkStart w:id="1876" w:name="_Toc144974872"/>
      <w:bookmarkStart w:id="1877" w:name="_Toc152045804"/>
      <w:bookmarkStart w:id="1878" w:name="_Toc152042593"/>
      <w:bookmarkStart w:id="1879" w:name="_Toc179632824"/>
    </w:p>
    <w:p w14:paraId="2F027579">
      <w:pPr>
        <w:pStyle w:val="4"/>
        <w:spacing w:before="0" w:after="0" w:line="416" w:lineRule="auto"/>
        <w:jc w:val="center"/>
        <w:rPr>
          <w:rFonts w:hint="eastAsia" w:ascii="宋体" w:eastAsia="宋体" w:cs="宋体"/>
          <w:color w:val="000000" w:themeColor="text1"/>
          <w14:textFill>
            <w14:solidFill>
              <w14:schemeClr w14:val="tx1"/>
            </w14:solidFill>
          </w14:textFill>
        </w:rPr>
      </w:pPr>
      <w:bookmarkStart w:id="1880" w:name="_Toc881"/>
      <w:bookmarkStart w:id="1881" w:name="_Toc24543"/>
      <w:bookmarkStart w:id="1882" w:name="_Toc54190104"/>
    </w:p>
    <w:p w14:paraId="444862C3">
      <w:pPr>
        <w:rPr>
          <w:rFonts w:hint="eastAsia" w:ascii="宋体" w:hAnsi="宋体" w:cs="宋体"/>
          <w:color w:val="000000" w:themeColor="text1"/>
          <w14:textFill>
            <w14:solidFill>
              <w14:schemeClr w14:val="tx1"/>
            </w14:solidFill>
          </w14:textFill>
        </w:rPr>
      </w:pPr>
    </w:p>
    <w:p w14:paraId="3EA92782">
      <w:pPr>
        <w:pStyle w:val="4"/>
        <w:spacing w:before="0" w:after="0" w:line="416" w:lineRule="auto"/>
        <w:jc w:val="center"/>
        <w:rPr>
          <w:rFonts w:hint="eastAsia" w:ascii="宋体" w:eastAsia="宋体" w:cs="宋体"/>
          <w:color w:val="000000" w:themeColor="text1"/>
          <w14:textFill>
            <w14:solidFill>
              <w14:schemeClr w14:val="tx1"/>
            </w14:solidFill>
          </w14:textFill>
        </w:rPr>
      </w:pPr>
      <w:bookmarkStart w:id="1883" w:name="_Toc8683"/>
      <w:r>
        <w:rPr>
          <w:rFonts w:hint="eastAsia" w:ascii="宋体" w:eastAsia="宋体" w:cs="宋体"/>
          <w:color w:val="000000" w:themeColor="text1"/>
          <w14:textFill>
            <w14:solidFill>
              <w14:schemeClr w14:val="tx1"/>
            </w14:solidFill>
          </w14:textFill>
        </w:rPr>
        <w:t>（八）项目管理机构组成表</w:t>
      </w:r>
      <w:bookmarkEnd w:id="1876"/>
      <w:bookmarkEnd w:id="1877"/>
      <w:bookmarkEnd w:id="1878"/>
      <w:bookmarkEnd w:id="1879"/>
      <w:bookmarkEnd w:id="1880"/>
      <w:bookmarkEnd w:id="1881"/>
      <w:bookmarkEnd w:id="1882"/>
      <w:bookmarkEnd w:id="1883"/>
    </w:p>
    <w:p w14:paraId="70927F6B">
      <w:pPr>
        <w:jc w:val="center"/>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（勘察、设计单位、</w:t>
      </w:r>
      <w:r>
        <w:rPr>
          <w:rFonts w:hint="eastAsia" w:ascii="宋体" w:hAnsi="宋体" w:cs="宋体"/>
          <w:b/>
          <w:color w:val="000000" w:themeColor="text1"/>
          <w:sz w:val="24"/>
          <w:lang w:val="en-US" w:eastAsia="zh-CN"/>
          <w14:textFill>
            <w14:solidFill>
              <w14:schemeClr w14:val="tx1"/>
            </w14:solidFill>
          </w14:textFill>
        </w:rPr>
        <w:t>采购</w:t>
      </w:r>
      <w:r>
        <w:rPr>
          <w:rFonts w:hint="eastAsia" w:ascii="宋体" w:hAnsi="宋体" w:cs="宋体"/>
          <w:b/>
          <w:color w:val="000000" w:themeColor="text1"/>
          <w:sz w:val="24"/>
          <w14:textFill>
            <w14:solidFill>
              <w14:schemeClr w14:val="tx1"/>
            </w14:solidFill>
          </w14:textFill>
        </w:rPr>
        <w:t>施工单位分别填报）</w:t>
      </w:r>
    </w:p>
    <w:p w14:paraId="6772A502">
      <w:pPr>
        <w:rPr>
          <w:rFonts w:hint="eastAsia" w:ascii="宋体" w:hAnsi="宋体" w:cs="宋体"/>
          <w:color w:val="000000" w:themeColor="text1"/>
          <w14:textFill>
            <w14:solidFill>
              <w14:schemeClr w14:val="tx1"/>
            </w14:solidFill>
          </w14:textFill>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721"/>
        <w:gridCol w:w="719"/>
        <w:gridCol w:w="1081"/>
        <w:gridCol w:w="719"/>
        <w:gridCol w:w="721"/>
        <w:gridCol w:w="719"/>
        <w:gridCol w:w="2523"/>
        <w:gridCol w:w="672"/>
      </w:tblGrid>
      <w:tr w14:paraId="53863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dxa"/>
            <w:vMerge w:val="restart"/>
            <w:vAlign w:val="center"/>
          </w:tcPr>
          <w:p w14:paraId="3E7BF339">
            <w:pPr>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职务</w:t>
            </w:r>
          </w:p>
        </w:tc>
        <w:tc>
          <w:tcPr>
            <w:tcW w:w="721" w:type="dxa"/>
            <w:vMerge w:val="restart"/>
            <w:vAlign w:val="center"/>
          </w:tcPr>
          <w:p w14:paraId="231008ED">
            <w:pPr>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姓名</w:t>
            </w:r>
          </w:p>
        </w:tc>
        <w:tc>
          <w:tcPr>
            <w:tcW w:w="719" w:type="dxa"/>
            <w:vMerge w:val="restart"/>
            <w:vAlign w:val="center"/>
          </w:tcPr>
          <w:p w14:paraId="4205CDBE">
            <w:pPr>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职称</w:t>
            </w:r>
          </w:p>
        </w:tc>
        <w:tc>
          <w:tcPr>
            <w:tcW w:w="5763" w:type="dxa"/>
            <w:gridSpan w:val="5"/>
            <w:vAlign w:val="center"/>
          </w:tcPr>
          <w:p w14:paraId="5B515117">
            <w:pPr>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执业或职业资格证明</w:t>
            </w:r>
          </w:p>
        </w:tc>
        <w:tc>
          <w:tcPr>
            <w:tcW w:w="672" w:type="dxa"/>
            <w:vAlign w:val="center"/>
          </w:tcPr>
          <w:p w14:paraId="6F1FD730">
            <w:pPr>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备注</w:t>
            </w:r>
          </w:p>
        </w:tc>
      </w:tr>
      <w:tr w14:paraId="67ECC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dxa"/>
            <w:vMerge w:val="continue"/>
            <w:vAlign w:val="center"/>
          </w:tcPr>
          <w:p w14:paraId="2771F6CC">
            <w:pPr>
              <w:spacing w:line="440" w:lineRule="exact"/>
              <w:jc w:val="center"/>
              <w:rPr>
                <w:rFonts w:hint="eastAsia" w:ascii="宋体" w:hAnsi="宋体" w:cs="宋体"/>
                <w:color w:val="000000" w:themeColor="text1"/>
                <w:szCs w:val="21"/>
                <w14:textFill>
                  <w14:solidFill>
                    <w14:schemeClr w14:val="tx1"/>
                  </w14:solidFill>
                </w14:textFill>
              </w:rPr>
            </w:pPr>
          </w:p>
        </w:tc>
        <w:tc>
          <w:tcPr>
            <w:tcW w:w="721" w:type="dxa"/>
            <w:vMerge w:val="continue"/>
            <w:vAlign w:val="center"/>
          </w:tcPr>
          <w:p w14:paraId="5077C5C8">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vMerge w:val="continue"/>
            <w:vAlign w:val="center"/>
          </w:tcPr>
          <w:p w14:paraId="2A1382B6">
            <w:pPr>
              <w:spacing w:line="440" w:lineRule="exact"/>
              <w:jc w:val="center"/>
              <w:rPr>
                <w:rFonts w:hint="eastAsia" w:ascii="宋体" w:hAnsi="宋体" w:cs="宋体"/>
                <w:color w:val="000000" w:themeColor="text1"/>
                <w:szCs w:val="21"/>
                <w14:textFill>
                  <w14:solidFill>
                    <w14:schemeClr w14:val="tx1"/>
                  </w14:solidFill>
                </w14:textFill>
              </w:rPr>
            </w:pPr>
          </w:p>
        </w:tc>
        <w:tc>
          <w:tcPr>
            <w:tcW w:w="1081" w:type="dxa"/>
            <w:vAlign w:val="center"/>
          </w:tcPr>
          <w:p w14:paraId="11A7F4DE">
            <w:pPr>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证书名称</w:t>
            </w:r>
          </w:p>
        </w:tc>
        <w:tc>
          <w:tcPr>
            <w:tcW w:w="719" w:type="dxa"/>
            <w:vAlign w:val="center"/>
          </w:tcPr>
          <w:p w14:paraId="5626B704">
            <w:pPr>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级别</w:t>
            </w:r>
          </w:p>
        </w:tc>
        <w:tc>
          <w:tcPr>
            <w:tcW w:w="721" w:type="dxa"/>
            <w:vAlign w:val="center"/>
          </w:tcPr>
          <w:p w14:paraId="762B0651">
            <w:pPr>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证号</w:t>
            </w:r>
          </w:p>
        </w:tc>
        <w:tc>
          <w:tcPr>
            <w:tcW w:w="719" w:type="dxa"/>
            <w:vAlign w:val="center"/>
          </w:tcPr>
          <w:p w14:paraId="221A9BB8">
            <w:pPr>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专业</w:t>
            </w:r>
          </w:p>
        </w:tc>
        <w:tc>
          <w:tcPr>
            <w:tcW w:w="2523" w:type="dxa"/>
            <w:vAlign w:val="center"/>
          </w:tcPr>
          <w:p w14:paraId="3681AFC9">
            <w:pPr>
              <w:spacing w:line="44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养老保险</w:t>
            </w:r>
          </w:p>
        </w:tc>
        <w:tc>
          <w:tcPr>
            <w:tcW w:w="672" w:type="dxa"/>
            <w:vAlign w:val="center"/>
          </w:tcPr>
          <w:p w14:paraId="242202FD">
            <w:pPr>
              <w:spacing w:line="440" w:lineRule="exact"/>
              <w:jc w:val="center"/>
              <w:rPr>
                <w:rFonts w:hint="eastAsia" w:ascii="宋体" w:hAnsi="宋体" w:cs="宋体"/>
                <w:color w:val="000000" w:themeColor="text1"/>
                <w:szCs w:val="21"/>
                <w14:textFill>
                  <w14:solidFill>
                    <w14:schemeClr w14:val="tx1"/>
                  </w14:solidFill>
                </w14:textFill>
              </w:rPr>
            </w:pPr>
          </w:p>
        </w:tc>
      </w:tr>
      <w:tr w14:paraId="28C05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dxa"/>
            <w:vAlign w:val="center"/>
          </w:tcPr>
          <w:p w14:paraId="6E5F57BA">
            <w:pPr>
              <w:spacing w:line="440" w:lineRule="exact"/>
              <w:jc w:val="center"/>
              <w:rPr>
                <w:rFonts w:hint="eastAsia" w:ascii="宋体" w:hAnsi="宋体" w:cs="宋体"/>
                <w:color w:val="000000" w:themeColor="text1"/>
                <w:szCs w:val="21"/>
                <w14:textFill>
                  <w14:solidFill>
                    <w14:schemeClr w14:val="tx1"/>
                  </w14:solidFill>
                </w14:textFill>
              </w:rPr>
            </w:pPr>
          </w:p>
        </w:tc>
        <w:tc>
          <w:tcPr>
            <w:tcW w:w="721" w:type="dxa"/>
            <w:vAlign w:val="center"/>
          </w:tcPr>
          <w:p w14:paraId="71E29FE2">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vAlign w:val="center"/>
          </w:tcPr>
          <w:p w14:paraId="1A872A3A">
            <w:pPr>
              <w:spacing w:line="440" w:lineRule="exact"/>
              <w:jc w:val="center"/>
              <w:rPr>
                <w:rFonts w:hint="eastAsia" w:ascii="宋体" w:hAnsi="宋体" w:cs="宋体"/>
                <w:color w:val="000000" w:themeColor="text1"/>
                <w:szCs w:val="21"/>
                <w14:textFill>
                  <w14:solidFill>
                    <w14:schemeClr w14:val="tx1"/>
                  </w14:solidFill>
                </w14:textFill>
              </w:rPr>
            </w:pPr>
          </w:p>
        </w:tc>
        <w:tc>
          <w:tcPr>
            <w:tcW w:w="1081" w:type="dxa"/>
            <w:vAlign w:val="center"/>
          </w:tcPr>
          <w:p w14:paraId="1A26F5B6">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vAlign w:val="center"/>
          </w:tcPr>
          <w:p w14:paraId="44A4B2B7">
            <w:pPr>
              <w:spacing w:line="440" w:lineRule="exact"/>
              <w:jc w:val="center"/>
              <w:rPr>
                <w:rFonts w:hint="eastAsia" w:ascii="宋体" w:hAnsi="宋体" w:cs="宋体"/>
                <w:color w:val="000000" w:themeColor="text1"/>
                <w:szCs w:val="21"/>
                <w14:textFill>
                  <w14:solidFill>
                    <w14:schemeClr w14:val="tx1"/>
                  </w14:solidFill>
                </w14:textFill>
              </w:rPr>
            </w:pPr>
          </w:p>
        </w:tc>
        <w:tc>
          <w:tcPr>
            <w:tcW w:w="721" w:type="dxa"/>
            <w:vAlign w:val="center"/>
          </w:tcPr>
          <w:p w14:paraId="46E2E1E4">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vAlign w:val="center"/>
          </w:tcPr>
          <w:p w14:paraId="1AAC52E5">
            <w:pPr>
              <w:spacing w:line="440" w:lineRule="exact"/>
              <w:jc w:val="center"/>
              <w:rPr>
                <w:rFonts w:hint="eastAsia" w:ascii="宋体" w:hAnsi="宋体" w:cs="宋体"/>
                <w:color w:val="000000" w:themeColor="text1"/>
                <w:szCs w:val="21"/>
                <w14:textFill>
                  <w14:solidFill>
                    <w14:schemeClr w14:val="tx1"/>
                  </w14:solidFill>
                </w14:textFill>
              </w:rPr>
            </w:pPr>
          </w:p>
        </w:tc>
        <w:tc>
          <w:tcPr>
            <w:tcW w:w="2523" w:type="dxa"/>
            <w:vAlign w:val="center"/>
          </w:tcPr>
          <w:p w14:paraId="273CF908">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vAlign w:val="center"/>
          </w:tcPr>
          <w:p w14:paraId="32D4CC41">
            <w:pPr>
              <w:spacing w:line="440" w:lineRule="exact"/>
              <w:jc w:val="center"/>
              <w:rPr>
                <w:rFonts w:hint="eastAsia" w:ascii="宋体" w:hAnsi="宋体" w:cs="宋体"/>
                <w:color w:val="000000" w:themeColor="text1"/>
                <w:szCs w:val="21"/>
                <w14:textFill>
                  <w14:solidFill>
                    <w14:schemeClr w14:val="tx1"/>
                  </w14:solidFill>
                </w14:textFill>
              </w:rPr>
            </w:pPr>
          </w:p>
        </w:tc>
      </w:tr>
      <w:tr w14:paraId="28B62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dxa"/>
          </w:tcPr>
          <w:p w14:paraId="6BE35F60">
            <w:pPr>
              <w:spacing w:line="440" w:lineRule="exact"/>
              <w:jc w:val="center"/>
              <w:rPr>
                <w:rFonts w:hint="eastAsia" w:ascii="宋体" w:hAnsi="宋体" w:cs="宋体"/>
                <w:color w:val="000000" w:themeColor="text1"/>
                <w:szCs w:val="21"/>
                <w14:textFill>
                  <w14:solidFill>
                    <w14:schemeClr w14:val="tx1"/>
                  </w14:solidFill>
                </w14:textFill>
              </w:rPr>
            </w:pPr>
          </w:p>
        </w:tc>
        <w:tc>
          <w:tcPr>
            <w:tcW w:w="721" w:type="dxa"/>
          </w:tcPr>
          <w:p w14:paraId="62BEF702">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199C4CC1">
            <w:pPr>
              <w:spacing w:line="440" w:lineRule="exact"/>
              <w:jc w:val="center"/>
              <w:rPr>
                <w:rFonts w:hint="eastAsia" w:ascii="宋体" w:hAnsi="宋体" w:cs="宋体"/>
                <w:color w:val="000000" w:themeColor="text1"/>
                <w:szCs w:val="21"/>
                <w14:textFill>
                  <w14:solidFill>
                    <w14:schemeClr w14:val="tx1"/>
                  </w14:solidFill>
                </w14:textFill>
              </w:rPr>
            </w:pPr>
          </w:p>
        </w:tc>
        <w:tc>
          <w:tcPr>
            <w:tcW w:w="1081" w:type="dxa"/>
          </w:tcPr>
          <w:p w14:paraId="470875F2">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72D8274F">
            <w:pPr>
              <w:spacing w:line="440" w:lineRule="exact"/>
              <w:jc w:val="center"/>
              <w:rPr>
                <w:rFonts w:hint="eastAsia" w:ascii="宋体" w:hAnsi="宋体" w:cs="宋体"/>
                <w:color w:val="000000" w:themeColor="text1"/>
                <w:szCs w:val="21"/>
                <w14:textFill>
                  <w14:solidFill>
                    <w14:schemeClr w14:val="tx1"/>
                  </w14:solidFill>
                </w14:textFill>
              </w:rPr>
            </w:pPr>
          </w:p>
        </w:tc>
        <w:tc>
          <w:tcPr>
            <w:tcW w:w="721" w:type="dxa"/>
          </w:tcPr>
          <w:p w14:paraId="7A58D71F">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7BF7D6A4">
            <w:pPr>
              <w:spacing w:line="440" w:lineRule="exact"/>
              <w:jc w:val="center"/>
              <w:rPr>
                <w:rFonts w:hint="eastAsia" w:ascii="宋体" w:hAnsi="宋体" w:cs="宋体"/>
                <w:color w:val="000000" w:themeColor="text1"/>
                <w:szCs w:val="21"/>
                <w14:textFill>
                  <w14:solidFill>
                    <w14:schemeClr w14:val="tx1"/>
                  </w14:solidFill>
                </w14:textFill>
              </w:rPr>
            </w:pPr>
          </w:p>
        </w:tc>
        <w:tc>
          <w:tcPr>
            <w:tcW w:w="2523" w:type="dxa"/>
          </w:tcPr>
          <w:p w14:paraId="1719DDBB">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55CA4151">
            <w:pPr>
              <w:spacing w:line="440" w:lineRule="exact"/>
              <w:jc w:val="center"/>
              <w:rPr>
                <w:rFonts w:hint="eastAsia" w:ascii="宋体" w:hAnsi="宋体" w:cs="宋体"/>
                <w:color w:val="000000" w:themeColor="text1"/>
                <w:szCs w:val="21"/>
                <w14:textFill>
                  <w14:solidFill>
                    <w14:schemeClr w14:val="tx1"/>
                  </w14:solidFill>
                </w14:textFill>
              </w:rPr>
            </w:pPr>
          </w:p>
        </w:tc>
      </w:tr>
      <w:tr w14:paraId="4B8C3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dxa"/>
          </w:tcPr>
          <w:p w14:paraId="4B30CE85">
            <w:pPr>
              <w:spacing w:line="440" w:lineRule="exact"/>
              <w:jc w:val="center"/>
              <w:rPr>
                <w:rFonts w:hint="eastAsia" w:ascii="宋体" w:hAnsi="宋体" w:cs="宋体"/>
                <w:color w:val="000000" w:themeColor="text1"/>
                <w:szCs w:val="21"/>
                <w14:textFill>
                  <w14:solidFill>
                    <w14:schemeClr w14:val="tx1"/>
                  </w14:solidFill>
                </w14:textFill>
              </w:rPr>
            </w:pPr>
          </w:p>
        </w:tc>
        <w:tc>
          <w:tcPr>
            <w:tcW w:w="721" w:type="dxa"/>
          </w:tcPr>
          <w:p w14:paraId="03EB4BCC">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6C3B6236">
            <w:pPr>
              <w:spacing w:line="440" w:lineRule="exact"/>
              <w:jc w:val="center"/>
              <w:rPr>
                <w:rFonts w:hint="eastAsia" w:ascii="宋体" w:hAnsi="宋体" w:cs="宋体"/>
                <w:color w:val="000000" w:themeColor="text1"/>
                <w:szCs w:val="21"/>
                <w14:textFill>
                  <w14:solidFill>
                    <w14:schemeClr w14:val="tx1"/>
                  </w14:solidFill>
                </w14:textFill>
              </w:rPr>
            </w:pPr>
          </w:p>
        </w:tc>
        <w:tc>
          <w:tcPr>
            <w:tcW w:w="1081" w:type="dxa"/>
          </w:tcPr>
          <w:p w14:paraId="4E3F5058">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0E31F101">
            <w:pPr>
              <w:spacing w:line="440" w:lineRule="exact"/>
              <w:jc w:val="center"/>
              <w:rPr>
                <w:rFonts w:hint="eastAsia" w:ascii="宋体" w:hAnsi="宋体" w:cs="宋体"/>
                <w:color w:val="000000" w:themeColor="text1"/>
                <w:szCs w:val="21"/>
                <w14:textFill>
                  <w14:solidFill>
                    <w14:schemeClr w14:val="tx1"/>
                  </w14:solidFill>
                </w14:textFill>
              </w:rPr>
            </w:pPr>
          </w:p>
        </w:tc>
        <w:tc>
          <w:tcPr>
            <w:tcW w:w="721" w:type="dxa"/>
          </w:tcPr>
          <w:p w14:paraId="3E1E7075">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077D1889">
            <w:pPr>
              <w:spacing w:line="440" w:lineRule="exact"/>
              <w:jc w:val="center"/>
              <w:rPr>
                <w:rFonts w:hint="eastAsia" w:ascii="宋体" w:hAnsi="宋体" w:cs="宋体"/>
                <w:color w:val="000000" w:themeColor="text1"/>
                <w:szCs w:val="21"/>
                <w14:textFill>
                  <w14:solidFill>
                    <w14:schemeClr w14:val="tx1"/>
                  </w14:solidFill>
                </w14:textFill>
              </w:rPr>
            </w:pPr>
          </w:p>
        </w:tc>
        <w:tc>
          <w:tcPr>
            <w:tcW w:w="2523" w:type="dxa"/>
          </w:tcPr>
          <w:p w14:paraId="09557AEB">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02E6142F">
            <w:pPr>
              <w:spacing w:line="440" w:lineRule="exact"/>
              <w:jc w:val="center"/>
              <w:rPr>
                <w:rFonts w:hint="eastAsia" w:ascii="宋体" w:hAnsi="宋体" w:cs="宋体"/>
                <w:color w:val="000000" w:themeColor="text1"/>
                <w:szCs w:val="21"/>
                <w14:textFill>
                  <w14:solidFill>
                    <w14:schemeClr w14:val="tx1"/>
                  </w14:solidFill>
                </w14:textFill>
              </w:rPr>
            </w:pPr>
          </w:p>
        </w:tc>
      </w:tr>
      <w:tr w14:paraId="1ABFA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dxa"/>
          </w:tcPr>
          <w:p w14:paraId="34D81190">
            <w:pPr>
              <w:spacing w:line="440" w:lineRule="exact"/>
              <w:jc w:val="center"/>
              <w:rPr>
                <w:rFonts w:hint="eastAsia" w:ascii="宋体" w:hAnsi="宋体" w:cs="宋体"/>
                <w:color w:val="000000" w:themeColor="text1"/>
                <w:szCs w:val="21"/>
                <w14:textFill>
                  <w14:solidFill>
                    <w14:schemeClr w14:val="tx1"/>
                  </w14:solidFill>
                </w14:textFill>
              </w:rPr>
            </w:pPr>
          </w:p>
        </w:tc>
        <w:tc>
          <w:tcPr>
            <w:tcW w:w="721" w:type="dxa"/>
          </w:tcPr>
          <w:p w14:paraId="2C2CEA9D">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11C47D87">
            <w:pPr>
              <w:spacing w:line="440" w:lineRule="exact"/>
              <w:jc w:val="center"/>
              <w:rPr>
                <w:rFonts w:hint="eastAsia" w:ascii="宋体" w:hAnsi="宋体" w:cs="宋体"/>
                <w:color w:val="000000" w:themeColor="text1"/>
                <w:szCs w:val="21"/>
                <w14:textFill>
                  <w14:solidFill>
                    <w14:schemeClr w14:val="tx1"/>
                  </w14:solidFill>
                </w14:textFill>
              </w:rPr>
            </w:pPr>
          </w:p>
        </w:tc>
        <w:tc>
          <w:tcPr>
            <w:tcW w:w="1081" w:type="dxa"/>
          </w:tcPr>
          <w:p w14:paraId="2E017037">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577F1CA3">
            <w:pPr>
              <w:spacing w:line="440" w:lineRule="exact"/>
              <w:jc w:val="center"/>
              <w:rPr>
                <w:rFonts w:hint="eastAsia" w:ascii="宋体" w:hAnsi="宋体" w:cs="宋体"/>
                <w:color w:val="000000" w:themeColor="text1"/>
                <w:szCs w:val="21"/>
                <w14:textFill>
                  <w14:solidFill>
                    <w14:schemeClr w14:val="tx1"/>
                  </w14:solidFill>
                </w14:textFill>
              </w:rPr>
            </w:pPr>
          </w:p>
        </w:tc>
        <w:tc>
          <w:tcPr>
            <w:tcW w:w="721" w:type="dxa"/>
          </w:tcPr>
          <w:p w14:paraId="32A5F11E">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35323C06">
            <w:pPr>
              <w:spacing w:line="440" w:lineRule="exact"/>
              <w:jc w:val="center"/>
              <w:rPr>
                <w:rFonts w:hint="eastAsia" w:ascii="宋体" w:hAnsi="宋体" w:cs="宋体"/>
                <w:color w:val="000000" w:themeColor="text1"/>
                <w:szCs w:val="21"/>
                <w14:textFill>
                  <w14:solidFill>
                    <w14:schemeClr w14:val="tx1"/>
                  </w14:solidFill>
                </w14:textFill>
              </w:rPr>
            </w:pPr>
          </w:p>
        </w:tc>
        <w:tc>
          <w:tcPr>
            <w:tcW w:w="2523" w:type="dxa"/>
          </w:tcPr>
          <w:p w14:paraId="096631B7">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6691D2A7">
            <w:pPr>
              <w:spacing w:line="440" w:lineRule="exact"/>
              <w:jc w:val="center"/>
              <w:rPr>
                <w:rFonts w:hint="eastAsia" w:ascii="宋体" w:hAnsi="宋体" w:cs="宋体"/>
                <w:color w:val="000000" w:themeColor="text1"/>
                <w:szCs w:val="21"/>
                <w14:textFill>
                  <w14:solidFill>
                    <w14:schemeClr w14:val="tx1"/>
                  </w14:solidFill>
                </w14:textFill>
              </w:rPr>
            </w:pPr>
          </w:p>
        </w:tc>
      </w:tr>
      <w:tr w14:paraId="2AFBC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dxa"/>
          </w:tcPr>
          <w:p w14:paraId="574B7D14">
            <w:pPr>
              <w:spacing w:line="440" w:lineRule="exact"/>
              <w:jc w:val="center"/>
              <w:rPr>
                <w:rFonts w:hint="eastAsia" w:ascii="宋体" w:hAnsi="宋体" w:cs="宋体"/>
                <w:color w:val="000000" w:themeColor="text1"/>
                <w:szCs w:val="21"/>
                <w14:textFill>
                  <w14:solidFill>
                    <w14:schemeClr w14:val="tx1"/>
                  </w14:solidFill>
                </w14:textFill>
              </w:rPr>
            </w:pPr>
          </w:p>
        </w:tc>
        <w:tc>
          <w:tcPr>
            <w:tcW w:w="721" w:type="dxa"/>
          </w:tcPr>
          <w:p w14:paraId="2C0A28C1">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28EB0A70">
            <w:pPr>
              <w:spacing w:line="440" w:lineRule="exact"/>
              <w:jc w:val="center"/>
              <w:rPr>
                <w:rFonts w:hint="eastAsia" w:ascii="宋体" w:hAnsi="宋体" w:cs="宋体"/>
                <w:color w:val="000000" w:themeColor="text1"/>
                <w:szCs w:val="21"/>
                <w14:textFill>
                  <w14:solidFill>
                    <w14:schemeClr w14:val="tx1"/>
                  </w14:solidFill>
                </w14:textFill>
              </w:rPr>
            </w:pPr>
          </w:p>
        </w:tc>
        <w:tc>
          <w:tcPr>
            <w:tcW w:w="1081" w:type="dxa"/>
          </w:tcPr>
          <w:p w14:paraId="052CB38E">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0F8ED214">
            <w:pPr>
              <w:spacing w:line="440" w:lineRule="exact"/>
              <w:jc w:val="center"/>
              <w:rPr>
                <w:rFonts w:hint="eastAsia" w:ascii="宋体" w:hAnsi="宋体" w:cs="宋体"/>
                <w:color w:val="000000" w:themeColor="text1"/>
                <w:szCs w:val="21"/>
                <w14:textFill>
                  <w14:solidFill>
                    <w14:schemeClr w14:val="tx1"/>
                  </w14:solidFill>
                </w14:textFill>
              </w:rPr>
            </w:pPr>
          </w:p>
        </w:tc>
        <w:tc>
          <w:tcPr>
            <w:tcW w:w="721" w:type="dxa"/>
          </w:tcPr>
          <w:p w14:paraId="5C045D88">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58660A2B">
            <w:pPr>
              <w:spacing w:line="440" w:lineRule="exact"/>
              <w:jc w:val="center"/>
              <w:rPr>
                <w:rFonts w:hint="eastAsia" w:ascii="宋体" w:hAnsi="宋体" w:cs="宋体"/>
                <w:color w:val="000000" w:themeColor="text1"/>
                <w:szCs w:val="21"/>
                <w14:textFill>
                  <w14:solidFill>
                    <w14:schemeClr w14:val="tx1"/>
                  </w14:solidFill>
                </w14:textFill>
              </w:rPr>
            </w:pPr>
          </w:p>
        </w:tc>
        <w:tc>
          <w:tcPr>
            <w:tcW w:w="2523" w:type="dxa"/>
          </w:tcPr>
          <w:p w14:paraId="5695ED51">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75CD77E8">
            <w:pPr>
              <w:spacing w:line="440" w:lineRule="exact"/>
              <w:jc w:val="center"/>
              <w:rPr>
                <w:rFonts w:hint="eastAsia" w:ascii="宋体" w:hAnsi="宋体" w:cs="宋体"/>
                <w:color w:val="000000" w:themeColor="text1"/>
                <w:szCs w:val="21"/>
                <w14:textFill>
                  <w14:solidFill>
                    <w14:schemeClr w14:val="tx1"/>
                  </w14:solidFill>
                </w14:textFill>
              </w:rPr>
            </w:pPr>
          </w:p>
        </w:tc>
      </w:tr>
      <w:tr w14:paraId="0A7C6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dxa"/>
          </w:tcPr>
          <w:p w14:paraId="0BB0C8DC">
            <w:pPr>
              <w:spacing w:line="440" w:lineRule="exact"/>
              <w:jc w:val="center"/>
              <w:rPr>
                <w:rFonts w:hint="eastAsia" w:ascii="宋体" w:hAnsi="宋体" w:cs="宋体"/>
                <w:color w:val="000000" w:themeColor="text1"/>
                <w:szCs w:val="21"/>
                <w14:textFill>
                  <w14:solidFill>
                    <w14:schemeClr w14:val="tx1"/>
                  </w14:solidFill>
                </w14:textFill>
              </w:rPr>
            </w:pPr>
          </w:p>
        </w:tc>
        <w:tc>
          <w:tcPr>
            <w:tcW w:w="721" w:type="dxa"/>
          </w:tcPr>
          <w:p w14:paraId="3B6B31E4">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0B6256CE">
            <w:pPr>
              <w:spacing w:line="440" w:lineRule="exact"/>
              <w:jc w:val="center"/>
              <w:rPr>
                <w:rFonts w:hint="eastAsia" w:ascii="宋体" w:hAnsi="宋体" w:cs="宋体"/>
                <w:color w:val="000000" w:themeColor="text1"/>
                <w:szCs w:val="21"/>
                <w14:textFill>
                  <w14:solidFill>
                    <w14:schemeClr w14:val="tx1"/>
                  </w14:solidFill>
                </w14:textFill>
              </w:rPr>
            </w:pPr>
          </w:p>
        </w:tc>
        <w:tc>
          <w:tcPr>
            <w:tcW w:w="1081" w:type="dxa"/>
          </w:tcPr>
          <w:p w14:paraId="26F63B6C">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65250187">
            <w:pPr>
              <w:spacing w:line="440" w:lineRule="exact"/>
              <w:jc w:val="center"/>
              <w:rPr>
                <w:rFonts w:hint="eastAsia" w:ascii="宋体" w:hAnsi="宋体" w:cs="宋体"/>
                <w:color w:val="000000" w:themeColor="text1"/>
                <w:szCs w:val="21"/>
                <w14:textFill>
                  <w14:solidFill>
                    <w14:schemeClr w14:val="tx1"/>
                  </w14:solidFill>
                </w14:textFill>
              </w:rPr>
            </w:pPr>
          </w:p>
        </w:tc>
        <w:tc>
          <w:tcPr>
            <w:tcW w:w="721" w:type="dxa"/>
          </w:tcPr>
          <w:p w14:paraId="3648B871">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09C3834C">
            <w:pPr>
              <w:spacing w:line="440" w:lineRule="exact"/>
              <w:jc w:val="center"/>
              <w:rPr>
                <w:rFonts w:hint="eastAsia" w:ascii="宋体" w:hAnsi="宋体" w:cs="宋体"/>
                <w:color w:val="000000" w:themeColor="text1"/>
                <w:szCs w:val="21"/>
                <w14:textFill>
                  <w14:solidFill>
                    <w14:schemeClr w14:val="tx1"/>
                  </w14:solidFill>
                </w14:textFill>
              </w:rPr>
            </w:pPr>
          </w:p>
        </w:tc>
        <w:tc>
          <w:tcPr>
            <w:tcW w:w="2523" w:type="dxa"/>
          </w:tcPr>
          <w:p w14:paraId="36D63909">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46AFEE42">
            <w:pPr>
              <w:spacing w:line="440" w:lineRule="exact"/>
              <w:jc w:val="center"/>
              <w:rPr>
                <w:rFonts w:hint="eastAsia" w:ascii="宋体" w:hAnsi="宋体" w:cs="宋体"/>
                <w:color w:val="000000" w:themeColor="text1"/>
                <w:szCs w:val="21"/>
                <w14:textFill>
                  <w14:solidFill>
                    <w14:schemeClr w14:val="tx1"/>
                  </w14:solidFill>
                </w14:textFill>
              </w:rPr>
            </w:pPr>
          </w:p>
        </w:tc>
      </w:tr>
      <w:tr w14:paraId="6CEBF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dxa"/>
          </w:tcPr>
          <w:p w14:paraId="7E1666FA">
            <w:pPr>
              <w:spacing w:line="440" w:lineRule="exact"/>
              <w:jc w:val="center"/>
              <w:rPr>
                <w:rFonts w:hint="eastAsia" w:ascii="宋体" w:hAnsi="宋体" w:cs="宋体"/>
                <w:color w:val="000000" w:themeColor="text1"/>
                <w:szCs w:val="21"/>
                <w14:textFill>
                  <w14:solidFill>
                    <w14:schemeClr w14:val="tx1"/>
                  </w14:solidFill>
                </w14:textFill>
              </w:rPr>
            </w:pPr>
          </w:p>
        </w:tc>
        <w:tc>
          <w:tcPr>
            <w:tcW w:w="721" w:type="dxa"/>
          </w:tcPr>
          <w:p w14:paraId="5E943524">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4A243909">
            <w:pPr>
              <w:spacing w:line="440" w:lineRule="exact"/>
              <w:jc w:val="center"/>
              <w:rPr>
                <w:rFonts w:hint="eastAsia" w:ascii="宋体" w:hAnsi="宋体" w:cs="宋体"/>
                <w:color w:val="000000" w:themeColor="text1"/>
                <w:szCs w:val="21"/>
                <w14:textFill>
                  <w14:solidFill>
                    <w14:schemeClr w14:val="tx1"/>
                  </w14:solidFill>
                </w14:textFill>
              </w:rPr>
            </w:pPr>
          </w:p>
        </w:tc>
        <w:tc>
          <w:tcPr>
            <w:tcW w:w="1081" w:type="dxa"/>
          </w:tcPr>
          <w:p w14:paraId="356ED979">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52CDB16F">
            <w:pPr>
              <w:spacing w:line="440" w:lineRule="exact"/>
              <w:jc w:val="center"/>
              <w:rPr>
                <w:rFonts w:hint="eastAsia" w:ascii="宋体" w:hAnsi="宋体" w:cs="宋体"/>
                <w:color w:val="000000" w:themeColor="text1"/>
                <w:szCs w:val="21"/>
                <w14:textFill>
                  <w14:solidFill>
                    <w14:schemeClr w14:val="tx1"/>
                  </w14:solidFill>
                </w14:textFill>
              </w:rPr>
            </w:pPr>
          </w:p>
        </w:tc>
        <w:tc>
          <w:tcPr>
            <w:tcW w:w="721" w:type="dxa"/>
          </w:tcPr>
          <w:p w14:paraId="4C39FF4F">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5EFDF672">
            <w:pPr>
              <w:spacing w:line="440" w:lineRule="exact"/>
              <w:jc w:val="center"/>
              <w:rPr>
                <w:rFonts w:hint="eastAsia" w:ascii="宋体" w:hAnsi="宋体" w:cs="宋体"/>
                <w:color w:val="000000" w:themeColor="text1"/>
                <w:szCs w:val="21"/>
                <w14:textFill>
                  <w14:solidFill>
                    <w14:schemeClr w14:val="tx1"/>
                  </w14:solidFill>
                </w14:textFill>
              </w:rPr>
            </w:pPr>
          </w:p>
        </w:tc>
        <w:tc>
          <w:tcPr>
            <w:tcW w:w="2523" w:type="dxa"/>
          </w:tcPr>
          <w:p w14:paraId="19939A9B">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0FE2649F">
            <w:pPr>
              <w:spacing w:line="440" w:lineRule="exact"/>
              <w:jc w:val="center"/>
              <w:rPr>
                <w:rFonts w:hint="eastAsia" w:ascii="宋体" w:hAnsi="宋体" w:cs="宋体"/>
                <w:color w:val="000000" w:themeColor="text1"/>
                <w:szCs w:val="21"/>
                <w14:textFill>
                  <w14:solidFill>
                    <w14:schemeClr w14:val="tx1"/>
                  </w14:solidFill>
                </w14:textFill>
              </w:rPr>
            </w:pPr>
          </w:p>
        </w:tc>
      </w:tr>
      <w:tr w14:paraId="015ED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dxa"/>
          </w:tcPr>
          <w:p w14:paraId="48579066">
            <w:pPr>
              <w:spacing w:line="440" w:lineRule="exact"/>
              <w:jc w:val="center"/>
              <w:rPr>
                <w:rFonts w:hint="eastAsia" w:ascii="宋体" w:hAnsi="宋体" w:cs="宋体"/>
                <w:color w:val="000000" w:themeColor="text1"/>
                <w:szCs w:val="21"/>
                <w14:textFill>
                  <w14:solidFill>
                    <w14:schemeClr w14:val="tx1"/>
                  </w14:solidFill>
                </w14:textFill>
              </w:rPr>
            </w:pPr>
          </w:p>
        </w:tc>
        <w:tc>
          <w:tcPr>
            <w:tcW w:w="721" w:type="dxa"/>
          </w:tcPr>
          <w:p w14:paraId="676545A2">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71BB2AD3">
            <w:pPr>
              <w:spacing w:line="440" w:lineRule="exact"/>
              <w:jc w:val="center"/>
              <w:rPr>
                <w:rFonts w:hint="eastAsia" w:ascii="宋体" w:hAnsi="宋体" w:cs="宋体"/>
                <w:color w:val="000000" w:themeColor="text1"/>
                <w:szCs w:val="21"/>
                <w14:textFill>
                  <w14:solidFill>
                    <w14:schemeClr w14:val="tx1"/>
                  </w14:solidFill>
                </w14:textFill>
              </w:rPr>
            </w:pPr>
          </w:p>
        </w:tc>
        <w:tc>
          <w:tcPr>
            <w:tcW w:w="1081" w:type="dxa"/>
          </w:tcPr>
          <w:p w14:paraId="06ABF46B">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484F10F6">
            <w:pPr>
              <w:spacing w:line="440" w:lineRule="exact"/>
              <w:jc w:val="center"/>
              <w:rPr>
                <w:rFonts w:hint="eastAsia" w:ascii="宋体" w:hAnsi="宋体" w:cs="宋体"/>
                <w:color w:val="000000" w:themeColor="text1"/>
                <w:szCs w:val="21"/>
                <w14:textFill>
                  <w14:solidFill>
                    <w14:schemeClr w14:val="tx1"/>
                  </w14:solidFill>
                </w14:textFill>
              </w:rPr>
            </w:pPr>
          </w:p>
        </w:tc>
        <w:tc>
          <w:tcPr>
            <w:tcW w:w="721" w:type="dxa"/>
          </w:tcPr>
          <w:p w14:paraId="4A481C9E">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4734507C">
            <w:pPr>
              <w:spacing w:line="440" w:lineRule="exact"/>
              <w:jc w:val="center"/>
              <w:rPr>
                <w:rFonts w:hint="eastAsia" w:ascii="宋体" w:hAnsi="宋体" w:cs="宋体"/>
                <w:color w:val="000000" w:themeColor="text1"/>
                <w:szCs w:val="21"/>
                <w14:textFill>
                  <w14:solidFill>
                    <w14:schemeClr w14:val="tx1"/>
                  </w14:solidFill>
                </w14:textFill>
              </w:rPr>
            </w:pPr>
          </w:p>
        </w:tc>
        <w:tc>
          <w:tcPr>
            <w:tcW w:w="2523" w:type="dxa"/>
          </w:tcPr>
          <w:p w14:paraId="1AB3274D">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245F51B4">
            <w:pPr>
              <w:spacing w:line="440" w:lineRule="exact"/>
              <w:jc w:val="center"/>
              <w:rPr>
                <w:rFonts w:hint="eastAsia" w:ascii="宋体" w:hAnsi="宋体" w:cs="宋体"/>
                <w:color w:val="000000" w:themeColor="text1"/>
                <w:szCs w:val="21"/>
                <w14:textFill>
                  <w14:solidFill>
                    <w14:schemeClr w14:val="tx1"/>
                  </w14:solidFill>
                </w14:textFill>
              </w:rPr>
            </w:pPr>
          </w:p>
        </w:tc>
      </w:tr>
      <w:tr w14:paraId="47266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dxa"/>
          </w:tcPr>
          <w:p w14:paraId="697DEBB5">
            <w:pPr>
              <w:spacing w:line="440" w:lineRule="exact"/>
              <w:jc w:val="center"/>
              <w:rPr>
                <w:rFonts w:hint="eastAsia" w:ascii="宋体" w:hAnsi="宋体" w:cs="宋体"/>
                <w:color w:val="000000" w:themeColor="text1"/>
                <w:szCs w:val="21"/>
                <w14:textFill>
                  <w14:solidFill>
                    <w14:schemeClr w14:val="tx1"/>
                  </w14:solidFill>
                </w14:textFill>
              </w:rPr>
            </w:pPr>
          </w:p>
        </w:tc>
        <w:tc>
          <w:tcPr>
            <w:tcW w:w="721" w:type="dxa"/>
          </w:tcPr>
          <w:p w14:paraId="03F4C9DF">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6712DB29">
            <w:pPr>
              <w:spacing w:line="440" w:lineRule="exact"/>
              <w:jc w:val="center"/>
              <w:rPr>
                <w:rFonts w:hint="eastAsia" w:ascii="宋体" w:hAnsi="宋体" w:cs="宋体"/>
                <w:color w:val="000000" w:themeColor="text1"/>
                <w:szCs w:val="21"/>
                <w14:textFill>
                  <w14:solidFill>
                    <w14:schemeClr w14:val="tx1"/>
                  </w14:solidFill>
                </w14:textFill>
              </w:rPr>
            </w:pPr>
          </w:p>
        </w:tc>
        <w:tc>
          <w:tcPr>
            <w:tcW w:w="1081" w:type="dxa"/>
          </w:tcPr>
          <w:p w14:paraId="5EE1A24B">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60FFADD2">
            <w:pPr>
              <w:spacing w:line="440" w:lineRule="exact"/>
              <w:jc w:val="center"/>
              <w:rPr>
                <w:rFonts w:hint="eastAsia" w:ascii="宋体" w:hAnsi="宋体" w:cs="宋体"/>
                <w:color w:val="000000" w:themeColor="text1"/>
                <w:szCs w:val="21"/>
                <w14:textFill>
                  <w14:solidFill>
                    <w14:schemeClr w14:val="tx1"/>
                  </w14:solidFill>
                </w14:textFill>
              </w:rPr>
            </w:pPr>
          </w:p>
        </w:tc>
        <w:tc>
          <w:tcPr>
            <w:tcW w:w="721" w:type="dxa"/>
          </w:tcPr>
          <w:p w14:paraId="5838C4C7">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5673B909">
            <w:pPr>
              <w:spacing w:line="440" w:lineRule="exact"/>
              <w:jc w:val="center"/>
              <w:rPr>
                <w:rFonts w:hint="eastAsia" w:ascii="宋体" w:hAnsi="宋体" w:cs="宋体"/>
                <w:color w:val="000000" w:themeColor="text1"/>
                <w:szCs w:val="21"/>
                <w14:textFill>
                  <w14:solidFill>
                    <w14:schemeClr w14:val="tx1"/>
                  </w14:solidFill>
                </w14:textFill>
              </w:rPr>
            </w:pPr>
          </w:p>
        </w:tc>
        <w:tc>
          <w:tcPr>
            <w:tcW w:w="2523" w:type="dxa"/>
          </w:tcPr>
          <w:p w14:paraId="64933678">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5433BAE0">
            <w:pPr>
              <w:spacing w:line="440" w:lineRule="exact"/>
              <w:jc w:val="center"/>
              <w:rPr>
                <w:rFonts w:hint="eastAsia" w:ascii="宋体" w:hAnsi="宋体" w:cs="宋体"/>
                <w:color w:val="000000" w:themeColor="text1"/>
                <w:szCs w:val="21"/>
                <w14:textFill>
                  <w14:solidFill>
                    <w14:schemeClr w14:val="tx1"/>
                  </w14:solidFill>
                </w14:textFill>
              </w:rPr>
            </w:pPr>
          </w:p>
        </w:tc>
      </w:tr>
      <w:tr w14:paraId="53C3C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dxa"/>
          </w:tcPr>
          <w:p w14:paraId="2DA2FB26">
            <w:pPr>
              <w:spacing w:line="440" w:lineRule="exact"/>
              <w:jc w:val="center"/>
              <w:rPr>
                <w:rFonts w:hint="eastAsia" w:ascii="宋体" w:hAnsi="宋体" w:cs="宋体"/>
                <w:color w:val="000000" w:themeColor="text1"/>
                <w:szCs w:val="21"/>
                <w14:textFill>
                  <w14:solidFill>
                    <w14:schemeClr w14:val="tx1"/>
                  </w14:solidFill>
                </w14:textFill>
              </w:rPr>
            </w:pPr>
          </w:p>
        </w:tc>
        <w:tc>
          <w:tcPr>
            <w:tcW w:w="721" w:type="dxa"/>
          </w:tcPr>
          <w:p w14:paraId="0B28C4FA">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2EAFEF39">
            <w:pPr>
              <w:spacing w:line="440" w:lineRule="exact"/>
              <w:jc w:val="center"/>
              <w:rPr>
                <w:rFonts w:hint="eastAsia" w:ascii="宋体" w:hAnsi="宋体" w:cs="宋体"/>
                <w:color w:val="000000" w:themeColor="text1"/>
                <w:szCs w:val="21"/>
                <w14:textFill>
                  <w14:solidFill>
                    <w14:schemeClr w14:val="tx1"/>
                  </w14:solidFill>
                </w14:textFill>
              </w:rPr>
            </w:pPr>
          </w:p>
        </w:tc>
        <w:tc>
          <w:tcPr>
            <w:tcW w:w="1081" w:type="dxa"/>
          </w:tcPr>
          <w:p w14:paraId="48761EAE">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18B01098">
            <w:pPr>
              <w:spacing w:line="440" w:lineRule="exact"/>
              <w:jc w:val="center"/>
              <w:rPr>
                <w:rFonts w:hint="eastAsia" w:ascii="宋体" w:hAnsi="宋体" w:cs="宋体"/>
                <w:color w:val="000000" w:themeColor="text1"/>
                <w:szCs w:val="21"/>
                <w14:textFill>
                  <w14:solidFill>
                    <w14:schemeClr w14:val="tx1"/>
                  </w14:solidFill>
                </w14:textFill>
              </w:rPr>
            </w:pPr>
          </w:p>
        </w:tc>
        <w:tc>
          <w:tcPr>
            <w:tcW w:w="721" w:type="dxa"/>
          </w:tcPr>
          <w:p w14:paraId="6A1AEB3E">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1AD29F32">
            <w:pPr>
              <w:spacing w:line="440" w:lineRule="exact"/>
              <w:jc w:val="center"/>
              <w:rPr>
                <w:rFonts w:hint="eastAsia" w:ascii="宋体" w:hAnsi="宋体" w:cs="宋体"/>
                <w:color w:val="000000" w:themeColor="text1"/>
                <w:szCs w:val="21"/>
                <w14:textFill>
                  <w14:solidFill>
                    <w14:schemeClr w14:val="tx1"/>
                  </w14:solidFill>
                </w14:textFill>
              </w:rPr>
            </w:pPr>
          </w:p>
        </w:tc>
        <w:tc>
          <w:tcPr>
            <w:tcW w:w="2523" w:type="dxa"/>
          </w:tcPr>
          <w:p w14:paraId="787D3BDA">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5F23ED97">
            <w:pPr>
              <w:spacing w:line="440" w:lineRule="exact"/>
              <w:jc w:val="center"/>
              <w:rPr>
                <w:rFonts w:hint="eastAsia" w:ascii="宋体" w:hAnsi="宋体" w:cs="宋体"/>
                <w:color w:val="000000" w:themeColor="text1"/>
                <w:szCs w:val="21"/>
                <w14:textFill>
                  <w14:solidFill>
                    <w14:schemeClr w14:val="tx1"/>
                  </w14:solidFill>
                </w14:textFill>
              </w:rPr>
            </w:pPr>
          </w:p>
        </w:tc>
      </w:tr>
      <w:tr w14:paraId="44D3D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dxa"/>
          </w:tcPr>
          <w:p w14:paraId="13FFB7F9">
            <w:pPr>
              <w:spacing w:line="440" w:lineRule="exact"/>
              <w:jc w:val="center"/>
              <w:rPr>
                <w:rFonts w:hint="eastAsia" w:ascii="宋体" w:hAnsi="宋体" w:cs="宋体"/>
                <w:color w:val="000000" w:themeColor="text1"/>
                <w:szCs w:val="21"/>
                <w14:textFill>
                  <w14:solidFill>
                    <w14:schemeClr w14:val="tx1"/>
                  </w14:solidFill>
                </w14:textFill>
              </w:rPr>
            </w:pPr>
          </w:p>
        </w:tc>
        <w:tc>
          <w:tcPr>
            <w:tcW w:w="721" w:type="dxa"/>
          </w:tcPr>
          <w:p w14:paraId="5C663482">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173330C1">
            <w:pPr>
              <w:spacing w:line="440" w:lineRule="exact"/>
              <w:jc w:val="center"/>
              <w:rPr>
                <w:rFonts w:hint="eastAsia" w:ascii="宋体" w:hAnsi="宋体" w:cs="宋体"/>
                <w:color w:val="000000" w:themeColor="text1"/>
                <w:szCs w:val="21"/>
                <w14:textFill>
                  <w14:solidFill>
                    <w14:schemeClr w14:val="tx1"/>
                  </w14:solidFill>
                </w14:textFill>
              </w:rPr>
            </w:pPr>
          </w:p>
        </w:tc>
        <w:tc>
          <w:tcPr>
            <w:tcW w:w="1081" w:type="dxa"/>
          </w:tcPr>
          <w:p w14:paraId="76148BEF">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0B253376">
            <w:pPr>
              <w:spacing w:line="440" w:lineRule="exact"/>
              <w:jc w:val="center"/>
              <w:rPr>
                <w:rFonts w:hint="eastAsia" w:ascii="宋体" w:hAnsi="宋体" w:cs="宋体"/>
                <w:color w:val="000000" w:themeColor="text1"/>
                <w:szCs w:val="21"/>
                <w14:textFill>
                  <w14:solidFill>
                    <w14:schemeClr w14:val="tx1"/>
                  </w14:solidFill>
                </w14:textFill>
              </w:rPr>
            </w:pPr>
          </w:p>
        </w:tc>
        <w:tc>
          <w:tcPr>
            <w:tcW w:w="721" w:type="dxa"/>
          </w:tcPr>
          <w:p w14:paraId="46B35D01">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37B08632">
            <w:pPr>
              <w:spacing w:line="440" w:lineRule="exact"/>
              <w:jc w:val="center"/>
              <w:rPr>
                <w:rFonts w:hint="eastAsia" w:ascii="宋体" w:hAnsi="宋体" w:cs="宋体"/>
                <w:color w:val="000000" w:themeColor="text1"/>
                <w:szCs w:val="21"/>
                <w14:textFill>
                  <w14:solidFill>
                    <w14:schemeClr w14:val="tx1"/>
                  </w14:solidFill>
                </w14:textFill>
              </w:rPr>
            </w:pPr>
          </w:p>
        </w:tc>
        <w:tc>
          <w:tcPr>
            <w:tcW w:w="2523" w:type="dxa"/>
          </w:tcPr>
          <w:p w14:paraId="75D07425">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25E02C19">
            <w:pPr>
              <w:spacing w:line="440" w:lineRule="exact"/>
              <w:jc w:val="center"/>
              <w:rPr>
                <w:rFonts w:hint="eastAsia" w:ascii="宋体" w:hAnsi="宋体" w:cs="宋体"/>
                <w:color w:val="000000" w:themeColor="text1"/>
                <w:szCs w:val="21"/>
                <w14:textFill>
                  <w14:solidFill>
                    <w14:schemeClr w14:val="tx1"/>
                  </w14:solidFill>
                </w14:textFill>
              </w:rPr>
            </w:pPr>
          </w:p>
        </w:tc>
      </w:tr>
      <w:tr w14:paraId="1A9AE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dxa"/>
          </w:tcPr>
          <w:p w14:paraId="053A299E">
            <w:pPr>
              <w:spacing w:line="440" w:lineRule="exact"/>
              <w:jc w:val="center"/>
              <w:rPr>
                <w:rFonts w:hint="eastAsia" w:ascii="宋体" w:hAnsi="宋体" w:cs="宋体"/>
                <w:color w:val="000000" w:themeColor="text1"/>
                <w:szCs w:val="21"/>
                <w14:textFill>
                  <w14:solidFill>
                    <w14:schemeClr w14:val="tx1"/>
                  </w14:solidFill>
                </w14:textFill>
              </w:rPr>
            </w:pPr>
          </w:p>
        </w:tc>
        <w:tc>
          <w:tcPr>
            <w:tcW w:w="721" w:type="dxa"/>
          </w:tcPr>
          <w:p w14:paraId="311D412A">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42D56049">
            <w:pPr>
              <w:spacing w:line="440" w:lineRule="exact"/>
              <w:jc w:val="center"/>
              <w:rPr>
                <w:rFonts w:hint="eastAsia" w:ascii="宋体" w:hAnsi="宋体" w:cs="宋体"/>
                <w:color w:val="000000" w:themeColor="text1"/>
                <w:szCs w:val="21"/>
                <w14:textFill>
                  <w14:solidFill>
                    <w14:schemeClr w14:val="tx1"/>
                  </w14:solidFill>
                </w14:textFill>
              </w:rPr>
            </w:pPr>
          </w:p>
        </w:tc>
        <w:tc>
          <w:tcPr>
            <w:tcW w:w="1081" w:type="dxa"/>
          </w:tcPr>
          <w:p w14:paraId="75440A87">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67EBE737">
            <w:pPr>
              <w:spacing w:line="440" w:lineRule="exact"/>
              <w:jc w:val="center"/>
              <w:rPr>
                <w:rFonts w:hint="eastAsia" w:ascii="宋体" w:hAnsi="宋体" w:cs="宋体"/>
                <w:color w:val="000000" w:themeColor="text1"/>
                <w:szCs w:val="21"/>
                <w14:textFill>
                  <w14:solidFill>
                    <w14:schemeClr w14:val="tx1"/>
                  </w14:solidFill>
                </w14:textFill>
              </w:rPr>
            </w:pPr>
          </w:p>
        </w:tc>
        <w:tc>
          <w:tcPr>
            <w:tcW w:w="721" w:type="dxa"/>
          </w:tcPr>
          <w:p w14:paraId="44E95CA7">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74A693E8">
            <w:pPr>
              <w:spacing w:line="440" w:lineRule="exact"/>
              <w:jc w:val="center"/>
              <w:rPr>
                <w:rFonts w:hint="eastAsia" w:ascii="宋体" w:hAnsi="宋体" w:cs="宋体"/>
                <w:color w:val="000000" w:themeColor="text1"/>
                <w:szCs w:val="21"/>
                <w14:textFill>
                  <w14:solidFill>
                    <w14:schemeClr w14:val="tx1"/>
                  </w14:solidFill>
                </w14:textFill>
              </w:rPr>
            </w:pPr>
          </w:p>
        </w:tc>
        <w:tc>
          <w:tcPr>
            <w:tcW w:w="2523" w:type="dxa"/>
          </w:tcPr>
          <w:p w14:paraId="636DC65D">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7A1FC131">
            <w:pPr>
              <w:spacing w:line="440" w:lineRule="exact"/>
              <w:jc w:val="center"/>
              <w:rPr>
                <w:rFonts w:hint="eastAsia" w:ascii="宋体" w:hAnsi="宋体" w:cs="宋体"/>
                <w:color w:val="000000" w:themeColor="text1"/>
                <w:szCs w:val="21"/>
                <w14:textFill>
                  <w14:solidFill>
                    <w14:schemeClr w14:val="tx1"/>
                  </w14:solidFill>
                </w14:textFill>
              </w:rPr>
            </w:pPr>
          </w:p>
        </w:tc>
      </w:tr>
      <w:tr w14:paraId="46ECE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dxa"/>
          </w:tcPr>
          <w:p w14:paraId="6C3D999A">
            <w:pPr>
              <w:spacing w:line="440" w:lineRule="exact"/>
              <w:jc w:val="center"/>
              <w:rPr>
                <w:rFonts w:hint="eastAsia" w:ascii="宋体" w:hAnsi="宋体" w:cs="宋体"/>
                <w:color w:val="000000" w:themeColor="text1"/>
                <w:szCs w:val="21"/>
                <w14:textFill>
                  <w14:solidFill>
                    <w14:schemeClr w14:val="tx1"/>
                  </w14:solidFill>
                </w14:textFill>
              </w:rPr>
            </w:pPr>
          </w:p>
        </w:tc>
        <w:tc>
          <w:tcPr>
            <w:tcW w:w="721" w:type="dxa"/>
          </w:tcPr>
          <w:p w14:paraId="059D223F">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1E550554">
            <w:pPr>
              <w:spacing w:line="440" w:lineRule="exact"/>
              <w:jc w:val="center"/>
              <w:rPr>
                <w:rFonts w:hint="eastAsia" w:ascii="宋体" w:hAnsi="宋体" w:cs="宋体"/>
                <w:color w:val="000000" w:themeColor="text1"/>
                <w:szCs w:val="21"/>
                <w14:textFill>
                  <w14:solidFill>
                    <w14:schemeClr w14:val="tx1"/>
                  </w14:solidFill>
                </w14:textFill>
              </w:rPr>
            </w:pPr>
          </w:p>
        </w:tc>
        <w:tc>
          <w:tcPr>
            <w:tcW w:w="1081" w:type="dxa"/>
          </w:tcPr>
          <w:p w14:paraId="45C234F8">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7542ACE6">
            <w:pPr>
              <w:spacing w:line="440" w:lineRule="exact"/>
              <w:jc w:val="center"/>
              <w:rPr>
                <w:rFonts w:hint="eastAsia" w:ascii="宋体" w:hAnsi="宋体" w:cs="宋体"/>
                <w:color w:val="000000" w:themeColor="text1"/>
                <w:szCs w:val="21"/>
                <w14:textFill>
                  <w14:solidFill>
                    <w14:schemeClr w14:val="tx1"/>
                  </w14:solidFill>
                </w14:textFill>
              </w:rPr>
            </w:pPr>
          </w:p>
        </w:tc>
        <w:tc>
          <w:tcPr>
            <w:tcW w:w="721" w:type="dxa"/>
          </w:tcPr>
          <w:p w14:paraId="15769DAD">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3ADC8043">
            <w:pPr>
              <w:spacing w:line="440" w:lineRule="exact"/>
              <w:jc w:val="center"/>
              <w:rPr>
                <w:rFonts w:hint="eastAsia" w:ascii="宋体" w:hAnsi="宋体" w:cs="宋体"/>
                <w:color w:val="000000" w:themeColor="text1"/>
                <w:szCs w:val="21"/>
                <w14:textFill>
                  <w14:solidFill>
                    <w14:schemeClr w14:val="tx1"/>
                  </w14:solidFill>
                </w14:textFill>
              </w:rPr>
            </w:pPr>
          </w:p>
        </w:tc>
        <w:tc>
          <w:tcPr>
            <w:tcW w:w="2523" w:type="dxa"/>
          </w:tcPr>
          <w:p w14:paraId="164FA232">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609FADBF">
            <w:pPr>
              <w:spacing w:line="440" w:lineRule="exact"/>
              <w:jc w:val="center"/>
              <w:rPr>
                <w:rFonts w:hint="eastAsia" w:ascii="宋体" w:hAnsi="宋体" w:cs="宋体"/>
                <w:color w:val="000000" w:themeColor="text1"/>
                <w:szCs w:val="21"/>
                <w14:textFill>
                  <w14:solidFill>
                    <w14:schemeClr w14:val="tx1"/>
                  </w14:solidFill>
                </w14:textFill>
              </w:rPr>
            </w:pPr>
          </w:p>
        </w:tc>
      </w:tr>
      <w:tr w14:paraId="2257B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dxa"/>
          </w:tcPr>
          <w:p w14:paraId="3351EA4E">
            <w:pPr>
              <w:spacing w:line="440" w:lineRule="exact"/>
              <w:jc w:val="center"/>
              <w:rPr>
                <w:rFonts w:hint="eastAsia" w:ascii="宋体" w:hAnsi="宋体" w:cs="宋体"/>
                <w:color w:val="000000" w:themeColor="text1"/>
                <w:szCs w:val="21"/>
                <w14:textFill>
                  <w14:solidFill>
                    <w14:schemeClr w14:val="tx1"/>
                  </w14:solidFill>
                </w14:textFill>
              </w:rPr>
            </w:pPr>
          </w:p>
        </w:tc>
        <w:tc>
          <w:tcPr>
            <w:tcW w:w="721" w:type="dxa"/>
          </w:tcPr>
          <w:p w14:paraId="12F6C9CC">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3F5A2CA8">
            <w:pPr>
              <w:spacing w:line="440" w:lineRule="exact"/>
              <w:jc w:val="center"/>
              <w:rPr>
                <w:rFonts w:hint="eastAsia" w:ascii="宋体" w:hAnsi="宋体" w:cs="宋体"/>
                <w:color w:val="000000" w:themeColor="text1"/>
                <w:szCs w:val="21"/>
                <w14:textFill>
                  <w14:solidFill>
                    <w14:schemeClr w14:val="tx1"/>
                  </w14:solidFill>
                </w14:textFill>
              </w:rPr>
            </w:pPr>
          </w:p>
        </w:tc>
        <w:tc>
          <w:tcPr>
            <w:tcW w:w="1081" w:type="dxa"/>
          </w:tcPr>
          <w:p w14:paraId="14A544AE">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1BDEF01D">
            <w:pPr>
              <w:spacing w:line="440" w:lineRule="exact"/>
              <w:jc w:val="center"/>
              <w:rPr>
                <w:rFonts w:hint="eastAsia" w:ascii="宋体" w:hAnsi="宋体" w:cs="宋体"/>
                <w:color w:val="000000" w:themeColor="text1"/>
                <w:szCs w:val="21"/>
                <w14:textFill>
                  <w14:solidFill>
                    <w14:schemeClr w14:val="tx1"/>
                  </w14:solidFill>
                </w14:textFill>
              </w:rPr>
            </w:pPr>
          </w:p>
        </w:tc>
        <w:tc>
          <w:tcPr>
            <w:tcW w:w="721" w:type="dxa"/>
          </w:tcPr>
          <w:p w14:paraId="31DB5D3D">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0DFF96EB">
            <w:pPr>
              <w:spacing w:line="440" w:lineRule="exact"/>
              <w:jc w:val="center"/>
              <w:rPr>
                <w:rFonts w:hint="eastAsia" w:ascii="宋体" w:hAnsi="宋体" w:cs="宋体"/>
                <w:color w:val="000000" w:themeColor="text1"/>
                <w:szCs w:val="21"/>
                <w14:textFill>
                  <w14:solidFill>
                    <w14:schemeClr w14:val="tx1"/>
                  </w14:solidFill>
                </w14:textFill>
              </w:rPr>
            </w:pPr>
          </w:p>
        </w:tc>
        <w:tc>
          <w:tcPr>
            <w:tcW w:w="2523" w:type="dxa"/>
          </w:tcPr>
          <w:p w14:paraId="408D9252">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2BC1FCCA">
            <w:pPr>
              <w:spacing w:line="440" w:lineRule="exact"/>
              <w:jc w:val="center"/>
              <w:rPr>
                <w:rFonts w:hint="eastAsia" w:ascii="宋体" w:hAnsi="宋体" w:cs="宋体"/>
                <w:color w:val="000000" w:themeColor="text1"/>
                <w:szCs w:val="21"/>
                <w14:textFill>
                  <w14:solidFill>
                    <w14:schemeClr w14:val="tx1"/>
                  </w14:solidFill>
                </w14:textFill>
              </w:rPr>
            </w:pPr>
          </w:p>
        </w:tc>
      </w:tr>
      <w:tr w14:paraId="4B82B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dxa"/>
          </w:tcPr>
          <w:p w14:paraId="082EFC24">
            <w:pPr>
              <w:spacing w:line="440" w:lineRule="exact"/>
              <w:jc w:val="center"/>
              <w:rPr>
                <w:rFonts w:hint="eastAsia" w:ascii="宋体" w:hAnsi="宋体" w:cs="宋体"/>
                <w:color w:val="000000" w:themeColor="text1"/>
                <w:szCs w:val="21"/>
                <w14:textFill>
                  <w14:solidFill>
                    <w14:schemeClr w14:val="tx1"/>
                  </w14:solidFill>
                </w14:textFill>
              </w:rPr>
            </w:pPr>
          </w:p>
        </w:tc>
        <w:tc>
          <w:tcPr>
            <w:tcW w:w="721" w:type="dxa"/>
          </w:tcPr>
          <w:p w14:paraId="7FD7A397">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078E632F">
            <w:pPr>
              <w:spacing w:line="440" w:lineRule="exact"/>
              <w:jc w:val="center"/>
              <w:rPr>
                <w:rFonts w:hint="eastAsia" w:ascii="宋体" w:hAnsi="宋体" w:cs="宋体"/>
                <w:color w:val="000000" w:themeColor="text1"/>
                <w:szCs w:val="21"/>
                <w14:textFill>
                  <w14:solidFill>
                    <w14:schemeClr w14:val="tx1"/>
                  </w14:solidFill>
                </w14:textFill>
              </w:rPr>
            </w:pPr>
          </w:p>
        </w:tc>
        <w:tc>
          <w:tcPr>
            <w:tcW w:w="1081" w:type="dxa"/>
          </w:tcPr>
          <w:p w14:paraId="19A3EAC4">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569FF86E">
            <w:pPr>
              <w:spacing w:line="440" w:lineRule="exact"/>
              <w:jc w:val="center"/>
              <w:rPr>
                <w:rFonts w:hint="eastAsia" w:ascii="宋体" w:hAnsi="宋体" w:cs="宋体"/>
                <w:color w:val="000000" w:themeColor="text1"/>
                <w:szCs w:val="21"/>
                <w14:textFill>
                  <w14:solidFill>
                    <w14:schemeClr w14:val="tx1"/>
                  </w14:solidFill>
                </w14:textFill>
              </w:rPr>
            </w:pPr>
          </w:p>
        </w:tc>
        <w:tc>
          <w:tcPr>
            <w:tcW w:w="721" w:type="dxa"/>
          </w:tcPr>
          <w:p w14:paraId="0821CE9D">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747D9836">
            <w:pPr>
              <w:spacing w:line="440" w:lineRule="exact"/>
              <w:jc w:val="center"/>
              <w:rPr>
                <w:rFonts w:hint="eastAsia" w:ascii="宋体" w:hAnsi="宋体" w:cs="宋体"/>
                <w:color w:val="000000" w:themeColor="text1"/>
                <w:szCs w:val="21"/>
                <w14:textFill>
                  <w14:solidFill>
                    <w14:schemeClr w14:val="tx1"/>
                  </w14:solidFill>
                </w14:textFill>
              </w:rPr>
            </w:pPr>
          </w:p>
        </w:tc>
        <w:tc>
          <w:tcPr>
            <w:tcW w:w="2523" w:type="dxa"/>
          </w:tcPr>
          <w:p w14:paraId="2DDB7ECB">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466A0034">
            <w:pPr>
              <w:spacing w:line="440" w:lineRule="exact"/>
              <w:jc w:val="center"/>
              <w:rPr>
                <w:rFonts w:hint="eastAsia" w:ascii="宋体" w:hAnsi="宋体" w:cs="宋体"/>
                <w:color w:val="000000" w:themeColor="text1"/>
                <w:szCs w:val="21"/>
                <w14:textFill>
                  <w14:solidFill>
                    <w14:schemeClr w14:val="tx1"/>
                  </w14:solidFill>
                </w14:textFill>
              </w:rPr>
            </w:pPr>
          </w:p>
        </w:tc>
      </w:tr>
      <w:tr w14:paraId="7C757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dxa"/>
          </w:tcPr>
          <w:p w14:paraId="25D32DEE">
            <w:pPr>
              <w:spacing w:line="440" w:lineRule="exact"/>
              <w:jc w:val="center"/>
              <w:rPr>
                <w:rFonts w:hint="eastAsia" w:ascii="宋体" w:hAnsi="宋体" w:cs="宋体"/>
                <w:color w:val="000000" w:themeColor="text1"/>
                <w:szCs w:val="21"/>
                <w14:textFill>
                  <w14:solidFill>
                    <w14:schemeClr w14:val="tx1"/>
                  </w14:solidFill>
                </w14:textFill>
              </w:rPr>
            </w:pPr>
          </w:p>
        </w:tc>
        <w:tc>
          <w:tcPr>
            <w:tcW w:w="721" w:type="dxa"/>
          </w:tcPr>
          <w:p w14:paraId="624C546F">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3D3F03F4">
            <w:pPr>
              <w:spacing w:line="440" w:lineRule="exact"/>
              <w:jc w:val="center"/>
              <w:rPr>
                <w:rFonts w:hint="eastAsia" w:ascii="宋体" w:hAnsi="宋体" w:cs="宋体"/>
                <w:color w:val="000000" w:themeColor="text1"/>
                <w:szCs w:val="21"/>
                <w14:textFill>
                  <w14:solidFill>
                    <w14:schemeClr w14:val="tx1"/>
                  </w14:solidFill>
                </w14:textFill>
              </w:rPr>
            </w:pPr>
          </w:p>
        </w:tc>
        <w:tc>
          <w:tcPr>
            <w:tcW w:w="1081" w:type="dxa"/>
          </w:tcPr>
          <w:p w14:paraId="64BF90AC">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36C6D5FE">
            <w:pPr>
              <w:spacing w:line="440" w:lineRule="exact"/>
              <w:jc w:val="center"/>
              <w:rPr>
                <w:rFonts w:hint="eastAsia" w:ascii="宋体" w:hAnsi="宋体" w:cs="宋体"/>
                <w:color w:val="000000" w:themeColor="text1"/>
                <w:szCs w:val="21"/>
                <w14:textFill>
                  <w14:solidFill>
                    <w14:schemeClr w14:val="tx1"/>
                  </w14:solidFill>
                </w14:textFill>
              </w:rPr>
            </w:pPr>
          </w:p>
        </w:tc>
        <w:tc>
          <w:tcPr>
            <w:tcW w:w="721" w:type="dxa"/>
          </w:tcPr>
          <w:p w14:paraId="1859BCCB">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02FD0701">
            <w:pPr>
              <w:spacing w:line="440" w:lineRule="exact"/>
              <w:jc w:val="center"/>
              <w:rPr>
                <w:rFonts w:hint="eastAsia" w:ascii="宋体" w:hAnsi="宋体" w:cs="宋体"/>
                <w:color w:val="000000" w:themeColor="text1"/>
                <w:szCs w:val="21"/>
                <w14:textFill>
                  <w14:solidFill>
                    <w14:schemeClr w14:val="tx1"/>
                  </w14:solidFill>
                </w14:textFill>
              </w:rPr>
            </w:pPr>
          </w:p>
        </w:tc>
        <w:tc>
          <w:tcPr>
            <w:tcW w:w="2523" w:type="dxa"/>
          </w:tcPr>
          <w:p w14:paraId="0BA9DC1A">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76FDFCF3">
            <w:pPr>
              <w:spacing w:line="440" w:lineRule="exact"/>
              <w:jc w:val="center"/>
              <w:rPr>
                <w:rFonts w:hint="eastAsia" w:ascii="宋体" w:hAnsi="宋体" w:cs="宋体"/>
                <w:color w:val="000000" w:themeColor="text1"/>
                <w:szCs w:val="21"/>
                <w14:textFill>
                  <w14:solidFill>
                    <w14:schemeClr w14:val="tx1"/>
                  </w14:solidFill>
                </w14:textFill>
              </w:rPr>
            </w:pPr>
          </w:p>
        </w:tc>
      </w:tr>
      <w:tr w14:paraId="2A9B6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dxa"/>
          </w:tcPr>
          <w:p w14:paraId="21D518C5">
            <w:pPr>
              <w:spacing w:line="440" w:lineRule="exact"/>
              <w:jc w:val="center"/>
              <w:rPr>
                <w:rFonts w:hint="eastAsia" w:ascii="宋体" w:hAnsi="宋体" w:cs="宋体"/>
                <w:color w:val="000000" w:themeColor="text1"/>
                <w:szCs w:val="21"/>
                <w14:textFill>
                  <w14:solidFill>
                    <w14:schemeClr w14:val="tx1"/>
                  </w14:solidFill>
                </w14:textFill>
              </w:rPr>
            </w:pPr>
          </w:p>
        </w:tc>
        <w:tc>
          <w:tcPr>
            <w:tcW w:w="721" w:type="dxa"/>
          </w:tcPr>
          <w:p w14:paraId="70488C91">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21927BDB">
            <w:pPr>
              <w:spacing w:line="440" w:lineRule="exact"/>
              <w:jc w:val="center"/>
              <w:rPr>
                <w:rFonts w:hint="eastAsia" w:ascii="宋体" w:hAnsi="宋体" w:cs="宋体"/>
                <w:color w:val="000000" w:themeColor="text1"/>
                <w:szCs w:val="21"/>
                <w14:textFill>
                  <w14:solidFill>
                    <w14:schemeClr w14:val="tx1"/>
                  </w14:solidFill>
                </w14:textFill>
              </w:rPr>
            </w:pPr>
          </w:p>
        </w:tc>
        <w:tc>
          <w:tcPr>
            <w:tcW w:w="1081" w:type="dxa"/>
          </w:tcPr>
          <w:p w14:paraId="39A01C03">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157DA949">
            <w:pPr>
              <w:spacing w:line="440" w:lineRule="exact"/>
              <w:jc w:val="center"/>
              <w:rPr>
                <w:rFonts w:hint="eastAsia" w:ascii="宋体" w:hAnsi="宋体" w:cs="宋体"/>
                <w:color w:val="000000" w:themeColor="text1"/>
                <w:szCs w:val="21"/>
                <w14:textFill>
                  <w14:solidFill>
                    <w14:schemeClr w14:val="tx1"/>
                  </w14:solidFill>
                </w14:textFill>
              </w:rPr>
            </w:pPr>
          </w:p>
        </w:tc>
        <w:tc>
          <w:tcPr>
            <w:tcW w:w="721" w:type="dxa"/>
          </w:tcPr>
          <w:p w14:paraId="3888DCEA">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54FFC670">
            <w:pPr>
              <w:spacing w:line="440" w:lineRule="exact"/>
              <w:jc w:val="center"/>
              <w:rPr>
                <w:rFonts w:hint="eastAsia" w:ascii="宋体" w:hAnsi="宋体" w:cs="宋体"/>
                <w:color w:val="000000" w:themeColor="text1"/>
                <w:szCs w:val="21"/>
                <w14:textFill>
                  <w14:solidFill>
                    <w14:schemeClr w14:val="tx1"/>
                  </w14:solidFill>
                </w14:textFill>
              </w:rPr>
            </w:pPr>
          </w:p>
        </w:tc>
        <w:tc>
          <w:tcPr>
            <w:tcW w:w="2523" w:type="dxa"/>
          </w:tcPr>
          <w:p w14:paraId="572934D1">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0FDE3C04">
            <w:pPr>
              <w:spacing w:line="440" w:lineRule="exact"/>
              <w:jc w:val="center"/>
              <w:rPr>
                <w:rFonts w:hint="eastAsia" w:ascii="宋体" w:hAnsi="宋体" w:cs="宋体"/>
                <w:color w:val="000000" w:themeColor="text1"/>
                <w:szCs w:val="21"/>
                <w14:textFill>
                  <w14:solidFill>
                    <w14:schemeClr w14:val="tx1"/>
                  </w14:solidFill>
                </w14:textFill>
              </w:rPr>
            </w:pPr>
          </w:p>
        </w:tc>
      </w:tr>
      <w:tr w14:paraId="278CE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dxa"/>
          </w:tcPr>
          <w:p w14:paraId="59889651">
            <w:pPr>
              <w:spacing w:line="440" w:lineRule="exact"/>
              <w:jc w:val="center"/>
              <w:rPr>
                <w:rFonts w:hint="eastAsia" w:ascii="宋体" w:hAnsi="宋体" w:cs="宋体"/>
                <w:color w:val="000000" w:themeColor="text1"/>
                <w:szCs w:val="21"/>
                <w14:textFill>
                  <w14:solidFill>
                    <w14:schemeClr w14:val="tx1"/>
                  </w14:solidFill>
                </w14:textFill>
              </w:rPr>
            </w:pPr>
          </w:p>
        </w:tc>
        <w:tc>
          <w:tcPr>
            <w:tcW w:w="721" w:type="dxa"/>
          </w:tcPr>
          <w:p w14:paraId="6C06C969">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7B6BBA60">
            <w:pPr>
              <w:spacing w:line="440" w:lineRule="exact"/>
              <w:jc w:val="center"/>
              <w:rPr>
                <w:rFonts w:hint="eastAsia" w:ascii="宋体" w:hAnsi="宋体" w:cs="宋体"/>
                <w:color w:val="000000" w:themeColor="text1"/>
                <w:szCs w:val="21"/>
                <w14:textFill>
                  <w14:solidFill>
                    <w14:schemeClr w14:val="tx1"/>
                  </w14:solidFill>
                </w14:textFill>
              </w:rPr>
            </w:pPr>
          </w:p>
        </w:tc>
        <w:tc>
          <w:tcPr>
            <w:tcW w:w="1081" w:type="dxa"/>
          </w:tcPr>
          <w:p w14:paraId="6FEB5195">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4CB09B5C">
            <w:pPr>
              <w:spacing w:line="440" w:lineRule="exact"/>
              <w:jc w:val="center"/>
              <w:rPr>
                <w:rFonts w:hint="eastAsia" w:ascii="宋体" w:hAnsi="宋体" w:cs="宋体"/>
                <w:color w:val="000000" w:themeColor="text1"/>
                <w:szCs w:val="21"/>
                <w14:textFill>
                  <w14:solidFill>
                    <w14:schemeClr w14:val="tx1"/>
                  </w14:solidFill>
                </w14:textFill>
              </w:rPr>
            </w:pPr>
          </w:p>
        </w:tc>
        <w:tc>
          <w:tcPr>
            <w:tcW w:w="721" w:type="dxa"/>
          </w:tcPr>
          <w:p w14:paraId="39B53C04">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16148D67">
            <w:pPr>
              <w:spacing w:line="440" w:lineRule="exact"/>
              <w:jc w:val="center"/>
              <w:rPr>
                <w:rFonts w:hint="eastAsia" w:ascii="宋体" w:hAnsi="宋体" w:cs="宋体"/>
                <w:color w:val="000000" w:themeColor="text1"/>
                <w:szCs w:val="21"/>
                <w14:textFill>
                  <w14:solidFill>
                    <w14:schemeClr w14:val="tx1"/>
                  </w14:solidFill>
                </w14:textFill>
              </w:rPr>
            </w:pPr>
          </w:p>
        </w:tc>
        <w:tc>
          <w:tcPr>
            <w:tcW w:w="2523" w:type="dxa"/>
          </w:tcPr>
          <w:p w14:paraId="42160ED0">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0AF0D6B2">
            <w:pPr>
              <w:spacing w:line="440" w:lineRule="exact"/>
              <w:jc w:val="center"/>
              <w:rPr>
                <w:rFonts w:hint="eastAsia" w:ascii="宋体" w:hAnsi="宋体" w:cs="宋体"/>
                <w:color w:val="000000" w:themeColor="text1"/>
                <w:szCs w:val="21"/>
                <w14:textFill>
                  <w14:solidFill>
                    <w14:schemeClr w14:val="tx1"/>
                  </w14:solidFill>
                </w14:textFill>
              </w:rPr>
            </w:pPr>
          </w:p>
        </w:tc>
      </w:tr>
      <w:tr w14:paraId="63E1B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dxa"/>
          </w:tcPr>
          <w:p w14:paraId="6508527B">
            <w:pPr>
              <w:spacing w:line="440" w:lineRule="exact"/>
              <w:jc w:val="center"/>
              <w:rPr>
                <w:rFonts w:hint="eastAsia" w:ascii="宋体" w:hAnsi="宋体" w:cs="宋体"/>
                <w:color w:val="000000" w:themeColor="text1"/>
                <w:szCs w:val="21"/>
                <w14:textFill>
                  <w14:solidFill>
                    <w14:schemeClr w14:val="tx1"/>
                  </w14:solidFill>
                </w14:textFill>
              </w:rPr>
            </w:pPr>
          </w:p>
        </w:tc>
        <w:tc>
          <w:tcPr>
            <w:tcW w:w="721" w:type="dxa"/>
          </w:tcPr>
          <w:p w14:paraId="66F111E3">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4F71AB63">
            <w:pPr>
              <w:spacing w:line="440" w:lineRule="exact"/>
              <w:jc w:val="center"/>
              <w:rPr>
                <w:rFonts w:hint="eastAsia" w:ascii="宋体" w:hAnsi="宋体" w:cs="宋体"/>
                <w:color w:val="000000" w:themeColor="text1"/>
                <w:szCs w:val="21"/>
                <w14:textFill>
                  <w14:solidFill>
                    <w14:schemeClr w14:val="tx1"/>
                  </w14:solidFill>
                </w14:textFill>
              </w:rPr>
            </w:pPr>
          </w:p>
        </w:tc>
        <w:tc>
          <w:tcPr>
            <w:tcW w:w="1081" w:type="dxa"/>
          </w:tcPr>
          <w:p w14:paraId="178C3A4B">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4F1B405D">
            <w:pPr>
              <w:spacing w:line="440" w:lineRule="exact"/>
              <w:jc w:val="center"/>
              <w:rPr>
                <w:rFonts w:hint="eastAsia" w:ascii="宋体" w:hAnsi="宋体" w:cs="宋体"/>
                <w:color w:val="000000" w:themeColor="text1"/>
                <w:szCs w:val="21"/>
                <w14:textFill>
                  <w14:solidFill>
                    <w14:schemeClr w14:val="tx1"/>
                  </w14:solidFill>
                </w14:textFill>
              </w:rPr>
            </w:pPr>
          </w:p>
        </w:tc>
        <w:tc>
          <w:tcPr>
            <w:tcW w:w="721" w:type="dxa"/>
          </w:tcPr>
          <w:p w14:paraId="6C2EC716">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75F9FCE1">
            <w:pPr>
              <w:spacing w:line="440" w:lineRule="exact"/>
              <w:jc w:val="center"/>
              <w:rPr>
                <w:rFonts w:hint="eastAsia" w:ascii="宋体" w:hAnsi="宋体" w:cs="宋体"/>
                <w:color w:val="000000" w:themeColor="text1"/>
                <w:szCs w:val="21"/>
                <w14:textFill>
                  <w14:solidFill>
                    <w14:schemeClr w14:val="tx1"/>
                  </w14:solidFill>
                </w14:textFill>
              </w:rPr>
            </w:pPr>
          </w:p>
        </w:tc>
        <w:tc>
          <w:tcPr>
            <w:tcW w:w="2523" w:type="dxa"/>
          </w:tcPr>
          <w:p w14:paraId="00339F75">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5207742E">
            <w:pPr>
              <w:spacing w:line="440" w:lineRule="exact"/>
              <w:jc w:val="center"/>
              <w:rPr>
                <w:rFonts w:hint="eastAsia" w:ascii="宋体" w:hAnsi="宋体" w:cs="宋体"/>
                <w:color w:val="000000" w:themeColor="text1"/>
                <w:szCs w:val="21"/>
                <w14:textFill>
                  <w14:solidFill>
                    <w14:schemeClr w14:val="tx1"/>
                  </w14:solidFill>
                </w14:textFill>
              </w:rPr>
            </w:pPr>
          </w:p>
        </w:tc>
      </w:tr>
      <w:tr w14:paraId="2FEFC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dxa"/>
          </w:tcPr>
          <w:p w14:paraId="44235101">
            <w:pPr>
              <w:spacing w:line="440" w:lineRule="exact"/>
              <w:jc w:val="center"/>
              <w:rPr>
                <w:rFonts w:hint="eastAsia" w:ascii="宋体" w:hAnsi="宋体" w:cs="宋体"/>
                <w:color w:val="000000" w:themeColor="text1"/>
                <w:szCs w:val="21"/>
                <w14:textFill>
                  <w14:solidFill>
                    <w14:schemeClr w14:val="tx1"/>
                  </w14:solidFill>
                </w14:textFill>
              </w:rPr>
            </w:pPr>
          </w:p>
        </w:tc>
        <w:tc>
          <w:tcPr>
            <w:tcW w:w="721" w:type="dxa"/>
          </w:tcPr>
          <w:p w14:paraId="109E9903">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65A79BC7">
            <w:pPr>
              <w:spacing w:line="440" w:lineRule="exact"/>
              <w:jc w:val="center"/>
              <w:rPr>
                <w:rFonts w:hint="eastAsia" w:ascii="宋体" w:hAnsi="宋体" w:cs="宋体"/>
                <w:color w:val="000000" w:themeColor="text1"/>
                <w:szCs w:val="21"/>
                <w14:textFill>
                  <w14:solidFill>
                    <w14:schemeClr w14:val="tx1"/>
                  </w14:solidFill>
                </w14:textFill>
              </w:rPr>
            </w:pPr>
          </w:p>
        </w:tc>
        <w:tc>
          <w:tcPr>
            <w:tcW w:w="1081" w:type="dxa"/>
          </w:tcPr>
          <w:p w14:paraId="6F810A4B">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1368A9B0">
            <w:pPr>
              <w:spacing w:line="440" w:lineRule="exact"/>
              <w:jc w:val="center"/>
              <w:rPr>
                <w:rFonts w:hint="eastAsia" w:ascii="宋体" w:hAnsi="宋体" w:cs="宋体"/>
                <w:color w:val="000000" w:themeColor="text1"/>
                <w:szCs w:val="21"/>
                <w14:textFill>
                  <w14:solidFill>
                    <w14:schemeClr w14:val="tx1"/>
                  </w14:solidFill>
                </w14:textFill>
              </w:rPr>
            </w:pPr>
          </w:p>
        </w:tc>
        <w:tc>
          <w:tcPr>
            <w:tcW w:w="721" w:type="dxa"/>
          </w:tcPr>
          <w:p w14:paraId="62BB6438">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492E3FBF">
            <w:pPr>
              <w:spacing w:line="440" w:lineRule="exact"/>
              <w:jc w:val="center"/>
              <w:rPr>
                <w:rFonts w:hint="eastAsia" w:ascii="宋体" w:hAnsi="宋体" w:cs="宋体"/>
                <w:color w:val="000000" w:themeColor="text1"/>
                <w:szCs w:val="21"/>
                <w14:textFill>
                  <w14:solidFill>
                    <w14:schemeClr w14:val="tx1"/>
                  </w14:solidFill>
                </w14:textFill>
              </w:rPr>
            </w:pPr>
          </w:p>
        </w:tc>
        <w:tc>
          <w:tcPr>
            <w:tcW w:w="2523" w:type="dxa"/>
          </w:tcPr>
          <w:p w14:paraId="39AFBFF4">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3D9CA2D5">
            <w:pPr>
              <w:spacing w:line="440" w:lineRule="exact"/>
              <w:jc w:val="center"/>
              <w:rPr>
                <w:rFonts w:hint="eastAsia" w:ascii="宋体" w:hAnsi="宋体" w:cs="宋体"/>
                <w:color w:val="000000" w:themeColor="text1"/>
                <w:szCs w:val="21"/>
                <w14:textFill>
                  <w14:solidFill>
                    <w14:schemeClr w14:val="tx1"/>
                  </w14:solidFill>
                </w14:textFill>
              </w:rPr>
            </w:pPr>
          </w:p>
        </w:tc>
      </w:tr>
      <w:tr w14:paraId="6EC26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47" w:type="dxa"/>
          </w:tcPr>
          <w:p w14:paraId="46C9B2CC">
            <w:pPr>
              <w:spacing w:line="440" w:lineRule="exact"/>
              <w:jc w:val="center"/>
              <w:rPr>
                <w:rFonts w:hint="eastAsia" w:ascii="宋体" w:hAnsi="宋体" w:cs="宋体"/>
                <w:color w:val="000000" w:themeColor="text1"/>
                <w:szCs w:val="21"/>
                <w14:textFill>
                  <w14:solidFill>
                    <w14:schemeClr w14:val="tx1"/>
                  </w14:solidFill>
                </w14:textFill>
              </w:rPr>
            </w:pPr>
          </w:p>
        </w:tc>
        <w:tc>
          <w:tcPr>
            <w:tcW w:w="721" w:type="dxa"/>
          </w:tcPr>
          <w:p w14:paraId="63682B50">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2D219BD3">
            <w:pPr>
              <w:spacing w:line="440" w:lineRule="exact"/>
              <w:jc w:val="center"/>
              <w:rPr>
                <w:rFonts w:hint="eastAsia" w:ascii="宋体" w:hAnsi="宋体" w:cs="宋体"/>
                <w:color w:val="000000" w:themeColor="text1"/>
                <w:szCs w:val="21"/>
                <w14:textFill>
                  <w14:solidFill>
                    <w14:schemeClr w14:val="tx1"/>
                  </w14:solidFill>
                </w14:textFill>
              </w:rPr>
            </w:pPr>
          </w:p>
        </w:tc>
        <w:tc>
          <w:tcPr>
            <w:tcW w:w="1081" w:type="dxa"/>
          </w:tcPr>
          <w:p w14:paraId="0A0581AB">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626B719B">
            <w:pPr>
              <w:spacing w:line="440" w:lineRule="exact"/>
              <w:jc w:val="center"/>
              <w:rPr>
                <w:rFonts w:hint="eastAsia" w:ascii="宋体" w:hAnsi="宋体" w:cs="宋体"/>
                <w:color w:val="000000" w:themeColor="text1"/>
                <w:szCs w:val="21"/>
                <w14:textFill>
                  <w14:solidFill>
                    <w14:schemeClr w14:val="tx1"/>
                  </w14:solidFill>
                </w14:textFill>
              </w:rPr>
            </w:pPr>
          </w:p>
        </w:tc>
        <w:tc>
          <w:tcPr>
            <w:tcW w:w="721" w:type="dxa"/>
          </w:tcPr>
          <w:p w14:paraId="372C3141">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29726334">
            <w:pPr>
              <w:spacing w:line="440" w:lineRule="exact"/>
              <w:jc w:val="center"/>
              <w:rPr>
                <w:rFonts w:hint="eastAsia" w:ascii="宋体" w:hAnsi="宋体" w:cs="宋体"/>
                <w:color w:val="000000" w:themeColor="text1"/>
                <w:szCs w:val="21"/>
                <w14:textFill>
                  <w14:solidFill>
                    <w14:schemeClr w14:val="tx1"/>
                  </w14:solidFill>
                </w14:textFill>
              </w:rPr>
            </w:pPr>
          </w:p>
        </w:tc>
        <w:tc>
          <w:tcPr>
            <w:tcW w:w="2523" w:type="dxa"/>
          </w:tcPr>
          <w:p w14:paraId="7A862D98">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223448D7">
            <w:pPr>
              <w:spacing w:line="440" w:lineRule="exact"/>
              <w:jc w:val="center"/>
              <w:rPr>
                <w:rFonts w:hint="eastAsia" w:ascii="宋体" w:hAnsi="宋体" w:cs="宋体"/>
                <w:color w:val="000000" w:themeColor="text1"/>
                <w:szCs w:val="21"/>
                <w14:textFill>
                  <w14:solidFill>
                    <w14:schemeClr w14:val="tx1"/>
                  </w14:solidFill>
                </w14:textFill>
              </w:rPr>
            </w:pPr>
          </w:p>
        </w:tc>
      </w:tr>
      <w:tr w14:paraId="13055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dxa"/>
          </w:tcPr>
          <w:p w14:paraId="1A5215E4">
            <w:pPr>
              <w:spacing w:line="440" w:lineRule="exact"/>
              <w:jc w:val="center"/>
              <w:rPr>
                <w:rFonts w:hint="eastAsia" w:ascii="宋体" w:hAnsi="宋体" w:cs="宋体"/>
                <w:color w:val="000000" w:themeColor="text1"/>
                <w:szCs w:val="21"/>
                <w14:textFill>
                  <w14:solidFill>
                    <w14:schemeClr w14:val="tx1"/>
                  </w14:solidFill>
                </w14:textFill>
              </w:rPr>
            </w:pPr>
          </w:p>
        </w:tc>
        <w:tc>
          <w:tcPr>
            <w:tcW w:w="721" w:type="dxa"/>
          </w:tcPr>
          <w:p w14:paraId="563B3C72">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52390630">
            <w:pPr>
              <w:spacing w:line="440" w:lineRule="exact"/>
              <w:jc w:val="center"/>
              <w:rPr>
                <w:rFonts w:hint="eastAsia" w:ascii="宋体" w:hAnsi="宋体" w:cs="宋体"/>
                <w:color w:val="000000" w:themeColor="text1"/>
                <w:szCs w:val="21"/>
                <w14:textFill>
                  <w14:solidFill>
                    <w14:schemeClr w14:val="tx1"/>
                  </w14:solidFill>
                </w14:textFill>
              </w:rPr>
            </w:pPr>
          </w:p>
        </w:tc>
        <w:tc>
          <w:tcPr>
            <w:tcW w:w="1081" w:type="dxa"/>
          </w:tcPr>
          <w:p w14:paraId="5DF32FB6">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4C64BEFC">
            <w:pPr>
              <w:spacing w:line="440" w:lineRule="exact"/>
              <w:jc w:val="center"/>
              <w:rPr>
                <w:rFonts w:hint="eastAsia" w:ascii="宋体" w:hAnsi="宋体" w:cs="宋体"/>
                <w:color w:val="000000" w:themeColor="text1"/>
                <w:szCs w:val="21"/>
                <w14:textFill>
                  <w14:solidFill>
                    <w14:schemeClr w14:val="tx1"/>
                  </w14:solidFill>
                </w14:textFill>
              </w:rPr>
            </w:pPr>
          </w:p>
        </w:tc>
        <w:tc>
          <w:tcPr>
            <w:tcW w:w="721" w:type="dxa"/>
          </w:tcPr>
          <w:p w14:paraId="7B46FF1B">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7D1A5CD8">
            <w:pPr>
              <w:spacing w:line="440" w:lineRule="exact"/>
              <w:jc w:val="center"/>
              <w:rPr>
                <w:rFonts w:hint="eastAsia" w:ascii="宋体" w:hAnsi="宋体" w:cs="宋体"/>
                <w:color w:val="000000" w:themeColor="text1"/>
                <w:szCs w:val="21"/>
                <w14:textFill>
                  <w14:solidFill>
                    <w14:schemeClr w14:val="tx1"/>
                  </w14:solidFill>
                </w14:textFill>
              </w:rPr>
            </w:pPr>
          </w:p>
        </w:tc>
        <w:tc>
          <w:tcPr>
            <w:tcW w:w="2523" w:type="dxa"/>
          </w:tcPr>
          <w:p w14:paraId="0B58F1C6">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63389CB9">
            <w:pPr>
              <w:spacing w:line="440" w:lineRule="exact"/>
              <w:jc w:val="center"/>
              <w:rPr>
                <w:rFonts w:hint="eastAsia" w:ascii="宋体" w:hAnsi="宋体" w:cs="宋体"/>
                <w:color w:val="000000" w:themeColor="text1"/>
                <w:szCs w:val="21"/>
                <w14:textFill>
                  <w14:solidFill>
                    <w14:schemeClr w14:val="tx1"/>
                  </w14:solidFill>
                </w14:textFill>
              </w:rPr>
            </w:pPr>
          </w:p>
        </w:tc>
      </w:tr>
      <w:tr w14:paraId="6D9CB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dxa"/>
          </w:tcPr>
          <w:p w14:paraId="3C304913">
            <w:pPr>
              <w:spacing w:line="440" w:lineRule="exact"/>
              <w:jc w:val="center"/>
              <w:rPr>
                <w:rFonts w:hint="eastAsia" w:ascii="宋体" w:hAnsi="宋体" w:cs="宋体"/>
                <w:color w:val="000000" w:themeColor="text1"/>
                <w:szCs w:val="21"/>
                <w14:textFill>
                  <w14:solidFill>
                    <w14:schemeClr w14:val="tx1"/>
                  </w14:solidFill>
                </w14:textFill>
              </w:rPr>
            </w:pPr>
          </w:p>
        </w:tc>
        <w:tc>
          <w:tcPr>
            <w:tcW w:w="721" w:type="dxa"/>
          </w:tcPr>
          <w:p w14:paraId="39611BE6">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233C7BAF">
            <w:pPr>
              <w:spacing w:line="440" w:lineRule="exact"/>
              <w:jc w:val="center"/>
              <w:rPr>
                <w:rFonts w:hint="eastAsia" w:ascii="宋体" w:hAnsi="宋体" w:cs="宋体"/>
                <w:color w:val="000000" w:themeColor="text1"/>
                <w:szCs w:val="21"/>
                <w14:textFill>
                  <w14:solidFill>
                    <w14:schemeClr w14:val="tx1"/>
                  </w14:solidFill>
                </w14:textFill>
              </w:rPr>
            </w:pPr>
          </w:p>
        </w:tc>
        <w:tc>
          <w:tcPr>
            <w:tcW w:w="1081" w:type="dxa"/>
          </w:tcPr>
          <w:p w14:paraId="4E742EB3">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0A09AE96">
            <w:pPr>
              <w:spacing w:line="440" w:lineRule="exact"/>
              <w:jc w:val="center"/>
              <w:rPr>
                <w:rFonts w:hint="eastAsia" w:ascii="宋体" w:hAnsi="宋体" w:cs="宋体"/>
                <w:color w:val="000000" w:themeColor="text1"/>
                <w:szCs w:val="21"/>
                <w14:textFill>
                  <w14:solidFill>
                    <w14:schemeClr w14:val="tx1"/>
                  </w14:solidFill>
                </w14:textFill>
              </w:rPr>
            </w:pPr>
          </w:p>
        </w:tc>
        <w:tc>
          <w:tcPr>
            <w:tcW w:w="721" w:type="dxa"/>
          </w:tcPr>
          <w:p w14:paraId="203E08E0">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2294E519">
            <w:pPr>
              <w:spacing w:line="440" w:lineRule="exact"/>
              <w:jc w:val="center"/>
              <w:rPr>
                <w:rFonts w:hint="eastAsia" w:ascii="宋体" w:hAnsi="宋体" w:cs="宋体"/>
                <w:color w:val="000000" w:themeColor="text1"/>
                <w:szCs w:val="21"/>
                <w14:textFill>
                  <w14:solidFill>
                    <w14:schemeClr w14:val="tx1"/>
                  </w14:solidFill>
                </w14:textFill>
              </w:rPr>
            </w:pPr>
          </w:p>
        </w:tc>
        <w:tc>
          <w:tcPr>
            <w:tcW w:w="2523" w:type="dxa"/>
          </w:tcPr>
          <w:p w14:paraId="05E5AC1D">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563400F4">
            <w:pPr>
              <w:spacing w:line="440" w:lineRule="exact"/>
              <w:jc w:val="center"/>
              <w:rPr>
                <w:rFonts w:hint="eastAsia" w:ascii="宋体" w:hAnsi="宋体" w:cs="宋体"/>
                <w:color w:val="000000" w:themeColor="text1"/>
                <w:szCs w:val="21"/>
                <w14:textFill>
                  <w14:solidFill>
                    <w14:schemeClr w14:val="tx1"/>
                  </w14:solidFill>
                </w14:textFill>
              </w:rPr>
            </w:pPr>
          </w:p>
        </w:tc>
      </w:tr>
      <w:tr w14:paraId="3EFF3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dxa"/>
          </w:tcPr>
          <w:p w14:paraId="071667F6">
            <w:pPr>
              <w:spacing w:line="440" w:lineRule="exact"/>
              <w:jc w:val="center"/>
              <w:rPr>
                <w:rFonts w:hint="eastAsia" w:ascii="宋体" w:hAnsi="宋体" w:cs="宋体"/>
                <w:color w:val="000000" w:themeColor="text1"/>
                <w:szCs w:val="21"/>
                <w14:textFill>
                  <w14:solidFill>
                    <w14:schemeClr w14:val="tx1"/>
                  </w14:solidFill>
                </w14:textFill>
              </w:rPr>
            </w:pPr>
            <w:bookmarkStart w:id="1884" w:name="_Toc179632825"/>
            <w:bookmarkStart w:id="1885" w:name="_Toc144974873"/>
            <w:bookmarkStart w:id="1886" w:name="_Toc152045805"/>
            <w:bookmarkStart w:id="1887" w:name="_Toc152042594"/>
          </w:p>
        </w:tc>
        <w:tc>
          <w:tcPr>
            <w:tcW w:w="721" w:type="dxa"/>
          </w:tcPr>
          <w:p w14:paraId="5CD2796A">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71950D1F">
            <w:pPr>
              <w:spacing w:line="440" w:lineRule="exact"/>
              <w:jc w:val="center"/>
              <w:rPr>
                <w:rFonts w:hint="eastAsia" w:ascii="宋体" w:hAnsi="宋体" w:cs="宋体"/>
                <w:color w:val="000000" w:themeColor="text1"/>
                <w:szCs w:val="21"/>
                <w14:textFill>
                  <w14:solidFill>
                    <w14:schemeClr w14:val="tx1"/>
                  </w14:solidFill>
                </w14:textFill>
              </w:rPr>
            </w:pPr>
          </w:p>
        </w:tc>
        <w:tc>
          <w:tcPr>
            <w:tcW w:w="1081" w:type="dxa"/>
          </w:tcPr>
          <w:p w14:paraId="3B45E830">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1637892D">
            <w:pPr>
              <w:spacing w:line="440" w:lineRule="exact"/>
              <w:jc w:val="center"/>
              <w:rPr>
                <w:rFonts w:hint="eastAsia" w:ascii="宋体" w:hAnsi="宋体" w:cs="宋体"/>
                <w:color w:val="000000" w:themeColor="text1"/>
                <w:szCs w:val="21"/>
                <w14:textFill>
                  <w14:solidFill>
                    <w14:schemeClr w14:val="tx1"/>
                  </w14:solidFill>
                </w14:textFill>
              </w:rPr>
            </w:pPr>
          </w:p>
        </w:tc>
        <w:tc>
          <w:tcPr>
            <w:tcW w:w="721" w:type="dxa"/>
          </w:tcPr>
          <w:p w14:paraId="176CCB10">
            <w:pPr>
              <w:spacing w:line="440" w:lineRule="exact"/>
              <w:jc w:val="center"/>
              <w:rPr>
                <w:rFonts w:hint="eastAsia" w:ascii="宋体" w:hAnsi="宋体" w:cs="宋体"/>
                <w:color w:val="000000" w:themeColor="text1"/>
                <w:szCs w:val="21"/>
                <w14:textFill>
                  <w14:solidFill>
                    <w14:schemeClr w14:val="tx1"/>
                  </w14:solidFill>
                </w14:textFill>
              </w:rPr>
            </w:pPr>
          </w:p>
        </w:tc>
        <w:tc>
          <w:tcPr>
            <w:tcW w:w="719" w:type="dxa"/>
          </w:tcPr>
          <w:p w14:paraId="726DC53A">
            <w:pPr>
              <w:spacing w:line="440" w:lineRule="exact"/>
              <w:jc w:val="center"/>
              <w:rPr>
                <w:rFonts w:hint="eastAsia" w:ascii="宋体" w:hAnsi="宋体" w:cs="宋体"/>
                <w:color w:val="000000" w:themeColor="text1"/>
                <w:szCs w:val="21"/>
                <w14:textFill>
                  <w14:solidFill>
                    <w14:schemeClr w14:val="tx1"/>
                  </w14:solidFill>
                </w14:textFill>
              </w:rPr>
            </w:pPr>
          </w:p>
        </w:tc>
        <w:tc>
          <w:tcPr>
            <w:tcW w:w="2523" w:type="dxa"/>
          </w:tcPr>
          <w:p w14:paraId="2FA83160">
            <w:pPr>
              <w:spacing w:line="440" w:lineRule="exact"/>
              <w:jc w:val="center"/>
              <w:rPr>
                <w:rFonts w:hint="eastAsia" w:ascii="宋体" w:hAnsi="宋体" w:cs="宋体"/>
                <w:color w:val="000000" w:themeColor="text1"/>
                <w:szCs w:val="21"/>
                <w14:textFill>
                  <w14:solidFill>
                    <w14:schemeClr w14:val="tx1"/>
                  </w14:solidFill>
                </w14:textFill>
              </w:rPr>
            </w:pPr>
          </w:p>
        </w:tc>
        <w:tc>
          <w:tcPr>
            <w:tcW w:w="672" w:type="dxa"/>
          </w:tcPr>
          <w:p w14:paraId="211CFEC0">
            <w:pPr>
              <w:spacing w:line="440" w:lineRule="exact"/>
              <w:jc w:val="center"/>
              <w:rPr>
                <w:rFonts w:hint="eastAsia" w:ascii="宋体" w:hAnsi="宋体" w:cs="宋体"/>
                <w:color w:val="000000" w:themeColor="text1"/>
                <w:szCs w:val="21"/>
                <w14:textFill>
                  <w14:solidFill>
                    <w14:schemeClr w14:val="tx1"/>
                  </w14:solidFill>
                </w14:textFill>
              </w:rPr>
            </w:pPr>
          </w:p>
        </w:tc>
      </w:tr>
    </w:tbl>
    <w:p w14:paraId="7B2D6717">
      <w:pPr>
        <w:spacing w:line="360" w:lineRule="auto"/>
        <w:ind w:left="1050" w:leftChars="200" w:hanging="630" w:hangingChars="300"/>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 注：“</w:t>
      </w:r>
      <w:r>
        <w:rPr>
          <w:rFonts w:hint="eastAsia" w:ascii="宋体" w:hAnsi="宋体" w:cs="宋体"/>
          <w:bCs/>
          <w:color w:val="000000" w:themeColor="text1"/>
          <w14:textFill>
            <w14:solidFill>
              <w14:schemeClr w14:val="tx1"/>
            </w14:solidFill>
          </w14:textFill>
        </w:rPr>
        <w:t>项目管理机构组成表</w:t>
      </w:r>
      <w:r>
        <w:rPr>
          <w:rFonts w:hint="eastAsia" w:ascii="宋体" w:hAnsi="宋体" w:cs="宋体"/>
          <w:color w:val="000000" w:themeColor="text1"/>
          <w:kern w:val="0"/>
          <w:szCs w:val="21"/>
          <w14:textFill>
            <w14:solidFill>
              <w14:schemeClr w14:val="tx1"/>
            </w14:solidFill>
          </w14:textFill>
        </w:rPr>
        <w:t>”中内容与提供证书资料不一致时，以提供证书资料为准</w:t>
      </w:r>
      <w:r>
        <w:rPr>
          <w:rFonts w:hint="eastAsia" w:ascii="宋体" w:hAnsi="宋体" w:cs="宋体"/>
          <w:color w:val="000000" w:themeColor="text1"/>
          <w14:textFill>
            <w14:solidFill>
              <w14:schemeClr w14:val="tx1"/>
            </w14:solidFill>
          </w14:textFill>
        </w:rPr>
        <w:t>，证书资料要求清晰可辨。</w:t>
      </w:r>
    </w:p>
    <w:p w14:paraId="73914F18">
      <w:pPr>
        <w:pStyle w:val="4"/>
        <w:ind w:firstLine="0" w:firstLineChars="0"/>
        <w:jc w:val="center"/>
        <w:rPr>
          <w:rFonts w:hint="eastAsia" w:ascii="宋体" w:eastAsia="宋体" w:cs="宋体"/>
          <w:color w:val="000000" w:themeColor="text1"/>
          <w14:textFill>
            <w14:solidFill>
              <w14:schemeClr w14:val="tx1"/>
            </w14:solidFill>
          </w14:textFill>
        </w:rPr>
      </w:pPr>
      <w:bookmarkStart w:id="1888" w:name="_Toc54190105"/>
      <w:bookmarkStart w:id="1889" w:name="_Toc10200"/>
      <w:bookmarkStart w:id="1890" w:name="_Toc30681"/>
      <w:bookmarkStart w:id="1891" w:name="_Toc4816"/>
      <w:r>
        <w:rPr>
          <w:rFonts w:hint="eastAsia" w:ascii="宋体" w:eastAsia="宋体" w:cs="宋体"/>
          <w:color w:val="000000" w:themeColor="text1"/>
          <w14:textFill>
            <w14:solidFill>
              <w14:schemeClr w14:val="tx1"/>
            </w14:solidFill>
          </w14:textFill>
        </w:rPr>
        <w:t>（九）主要人员简历表</w:t>
      </w:r>
      <w:bookmarkEnd w:id="1858"/>
      <w:bookmarkEnd w:id="1859"/>
      <w:bookmarkEnd w:id="1860"/>
      <w:bookmarkEnd w:id="1861"/>
      <w:bookmarkEnd w:id="1862"/>
      <w:bookmarkEnd w:id="1863"/>
      <w:bookmarkEnd w:id="1884"/>
      <w:bookmarkEnd w:id="1885"/>
      <w:bookmarkEnd w:id="1886"/>
      <w:bookmarkEnd w:id="1887"/>
      <w:bookmarkEnd w:id="1888"/>
      <w:bookmarkEnd w:id="1889"/>
      <w:bookmarkEnd w:id="1890"/>
      <w:bookmarkEnd w:id="1891"/>
    </w:p>
    <w:p w14:paraId="3AA74E62">
      <w:pPr>
        <w:spacing w:line="500" w:lineRule="exact"/>
        <w:jc w:val="center"/>
        <w:rPr>
          <w:rFonts w:hint="eastAsia" w:ascii="宋体" w:hAnsi="宋体" w:cs="宋体"/>
          <w:b/>
          <w:caps/>
          <w:color w:val="000000" w:themeColor="text1"/>
          <w:sz w:val="28"/>
          <w:szCs w:val="28"/>
          <w14:textFill>
            <w14:solidFill>
              <w14:schemeClr w14:val="tx1"/>
            </w14:solidFill>
          </w14:textFill>
        </w:rPr>
      </w:pPr>
      <w:r>
        <w:rPr>
          <w:rFonts w:hint="eastAsia" w:ascii="宋体" w:hAnsi="宋体" w:cs="宋体"/>
          <w:b/>
          <w:caps/>
          <w:color w:val="000000" w:themeColor="text1"/>
          <w:sz w:val="28"/>
          <w:szCs w:val="28"/>
          <w14:textFill>
            <w14:solidFill>
              <w14:schemeClr w14:val="tx1"/>
            </w14:solidFill>
          </w14:textFill>
        </w:rPr>
        <w:t>（勘察、设计单位、</w:t>
      </w:r>
      <w:r>
        <w:rPr>
          <w:rFonts w:hint="eastAsia" w:ascii="宋体" w:hAnsi="宋体" w:cs="宋体"/>
          <w:b/>
          <w:caps/>
          <w:color w:val="000000" w:themeColor="text1"/>
          <w:sz w:val="28"/>
          <w:szCs w:val="28"/>
          <w:lang w:val="en-US" w:eastAsia="zh-CN"/>
          <w14:textFill>
            <w14:solidFill>
              <w14:schemeClr w14:val="tx1"/>
            </w14:solidFill>
          </w14:textFill>
        </w:rPr>
        <w:t>采购</w:t>
      </w:r>
      <w:r>
        <w:rPr>
          <w:rFonts w:hint="eastAsia" w:ascii="宋体" w:hAnsi="宋体" w:cs="宋体"/>
          <w:b/>
          <w:caps/>
          <w:color w:val="000000" w:themeColor="text1"/>
          <w:sz w:val="28"/>
          <w:szCs w:val="28"/>
          <w14:textFill>
            <w14:solidFill>
              <w14:schemeClr w14:val="tx1"/>
            </w14:solidFill>
          </w14:textFill>
        </w:rPr>
        <w:t>施工单位分别填报）</w:t>
      </w:r>
    </w:p>
    <w:p w14:paraId="77DFE0FA">
      <w:pPr>
        <w:ind w:left="102" w:leftChars="49"/>
        <w:rPr>
          <w:rFonts w:hint="eastAsia" w:ascii="宋体" w:hAnsi="宋体" w:cs="宋体"/>
          <w:color w:val="000000" w:themeColor="text1"/>
          <w14:textFill>
            <w14:solidFill>
              <w14:schemeClr w14:val="tx1"/>
            </w14:solidFill>
          </w14:textFill>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188"/>
        <w:gridCol w:w="540"/>
        <w:gridCol w:w="1252"/>
        <w:gridCol w:w="908"/>
        <w:gridCol w:w="1080"/>
        <w:gridCol w:w="540"/>
        <w:gridCol w:w="1080"/>
        <w:gridCol w:w="835"/>
        <w:gridCol w:w="1521"/>
      </w:tblGrid>
      <w:tr w14:paraId="554893F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85" w:hRule="atLeast"/>
          <w:jc w:val="center"/>
        </w:trPr>
        <w:tc>
          <w:tcPr>
            <w:tcW w:w="1188" w:type="dxa"/>
            <w:vAlign w:val="bottom"/>
          </w:tcPr>
          <w:p w14:paraId="1FE5EAEE">
            <w:pPr>
              <w:autoSpaceDE w:val="0"/>
              <w:autoSpaceDN w:val="0"/>
              <w:adjustRightInd w:val="0"/>
              <w:spacing w:line="360" w:lineRule="auto"/>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姓名</w:t>
            </w:r>
          </w:p>
        </w:tc>
        <w:tc>
          <w:tcPr>
            <w:tcW w:w="1792" w:type="dxa"/>
            <w:gridSpan w:val="2"/>
            <w:vAlign w:val="bottom"/>
          </w:tcPr>
          <w:p w14:paraId="1E7EC709">
            <w:pPr>
              <w:autoSpaceDE w:val="0"/>
              <w:autoSpaceDN w:val="0"/>
              <w:adjustRightInd w:val="0"/>
              <w:spacing w:line="360" w:lineRule="auto"/>
              <w:rPr>
                <w:rFonts w:hint="eastAsia" w:ascii="宋体" w:hAnsi="宋体" w:cs="宋体"/>
                <w:color w:val="000000" w:themeColor="text1"/>
                <w:kern w:val="0"/>
                <w:szCs w:val="21"/>
                <w14:textFill>
                  <w14:solidFill>
                    <w14:schemeClr w14:val="tx1"/>
                  </w14:solidFill>
                </w14:textFill>
              </w:rPr>
            </w:pPr>
          </w:p>
        </w:tc>
        <w:tc>
          <w:tcPr>
            <w:tcW w:w="908" w:type="dxa"/>
            <w:vAlign w:val="bottom"/>
          </w:tcPr>
          <w:p w14:paraId="41BBB4DB">
            <w:pPr>
              <w:autoSpaceDE w:val="0"/>
              <w:autoSpaceDN w:val="0"/>
              <w:adjustRightInd w:val="0"/>
              <w:spacing w:line="360" w:lineRule="auto"/>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年龄</w:t>
            </w:r>
          </w:p>
        </w:tc>
        <w:tc>
          <w:tcPr>
            <w:tcW w:w="1080" w:type="dxa"/>
            <w:vAlign w:val="bottom"/>
          </w:tcPr>
          <w:p w14:paraId="7C144D60">
            <w:pPr>
              <w:autoSpaceDE w:val="0"/>
              <w:autoSpaceDN w:val="0"/>
              <w:adjustRightInd w:val="0"/>
              <w:spacing w:line="360" w:lineRule="auto"/>
              <w:rPr>
                <w:rFonts w:hint="eastAsia" w:ascii="宋体" w:hAnsi="宋体" w:cs="宋体"/>
                <w:color w:val="000000" w:themeColor="text1"/>
                <w:kern w:val="0"/>
                <w:szCs w:val="21"/>
                <w14:textFill>
                  <w14:solidFill>
                    <w14:schemeClr w14:val="tx1"/>
                  </w14:solidFill>
                </w14:textFill>
              </w:rPr>
            </w:pPr>
          </w:p>
        </w:tc>
        <w:tc>
          <w:tcPr>
            <w:tcW w:w="2455" w:type="dxa"/>
            <w:gridSpan w:val="3"/>
            <w:vAlign w:val="bottom"/>
          </w:tcPr>
          <w:p w14:paraId="56376C90">
            <w:pPr>
              <w:autoSpaceDE w:val="0"/>
              <w:autoSpaceDN w:val="0"/>
              <w:adjustRightInd w:val="0"/>
              <w:spacing w:line="360" w:lineRule="auto"/>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学历</w:t>
            </w:r>
          </w:p>
        </w:tc>
        <w:tc>
          <w:tcPr>
            <w:tcW w:w="1521" w:type="dxa"/>
            <w:vAlign w:val="bottom"/>
          </w:tcPr>
          <w:p w14:paraId="402A8B31">
            <w:pPr>
              <w:autoSpaceDE w:val="0"/>
              <w:autoSpaceDN w:val="0"/>
              <w:adjustRightInd w:val="0"/>
              <w:spacing w:line="360" w:lineRule="auto"/>
              <w:rPr>
                <w:rFonts w:hint="eastAsia" w:ascii="宋体" w:hAnsi="宋体" w:cs="宋体"/>
                <w:color w:val="000000" w:themeColor="text1"/>
                <w:kern w:val="0"/>
                <w:szCs w:val="21"/>
                <w14:textFill>
                  <w14:solidFill>
                    <w14:schemeClr w14:val="tx1"/>
                  </w14:solidFill>
                </w14:textFill>
              </w:rPr>
            </w:pPr>
          </w:p>
        </w:tc>
      </w:tr>
      <w:tr w14:paraId="1B40B58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85" w:hRule="atLeast"/>
          <w:jc w:val="center"/>
        </w:trPr>
        <w:tc>
          <w:tcPr>
            <w:tcW w:w="1188" w:type="dxa"/>
            <w:vAlign w:val="bottom"/>
          </w:tcPr>
          <w:p w14:paraId="77230070">
            <w:pPr>
              <w:autoSpaceDE w:val="0"/>
              <w:autoSpaceDN w:val="0"/>
              <w:adjustRightInd w:val="0"/>
              <w:spacing w:line="360" w:lineRule="auto"/>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执业资格</w:t>
            </w:r>
          </w:p>
        </w:tc>
        <w:tc>
          <w:tcPr>
            <w:tcW w:w="3780" w:type="dxa"/>
            <w:gridSpan w:val="4"/>
            <w:vAlign w:val="bottom"/>
          </w:tcPr>
          <w:p w14:paraId="513EAB97">
            <w:pPr>
              <w:autoSpaceDE w:val="0"/>
              <w:autoSpaceDN w:val="0"/>
              <w:adjustRightInd w:val="0"/>
              <w:spacing w:line="360" w:lineRule="auto"/>
              <w:rPr>
                <w:rFonts w:hint="eastAsia" w:ascii="宋体" w:hAnsi="宋体" w:cs="宋体"/>
                <w:color w:val="000000" w:themeColor="text1"/>
                <w:kern w:val="0"/>
                <w:szCs w:val="21"/>
                <w14:textFill>
                  <w14:solidFill>
                    <w14:schemeClr w14:val="tx1"/>
                  </w14:solidFill>
                </w14:textFill>
              </w:rPr>
            </w:pPr>
          </w:p>
        </w:tc>
        <w:tc>
          <w:tcPr>
            <w:tcW w:w="2455" w:type="dxa"/>
            <w:gridSpan w:val="3"/>
            <w:vAlign w:val="bottom"/>
          </w:tcPr>
          <w:p w14:paraId="1AB95A8D">
            <w:pPr>
              <w:autoSpaceDE w:val="0"/>
              <w:autoSpaceDN w:val="0"/>
              <w:adjustRightInd w:val="0"/>
              <w:spacing w:line="360" w:lineRule="auto"/>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安全生产考核合格证书</w:t>
            </w:r>
          </w:p>
        </w:tc>
        <w:tc>
          <w:tcPr>
            <w:tcW w:w="1521" w:type="dxa"/>
            <w:vAlign w:val="bottom"/>
          </w:tcPr>
          <w:p w14:paraId="1135F757">
            <w:pPr>
              <w:autoSpaceDE w:val="0"/>
              <w:autoSpaceDN w:val="0"/>
              <w:adjustRightInd w:val="0"/>
              <w:spacing w:line="360" w:lineRule="auto"/>
              <w:rPr>
                <w:rFonts w:hint="eastAsia" w:ascii="宋体" w:hAnsi="宋体" w:cs="宋体"/>
                <w:color w:val="000000" w:themeColor="text1"/>
                <w:kern w:val="0"/>
                <w:szCs w:val="21"/>
                <w14:textFill>
                  <w14:solidFill>
                    <w14:schemeClr w14:val="tx1"/>
                  </w14:solidFill>
                </w14:textFill>
              </w:rPr>
            </w:pPr>
          </w:p>
        </w:tc>
      </w:tr>
      <w:tr w14:paraId="474F0D6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01" w:hRule="atLeast"/>
          <w:jc w:val="center"/>
        </w:trPr>
        <w:tc>
          <w:tcPr>
            <w:tcW w:w="1188" w:type="dxa"/>
            <w:vAlign w:val="bottom"/>
          </w:tcPr>
          <w:p w14:paraId="4AB99528">
            <w:pPr>
              <w:autoSpaceDE w:val="0"/>
              <w:autoSpaceDN w:val="0"/>
              <w:adjustRightInd w:val="0"/>
              <w:spacing w:line="360" w:lineRule="auto"/>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职称</w:t>
            </w:r>
          </w:p>
        </w:tc>
        <w:tc>
          <w:tcPr>
            <w:tcW w:w="1792" w:type="dxa"/>
            <w:gridSpan w:val="2"/>
            <w:vAlign w:val="bottom"/>
          </w:tcPr>
          <w:p w14:paraId="1477CBEC">
            <w:pPr>
              <w:autoSpaceDE w:val="0"/>
              <w:autoSpaceDN w:val="0"/>
              <w:adjustRightInd w:val="0"/>
              <w:spacing w:line="360" w:lineRule="auto"/>
              <w:rPr>
                <w:rFonts w:hint="eastAsia" w:ascii="宋体" w:hAnsi="宋体" w:cs="宋体"/>
                <w:color w:val="000000" w:themeColor="text1"/>
                <w:kern w:val="0"/>
                <w:szCs w:val="21"/>
                <w14:textFill>
                  <w14:solidFill>
                    <w14:schemeClr w14:val="tx1"/>
                  </w14:solidFill>
                </w14:textFill>
              </w:rPr>
            </w:pPr>
          </w:p>
        </w:tc>
        <w:tc>
          <w:tcPr>
            <w:tcW w:w="908" w:type="dxa"/>
            <w:vAlign w:val="bottom"/>
          </w:tcPr>
          <w:p w14:paraId="5E68A1B4">
            <w:pPr>
              <w:autoSpaceDE w:val="0"/>
              <w:autoSpaceDN w:val="0"/>
              <w:adjustRightInd w:val="0"/>
              <w:spacing w:line="360" w:lineRule="auto"/>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职务</w:t>
            </w:r>
          </w:p>
        </w:tc>
        <w:tc>
          <w:tcPr>
            <w:tcW w:w="1080" w:type="dxa"/>
            <w:vAlign w:val="bottom"/>
          </w:tcPr>
          <w:p w14:paraId="588750D9">
            <w:pPr>
              <w:autoSpaceDE w:val="0"/>
              <w:autoSpaceDN w:val="0"/>
              <w:adjustRightInd w:val="0"/>
              <w:spacing w:line="360" w:lineRule="auto"/>
              <w:rPr>
                <w:rFonts w:hint="eastAsia" w:ascii="宋体" w:hAnsi="宋体" w:cs="宋体"/>
                <w:color w:val="000000" w:themeColor="text1"/>
                <w:kern w:val="0"/>
                <w:szCs w:val="21"/>
                <w14:textFill>
                  <w14:solidFill>
                    <w14:schemeClr w14:val="tx1"/>
                  </w14:solidFill>
                </w14:textFill>
              </w:rPr>
            </w:pPr>
          </w:p>
        </w:tc>
        <w:tc>
          <w:tcPr>
            <w:tcW w:w="2455" w:type="dxa"/>
            <w:gridSpan w:val="3"/>
            <w:vAlign w:val="bottom"/>
          </w:tcPr>
          <w:p w14:paraId="77F0D381">
            <w:pPr>
              <w:autoSpaceDE w:val="0"/>
              <w:autoSpaceDN w:val="0"/>
              <w:adjustRightInd w:val="0"/>
              <w:spacing w:line="360" w:lineRule="auto"/>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拟在本合同任职</w:t>
            </w:r>
          </w:p>
        </w:tc>
        <w:tc>
          <w:tcPr>
            <w:tcW w:w="1521" w:type="dxa"/>
            <w:vAlign w:val="bottom"/>
          </w:tcPr>
          <w:p w14:paraId="1783B32E">
            <w:pPr>
              <w:autoSpaceDE w:val="0"/>
              <w:autoSpaceDN w:val="0"/>
              <w:adjustRightInd w:val="0"/>
              <w:spacing w:line="360" w:lineRule="auto"/>
              <w:rPr>
                <w:rFonts w:hint="eastAsia" w:ascii="宋体" w:hAnsi="宋体" w:cs="宋体"/>
                <w:color w:val="000000" w:themeColor="text1"/>
                <w:kern w:val="0"/>
                <w:szCs w:val="21"/>
                <w14:textFill>
                  <w14:solidFill>
                    <w14:schemeClr w14:val="tx1"/>
                  </w14:solidFill>
                </w14:textFill>
              </w:rPr>
            </w:pPr>
          </w:p>
        </w:tc>
      </w:tr>
      <w:tr w14:paraId="17D3A74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01" w:hRule="atLeast"/>
          <w:jc w:val="center"/>
        </w:trPr>
        <w:tc>
          <w:tcPr>
            <w:tcW w:w="1188" w:type="dxa"/>
            <w:vAlign w:val="bottom"/>
          </w:tcPr>
          <w:p w14:paraId="35AE19C6">
            <w:pPr>
              <w:autoSpaceDE w:val="0"/>
              <w:autoSpaceDN w:val="0"/>
              <w:adjustRightInd w:val="0"/>
              <w:spacing w:line="360" w:lineRule="auto"/>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毕业学校</w:t>
            </w:r>
          </w:p>
        </w:tc>
        <w:tc>
          <w:tcPr>
            <w:tcW w:w="7756" w:type="dxa"/>
            <w:gridSpan w:val="8"/>
            <w:vAlign w:val="bottom"/>
          </w:tcPr>
          <w:p w14:paraId="2E363182">
            <w:pPr>
              <w:autoSpaceDE w:val="0"/>
              <w:autoSpaceDN w:val="0"/>
              <w:adjustRightInd w:val="0"/>
              <w:spacing w:line="360" w:lineRule="auto"/>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年毕业于     学校        专业</w:t>
            </w:r>
          </w:p>
        </w:tc>
      </w:tr>
      <w:tr w14:paraId="0630FEC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85" w:hRule="atLeast"/>
          <w:jc w:val="center"/>
        </w:trPr>
        <w:tc>
          <w:tcPr>
            <w:tcW w:w="8944" w:type="dxa"/>
            <w:gridSpan w:val="9"/>
            <w:vAlign w:val="bottom"/>
          </w:tcPr>
          <w:p w14:paraId="7E78575E">
            <w:pPr>
              <w:autoSpaceDE w:val="0"/>
              <w:autoSpaceDN w:val="0"/>
              <w:adjustRightInd w:val="0"/>
              <w:spacing w:line="360" w:lineRule="auto"/>
              <w:jc w:val="center"/>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主要工作经历</w:t>
            </w:r>
          </w:p>
        </w:tc>
      </w:tr>
      <w:tr w14:paraId="196D4C5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01" w:hRule="atLeast"/>
          <w:jc w:val="center"/>
        </w:trPr>
        <w:tc>
          <w:tcPr>
            <w:tcW w:w="1728" w:type="dxa"/>
            <w:gridSpan w:val="2"/>
            <w:vAlign w:val="bottom"/>
          </w:tcPr>
          <w:p w14:paraId="4A09417A">
            <w:pPr>
              <w:autoSpaceDE w:val="0"/>
              <w:autoSpaceDN w:val="0"/>
              <w:adjustRightInd w:val="0"/>
              <w:spacing w:line="360" w:lineRule="auto"/>
              <w:jc w:val="center"/>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时间</w:t>
            </w:r>
          </w:p>
        </w:tc>
        <w:tc>
          <w:tcPr>
            <w:tcW w:w="3780" w:type="dxa"/>
            <w:gridSpan w:val="4"/>
            <w:vAlign w:val="bottom"/>
          </w:tcPr>
          <w:p w14:paraId="3D7CDB14">
            <w:pPr>
              <w:autoSpaceDE w:val="0"/>
              <w:autoSpaceDN w:val="0"/>
              <w:adjustRightInd w:val="0"/>
              <w:spacing w:line="360" w:lineRule="auto"/>
              <w:jc w:val="center"/>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参加过的类似项目</w:t>
            </w:r>
          </w:p>
        </w:tc>
        <w:tc>
          <w:tcPr>
            <w:tcW w:w="1080" w:type="dxa"/>
            <w:vAlign w:val="bottom"/>
          </w:tcPr>
          <w:p w14:paraId="672E114F">
            <w:pPr>
              <w:autoSpaceDE w:val="0"/>
              <w:autoSpaceDN w:val="0"/>
              <w:adjustRightInd w:val="0"/>
              <w:spacing w:line="360" w:lineRule="auto"/>
              <w:jc w:val="center"/>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担任职务</w:t>
            </w:r>
          </w:p>
        </w:tc>
        <w:tc>
          <w:tcPr>
            <w:tcW w:w="2356" w:type="dxa"/>
            <w:gridSpan w:val="2"/>
            <w:vAlign w:val="bottom"/>
          </w:tcPr>
          <w:p w14:paraId="2FC75E73">
            <w:pPr>
              <w:autoSpaceDE w:val="0"/>
              <w:autoSpaceDN w:val="0"/>
              <w:adjustRightInd w:val="0"/>
              <w:spacing w:line="360" w:lineRule="auto"/>
              <w:jc w:val="center"/>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发包人及联系电话</w:t>
            </w:r>
          </w:p>
        </w:tc>
      </w:tr>
      <w:tr w14:paraId="5BFA49D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85" w:hRule="atLeast"/>
          <w:jc w:val="center"/>
        </w:trPr>
        <w:tc>
          <w:tcPr>
            <w:tcW w:w="1728" w:type="dxa"/>
            <w:gridSpan w:val="2"/>
          </w:tcPr>
          <w:p w14:paraId="1519B147">
            <w:pPr>
              <w:autoSpaceDE w:val="0"/>
              <w:autoSpaceDN w:val="0"/>
              <w:adjustRightInd w:val="0"/>
              <w:spacing w:line="360" w:lineRule="auto"/>
              <w:jc w:val="center"/>
              <w:rPr>
                <w:rFonts w:hint="eastAsia" w:ascii="宋体" w:hAnsi="宋体" w:cs="宋体"/>
                <w:color w:val="000000" w:themeColor="text1"/>
                <w:kern w:val="0"/>
                <w:szCs w:val="21"/>
                <w14:textFill>
                  <w14:solidFill>
                    <w14:schemeClr w14:val="tx1"/>
                  </w14:solidFill>
                </w14:textFill>
              </w:rPr>
            </w:pPr>
          </w:p>
        </w:tc>
        <w:tc>
          <w:tcPr>
            <w:tcW w:w="3780" w:type="dxa"/>
            <w:gridSpan w:val="4"/>
          </w:tcPr>
          <w:p w14:paraId="4AF64C41">
            <w:pPr>
              <w:autoSpaceDE w:val="0"/>
              <w:autoSpaceDN w:val="0"/>
              <w:adjustRightInd w:val="0"/>
              <w:spacing w:line="360" w:lineRule="auto"/>
              <w:jc w:val="center"/>
              <w:rPr>
                <w:rFonts w:hint="eastAsia" w:ascii="宋体" w:hAnsi="宋体" w:cs="宋体"/>
                <w:color w:val="000000" w:themeColor="text1"/>
                <w:kern w:val="0"/>
                <w:szCs w:val="21"/>
                <w14:textFill>
                  <w14:solidFill>
                    <w14:schemeClr w14:val="tx1"/>
                  </w14:solidFill>
                </w14:textFill>
              </w:rPr>
            </w:pPr>
          </w:p>
        </w:tc>
        <w:tc>
          <w:tcPr>
            <w:tcW w:w="1080" w:type="dxa"/>
          </w:tcPr>
          <w:p w14:paraId="42A8D834">
            <w:pPr>
              <w:autoSpaceDE w:val="0"/>
              <w:autoSpaceDN w:val="0"/>
              <w:adjustRightInd w:val="0"/>
              <w:spacing w:line="360" w:lineRule="auto"/>
              <w:jc w:val="center"/>
              <w:rPr>
                <w:rFonts w:hint="eastAsia" w:ascii="宋体" w:hAnsi="宋体" w:cs="宋体"/>
                <w:color w:val="000000" w:themeColor="text1"/>
                <w:kern w:val="0"/>
                <w:szCs w:val="21"/>
                <w14:textFill>
                  <w14:solidFill>
                    <w14:schemeClr w14:val="tx1"/>
                  </w14:solidFill>
                </w14:textFill>
              </w:rPr>
            </w:pPr>
          </w:p>
        </w:tc>
        <w:tc>
          <w:tcPr>
            <w:tcW w:w="2356" w:type="dxa"/>
            <w:gridSpan w:val="2"/>
          </w:tcPr>
          <w:p w14:paraId="75295386">
            <w:pPr>
              <w:autoSpaceDE w:val="0"/>
              <w:autoSpaceDN w:val="0"/>
              <w:adjustRightInd w:val="0"/>
              <w:spacing w:line="360" w:lineRule="auto"/>
              <w:jc w:val="center"/>
              <w:rPr>
                <w:rFonts w:hint="eastAsia" w:ascii="宋体" w:hAnsi="宋体" w:cs="宋体"/>
                <w:color w:val="000000" w:themeColor="text1"/>
                <w:kern w:val="0"/>
                <w:szCs w:val="21"/>
                <w14:textFill>
                  <w14:solidFill>
                    <w14:schemeClr w14:val="tx1"/>
                  </w14:solidFill>
                </w14:textFill>
              </w:rPr>
            </w:pPr>
          </w:p>
        </w:tc>
      </w:tr>
      <w:tr w14:paraId="364D3C8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01" w:hRule="atLeast"/>
          <w:jc w:val="center"/>
        </w:trPr>
        <w:tc>
          <w:tcPr>
            <w:tcW w:w="1728" w:type="dxa"/>
            <w:gridSpan w:val="2"/>
          </w:tcPr>
          <w:p w14:paraId="67D35253">
            <w:pPr>
              <w:autoSpaceDE w:val="0"/>
              <w:autoSpaceDN w:val="0"/>
              <w:adjustRightInd w:val="0"/>
              <w:spacing w:line="360" w:lineRule="auto"/>
              <w:jc w:val="center"/>
              <w:rPr>
                <w:rFonts w:hint="eastAsia" w:ascii="宋体" w:hAnsi="宋体" w:cs="宋体"/>
                <w:color w:val="000000" w:themeColor="text1"/>
                <w:kern w:val="0"/>
                <w:szCs w:val="21"/>
                <w14:textFill>
                  <w14:solidFill>
                    <w14:schemeClr w14:val="tx1"/>
                  </w14:solidFill>
                </w14:textFill>
              </w:rPr>
            </w:pPr>
          </w:p>
        </w:tc>
        <w:tc>
          <w:tcPr>
            <w:tcW w:w="3780" w:type="dxa"/>
            <w:gridSpan w:val="4"/>
          </w:tcPr>
          <w:p w14:paraId="256D01A0">
            <w:pPr>
              <w:autoSpaceDE w:val="0"/>
              <w:autoSpaceDN w:val="0"/>
              <w:adjustRightInd w:val="0"/>
              <w:spacing w:line="360" w:lineRule="auto"/>
              <w:jc w:val="center"/>
              <w:rPr>
                <w:rFonts w:hint="eastAsia" w:ascii="宋体" w:hAnsi="宋体" w:cs="宋体"/>
                <w:color w:val="000000" w:themeColor="text1"/>
                <w:kern w:val="0"/>
                <w:szCs w:val="21"/>
                <w14:textFill>
                  <w14:solidFill>
                    <w14:schemeClr w14:val="tx1"/>
                  </w14:solidFill>
                </w14:textFill>
              </w:rPr>
            </w:pPr>
          </w:p>
        </w:tc>
        <w:tc>
          <w:tcPr>
            <w:tcW w:w="1080" w:type="dxa"/>
          </w:tcPr>
          <w:p w14:paraId="431824B8">
            <w:pPr>
              <w:autoSpaceDE w:val="0"/>
              <w:autoSpaceDN w:val="0"/>
              <w:adjustRightInd w:val="0"/>
              <w:spacing w:line="360" w:lineRule="auto"/>
              <w:jc w:val="center"/>
              <w:rPr>
                <w:rFonts w:hint="eastAsia" w:ascii="宋体" w:hAnsi="宋体" w:cs="宋体"/>
                <w:color w:val="000000" w:themeColor="text1"/>
                <w:kern w:val="0"/>
                <w:szCs w:val="21"/>
                <w14:textFill>
                  <w14:solidFill>
                    <w14:schemeClr w14:val="tx1"/>
                  </w14:solidFill>
                </w14:textFill>
              </w:rPr>
            </w:pPr>
          </w:p>
        </w:tc>
        <w:tc>
          <w:tcPr>
            <w:tcW w:w="2356" w:type="dxa"/>
            <w:gridSpan w:val="2"/>
          </w:tcPr>
          <w:p w14:paraId="10E393B7">
            <w:pPr>
              <w:autoSpaceDE w:val="0"/>
              <w:autoSpaceDN w:val="0"/>
              <w:adjustRightInd w:val="0"/>
              <w:spacing w:line="360" w:lineRule="auto"/>
              <w:jc w:val="center"/>
              <w:rPr>
                <w:rFonts w:hint="eastAsia" w:ascii="宋体" w:hAnsi="宋体" w:cs="宋体"/>
                <w:color w:val="000000" w:themeColor="text1"/>
                <w:kern w:val="0"/>
                <w:szCs w:val="21"/>
                <w14:textFill>
                  <w14:solidFill>
                    <w14:schemeClr w14:val="tx1"/>
                  </w14:solidFill>
                </w14:textFill>
              </w:rPr>
            </w:pPr>
          </w:p>
        </w:tc>
      </w:tr>
      <w:tr w14:paraId="452ABE6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01" w:hRule="atLeast"/>
          <w:jc w:val="center"/>
        </w:trPr>
        <w:tc>
          <w:tcPr>
            <w:tcW w:w="1728" w:type="dxa"/>
            <w:gridSpan w:val="2"/>
          </w:tcPr>
          <w:p w14:paraId="069C7E55">
            <w:pPr>
              <w:autoSpaceDE w:val="0"/>
              <w:autoSpaceDN w:val="0"/>
              <w:adjustRightInd w:val="0"/>
              <w:spacing w:line="360" w:lineRule="auto"/>
              <w:jc w:val="center"/>
              <w:rPr>
                <w:rFonts w:hint="eastAsia" w:ascii="宋体" w:hAnsi="宋体" w:cs="宋体"/>
                <w:color w:val="000000" w:themeColor="text1"/>
                <w:kern w:val="0"/>
                <w:szCs w:val="21"/>
                <w14:textFill>
                  <w14:solidFill>
                    <w14:schemeClr w14:val="tx1"/>
                  </w14:solidFill>
                </w14:textFill>
              </w:rPr>
            </w:pPr>
          </w:p>
        </w:tc>
        <w:tc>
          <w:tcPr>
            <w:tcW w:w="3780" w:type="dxa"/>
            <w:gridSpan w:val="4"/>
          </w:tcPr>
          <w:p w14:paraId="5B7C9871">
            <w:pPr>
              <w:autoSpaceDE w:val="0"/>
              <w:autoSpaceDN w:val="0"/>
              <w:adjustRightInd w:val="0"/>
              <w:spacing w:line="360" w:lineRule="auto"/>
              <w:jc w:val="center"/>
              <w:rPr>
                <w:rFonts w:hint="eastAsia" w:ascii="宋体" w:hAnsi="宋体" w:cs="宋体"/>
                <w:color w:val="000000" w:themeColor="text1"/>
                <w:kern w:val="0"/>
                <w:szCs w:val="21"/>
                <w14:textFill>
                  <w14:solidFill>
                    <w14:schemeClr w14:val="tx1"/>
                  </w14:solidFill>
                </w14:textFill>
              </w:rPr>
            </w:pPr>
          </w:p>
        </w:tc>
        <w:tc>
          <w:tcPr>
            <w:tcW w:w="1080" w:type="dxa"/>
          </w:tcPr>
          <w:p w14:paraId="6D993DAD">
            <w:pPr>
              <w:autoSpaceDE w:val="0"/>
              <w:autoSpaceDN w:val="0"/>
              <w:adjustRightInd w:val="0"/>
              <w:spacing w:line="360" w:lineRule="auto"/>
              <w:jc w:val="center"/>
              <w:rPr>
                <w:rFonts w:hint="eastAsia" w:ascii="宋体" w:hAnsi="宋体" w:cs="宋体"/>
                <w:color w:val="000000" w:themeColor="text1"/>
                <w:kern w:val="0"/>
                <w:szCs w:val="21"/>
                <w14:textFill>
                  <w14:solidFill>
                    <w14:schemeClr w14:val="tx1"/>
                  </w14:solidFill>
                </w14:textFill>
              </w:rPr>
            </w:pPr>
          </w:p>
        </w:tc>
        <w:tc>
          <w:tcPr>
            <w:tcW w:w="2356" w:type="dxa"/>
            <w:gridSpan w:val="2"/>
          </w:tcPr>
          <w:p w14:paraId="5F142705">
            <w:pPr>
              <w:autoSpaceDE w:val="0"/>
              <w:autoSpaceDN w:val="0"/>
              <w:adjustRightInd w:val="0"/>
              <w:spacing w:line="360" w:lineRule="auto"/>
              <w:jc w:val="center"/>
              <w:rPr>
                <w:rFonts w:hint="eastAsia" w:ascii="宋体" w:hAnsi="宋体" w:cs="宋体"/>
                <w:color w:val="000000" w:themeColor="text1"/>
                <w:kern w:val="0"/>
                <w:szCs w:val="21"/>
                <w14:textFill>
                  <w14:solidFill>
                    <w14:schemeClr w14:val="tx1"/>
                  </w14:solidFill>
                </w14:textFill>
              </w:rPr>
            </w:pPr>
          </w:p>
        </w:tc>
      </w:tr>
      <w:tr w14:paraId="20EBBCF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85" w:hRule="atLeast"/>
          <w:jc w:val="center"/>
        </w:trPr>
        <w:tc>
          <w:tcPr>
            <w:tcW w:w="1728" w:type="dxa"/>
            <w:gridSpan w:val="2"/>
          </w:tcPr>
          <w:p w14:paraId="17412AB7">
            <w:pPr>
              <w:autoSpaceDE w:val="0"/>
              <w:autoSpaceDN w:val="0"/>
              <w:adjustRightInd w:val="0"/>
              <w:spacing w:line="360" w:lineRule="auto"/>
              <w:jc w:val="center"/>
              <w:rPr>
                <w:rFonts w:hint="eastAsia" w:ascii="宋体" w:hAnsi="宋体" w:cs="宋体"/>
                <w:color w:val="000000" w:themeColor="text1"/>
                <w:kern w:val="0"/>
                <w:szCs w:val="21"/>
                <w14:textFill>
                  <w14:solidFill>
                    <w14:schemeClr w14:val="tx1"/>
                  </w14:solidFill>
                </w14:textFill>
              </w:rPr>
            </w:pPr>
          </w:p>
        </w:tc>
        <w:tc>
          <w:tcPr>
            <w:tcW w:w="3780" w:type="dxa"/>
            <w:gridSpan w:val="4"/>
          </w:tcPr>
          <w:p w14:paraId="59014AFF">
            <w:pPr>
              <w:autoSpaceDE w:val="0"/>
              <w:autoSpaceDN w:val="0"/>
              <w:adjustRightInd w:val="0"/>
              <w:spacing w:line="360" w:lineRule="auto"/>
              <w:jc w:val="center"/>
              <w:rPr>
                <w:rFonts w:hint="eastAsia" w:ascii="宋体" w:hAnsi="宋体" w:cs="宋体"/>
                <w:color w:val="000000" w:themeColor="text1"/>
                <w:kern w:val="0"/>
                <w:szCs w:val="21"/>
                <w14:textFill>
                  <w14:solidFill>
                    <w14:schemeClr w14:val="tx1"/>
                  </w14:solidFill>
                </w14:textFill>
              </w:rPr>
            </w:pPr>
          </w:p>
        </w:tc>
        <w:tc>
          <w:tcPr>
            <w:tcW w:w="1080" w:type="dxa"/>
          </w:tcPr>
          <w:p w14:paraId="45E7013D">
            <w:pPr>
              <w:autoSpaceDE w:val="0"/>
              <w:autoSpaceDN w:val="0"/>
              <w:adjustRightInd w:val="0"/>
              <w:spacing w:line="360" w:lineRule="auto"/>
              <w:jc w:val="center"/>
              <w:rPr>
                <w:rFonts w:hint="eastAsia" w:ascii="宋体" w:hAnsi="宋体" w:cs="宋体"/>
                <w:color w:val="000000" w:themeColor="text1"/>
                <w:kern w:val="0"/>
                <w:szCs w:val="21"/>
                <w14:textFill>
                  <w14:solidFill>
                    <w14:schemeClr w14:val="tx1"/>
                  </w14:solidFill>
                </w14:textFill>
              </w:rPr>
            </w:pPr>
          </w:p>
        </w:tc>
        <w:tc>
          <w:tcPr>
            <w:tcW w:w="2356" w:type="dxa"/>
            <w:gridSpan w:val="2"/>
          </w:tcPr>
          <w:p w14:paraId="424D125D">
            <w:pPr>
              <w:autoSpaceDE w:val="0"/>
              <w:autoSpaceDN w:val="0"/>
              <w:adjustRightInd w:val="0"/>
              <w:spacing w:line="360" w:lineRule="auto"/>
              <w:jc w:val="center"/>
              <w:rPr>
                <w:rFonts w:hint="eastAsia" w:ascii="宋体" w:hAnsi="宋体" w:cs="宋体"/>
                <w:color w:val="000000" w:themeColor="text1"/>
                <w:kern w:val="0"/>
                <w:szCs w:val="21"/>
                <w14:textFill>
                  <w14:solidFill>
                    <w14:schemeClr w14:val="tx1"/>
                  </w14:solidFill>
                </w14:textFill>
              </w:rPr>
            </w:pPr>
          </w:p>
        </w:tc>
      </w:tr>
      <w:tr w14:paraId="23EA0EA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01" w:hRule="atLeast"/>
          <w:jc w:val="center"/>
        </w:trPr>
        <w:tc>
          <w:tcPr>
            <w:tcW w:w="1728" w:type="dxa"/>
            <w:gridSpan w:val="2"/>
          </w:tcPr>
          <w:p w14:paraId="12AEBDBD">
            <w:pPr>
              <w:autoSpaceDE w:val="0"/>
              <w:autoSpaceDN w:val="0"/>
              <w:adjustRightInd w:val="0"/>
              <w:spacing w:line="360" w:lineRule="auto"/>
              <w:jc w:val="center"/>
              <w:rPr>
                <w:rFonts w:hint="eastAsia" w:ascii="宋体" w:hAnsi="宋体" w:cs="宋体"/>
                <w:color w:val="000000" w:themeColor="text1"/>
                <w:kern w:val="0"/>
                <w:szCs w:val="21"/>
                <w14:textFill>
                  <w14:solidFill>
                    <w14:schemeClr w14:val="tx1"/>
                  </w14:solidFill>
                </w14:textFill>
              </w:rPr>
            </w:pPr>
          </w:p>
        </w:tc>
        <w:tc>
          <w:tcPr>
            <w:tcW w:w="3780" w:type="dxa"/>
            <w:gridSpan w:val="4"/>
          </w:tcPr>
          <w:p w14:paraId="129B9F7A">
            <w:pPr>
              <w:autoSpaceDE w:val="0"/>
              <w:autoSpaceDN w:val="0"/>
              <w:adjustRightInd w:val="0"/>
              <w:spacing w:line="360" w:lineRule="auto"/>
              <w:jc w:val="center"/>
              <w:rPr>
                <w:rFonts w:hint="eastAsia" w:ascii="宋体" w:hAnsi="宋体" w:cs="宋体"/>
                <w:color w:val="000000" w:themeColor="text1"/>
                <w:kern w:val="0"/>
                <w:szCs w:val="21"/>
                <w14:textFill>
                  <w14:solidFill>
                    <w14:schemeClr w14:val="tx1"/>
                  </w14:solidFill>
                </w14:textFill>
              </w:rPr>
            </w:pPr>
          </w:p>
        </w:tc>
        <w:tc>
          <w:tcPr>
            <w:tcW w:w="1080" w:type="dxa"/>
          </w:tcPr>
          <w:p w14:paraId="0CDF63FB">
            <w:pPr>
              <w:autoSpaceDE w:val="0"/>
              <w:autoSpaceDN w:val="0"/>
              <w:adjustRightInd w:val="0"/>
              <w:spacing w:line="360" w:lineRule="auto"/>
              <w:jc w:val="center"/>
              <w:rPr>
                <w:rFonts w:hint="eastAsia" w:ascii="宋体" w:hAnsi="宋体" w:cs="宋体"/>
                <w:color w:val="000000" w:themeColor="text1"/>
                <w:kern w:val="0"/>
                <w:szCs w:val="21"/>
                <w14:textFill>
                  <w14:solidFill>
                    <w14:schemeClr w14:val="tx1"/>
                  </w14:solidFill>
                </w14:textFill>
              </w:rPr>
            </w:pPr>
          </w:p>
        </w:tc>
        <w:tc>
          <w:tcPr>
            <w:tcW w:w="2356" w:type="dxa"/>
            <w:gridSpan w:val="2"/>
          </w:tcPr>
          <w:p w14:paraId="51CFAA18">
            <w:pPr>
              <w:autoSpaceDE w:val="0"/>
              <w:autoSpaceDN w:val="0"/>
              <w:adjustRightInd w:val="0"/>
              <w:spacing w:line="360" w:lineRule="auto"/>
              <w:jc w:val="center"/>
              <w:rPr>
                <w:rFonts w:hint="eastAsia" w:ascii="宋体" w:hAnsi="宋体" w:cs="宋体"/>
                <w:color w:val="000000" w:themeColor="text1"/>
                <w:kern w:val="0"/>
                <w:szCs w:val="21"/>
                <w14:textFill>
                  <w14:solidFill>
                    <w14:schemeClr w14:val="tx1"/>
                  </w14:solidFill>
                </w14:textFill>
              </w:rPr>
            </w:pPr>
          </w:p>
        </w:tc>
      </w:tr>
      <w:tr w14:paraId="2E10C8F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01" w:hRule="atLeast"/>
          <w:jc w:val="center"/>
        </w:trPr>
        <w:tc>
          <w:tcPr>
            <w:tcW w:w="1728" w:type="dxa"/>
            <w:gridSpan w:val="2"/>
          </w:tcPr>
          <w:p w14:paraId="06987B3D">
            <w:pPr>
              <w:autoSpaceDE w:val="0"/>
              <w:autoSpaceDN w:val="0"/>
              <w:adjustRightInd w:val="0"/>
              <w:spacing w:line="360" w:lineRule="auto"/>
              <w:jc w:val="center"/>
              <w:rPr>
                <w:rFonts w:hint="eastAsia" w:ascii="宋体" w:hAnsi="宋体" w:cs="宋体"/>
                <w:color w:val="000000" w:themeColor="text1"/>
                <w:kern w:val="0"/>
                <w:szCs w:val="21"/>
                <w14:textFill>
                  <w14:solidFill>
                    <w14:schemeClr w14:val="tx1"/>
                  </w14:solidFill>
                </w14:textFill>
              </w:rPr>
            </w:pPr>
          </w:p>
        </w:tc>
        <w:tc>
          <w:tcPr>
            <w:tcW w:w="3780" w:type="dxa"/>
            <w:gridSpan w:val="4"/>
          </w:tcPr>
          <w:p w14:paraId="6AA55ED8">
            <w:pPr>
              <w:autoSpaceDE w:val="0"/>
              <w:autoSpaceDN w:val="0"/>
              <w:adjustRightInd w:val="0"/>
              <w:spacing w:line="360" w:lineRule="auto"/>
              <w:jc w:val="center"/>
              <w:rPr>
                <w:rFonts w:hint="eastAsia" w:ascii="宋体" w:hAnsi="宋体" w:cs="宋体"/>
                <w:color w:val="000000" w:themeColor="text1"/>
                <w:kern w:val="0"/>
                <w:szCs w:val="21"/>
                <w14:textFill>
                  <w14:solidFill>
                    <w14:schemeClr w14:val="tx1"/>
                  </w14:solidFill>
                </w14:textFill>
              </w:rPr>
            </w:pPr>
          </w:p>
        </w:tc>
        <w:tc>
          <w:tcPr>
            <w:tcW w:w="1080" w:type="dxa"/>
          </w:tcPr>
          <w:p w14:paraId="1B8A543D">
            <w:pPr>
              <w:autoSpaceDE w:val="0"/>
              <w:autoSpaceDN w:val="0"/>
              <w:adjustRightInd w:val="0"/>
              <w:spacing w:line="360" w:lineRule="auto"/>
              <w:jc w:val="center"/>
              <w:rPr>
                <w:rFonts w:hint="eastAsia" w:ascii="宋体" w:hAnsi="宋体" w:cs="宋体"/>
                <w:color w:val="000000" w:themeColor="text1"/>
                <w:kern w:val="0"/>
                <w:szCs w:val="21"/>
                <w14:textFill>
                  <w14:solidFill>
                    <w14:schemeClr w14:val="tx1"/>
                  </w14:solidFill>
                </w14:textFill>
              </w:rPr>
            </w:pPr>
          </w:p>
        </w:tc>
        <w:tc>
          <w:tcPr>
            <w:tcW w:w="2356" w:type="dxa"/>
            <w:gridSpan w:val="2"/>
          </w:tcPr>
          <w:p w14:paraId="3727D479">
            <w:pPr>
              <w:autoSpaceDE w:val="0"/>
              <w:autoSpaceDN w:val="0"/>
              <w:adjustRightInd w:val="0"/>
              <w:spacing w:line="360" w:lineRule="auto"/>
              <w:jc w:val="center"/>
              <w:rPr>
                <w:rFonts w:hint="eastAsia" w:ascii="宋体" w:hAnsi="宋体" w:cs="宋体"/>
                <w:color w:val="000000" w:themeColor="text1"/>
                <w:kern w:val="0"/>
                <w:szCs w:val="21"/>
                <w14:textFill>
                  <w14:solidFill>
                    <w14:schemeClr w14:val="tx1"/>
                  </w14:solidFill>
                </w14:textFill>
              </w:rPr>
            </w:pPr>
          </w:p>
        </w:tc>
      </w:tr>
      <w:tr w14:paraId="3F63883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85" w:hRule="atLeast"/>
          <w:jc w:val="center"/>
        </w:trPr>
        <w:tc>
          <w:tcPr>
            <w:tcW w:w="1728" w:type="dxa"/>
            <w:gridSpan w:val="2"/>
          </w:tcPr>
          <w:p w14:paraId="03E751A1">
            <w:pPr>
              <w:autoSpaceDE w:val="0"/>
              <w:autoSpaceDN w:val="0"/>
              <w:adjustRightInd w:val="0"/>
              <w:spacing w:line="360" w:lineRule="auto"/>
              <w:jc w:val="center"/>
              <w:rPr>
                <w:rFonts w:hint="eastAsia" w:ascii="宋体" w:hAnsi="宋体" w:cs="宋体"/>
                <w:color w:val="000000" w:themeColor="text1"/>
                <w:kern w:val="0"/>
                <w:szCs w:val="21"/>
                <w14:textFill>
                  <w14:solidFill>
                    <w14:schemeClr w14:val="tx1"/>
                  </w14:solidFill>
                </w14:textFill>
              </w:rPr>
            </w:pPr>
          </w:p>
        </w:tc>
        <w:tc>
          <w:tcPr>
            <w:tcW w:w="3780" w:type="dxa"/>
            <w:gridSpan w:val="4"/>
          </w:tcPr>
          <w:p w14:paraId="11475862">
            <w:pPr>
              <w:autoSpaceDE w:val="0"/>
              <w:autoSpaceDN w:val="0"/>
              <w:adjustRightInd w:val="0"/>
              <w:spacing w:line="360" w:lineRule="auto"/>
              <w:jc w:val="center"/>
              <w:rPr>
                <w:rFonts w:hint="eastAsia" w:ascii="宋体" w:hAnsi="宋体" w:cs="宋体"/>
                <w:color w:val="000000" w:themeColor="text1"/>
                <w:kern w:val="0"/>
                <w:szCs w:val="21"/>
                <w14:textFill>
                  <w14:solidFill>
                    <w14:schemeClr w14:val="tx1"/>
                  </w14:solidFill>
                </w14:textFill>
              </w:rPr>
            </w:pPr>
          </w:p>
        </w:tc>
        <w:tc>
          <w:tcPr>
            <w:tcW w:w="1080" w:type="dxa"/>
          </w:tcPr>
          <w:p w14:paraId="10DA3105">
            <w:pPr>
              <w:autoSpaceDE w:val="0"/>
              <w:autoSpaceDN w:val="0"/>
              <w:adjustRightInd w:val="0"/>
              <w:spacing w:line="360" w:lineRule="auto"/>
              <w:jc w:val="center"/>
              <w:rPr>
                <w:rFonts w:hint="eastAsia" w:ascii="宋体" w:hAnsi="宋体" w:cs="宋体"/>
                <w:color w:val="000000" w:themeColor="text1"/>
                <w:kern w:val="0"/>
                <w:szCs w:val="21"/>
                <w14:textFill>
                  <w14:solidFill>
                    <w14:schemeClr w14:val="tx1"/>
                  </w14:solidFill>
                </w14:textFill>
              </w:rPr>
            </w:pPr>
          </w:p>
        </w:tc>
        <w:tc>
          <w:tcPr>
            <w:tcW w:w="2356" w:type="dxa"/>
            <w:gridSpan w:val="2"/>
          </w:tcPr>
          <w:p w14:paraId="6DB31960">
            <w:pPr>
              <w:autoSpaceDE w:val="0"/>
              <w:autoSpaceDN w:val="0"/>
              <w:adjustRightInd w:val="0"/>
              <w:spacing w:line="360" w:lineRule="auto"/>
              <w:jc w:val="center"/>
              <w:rPr>
                <w:rFonts w:hint="eastAsia" w:ascii="宋体" w:hAnsi="宋体" w:cs="宋体"/>
                <w:color w:val="000000" w:themeColor="text1"/>
                <w:kern w:val="0"/>
                <w:szCs w:val="21"/>
                <w14:textFill>
                  <w14:solidFill>
                    <w14:schemeClr w14:val="tx1"/>
                  </w14:solidFill>
                </w14:textFill>
              </w:rPr>
            </w:pPr>
          </w:p>
        </w:tc>
      </w:tr>
      <w:tr w14:paraId="355732E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01" w:hRule="atLeast"/>
          <w:jc w:val="center"/>
        </w:trPr>
        <w:tc>
          <w:tcPr>
            <w:tcW w:w="1728" w:type="dxa"/>
            <w:gridSpan w:val="2"/>
          </w:tcPr>
          <w:p w14:paraId="6FCB3535">
            <w:pPr>
              <w:autoSpaceDE w:val="0"/>
              <w:autoSpaceDN w:val="0"/>
              <w:adjustRightInd w:val="0"/>
              <w:spacing w:line="360" w:lineRule="auto"/>
              <w:jc w:val="center"/>
              <w:rPr>
                <w:rFonts w:hint="eastAsia" w:ascii="宋体" w:hAnsi="宋体" w:cs="宋体"/>
                <w:color w:val="000000" w:themeColor="text1"/>
                <w:kern w:val="0"/>
                <w:szCs w:val="21"/>
                <w14:textFill>
                  <w14:solidFill>
                    <w14:schemeClr w14:val="tx1"/>
                  </w14:solidFill>
                </w14:textFill>
              </w:rPr>
            </w:pPr>
          </w:p>
        </w:tc>
        <w:tc>
          <w:tcPr>
            <w:tcW w:w="3780" w:type="dxa"/>
            <w:gridSpan w:val="4"/>
          </w:tcPr>
          <w:p w14:paraId="58475ED0">
            <w:pPr>
              <w:autoSpaceDE w:val="0"/>
              <w:autoSpaceDN w:val="0"/>
              <w:adjustRightInd w:val="0"/>
              <w:spacing w:line="360" w:lineRule="auto"/>
              <w:jc w:val="center"/>
              <w:rPr>
                <w:rFonts w:hint="eastAsia" w:ascii="宋体" w:hAnsi="宋体" w:cs="宋体"/>
                <w:color w:val="000000" w:themeColor="text1"/>
                <w:kern w:val="0"/>
                <w:szCs w:val="21"/>
                <w14:textFill>
                  <w14:solidFill>
                    <w14:schemeClr w14:val="tx1"/>
                  </w14:solidFill>
                </w14:textFill>
              </w:rPr>
            </w:pPr>
          </w:p>
        </w:tc>
        <w:tc>
          <w:tcPr>
            <w:tcW w:w="1080" w:type="dxa"/>
          </w:tcPr>
          <w:p w14:paraId="76171AE0">
            <w:pPr>
              <w:autoSpaceDE w:val="0"/>
              <w:autoSpaceDN w:val="0"/>
              <w:adjustRightInd w:val="0"/>
              <w:spacing w:line="360" w:lineRule="auto"/>
              <w:jc w:val="center"/>
              <w:rPr>
                <w:rFonts w:hint="eastAsia" w:ascii="宋体" w:hAnsi="宋体" w:cs="宋体"/>
                <w:color w:val="000000" w:themeColor="text1"/>
                <w:kern w:val="0"/>
                <w:szCs w:val="21"/>
                <w14:textFill>
                  <w14:solidFill>
                    <w14:schemeClr w14:val="tx1"/>
                  </w14:solidFill>
                </w14:textFill>
              </w:rPr>
            </w:pPr>
          </w:p>
        </w:tc>
        <w:tc>
          <w:tcPr>
            <w:tcW w:w="2356" w:type="dxa"/>
            <w:gridSpan w:val="2"/>
          </w:tcPr>
          <w:p w14:paraId="52E2EA09">
            <w:pPr>
              <w:autoSpaceDE w:val="0"/>
              <w:autoSpaceDN w:val="0"/>
              <w:adjustRightInd w:val="0"/>
              <w:spacing w:line="360" w:lineRule="auto"/>
              <w:jc w:val="center"/>
              <w:rPr>
                <w:rFonts w:hint="eastAsia" w:ascii="宋体" w:hAnsi="宋体" w:cs="宋体"/>
                <w:color w:val="000000" w:themeColor="text1"/>
                <w:kern w:val="0"/>
                <w:szCs w:val="21"/>
                <w14:textFill>
                  <w14:solidFill>
                    <w14:schemeClr w14:val="tx1"/>
                  </w14:solidFill>
                </w14:textFill>
              </w:rPr>
            </w:pPr>
          </w:p>
        </w:tc>
      </w:tr>
      <w:tr w14:paraId="406BEBA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85" w:hRule="atLeast"/>
          <w:jc w:val="center"/>
        </w:trPr>
        <w:tc>
          <w:tcPr>
            <w:tcW w:w="1728" w:type="dxa"/>
            <w:gridSpan w:val="2"/>
          </w:tcPr>
          <w:p w14:paraId="36C9342E">
            <w:pPr>
              <w:autoSpaceDE w:val="0"/>
              <w:autoSpaceDN w:val="0"/>
              <w:adjustRightInd w:val="0"/>
              <w:spacing w:line="360" w:lineRule="auto"/>
              <w:jc w:val="center"/>
              <w:rPr>
                <w:rFonts w:hint="eastAsia" w:ascii="宋体" w:hAnsi="宋体" w:cs="宋体"/>
                <w:color w:val="000000" w:themeColor="text1"/>
                <w:kern w:val="0"/>
                <w:szCs w:val="21"/>
                <w14:textFill>
                  <w14:solidFill>
                    <w14:schemeClr w14:val="tx1"/>
                  </w14:solidFill>
                </w14:textFill>
              </w:rPr>
            </w:pPr>
          </w:p>
        </w:tc>
        <w:tc>
          <w:tcPr>
            <w:tcW w:w="3780" w:type="dxa"/>
            <w:gridSpan w:val="4"/>
          </w:tcPr>
          <w:p w14:paraId="41D592A1">
            <w:pPr>
              <w:autoSpaceDE w:val="0"/>
              <w:autoSpaceDN w:val="0"/>
              <w:adjustRightInd w:val="0"/>
              <w:spacing w:line="360" w:lineRule="auto"/>
              <w:jc w:val="center"/>
              <w:rPr>
                <w:rFonts w:hint="eastAsia" w:ascii="宋体" w:hAnsi="宋体" w:cs="宋体"/>
                <w:color w:val="000000" w:themeColor="text1"/>
                <w:kern w:val="0"/>
                <w:szCs w:val="21"/>
                <w14:textFill>
                  <w14:solidFill>
                    <w14:schemeClr w14:val="tx1"/>
                  </w14:solidFill>
                </w14:textFill>
              </w:rPr>
            </w:pPr>
          </w:p>
        </w:tc>
        <w:tc>
          <w:tcPr>
            <w:tcW w:w="1080" w:type="dxa"/>
          </w:tcPr>
          <w:p w14:paraId="66CB23FD">
            <w:pPr>
              <w:autoSpaceDE w:val="0"/>
              <w:autoSpaceDN w:val="0"/>
              <w:adjustRightInd w:val="0"/>
              <w:spacing w:line="360" w:lineRule="auto"/>
              <w:jc w:val="center"/>
              <w:rPr>
                <w:rFonts w:hint="eastAsia" w:ascii="宋体" w:hAnsi="宋体" w:cs="宋体"/>
                <w:color w:val="000000" w:themeColor="text1"/>
                <w:kern w:val="0"/>
                <w:szCs w:val="21"/>
                <w14:textFill>
                  <w14:solidFill>
                    <w14:schemeClr w14:val="tx1"/>
                  </w14:solidFill>
                </w14:textFill>
              </w:rPr>
            </w:pPr>
          </w:p>
        </w:tc>
        <w:tc>
          <w:tcPr>
            <w:tcW w:w="2356" w:type="dxa"/>
            <w:gridSpan w:val="2"/>
          </w:tcPr>
          <w:p w14:paraId="14A88129">
            <w:pPr>
              <w:autoSpaceDE w:val="0"/>
              <w:autoSpaceDN w:val="0"/>
              <w:adjustRightInd w:val="0"/>
              <w:spacing w:line="360" w:lineRule="auto"/>
              <w:jc w:val="center"/>
              <w:rPr>
                <w:rFonts w:hint="eastAsia" w:ascii="宋体" w:hAnsi="宋体" w:cs="宋体"/>
                <w:color w:val="000000" w:themeColor="text1"/>
                <w:kern w:val="0"/>
                <w:szCs w:val="21"/>
                <w14:textFill>
                  <w14:solidFill>
                    <w14:schemeClr w14:val="tx1"/>
                  </w14:solidFill>
                </w14:textFill>
              </w:rPr>
            </w:pPr>
          </w:p>
        </w:tc>
      </w:tr>
      <w:tr w14:paraId="250033C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01" w:hRule="atLeast"/>
          <w:jc w:val="center"/>
        </w:trPr>
        <w:tc>
          <w:tcPr>
            <w:tcW w:w="1728" w:type="dxa"/>
            <w:gridSpan w:val="2"/>
          </w:tcPr>
          <w:p w14:paraId="0999DA5A">
            <w:pPr>
              <w:autoSpaceDE w:val="0"/>
              <w:autoSpaceDN w:val="0"/>
              <w:adjustRightInd w:val="0"/>
              <w:spacing w:line="360" w:lineRule="auto"/>
              <w:jc w:val="center"/>
              <w:rPr>
                <w:rFonts w:hint="eastAsia" w:ascii="宋体" w:hAnsi="宋体" w:cs="宋体"/>
                <w:color w:val="000000" w:themeColor="text1"/>
                <w:kern w:val="0"/>
                <w:szCs w:val="21"/>
                <w14:textFill>
                  <w14:solidFill>
                    <w14:schemeClr w14:val="tx1"/>
                  </w14:solidFill>
                </w14:textFill>
              </w:rPr>
            </w:pPr>
          </w:p>
        </w:tc>
        <w:tc>
          <w:tcPr>
            <w:tcW w:w="3780" w:type="dxa"/>
            <w:gridSpan w:val="4"/>
          </w:tcPr>
          <w:p w14:paraId="36272DF0">
            <w:pPr>
              <w:autoSpaceDE w:val="0"/>
              <w:autoSpaceDN w:val="0"/>
              <w:adjustRightInd w:val="0"/>
              <w:spacing w:line="360" w:lineRule="auto"/>
              <w:jc w:val="center"/>
              <w:rPr>
                <w:rFonts w:hint="eastAsia" w:ascii="宋体" w:hAnsi="宋体" w:cs="宋体"/>
                <w:color w:val="000000" w:themeColor="text1"/>
                <w:kern w:val="0"/>
                <w:szCs w:val="21"/>
                <w14:textFill>
                  <w14:solidFill>
                    <w14:schemeClr w14:val="tx1"/>
                  </w14:solidFill>
                </w14:textFill>
              </w:rPr>
            </w:pPr>
          </w:p>
        </w:tc>
        <w:tc>
          <w:tcPr>
            <w:tcW w:w="1080" w:type="dxa"/>
          </w:tcPr>
          <w:p w14:paraId="0F97B78D">
            <w:pPr>
              <w:autoSpaceDE w:val="0"/>
              <w:autoSpaceDN w:val="0"/>
              <w:adjustRightInd w:val="0"/>
              <w:spacing w:line="360" w:lineRule="auto"/>
              <w:jc w:val="center"/>
              <w:rPr>
                <w:rFonts w:hint="eastAsia" w:ascii="宋体" w:hAnsi="宋体" w:cs="宋体"/>
                <w:color w:val="000000" w:themeColor="text1"/>
                <w:kern w:val="0"/>
                <w:szCs w:val="21"/>
                <w14:textFill>
                  <w14:solidFill>
                    <w14:schemeClr w14:val="tx1"/>
                  </w14:solidFill>
                </w14:textFill>
              </w:rPr>
            </w:pPr>
          </w:p>
        </w:tc>
        <w:tc>
          <w:tcPr>
            <w:tcW w:w="2356" w:type="dxa"/>
            <w:gridSpan w:val="2"/>
          </w:tcPr>
          <w:p w14:paraId="662F9561">
            <w:pPr>
              <w:autoSpaceDE w:val="0"/>
              <w:autoSpaceDN w:val="0"/>
              <w:adjustRightInd w:val="0"/>
              <w:spacing w:line="360" w:lineRule="auto"/>
              <w:jc w:val="center"/>
              <w:rPr>
                <w:rFonts w:hint="eastAsia" w:ascii="宋体" w:hAnsi="宋体" w:cs="宋体"/>
                <w:color w:val="000000" w:themeColor="text1"/>
                <w:kern w:val="0"/>
                <w:szCs w:val="21"/>
                <w14:textFill>
                  <w14:solidFill>
                    <w14:schemeClr w14:val="tx1"/>
                  </w14:solidFill>
                </w14:textFill>
              </w:rPr>
            </w:pPr>
          </w:p>
        </w:tc>
      </w:tr>
      <w:tr w14:paraId="7924D25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01" w:hRule="atLeast"/>
          <w:jc w:val="center"/>
        </w:trPr>
        <w:tc>
          <w:tcPr>
            <w:tcW w:w="1728" w:type="dxa"/>
            <w:gridSpan w:val="2"/>
          </w:tcPr>
          <w:p w14:paraId="3A955E9B">
            <w:pPr>
              <w:autoSpaceDE w:val="0"/>
              <w:autoSpaceDN w:val="0"/>
              <w:adjustRightInd w:val="0"/>
              <w:spacing w:line="360" w:lineRule="auto"/>
              <w:jc w:val="center"/>
              <w:rPr>
                <w:rFonts w:hint="eastAsia" w:ascii="宋体" w:hAnsi="宋体" w:cs="宋体"/>
                <w:color w:val="000000" w:themeColor="text1"/>
                <w:kern w:val="0"/>
                <w:szCs w:val="21"/>
                <w14:textFill>
                  <w14:solidFill>
                    <w14:schemeClr w14:val="tx1"/>
                  </w14:solidFill>
                </w14:textFill>
              </w:rPr>
            </w:pPr>
          </w:p>
        </w:tc>
        <w:tc>
          <w:tcPr>
            <w:tcW w:w="3780" w:type="dxa"/>
            <w:gridSpan w:val="4"/>
          </w:tcPr>
          <w:p w14:paraId="39918953">
            <w:pPr>
              <w:autoSpaceDE w:val="0"/>
              <w:autoSpaceDN w:val="0"/>
              <w:adjustRightInd w:val="0"/>
              <w:spacing w:line="360" w:lineRule="auto"/>
              <w:jc w:val="center"/>
              <w:rPr>
                <w:rFonts w:hint="eastAsia" w:ascii="宋体" w:hAnsi="宋体" w:cs="宋体"/>
                <w:color w:val="000000" w:themeColor="text1"/>
                <w:kern w:val="0"/>
                <w:szCs w:val="21"/>
                <w14:textFill>
                  <w14:solidFill>
                    <w14:schemeClr w14:val="tx1"/>
                  </w14:solidFill>
                </w14:textFill>
              </w:rPr>
            </w:pPr>
          </w:p>
        </w:tc>
        <w:tc>
          <w:tcPr>
            <w:tcW w:w="1080" w:type="dxa"/>
          </w:tcPr>
          <w:p w14:paraId="005DE8B1">
            <w:pPr>
              <w:autoSpaceDE w:val="0"/>
              <w:autoSpaceDN w:val="0"/>
              <w:adjustRightInd w:val="0"/>
              <w:spacing w:line="360" w:lineRule="auto"/>
              <w:jc w:val="center"/>
              <w:rPr>
                <w:rFonts w:hint="eastAsia" w:ascii="宋体" w:hAnsi="宋体" w:cs="宋体"/>
                <w:color w:val="000000" w:themeColor="text1"/>
                <w:kern w:val="0"/>
                <w:szCs w:val="21"/>
                <w14:textFill>
                  <w14:solidFill>
                    <w14:schemeClr w14:val="tx1"/>
                  </w14:solidFill>
                </w14:textFill>
              </w:rPr>
            </w:pPr>
          </w:p>
        </w:tc>
        <w:tc>
          <w:tcPr>
            <w:tcW w:w="2356" w:type="dxa"/>
            <w:gridSpan w:val="2"/>
          </w:tcPr>
          <w:p w14:paraId="479D7402">
            <w:pPr>
              <w:autoSpaceDE w:val="0"/>
              <w:autoSpaceDN w:val="0"/>
              <w:adjustRightInd w:val="0"/>
              <w:spacing w:line="360" w:lineRule="auto"/>
              <w:jc w:val="center"/>
              <w:rPr>
                <w:rFonts w:hint="eastAsia" w:ascii="宋体" w:hAnsi="宋体" w:cs="宋体"/>
                <w:color w:val="000000" w:themeColor="text1"/>
                <w:kern w:val="0"/>
                <w:szCs w:val="21"/>
                <w14:textFill>
                  <w14:solidFill>
                    <w14:schemeClr w14:val="tx1"/>
                  </w14:solidFill>
                </w14:textFill>
              </w:rPr>
            </w:pPr>
          </w:p>
        </w:tc>
      </w:tr>
    </w:tbl>
    <w:p w14:paraId="622D834C">
      <w:pPr>
        <w:autoSpaceDE w:val="0"/>
        <w:autoSpaceDN w:val="0"/>
        <w:adjustRightInd w:val="0"/>
        <w:spacing w:line="360" w:lineRule="auto"/>
        <w:jc w:val="left"/>
        <w:rPr>
          <w:rFonts w:hint="eastAsia" w:ascii="宋体" w:hAnsi="宋体" w:cs="宋体"/>
          <w:color w:val="000000" w:themeColor="text1"/>
          <w:kern w:val="0"/>
          <w:szCs w:val="21"/>
          <w14:textFill>
            <w14:solidFill>
              <w14:schemeClr w14:val="tx1"/>
            </w14:solidFill>
          </w14:textFill>
        </w:rPr>
      </w:pPr>
    </w:p>
    <w:p w14:paraId="1E454728">
      <w:pPr>
        <w:spacing w:line="360" w:lineRule="auto"/>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注：</w:t>
      </w:r>
      <w:r>
        <w:rPr>
          <w:rFonts w:hint="eastAsia" w:ascii="宋体" w:hAnsi="宋体" w:cs="宋体"/>
          <w:color w:val="000000" w:themeColor="text1"/>
          <w14:textFill>
            <w14:solidFill>
              <w14:schemeClr w14:val="tx1"/>
            </w14:solidFill>
          </w14:textFill>
        </w:rPr>
        <w:t>“主要人员简历表”中的勘察、设计、</w:t>
      </w:r>
      <w:r>
        <w:rPr>
          <w:rFonts w:hint="eastAsia" w:ascii="宋体" w:hAnsi="宋体" w:cs="宋体"/>
          <w:color w:val="000000" w:themeColor="text1"/>
          <w:lang w:val="en-US" w:eastAsia="zh-CN"/>
          <w14:textFill>
            <w14:solidFill>
              <w14:schemeClr w14:val="tx1"/>
            </w14:solidFill>
          </w14:textFill>
        </w:rPr>
        <w:t>设备、</w:t>
      </w:r>
      <w:r>
        <w:rPr>
          <w:rFonts w:hint="eastAsia" w:ascii="宋体" w:hAnsi="宋体" w:cs="宋体"/>
          <w:color w:val="000000" w:themeColor="text1"/>
          <w14:textFill>
            <w14:solidFill>
              <w14:schemeClr w14:val="tx1"/>
            </w14:solidFill>
          </w14:textFill>
        </w:rPr>
        <w:t>施工负责人应附身份证、</w:t>
      </w:r>
      <w:r>
        <w:rPr>
          <w:rFonts w:hint="eastAsia" w:ascii="宋体" w:hAnsi="宋体" w:cs="宋体"/>
          <w:color w:val="000000" w:themeColor="text1"/>
          <w:kern w:val="0"/>
          <w:szCs w:val="21"/>
          <w14:textFill>
            <w14:solidFill>
              <w14:schemeClr w14:val="tx1"/>
            </w14:solidFill>
          </w14:textFill>
        </w:rPr>
        <w:t>社保证明</w:t>
      </w:r>
      <w:r>
        <w:rPr>
          <w:rFonts w:hint="eastAsia" w:ascii="宋体" w:hAnsi="宋体" w:cs="宋体"/>
          <w:color w:val="000000" w:themeColor="text1"/>
          <w14:textFill>
            <w14:solidFill>
              <w14:schemeClr w14:val="tx1"/>
            </w14:solidFill>
          </w14:textFill>
        </w:rPr>
        <w:t>等复印件，其他主要人员应附执业证或上岗证书等复印件，</w:t>
      </w:r>
      <w:r>
        <w:rPr>
          <w:rFonts w:hint="eastAsia" w:ascii="宋体" w:hAnsi="宋体" w:cs="宋体"/>
          <w:color w:val="000000" w:themeColor="text1"/>
          <w:kern w:val="0"/>
          <w:szCs w:val="21"/>
          <w14:textFill>
            <w14:solidFill>
              <w14:schemeClr w14:val="tx1"/>
            </w14:solidFill>
          </w14:textFill>
        </w:rPr>
        <w:t>提供证书资料不一致时，以提供证书资料为准，</w:t>
      </w:r>
      <w:r>
        <w:rPr>
          <w:rFonts w:hint="eastAsia" w:ascii="宋体" w:hAnsi="宋体" w:cs="宋体"/>
          <w:color w:val="000000" w:themeColor="text1"/>
          <w14:textFill>
            <w14:solidFill>
              <w14:schemeClr w14:val="tx1"/>
            </w14:solidFill>
          </w14:textFill>
        </w:rPr>
        <w:t>证书资料要求清晰可辨。</w:t>
      </w:r>
    </w:p>
    <w:p w14:paraId="1C55B8E7">
      <w:pPr>
        <w:pStyle w:val="18"/>
        <w:ind w:left="1470" w:right="1470"/>
        <w:rPr>
          <w:rFonts w:hint="eastAsia" w:ascii="宋体" w:hAnsi="宋体" w:cs="宋体"/>
          <w:color w:val="000000" w:themeColor="text1"/>
          <w14:textFill>
            <w14:solidFill>
              <w14:schemeClr w14:val="tx1"/>
            </w14:solidFill>
          </w14:textFill>
        </w:rPr>
      </w:pPr>
    </w:p>
    <w:p w14:paraId="170FB2DD">
      <w:pPr>
        <w:rPr>
          <w:rFonts w:hint="eastAsia" w:ascii="宋体" w:hAnsi="宋体" w:cs="宋体"/>
          <w:color w:val="000000" w:themeColor="text1"/>
          <w14:textFill>
            <w14:solidFill>
              <w14:schemeClr w14:val="tx1"/>
            </w14:solidFill>
          </w14:textFill>
        </w:rPr>
      </w:pPr>
    </w:p>
    <w:p w14:paraId="101DB6D9">
      <w:pPr>
        <w:pStyle w:val="18"/>
        <w:ind w:left="1470" w:right="1470"/>
        <w:rPr>
          <w:rFonts w:hint="eastAsia" w:ascii="宋体" w:hAnsi="宋体" w:cs="宋体"/>
          <w:color w:val="000000" w:themeColor="text1"/>
          <w14:textFill>
            <w14:solidFill>
              <w14:schemeClr w14:val="tx1"/>
            </w14:solidFill>
          </w14:textFill>
        </w:rPr>
      </w:pPr>
    </w:p>
    <w:p w14:paraId="15E214C1">
      <w:pPr>
        <w:rPr>
          <w:rFonts w:hint="eastAsia" w:ascii="宋体" w:hAnsi="宋体" w:cs="宋体"/>
          <w:color w:val="000000" w:themeColor="text1"/>
          <w14:textFill>
            <w14:solidFill>
              <w14:schemeClr w14:val="tx1"/>
            </w14:solidFill>
          </w14:textFill>
        </w:rPr>
      </w:pPr>
    </w:p>
    <w:p w14:paraId="6082E39E">
      <w:pPr>
        <w:pStyle w:val="18"/>
        <w:ind w:left="1470" w:right="1470"/>
        <w:rPr>
          <w:rFonts w:hint="eastAsia" w:ascii="宋体" w:hAnsi="宋体" w:cs="宋体"/>
          <w:color w:val="000000" w:themeColor="text1"/>
          <w14:textFill>
            <w14:solidFill>
              <w14:schemeClr w14:val="tx1"/>
            </w14:solidFill>
          </w14:textFill>
        </w:rPr>
      </w:pPr>
    </w:p>
    <w:p w14:paraId="0EC21044">
      <w:pPr>
        <w:pStyle w:val="3"/>
        <w:jc w:val="center"/>
        <w:rPr>
          <w:rFonts w:hint="eastAsia" w:ascii="宋体" w:hAnsi="宋体" w:eastAsia="宋体" w:cs="宋体"/>
          <w:color w:val="000000" w:themeColor="text1"/>
          <w:szCs w:val="27"/>
          <w14:textFill>
            <w14:solidFill>
              <w14:schemeClr w14:val="tx1"/>
            </w14:solidFill>
          </w14:textFill>
        </w:rPr>
      </w:pPr>
      <w:bookmarkStart w:id="1892" w:name="_Toc54190106"/>
      <w:bookmarkStart w:id="1893" w:name="_Toc30352"/>
      <w:bookmarkStart w:id="1894" w:name="_Toc28576"/>
      <w:bookmarkStart w:id="1895" w:name="_Toc271821942"/>
      <w:bookmarkStart w:id="1896" w:name="_Toc21790"/>
      <w:r>
        <w:rPr>
          <w:rFonts w:hint="eastAsia" w:ascii="宋体" w:hAnsi="宋体" w:eastAsia="宋体" w:cs="宋体"/>
          <w:color w:val="000000" w:themeColor="text1"/>
          <w:szCs w:val="27"/>
          <w14:textFill>
            <w14:solidFill>
              <w14:schemeClr w14:val="tx1"/>
            </w14:solidFill>
          </w14:textFill>
        </w:rPr>
        <w:t>十、其他资料</w:t>
      </w:r>
      <w:bookmarkEnd w:id="1892"/>
      <w:bookmarkEnd w:id="1893"/>
      <w:bookmarkEnd w:id="1894"/>
      <w:bookmarkEnd w:id="1895"/>
      <w:bookmarkEnd w:id="1896"/>
    </w:p>
    <w:p w14:paraId="130F6FB7">
      <w:pPr>
        <w:pStyle w:val="4"/>
        <w:ind w:firstLine="138"/>
        <w:jc w:val="center"/>
        <w:rPr>
          <w:rFonts w:hint="eastAsia" w:ascii="宋体" w:eastAsia="宋体" w:cs="宋体"/>
          <w:b/>
          <w:color w:val="000000" w:themeColor="text1"/>
          <w14:textFill>
            <w14:solidFill>
              <w14:schemeClr w14:val="tx1"/>
            </w14:solidFill>
          </w14:textFill>
        </w:rPr>
      </w:pPr>
      <w:bookmarkStart w:id="1897" w:name="_Toc14751"/>
      <w:r>
        <w:rPr>
          <w:rFonts w:hint="eastAsia" w:ascii="宋体" w:eastAsia="宋体" w:cs="宋体"/>
          <w:b/>
          <w:color w:val="000000" w:themeColor="text1"/>
          <w14:textFill>
            <w14:solidFill>
              <w14:schemeClr w14:val="tx1"/>
            </w14:solidFill>
          </w14:textFill>
        </w:rPr>
        <w:t>（一）关于合同履约风险的承诺书</w:t>
      </w:r>
      <w:bookmarkEnd w:id="1897"/>
    </w:p>
    <w:p w14:paraId="272C84FD">
      <w:pPr>
        <w:rPr>
          <w:rFonts w:hint="eastAsia" w:ascii="宋体" w:hAnsi="宋体" w:cs="宋体"/>
          <w:color w:val="000000" w:themeColor="text1"/>
          <w14:textFill>
            <w14:solidFill>
              <w14:schemeClr w14:val="tx1"/>
            </w14:solidFill>
          </w14:textFill>
        </w:rPr>
      </w:pPr>
    </w:p>
    <w:p w14:paraId="6B1D1EE2">
      <w:pPr>
        <w:spacing w:line="360" w:lineRule="auto"/>
        <w:rPr>
          <w:rFonts w:hint="eastAsia" w:ascii="宋体" w:hAnsi="宋体" w:cs="宋体"/>
          <w:color w:val="000000" w:themeColor="text1"/>
          <w:kern w:val="0"/>
          <w:szCs w:val="21"/>
          <w:u w:val="single"/>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致：</w:t>
      </w:r>
      <w:r>
        <w:rPr>
          <w:rFonts w:hint="eastAsia" w:ascii="宋体" w:hAnsi="宋体" w:cs="宋体"/>
          <w:color w:val="000000" w:themeColor="text1"/>
          <w:kern w:val="0"/>
          <w:szCs w:val="21"/>
          <w:u w:val="single"/>
          <w14:textFill>
            <w14:solidFill>
              <w14:schemeClr w14:val="tx1"/>
            </w14:solidFill>
          </w14:textFill>
        </w:rPr>
        <w:t>招标人</w:t>
      </w:r>
    </w:p>
    <w:p w14:paraId="49D77AC3">
      <w:pPr>
        <w:spacing w:line="360" w:lineRule="auto"/>
        <w:ind w:firstLine="420" w:firstLineChars="200"/>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我公司参加的</w:t>
      </w:r>
      <w:r>
        <w:rPr>
          <w:rFonts w:hint="eastAsia" w:ascii="宋体" w:hAnsi="宋体" w:cs="宋体"/>
          <w:color w:val="000000" w:themeColor="text1"/>
          <w:kern w:val="0"/>
          <w:szCs w:val="21"/>
          <w:u w:val="single"/>
          <w14:textFill>
            <w14:solidFill>
              <w14:schemeClr w14:val="tx1"/>
            </w14:solidFill>
          </w14:textFill>
        </w:rPr>
        <w:t>（项目名称）</w:t>
      </w:r>
      <w:r>
        <w:rPr>
          <w:rFonts w:hint="eastAsia" w:ascii="宋体" w:hAnsi="宋体" w:cs="宋体"/>
          <w:color w:val="000000" w:themeColor="text1"/>
          <w:kern w:val="0"/>
          <w:szCs w:val="21"/>
          <w14:textFill>
            <w14:solidFill>
              <w14:schemeClr w14:val="tx1"/>
            </w14:solidFill>
          </w14:textFill>
        </w:rPr>
        <w:t>的投标工作，招标编号：</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，我公司充分理解项目建设过程中的不可预见性问题较多。因此，若我公司中标，郑重承诺如下：</w:t>
      </w:r>
    </w:p>
    <w:p w14:paraId="68C443F8">
      <w:pPr>
        <w:spacing w:line="360" w:lineRule="auto"/>
        <w:ind w:firstLine="420" w:firstLineChars="200"/>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我公司不会因项目建设工期的延长、任务额度的减少等原因追究贵公司的违约责任。</w:t>
      </w:r>
    </w:p>
    <w:p w14:paraId="2B96EA08">
      <w:pPr>
        <w:spacing w:line="360" w:lineRule="auto"/>
        <w:rPr>
          <w:rFonts w:hint="eastAsia" w:ascii="宋体" w:hAnsi="宋体" w:cs="宋体"/>
          <w:color w:val="000000" w:themeColor="text1"/>
          <w:kern w:val="0"/>
          <w:szCs w:val="21"/>
          <w14:textFill>
            <w14:solidFill>
              <w14:schemeClr w14:val="tx1"/>
            </w14:solidFill>
          </w14:textFill>
        </w:rPr>
      </w:pPr>
    </w:p>
    <w:p w14:paraId="4E79E655">
      <w:pPr>
        <w:rPr>
          <w:rFonts w:hint="eastAsia" w:ascii="宋体" w:hAnsi="宋体" w:cs="宋体"/>
          <w:color w:val="000000" w:themeColor="text1"/>
          <w:kern w:val="0"/>
          <w:szCs w:val="21"/>
          <w14:textFill>
            <w14:solidFill>
              <w14:schemeClr w14:val="tx1"/>
            </w14:solidFill>
          </w14:textFill>
        </w:rPr>
      </w:pPr>
    </w:p>
    <w:p w14:paraId="655ACA21">
      <w:pPr>
        <w:rPr>
          <w:rFonts w:hint="eastAsia" w:ascii="宋体" w:hAnsi="宋体" w:cs="宋体"/>
          <w:color w:val="000000" w:themeColor="text1"/>
          <w:kern w:val="0"/>
          <w:szCs w:val="21"/>
          <w14:textFill>
            <w14:solidFill>
              <w14:schemeClr w14:val="tx1"/>
            </w14:solidFill>
          </w14:textFill>
        </w:rPr>
      </w:pPr>
    </w:p>
    <w:p w14:paraId="0EB76D9E">
      <w:pPr>
        <w:rPr>
          <w:rFonts w:hint="eastAsia" w:ascii="宋体" w:hAnsi="宋体" w:cs="宋体"/>
          <w:color w:val="000000" w:themeColor="text1"/>
          <w:kern w:val="0"/>
          <w:szCs w:val="21"/>
          <w14:textFill>
            <w14:solidFill>
              <w14:schemeClr w14:val="tx1"/>
            </w14:solidFill>
          </w14:textFill>
        </w:rPr>
      </w:pPr>
    </w:p>
    <w:p w14:paraId="039F10A7">
      <w:pPr>
        <w:widowControl/>
        <w:spacing w:line="300" w:lineRule="auto"/>
        <w:ind w:firstLine="490"/>
        <w:jc w:val="left"/>
        <w:rPr>
          <w:rFonts w:hint="eastAsia" w:ascii="宋体" w:hAnsi="宋体" w:cs="宋体"/>
          <w:color w:val="000000" w:themeColor="text1"/>
          <w:kern w:val="0"/>
          <w:szCs w:val="21"/>
          <w:u w:val="single"/>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投 标 人：</w:t>
      </w:r>
      <w:r>
        <w:rPr>
          <w:rFonts w:hint="eastAsia" w:ascii="宋体" w:hAnsi="宋体" w:cs="宋体"/>
          <w:color w:val="000000" w:themeColor="text1"/>
          <w:kern w:val="0"/>
          <w:szCs w:val="21"/>
          <w:u w:val="single"/>
          <w14:textFill>
            <w14:solidFill>
              <w14:schemeClr w14:val="tx1"/>
            </w14:solidFill>
          </w14:textFill>
        </w:rPr>
        <w:t xml:space="preserve">                      （盖章）</w:t>
      </w:r>
      <w:r>
        <w:rPr>
          <w:rFonts w:hint="eastAsia" w:ascii="宋体" w:hAnsi="宋体" w:cs="宋体"/>
          <w:color w:val="000000" w:themeColor="text1"/>
          <w:kern w:val="0"/>
          <w:szCs w:val="21"/>
          <w14:textFill>
            <w14:solidFill>
              <w14:schemeClr w14:val="tx1"/>
            </w14:solidFill>
          </w14:textFill>
        </w:rPr>
        <w:t>（联合体各方）</w:t>
      </w:r>
    </w:p>
    <w:p w14:paraId="59064784">
      <w:pPr>
        <w:widowControl/>
        <w:spacing w:line="300" w:lineRule="auto"/>
        <w:ind w:firstLine="490"/>
        <w:jc w:val="left"/>
        <w:rPr>
          <w:rFonts w:hint="eastAsia" w:ascii="宋体" w:hAnsi="宋体" w:cs="宋体"/>
          <w:color w:val="000000" w:themeColor="text1"/>
          <w:kern w:val="0"/>
          <w:szCs w:val="21"/>
          <w14:textFill>
            <w14:solidFill>
              <w14:schemeClr w14:val="tx1"/>
            </w14:solidFill>
          </w14:textFill>
        </w:rPr>
      </w:pPr>
    </w:p>
    <w:p w14:paraId="659838F3">
      <w:pPr>
        <w:widowControl/>
        <w:spacing w:line="300" w:lineRule="auto"/>
        <w:ind w:firstLine="490"/>
        <w:jc w:val="left"/>
        <w:rPr>
          <w:rFonts w:hint="eastAsia" w:ascii="宋体" w:hAnsi="宋体" w:cs="宋体"/>
          <w:color w:val="000000" w:themeColor="text1"/>
          <w:kern w:val="0"/>
          <w:szCs w:val="21"/>
          <w:u w:val="single"/>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法定代表人或其委托代理人：</w:t>
      </w:r>
      <w:r>
        <w:rPr>
          <w:rFonts w:hint="eastAsia" w:ascii="宋体" w:hAnsi="宋体" w:cs="宋体"/>
          <w:color w:val="000000" w:themeColor="text1"/>
          <w14:textFill>
            <w14:solidFill>
              <w14:schemeClr w14:val="tx1"/>
            </w14:solidFill>
          </w14:textFill>
        </w:rPr>
        <w:t>（签字或盖章或电子签章）</w:t>
      </w:r>
    </w:p>
    <w:p w14:paraId="3655DDFF">
      <w:pPr>
        <w:widowControl/>
        <w:spacing w:line="300" w:lineRule="auto"/>
        <w:ind w:firstLine="490"/>
        <w:jc w:val="left"/>
        <w:rPr>
          <w:rFonts w:hint="eastAsia" w:ascii="宋体" w:hAnsi="宋体" w:cs="宋体"/>
          <w:color w:val="000000" w:themeColor="text1"/>
          <w:kern w:val="0"/>
          <w:szCs w:val="21"/>
          <w:u w:val="single"/>
          <w14:textFill>
            <w14:solidFill>
              <w14:schemeClr w14:val="tx1"/>
            </w14:solidFill>
          </w14:textFill>
        </w:rPr>
      </w:pPr>
    </w:p>
    <w:p w14:paraId="28B22EBD">
      <w:pPr>
        <w:widowControl/>
        <w:spacing w:line="300" w:lineRule="auto"/>
        <w:ind w:firstLine="490"/>
        <w:jc w:val="lef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日   期：</w:t>
      </w:r>
    </w:p>
    <w:p w14:paraId="769475D3">
      <w:pPr>
        <w:pStyle w:val="13"/>
        <w:jc w:val="center"/>
        <w:rPr>
          <w:rFonts w:hint="eastAsia" w:ascii="宋体" w:hAnsi="宋体" w:cs="宋体"/>
          <w:b/>
          <w:bCs/>
          <w:color w:val="000000" w:themeColor="text1"/>
          <w14:textFill>
            <w14:solidFill>
              <w14:schemeClr w14:val="tx1"/>
            </w14:solidFill>
          </w14:textFill>
        </w:rPr>
      </w:pPr>
    </w:p>
    <w:p w14:paraId="2C7CFE0B">
      <w:pPr>
        <w:pStyle w:val="13"/>
        <w:jc w:val="center"/>
        <w:rPr>
          <w:rFonts w:hint="eastAsia" w:ascii="宋体" w:hAnsi="宋体" w:cs="宋体"/>
          <w:b/>
          <w:bCs/>
          <w:color w:val="000000" w:themeColor="text1"/>
          <w14:textFill>
            <w14:solidFill>
              <w14:schemeClr w14:val="tx1"/>
            </w14:solidFill>
          </w14:textFill>
        </w:rPr>
      </w:pPr>
    </w:p>
    <w:p w14:paraId="7DD2A576">
      <w:pPr>
        <w:pStyle w:val="4"/>
        <w:ind w:firstLine="138"/>
        <w:jc w:val="center"/>
        <w:rPr>
          <w:rFonts w:hint="eastAsia" w:ascii="宋体" w:eastAsia="宋体" w:cs="宋体"/>
          <w:b/>
          <w:color w:val="000000" w:themeColor="text1"/>
          <w14:textFill>
            <w14:solidFill>
              <w14:schemeClr w14:val="tx1"/>
            </w14:solidFill>
          </w14:textFill>
        </w:rPr>
      </w:pPr>
      <w:bookmarkStart w:id="1898" w:name="_Toc4738"/>
      <w:r>
        <w:rPr>
          <w:rFonts w:hint="eastAsia" w:ascii="宋体" w:eastAsia="宋体" w:cs="宋体"/>
          <w:b/>
          <w:color w:val="000000" w:themeColor="text1"/>
          <w14:textFill>
            <w14:solidFill>
              <w14:schemeClr w14:val="tx1"/>
            </w14:solidFill>
          </w14:textFill>
        </w:rPr>
        <w:t>（二）其他资料</w:t>
      </w:r>
      <w:bookmarkEnd w:id="1898"/>
    </w:p>
    <w:p w14:paraId="69B6FB26">
      <w:pPr>
        <w:snapToGrid w:val="0"/>
        <w:jc w:val="center"/>
        <w:rPr>
          <w:rFonts w:hint="eastAsia" w:ascii="宋体" w:hAnsi="宋体" w:cs="宋体"/>
          <w:color w:val="000000" w:themeColor="text1"/>
          <w14:textFill>
            <w14:solidFill>
              <w14:schemeClr w14:val="tx1"/>
            </w14:solidFill>
          </w14:textFill>
        </w:rPr>
      </w:pPr>
    </w:p>
    <w:p w14:paraId="2FABC379">
      <w:pPr>
        <w:pStyle w:val="13"/>
        <w:jc w:val="center"/>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根据招标文件的要求和投标人认为需要提供的资料（格式自拟）</w:t>
      </w:r>
    </w:p>
    <w:p w14:paraId="608F7692">
      <w:pPr>
        <w:rPr>
          <w:rFonts w:hint="eastAsia" w:ascii="宋体" w:hAnsi="宋体" w:cs="宋体"/>
          <w:color w:val="000000" w:themeColor="text1"/>
          <w:sz w:val="26"/>
          <w:szCs w:val="36"/>
          <w14:textFill>
            <w14:solidFill>
              <w14:schemeClr w14:val="tx1"/>
            </w14:solidFill>
          </w14:textFill>
        </w:rPr>
      </w:pPr>
      <w:r>
        <w:rPr>
          <w:rFonts w:hint="eastAsia" w:ascii="宋体" w:hAnsi="宋体" w:cs="宋体"/>
          <w:color w:val="000000" w:themeColor="text1"/>
          <w:sz w:val="26"/>
          <w:szCs w:val="36"/>
          <w14:textFill>
            <w14:solidFill>
              <w14:schemeClr w14:val="tx1"/>
            </w14:solidFill>
          </w14:textFill>
        </w:rPr>
        <w:br w:type="page"/>
      </w:r>
    </w:p>
    <w:p w14:paraId="07F7DA53">
      <w:pPr>
        <w:numPr>
          <w:ilvl w:val="1"/>
          <w:numId w:val="0"/>
        </w:numPr>
        <w:tabs>
          <w:tab w:val="left" w:pos="750"/>
        </w:tabs>
        <w:spacing w:line="340" w:lineRule="exact"/>
        <w:ind w:firstLine="480" w:firstLineChars="200"/>
        <w:rPr>
          <w:rFonts w:hint="eastAsia" w:ascii="宋体" w:hAnsi="宋体" w:cs="宋体"/>
          <w:b/>
          <w:color w:val="000000" w:themeColor="text1"/>
          <w:sz w:val="24"/>
          <w14:textFill>
            <w14:solidFill>
              <w14:schemeClr w14:val="tx1"/>
            </w14:solidFill>
          </w14:textFill>
        </w:rPr>
      </w:pPr>
    </w:p>
    <w:p w14:paraId="7035A769">
      <w:pPr>
        <w:numPr>
          <w:ilvl w:val="1"/>
          <w:numId w:val="0"/>
        </w:numPr>
        <w:tabs>
          <w:tab w:val="left" w:pos="750"/>
        </w:tabs>
        <w:spacing w:line="600" w:lineRule="exact"/>
        <w:ind w:left="1767" w:hanging="1760" w:hangingChars="400"/>
        <w:outlineLvl w:val="0"/>
        <w:rPr>
          <w:rFonts w:hint="eastAsia" w:ascii="宋体" w:hAnsi="宋体" w:cs="宋体"/>
          <w:b/>
          <w:bCs/>
          <w:color w:val="000000" w:themeColor="text1"/>
          <w:kern w:val="44"/>
          <w:sz w:val="44"/>
          <w:szCs w:val="44"/>
          <w14:textFill>
            <w14:solidFill>
              <w14:schemeClr w14:val="tx1"/>
            </w14:solidFill>
          </w14:textFill>
        </w:rPr>
      </w:pPr>
      <w:bookmarkStart w:id="1899" w:name="_Toc914"/>
      <w:r>
        <w:rPr>
          <w:rFonts w:hint="eastAsia" w:ascii="宋体" w:hAnsi="宋体" w:cs="宋体"/>
          <w:b/>
          <w:bCs/>
          <w:color w:val="000000" w:themeColor="text1"/>
          <w:kern w:val="44"/>
          <w:sz w:val="44"/>
          <w:szCs w:val="44"/>
          <w14:textFill>
            <w14:solidFill>
              <w14:schemeClr w14:val="tx1"/>
            </w14:solidFill>
          </w14:textFill>
        </w:rPr>
        <w:t xml:space="preserve">第八章 </w:t>
      </w:r>
      <w:bookmarkStart w:id="1900" w:name="_Toc12553"/>
      <w:r>
        <w:rPr>
          <w:rFonts w:hint="eastAsia" w:ascii="宋体" w:hAnsi="宋体" w:cs="宋体"/>
          <w:b/>
          <w:bCs/>
          <w:color w:val="000000" w:themeColor="text1"/>
          <w:kern w:val="44"/>
          <w:sz w:val="44"/>
          <w:szCs w:val="44"/>
          <w14:textFill>
            <w14:solidFill>
              <w14:schemeClr w14:val="tx1"/>
            </w14:solidFill>
          </w14:textFill>
        </w:rPr>
        <w:t>云南省公共资源交易电子化招标文件应注明电子化交易的内容</w:t>
      </w:r>
      <w:bookmarkEnd w:id="1899"/>
      <w:bookmarkEnd w:id="1900"/>
    </w:p>
    <w:p w14:paraId="3EA2B872">
      <w:pPr>
        <w:pStyle w:val="16"/>
        <w:rPr>
          <w:rFonts w:hint="eastAsia" w:ascii="宋体" w:hAnsi="宋体" w:cs="宋体"/>
          <w:b/>
          <w:bCs/>
          <w:color w:val="000000" w:themeColor="text1"/>
          <w:szCs w:val="21"/>
          <w14:textFill>
            <w14:solidFill>
              <w14:schemeClr w14:val="tx1"/>
            </w14:solidFill>
          </w14:textFill>
        </w:rPr>
      </w:pPr>
    </w:p>
    <w:p w14:paraId="20CB0351">
      <w:pPr>
        <w:pStyle w:val="16"/>
        <w:rPr>
          <w:rFonts w:hint="eastAsia" w:ascii="宋体" w:hAnsi="宋体" w:cs="宋体"/>
          <w:b/>
          <w:bCs/>
          <w:color w:val="000000" w:themeColor="text1"/>
          <w:szCs w:val="21"/>
          <w14:textFill>
            <w14:solidFill>
              <w14:schemeClr w14:val="tx1"/>
            </w14:solidFill>
          </w14:textFill>
        </w:rPr>
      </w:pPr>
    </w:p>
    <w:p w14:paraId="0A92212E">
      <w:pPr>
        <w:pStyle w:val="16"/>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操作指南详见http://ggzy.yn.gov.cn/ynggfwpt-home-web/#/serviceGuide/index</w:t>
      </w:r>
    </w:p>
    <w:p w14:paraId="11069246">
      <w:pPr>
        <w:pStyle w:val="13"/>
        <w:rPr>
          <w:rFonts w:hint="eastAsia" w:ascii="宋体" w:hAnsi="宋体" w:cs="宋体"/>
          <w:color w:val="000000" w:themeColor="text1"/>
          <w14:textFill>
            <w14:solidFill>
              <w14:schemeClr w14:val="tx1"/>
            </w14:solidFill>
          </w14:textFill>
        </w:rPr>
      </w:pPr>
    </w:p>
    <w:sectPr>
      <w:headerReference r:id="rId14" w:type="default"/>
      <w:footerReference r:id="rId15" w:type="default"/>
      <w:pgSz w:w="11906" w:h="16838"/>
      <w:pgMar w:top="1440" w:right="1134" w:bottom="1440" w:left="1774" w:header="851" w:footer="992" w:gutter="0"/>
      <w:pgNumType w:fmt="decimal"/>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华文中宋">
    <w:altName w:val="宋体"/>
    <w:panose1 w:val="02010600040101010101"/>
    <w:charset w:val="86"/>
    <w:family w:val="auto"/>
    <w:pitch w:val="default"/>
    <w:sig w:usb0="00000000" w:usb1="00000000" w:usb2="00000000" w:usb3="00000000" w:csb0="0004009F" w:csb1="DFD70000"/>
  </w:font>
  <w:font w:name="Tahoma">
    <w:panose1 w:val="020B0604030504040204"/>
    <w:charset w:val="00"/>
    <w:family w:val="swiss"/>
    <w:pitch w:val="default"/>
    <w:sig w:usb0="E1002EFF" w:usb1="C000605B" w:usb2="00000029" w:usb3="00000000" w:csb0="200101FF" w:csb1="2028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80F3C52" w:usb2="00000016" w:usb3="00000000" w:csb0="0004001F" w:csb1="00000000"/>
  </w:font>
  <w:font w:name="Calibri Light">
    <w:altName w:val="Calibri"/>
    <w:panose1 w:val="020F0302020204030204"/>
    <w:charset w:val="00"/>
    <w:family w:val="swiss"/>
    <w:pitch w:val="default"/>
    <w:sig w:usb0="00000000" w:usb1="00000000" w:usb2="00000009" w:usb3="00000000" w:csb0="200001FF" w:csb1="00000000"/>
  </w:font>
  <w:font w:name="Times">
    <w:altName w:val="Times New Roman"/>
    <w:panose1 w:val="02020603050405020304"/>
    <w:charset w:val="00"/>
    <w:family w:val="roman"/>
    <w:pitch w:val="default"/>
    <w:sig w:usb0="00000000" w:usb1="00000000" w:usb2="00000009" w:usb3="00000000" w:csb0="000001FF" w:csb1="00000000"/>
  </w:font>
  <w:font w:name="Gulim">
    <w:panose1 w:val="020B0600000101010101"/>
    <w:charset w:val="81"/>
    <w:family w:val="auto"/>
    <w:pitch w:val="default"/>
    <w:sig w:usb0="B00002AF" w:usb1="69D77CFB" w:usb2="00000030" w:usb3="00000000" w:csb0="4008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73FA24">
    <w:r>
      <w:rPr>
        <w:sz w:val="21"/>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645133">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5B645133">
                    <w:pPr>
                      <w:pStyle w:val="26"/>
                    </w:pPr>
                    <w:r>
                      <w:fldChar w:fldCharType="begin"/>
                    </w:r>
                    <w:r>
                      <w:instrText xml:space="preserve"> PAGE  \* MERGEFORMAT </w:instrText>
                    </w:r>
                    <w:r>
                      <w:fldChar w:fldCharType="separate"/>
                    </w:r>
                    <w:r>
                      <w:t>1</w:t>
                    </w:r>
                    <w:r>
                      <w:fldChar w:fldCharType="end"/>
                    </w:r>
                  </w:p>
                </w:txbxContent>
              </v:textbox>
            </v:shape>
          </w:pict>
        </mc:Fallback>
      </mc:AlternateContent>
    </w:r>
  </w:p>
  <w:p w14:paraId="3C1B6848">
    <w:pPr>
      <w:pStyle w:val="26"/>
      <w:framePr w:wrap="around" w:vAnchor="text" w:hAnchor="margin" w:xAlign="center" w:y="1"/>
      <w:rPr>
        <w:rStyle w:val="45"/>
      </w:rPr>
    </w:pPr>
  </w:p>
  <w:p w14:paraId="780D21E3">
    <w:pPr>
      <w:pStyle w:val="2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D2C79C">
    <w:pPr>
      <w:rPr>
        <w:rFonts w:hint="default"/>
        <w:sz w:val="15"/>
        <w:szCs w:val="15"/>
        <w:lang w:val="en-US"/>
      </w:rPr>
    </w:pPr>
    <w:r>
      <w:rPr>
        <w:sz w:val="15"/>
        <w:szCs w:val="15"/>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653335">
                          <w:pPr>
                            <w:pStyle w:val="26"/>
                            <w:rPr>
                              <w:rStyle w:val="45"/>
                            </w:rPr>
                          </w:pPr>
                          <w:r>
                            <w:fldChar w:fldCharType="begin"/>
                          </w:r>
                          <w:r>
                            <w:rPr>
                              <w:rStyle w:val="45"/>
                            </w:rPr>
                            <w:instrText xml:space="preserve">PAGE  </w:instrText>
                          </w:r>
                          <w:r>
                            <w:fldChar w:fldCharType="separate"/>
                          </w:r>
                          <w:r>
                            <w:rPr>
                              <w:rStyle w:val="45"/>
                            </w:rP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09653335">
                    <w:pPr>
                      <w:pStyle w:val="26"/>
                      <w:rPr>
                        <w:rStyle w:val="45"/>
                      </w:rPr>
                    </w:pPr>
                    <w:r>
                      <w:fldChar w:fldCharType="begin"/>
                    </w:r>
                    <w:r>
                      <w:rPr>
                        <w:rStyle w:val="45"/>
                      </w:rPr>
                      <w:instrText xml:space="preserve">PAGE  </w:instrText>
                    </w:r>
                    <w:r>
                      <w:fldChar w:fldCharType="separate"/>
                    </w:r>
                    <w:r>
                      <w:rPr>
                        <w:rStyle w:val="45"/>
                      </w:rPr>
                      <w:t>1</w:t>
                    </w:r>
                    <w:r>
                      <w:fldChar w:fldCharType="end"/>
                    </w:r>
                  </w:p>
                </w:txbxContent>
              </v:textbox>
            </v:shape>
          </w:pict>
        </mc:Fallback>
      </mc:AlternateContent>
    </w:r>
    <w:r>
      <w:rPr>
        <w:rFonts w:hint="eastAsia"/>
        <w:sz w:val="15"/>
        <w:szCs w:val="15"/>
        <w:lang w:val="en-US" w:eastAsia="zh-CN"/>
      </w:rPr>
      <w:t>红河州建设工程招标有限公司</w:t>
    </w:r>
  </w:p>
  <w:p w14:paraId="2A8C12DB">
    <w:pPr>
      <w:pStyle w:val="26"/>
      <w:framePr w:wrap="around" w:vAnchor="text" w:hAnchor="margin" w:xAlign="center" w:y="1"/>
      <w:rPr>
        <w:rStyle w:val="45"/>
      </w:rPr>
    </w:pPr>
  </w:p>
  <w:p w14:paraId="0037F3A3">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17DEDA">
    <w:pPr>
      <w:pStyle w:val="26"/>
      <w:jc w:val="both"/>
      <w:rPr>
        <w:rFonts w:hint="default"/>
        <w:lang w:val="en-US"/>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9915525">
                          <w:pPr>
                            <w:pStyle w:val="26"/>
                          </w:pPr>
                          <w:r>
                            <w:rPr>
                              <w:rFonts w:hint="eastAsia"/>
                            </w:rPr>
                            <w:fldChar w:fldCharType="begin"/>
                          </w:r>
                          <w:r>
                            <w:rPr>
                              <w:rFonts w:hint="eastAsia"/>
                            </w:rPr>
                            <w:instrText xml:space="preserve"> PAGE  \* MERGEFORMAT </w:instrText>
                          </w:r>
                          <w:r>
                            <w:rPr>
                              <w:rFonts w:hint="eastAsia"/>
                            </w:rPr>
                            <w:fldChar w:fldCharType="separate"/>
                          </w:r>
                          <w:r>
                            <w:t>43</w:t>
                          </w:r>
                          <w:r>
                            <w:rPr>
                              <w:rFonts w:hint="eastAsia"/>
                            </w:rPr>
                            <w:fldChar w:fldCharType="end"/>
                          </w:r>
                        </w:p>
                      </w:txbxContent>
                    </wps:txbx>
                    <wps:bodyPr wrap="none" lIns="0" tIns="0" rIns="0" bIns="0">
                      <a:spAutoFit/>
                    </wps:bodyPr>
                  </wps:wsp>
                </a:graphicData>
              </a:graphic>
            </wp:anchor>
          </w:drawing>
        </mc:Choice>
        <mc:Fallback>
          <w:pict>
            <v:shape id="文本框 1050"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M6pebnPAAAABQEAAA8AAAAAAAAAAQAgAAAAIgAAAGRycy9kb3ducmV2LnhtbFBLAQIU&#10;ABQAAAAIAIdO4kDIVkbVwwEAAJADAAAOAAAAAAAAAAEAIAAAAB4BAABkcnMvZTJvRG9jLnhtbFBL&#10;BQYAAAAABgAGAFkBAABTBQAAAAA=&#10;">
              <v:fill on="f" focussize="0,0"/>
              <v:stroke on="f"/>
              <v:imagedata o:title=""/>
              <o:lock v:ext="edit" aspectratio="f"/>
              <v:textbox inset="0mm,0mm,0mm,0mm" style="mso-fit-shape-to-text:t;">
                <w:txbxContent>
                  <w:p w14:paraId="39915525">
                    <w:pPr>
                      <w:pStyle w:val="26"/>
                    </w:pPr>
                    <w:r>
                      <w:rPr>
                        <w:rFonts w:hint="eastAsia"/>
                      </w:rPr>
                      <w:fldChar w:fldCharType="begin"/>
                    </w:r>
                    <w:r>
                      <w:rPr>
                        <w:rFonts w:hint="eastAsia"/>
                      </w:rPr>
                      <w:instrText xml:space="preserve"> PAGE  \* MERGEFORMAT </w:instrText>
                    </w:r>
                    <w:r>
                      <w:rPr>
                        <w:rFonts w:hint="eastAsia"/>
                      </w:rPr>
                      <w:fldChar w:fldCharType="separate"/>
                    </w:r>
                    <w:r>
                      <w:t>43</w:t>
                    </w:r>
                    <w:r>
                      <w:rPr>
                        <w:rFonts w:hint="eastAsia"/>
                      </w:rPr>
                      <w:fldChar w:fldCharType="end"/>
                    </w:r>
                  </w:p>
                </w:txbxContent>
              </v:textbox>
            </v:shape>
          </w:pict>
        </mc:Fallback>
      </mc:AlternateContent>
    </w:r>
    <w:r>
      <w:rPr>
        <w:rFonts w:hint="eastAsia"/>
        <w:lang w:val="en-US" w:eastAsia="zh-CN"/>
      </w:rPr>
      <w:t>红河州建设工程招标有限公司</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44B30">
    <w:pPr>
      <w:pStyle w:val="26"/>
      <w:ind w:right="36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3C65A43">
                          <w:pPr>
                            <w:pStyle w:val="26"/>
                          </w:pPr>
                          <w:r>
                            <w:rPr>
                              <w:rFonts w:hint="eastAsia"/>
                            </w:rPr>
                            <w:fldChar w:fldCharType="begin"/>
                          </w:r>
                          <w:r>
                            <w:rPr>
                              <w:rFonts w:hint="eastAsia"/>
                            </w:rPr>
                            <w:instrText xml:space="preserve"> PAGE  \* MERGEFORMAT </w:instrText>
                          </w:r>
                          <w:r>
                            <w:rPr>
                              <w:rFonts w:hint="eastAsia"/>
                            </w:rPr>
                            <w:fldChar w:fldCharType="separate"/>
                          </w:r>
                          <w:r>
                            <w:t>42</w:t>
                          </w:r>
                          <w:r>
                            <w:rPr>
                              <w:rFonts w:hint="eastAsia"/>
                            </w:rPr>
                            <w:fldChar w:fldCharType="end"/>
                          </w:r>
                        </w:p>
                      </w:txbxContent>
                    </wps:txbx>
                    <wps:bodyPr wrap="none" lIns="0" tIns="0" rIns="0" bIns="0">
                      <a:spAutoFit/>
                    </wps:bodyPr>
                  </wps:wsp>
                </a:graphicData>
              </a:graphic>
            </wp:anchor>
          </w:drawing>
        </mc:Choice>
        <mc:Fallback>
          <w:pict>
            <v:shape id="文本框 1049"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M6pebnPAAAABQEAAA8AAAAAAAAAAQAgAAAAIgAAAGRycy9kb3ducmV2LnhtbFBLAQIU&#10;ABQAAAAIAIdO4kAaqG9GwwEAAJEDAAAOAAAAAAAAAAEAIAAAAB4BAABkcnMvZTJvRG9jLnhtbFBL&#10;BQYAAAAABgAGAFkBAABTBQAAAAA=&#10;">
              <v:fill on="f" focussize="0,0"/>
              <v:stroke on="f"/>
              <v:imagedata o:title=""/>
              <o:lock v:ext="edit" aspectratio="f"/>
              <v:textbox inset="0mm,0mm,0mm,0mm" style="mso-fit-shape-to-text:t;">
                <w:txbxContent>
                  <w:p w14:paraId="23C65A43">
                    <w:pPr>
                      <w:pStyle w:val="26"/>
                    </w:pPr>
                    <w:r>
                      <w:rPr>
                        <w:rFonts w:hint="eastAsia"/>
                      </w:rPr>
                      <w:fldChar w:fldCharType="begin"/>
                    </w:r>
                    <w:r>
                      <w:rPr>
                        <w:rFonts w:hint="eastAsia"/>
                      </w:rPr>
                      <w:instrText xml:space="preserve"> PAGE  \* MERGEFORMAT </w:instrText>
                    </w:r>
                    <w:r>
                      <w:rPr>
                        <w:rFonts w:hint="eastAsia"/>
                      </w:rPr>
                      <w:fldChar w:fldCharType="separate"/>
                    </w:r>
                    <w:r>
                      <w:t>42</w:t>
                    </w:r>
                    <w:r>
                      <w:rPr>
                        <w:rFonts w:hint="eastAsia"/>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8AE1E0">
    <w:pPr>
      <w:pStyle w:val="26"/>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0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34853A9">
                          <w:pPr>
                            <w:pStyle w:val="26"/>
                          </w:pPr>
                          <w:r>
                            <w:rPr>
                              <w:rFonts w:hint="eastAsia"/>
                            </w:rPr>
                            <w:fldChar w:fldCharType="begin"/>
                          </w:r>
                          <w:r>
                            <w:rPr>
                              <w:rFonts w:hint="eastAsia"/>
                            </w:rPr>
                            <w:instrText xml:space="preserve"> PAGE  \* MERGEFORMAT </w:instrText>
                          </w:r>
                          <w:r>
                            <w:rPr>
                              <w:rFonts w:hint="eastAsia"/>
                            </w:rPr>
                            <w:fldChar w:fldCharType="separate"/>
                          </w:r>
                          <w:r>
                            <w:t>47</w:t>
                          </w:r>
                          <w:r>
                            <w:rPr>
                              <w:rFonts w:hint="eastAsia"/>
                            </w:rPr>
                            <w:fldChar w:fldCharType="end"/>
                          </w:r>
                        </w:p>
                      </w:txbxContent>
                    </wps:txbx>
                    <wps:bodyPr wrap="none" lIns="0" tIns="0" rIns="0" bIns="0">
                      <a:spAutoFit/>
                    </wps:bodyPr>
                  </wps:wsp>
                </a:graphicData>
              </a:graphic>
            </wp:anchor>
          </w:drawing>
        </mc:Choice>
        <mc:Fallback>
          <w:pict>
            <v:shape id="文本框 1051"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H5ayYrFAQAAkQMAAA4AAAAAAAAAAQAgAAAAHgEAAGRycy9lMm9Eb2MueG1s&#10;UEsFBgAAAAAGAAYAWQEAAFUFAAAAAA==&#10;">
              <v:fill on="f" focussize="0,0"/>
              <v:stroke on="f"/>
              <v:imagedata o:title=""/>
              <o:lock v:ext="edit" aspectratio="f"/>
              <v:textbox inset="0mm,0mm,0mm,0mm" style="mso-fit-shape-to-text:t;">
                <w:txbxContent>
                  <w:p w14:paraId="334853A9">
                    <w:pPr>
                      <w:pStyle w:val="26"/>
                    </w:pPr>
                    <w:r>
                      <w:rPr>
                        <w:rFonts w:hint="eastAsia"/>
                      </w:rPr>
                      <w:fldChar w:fldCharType="begin"/>
                    </w:r>
                    <w:r>
                      <w:rPr>
                        <w:rFonts w:hint="eastAsia"/>
                      </w:rPr>
                      <w:instrText xml:space="preserve"> PAGE  \* MERGEFORMAT </w:instrText>
                    </w:r>
                    <w:r>
                      <w:rPr>
                        <w:rFonts w:hint="eastAsia"/>
                      </w:rPr>
                      <w:fldChar w:fldCharType="separate"/>
                    </w:r>
                    <w:r>
                      <w:t>47</w:t>
                    </w:r>
                    <w:r>
                      <w:rPr>
                        <w:rFonts w:hint="eastAsia"/>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431F14">
    <w:pPr>
      <w:pStyle w:val="26"/>
      <w:rPr>
        <w:rFonts w:cs="宋体"/>
      </w:rP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0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7309564">
                          <w:pPr>
                            <w:pStyle w:val="26"/>
                            <w:jc w:val="center"/>
                          </w:pPr>
                          <w:r>
                            <w:rPr>
                              <w:rFonts w:hint="eastAsia"/>
                            </w:rPr>
                            <w:fldChar w:fldCharType="begin"/>
                          </w:r>
                          <w:r>
                            <w:rPr>
                              <w:rFonts w:hint="eastAsia"/>
                            </w:rPr>
                            <w:instrText xml:space="preserve"> PAGE  \* MERGEFORMAT </w:instrText>
                          </w:r>
                          <w:r>
                            <w:rPr>
                              <w:rFonts w:hint="eastAsia"/>
                            </w:rPr>
                            <w:fldChar w:fldCharType="separate"/>
                          </w:r>
                          <w:r>
                            <w:t>122</w:t>
                          </w:r>
                          <w:r>
                            <w:rPr>
                              <w:rFonts w:hint="eastAsia"/>
                            </w:rPr>
                            <w:fldChar w:fldCharType="end"/>
                          </w:r>
                        </w:p>
                      </w:txbxContent>
                    </wps:txbx>
                    <wps:bodyPr wrap="none" lIns="0" tIns="0" rIns="0" bIns="0">
                      <a:spAutoFit/>
                    </wps:bodyPr>
                  </wps:wsp>
                </a:graphicData>
              </a:graphic>
            </wp:anchor>
          </w:drawing>
        </mc:Choice>
        <mc:Fallback>
          <w:pict>
            <v:shape id="文本框 1052"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GWXKlXFAQAAkQMAAA4AAAAAAAAAAQAgAAAAHgEAAGRycy9lMm9Eb2MueG1s&#10;UEsFBgAAAAAGAAYAWQEAAFUFAAAAAA==&#10;">
              <v:fill on="f" focussize="0,0"/>
              <v:stroke on="f"/>
              <v:imagedata o:title=""/>
              <o:lock v:ext="edit" aspectratio="f"/>
              <v:textbox inset="0mm,0mm,0mm,0mm" style="mso-fit-shape-to-text:t;">
                <w:txbxContent>
                  <w:p w14:paraId="57309564">
                    <w:pPr>
                      <w:pStyle w:val="26"/>
                      <w:jc w:val="center"/>
                    </w:pPr>
                    <w:r>
                      <w:rPr>
                        <w:rFonts w:hint="eastAsia"/>
                      </w:rPr>
                      <w:fldChar w:fldCharType="begin"/>
                    </w:r>
                    <w:r>
                      <w:rPr>
                        <w:rFonts w:hint="eastAsia"/>
                      </w:rPr>
                      <w:instrText xml:space="preserve"> PAGE  \* MERGEFORMAT </w:instrText>
                    </w:r>
                    <w:r>
                      <w:rPr>
                        <w:rFonts w:hint="eastAsia"/>
                      </w:rPr>
                      <w:fldChar w:fldCharType="separate"/>
                    </w:r>
                    <w:r>
                      <w:t>122</w:t>
                    </w:r>
                    <w:r>
                      <w:rPr>
                        <w:rFonts w:hint="eastAsia"/>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194B09">
    <w:pPr>
      <w:pStyle w:val="16"/>
      <w:spacing w:line="14" w:lineRule="auto"/>
      <w:rPr>
        <w:sz w:val="20"/>
      </w:rPr>
    </w:pPr>
    <w:r>
      <w:rPr>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5DF536">
                          <w:pPr>
                            <w:pStyle w:val="2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25DF536">
                    <w:pPr>
                      <w:pStyle w:val="2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25001B">
    <w:pPr>
      <w:jc w:val="center"/>
      <w:rPr>
        <w:rFonts w:hint="eastAsia" w:ascii="宋体" w:hAnsi="宋体" w:cs="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3A19407">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165</w:t>
                          </w:r>
                          <w:r>
                            <w:rPr>
                              <w:rFonts w:hint="eastAsia"/>
                              <w:sz w:val="18"/>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ip7u8EBAACN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bkGhLtjwsKln4w6Qk3FcEqF0bRReQ3+vJesp79o+x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pip7u8EBAACNAwAADgAAAAAAAAABACAAAAAeAQAAZHJzL2Uyb0RvYy54bWxQSwUG&#10;AAAAAAYABgBZAQAAUQUAAAAA&#10;">
              <v:fill on="f" focussize="0,0"/>
              <v:stroke on="f"/>
              <v:imagedata o:title=""/>
              <o:lock v:ext="edit" aspectratio="f"/>
              <v:textbox inset="0mm,0mm,0mm,0mm" style="mso-fit-shape-to-text:t;">
                <w:txbxContent>
                  <w:p w14:paraId="73A19407">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165</w:t>
                    </w:r>
                    <w:r>
                      <w:rPr>
                        <w:rFonts w:hint="eastAsia"/>
                        <w:sz w:val="18"/>
                      </w:rPr>
                      <w:fldChar w:fldCharType="end"/>
                    </w:r>
                  </w:p>
                </w:txbxContent>
              </v:textbox>
            </v:shape>
          </w:pict>
        </mc:Fallback>
      </mc:AlternateContent>
    </w:r>
    <w:r>
      <w:rPr>
        <w:rFonts w:hint="eastAsia" w:ascii="宋体" w:hAnsi="宋体" w:cs="宋体"/>
        <w:sz w:val="18"/>
        <w:szCs w:val="18"/>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691F83">
    <w:pPr>
      <w:spacing w:line="360" w:lineRule="auto"/>
      <w:rPr>
        <w:sz w:val="15"/>
        <w:szCs w:val="15"/>
      </w:rPr>
    </w:pPr>
    <w:r>
      <w:rPr>
        <w:rFonts w:hint="eastAsia"/>
        <w:sz w:val="15"/>
        <w:szCs w:val="15"/>
        <w:lang w:eastAsia="zh-CN"/>
      </w:rPr>
      <w:t>蒙自（新亚太）零碳智慧冷链物流产业园区项目勘察、设计、采购、施工总承包（EPC）</w:t>
    </w:r>
    <w:r>
      <w:rPr>
        <w:rFonts w:hint="eastAsia"/>
        <w:sz w:val="15"/>
        <w:szCs w:val="15"/>
        <w:lang w:val="en-US" w:eastAsia="zh-CN"/>
      </w:rPr>
      <w:t xml:space="preserve">                                 </w:t>
    </w:r>
    <w:r>
      <w:rPr>
        <w:rFonts w:hint="eastAsia"/>
        <w:sz w:val="15"/>
        <w:szCs w:val="15"/>
      </w:rPr>
      <w:t xml:space="preserve"> </w:t>
    </w:r>
    <w:r>
      <w:rPr>
        <w:rFonts w:hint="eastAsia"/>
        <w:sz w:val="15"/>
        <w:szCs w:val="15"/>
        <w:lang w:val="en-US" w:eastAsia="zh-CN"/>
      </w:rPr>
      <w:t>招标文件</w:t>
    </w:r>
    <w:r>
      <w:rPr>
        <w:rFonts w:hint="eastAsia"/>
        <w:sz w:val="15"/>
        <w:szCs w:val="15"/>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C21ED1">
    <w:pPr>
      <w:pStyle w:val="2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7767BC">
    <w:pPr>
      <w:pStyle w:val="2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66D6B9">
    <w:pPr>
      <w:pStyle w:val="16"/>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AF5A75">
    <w:pPr>
      <w:pStyle w:val="27"/>
      <w:pBdr>
        <w:bottom w:val="none" w:color="auto" w:sz="0" w:space="0"/>
      </w:pBdr>
      <w:jc w:val="both"/>
      <w:rPr>
        <w:sz w:val="20"/>
        <w:szCs w:val="20"/>
      </w:rPr>
    </w:pPr>
    <w:r>
      <w:rPr>
        <w:rFonts w:hint="eastAsia"/>
        <w:sz w:val="20"/>
        <w:szCs w:val="20"/>
      </w:rPr>
      <w:t xml:space="preserve"> </w:t>
    </w:r>
    <w:r>
      <w:rPr>
        <w:sz w:val="20"/>
        <w:szCs w:val="2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2C9A08"/>
    <w:multiLevelType w:val="multilevel"/>
    <w:tmpl w:val="872C9A08"/>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98ED536A"/>
    <w:multiLevelType w:val="singleLevel"/>
    <w:tmpl w:val="98ED536A"/>
    <w:lvl w:ilvl="0" w:tentative="0">
      <w:start w:val="1"/>
      <w:numFmt w:val="decimal"/>
      <w:suff w:val="nothing"/>
      <w:lvlText w:val="%1、"/>
      <w:lvlJc w:val="left"/>
    </w:lvl>
  </w:abstractNum>
  <w:abstractNum w:abstractNumId="2">
    <w:nsid w:val="B3169F3F"/>
    <w:multiLevelType w:val="singleLevel"/>
    <w:tmpl w:val="B3169F3F"/>
    <w:lvl w:ilvl="0" w:tentative="0">
      <w:start w:val="5"/>
      <w:numFmt w:val="chineseCounting"/>
      <w:suff w:val="space"/>
      <w:lvlText w:val="第%1章"/>
      <w:lvlJc w:val="left"/>
      <w:rPr>
        <w:rFonts w:hint="eastAsia"/>
      </w:rPr>
    </w:lvl>
  </w:abstractNum>
  <w:abstractNum w:abstractNumId="3">
    <w:nsid w:val="E68F9C35"/>
    <w:multiLevelType w:val="singleLevel"/>
    <w:tmpl w:val="E68F9C35"/>
    <w:lvl w:ilvl="0" w:tentative="0">
      <w:start w:val="1"/>
      <w:numFmt w:val="decimal"/>
      <w:suff w:val="nothing"/>
      <w:lvlText w:val="（%1）"/>
      <w:lvlJc w:val="left"/>
    </w:lvl>
  </w:abstractNum>
  <w:abstractNum w:abstractNumId="4">
    <w:nsid w:val="229734FF"/>
    <w:multiLevelType w:val="multilevel"/>
    <w:tmpl w:val="229734FF"/>
    <w:lvl w:ilvl="0" w:tentative="0">
      <w:start w:val="1"/>
      <w:numFmt w:val="decimal"/>
      <w:lvlText w:val="第%1条"/>
      <w:lvlJc w:val="left"/>
      <w:pPr>
        <w:ind w:left="0" w:firstLine="0"/>
      </w:pPr>
    </w:lvl>
    <w:lvl w:ilvl="1" w:tentative="0">
      <w:start w:val="1"/>
      <w:numFmt w:val="decimal"/>
      <w:lvlText w:val="%1.%2"/>
      <w:lvlJc w:val="left"/>
      <w:pPr>
        <w:ind w:left="0" w:firstLine="0"/>
      </w:pPr>
    </w:lvl>
    <w:lvl w:ilvl="2" w:tentative="0">
      <w:start w:val="1"/>
      <w:numFmt w:val="decimal"/>
      <w:lvlText w:val="%1.%2.%3"/>
      <w:lvlJc w:val="left"/>
      <w:pPr>
        <w:ind w:left="0" w:firstLine="0"/>
      </w:pPr>
    </w:lvl>
    <w:lvl w:ilvl="3" w:tentative="0">
      <w:start w:val="1"/>
      <w:numFmt w:val="decimal"/>
      <w:lvlText w:val="%1.%2.%3.%4"/>
      <w:lvlJc w:val="left"/>
      <w:pPr>
        <w:ind w:left="0" w:firstLine="0"/>
      </w:pPr>
    </w:lvl>
    <w:lvl w:ilvl="4" w:tentative="0">
      <w:start w:val="1"/>
      <w:numFmt w:val="decimal"/>
      <w:lvlText w:val="%1.%2.%3.%4.%5"/>
      <w:lvlJc w:val="left"/>
      <w:pPr>
        <w:ind w:left="0" w:firstLine="0"/>
      </w:pPr>
    </w:lvl>
    <w:lvl w:ilvl="5" w:tentative="0">
      <w:start w:val="1"/>
      <w:numFmt w:val="decimal"/>
      <w:lvlText w:val="%1.%2.%3.%4.%5.%6"/>
      <w:lvlJc w:val="left"/>
      <w:pPr>
        <w:ind w:left="0" w:firstLine="0"/>
      </w:pPr>
    </w:lvl>
    <w:lvl w:ilvl="6" w:tentative="0">
      <w:start w:val="1"/>
      <w:numFmt w:val="decimal"/>
      <w:lvlText w:val="%1.%2.%3.%4.%5.%6.%7"/>
      <w:lvlJc w:val="left"/>
      <w:pPr>
        <w:ind w:left="0" w:firstLine="0"/>
      </w:pPr>
    </w:lvl>
    <w:lvl w:ilvl="7" w:tentative="0">
      <w:start w:val="1"/>
      <w:numFmt w:val="decimal"/>
      <w:lvlText w:val="%1.%2.%3.%4.%5.%6.%7.%8"/>
      <w:lvlJc w:val="left"/>
      <w:pPr>
        <w:ind w:left="0" w:firstLine="0"/>
      </w:pPr>
    </w:lvl>
    <w:lvl w:ilvl="8" w:tentative="0">
      <w:start w:val="1"/>
      <w:numFmt w:val="decimal"/>
      <w:lvlText w:val="%1.%2.%3.%4.%5.%6.%7.%8.%9"/>
      <w:lvlJc w:val="left"/>
      <w:pPr>
        <w:ind w:left="0" w:firstLine="0"/>
      </w:pPr>
    </w:lvl>
  </w:abstractNum>
  <w:abstractNum w:abstractNumId="5">
    <w:nsid w:val="244B745F"/>
    <w:multiLevelType w:val="singleLevel"/>
    <w:tmpl w:val="244B745F"/>
    <w:lvl w:ilvl="0" w:tentative="0">
      <w:start w:val="8"/>
      <w:numFmt w:val="chineseCounting"/>
      <w:suff w:val="nothing"/>
      <w:lvlText w:val="%1、"/>
      <w:lvlJc w:val="left"/>
      <w:rPr>
        <w:rFonts w:hint="eastAsia"/>
      </w:rPr>
    </w:lvl>
  </w:abstractNum>
  <w:abstractNum w:abstractNumId="6">
    <w:nsid w:val="28D9536E"/>
    <w:multiLevelType w:val="multilevel"/>
    <w:tmpl w:val="28D9536E"/>
    <w:lvl w:ilvl="0" w:tentative="0">
      <w:start w:val="1"/>
      <w:numFmt w:val="upperLetter"/>
      <w:lvlText w:val="(%1)"/>
      <w:lvlJc w:val="left"/>
      <w:pPr>
        <w:tabs>
          <w:tab w:val="left" w:pos="624"/>
        </w:tabs>
        <w:ind w:left="624" w:hanging="624"/>
      </w:pPr>
    </w:lvl>
    <w:lvl w:ilvl="1" w:tentative="0">
      <w:start w:val="1"/>
      <w:numFmt w:val="upperLetter"/>
      <w:lvlText w:val="(%2)"/>
      <w:lvlJc w:val="left"/>
      <w:pPr>
        <w:tabs>
          <w:tab w:val="left" w:pos="1417"/>
        </w:tabs>
        <w:ind w:left="1417" w:hanging="793"/>
      </w:pPr>
    </w:lvl>
    <w:lvl w:ilvl="2" w:tentative="0">
      <w:start w:val="1"/>
      <w:numFmt w:val="upperLetter"/>
      <w:lvlText w:val="(%3)"/>
      <w:lvlJc w:val="left"/>
      <w:pPr>
        <w:tabs>
          <w:tab w:val="left" w:pos="1928"/>
        </w:tabs>
        <w:ind w:left="1928" w:hanging="511"/>
      </w:pPr>
    </w:lvl>
    <w:lvl w:ilvl="3" w:tentative="0">
      <w:start w:val="1"/>
      <w:numFmt w:val="lowerLetter"/>
      <w:lvlText w:val="(%4)"/>
      <w:lvlJc w:val="left"/>
      <w:pPr>
        <w:tabs>
          <w:tab w:val="left" w:pos="1928"/>
        </w:tabs>
        <w:ind w:left="1928" w:hanging="511"/>
      </w:pPr>
    </w:lvl>
    <w:lvl w:ilvl="4" w:tentative="0">
      <w:start w:val="1"/>
      <w:numFmt w:val="lowerRoman"/>
      <w:pStyle w:val="105"/>
      <w:lvlText w:val="(%5)"/>
      <w:lvlJc w:val="left"/>
      <w:pPr>
        <w:tabs>
          <w:tab w:val="left" w:pos="2438"/>
        </w:tabs>
        <w:ind w:left="2438" w:hanging="510"/>
      </w:pPr>
    </w:lvl>
    <w:lvl w:ilvl="5" w:tentative="0">
      <w:start w:val="1"/>
      <w:numFmt w:val="decimal"/>
      <w:lvlText w:val="(%6)"/>
      <w:lvlJc w:val="left"/>
      <w:pPr>
        <w:tabs>
          <w:tab w:val="left" w:pos="2948"/>
        </w:tabs>
        <w:ind w:left="2948" w:hanging="51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decimal"/>
      <w:lvlRestart w:val="0"/>
      <w:lvlText w:val="SCHEDULE %9"/>
      <w:lvlJc w:val="left"/>
      <w:pPr>
        <w:tabs>
          <w:tab w:val="left" w:pos="0"/>
        </w:tabs>
        <w:ind w:left="0" w:firstLine="0"/>
      </w:pPr>
    </w:lvl>
  </w:abstractNum>
  <w:abstractNum w:abstractNumId="7">
    <w:nsid w:val="301F5202"/>
    <w:multiLevelType w:val="multilevel"/>
    <w:tmpl w:val="301F5202"/>
    <w:lvl w:ilvl="0" w:tentative="0">
      <w:start w:val="1"/>
      <w:numFmt w:val="decimal"/>
      <w:pStyle w:val="134"/>
      <w:lvlText w:val="第%1条"/>
      <w:lvlJc w:val="left"/>
      <w:pPr>
        <w:ind w:left="851" w:firstLine="0"/>
      </w:pPr>
    </w:lvl>
    <w:lvl w:ilvl="1" w:tentative="0">
      <w:start w:val="1"/>
      <w:numFmt w:val="decimal"/>
      <w:lvlText w:val="%1.%2"/>
      <w:lvlJc w:val="left"/>
      <w:pPr>
        <w:ind w:left="991" w:hanging="567"/>
      </w:pPr>
    </w:lvl>
    <w:lvl w:ilvl="2" w:tentative="0">
      <w:start w:val="1"/>
      <w:numFmt w:val="decimal"/>
      <w:lvlText w:val="%1.%2.%3"/>
      <w:lvlJc w:val="left"/>
      <w:pPr>
        <w:ind w:left="2835" w:hanging="567"/>
      </w:pPr>
    </w:lvl>
    <w:lvl w:ilvl="3" w:tentative="0">
      <w:start w:val="1"/>
      <w:numFmt w:val="decimal"/>
      <w:lvlText w:val="%1.%2.%3.%4"/>
      <w:lvlJc w:val="left"/>
      <w:pPr>
        <w:ind w:left="1983" w:hanging="708"/>
      </w:pPr>
    </w:lvl>
    <w:lvl w:ilvl="4" w:tentative="0">
      <w:start w:val="1"/>
      <w:numFmt w:val="decimal"/>
      <w:lvlText w:val="%1.%2.%3.%4.%5"/>
      <w:lvlJc w:val="left"/>
      <w:pPr>
        <w:ind w:left="2550" w:hanging="850"/>
      </w:pPr>
    </w:lvl>
    <w:lvl w:ilvl="5" w:tentative="0">
      <w:start w:val="1"/>
      <w:numFmt w:val="decimal"/>
      <w:lvlText w:val="%1.%2.%3.%4.%5.%6"/>
      <w:lvlJc w:val="left"/>
      <w:pPr>
        <w:ind w:left="3259" w:hanging="1134"/>
      </w:pPr>
    </w:lvl>
    <w:lvl w:ilvl="6" w:tentative="0">
      <w:start w:val="1"/>
      <w:numFmt w:val="decimal"/>
      <w:lvlText w:val="%1.%2.%3.%4.%5.%6.%7"/>
      <w:lvlJc w:val="left"/>
      <w:pPr>
        <w:ind w:left="3826" w:hanging="1276"/>
      </w:pPr>
    </w:lvl>
    <w:lvl w:ilvl="7" w:tentative="0">
      <w:start w:val="1"/>
      <w:numFmt w:val="decimal"/>
      <w:lvlText w:val="%1.%2.%3.%4.%5.%6.%7.%8"/>
      <w:lvlJc w:val="left"/>
      <w:pPr>
        <w:ind w:left="4393" w:hanging="1418"/>
      </w:pPr>
    </w:lvl>
    <w:lvl w:ilvl="8" w:tentative="0">
      <w:start w:val="1"/>
      <w:numFmt w:val="decimal"/>
      <w:lvlText w:val="%1.%2.%3.%4.%5.%6.%7.%8.%9"/>
      <w:lvlJc w:val="left"/>
      <w:pPr>
        <w:ind w:left="5101" w:hanging="1700"/>
      </w:pPr>
    </w:lvl>
  </w:abstractNum>
  <w:abstractNum w:abstractNumId="8">
    <w:nsid w:val="4C7BAA2C"/>
    <w:multiLevelType w:val="singleLevel"/>
    <w:tmpl w:val="4C7BAA2C"/>
    <w:lvl w:ilvl="0" w:tentative="0">
      <w:start w:val="1"/>
      <w:numFmt w:val="decimal"/>
      <w:suff w:val="nothing"/>
      <w:lvlText w:val="（%1）"/>
      <w:lvlJc w:val="left"/>
    </w:lvl>
  </w:abstractNum>
  <w:abstractNum w:abstractNumId="9">
    <w:nsid w:val="5832430F"/>
    <w:multiLevelType w:val="multilevel"/>
    <w:tmpl w:val="5832430F"/>
    <w:lvl w:ilvl="0" w:tentative="0">
      <w:start w:val="1"/>
      <w:numFmt w:val="bullet"/>
      <w:lvlText w:val=""/>
      <w:lvlJc w:val="left"/>
      <w:pPr>
        <w:ind w:left="988" w:hanging="420"/>
      </w:pPr>
      <w:rPr>
        <w:rFonts w:hint="default" w:ascii="Wingdings" w:hAnsi="Wingdings"/>
      </w:rPr>
    </w:lvl>
    <w:lvl w:ilvl="1" w:tentative="0">
      <w:start w:val="1"/>
      <w:numFmt w:val="bullet"/>
      <w:lvlText w:val=""/>
      <w:lvlJc w:val="left"/>
      <w:pPr>
        <w:ind w:left="977" w:hanging="420"/>
      </w:pPr>
      <w:rPr>
        <w:rFonts w:hint="default" w:ascii="Wingdings" w:hAnsi="Wingdings"/>
      </w:rPr>
    </w:lvl>
    <w:lvl w:ilvl="2" w:tentative="0">
      <w:start w:val="1"/>
      <w:numFmt w:val="bullet"/>
      <w:lvlText w:val=""/>
      <w:lvlJc w:val="left"/>
      <w:pPr>
        <w:ind w:left="1397" w:hanging="420"/>
      </w:pPr>
      <w:rPr>
        <w:rFonts w:hint="default" w:ascii="Wingdings" w:hAnsi="Wingdings"/>
      </w:rPr>
    </w:lvl>
    <w:lvl w:ilvl="3" w:tentative="0">
      <w:start w:val="1"/>
      <w:numFmt w:val="bullet"/>
      <w:lvlText w:val=""/>
      <w:lvlJc w:val="left"/>
      <w:pPr>
        <w:ind w:left="1817" w:hanging="420"/>
      </w:pPr>
      <w:rPr>
        <w:rFonts w:hint="default" w:ascii="Wingdings" w:hAnsi="Wingdings"/>
      </w:rPr>
    </w:lvl>
    <w:lvl w:ilvl="4" w:tentative="0">
      <w:start w:val="1"/>
      <w:numFmt w:val="bullet"/>
      <w:lvlText w:val=""/>
      <w:lvlJc w:val="left"/>
      <w:pPr>
        <w:ind w:left="2237" w:hanging="420"/>
      </w:pPr>
      <w:rPr>
        <w:rFonts w:hint="default" w:ascii="Wingdings" w:hAnsi="Wingdings"/>
      </w:rPr>
    </w:lvl>
    <w:lvl w:ilvl="5" w:tentative="0">
      <w:start w:val="1"/>
      <w:numFmt w:val="bullet"/>
      <w:lvlText w:val=""/>
      <w:lvlJc w:val="left"/>
      <w:pPr>
        <w:ind w:left="2657" w:hanging="420"/>
      </w:pPr>
      <w:rPr>
        <w:rFonts w:hint="default" w:ascii="Wingdings" w:hAnsi="Wingdings"/>
      </w:rPr>
    </w:lvl>
    <w:lvl w:ilvl="6" w:tentative="0">
      <w:start w:val="1"/>
      <w:numFmt w:val="bullet"/>
      <w:lvlText w:val=""/>
      <w:lvlJc w:val="left"/>
      <w:pPr>
        <w:ind w:left="3077" w:hanging="420"/>
      </w:pPr>
      <w:rPr>
        <w:rFonts w:hint="default" w:ascii="Wingdings" w:hAnsi="Wingdings"/>
      </w:rPr>
    </w:lvl>
    <w:lvl w:ilvl="7" w:tentative="0">
      <w:start w:val="1"/>
      <w:numFmt w:val="bullet"/>
      <w:lvlText w:val=""/>
      <w:lvlJc w:val="left"/>
      <w:pPr>
        <w:ind w:left="3497" w:hanging="420"/>
      </w:pPr>
      <w:rPr>
        <w:rFonts w:hint="default" w:ascii="Wingdings" w:hAnsi="Wingdings"/>
      </w:rPr>
    </w:lvl>
    <w:lvl w:ilvl="8" w:tentative="0">
      <w:start w:val="1"/>
      <w:numFmt w:val="bullet"/>
      <w:lvlText w:val=""/>
      <w:lvlJc w:val="left"/>
      <w:pPr>
        <w:ind w:left="3917" w:hanging="420"/>
      </w:pPr>
      <w:rPr>
        <w:rFonts w:hint="default" w:ascii="Wingdings" w:hAnsi="Wingdings"/>
      </w:rPr>
    </w:lvl>
  </w:abstractNum>
  <w:abstractNum w:abstractNumId="10">
    <w:nsid w:val="61BD6C99"/>
    <w:multiLevelType w:val="multilevel"/>
    <w:tmpl w:val="61BD6C99"/>
    <w:lvl w:ilvl="0" w:tentative="0">
      <w:start w:val="1"/>
      <w:numFmt w:val="lowerRoman"/>
      <w:pStyle w:val="112"/>
      <w:lvlText w:val="(%1)"/>
      <w:lvlJc w:val="left"/>
      <w:pPr>
        <w:ind w:left="1560" w:hanging="720"/>
      </w:p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1">
    <w:nsid w:val="7770F881"/>
    <w:multiLevelType w:val="singleLevel"/>
    <w:tmpl w:val="7770F881"/>
    <w:lvl w:ilvl="0" w:tentative="0">
      <w:start w:val="1"/>
      <w:numFmt w:val="decimal"/>
      <w:suff w:val="nothing"/>
      <w:lvlText w:val="（%1）"/>
      <w:lvlJc w:val="left"/>
    </w:lvl>
  </w:abstractNum>
  <w:abstractNum w:abstractNumId="12">
    <w:nsid w:val="78825CCA"/>
    <w:multiLevelType w:val="multilevel"/>
    <w:tmpl w:val="78825CCA"/>
    <w:lvl w:ilvl="0" w:tentative="0">
      <w:start w:val="1"/>
      <w:numFmt w:val="japaneseCounting"/>
      <w:lvlText w:val="%1、"/>
      <w:lvlJc w:val="left"/>
      <w:pPr>
        <w:ind w:left="690" w:hanging="69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78DC2B21"/>
    <w:multiLevelType w:val="singleLevel"/>
    <w:tmpl w:val="78DC2B21"/>
    <w:lvl w:ilvl="0" w:tentative="0">
      <w:start w:val="1"/>
      <w:numFmt w:val="decimal"/>
      <w:suff w:val="nothing"/>
      <w:lvlText w:val="（%1）"/>
      <w:lvlJc w:val="left"/>
    </w:lvl>
  </w:abstractNum>
  <w:num w:numId="1">
    <w:abstractNumId w:val="6"/>
  </w:num>
  <w:num w:numId="2">
    <w:abstractNumId w:val="10"/>
  </w:num>
  <w:num w:numId="3">
    <w:abstractNumId w:val="4"/>
    <w:lvlOverride w:ilvl="0">
      <w:lvl w:ilvl="0" w:tentative="1">
        <w:start w:val="1"/>
        <w:numFmt w:val="decimal"/>
        <w:lvlText w:val="第%1条"/>
        <w:lvlJc w:val="left"/>
        <w:pPr>
          <w:ind w:left="0" w:firstLine="0"/>
        </w:pPr>
      </w:lvl>
    </w:lvlOverride>
    <w:lvlOverride w:ilvl="1">
      <w:lvl w:ilvl="1" w:tentative="1">
        <w:start w:val="1"/>
        <w:numFmt w:val="decimal"/>
        <w:lvlText w:val="%1.%2"/>
        <w:lvlJc w:val="left"/>
        <w:pPr>
          <w:ind w:left="1843" w:firstLine="0"/>
        </w:pPr>
      </w:lvl>
    </w:lvlOverride>
    <w:lvlOverride w:ilvl="2">
      <w:lvl w:ilvl="2" w:tentative="1">
        <w:start w:val="1"/>
        <w:numFmt w:val="decimal"/>
        <w:pStyle w:val="114"/>
        <w:lvlText w:val="%1.%2.%3"/>
        <w:lvlJc w:val="left"/>
        <w:pPr>
          <w:ind w:left="2126" w:firstLine="0"/>
        </w:pPr>
      </w:lvl>
    </w:lvlOverride>
    <w:lvlOverride w:ilvl="3">
      <w:lvl w:ilvl="3" w:tentative="1">
        <w:start w:val="1"/>
        <w:numFmt w:val="decimal"/>
        <w:lvlText w:val="%1.%2.%3.%4"/>
        <w:lvlJc w:val="left"/>
        <w:pPr>
          <w:ind w:left="710" w:firstLine="0"/>
        </w:pPr>
      </w:lvl>
    </w:lvlOverride>
    <w:lvlOverride w:ilvl="4">
      <w:lvl w:ilvl="4" w:tentative="1">
        <w:start w:val="1"/>
        <w:numFmt w:val="decimal"/>
        <w:lvlText w:val="%1.%2.%3.%4.%5"/>
        <w:lvlJc w:val="left"/>
        <w:pPr>
          <w:ind w:left="0" w:firstLine="0"/>
        </w:pPr>
      </w:lvl>
    </w:lvlOverride>
    <w:lvlOverride w:ilvl="5">
      <w:lvl w:ilvl="5" w:tentative="1">
        <w:start w:val="1"/>
        <w:numFmt w:val="decimal"/>
        <w:lvlText w:val="%1.%2.%3.%4.%5.%6"/>
        <w:lvlJc w:val="left"/>
        <w:pPr>
          <w:ind w:left="0" w:firstLine="0"/>
        </w:pPr>
      </w:lvl>
    </w:lvlOverride>
    <w:lvlOverride w:ilvl="6">
      <w:lvl w:ilvl="6" w:tentative="1">
        <w:start w:val="1"/>
        <w:numFmt w:val="decimal"/>
        <w:lvlText w:val="%1.%2.%3.%4.%5.%6.%7"/>
        <w:lvlJc w:val="left"/>
        <w:pPr>
          <w:ind w:left="0" w:firstLine="0"/>
        </w:pPr>
      </w:lvl>
    </w:lvlOverride>
    <w:lvlOverride w:ilvl="7">
      <w:lvl w:ilvl="7" w:tentative="1">
        <w:start w:val="1"/>
        <w:numFmt w:val="decimal"/>
        <w:lvlText w:val="%1.%2.%3.%4.%5.%6.%7.%8"/>
        <w:lvlJc w:val="left"/>
        <w:pPr>
          <w:ind w:left="0" w:firstLine="0"/>
        </w:pPr>
      </w:lvl>
    </w:lvlOverride>
    <w:lvlOverride w:ilvl="8">
      <w:lvl w:ilvl="8" w:tentative="1">
        <w:start w:val="1"/>
        <w:numFmt w:val="decimal"/>
        <w:lvlText w:val="%1.%2.%3.%4.%5.%6.%7.%8.%9"/>
        <w:lvlJc w:val="left"/>
        <w:pPr>
          <w:ind w:left="0" w:firstLine="0"/>
        </w:pPr>
      </w:lvl>
    </w:lvlOverride>
  </w:num>
  <w:num w:numId="4">
    <w:abstractNumId w:val="7"/>
  </w:num>
  <w:num w:numId="5">
    <w:abstractNumId w:val="3"/>
  </w:num>
  <w:num w:numId="6">
    <w:abstractNumId w:val="8"/>
  </w:num>
  <w:num w:numId="7">
    <w:abstractNumId w:val="13"/>
  </w:num>
  <w:num w:numId="8">
    <w:abstractNumId w:val="11"/>
  </w:num>
  <w:num w:numId="9">
    <w:abstractNumId w:val="2"/>
  </w:num>
  <w:num w:numId="10">
    <w:abstractNumId w:val="1"/>
  </w:num>
  <w:num w:numId="11">
    <w:abstractNumId w:val="0"/>
  </w:num>
  <w:num w:numId="12">
    <w:abstractNumId w:val="9"/>
  </w:num>
  <w:num w:numId="13">
    <w:abstractNumId w:val="12"/>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Y5NzYxMTVlNmFkMzIyOTdhNjQ3YTFmMzAxMGJlNDcifQ=="/>
    <w:docVar w:name="DocumentID" w:val="{C3A6C12C-CD4B-45E4-AEBF-05738D7C9E11}"/>
    <w:docVar w:name="DocumentName" w:val="弥发改复〔2022〕120号 关于弥勒市弥西哨片区市政道路建设项目可行性研究报告的批复(1)"/>
  </w:docVars>
  <w:rsids>
    <w:rsidRoot w:val="00172A27"/>
    <w:rsid w:val="00002A94"/>
    <w:rsid w:val="000038CC"/>
    <w:rsid w:val="00004192"/>
    <w:rsid w:val="00004BE9"/>
    <w:rsid w:val="00006AAA"/>
    <w:rsid w:val="000070E4"/>
    <w:rsid w:val="00007ECD"/>
    <w:rsid w:val="00010B80"/>
    <w:rsid w:val="00012765"/>
    <w:rsid w:val="00012F10"/>
    <w:rsid w:val="00013C1C"/>
    <w:rsid w:val="00015A58"/>
    <w:rsid w:val="00020B91"/>
    <w:rsid w:val="000212D9"/>
    <w:rsid w:val="000217AE"/>
    <w:rsid w:val="00022588"/>
    <w:rsid w:val="000227C7"/>
    <w:rsid w:val="000254F2"/>
    <w:rsid w:val="00025536"/>
    <w:rsid w:val="000269CD"/>
    <w:rsid w:val="000279E9"/>
    <w:rsid w:val="00030F90"/>
    <w:rsid w:val="000340A0"/>
    <w:rsid w:val="00037030"/>
    <w:rsid w:val="00037345"/>
    <w:rsid w:val="000373CC"/>
    <w:rsid w:val="00037A3C"/>
    <w:rsid w:val="00037FD7"/>
    <w:rsid w:val="00040C39"/>
    <w:rsid w:val="00040D86"/>
    <w:rsid w:val="0004147F"/>
    <w:rsid w:val="00041F85"/>
    <w:rsid w:val="00042738"/>
    <w:rsid w:val="000439D7"/>
    <w:rsid w:val="00045CB6"/>
    <w:rsid w:val="00045EAE"/>
    <w:rsid w:val="00047A80"/>
    <w:rsid w:val="00050CB3"/>
    <w:rsid w:val="00051542"/>
    <w:rsid w:val="000517F0"/>
    <w:rsid w:val="00052286"/>
    <w:rsid w:val="00052BCD"/>
    <w:rsid w:val="000540BD"/>
    <w:rsid w:val="00054812"/>
    <w:rsid w:val="00054DEF"/>
    <w:rsid w:val="0005538A"/>
    <w:rsid w:val="00055510"/>
    <w:rsid w:val="0005628A"/>
    <w:rsid w:val="000565F1"/>
    <w:rsid w:val="0005719B"/>
    <w:rsid w:val="00057AEE"/>
    <w:rsid w:val="00057C8D"/>
    <w:rsid w:val="00061332"/>
    <w:rsid w:val="000634F7"/>
    <w:rsid w:val="00065D16"/>
    <w:rsid w:val="00067300"/>
    <w:rsid w:val="00067562"/>
    <w:rsid w:val="00070292"/>
    <w:rsid w:val="000710F8"/>
    <w:rsid w:val="000713D5"/>
    <w:rsid w:val="00072C34"/>
    <w:rsid w:val="000732FF"/>
    <w:rsid w:val="00075C0B"/>
    <w:rsid w:val="00076750"/>
    <w:rsid w:val="0007685A"/>
    <w:rsid w:val="00076949"/>
    <w:rsid w:val="00076A61"/>
    <w:rsid w:val="0007799F"/>
    <w:rsid w:val="000809CB"/>
    <w:rsid w:val="00080E71"/>
    <w:rsid w:val="0008161B"/>
    <w:rsid w:val="000816ED"/>
    <w:rsid w:val="0008390C"/>
    <w:rsid w:val="00083B5C"/>
    <w:rsid w:val="00084BA7"/>
    <w:rsid w:val="000860B6"/>
    <w:rsid w:val="00086AE4"/>
    <w:rsid w:val="0009315B"/>
    <w:rsid w:val="00093883"/>
    <w:rsid w:val="00093F19"/>
    <w:rsid w:val="00094E69"/>
    <w:rsid w:val="000951C7"/>
    <w:rsid w:val="00096447"/>
    <w:rsid w:val="000966E0"/>
    <w:rsid w:val="000A1DD7"/>
    <w:rsid w:val="000A2540"/>
    <w:rsid w:val="000A5AF2"/>
    <w:rsid w:val="000A63DF"/>
    <w:rsid w:val="000A68DB"/>
    <w:rsid w:val="000B02CF"/>
    <w:rsid w:val="000B09B1"/>
    <w:rsid w:val="000B0D5A"/>
    <w:rsid w:val="000B1098"/>
    <w:rsid w:val="000B12D4"/>
    <w:rsid w:val="000B132F"/>
    <w:rsid w:val="000B1DB8"/>
    <w:rsid w:val="000B2F3E"/>
    <w:rsid w:val="000B4AB1"/>
    <w:rsid w:val="000B4B1B"/>
    <w:rsid w:val="000B591E"/>
    <w:rsid w:val="000B5E06"/>
    <w:rsid w:val="000B6138"/>
    <w:rsid w:val="000B721C"/>
    <w:rsid w:val="000C0679"/>
    <w:rsid w:val="000C13C1"/>
    <w:rsid w:val="000C18C3"/>
    <w:rsid w:val="000C356C"/>
    <w:rsid w:val="000C3856"/>
    <w:rsid w:val="000C398C"/>
    <w:rsid w:val="000C3D80"/>
    <w:rsid w:val="000C465B"/>
    <w:rsid w:val="000C7107"/>
    <w:rsid w:val="000C76FD"/>
    <w:rsid w:val="000C7E99"/>
    <w:rsid w:val="000D260B"/>
    <w:rsid w:val="000D2E68"/>
    <w:rsid w:val="000D2E79"/>
    <w:rsid w:val="000D2ED1"/>
    <w:rsid w:val="000D37C2"/>
    <w:rsid w:val="000D4E80"/>
    <w:rsid w:val="000D5298"/>
    <w:rsid w:val="000D57AC"/>
    <w:rsid w:val="000D73A8"/>
    <w:rsid w:val="000D7758"/>
    <w:rsid w:val="000D7866"/>
    <w:rsid w:val="000E03A5"/>
    <w:rsid w:val="000E305F"/>
    <w:rsid w:val="000E4EEA"/>
    <w:rsid w:val="000E6DB1"/>
    <w:rsid w:val="000E766E"/>
    <w:rsid w:val="000E7A68"/>
    <w:rsid w:val="000F1584"/>
    <w:rsid w:val="000F1C10"/>
    <w:rsid w:val="000F28E9"/>
    <w:rsid w:val="000F3534"/>
    <w:rsid w:val="000F36EC"/>
    <w:rsid w:val="000F3B5A"/>
    <w:rsid w:val="001000DC"/>
    <w:rsid w:val="001004C6"/>
    <w:rsid w:val="001009E4"/>
    <w:rsid w:val="00101171"/>
    <w:rsid w:val="001038C1"/>
    <w:rsid w:val="00103F78"/>
    <w:rsid w:val="00103FD2"/>
    <w:rsid w:val="001047C5"/>
    <w:rsid w:val="001217D3"/>
    <w:rsid w:val="0012237D"/>
    <w:rsid w:val="00122560"/>
    <w:rsid w:val="0012289B"/>
    <w:rsid w:val="001230E3"/>
    <w:rsid w:val="00124A2E"/>
    <w:rsid w:val="00127014"/>
    <w:rsid w:val="001301BB"/>
    <w:rsid w:val="00130F37"/>
    <w:rsid w:val="001337CE"/>
    <w:rsid w:val="00134EB0"/>
    <w:rsid w:val="00135135"/>
    <w:rsid w:val="001370F8"/>
    <w:rsid w:val="0013754B"/>
    <w:rsid w:val="00137C5B"/>
    <w:rsid w:val="00137FA1"/>
    <w:rsid w:val="00140D7F"/>
    <w:rsid w:val="001425C6"/>
    <w:rsid w:val="00145805"/>
    <w:rsid w:val="00145F3E"/>
    <w:rsid w:val="00147DBA"/>
    <w:rsid w:val="00150088"/>
    <w:rsid w:val="001526C4"/>
    <w:rsid w:val="00153A20"/>
    <w:rsid w:val="001548A5"/>
    <w:rsid w:val="00154B31"/>
    <w:rsid w:val="0015578A"/>
    <w:rsid w:val="00157873"/>
    <w:rsid w:val="001621E9"/>
    <w:rsid w:val="00163C12"/>
    <w:rsid w:val="00163D67"/>
    <w:rsid w:val="00163E4A"/>
    <w:rsid w:val="001648DE"/>
    <w:rsid w:val="00165F80"/>
    <w:rsid w:val="001674A7"/>
    <w:rsid w:val="00171362"/>
    <w:rsid w:val="001721A7"/>
    <w:rsid w:val="001726D1"/>
    <w:rsid w:val="00172A27"/>
    <w:rsid w:val="001738E9"/>
    <w:rsid w:val="001742CC"/>
    <w:rsid w:val="0017464B"/>
    <w:rsid w:val="0017529B"/>
    <w:rsid w:val="00176B14"/>
    <w:rsid w:val="00180757"/>
    <w:rsid w:val="0018080E"/>
    <w:rsid w:val="00180EB5"/>
    <w:rsid w:val="0018202B"/>
    <w:rsid w:val="00182B65"/>
    <w:rsid w:val="00182D53"/>
    <w:rsid w:val="001831DB"/>
    <w:rsid w:val="0018337D"/>
    <w:rsid w:val="00183810"/>
    <w:rsid w:val="00183BE9"/>
    <w:rsid w:val="001846DB"/>
    <w:rsid w:val="00184925"/>
    <w:rsid w:val="001863B4"/>
    <w:rsid w:val="0019078C"/>
    <w:rsid w:val="001915EB"/>
    <w:rsid w:val="00191755"/>
    <w:rsid w:val="0019211A"/>
    <w:rsid w:val="00192E26"/>
    <w:rsid w:val="00194EAB"/>
    <w:rsid w:val="001958B1"/>
    <w:rsid w:val="00195A96"/>
    <w:rsid w:val="00195DD4"/>
    <w:rsid w:val="001960EA"/>
    <w:rsid w:val="001972A6"/>
    <w:rsid w:val="00197B0E"/>
    <w:rsid w:val="001A0AE2"/>
    <w:rsid w:val="001A1FA6"/>
    <w:rsid w:val="001A5233"/>
    <w:rsid w:val="001A5426"/>
    <w:rsid w:val="001A5D58"/>
    <w:rsid w:val="001A6947"/>
    <w:rsid w:val="001A6E2B"/>
    <w:rsid w:val="001A73F7"/>
    <w:rsid w:val="001A7738"/>
    <w:rsid w:val="001A795F"/>
    <w:rsid w:val="001A7FD7"/>
    <w:rsid w:val="001B00A1"/>
    <w:rsid w:val="001B04B9"/>
    <w:rsid w:val="001B17F8"/>
    <w:rsid w:val="001B1878"/>
    <w:rsid w:val="001B1C88"/>
    <w:rsid w:val="001B1E50"/>
    <w:rsid w:val="001B1FC4"/>
    <w:rsid w:val="001B2E52"/>
    <w:rsid w:val="001B58AC"/>
    <w:rsid w:val="001B780E"/>
    <w:rsid w:val="001B7AB8"/>
    <w:rsid w:val="001B7CEC"/>
    <w:rsid w:val="001C1DAC"/>
    <w:rsid w:val="001C207D"/>
    <w:rsid w:val="001C2864"/>
    <w:rsid w:val="001C4312"/>
    <w:rsid w:val="001C455A"/>
    <w:rsid w:val="001C5B46"/>
    <w:rsid w:val="001C6314"/>
    <w:rsid w:val="001D055A"/>
    <w:rsid w:val="001D27DA"/>
    <w:rsid w:val="001D2ED0"/>
    <w:rsid w:val="001D3624"/>
    <w:rsid w:val="001D3B00"/>
    <w:rsid w:val="001D426C"/>
    <w:rsid w:val="001D5339"/>
    <w:rsid w:val="001D6A07"/>
    <w:rsid w:val="001E2B03"/>
    <w:rsid w:val="001E357D"/>
    <w:rsid w:val="001E3716"/>
    <w:rsid w:val="001E531D"/>
    <w:rsid w:val="001E5358"/>
    <w:rsid w:val="001E53F0"/>
    <w:rsid w:val="001E696A"/>
    <w:rsid w:val="001E726D"/>
    <w:rsid w:val="001F00C6"/>
    <w:rsid w:val="001F1127"/>
    <w:rsid w:val="001F20D4"/>
    <w:rsid w:val="001F22A4"/>
    <w:rsid w:val="001F2B92"/>
    <w:rsid w:val="001F51A9"/>
    <w:rsid w:val="001F5A5B"/>
    <w:rsid w:val="001F5FD5"/>
    <w:rsid w:val="001F6C33"/>
    <w:rsid w:val="001F760A"/>
    <w:rsid w:val="00200702"/>
    <w:rsid w:val="00200A2C"/>
    <w:rsid w:val="00201A2E"/>
    <w:rsid w:val="002034BC"/>
    <w:rsid w:val="00203B07"/>
    <w:rsid w:val="00204A55"/>
    <w:rsid w:val="00205450"/>
    <w:rsid w:val="0020623D"/>
    <w:rsid w:val="002062C3"/>
    <w:rsid w:val="002067F8"/>
    <w:rsid w:val="00206B5B"/>
    <w:rsid w:val="00206DC3"/>
    <w:rsid w:val="0020769C"/>
    <w:rsid w:val="00207A37"/>
    <w:rsid w:val="002101E2"/>
    <w:rsid w:val="00210945"/>
    <w:rsid w:val="00211677"/>
    <w:rsid w:val="00211B6C"/>
    <w:rsid w:val="0021407E"/>
    <w:rsid w:val="00217E52"/>
    <w:rsid w:val="00220C83"/>
    <w:rsid w:val="00220CE4"/>
    <w:rsid w:val="00221300"/>
    <w:rsid w:val="0022140D"/>
    <w:rsid w:val="00221E82"/>
    <w:rsid w:val="00222121"/>
    <w:rsid w:val="00222744"/>
    <w:rsid w:val="00222795"/>
    <w:rsid w:val="00222EB7"/>
    <w:rsid w:val="00225BD7"/>
    <w:rsid w:val="00225DFE"/>
    <w:rsid w:val="002272AA"/>
    <w:rsid w:val="002275D6"/>
    <w:rsid w:val="0022791C"/>
    <w:rsid w:val="002305E1"/>
    <w:rsid w:val="0023184A"/>
    <w:rsid w:val="002318FE"/>
    <w:rsid w:val="00231E6E"/>
    <w:rsid w:val="00231F2C"/>
    <w:rsid w:val="0023304B"/>
    <w:rsid w:val="002339C0"/>
    <w:rsid w:val="002339C7"/>
    <w:rsid w:val="002355AE"/>
    <w:rsid w:val="00235668"/>
    <w:rsid w:val="0023722A"/>
    <w:rsid w:val="002378C1"/>
    <w:rsid w:val="002379C8"/>
    <w:rsid w:val="00240383"/>
    <w:rsid w:val="00241530"/>
    <w:rsid w:val="002435EC"/>
    <w:rsid w:val="00243D23"/>
    <w:rsid w:val="00244641"/>
    <w:rsid w:val="00244AEB"/>
    <w:rsid w:val="00245E45"/>
    <w:rsid w:val="00246652"/>
    <w:rsid w:val="00246FD8"/>
    <w:rsid w:val="00247B63"/>
    <w:rsid w:val="002525D9"/>
    <w:rsid w:val="00257CC6"/>
    <w:rsid w:val="00262531"/>
    <w:rsid w:val="002628AF"/>
    <w:rsid w:val="00262B36"/>
    <w:rsid w:val="00263AE3"/>
    <w:rsid w:val="002647D0"/>
    <w:rsid w:val="00264CD0"/>
    <w:rsid w:val="00270359"/>
    <w:rsid w:val="0027143A"/>
    <w:rsid w:val="00271D88"/>
    <w:rsid w:val="00273F3C"/>
    <w:rsid w:val="0027437A"/>
    <w:rsid w:val="002750B2"/>
    <w:rsid w:val="0027636B"/>
    <w:rsid w:val="00277775"/>
    <w:rsid w:val="00280B89"/>
    <w:rsid w:val="002815D9"/>
    <w:rsid w:val="00281635"/>
    <w:rsid w:val="00284E1A"/>
    <w:rsid w:val="00287D28"/>
    <w:rsid w:val="00290AEA"/>
    <w:rsid w:val="00290E15"/>
    <w:rsid w:val="0029179C"/>
    <w:rsid w:val="00291884"/>
    <w:rsid w:val="0029265B"/>
    <w:rsid w:val="00296E70"/>
    <w:rsid w:val="00297282"/>
    <w:rsid w:val="00297609"/>
    <w:rsid w:val="00297A08"/>
    <w:rsid w:val="002A014D"/>
    <w:rsid w:val="002A0C7E"/>
    <w:rsid w:val="002A11B3"/>
    <w:rsid w:val="002A1774"/>
    <w:rsid w:val="002A4E4E"/>
    <w:rsid w:val="002A5C8E"/>
    <w:rsid w:val="002A708D"/>
    <w:rsid w:val="002A7D69"/>
    <w:rsid w:val="002B0746"/>
    <w:rsid w:val="002B191C"/>
    <w:rsid w:val="002B37AB"/>
    <w:rsid w:val="002B479E"/>
    <w:rsid w:val="002B591E"/>
    <w:rsid w:val="002B5E46"/>
    <w:rsid w:val="002C205D"/>
    <w:rsid w:val="002C21AE"/>
    <w:rsid w:val="002C32A6"/>
    <w:rsid w:val="002C4D09"/>
    <w:rsid w:val="002C5969"/>
    <w:rsid w:val="002C6685"/>
    <w:rsid w:val="002C66B7"/>
    <w:rsid w:val="002C768B"/>
    <w:rsid w:val="002C7CD4"/>
    <w:rsid w:val="002D0FEA"/>
    <w:rsid w:val="002D1DF8"/>
    <w:rsid w:val="002D460F"/>
    <w:rsid w:val="002D48B2"/>
    <w:rsid w:val="002D5D53"/>
    <w:rsid w:val="002D67F6"/>
    <w:rsid w:val="002D6C76"/>
    <w:rsid w:val="002D7826"/>
    <w:rsid w:val="002D79DC"/>
    <w:rsid w:val="002E3762"/>
    <w:rsid w:val="002E5D47"/>
    <w:rsid w:val="002E6ACF"/>
    <w:rsid w:val="002E70F6"/>
    <w:rsid w:val="002F0379"/>
    <w:rsid w:val="002F0E29"/>
    <w:rsid w:val="002F12B0"/>
    <w:rsid w:val="002F1FD5"/>
    <w:rsid w:val="002F3CBC"/>
    <w:rsid w:val="002F4508"/>
    <w:rsid w:val="002F5427"/>
    <w:rsid w:val="002F6494"/>
    <w:rsid w:val="002F6D18"/>
    <w:rsid w:val="002F7992"/>
    <w:rsid w:val="00303163"/>
    <w:rsid w:val="00306147"/>
    <w:rsid w:val="0030764B"/>
    <w:rsid w:val="0030789A"/>
    <w:rsid w:val="00307C05"/>
    <w:rsid w:val="003111E4"/>
    <w:rsid w:val="00315277"/>
    <w:rsid w:val="0031606C"/>
    <w:rsid w:val="00316419"/>
    <w:rsid w:val="00321323"/>
    <w:rsid w:val="003215CE"/>
    <w:rsid w:val="00321B99"/>
    <w:rsid w:val="00322176"/>
    <w:rsid w:val="00322DEA"/>
    <w:rsid w:val="00323161"/>
    <w:rsid w:val="003232E2"/>
    <w:rsid w:val="00324D6B"/>
    <w:rsid w:val="003259A2"/>
    <w:rsid w:val="00325DA4"/>
    <w:rsid w:val="00326102"/>
    <w:rsid w:val="00326BAE"/>
    <w:rsid w:val="0033159C"/>
    <w:rsid w:val="00331737"/>
    <w:rsid w:val="00332BC1"/>
    <w:rsid w:val="0033360F"/>
    <w:rsid w:val="00334DC6"/>
    <w:rsid w:val="00334FE7"/>
    <w:rsid w:val="00335199"/>
    <w:rsid w:val="003363DC"/>
    <w:rsid w:val="0033750C"/>
    <w:rsid w:val="00337758"/>
    <w:rsid w:val="0033787A"/>
    <w:rsid w:val="00340269"/>
    <w:rsid w:val="003403A7"/>
    <w:rsid w:val="0034273B"/>
    <w:rsid w:val="00343559"/>
    <w:rsid w:val="00346FF7"/>
    <w:rsid w:val="0035089B"/>
    <w:rsid w:val="00352C4E"/>
    <w:rsid w:val="00354C8F"/>
    <w:rsid w:val="00355DA0"/>
    <w:rsid w:val="00356CC6"/>
    <w:rsid w:val="00357966"/>
    <w:rsid w:val="00357E2B"/>
    <w:rsid w:val="00357EDE"/>
    <w:rsid w:val="00360C90"/>
    <w:rsid w:val="00362914"/>
    <w:rsid w:val="00363E34"/>
    <w:rsid w:val="003643F0"/>
    <w:rsid w:val="0036548A"/>
    <w:rsid w:val="0036599B"/>
    <w:rsid w:val="00365F4B"/>
    <w:rsid w:val="00370468"/>
    <w:rsid w:val="003713F8"/>
    <w:rsid w:val="00371FAF"/>
    <w:rsid w:val="003730A2"/>
    <w:rsid w:val="0037473C"/>
    <w:rsid w:val="00376E84"/>
    <w:rsid w:val="003809E5"/>
    <w:rsid w:val="0038226B"/>
    <w:rsid w:val="003833C0"/>
    <w:rsid w:val="00383730"/>
    <w:rsid w:val="0038439E"/>
    <w:rsid w:val="00384FF0"/>
    <w:rsid w:val="0038775B"/>
    <w:rsid w:val="0039204F"/>
    <w:rsid w:val="00392A3E"/>
    <w:rsid w:val="0039316D"/>
    <w:rsid w:val="00393615"/>
    <w:rsid w:val="00393C1D"/>
    <w:rsid w:val="00394C40"/>
    <w:rsid w:val="00397E24"/>
    <w:rsid w:val="003A03C1"/>
    <w:rsid w:val="003A0578"/>
    <w:rsid w:val="003A0DD2"/>
    <w:rsid w:val="003A1549"/>
    <w:rsid w:val="003A48D3"/>
    <w:rsid w:val="003A4B3E"/>
    <w:rsid w:val="003A52C5"/>
    <w:rsid w:val="003A55F0"/>
    <w:rsid w:val="003A64F3"/>
    <w:rsid w:val="003A6CB9"/>
    <w:rsid w:val="003B17DC"/>
    <w:rsid w:val="003B2EFD"/>
    <w:rsid w:val="003B3C70"/>
    <w:rsid w:val="003B6402"/>
    <w:rsid w:val="003B70D0"/>
    <w:rsid w:val="003C0AEC"/>
    <w:rsid w:val="003C0E68"/>
    <w:rsid w:val="003C1656"/>
    <w:rsid w:val="003C362B"/>
    <w:rsid w:val="003C5AE5"/>
    <w:rsid w:val="003C5F3D"/>
    <w:rsid w:val="003C6680"/>
    <w:rsid w:val="003C668B"/>
    <w:rsid w:val="003C67E9"/>
    <w:rsid w:val="003C6F45"/>
    <w:rsid w:val="003D05A0"/>
    <w:rsid w:val="003D1311"/>
    <w:rsid w:val="003D2056"/>
    <w:rsid w:val="003D29EF"/>
    <w:rsid w:val="003D4DFC"/>
    <w:rsid w:val="003D51DA"/>
    <w:rsid w:val="003D6356"/>
    <w:rsid w:val="003D677A"/>
    <w:rsid w:val="003D6E09"/>
    <w:rsid w:val="003D7F51"/>
    <w:rsid w:val="003E011C"/>
    <w:rsid w:val="003E0460"/>
    <w:rsid w:val="003E08CE"/>
    <w:rsid w:val="003E0AA0"/>
    <w:rsid w:val="003E0EC4"/>
    <w:rsid w:val="003E17AF"/>
    <w:rsid w:val="003E1995"/>
    <w:rsid w:val="003E2F1A"/>
    <w:rsid w:val="003E40D8"/>
    <w:rsid w:val="003E4C47"/>
    <w:rsid w:val="003E6082"/>
    <w:rsid w:val="003E6870"/>
    <w:rsid w:val="003F0C1D"/>
    <w:rsid w:val="003F1924"/>
    <w:rsid w:val="003F4861"/>
    <w:rsid w:val="003F4F0C"/>
    <w:rsid w:val="003F73B3"/>
    <w:rsid w:val="003F746F"/>
    <w:rsid w:val="004014AC"/>
    <w:rsid w:val="004027B1"/>
    <w:rsid w:val="00403373"/>
    <w:rsid w:val="00404CE9"/>
    <w:rsid w:val="00407FD6"/>
    <w:rsid w:val="00411B8D"/>
    <w:rsid w:val="0041234E"/>
    <w:rsid w:val="00412F03"/>
    <w:rsid w:val="00414814"/>
    <w:rsid w:val="00414B45"/>
    <w:rsid w:val="0041552D"/>
    <w:rsid w:val="00415914"/>
    <w:rsid w:val="00415E39"/>
    <w:rsid w:val="0041619C"/>
    <w:rsid w:val="004165A0"/>
    <w:rsid w:val="0041665C"/>
    <w:rsid w:val="0041682A"/>
    <w:rsid w:val="004208B7"/>
    <w:rsid w:val="00421601"/>
    <w:rsid w:val="00421A38"/>
    <w:rsid w:val="00421DFB"/>
    <w:rsid w:val="0042276E"/>
    <w:rsid w:val="00422AC8"/>
    <w:rsid w:val="00422F2B"/>
    <w:rsid w:val="00424CD1"/>
    <w:rsid w:val="00424D4C"/>
    <w:rsid w:val="004262A1"/>
    <w:rsid w:val="00426DD9"/>
    <w:rsid w:val="004309F6"/>
    <w:rsid w:val="00431367"/>
    <w:rsid w:val="00432690"/>
    <w:rsid w:val="00432C1D"/>
    <w:rsid w:val="004345B5"/>
    <w:rsid w:val="00434777"/>
    <w:rsid w:val="00435C08"/>
    <w:rsid w:val="00440B38"/>
    <w:rsid w:val="0044232D"/>
    <w:rsid w:val="00443886"/>
    <w:rsid w:val="00444E0E"/>
    <w:rsid w:val="00445787"/>
    <w:rsid w:val="00446F80"/>
    <w:rsid w:val="00450105"/>
    <w:rsid w:val="004524C0"/>
    <w:rsid w:val="0045278F"/>
    <w:rsid w:val="00452BA1"/>
    <w:rsid w:val="004534A4"/>
    <w:rsid w:val="0045474A"/>
    <w:rsid w:val="0045480D"/>
    <w:rsid w:val="004558E3"/>
    <w:rsid w:val="00462087"/>
    <w:rsid w:val="00463A97"/>
    <w:rsid w:val="00463ADF"/>
    <w:rsid w:val="00464D3A"/>
    <w:rsid w:val="004651E9"/>
    <w:rsid w:val="004651F3"/>
    <w:rsid w:val="004662EA"/>
    <w:rsid w:val="00470EDE"/>
    <w:rsid w:val="00473383"/>
    <w:rsid w:val="0047395E"/>
    <w:rsid w:val="00473B25"/>
    <w:rsid w:val="00473ED5"/>
    <w:rsid w:val="00474C07"/>
    <w:rsid w:val="00475B8C"/>
    <w:rsid w:val="004806C3"/>
    <w:rsid w:val="00482188"/>
    <w:rsid w:val="00482FEA"/>
    <w:rsid w:val="00483233"/>
    <w:rsid w:val="0048419D"/>
    <w:rsid w:val="004841FC"/>
    <w:rsid w:val="004843CB"/>
    <w:rsid w:val="00484909"/>
    <w:rsid w:val="0048554F"/>
    <w:rsid w:val="004855A3"/>
    <w:rsid w:val="00486397"/>
    <w:rsid w:val="00486478"/>
    <w:rsid w:val="0048733A"/>
    <w:rsid w:val="00487797"/>
    <w:rsid w:val="00487AD9"/>
    <w:rsid w:val="004905B3"/>
    <w:rsid w:val="0049074B"/>
    <w:rsid w:val="004908D7"/>
    <w:rsid w:val="00490F76"/>
    <w:rsid w:val="004915BA"/>
    <w:rsid w:val="00491682"/>
    <w:rsid w:val="00491BFD"/>
    <w:rsid w:val="00493949"/>
    <w:rsid w:val="00493CE7"/>
    <w:rsid w:val="004977F1"/>
    <w:rsid w:val="00497AC6"/>
    <w:rsid w:val="004A039E"/>
    <w:rsid w:val="004A24C7"/>
    <w:rsid w:val="004A3CDD"/>
    <w:rsid w:val="004A3E58"/>
    <w:rsid w:val="004A3EA4"/>
    <w:rsid w:val="004A5D41"/>
    <w:rsid w:val="004B0193"/>
    <w:rsid w:val="004B0523"/>
    <w:rsid w:val="004B052A"/>
    <w:rsid w:val="004B1248"/>
    <w:rsid w:val="004B2D54"/>
    <w:rsid w:val="004B426A"/>
    <w:rsid w:val="004B4C0F"/>
    <w:rsid w:val="004B5929"/>
    <w:rsid w:val="004B60CE"/>
    <w:rsid w:val="004B6126"/>
    <w:rsid w:val="004B6C50"/>
    <w:rsid w:val="004B74BB"/>
    <w:rsid w:val="004C2909"/>
    <w:rsid w:val="004C648F"/>
    <w:rsid w:val="004C6A54"/>
    <w:rsid w:val="004C7C70"/>
    <w:rsid w:val="004C7DC2"/>
    <w:rsid w:val="004C7F61"/>
    <w:rsid w:val="004D053A"/>
    <w:rsid w:val="004D0E59"/>
    <w:rsid w:val="004D1BCF"/>
    <w:rsid w:val="004D210A"/>
    <w:rsid w:val="004D2727"/>
    <w:rsid w:val="004D2E9C"/>
    <w:rsid w:val="004D4C44"/>
    <w:rsid w:val="004D53FD"/>
    <w:rsid w:val="004D5A78"/>
    <w:rsid w:val="004D6A2D"/>
    <w:rsid w:val="004D7900"/>
    <w:rsid w:val="004E0BA0"/>
    <w:rsid w:val="004E1027"/>
    <w:rsid w:val="004E4A3A"/>
    <w:rsid w:val="004E5272"/>
    <w:rsid w:val="004E538B"/>
    <w:rsid w:val="004E57DB"/>
    <w:rsid w:val="004E5FB1"/>
    <w:rsid w:val="004E63A0"/>
    <w:rsid w:val="004E6F11"/>
    <w:rsid w:val="004E74BC"/>
    <w:rsid w:val="004E7CF5"/>
    <w:rsid w:val="004F11B2"/>
    <w:rsid w:val="004F2083"/>
    <w:rsid w:val="004F3E35"/>
    <w:rsid w:val="004F42BD"/>
    <w:rsid w:val="004F4CFB"/>
    <w:rsid w:val="004F4D7A"/>
    <w:rsid w:val="004F57E5"/>
    <w:rsid w:val="004F58B1"/>
    <w:rsid w:val="005004EF"/>
    <w:rsid w:val="00504514"/>
    <w:rsid w:val="00507D55"/>
    <w:rsid w:val="00507F79"/>
    <w:rsid w:val="00511AAC"/>
    <w:rsid w:val="005132A1"/>
    <w:rsid w:val="00513A5F"/>
    <w:rsid w:val="00513FEA"/>
    <w:rsid w:val="00514E6B"/>
    <w:rsid w:val="00515025"/>
    <w:rsid w:val="00515FE0"/>
    <w:rsid w:val="005161FF"/>
    <w:rsid w:val="0051642C"/>
    <w:rsid w:val="00517849"/>
    <w:rsid w:val="00517996"/>
    <w:rsid w:val="00520AB8"/>
    <w:rsid w:val="00521646"/>
    <w:rsid w:val="0052285E"/>
    <w:rsid w:val="00523E13"/>
    <w:rsid w:val="00525394"/>
    <w:rsid w:val="00525520"/>
    <w:rsid w:val="00527984"/>
    <w:rsid w:val="00530E95"/>
    <w:rsid w:val="00532678"/>
    <w:rsid w:val="00533293"/>
    <w:rsid w:val="00534828"/>
    <w:rsid w:val="0053570D"/>
    <w:rsid w:val="00535B0C"/>
    <w:rsid w:val="0053684D"/>
    <w:rsid w:val="0053731F"/>
    <w:rsid w:val="00537B70"/>
    <w:rsid w:val="005411DB"/>
    <w:rsid w:val="0054156B"/>
    <w:rsid w:val="00541798"/>
    <w:rsid w:val="00542184"/>
    <w:rsid w:val="005422A0"/>
    <w:rsid w:val="005425D2"/>
    <w:rsid w:val="005429BA"/>
    <w:rsid w:val="00543B38"/>
    <w:rsid w:val="005440AD"/>
    <w:rsid w:val="00545392"/>
    <w:rsid w:val="005456E6"/>
    <w:rsid w:val="0054621E"/>
    <w:rsid w:val="00546879"/>
    <w:rsid w:val="00551177"/>
    <w:rsid w:val="00551C77"/>
    <w:rsid w:val="0055208D"/>
    <w:rsid w:val="0055227D"/>
    <w:rsid w:val="00552A61"/>
    <w:rsid w:val="00553805"/>
    <w:rsid w:val="00554930"/>
    <w:rsid w:val="00554DB9"/>
    <w:rsid w:val="00555DED"/>
    <w:rsid w:val="00557651"/>
    <w:rsid w:val="00557E4A"/>
    <w:rsid w:val="00560189"/>
    <w:rsid w:val="00562225"/>
    <w:rsid w:val="00562544"/>
    <w:rsid w:val="00563025"/>
    <w:rsid w:val="00563668"/>
    <w:rsid w:val="00565FEA"/>
    <w:rsid w:val="00570347"/>
    <w:rsid w:val="005723BC"/>
    <w:rsid w:val="00572A02"/>
    <w:rsid w:val="00572AC4"/>
    <w:rsid w:val="005735DB"/>
    <w:rsid w:val="0057382F"/>
    <w:rsid w:val="00574236"/>
    <w:rsid w:val="00575320"/>
    <w:rsid w:val="005758D4"/>
    <w:rsid w:val="00575AEB"/>
    <w:rsid w:val="00577A4F"/>
    <w:rsid w:val="00577F4D"/>
    <w:rsid w:val="00580DE8"/>
    <w:rsid w:val="00581888"/>
    <w:rsid w:val="0058218C"/>
    <w:rsid w:val="0058449A"/>
    <w:rsid w:val="00585934"/>
    <w:rsid w:val="00585DAD"/>
    <w:rsid w:val="0058679B"/>
    <w:rsid w:val="00586D50"/>
    <w:rsid w:val="0058721C"/>
    <w:rsid w:val="0058780E"/>
    <w:rsid w:val="005878BA"/>
    <w:rsid w:val="0059143F"/>
    <w:rsid w:val="005922E2"/>
    <w:rsid w:val="00593A69"/>
    <w:rsid w:val="00595055"/>
    <w:rsid w:val="00595AAD"/>
    <w:rsid w:val="0059635E"/>
    <w:rsid w:val="00596D72"/>
    <w:rsid w:val="005A062D"/>
    <w:rsid w:val="005A0772"/>
    <w:rsid w:val="005A080A"/>
    <w:rsid w:val="005A0D6C"/>
    <w:rsid w:val="005A0E84"/>
    <w:rsid w:val="005A17B7"/>
    <w:rsid w:val="005A1B8A"/>
    <w:rsid w:val="005A2157"/>
    <w:rsid w:val="005A398A"/>
    <w:rsid w:val="005A3A25"/>
    <w:rsid w:val="005A406D"/>
    <w:rsid w:val="005A7354"/>
    <w:rsid w:val="005B02EE"/>
    <w:rsid w:val="005B0509"/>
    <w:rsid w:val="005B1BA3"/>
    <w:rsid w:val="005B1C09"/>
    <w:rsid w:val="005B230F"/>
    <w:rsid w:val="005B28BF"/>
    <w:rsid w:val="005B2F1E"/>
    <w:rsid w:val="005B5AE0"/>
    <w:rsid w:val="005B6221"/>
    <w:rsid w:val="005B63C2"/>
    <w:rsid w:val="005B7FA6"/>
    <w:rsid w:val="005C082A"/>
    <w:rsid w:val="005C088A"/>
    <w:rsid w:val="005C3FBC"/>
    <w:rsid w:val="005C4F3D"/>
    <w:rsid w:val="005C5538"/>
    <w:rsid w:val="005C5B26"/>
    <w:rsid w:val="005C5D55"/>
    <w:rsid w:val="005C692E"/>
    <w:rsid w:val="005C7844"/>
    <w:rsid w:val="005C7D53"/>
    <w:rsid w:val="005C7FC9"/>
    <w:rsid w:val="005D0451"/>
    <w:rsid w:val="005D1592"/>
    <w:rsid w:val="005D1C4F"/>
    <w:rsid w:val="005D282B"/>
    <w:rsid w:val="005D5573"/>
    <w:rsid w:val="005E02AB"/>
    <w:rsid w:val="005E4F50"/>
    <w:rsid w:val="005E6B8F"/>
    <w:rsid w:val="005E7CC7"/>
    <w:rsid w:val="005F028B"/>
    <w:rsid w:val="005F0C0C"/>
    <w:rsid w:val="005F2EC6"/>
    <w:rsid w:val="005F6164"/>
    <w:rsid w:val="005F6463"/>
    <w:rsid w:val="005F662B"/>
    <w:rsid w:val="005F7C37"/>
    <w:rsid w:val="006009F1"/>
    <w:rsid w:val="006030EB"/>
    <w:rsid w:val="00604A6A"/>
    <w:rsid w:val="00604D09"/>
    <w:rsid w:val="006051FF"/>
    <w:rsid w:val="00605D78"/>
    <w:rsid w:val="00606A5C"/>
    <w:rsid w:val="0060785C"/>
    <w:rsid w:val="006105B4"/>
    <w:rsid w:val="0061109D"/>
    <w:rsid w:val="00612D70"/>
    <w:rsid w:val="006133D9"/>
    <w:rsid w:val="006136D8"/>
    <w:rsid w:val="00613B4B"/>
    <w:rsid w:val="006154D5"/>
    <w:rsid w:val="00620071"/>
    <w:rsid w:val="0062024D"/>
    <w:rsid w:val="006205D0"/>
    <w:rsid w:val="006212E9"/>
    <w:rsid w:val="00623912"/>
    <w:rsid w:val="00623D44"/>
    <w:rsid w:val="006244DB"/>
    <w:rsid w:val="006265F2"/>
    <w:rsid w:val="006311BB"/>
    <w:rsid w:val="006322C7"/>
    <w:rsid w:val="00632B4B"/>
    <w:rsid w:val="00633253"/>
    <w:rsid w:val="006334CE"/>
    <w:rsid w:val="0063437A"/>
    <w:rsid w:val="00635BA0"/>
    <w:rsid w:val="00635C8C"/>
    <w:rsid w:val="006364A0"/>
    <w:rsid w:val="006403E0"/>
    <w:rsid w:val="0064082E"/>
    <w:rsid w:val="00642A8B"/>
    <w:rsid w:val="00643B7F"/>
    <w:rsid w:val="00645049"/>
    <w:rsid w:val="0064745F"/>
    <w:rsid w:val="00647D40"/>
    <w:rsid w:val="00647EDC"/>
    <w:rsid w:val="00650D66"/>
    <w:rsid w:val="00654018"/>
    <w:rsid w:val="0065495E"/>
    <w:rsid w:val="00655CB9"/>
    <w:rsid w:val="00655E8F"/>
    <w:rsid w:val="00656D48"/>
    <w:rsid w:val="00656FA5"/>
    <w:rsid w:val="006571F5"/>
    <w:rsid w:val="00657A40"/>
    <w:rsid w:val="00660059"/>
    <w:rsid w:val="006613DD"/>
    <w:rsid w:val="00663DBD"/>
    <w:rsid w:val="006647AC"/>
    <w:rsid w:val="00665D6B"/>
    <w:rsid w:val="006674C8"/>
    <w:rsid w:val="00667CCF"/>
    <w:rsid w:val="00667F51"/>
    <w:rsid w:val="0067022D"/>
    <w:rsid w:val="00671D15"/>
    <w:rsid w:val="00674031"/>
    <w:rsid w:val="006750CF"/>
    <w:rsid w:val="006755A8"/>
    <w:rsid w:val="006759B8"/>
    <w:rsid w:val="0067650B"/>
    <w:rsid w:val="006821DA"/>
    <w:rsid w:val="00682648"/>
    <w:rsid w:val="0068338A"/>
    <w:rsid w:val="0068483E"/>
    <w:rsid w:val="00685BBF"/>
    <w:rsid w:val="00685C95"/>
    <w:rsid w:val="0068723E"/>
    <w:rsid w:val="00687685"/>
    <w:rsid w:val="00687DFD"/>
    <w:rsid w:val="0069061F"/>
    <w:rsid w:val="006911E9"/>
    <w:rsid w:val="00691872"/>
    <w:rsid w:val="006918C4"/>
    <w:rsid w:val="00691C67"/>
    <w:rsid w:val="00691D75"/>
    <w:rsid w:val="00693369"/>
    <w:rsid w:val="00694503"/>
    <w:rsid w:val="006948EE"/>
    <w:rsid w:val="00695EA5"/>
    <w:rsid w:val="00696A5F"/>
    <w:rsid w:val="0069733B"/>
    <w:rsid w:val="006974DB"/>
    <w:rsid w:val="006A0230"/>
    <w:rsid w:val="006A2932"/>
    <w:rsid w:val="006A3F90"/>
    <w:rsid w:val="006A6F03"/>
    <w:rsid w:val="006A705A"/>
    <w:rsid w:val="006B0E9B"/>
    <w:rsid w:val="006B21C3"/>
    <w:rsid w:val="006B22CA"/>
    <w:rsid w:val="006B2D69"/>
    <w:rsid w:val="006B2ECA"/>
    <w:rsid w:val="006B3B54"/>
    <w:rsid w:val="006B4242"/>
    <w:rsid w:val="006B4EA5"/>
    <w:rsid w:val="006B506D"/>
    <w:rsid w:val="006B6E9E"/>
    <w:rsid w:val="006B7843"/>
    <w:rsid w:val="006B78E6"/>
    <w:rsid w:val="006C19FF"/>
    <w:rsid w:val="006C1C96"/>
    <w:rsid w:val="006C206E"/>
    <w:rsid w:val="006C28DA"/>
    <w:rsid w:val="006C398B"/>
    <w:rsid w:val="006C3ED5"/>
    <w:rsid w:val="006C40AE"/>
    <w:rsid w:val="006C5136"/>
    <w:rsid w:val="006C5951"/>
    <w:rsid w:val="006C5C27"/>
    <w:rsid w:val="006C5F06"/>
    <w:rsid w:val="006C60F8"/>
    <w:rsid w:val="006D0EA6"/>
    <w:rsid w:val="006D1928"/>
    <w:rsid w:val="006D213F"/>
    <w:rsid w:val="006D36E5"/>
    <w:rsid w:val="006D48CB"/>
    <w:rsid w:val="006D5834"/>
    <w:rsid w:val="006D657A"/>
    <w:rsid w:val="006D6E9B"/>
    <w:rsid w:val="006E0EFE"/>
    <w:rsid w:val="006E0FAD"/>
    <w:rsid w:val="006E189D"/>
    <w:rsid w:val="006E3CB5"/>
    <w:rsid w:val="006E4094"/>
    <w:rsid w:val="006E43BE"/>
    <w:rsid w:val="006E547E"/>
    <w:rsid w:val="006E5629"/>
    <w:rsid w:val="006E69E9"/>
    <w:rsid w:val="006E7DA1"/>
    <w:rsid w:val="006F1272"/>
    <w:rsid w:val="006F1E38"/>
    <w:rsid w:val="006F2464"/>
    <w:rsid w:val="006F2662"/>
    <w:rsid w:val="006F330F"/>
    <w:rsid w:val="006F37A5"/>
    <w:rsid w:val="006F51AA"/>
    <w:rsid w:val="006F6199"/>
    <w:rsid w:val="006F680C"/>
    <w:rsid w:val="0070022C"/>
    <w:rsid w:val="00700C45"/>
    <w:rsid w:val="007013BC"/>
    <w:rsid w:val="00701644"/>
    <w:rsid w:val="007022C8"/>
    <w:rsid w:val="00702315"/>
    <w:rsid w:val="0070468B"/>
    <w:rsid w:val="0070532E"/>
    <w:rsid w:val="00707116"/>
    <w:rsid w:val="00710DEB"/>
    <w:rsid w:val="00711066"/>
    <w:rsid w:val="00712B45"/>
    <w:rsid w:val="00713501"/>
    <w:rsid w:val="00713529"/>
    <w:rsid w:val="00713875"/>
    <w:rsid w:val="00713BA6"/>
    <w:rsid w:val="00713C02"/>
    <w:rsid w:val="00714FB0"/>
    <w:rsid w:val="00715155"/>
    <w:rsid w:val="00717859"/>
    <w:rsid w:val="00721C3B"/>
    <w:rsid w:val="00722C1D"/>
    <w:rsid w:val="00723C3D"/>
    <w:rsid w:val="00723EB3"/>
    <w:rsid w:val="0072664F"/>
    <w:rsid w:val="00730285"/>
    <w:rsid w:val="007304E4"/>
    <w:rsid w:val="00733323"/>
    <w:rsid w:val="00735025"/>
    <w:rsid w:val="007360EF"/>
    <w:rsid w:val="00736592"/>
    <w:rsid w:val="00737461"/>
    <w:rsid w:val="007375F5"/>
    <w:rsid w:val="0073770C"/>
    <w:rsid w:val="00737EFC"/>
    <w:rsid w:val="007422BE"/>
    <w:rsid w:val="0074371B"/>
    <w:rsid w:val="00744233"/>
    <w:rsid w:val="0074479F"/>
    <w:rsid w:val="00746C32"/>
    <w:rsid w:val="00746D1B"/>
    <w:rsid w:val="00747C57"/>
    <w:rsid w:val="00750C99"/>
    <w:rsid w:val="00752661"/>
    <w:rsid w:val="00752F39"/>
    <w:rsid w:val="00753606"/>
    <w:rsid w:val="00755BD5"/>
    <w:rsid w:val="00761A39"/>
    <w:rsid w:val="00762D90"/>
    <w:rsid w:val="007636D7"/>
    <w:rsid w:val="00763C33"/>
    <w:rsid w:val="00764233"/>
    <w:rsid w:val="00767471"/>
    <w:rsid w:val="0076777A"/>
    <w:rsid w:val="0077043A"/>
    <w:rsid w:val="007717BA"/>
    <w:rsid w:val="00774477"/>
    <w:rsid w:val="00777379"/>
    <w:rsid w:val="00777486"/>
    <w:rsid w:val="00780D5E"/>
    <w:rsid w:val="00781E3B"/>
    <w:rsid w:val="007822E3"/>
    <w:rsid w:val="00783CE3"/>
    <w:rsid w:val="0078433F"/>
    <w:rsid w:val="00790D34"/>
    <w:rsid w:val="00790F50"/>
    <w:rsid w:val="0079160C"/>
    <w:rsid w:val="0079177F"/>
    <w:rsid w:val="00791D33"/>
    <w:rsid w:val="00791DF4"/>
    <w:rsid w:val="007928A1"/>
    <w:rsid w:val="00792C86"/>
    <w:rsid w:val="00793513"/>
    <w:rsid w:val="00793B39"/>
    <w:rsid w:val="00793E23"/>
    <w:rsid w:val="00795F8E"/>
    <w:rsid w:val="00796107"/>
    <w:rsid w:val="0079628A"/>
    <w:rsid w:val="0079703E"/>
    <w:rsid w:val="0079746E"/>
    <w:rsid w:val="007A109A"/>
    <w:rsid w:val="007A5F12"/>
    <w:rsid w:val="007A621B"/>
    <w:rsid w:val="007A7866"/>
    <w:rsid w:val="007A7EE6"/>
    <w:rsid w:val="007B0CBF"/>
    <w:rsid w:val="007B1973"/>
    <w:rsid w:val="007B3D01"/>
    <w:rsid w:val="007B4170"/>
    <w:rsid w:val="007B4356"/>
    <w:rsid w:val="007B60AD"/>
    <w:rsid w:val="007B63D6"/>
    <w:rsid w:val="007B67FB"/>
    <w:rsid w:val="007B77AC"/>
    <w:rsid w:val="007C00D2"/>
    <w:rsid w:val="007C0367"/>
    <w:rsid w:val="007C0E05"/>
    <w:rsid w:val="007C0F2D"/>
    <w:rsid w:val="007C1711"/>
    <w:rsid w:val="007C1866"/>
    <w:rsid w:val="007C306A"/>
    <w:rsid w:val="007C569C"/>
    <w:rsid w:val="007C5AAE"/>
    <w:rsid w:val="007C6760"/>
    <w:rsid w:val="007D28A6"/>
    <w:rsid w:val="007D298C"/>
    <w:rsid w:val="007D4039"/>
    <w:rsid w:val="007D40EE"/>
    <w:rsid w:val="007D6A3F"/>
    <w:rsid w:val="007D76AB"/>
    <w:rsid w:val="007D7F83"/>
    <w:rsid w:val="007E0230"/>
    <w:rsid w:val="007E21ED"/>
    <w:rsid w:val="007E2656"/>
    <w:rsid w:val="007E3172"/>
    <w:rsid w:val="007E3600"/>
    <w:rsid w:val="007E38FD"/>
    <w:rsid w:val="007E3934"/>
    <w:rsid w:val="007E3C92"/>
    <w:rsid w:val="007E402E"/>
    <w:rsid w:val="007E45F4"/>
    <w:rsid w:val="007E65AE"/>
    <w:rsid w:val="007E79D5"/>
    <w:rsid w:val="007E7D16"/>
    <w:rsid w:val="007F064D"/>
    <w:rsid w:val="007F103C"/>
    <w:rsid w:val="007F2681"/>
    <w:rsid w:val="007F3755"/>
    <w:rsid w:val="007F596E"/>
    <w:rsid w:val="007F6062"/>
    <w:rsid w:val="007F63C1"/>
    <w:rsid w:val="007F759E"/>
    <w:rsid w:val="008005AC"/>
    <w:rsid w:val="00800816"/>
    <w:rsid w:val="0080176A"/>
    <w:rsid w:val="00803CDC"/>
    <w:rsid w:val="0080474F"/>
    <w:rsid w:val="00805DF6"/>
    <w:rsid w:val="008076B4"/>
    <w:rsid w:val="00807B28"/>
    <w:rsid w:val="008117CC"/>
    <w:rsid w:val="00811A76"/>
    <w:rsid w:val="00811E1D"/>
    <w:rsid w:val="00814274"/>
    <w:rsid w:val="00814EDF"/>
    <w:rsid w:val="0081627A"/>
    <w:rsid w:val="00817407"/>
    <w:rsid w:val="00820AAC"/>
    <w:rsid w:val="00820F9D"/>
    <w:rsid w:val="00821669"/>
    <w:rsid w:val="0082388B"/>
    <w:rsid w:val="00823B52"/>
    <w:rsid w:val="00823C83"/>
    <w:rsid w:val="00824267"/>
    <w:rsid w:val="008265D6"/>
    <w:rsid w:val="008267F9"/>
    <w:rsid w:val="00827ACA"/>
    <w:rsid w:val="00827E63"/>
    <w:rsid w:val="008304AB"/>
    <w:rsid w:val="00830D05"/>
    <w:rsid w:val="0083217F"/>
    <w:rsid w:val="00832AB0"/>
    <w:rsid w:val="00833795"/>
    <w:rsid w:val="008359FF"/>
    <w:rsid w:val="008376B4"/>
    <w:rsid w:val="008415EE"/>
    <w:rsid w:val="00841E0A"/>
    <w:rsid w:val="008422BF"/>
    <w:rsid w:val="008434D3"/>
    <w:rsid w:val="0084362F"/>
    <w:rsid w:val="00843D83"/>
    <w:rsid w:val="00846A4A"/>
    <w:rsid w:val="008470BE"/>
    <w:rsid w:val="0084731F"/>
    <w:rsid w:val="00847C14"/>
    <w:rsid w:val="00847CA1"/>
    <w:rsid w:val="00853B42"/>
    <w:rsid w:val="00853E48"/>
    <w:rsid w:val="00853F51"/>
    <w:rsid w:val="008543D7"/>
    <w:rsid w:val="00856B70"/>
    <w:rsid w:val="008573FC"/>
    <w:rsid w:val="00860336"/>
    <w:rsid w:val="00863879"/>
    <w:rsid w:val="00864C3F"/>
    <w:rsid w:val="00864D2B"/>
    <w:rsid w:val="00866656"/>
    <w:rsid w:val="008712BF"/>
    <w:rsid w:val="008720A8"/>
    <w:rsid w:val="008728AA"/>
    <w:rsid w:val="00874246"/>
    <w:rsid w:val="00874A5A"/>
    <w:rsid w:val="008753C9"/>
    <w:rsid w:val="00875A59"/>
    <w:rsid w:val="00875DCC"/>
    <w:rsid w:val="008760C4"/>
    <w:rsid w:val="00876257"/>
    <w:rsid w:val="00876DAE"/>
    <w:rsid w:val="00877789"/>
    <w:rsid w:val="00880342"/>
    <w:rsid w:val="00880D78"/>
    <w:rsid w:val="00884CEC"/>
    <w:rsid w:val="008851F8"/>
    <w:rsid w:val="00886676"/>
    <w:rsid w:val="00886E2B"/>
    <w:rsid w:val="0088713C"/>
    <w:rsid w:val="00887194"/>
    <w:rsid w:val="008873F4"/>
    <w:rsid w:val="00891276"/>
    <w:rsid w:val="00893960"/>
    <w:rsid w:val="00894616"/>
    <w:rsid w:val="00895900"/>
    <w:rsid w:val="008967F7"/>
    <w:rsid w:val="00896EE7"/>
    <w:rsid w:val="0089783C"/>
    <w:rsid w:val="008A0651"/>
    <w:rsid w:val="008A0912"/>
    <w:rsid w:val="008A0F3C"/>
    <w:rsid w:val="008A1240"/>
    <w:rsid w:val="008A1B30"/>
    <w:rsid w:val="008A2CD3"/>
    <w:rsid w:val="008A470C"/>
    <w:rsid w:val="008A58BD"/>
    <w:rsid w:val="008A5BD5"/>
    <w:rsid w:val="008A64FB"/>
    <w:rsid w:val="008A71CA"/>
    <w:rsid w:val="008A75C5"/>
    <w:rsid w:val="008B0A6A"/>
    <w:rsid w:val="008B0FA2"/>
    <w:rsid w:val="008B1599"/>
    <w:rsid w:val="008B160D"/>
    <w:rsid w:val="008B28F3"/>
    <w:rsid w:val="008B5340"/>
    <w:rsid w:val="008B676F"/>
    <w:rsid w:val="008B6E60"/>
    <w:rsid w:val="008C12E5"/>
    <w:rsid w:val="008C3826"/>
    <w:rsid w:val="008C3C78"/>
    <w:rsid w:val="008C454E"/>
    <w:rsid w:val="008C61AE"/>
    <w:rsid w:val="008C6B8A"/>
    <w:rsid w:val="008C7378"/>
    <w:rsid w:val="008D2EA7"/>
    <w:rsid w:val="008D3F75"/>
    <w:rsid w:val="008D4D9A"/>
    <w:rsid w:val="008D5192"/>
    <w:rsid w:val="008D57AD"/>
    <w:rsid w:val="008D6423"/>
    <w:rsid w:val="008D675A"/>
    <w:rsid w:val="008D67FE"/>
    <w:rsid w:val="008D7B59"/>
    <w:rsid w:val="008E0FB9"/>
    <w:rsid w:val="008E1373"/>
    <w:rsid w:val="008E1525"/>
    <w:rsid w:val="008E1D52"/>
    <w:rsid w:val="008E46DC"/>
    <w:rsid w:val="008E4A2E"/>
    <w:rsid w:val="008E68C9"/>
    <w:rsid w:val="008E6EFF"/>
    <w:rsid w:val="008E712B"/>
    <w:rsid w:val="008E71CC"/>
    <w:rsid w:val="008E79AF"/>
    <w:rsid w:val="008F1D89"/>
    <w:rsid w:val="008F315E"/>
    <w:rsid w:val="008F350F"/>
    <w:rsid w:val="008F3C98"/>
    <w:rsid w:val="008F5602"/>
    <w:rsid w:val="008F7D7E"/>
    <w:rsid w:val="0090041C"/>
    <w:rsid w:val="009005CA"/>
    <w:rsid w:val="00900B6F"/>
    <w:rsid w:val="009026F8"/>
    <w:rsid w:val="009029FA"/>
    <w:rsid w:val="00902A62"/>
    <w:rsid w:val="0090385C"/>
    <w:rsid w:val="0090474B"/>
    <w:rsid w:val="009048EA"/>
    <w:rsid w:val="00905186"/>
    <w:rsid w:val="00905F8A"/>
    <w:rsid w:val="00906649"/>
    <w:rsid w:val="009074D5"/>
    <w:rsid w:val="0091021C"/>
    <w:rsid w:val="009107F3"/>
    <w:rsid w:val="009110A6"/>
    <w:rsid w:val="00911230"/>
    <w:rsid w:val="00913E35"/>
    <w:rsid w:val="0091447E"/>
    <w:rsid w:val="00915B13"/>
    <w:rsid w:val="00916679"/>
    <w:rsid w:val="00917E6A"/>
    <w:rsid w:val="00920098"/>
    <w:rsid w:val="00920C11"/>
    <w:rsid w:val="009217FE"/>
    <w:rsid w:val="00922CEA"/>
    <w:rsid w:val="0092565A"/>
    <w:rsid w:val="009258A7"/>
    <w:rsid w:val="00925EFC"/>
    <w:rsid w:val="00925FB9"/>
    <w:rsid w:val="0092646A"/>
    <w:rsid w:val="00926867"/>
    <w:rsid w:val="00927B51"/>
    <w:rsid w:val="00930102"/>
    <w:rsid w:val="009316DC"/>
    <w:rsid w:val="00932001"/>
    <w:rsid w:val="00932A38"/>
    <w:rsid w:val="009347FD"/>
    <w:rsid w:val="009361FB"/>
    <w:rsid w:val="00936CED"/>
    <w:rsid w:val="00937229"/>
    <w:rsid w:val="009372EC"/>
    <w:rsid w:val="009402DF"/>
    <w:rsid w:val="0094281E"/>
    <w:rsid w:val="009435C2"/>
    <w:rsid w:val="00943B2F"/>
    <w:rsid w:val="00943C43"/>
    <w:rsid w:val="00943EBD"/>
    <w:rsid w:val="00944BA8"/>
    <w:rsid w:val="00945166"/>
    <w:rsid w:val="0094551A"/>
    <w:rsid w:val="00946B6B"/>
    <w:rsid w:val="0094739E"/>
    <w:rsid w:val="009474BF"/>
    <w:rsid w:val="009478DC"/>
    <w:rsid w:val="00950304"/>
    <w:rsid w:val="00950318"/>
    <w:rsid w:val="00950914"/>
    <w:rsid w:val="009510AB"/>
    <w:rsid w:val="00951DBF"/>
    <w:rsid w:val="009525AF"/>
    <w:rsid w:val="00955841"/>
    <w:rsid w:val="00956081"/>
    <w:rsid w:val="009563F9"/>
    <w:rsid w:val="00956C41"/>
    <w:rsid w:val="00956EF2"/>
    <w:rsid w:val="009571F0"/>
    <w:rsid w:val="00961FC2"/>
    <w:rsid w:val="009624DC"/>
    <w:rsid w:val="00962F07"/>
    <w:rsid w:val="0096336F"/>
    <w:rsid w:val="0096353D"/>
    <w:rsid w:val="00963601"/>
    <w:rsid w:val="00964D86"/>
    <w:rsid w:val="009657EE"/>
    <w:rsid w:val="0096639C"/>
    <w:rsid w:val="009674F8"/>
    <w:rsid w:val="00967853"/>
    <w:rsid w:val="00967A23"/>
    <w:rsid w:val="00970CE5"/>
    <w:rsid w:val="009725B5"/>
    <w:rsid w:val="009732AB"/>
    <w:rsid w:val="0097485A"/>
    <w:rsid w:val="00975306"/>
    <w:rsid w:val="00975CDF"/>
    <w:rsid w:val="00976957"/>
    <w:rsid w:val="00976EDC"/>
    <w:rsid w:val="00980079"/>
    <w:rsid w:val="009811A5"/>
    <w:rsid w:val="009846DD"/>
    <w:rsid w:val="00985719"/>
    <w:rsid w:val="009864FB"/>
    <w:rsid w:val="00986FD3"/>
    <w:rsid w:val="009873A7"/>
    <w:rsid w:val="009900EC"/>
    <w:rsid w:val="00991758"/>
    <w:rsid w:val="00991E28"/>
    <w:rsid w:val="009924F4"/>
    <w:rsid w:val="00993792"/>
    <w:rsid w:val="00994402"/>
    <w:rsid w:val="00995419"/>
    <w:rsid w:val="00996E14"/>
    <w:rsid w:val="009A1667"/>
    <w:rsid w:val="009A2053"/>
    <w:rsid w:val="009A266C"/>
    <w:rsid w:val="009A2F8C"/>
    <w:rsid w:val="009A53E3"/>
    <w:rsid w:val="009A7422"/>
    <w:rsid w:val="009A7BD1"/>
    <w:rsid w:val="009B3B9D"/>
    <w:rsid w:val="009B4FCD"/>
    <w:rsid w:val="009B53C3"/>
    <w:rsid w:val="009B5669"/>
    <w:rsid w:val="009B58A6"/>
    <w:rsid w:val="009B5A57"/>
    <w:rsid w:val="009B5C1D"/>
    <w:rsid w:val="009B62E3"/>
    <w:rsid w:val="009B7633"/>
    <w:rsid w:val="009C1A39"/>
    <w:rsid w:val="009C1E0F"/>
    <w:rsid w:val="009C2A23"/>
    <w:rsid w:val="009C3027"/>
    <w:rsid w:val="009C35B5"/>
    <w:rsid w:val="009C3720"/>
    <w:rsid w:val="009C3A41"/>
    <w:rsid w:val="009C4E68"/>
    <w:rsid w:val="009C6384"/>
    <w:rsid w:val="009D17CF"/>
    <w:rsid w:val="009D2685"/>
    <w:rsid w:val="009D37FE"/>
    <w:rsid w:val="009D4EFA"/>
    <w:rsid w:val="009D7956"/>
    <w:rsid w:val="009E17FE"/>
    <w:rsid w:val="009E2406"/>
    <w:rsid w:val="009E3B64"/>
    <w:rsid w:val="009E4050"/>
    <w:rsid w:val="009E54EF"/>
    <w:rsid w:val="009F12AB"/>
    <w:rsid w:val="009F1947"/>
    <w:rsid w:val="009F484A"/>
    <w:rsid w:val="009F5CFE"/>
    <w:rsid w:val="00A00E13"/>
    <w:rsid w:val="00A0177F"/>
    <w:rsid w:val="00A01DB5"/>
    <w:rsid w:val="00A02A6F"/>
    <w:rsid w:val="00A03470"/>
    <w:rsid w:val="00A03CA5"/>
    <w:rsid w:val="00A05C3E"/>
    <w:rsid w:val="00A065FE"/>
    <w:rsid w:val="00A06A3D"/>
    <w:rsid w:val="00A06CCF"/>
    <w:rsid w:val="00A07C63"/>
    <w:rsid w:val="00A10BB5"/>
    <w:rsid w:val="00A11A84"/>
    <w:rsid w:val="00A11E01"/>
    <w:rsid w:val="00A12377"/>
    <w:rsid w:val="00A12C66"/>
    <w:rsid w:val="00A12CA5"/>
    <w:rsid w:val="00A1318A"/>
    <w:rsid w:val="00A15546"/>
    <w:rsid w:val="00A16A05"/>
    <w:rsid w:val="00A16FEE"/>
    <w:rsid w:val="00A22550"/>
    <w:rsid w:val="00A22604"/>
    <w:rsid w:val="00A22B67"/>
    <w:rsid w:val="00A23482"/>
    <w:rsid w:val="00A23DD8"/>
    <w:rsid w:val="00A24537"/>
    <w:rsid w:val="00A248B6"/>
    <w:rsid w:val="00A2514F"/>
    <w:rsid w:val="00A257AA"/>
    <w:rsid w:val="00A25A62"/>
    <w:rsid w:val="00A278B0"/>
    <w:rsid w:val="00A30BFE"/>
    <w:rsid w:val="00A33091"/>
    <w:rsid w:val="00A332F8"/>
    <w:rsid w:val="00A33724"/>
    <w:rsid w:val="00A34D80"/>
    <w:rsid w:val="00A3530C"/>
    <w:rsid w:val="00A357C2"/>
    <w:rsid w:val="00A36C03"/>
    <w:rsid w:val="00A37B7B"/>
    <w:rsid w:val="00A37D1E"/>
    <w:rsid w:val="00A41302"/>
    <w:rsid w:val="00A41534"/>
    <w:rsid w:val="00A41D92"/>
    <w:rsid w:val="00A429AA"/>
    <w:rsid w:val="00A45894"/>
    <w:rsid w:val="00A4705D"/>
    <w:rsid w:val="00A47EF5"/>
    <w:rsid w:val="00A50820"/>
    <w:rsid w:val="00A50FDE"/>
    <w:rsid w:val="00A513B0"/>
    <w:rsid w:val="00A519EA"/>
    <w:rsid w:val="00A51EE0"/>
    <w:rsid w:val="00A52DDD"/>
    <w:rsid w:val="00A5471E"/>
    <w:rsid w:val="00A553D9"/>
    <w:rsid w:val="00A55AE9"/>
    <w:rsid w:val="00A55BB1"/>
    <w:rsid w:val="00A569FF"/>
    <w:rsid w:val="00A56C61"/>
    <w:rsid w:val="00A57BF5"/>
    <w:rsid w:val="00A606AC"/>
    <w:rsid w:val="00A609D6"/>
    <w:rsid w:val="00A61359"/>
    <w:rsid w:val="00A62662"/>
    <w:rsid w:val="00A636D9"/>
    <w:rsid w:val="00A637CB"/>
    <w:rsid w:val="00A640DA"/>
    <w:rsid w:val="00A656DB"/>
    <w:rsid w:val="00A66C4B"/>
    <w:rsid w:val="00A66E5F"/>
    <w:rsid w:val="00A67E17"/>
    <w:rsid w:val="00A700EA"/>
    <w:rsid w:val="00A721AB"/>
    <w:rsid w:val="00A73217"/>
    <w:rsid w:val="00A73759"/>
    <w:rsid w:val="00A74091"/>
    <w:rsid w:val="00A741D8"/>
    <w:rsid w:val="00A74AD2"/>
    <w:rsid w:val="00A7504B"/>
    <w:rsid w:val="00A7535C"/>
    <w:rsid w:val="00A759FF"/>
    <w:rsid w:val="00A7607D"/>
    <w:rsid w:val="00A7765E"/>
    <w:rsid w:val="00A77A24"/>
    <w:rsid w:val="00A80A8A"/>
    <w:rsid w:val="00A81828"/>
    <w:rsid w:val="00A83454"/>
    <w:rsid w:val="00A854BD"/>
    <w:rsid w:val="00A86E92"/>
    <w:rsid w:val="00A87AD8"/>
    <w:rsid w:val="00A87FAE"/>
    <w:rsid w:val="00A910C2"/>
    <w:rsid w:val="00A915E0"/>
    <w:rsid w:val="00A92869"/>
    <w:rsid w:val="00A93C41"/>
    <w:rsid w:val="00A93E56"/>
    <w:rsid w:val="00A940DC"/>
    <w:rsid w:val="00A94D64"/>
    <w:rsid w:val="00A95F3B"/>
    <w:rsid w:val="00A97038"/>
    <w:rsid w:val="00A971C8"/>
    <w:rsid w:val="00A9785B"/>
    <w:rsid w:val="00AA040D"/>
    <w:rsid w:val="00AA1A82"/>
    <w:rsid w:val="00AA20FC"/>
    <w:rsid w:val="00AA2A65"/>
    <w:rsid w:val="00AA32AE"/>
    <w:rsid w:val="00AA4154"/>
    <w:rsid w:val="00AA4204"/>
    <w:rsid w:val="00AA4797"/>
    <w:rsid w:val="00AA6880"/>
    <w:rsid w:val="00AA7D72"/>
    <w:rsid w:val="00AB0847"/>
    <w:rsid w:val="00AB15A9"/>
    <w:rsid w:val="00AB180F"/>
    <w:rsid w:val="00AB19AF"/>
    <w:rsid w:val="00AB1D7F"/>
    <w:rsid w:val="00AB1EB2"/>
    <w:rsid w:val="00AB218A"/>
    <w:rsid w:val="00AB258B"/>
    <w:rsid w:val="00AB3B32"/>
    <w:rsid w:val="00AB3CEA"/>
    <w:rsid w:val="00AB48EA"/>
    <w:rsid w:val="00AB51E8"/>
    <w:rsid w:val="00AB6B50"/>
    <w:rsid w:val="00AC082B"/>
    <w:rsid w:val="00AC08CA"/>
    <w:rsid w:val="00AC2BF8"/>
    <w:rsid w:val="00AC4196"/>
    <w:rsid w:val="00AC44A2"/>
    <w:rsid w:val="00AC602E"/>
    <w:rsid w:val="00AC65A9"/>
    <w:rsid w:val="00AD133C"/>
    <w:rsid w:val="00AD186A"/>
    <w:rsid w:val="00AD3736"/>
    <w:rsid w:val="00AD3E3C"/>
    <w:rsid w:val="00AD482E"/>
    <w:rsid w:val="00AD5294"/>
    <w:rsid w:val="00AD5421"/>
    <w:rsid w:val="00AD5BA3"/>
    <w:rsid w:val="00AD5D7F"/>
    <w:rsid w:val="00AD6111"/>
    <w:rsid w:val="00AD65ED"/>
    <w:rsid w:val="00AD687B"/>
    <w:rsid w:val="00AD73E9"/>
    <w:rsid w:val="00AE0276"/>
    <w:rsid w:val="00AE0431"/>
    <w:rsid w:val="00AE2CBE"/>
    <w:rsid w:val="00AE3B8D"/>
    <w:rsid w:val="00AE4955"/>
    <w:rsid w:val="00AE5423"/>
    <w:rsid w:val="00AE55FF"/>
    <w:rsid w:val="00AE59BE"/>
    <w:rsid w:val="00AE5E22"/>
    <w:rsid w:val="00AF09ED"/>
    <w:rsid w:val="00AF25AA"/>
    <w:rsid w:val="00AF4A73"/>
    <w:rsid w:val="00AF4AFE"/>
    <w:rsid w:val="00AF4D31"/>
    <w:rsid w:val="00AF4DB2"/>
    <w:rsid w:val="00AF6C28"/>
    <w:rsid w:val="00AF796D"/>
    <w:rsid w:val="00AF797E"/>
    <w:rsid w:val="00AF7AE8"/>
    <w:rsid w:val="00AF7E6A"/>
    <w:rsid w:val="00B06085"/>
    <w:rsid w:val="00B0635F"/>
    <w:rsid w:val="00B068B0"/>
    <w:rsid w:val="00B07BE1"/>
    <w:rsid w:val="00B1034D"/>
    <w:rsid w:val="00B10B04"/>
    <w:rsid w:val="00B10BCA"/>
    <w:rsid w:val="00B115B9"/>
    <w:rsid w:val="00B12AAB"/>
    <w:rsid w:val="00B12B59"/>
    <w:rsid w:val="00B12C25"/>
    <w:rsid w:val="00B1457D"/>
    <w:rsid w:val="00B159F5"/>
    <w:rsid w:val="00B215F8"/>
    <w:rsid w:val="00B219F4"/>
    <w:rsid w:val="00B21D64"/>
    <w:rsid w:val="00B23B1E"/>
    <w:rsid w:val="00B26BC1"/>
    <w:rsid w:val="00B306F8"/>
    <w:rsid w:val="00B30963"/>
    <w:rsid w:val="00B31C99"/>
    <w:rsid w:val="00B33A4B"/>
    <w:rsid w:val="00B34794"/>
    <w:rsid w:val="00B34E9C"/>
    <w:rsid w:val="00B36543"/>
    <w:rsid w:val="00B37073"/>
    <w:rsid w:val="00B37D30"/>
    <w:rsid w:val="00B404E9"/>
    <w:rsid w:val="00B40970"/>
    <w:rsid w:val="00B414A4"/>
    <w:rsid w:val="00B45756"/>
    <w:rsid w:val="00B45F42"/>
    <w:rsid w:val="00B469F0"/>
    <w:rsid w:val="00B47D94"/>
    <w:rsid w:val="00B50D56"/>
    <w:rsid w:val="00B515D8"/>
    <w:rsid w:val="00B51AE0"/>
    <w:rsid w:val="00B51DF4"/>
    <w:rsid w:val="00B52864"/>
    <w:rsid w:val="00B53CD7"/>
    <w:rsid w:val="00B545FD"/>
    <w:rsid w:val="00B55303"/>
    <w:rsid w:val="00B5722A"/>
    <w:rsid w:val="00B6095A"/>
    <w:rsid w:val="00B60D63"/>
    <w:rsid w:val="00B611A8"/>
    <w:rsid w:val="00B6155A"/>
    <w:rsid w:val="00B6243B"/>
    <w:rsid w:val="00B6275C"/>
    <w:rsid w:val="00B636CC"/>
    <w:rsid w:val="00B64B6E"/>
    <w:rsid w:val="00B64CFA"/>
    <w:rsid w:val="00B66159"/>
    <w:rsid w:val="00B66284"/>
    <w:rsid w:val="00B665C4"/>
    <w:rsid w:val="00B66945"/>
    <w:rsid w:val="00B6738B"/>
    <w:rsid w:val="00B679D4"/>
    <w:rsid w:val="00B71B83"/>
    <w:rsid w:val="00B72398"/>
    <w:rsid w:val="00B7628D"/>
    <w:rsid w:val="00B76B75"/>
    <w:rsid w:val="00B81097"/>
    <w:rsid w:val="00B81509"/>
    <w:rsid w:val="00B8391A"/>
    <w:rsid w:val="00B84031"/>
    <w:rsid w:val="00B84843"/>
    <w:rsid w:val="00B84D38"/>
    <w:rsid w:val="00B85351"/>
    <w:rsid w:val="00B870E4"/>
    <w:rsid w:val="00B87AFE"/>
    <w:rsid w:val="00B90391"/>
    <w:rsid w:val="00B90D88"/>
    <w:rsid w:val="00B9214C"/>
    <w:rsid w:val="00B95706"/>
    <w:rsid w:val="00B958A6"/>
    <w:rsid w:val="00B95B4C"/>
    <w:rsid w:val="00B96F56"/>
    <w:rsid w:val="00BA0753"/>
    <w:rsid w:val="00BA1E46"/>
    <w:rsid w:val="00BA2CED"/>
    <w:rsid w:val="00BA496D"/>
    <w:rsid w:val="00BA6132"/>
    <w:rsid w:val="00BB04FA"/>
    <w:rsid w:val="00BB06A1"/>
    <w:rsid w:val="00BB30E2"/>
    <w:rsid w:val="00BB3738"/>
    <w:rsid w:val="00BB442C"/>
    <w:rsid w:val="00BB4F06"/>
    <w:rsid w:val="00BB6A13"/>
    <w:rsid w:val="00BB76BE"/>
    <w:rsid w:val="00BB792F"/>
    <w:rsid w:val="00BC2842"/>
    <w:rsid w:val="00BC31FA"/>
    <w:rsid w:val="00BC4628"/>
    <w:rsid w:val="00BC53A7"/>
    <w:rsid w:val="00BC6509"/>
    <w:rsid w:val="00BC673A"/>
    <w:rsid w:val="00BC6FE5"/>
    <w:rsid w:val="00BD09F9"/>
    <w:rsid w:val="00BD2FCB"/>
    <w:rsid w:val="00BD37C1"/>
    <w:rsid w:val="00BD4D09"/>
    <w:rsid w:val="00BD5550"/>
    <w:rsid w:val="00BD577D"/>
    <w:rsid w:val="00BD7B53"/>
    <w:rsid w:val="00BD7C72"/>
    <w:rsid w:val="00BE0544"/>
    <w:rsid w:val="00BE07AC"/>
    <w:rsid w:val="00BE16E4"/>
    <w:rsid w:val="00BE247E"/>
    <w:rsid w:val="00BE3D5B"/>
    <w:rsid w:val="00BE49BE"/>
    <w:rsid w:val="00BE5E37"/>
    <w:rsid w:val="00BE68EA"/>
    <w:rsid w:val="00BE69AE"/>
    <w:rsid w:val="00BE75CF"/>
    <w:rsid w:val="00BE7BB4"/>
    <w:rsid w:val="00BF10CF"/>
    <w:rsid w:val="00BF1273"/>
    <w:rsid w:val="00BF299E"/>
    <w:rsid w:val="00BF3085"/>
    <w:rsid w:val="00BF4127"/>
    <w:rsid w:val="00BF72D0"/>
    <w:rsid w:val="00C007DF"/>
    <w:rsid w:val="00C008D3"/>
    <w:rsid w:val="00C00D5E"/>
    <w:rsid w:val="00C01016"/>
    <w:rsid w:val="00C01DC7"/>
    <w:rsid w:val="00C02B52"/>
    <w:rsid w:val="00C03785"/>
    <w:rsid w:val="00C0426E"/>
    <w:rsid w:val="00C04FFD"/>
    <w:rsid w:val="00C0511E"/>
    <w:rsid w:val="00C06F86"/>
    <w:rsid w:val="00C07B79"/>
    <w:rsid w:val="00C11035"/>
    <w:rsid w:val="00C11CB6"/>
    <w:rsid w:val="00C123CC"/>
    <w:rsid w:val="00C1243E"/>
    <w:rsid w:val="00C13AB3"/>
    <w:rsid w:val="00C13F8F"/>
    <w:rsid w:val="00C141FB"/>
    <w:rsid w:val="00C14B29"/>
    <w:rsid w:val="00C157C2"/>
    <w:rsid w:val="00C16419"/>
    <w:rsid w:val="00C1743E"/>
    <w:rsid w:val="00C17EDC"/>
    <w:rsid w:val="00C20722"/>
    <w:rsid w:val="00C2080B"/>
    <w:rsid w:val="00C21B89"/>
    <w:rsid w:val="00C228E6"/>
    <w:rsid w:val="00C25431"/>
    <w:rsid w:val="00C2552A"/>
    <w:rsid w:val="00C2587D"/>
    <w:rsid w:val="00C25E79"/>
    <w:rsid w:val="00C25FC4"/>
    <w:rsid w:val="00C261FA"/>
    <w:rsid w:val="00C2720B"/>
    <w:rsid w:val="00C27BD5"/>
    <w:rsid w:val="00C303FC"/>
    <w:rsid w:val="00C30A5D"/>
    <w:rsid w:val="00C31982"/>
    <w:rsid w:val="00C31B50"/>
    <w:rsid w:val="00C3355B"/>
    <w:rsid w:val="00C33B64"/>
    <w:rsid w:val="00C36C90"/>
    <w:rsid w:val="00C37027"/>
    <w:rsid w:val="00C370AA"/>
    <w:rsid w:val="00C40171"/>
    <w:rsid w:val="00C407D1"/>
    <w:rsid w:val="00C40930"/>
    <w:rsid w:val="00C41624"/>
    <w:rsid w:val="00C41A35"/>
    <w:rsid w:val="00C4223D"/>
    <w:rsid w:val="00C431D7"/>
    <w:rsid w:val="00C45A4B"/>
    <w:rsid w:val="00C469AD"/>
    <w:rsid w:val="00C5050B"/>
    <w:rsid w:val="00C508AB"/>
    <w:rsid w:val="00C516C8"/>
    <w:rsid w:val="00C517FE"/>
    <w:rsid w:val="00C536B6"/>
    <w:rsid w:val="00C54FEB"/>
    <w:rsid w:val="00C55F36"/>
    <w:rsid w:val="00C57A4A"/>
    <w:rsid w:val="00C57BEE"/>
    <w:rsid w:val="00C60369"/>
    <w:rsid w:val="00C61CE2"/>
    <w:rsid w:val="00C62B2C"/>
    <w:rsid w:val="00C62E69"/>
    <w:rsid w:val="00C63976"/>
    <w:rsid w:val="00C64671"/>
    <w:rsid w:val="00C64ACE"/>
    <w:rsid w:val="00C67EE4"/>
    <w:rsid w:val="00C717A2"/>
    <w:rsid w:val="00C71AD9"/>
    <w:rsid w:val="00C73A3B"/>
    <w:rsid w:val="00C75024"/>
    <w:rsid w:val="00C75DF2"/>
    <w:rsid w:val="00C7606E"/>
    <w:rsid w:val="00C7686E"/>
    <w:rsid w:val="00C770CF"/>
    <w:rsid w:val="00C771E6"/>
    <w:rsid w:val="00C80307"/>
    <w:rsid w:val="00C80527"/>
    <w:rsid w:val="00C8148E"/>
    <w:rsid w:val="00C81FE9"/>
    <w:rsid w:val="00C82901"/>
    <w:rsid w:val="00C83B2B"/>
    <w:rsid w:val="00C844FB"/>
    <w:rsid w:val="00C84786"/>
    <w:rsid w:val="00C85EFD"/>
    <w:rsid w:val="00C86393"/>
    <w:rsid w:val="00C86902"/>
    <w:rsid w:val="00C86D8E"/>
    <w:rsid w:val="00C87564"/>
    <w:rsid w:val="00C90D49"/>
    <w:rsid w:val="00C92B83"/>
    <w:rsid w:val="00C93AA7"/>
    <w:rsid w:val="00C94208"/>
    <w:rsid w:val="00C95784"/>
    <w:rsid w:val="00C95A7C"/>
    <w:rsid w:val="00C95D1C"/>
    <w:rsid w:val="00CA1153"/>
    <w:rsid w:val="00CA35BD"/>
    <w:rsid w:val="00CA39E7"/>
    <w:rsid w:val="00CA6CE0"/>
    <w:rsid w:val="00CB12E4"/>
    <w:rsid w:val="00CB25EE"/>
    <w:rsid w:val="00CB6470"/>
    <w:rsid w:val="00CB6D4A"/>
    <w:rsid w:val="00CB72BF"/>
    <w:rsid w:val="00CB7B77"/>
    <w:rsid w:val="00CC1830"/>
    <w:rsid w:val="00CC2642"/>
    <w:rsid w:val="00CC2FE8"/>
    <w:rsid w:val="00CC30B4"/>
    <w:rsid w:val="00CC5D5D"/>
    <w:rsid w:val="00CC642F"/>
    <w:rsid w:val="00CC7F75"/>
    <w:rsid w:val="00CD0512"/>
    <w:rsid w:val="00CD09F2"/>
    <w:rsid w:val="00CD341C"/>
    <w:rsid w:val="00CD4309"/>
    <w:rsid w:val="00CD52EE"/>
    <w:rsid w:val="00CD7537"/>
    <w:rsid w:val="00CD7ED0"/>
    <w:rsid w:val="00CE1394"/>
    <w:rsid w:val="00CE2818"/>
    <w:rsid w:val="00CE2FB9"/>
    <w:rsid w:val="00CE48BF"/>
    <w:rsid w:val="00CE6052"/>
    <w:rsid w:val="00CE75DD"/>
    <w:rsid w:val="00CF1A5B"/>
    <w:rsid w:val="00CF2055"/>
    <w:rsid w:val="00CF2B7B"/>
    <w:rsid w:val="00CF2FB5"/>
    <w:rsid w:val="00CF5A85"/>
    <w:rsid w:val="00D00734"/>
    <w:rsid w:val="00D01180"/>
    <w:rsid w:val="00D02C6D"/>
    <w:rsid w:val="00D02F49"/>
    <w:rsid w:val="00D04324"/>
    <w:rsid w:val="00D048AC"/>
    <w:rsid w:val="00D0601F"/>
    <w:rsid w:val="00D07153"/>
    <w:rsid w:val="00D0797D"/>
    <w:rsid w:val="00D10ABA"/>
    <w:rsid w:val="00D11AAF"/>
    <w:rsid w:val="00D127F1"/>
    <w:rsid w:val="00D12F3E"/>
    <w:rsid w:val="00D14DC5"/>
    <w:rsid w:val="00D15208"/>
    <w:rsid w:val="00D15527"/>
    <w:rsid w:val="00D16199"/>
    <w:rsid w:val="00D16AC9"/>
    <w:rsid w:val="00D177C6"/>
    <w:rsid w:val="00D204B7"/>
    <w:rsid w:val="00D20E60"/>
    <w:rsid w:val="00D20F87"/>
    <w:rsid w:val="00D2137A"/>
    <w:rsid w:val="00D21976"/>
    <w:rsid w:val="00D21AA8"/>
    <w:rsid w:val="00D2318D"/>
    <w:rsid w:val="00D24673"/>
    <w:rsid w:val="00D25276"/>
    <w:rsid w:val="00D26CC3"/>
    <w:rsid w:val="00D26EB9"/>
    <w:rsid w:val="00D3006D"/>
    <w:rsid w:val="00D3043E"/>
    <w:rsid w:val="00D30462"/>
    <w:rsid w:val="00D3100B"/>
    <w:rsid w:val="00D32D61"/>
    <w:rsid w:val="00D350F8"/>
    <w:rsid w:val="00D35994"/>
    <w:rsid w:val="00D35FBB"/>
    <w:rsid w:val="00D37B46"/>
    <w:rsid w:val="00D37C9D"/>
    <w:rsid w:val="00D40A58"/>
    <w:rsid w:val="00D40EE1"/>
    <w:rsid w:val="00D41702"/>
    <w:rsid w:val="00D419D8"/>
    <w:rsid w:val="00D42257"/>
    <w:rsid w:val="00D42575"/>
    <w:rsid w:val="00D43292"/>
    <w:rsid w:val="00D502AC"/>
    <w:rsid w:val="00D50C80"/>
    <w:rsid w:val="00D5155F"/>
    <w:rsid w:val="00D52C8F"/>
    <w:rsid w:val="00D53F9D"/>
    <w:rsid w:val="00D54324"/>
    <w:rsid w:val="00D54332"/>
    <w:rsid w:val="00D569FF"/>
    <w:rsid w:val="00D614F3"/>
    <w:rsid w:val="00D617E9"/>
    <w:rsid w:val="00D61942"/>
    <w:rsid w:val="00D6338A"/>
    <w:rsid w:val="00D633EB"/>
    <w:rsid w:val="00D64B85"/>
    <w:rsid w:val="00D65404"/>
    <w:rsid w:val="00D67D51"/>
    <w:rsid w:val="00D70178"/>
    <w:rsid w:val="00D71DB6"/>
    <w:rsid w:val="00D71ED9"/>
    <w:rsid w:val="00D77194"/>
    <w:rsid w:val="00D77575"/>
    <w:rsid w:val="00D8187E"/>
    <w:rsid w:val="00D81D28"/>
    <w:rsid w:val="00D832E8"/>
    <w:rsid w:val="00D84D4E"/>
    <w:rsid w:val="00D86B36"/>
    <w:rsid w:val="00D87013"/>
    <w:rsid w:val="00D90B95"/>
    <w:rsid w:val="00D91C9C"/>
    <w:rsid w:val="00D92094"/>
    <w:rsid w:val="00D95D4B"/>
    <w:rsid w:val="00D96167"/>
    <w:rsid w:val="00D97144"/>
    <w:rsid w:val="00DA0D82"/>
    <w:rsid w:val="00DA2E54"/>
    <w:rsid w:val="00DA4B44"/>
    <w:rsid w:val="00DA4F0E"/>
    <w:rsid w:val="00DA509E"/>
    <w:rsid w:val="00DA55DF"/>
    <w:rsid w:val="00DA59C7"/>
    <w:rsid w:val="00DA6580"/>
    <w:rsid w:val="00DA7C9F"/>
    <w:rsid w:val="00DB0476"/>
    <w:rsid w:val="00DB0752"/>
    <w:rsid w:val="00DB1701"/>
    <w:rsid w:val="00DB1C27"/>
    <w:rsid w:val="00DB27BC"/>
    <w:rsid w:val="00DB2AB4"/>
    <w:rsid w:val="00DB2D24"/>
    <w:rsid w:val="00DB44F8"/>
    <w:rsid w:val="00DB4913"/>
    <w:rsid w:val="00DB716B"/>
    <w:rsid w:val="00DC04FE"/>
    <w:rsid w:val="00DC1073"/>
    <w:rsid w:val="00DC21CA"/>
    <w:rsid w:val="00DC222A"/>
    <w:rsid w:val="00DD0CA5"/>
    <w:rsid w:val="00DD27BF"/>
    <w:rsid w:val="00DD3310"/>
    <w:rsid w:val="00DD3DC9"/>
    <w:rsid w:val="00DD4D01"/>
    <w:rsid w:val="00DD67F6"/>
    <w:rsid w:val="00DD6C9A"/>
    <w:rsid w:val="00DD73D2"/>
    <w:rsid w:val="00DD74FC"/>
    <w:rsid w:val="00DE1224"/>
    <w:rsid w:val="00DE1C1F"/>
    <w:rsid w:val="00DE4551"/>
    <w:rsid w:val="00DE5CE9"/>
    <w:rsid w:val="00DE702C"/>
    <w:rsid w:val="00DE775D"/>
    <w:rsid w:val="00DF01C1"/>
    <w:rsid w:val="00DF14A1"/>
    <w:rsid w:val="00DF49D8"/>
    <w:rsid w:val="00DF4BB0"/>
    <w:rsid w:val="00DF6147"/>
    <w:rsid w:val="00DF66E5"/>
    <w:rsid w:val="00DF7160"/>
    <w:rsid w:val="00E0013B"/>
    <w:rsid w:val="00E00E24"/>
    <w:rsid w:val="00E0199E"/>
    <w:rsid w:val="00E01EF4"/>
    <w:rsid w:val="00E02ADF"/>
    <w:rsid w:val="00E030C4"/>
    <w:rsid w:val="00E03553"/>
    <w:rsid w:val="00E06463"/>
    <w:rsid w:val="00E07666"/>
    <w:rsid w:val="00E113F6"/>
    <w:rsid w:val="00E11DB0"/>
    <w:rsid w:val="00E11DD4"/>
    <w:rsid w:val="00E137C8"/>
    <w:rsid w:val="00E14E3A"/>
    <w:rsid w:val="00E15022"/>
    <w:rsid w:val="00E168DB"/>
    <w:rsid w:val="00E207FE"/>
    <w:rsid w:val="00E20B20"/>
    <w:rsid w:val="00E22435"/>
    <w:rsid w:val="00E251CE"/>
    <w:rsid w:val="00E271E1"/>
    <w:rsid w:val="00E27499"/>
    <w:rsid w:val="00E30948"/>
    <w:rsid w:val="00E31BD7"/>
    <w:rsid w:val="00E32A4E"/>
    <w:rsid w:val="00E33D2B"/>
    <w:rsid w:val="00E347AD"/>
    <w:rsid w:val="00E35559"/>
    <w:rsid w:val="00E36765"/>
    <w:rsid w:val="00E36FE7"/>
    <w:rsid w:val="00E401A3"/>
    <w:rsid w:val="00E40524"/>
    <w:rsid w:val="00E429D3"/>
    <w:rsid w:val="00E4371F"/>
    <w:rsid w:val="00E45EE9"/>
    <w:rsid w:val="00E478D3"/>
    <w:rsid w:val="00E50B54"/>
    <w:rsid w:val="00E5219E"/>
    <w:rsid w:val="00E52A58"/>
    <w:rsid w:val="00E537D4"/>
    <w:rsid w:val="00E54BD1"/>
    <w:rsid w:val="00E55438"/>
    <w:rsid w:val="00E5789E"/>
    <w:rsid w:val="00E602A5"/>
    <w:rsid w:val="00E604E4"/>
    <w:rsid w:val="00E606E2"/>
    <w:rsid w:val="00E60DB1"/>
    <w:rsid w:val="00E65487"/>
    <w:rsid w:val="00E65D26"/>
    <w:rsid w:val="00E663FA"/>
    <w:rsid w:val="00E66727"/>
    <w:rsid w:val="00E71BD3"/>
    <w:rsid w:val="00E71D76"/>
    <w:rsid w:val="00E71E8F"/>
    <w:rsid w:val="00E7242C"/>
    <w:rsid w:val="00E72AD3"/>
    <w:rsid w:val="00E75898"/>
    <w:rsid w:val="00E7695F"/>
    <w:rsid w:val="00E77B63"/>
    <w:rsid w:val="00E833C0"/>
    <w:rsid w:val="00E839B7"/>
    <w:rsid w:val="00E83A67"/>
    <w:rsid w:val="00E83C00"/>
    <w:rsid w:val="00E84E13"/>
    <w:rsid w:val="00E85673"/>
    <w:rsid w:val="00E85E85"/>
    <w:rsid w:val="00E87A5A"/>
    <w:rsid w:val="00E91AA5"/>
    <w:rsid w:val="00E91D91"/>
    <w:rsid w:val="00E92868"/>
    <w:rsid w:val="00E934C7"/>
    <w:rsid w:val="00E93A47"/>
    <w:rsid w:val="00E941E7"/>
    <w:rsid w:val="00E94579"/>
    <w:rsid w:val="00E954EB"/>
    <w:rsid w:val="00E95F76"/>
    <w:rsid w:val="00E96A12"/>
    <w:rsid w:val="00E96F45"/>
    <w:rsid w:val="00E97641"/>
    <w:rsid w:val="00EA2164"/>
    <w:rsid w:val="00EA28F5"/>
    <w:rsid w:val="00EA2BF7"/>
    <w:rsid w:val="00EA416F"/>
    <w:rsid w:val="00EA545C"/>
    <w:rsid w:val="00EA5D96"/>
    <w:rsid w:val="00EA7903"/>
    <w:rsid w:val="00EB33F1"/>
    <w:rsid w:val="00EB3D62"/>
    <w:rsid w:val="00EB57CD"/>
    <w:rsid w:val="00EB7B6C"/>
    <w:rsid w:val="00EC0EA2"/>
    <w:rsid w:val="00EC15B8"/>
    <w:rsid w:val="00EC1F5C"/>
    <w:rsid w:val="00EC2DD1"/>
    <w:rsid w:val="00EC397D"/>
    <w:rsid w:val="00EC58EF"/>
    <w:rsid w:val="00EC7598"/>
    <w:rsid w:val="00EC7667"/>
    <w:rsid w:val="00ED049E"/>
    <w:rsid w:val="00ED36A0"/>
    <w:rsid w:val="00ED3DCC"/>
    <w:rsid w:val="00ED6322"/>
    <w:rsid w:val="00ED688F"/>
    <w:rsid w:val="00ED70FE"/>
    <w:rsid w:val="00ED7805"/>
    <w:rsid w:val="00EE1515"/>
    <w:rsid w:val="00EE419B"/>
    <w:rsid w:val="00EE424B"/>
    <w:rsid w:val="00EE4BE7"/>
    <w:rsid w:val="00EE753A"/>
    <w:rsid w:val="00EE79C1"/>
    <w:rsid w:val="00EF32F0"/>
    <w:rsid w:val="00EF4A9D"/>
    <w:rsid w:val="00EF58F9"/>
    <w:rsid w:val="00EF62D4"/>
    <w:rsid w:val="00EF678C"/>
    <w:rsid w:val="00EF6EB3"/>
    <w:rsid w:val="00F00079"/>
    <w:rsid w:val="00F00F89"/>
    <w:rsid w:val="00F01432"/>
    <w:rsid w:val="00F017F3"/>
    <w:rsid w:val="00F025B2"/>
    <w:rsid w:val="00F03F18"/>
    <w:rsid w:val="00F06BF0"/>
    <w:rsid w:val="00F0773F"/>
    <w:rsid w:val="00F07F48"/>
    <w:rsid w:val="00F1196F"/>
    <w:rsid w:val="00F11B3F"/>
    <w:rsid w:val="00F124B4"/>
    <w:rsid w:val="00F136C4"/>
    <w:rsid w:val="00F15E48"/>
    <w:rsid w:val="00F16486"/>
    <w:rsid w:val="00F174E4"/>
    <w:rsid w:val="00F2201C"/>
    <w:rsid w:val="00F232D6"/>
    <w:rsid w:val="00F232EC"/>
    <w:rsid w:val="00F24298"/>
    <w:rsid w:val="00F2536E"/>
    <w:rsid w:val="00F253F9"/>
    <w:rsid w:val="00F262B0"/>
    <w:rsid w:val="00F265B5"/>
    <w:rsid w:val="00F306A3"/>
    <w:rsid w:val="00F30E82"/>
    <w:rsid w:val="00F31F51"/>
    <w:rsid w:val="00F32692"/>
    <w:rsid w:val="00F3356E"/>
    <w:rsid w:val="00F33EA3"/>
    <w:rsid w:val="00F34500"/>
    <w:rsid w:val="00F34976"/>
    <w:rsid w:val="00F35C5D"/>
    <w:rsid w:val="00F35FE8"/>
    <w:rsid w:val="00F36203"/>
    <w:rsid w:val="00F3717D"/>
    <w:rsid w:val="00F379B5"/>
    <w:rsid w:val="00F4048F"/>
    <w:rsid w:val="00F41F14"/>
    <w:rsid w:val="00F430E8"/>
    <w:rsid w:val="00F43A64"/>
    <w:rsid w:val="00F44F67"/>
    <w:rsid w:val="00F45C2A"/>
    <w:rsid w:val="00F50A7D"/>
    <w:rsid w:val="00F50E93"/>
    <w:rsid w:val="00F5146F"/>
    <w:rsid w:val="00F51A0E"/>
    <w:rsid w:val="00F520AF"/>
    <w:rsid w:val="00F52D9D"/>
    <w:rsid w:val="00F53745"/>
    <w:rsid w:val="00F541E2"/>
    <w:rsid w:val="00F55D1F"/>
    <w:rsid w:val="00F5666F"/>
    <w:rsid w:val="00F572A9"/>
    <w:rsid w:val="00F57380"/>
    <w:rsid w:val="00F6017E"/>
    <w:rsid w:val="00F618BC"/>
    <w:rsid w:val="00F61F6F"/>
    <w:rsid w:val="00F62222"/>
    <w:rsid w:val="00F62FAA"/>
    <w:rsid w:val="00F63C8C"/>
    <w:rsid w:val="00F65EC6"/>
    <w:rsid w:val="00F65F0C"/>
    <w:rsid w:val="00F70948"/>
    <w:rsid w:val="00F70DB1"/>
    <w:rsid w:val="00F71E0F"/>
    <w:rsid w:val="00F733AA"/>
    <w:rsid w:val="00F73B10"/>
    <w:rsid w:val="00F7563F"/>
    <w:rsid w:val="00F76C7E"/>
    <w:rsid w:val="00F77B24"/>
    <w:rsid w:val="00F8160F"/>
    <w:rsid w:val="00F81D13"/>
    <w:rsid w:val="00F82C1C"/>
    <w:rsid w:val="00F84C4E"/>
    <w:rsid w:val="00F85734"/>
    <w:rsid w:val="00F863F6"/>
    <w:rsid w:val="00F903BD"/>
    <w:rsid w:val="00F90D2F"/>
    <w:rsid w:val="00F92797"/>
    <w:rsid w:val="00F933FE"/>
    <w:rsid w:val="00F93569"/>
    <w:rsid w:val="00F95C14"/>
    <w:rsid w:val="00F965A8"/>
    <w:rsid w:val="00FA1606"/>
    <w:rsid w:val="00FA1EDB"/>
    <w:rsid w:val="00FA33E9"/>
    <w:rsid w:val="00FA4B5D"/>
    <w:rsid w:val="00FA4F5E"/>
    <w:rsid w:val="00FA588E"/>
    <w:rsid w:val="00FA661B"/>
    <w:rsid w:val="00FA7024"/>
    <w:rsid w:val="00FA76D7"/>
    <w:rsid w:val="00FA7A81"/>
    <w:rsid w:val="00FB03C0"/>
    <w:rsid w:val="00FB2E5E"/>
    <w:rsid w:val="00FB3355"/>
    <w:rsid w:val="00FB3386"/>
    <w:rsid w:val="00FB4AA0"/>
    <w:rsid w:val="00FB7AC3"/>
    <w:rsid w:val="00FC04F4"/>
    <w:rsid w:val="00FC0872"/>
    <w:rsid w:val="00FC1C0E"/>
    <w:rsid w:val="00FC2393"/>
    <w:rsid w:val="00FC2CB5"/>
    <w:rsid w:val="00FC2F5A"/>
    <w:rsid w:val="00FC31C6"/>
    <w:rsid w:val="00FC3254"/>
    <w:rsid w:val="00FC41AD"/>
    <w:rsid w:val="00FC443A"/>
    <w:rsid w:val="00FC5964"/>
    <w:rsid w:val="00FC5C86"/>
    <w:rsid w:val="00FC7537"/>
    <w:rsid w:val="00FD0A1D"/>
    <w:rsid w:val="00FD3690"/>
    <w:rsid w:val="00FD40D2"/>
    <w:rsid w:val="00FD4843"/>
    <w:rsid w:val="00FD5064"/>
    <w:rsid w:val="00FD5E1B"/>
    <w:rsid w:val="00FD6013"/>
    <w:rsid w:val="00FD76B2"/>
    <w:rsid w:val="00FE005B"/>
    <w:rsid w:val="00FE3490"/>
    <w:rsid w:val="00FE3E44"/>
    <w:rsid w:val="00FF032C"/>
    <w:rsid w:val="00FF0688"/>
    <w:rsid w:val="00FF072E"/>
    <w:rsid w:val="00FF0943"/>
    <w:rsid w:val="00FF1185"/>
    <w:rsid w:val="00FF7F28"/>
    <w:rsid w:val="012B568F"/>
    <w:rsid w:val="012B64AF"/>
    <w:rsid w:val="012D66CB"/>
    <w:rsid w:val="01312201"/>
    <w:rsid w:val="01345E18"/>
    <w:rsid w:val="014452FA"/>
    <w:rsid w:val="01655E65"/>
    <w:rsid w:val="016D0074"/>
    <w:rsid w:val="0174341A"/>
    <w:rsid w:val="01871104"/>
    <w:rsid w:val="01873887"/>
    <w:rsid w:val="018F4C90"/>
    <w:rsid w:val="019A7960"/>
    <w:rsid w:val="019B53E2"/>
    <w:rsid w:val="01A52B9E"/>
    <w:rsid w:val="01A544B3"/>
    <w:rsid w:val="01B92603"/>
    <w:rsid w:val="01B97F5E"/>
    <w:rsid w:val="01BD2B83"/>
    <w:rsid w:val="01C56903"/>
    <w:rsid w:val="01D2160D"/>
    <w:rsid w:val="01D8725F"/>
    <w:rsid w:val="01DD3AC3"/>
    <w:rsid w:val="01E0373D"/>
    <w:rsid w:val="01E63516"/>
    <w:rsid w:val="021653B1"/>
    <w:rsid w:val="0227136C"/>
    <w:rsid w:val="023F0464"/>
    <w:rsid w:val="02443CCC"/>
    <w:rsid w:val="02510A9E"/>
    <w:rsid w:val="026D3223"/>
    <w:rsid w:val="02867E41"/>
    <w:rsid w:val="028D33F0"/>
    <w:rsid w:val="02985DC6"/>
    <w:rsid w:val="02A8425B"/>
    <w:rsid w:val="02C337E5"/>
    <w:rsid w:val="02F56D74"/>
    <w:rsid w:val="03045209"/>
    <w:rsid w:val="03071ACA"/>
    <w:rsid w:val="03144B98"/>
    <w:rsid w:val="032872F5"/>
    <w:rsid w:val="03520444"/>
    <w:rsid w:val="03555A65"/>
    <w:rsid w:val="03597303"/>
    <w:rsid w:val="036F39FE"/>
    <w:rsid w:val="039E740C"/>
    <w:rsid w:val="03A941CA"/>
    <w:rsid w:val="03AD58A1"/>
    <w:rsid w:val="03EA3A4A"/>
    <w:rsid w:val="03F359AA"/>
    <w:rsid w:val="03F4702C"/>
    <w:rsid w:val="041871BE"/>
    <w:rsid w:val="042C127A"/>
    <w:rsid w:val="0434710C"/>
    <w:rsid w:val="04347C93"/>
    <w:rsid w:val="04510922"/>
    <w:rsid w:val="046046C1"/>
    <w:rsid w:val="046917C8"/>
    <w:rsid w:val="047343F5"/>
    <w:rsid w:val="047E1AD5"/>
    <w:rsid w:val="047E30BB"/>
    <w:rsid w:val="04B2316F"/>
    <w:rsid w:val="04BA16EB"/>
    <w:rsid w:val="04C46000"/>
    <w:rsid w:val="04C47320"/>
    <w:rsid w:val="04C960AD"/>
    <w:rsid w:val="04CE1F73"/>
    <w:rsid w:val="04D31337"/>
    <w:rsid w:val="04ED23F9"/>
    <w:rsid w:val="04F96FF0"/>
    <w:rsid w:val="05376ADB"/>
    <w:rsid w:val="054933A7"/>
    <w:rsid w:val="055A55B4"/>
    <w:rsid w:val="056401E1"/>
    <w:rsid w:val="05790131"/>
    <w:rsid w:val="057F6DC9"/>
    <w:rsid w:val="058524D2"/>
    <w:rsid w:val="059720E7"/>
    <w:rsid w:val="05E530D0"/>
    <w:rsid w:val="060754D4"/>
    <w:rsid w:val="06401517"/>
    <w:rsid w:val="064E6EC7"/>
    <w:rsid w:val="06500EB6"/>
    <w:rsid w:val="0650784B"/>
    <w:rsid w:val="067C2E7A"/>
    <w:rsid w:val="069C58A5"/>
    <w:rsid w:val="06B225CD"/>
    <w:rsid w:val="06D230D0"/>
    <w:rsid w:val="06DC0977"/>
    <w:rsid w:val="06E25862"/>
    <w:rsid w:val="06E52544"/>
    <w:rsid w:val="06EE06AA"/>
    <w:rsid w:val="06F23CF7"/>
    <w:rsid w:val="07036820"/>
    <w:rsid w:val="07133C6D"/>
    <w:rsid w:val="07222102"/>
    <w:rsid w:val="0762652E"/>
    <w:rsid w:val="0765096C"/>
    <w:rsid w:val="07691D5A"/>
    <w:rsid w:val="077010BF"/>
    <w:rsid w:val="07794C61"/>
    <w:rsid w:val="078C36F9"/>
    <w:rsid w:val="0799647F"/>
    <w:rsid w:val="07A734B9"/>
    <w:rsid w:val="07A80859"/>
    <w:rsid w:val="07B03304"/>
    <w:rsid w:val="07B23486"/>
    <w:rsid w:val="07B332B2"/>
    <w:rsid w:val="07C10B75"/>
    <w:rsid w:val="07E4565F"/>
    <w:rsid w:val="07FB4E2D"/>
    <w:rsid w:val="08052DE6"/>
    <w:rsid w:val="0808579C"/>
    <w:rsid w:val="080A1514"/>
    <w:rsid w:val="0824300F"/>
    <w:rsid w:val="0825634E"/>
    <w:rsid w:val="082C01E6"/>
    <w:rsid w:val="08510EF1"/>
    <w:rsid w:val="085D501A"/>
    <w:rsid w:val="086230FE"/>
    <w:rsid w:val="088E5CA1"/>
    <w:rsid w:val="08B84ACC"/>
    <w:rsid w:val="08DE3713"/>
    <w:rsid w:val="08F4647A"/>
    <w:rsid w:val="08FE42F0"/>
    <w:rsid w:val="090D306A"/>
    <w:rsid w:val="09265ED9"/>
    <w:rsid w:val="09287EA3"/>
    <w:rsid w:val="093740A6"/>
    <w:rsid w:val="093A634C"/>
    <w:rsid w:val="09475E50"/>
    <w:rsid w:val="094A1DD3"/>
    <w:rsid w:val="094D2A25"/>
    <w:rsid w:val="09553515"/>
    <w:rsid w:val="09622C8A"/>
    <w:rsid w:val="09765ED2"/>
    <w:rsid w:val="09766C92"/>
    <w:rsid w:val="099E00F3"/>
    <w:rsid w:val="099E257C"/>
    <w:rsid w:val="09A32C43"/>
    <w:rsid w:val="09A4400D"/>
    <w:rsid w:val="09A80C3A"/>
    <w:rsid w:val="09BB0D18"/>
    <w:rsid w:val="09C00C16"/>
    <w:rsid w:val="09C0632E"/>
    <w:rsid w:val="09C14D81"/>
    <w:rsid w:val="09C7121C"/>
    <w:rsid w:val="09C7391B"/>
    <w:rsid w:val="09D10CF5"/>
    <w:rsid w:val="09FB1F56"/>
    <w:rsid w:val="0A0A75A9"/>
    <w:rsid w:val="0A0C3C45"/>
    <w:rsid w:val="0A14667A"/>
    <w:rsid w:val="0A1D6585"/>
    <w:rsid w:val="0A3B7763"/>
    <w:rsid w:val="0A466CBB"/>
    <w:rsid w:val="0A467062"/>
    <w:rsid w:val="0A481E7F"/>
    <w:rsid w:val="0A4A5BF8"/>
    <w:rsid w:val="0A652A31"/>
    <w:rsid w:val="0A674EAA"/>
    <w:rsid w:val="0A6C1347"/>
    <w:rsid w:val="0A6C3DC0"/>
    <w:rsid w:val="0A86401B"/>
    <w:rsid w:val="0A893F2C"/>
    <w:rsid w:val="0A982E07"/>
    <w:rsid w:val="0A99092D"/>
    <w:rsid w:val="0AB24ACA"/>
    <w:rsid w:val="0ABE2142"/>
    <w:rsid w:val="0AC74AF3"/>
    <w:rsid w:val="0AD025A1"/>
    <w:rsid w:val="0ADF50D4"/>
    <w:rsid w:val="0AEA2863"/>
    <w:rsid w:val="0B2F7155"/>
    <w:rsid w:val="0B5D195B"/>
    <w:rsid w:val="0B7E1D2B"/>
    <w:rsid w:val="0B9E444D"/>
    <w:rsid w:val="0BAC0749"/>
    <w:rsid w:val="0BB05F2E"/>
    <w:rsid w:val="0BB51274"/>
    <w:rsid w:val="0BF26547"/>
    <w:rsid w:val="0C300E1D"/>
    <w:rsid w:val="0C5D5081"/>
    <w:rsid w:val="0C780AE8"/>
    <w:rsid w:val="0C78737C"/>
    <w:rsid w:val="0C8000EF"/>
    <w:rsid w:val="0C851FFF"/>
    <w:rsid w:val="0C9C2FC0"/>
    <w:rsid w:val="0CB067BE"/>
    <w:rsid w:val="0CB159D2"/>
    <w:rsid w:val="0CB97065"/>
    <w:rsid w:val="0CD15B93"/>
    <w:rsid w:val="0CDF2F6F"/>
    <w:rsid w:val="0CE2480D"/>
    <w:rsid w:val="0CEF3EDE"/>
    <w:rsid w:val="0CEF787C"/>
    <w:rsid w:val="0CF12CA2"/>
    <w:rsid w:val="0D1125C7"/>
    <w:rsid w:val="0D1A5D55"/>
    <w:rsid w:val="0D2C23B6"/>
    <w:rsid w:val="0D403B72"/>
    <w:rsid w:val="0D570D57"/>
    <w:rsid w:val="0D705975"/>
    <w:rsid w:val="0D8C6527"/>
    <w:rsid w:val="0DB76EC2"/>
    <w:rsid w:val="0DD432DC"/>
    <w:rsid w:val="0DF77E44"/>
    <w:rsid w:val="0DFA7935"/>
    <w:rsid w:val="0E0348F6"/>
    <w:rsid w:val="0E172295"/>
    <w:rsid w:val="0E3177FA"/>
    <w:rsid w:val="0E37485D"/>
    <w:rsid w:val="0E5062CF"/>
    <w:rsid w:val="0E63372C"/>
    <w:rsid w:val="0E6F3E7F"/>
    <w:rsid w:val="0E7B2823"/>
    <w:rsid w:val="0E7B2DD7"/>
    <w:rsid w:val="0E9D1943"/>
    <w:rsid w:val="0EC36BFC"/>
    <w:rsid w:val="0ED70B6F"/>
    <w:rsid w:val="0ED72A64"/>
    <w:rsid w:val="0EDC5630"/>
    <w:rsid w:val="0EEE56EB"/>
    <w:rsid w:val="0EF34AB0"/>
    <w:rsid w:val="0F026AA1"/>
    <w:rsid w:val="0F177AD4"/>
    <w:rsid w:val="0F1A028E"/>
    <w:rsid w:val="0F27519E"/>
    <w:rsid w:val="0F3816CB"/>
    <w:rsid w:val="0F6D754F"/>
    <w:rsid w:val="0F7F4595"/>
    <w:rsid w:val="0F841BAC"/>
    <w:rsid w:val="0FA91612"/>
    <w:rsid w:val="0FE60171"/>
    <w:rsid w:val="0FF7412C"/>
    <w:rsid w:val="0FFC2722"/>
    <w:rsid w:val="10013130"/>
    <w:rsid w:val="1001422A"/>
    <w:rsid w:val="10022124"/>
    <w:rsid w:val="103478AF"/>
    <w:rsid w:val="106A7833"/>
    <w:rsid w:val="10723FA7"/>
    <w:rsid w:val="10765998"/>
    <w:rsid w:val="10AA14E8"/>
    <w:rsid w:val="10BA0895"/>
    <w:rsid w:val="10DA202E"/>
    <w:rsid w:val="10DB3A4D"/>
    <w:rsid w:val="10E943BC"/>
    <w:rsid w:val="10EF418F"/>
    <w:rsid w:val="110018B9"/>
    <w:rsid w:val="1122245A"/>
    <w:rsid w:val="112804DF"/>
    <w:rsid w:val="112E0021"/>
    <w:rsid w:val="1138043E"/>
    <w:rsid w:val="113B4939"/>
    <w:rsid w:val="11474B1F"/>
    <w:rsid w:val="114C04A7"/>
    <w:rsid w:val="115E01DA"/>
    <w:rsid w:val="11634355"/>
    <w:rsid w:val="117F6ACF"/>
    <w:rsid w:val="119A3908"/>
    <w:rsid w:val="11C24C0D"/>
    <w:rsid w:val="11E3705D"/>
    <w:rsid w:val="11F8418B"/>
    <w:rsid w:val="11FA7F03"/>
    <w:rsid w:val="12004258"/>
    <w:rsid w:val="12193D44"/>
    <w:rsid w:val="1227345A"/>
    <w:rsid w:val="124F64A1"/>
    <w:rsid w:val="125F420A"/>
    <w:rsid w:val="1293001F"/>
    <w:rsid w:val="129E4D32"/>
    <w:rsid w:val="12AB2A46"/>
    <w:rsid w:val="12B3434F"/>
    <w:rsid w:val="12B61BFF"/>
    <w:rsid w:val="12CC3F0B"/>
    <w:rsid w:val="12E27315"/>
    <w:rsid w:val="12EC2D08"/>
    <w:rsid w:val="12FB03D7"/>
    <w:rsid w:val="13103CCD"/>
    <w:rsid w:val="132D0C2D"/>
    <w:rsid w:val="13367661"/>
    <w:rsid w:val="134B5679"/>
    <w:rsid w:val="134E102A"/>
    <w:rsid w:val="13631AD8"/>
    <w:rsid w:val="137C176E"/>
    <w:rsid w:val="137D2B9A"/>
    <w:rsid w:val="137E6912"/>
    <w:rsid w:val="13893C35"/>
    <w:rsid w:val="139323BD"/>
    <w:rsid w:val="13C0517C"/>
    <w:rsid w:val="13C90380"/>
    <w:rsid w:val="141269E4"/>
    <w:rsid w:val="143A0E25"/>
    <w:rsid w:val="144059E1"/>
    <w:rsid w:val="14411E19"/>
    <w:rsid w:val="1457788F"/>
    <w:rsid w:val="145F250F"/>
    <w:rsid w:val="147B0AEF"/>
    <w:rsid w:val="147F2942"/>
    <w:rsid w:val="14820708"/>
    <w:rsid w:val="14C43C93"/>
    <w:rsid w:val="14D451CE"/>
    <w:rsid w:val="14E32ED1"/>
    <w:rsid w:val="14E46C49"/>
    <w:rsid w:val="150D3D23"/>
    <w:rsid w:val="151829DD"/>
    <w:rsid w:val="152C2AC9"/>
    <w:rsid w:val="15301176"/>
    <w:rsid w:val="153100E0"/>
    <w:rsid w:val="15593193"/>
    <w:rsid w:val="15595889"/>
    <w:rsid w:val="15692561"/>
    <w:rsid w:val="157424F0"/>
    <w:rsid w:val="157826B9"/>
    <w:rsid w:val="159B63F3"/>
    <w:rsid w:val="159C41BD"/>
    <w:rsid w:val="159F28E6"/>
    <w:rsid w:val="15A563D8"/>
    <w:rsid w:val="15AC7766"/>
    <w:rsid w:val="15CE5189"/>
    <w:rsid w:val="15D54B4C"/>
    <w:rsid w:val="15DD3DC4"/>
    <w:rsid w:val="15E215F1"/>
    <w:rsid w:val="15E6711C"/>
    <w:rsid w:val="15EA266F"/>
    <w:rsid w:val="161B1089"/>
    <w:rsid w:val="161F262E"/>
    <w:rsid w:val="1628599D"/>
    <w:rsid w:val="16345E02"/>
    <w:rsid w:val="16441FF5"/>
    <w:rsid w:val="16514EAB"/>
    <w:rsid w:val="166D524C"/>
    <w:rsid w:val="167752D8"/>
    <w:rsid w:val="16970417"/>
    <w:rsid w:val="16975F31"/>
    <w:rsid w:val="16A50D85"/>
    <w:rsid w:val="16A6065A"/>
    <w:rsid w:val="16BA4105"/>
    <w:rsid w:val="16BB3B6F"/>
    <w:rsid w:val="16BE5E5F"/>
    <w:rsid w:val="16F5338F"/>
    <w:rsid w:val="16F77A10"/>
    <w:rsid w:val="17326391"/>
    <w:rsid w:val="17327375"/>
    <w:rsid w:val="17424826"/>
    <w:rsid w:val="175160A3"/>
    <w:rsid w:val="175534B5"/>
    <w:rsid w:val="17614581"/>
    <w:rsid w:val="17627C6A"/>
    <w:rsid w:val="177D39CE"/>
    <w:rsid w:val="178070FD"/>
    <w:rsid w:val="178D1819"/>
    <w:rsid w:val="17942BA8"/>
    <w:rsid w:val="1796247C"/>
    <w:rsid w:val="17AF353E"/>
    <w:rsid w:val="17B60D70"/>
    <w:rsid w:val="17B8377D"/>
    <w:rsid w:val="17C02FEC"/>
    <w:rsid w:val="17C50FB3"/>
    <w:rsid w:val="17CA3EB4"/>
    <w:rsid w:val="17D053EC"/>
    <w:rsid w:val="17D41266"/>
    <w:rsid w:val="17D67928"/>
    <w:rsid w:val="17D80CE7"/>
    <w:rsid w:val="17E07B9B"/>
    <w:rsid w:val="17E53404"/>
    <w:rsid w:val="17E576C3"/>
    <w:rsid w:val="180037A6"/>
    <w:rsid w:val="180C273E"/>
    <w:rsid w:val="1811732F"/>
    <w:rsid w:val="1825197B"/>
    <w:rsid w:val="18273A1C"/>
    <w:rsid w:val="182872C3"/>
    <w:rsid w:val="183C6D32"/>
    <w:rsid w:val="183F2050"/>
    <w:rsid w:val="186B0BB7"/>
    <w:rsid w:val="186C3E9E"/>
    <w:rsid w:val="187B1554"/>
    <w:rsid w:val="188B5982"/>
    <w:rsid w:val="18954E2A"/>
    <w:rsid w:val="189A5F9C"/>
    <w:rsid w:val="189F35B2"/>
    <w:rsid w:val="18A22BC8"/>
    <w:rsid w:val="18B41F4B"/>
    <w:rsid w:val="18D56FD4"/>
    <w:rsid w:val="18F115D9"/>
    <w:rsid w:val="18F97167"/>
    <w:rsid w:val="18FE477D"/>
    <w:rsid w:val="193A69BC"/>
    <w:rsid w:val="194556FE"/>
    <w:rsid w:val="19457793"/>
    <w:rsid w:val="19616536"/>
    <w:rsid w:val="19624145"/>
    <w:rsid w:val="19735FC0"/>
    <w:rsid w:val="19742C91"/>
    <w:rsid w:val="198A4263"/>
    <w:rsid w:val="19A3673D"/>
    <w:rsid w:val="19B05F0A"/>
    <w:rsid w:val="19DD6C02"/>
    <w:rsid w:val="19E716B5"/>
    <w:rsid w:val="1A0D279E"/>
    <w:rsid w:val="1A2E73F6"/>
    <w:rsid w:val="1A302672"/>
    <w:rsid w:val="1A873E29"/>
    <w:rsid w:val="1A9058A9"/>
    <w:rsid w:val="1A9815B2"/>
    <w:rsid w:val="1A9E5619"/>
    <w:rsid w:val="1AAE7C0A"/>
    <w:rsid w:val="1ABB2358"/>
    <w:rsid w:val="1ABF1D40"/>
    <w:rsid w:val="1AC03D49"/>
    <w:rsid w:val="1ADA2FC8"/>
    <w:rsid w:val="1ADA3D88"/>
    <w:rsid w:val="1ADA5F9E"/>
    <w:rsid w:val="1ADD03C2"/>
    <w:rsid w:val="1ADD3496"/>
    <w:rsid w:val="1ADF413A"/>
    <w:rsid w:val="1AE87493"/>
    <w:rsid w:val="1AFF2A2E"/>
    <w:rsid w:val="1B2705DE"/>
    <w:rsid w:val="1B2920BC"/>
    <w:rsid w:val="1B574618"/>
    <w:rsid w:val="1B7035E6"/>
    <w:rsid w:val="1B787BED"/>
    <w:rsid w:val="1B803B6F"/>
    <w:rsid w:val="1B8D3B96"/>
    <w:rsid w:val="1B8F790E"/>
    <w:rsid w:val="1B9E3FF5"/>
    <w:rsid w:val="1BC25F36"/>
    <w:rsid w:val="1BCA2C22"/>
    <w:rsid w:val="1BF645FE"/>
    <w:rsid w:val="1C0E2F29"/>
    <w:rsid w:val="1C12649C"/>
    <w:rsid w:val="1C1B73F4"/>
    <w:rsid w:val="1C39021B"/>
    <w:rsid w:val="1C676F61"/>
    <w:rsid w:val="1C84143D"/>
    <w:rsid w:val="1CAE4009"/>
    <w:rsid w:val="1CB610B6"/>
    <w:rsid w:val="1CBD494F"/>
    <w:rsid w:val="1CE02186"/>
    <w:rsid w:val="1CE920F9"/>
    <w:rsid w:val="1CF814E3"/>
    <w:rsid w:val="1D022362"/>
    <w:rsid w:val="1D091942"/>
    <w:rsid w:val="1D2661C8"/>
    <w:rsid w:val="1D2E723C"/>
    <w:rsid w:val="1D31428C"/>
    <w:rsid w:val="1D322C47"/>
    <w:rsid w:val="1D666F6E"/>
    <w:rsid w:val="1D81597C"/>
    <w:rsid w:val="1D85546D"/>
    <w:rsid w:val="1DB61906"/>
    <w:rsid w:val="1DD0420E"/>
    <w:rsid w:val="1E262080"/>
    <w:rsid w:val="1E320A25"/>
    <w:rsid w:val="1E3462A7"/>
    <w:rsid w:val="1E403D70"/>
    <w:rsid w:val="1E45146E"/>
    <w:rsid w:val="1E4569AA"/>
    <w:rsid w:val="1E4A0464"/>
    <w:rsid w:val="1E5B441F"/>
    <w:rsid w:val="1E7D6144"/>
    <w:rsid w:val="1E9A4F48"/>
    <w:rsid w:val="1E9F255E"/>
    <w:rsid w:val="1EAA6178"/>
    <w:rsid w:val="1EAC4C7B"/>
    <w:rsid w:val="1EBC3110"/>
    <w:rsid w:val="1ED146E2"/>
    <w:rsid w:val="1EF13A23"/>
    <w:rsid w:val="1EF26B32"/>
    <w:rsid w:val="1EF413FA"/>
    <w:rsid w:val="1F1B0C2D"/>
    <w:rsid w:val="1F244811"/>
    <w:rsid w:val="1F4A7DCC"/>
    <w:rsid w:val="1F5363C9"/>
    <w:rsid w:val="1F597706"/>
    <w:rsid w:val="1F8B4890"/>
    <w:rsid w:val="1F8D14F9"/>
    <w:rsid w:val="1F903C55"/>
    <w:rsid w:val="1F953961"/>
    <w:rsid w:val="1FB262C1"/>
    <w:rsid w:val="1FBC4A4A"/>
    <w:rsid w:val="1FCF0C21"/>
    <w:rsid w:val="1FCF12B9"/>
    <w:rsid w:val="1FEF4E1F"/>
    <w:rsid w:val="1FF74D8F"/>
    <w:rsid w:val="200C7A69"/>
    <w:rsid w:val="20126D60"/>
    <w:rsid w:val="20171A8E"/>
    <w:rsid w:val="204B61D2"/>
    <w:rsid w:val="20586E69"/>
    <w:rsid w:val="205A2C47"/>
    <w:rsid w:val="206550E2"/>
    <w:rsid w:val="20797941"/>
    <w:rsid w:val="207B4905"/>
    <w:rsid w:val="209705E8"/>
    <w:rsid w:val="209B0AD6"/>
    <w:rsid w:val="20A7371A"/>
    <w:rsid w:val="20B41BC5"/>
    <w:rsid w:val="211A2370"/>
    <w:rsid w:val="211B34E4"/>
    <w:rsid w:val="213C24EB"/>
    <w:rsid w:val="21417F2E"/>
    <w:rsid w:val="2145409B"/>
    <w:rsid w:val="21581FF1"/>
    <w:rsid w:val="216058A9"/>
    <w:rsid w:val="218A4260"/>
    <w:rsid w:val="21933C35"/>
    <w:rsid w:val="21A12149"/>
    <w:rsid w:val="21A17311"/>
    <w:rsid w:val="21AF0D0A"/>
    <w:rsid w:val="21B5136C"/>
    <w:rsid w:val="21DC7625"/>
    <w:rsid w:val="21FD2BA5"/>
    <w:rsid w:val="2200096C"/>
    <w:rsid w:val="221A1EFC"/>
    <w:rsid w:val="2241392C"/>
    <w:rsid w:val="22450DA6"/>
    <w:rsid w:val="224C47AB"/>
    <w:rsid w:val="22602813"/>
    <w:rsid w:val="22673393"/>
    <w:rsid w:val="22681877"/>
    <w:rsid w:val="22837AA1"/>
    <w:rsid w:val="229B4DEB"/>
    <w:rsid w:val="22B746D1"/>
    <w:rsid w:val="22B7567A"/>
    <w:rsid w:val="22C40B5C"/>
    <w:rsid w:val="22CB7258"/>
    <w:rsid w:val="22CE365D"/>
    <w:rsid w:val="22CF2F49"/>
    <w:rsid w:val="22D374EA"/>
    <w:rsid w:val="2323381D"/>
    <w:rsid w:val="23246089"/>
    <w:rsid w:val="23305E7B"/>
    <w:rsid w:val="23341448"/>
    <w:rsid w:val="23356FED"/>
    <w:rsid w:val="233B51C8"/>
    <w:rsid w:val="233F7E6C"/>
    <w:rsid w:val="239C78BF"/>
    <w:rsid w:val="239E21F0"/>
    <w:rsid w:val="23AA5B24"/>
    <w:rsid w:val="23AD611B"/>
    <w:rsid w:val="23D5432C"/>
    <w:rsid w:val="23D731FE"/>
    <w:rsid w:val="23E12CD1"/>
    <w:rsid w:val="23F5677C"/>
    <w:rsid w:val="23FE3FEE"/>
    <w:rsid w:val="240971A3"/>
    <w:rsid w:val="241F7FD1"/>
    <w:rsid w:val="24264B88"/>
    <w:rsid w:val="242A0B1C"/>
    <w:rsid w:val="243C25FD"/>
    <w:rsid w:val="247104F9"/>
    <w:rsid w:val="24740862"/>
    <w:rsid w:val="24743B45"/>
    <w:rsid w:val="247753E3"/>
    <w:rsid w:val="24857B00"/>
    <w:rsid w:val="24863878"/>
    <w:rsid w:val="2491522E"/>
    <w:rsid w:val="24975A86"/>
    <w:rsid w:val="249A796B"/>
    <w:rsid w:val="249B5E65"/>
    <w:rsid w:val="24A24B56"/>
    <w:rsid w:val="24B91EA0"/>
    <w:rsid w:val="24B9756A"/>
    <w:rsid w:val="24C90335"/>
    <w:rsid w:val="24D46CDA"/>
    <w:rsid w:val="24E32A79"/>
    <w:rsid w:val="24EA49C6"/>
    <w:rsid w:val="25042435"/>
    <w:rsid w:val="251870F5"/>
    <w:rsid w:val="25336E34"/>
    <w:rsid w:val="253775BA"/>
    <w:rsid w:val="253D03DB"/>
    <w:rsid w:val="25407ECB"/>
    <w:rsid w:val="25453733"/>
    <w:rsid w:val="255A71DF"/>
    <w:rsid w:val="25622AD6"/>
    <w:rsid w:val="25911D97"/>
    <w:rsid w:val="259D531E"/>
    <w:rsid w:val="25BB1EE5"/>
    <w:rsid w:val="25BC1C48"/>
    <w:rsid w:val="25BE0391"/>
    <w:rsid w:val="25C06BBA"/>
    <w:rsid w:val="25CB2C46"/>
    <w:rsid w:val="25CF0275"/>
    <w:rsid w:val="25E46AA9"/>
    <w:rsid w:val="25EE2C9A"/>
    <w:rsid w:val="25F442B9"/>
    <w:rsid w:val="260D7E3B"/>
    <w:rsid w:val="261A696E"/>
    <w:rsid w:val="262C64A5"/>
    <w:rsid w:val="263D3ADC"/>
    <w:rsid w:val="26647BE9"/>
    <w:rsid w:val="26695200"/>
    <w:rsid w:val="26775B6F"/>
    <w:rsid w:val="268C5B54"/>
    <w:rsid w:val="26C13138"/>
    <w:rsid w:val="26CD578F"/>
    <w:rsid w:val="26D81204"/>
    <w:rsid w:val="26E0745B"/>
    <w:rsid w:val="26E42C82"/>
    <w:rsid w:val="26EC191F"/>
    <w:rsid w:val="26F1465A"/>
    <w:rsid w:val="26F21DD1"/>
    <w:rsid w:val="26F32C62"/>
    <w:rsid w:val="270513CC"/>
    <w:rsid w:val="27064377"/>
    <w:rsid w:val="27207FB4"/>
    <w:rsid w:val="273F20F3"/>
    <w:rsid w:val="273F48DE"/>
    <w:rsid w:val="27545EB0"/>
    <w:rsid w:val="27564D3B"/>
    <w:rsid w:val="278B7B24"/>
    <w:rsid w:val="27967E29"/>
    <w:rsid w:val="27A95DDD"/>
    <w:rsid w:val="27B67430"/>
    <w:rsid w:val="27CB6172"/>
    <w:rsid w:val="27EB6ADB"/>
    <w:rsid w:val="27F54F9D"/>
    <w:rsid w:val="28033B5E"/>
    <w:rsid w:val="280E2503"/>
    <w:rsid w:val="282B09BF"/>
    <w:rsid w:val="282D40DB"/>
    <w:rsid w:val="28667C49"/>
    <w:rsid w:val="286F068B"/>
    <w:rsid w:val="288307FB"/>
    <w:rsid w:val="289305C8"/>
    <w:rsid w:val="28A23396"/>
    <w:rsid w:val="28A54C15"/>
    <w:rsid w:val="28CF1C86"/>
    <w:rsid w:val="28ED036A"/>
    <w:rsid w:val="292E27A2"/>
    <w:rsid w:val="293A1BDE"/>
    <w:rsid w:val="293F47E6"/>
    <w:rsid w:val="296D2B09"/>
    <w:rsid w:val="29707226"/>
    <w:rsid w:val="29787C34"/>
    <w:rsid w:val="29890093"/>
    <w:rsid w:val="298B5B00"/>
    <w:rsid w:val="298C36DF"/>
    <w:rsid w:val="29A24CB1"/>
    <w:rsid w:val="29B449E4"/>
    <w:rsid w:val="29CB2AD1"/>
    <w:rsid w:val="29E90B31"/>
    <w:rsid w:val="2A070FB7"/>
    <w:rsid w:val="2A2102CB"/>
    <w:rsid w:val="2A344F53"/>
    <w:rsid w:val="2A726D79"/>
    <w:rsid w:val="2A7D127A"/>
    <w:rsid w:val="2A8C41C4"/>
    <w:rsid w:val="2A945A47"/>
    <w:rsid w:val="2A9E1FBD"/>
    <w:rsid w:val="2AC140B5"/>
    <w:rsid w:val="2AE47A60"/>
    <w:rsid w:val="2AE90244"/>
    <w:rsid w:val="2AF30C42"/>
    <w:rsid w:val="2B0A5203"/>
    <w:rsid w:val="2B125E66"/>
    <w:rsid w:val="2B3E4EB5"/>
    <w:rsid w:val="2B561DD3"/>
    <w:rsid w:val="2B6969E4"/>
    <w:rsid w:val="2B795EE5"/>
    <w:rsid w:val="2B892909"/>
    <w:rsid w:val="2B9D6077"/>
    <w:rsid w:val="2BFA5278"/>
    <w:rsid w:val="2BFB2D9E"/>
    <w:rsid w:val="2C245E51"/>
    <w:rsid w:val="2C2E2CC7"/>
    <w:rsid w:val="2C30560B"/>
    <w:rsid w:val="2C536736"/>
    <w:rsid w:val="2C7F752B"/>
    <w:rsid w:val="2C90444B"/>
    <w:rsid w:val="2CA70AD9"/>
    <w:rsid w:val="2CC570ED"/>
    <w:rsid w:val="2CC87124"/>
    <w:rsid w:val="2CE43832"/>
    <w:rsid w:val="2CED6B8B"/>
    <w:rsid w:val="2D0B0DBF"/>
    <w:rsid w:val="2D1C6D6B"/>
    <w:rsid w:val="2D265AFE"/>
    <w:rsid w:val="2D2C76B3"/>
    <w:rsid w:val="2D3524DA"/>
    <w:rsid w:val="2D376E83"/>
    <w:rsid w:val="2D4208ED"/>
    <w:rsid w:val="2D4F33A1"/>
    <w:rsid w:val="2D6233DC"/>
    <w:rsid w:val="2D741288"/>
    <w:rsid w:val="2D7E033C"/>
    <w:rsid w:val="2D8420BE"/>
    <w:rsid w:val="2D9139BA"/>
    <w:rsid w:val="2D9E60D7"/>
    <w:rsid w:val="2DA2284F"/>
    <w:rsid w:val="2DA316A4"/>
    <w:rsid w:val="2DBF403D"/>
    <w:rsid w:val="2DEA4E78"/>
    <w:rsid w:val="2DF950BB"/>
    <w:rsid w:val="2E2B796A"/>
    <w:rsid w:val="2E4B2868"/>
    <w:rsid w:val="2E516CA5"/>
    <w:rsid w:val="2E5D72AE"/>
    <w:rsid w:val="2E6966E5"/>
    <w:rsid w:val="2E6C7276"/>
    <w:rsid w:val="2E6D612D"/>
    <w:rsid w:val="2E6D6D29"/>
    <w:rsid w:val="2E7F444C"/>
    <w:rsid w:val="2E8250B1"/>
    <w:rsid w:val="2E8452CD"/>
    <w:rsid w:val="2E88509E"/>
    <w:rsid w:val="2E9848D4"/>
    <w:rsid w:val="2E9A54CD"/>
    <w:rsid w:val="2EA80D82"/>
    <w:rsid w:val="2EB33E33"/>
    <w:rsid w:val="2EC851B9"/>
    <w:rsid w:val="2EFE3565"/>
    <w:rsid w:val="2F307202"/>
    <w:rsid w:val="2F3A268E"/>
    <w:rsid w:val="2F431B0F"/>
    <w:rsid w:val="2F61560E"/>
    <w:rsid w:val="2F783700"/>
    <w:rsid w:val="2FB27C17"/>
    <w:rsid w:val="2FBC45F2"/>
    <w:rsid w:val="2FBE3A12"/>
    <w:rsid w:val="2FBF70C2"/>
    <w:rsid w:val="2FC76021"/>
    <w:rsid w:val="2FCD0BC7"/>
    <w:rsid w:val="300310AF"/>
    <w:rsid w:val="3005243D"/>
    <w:rsid w:val="300A7A53"/>
    <w:rsid w:val="302F1268"/>
    <w:rsid w:val="30B44791"/>
    <w:rsid w:val="30B857A9"/>
    <w:rsid w:val="30CE6CD3"/>
    <w:rsid w:val="30D16BBE"/>
    <w:rsid w:val="30E262DA"/>
    <w:rsid w:val="3102409F"/>
    <w:rsid w:val="310B6EAB"/>
    <w:rsid w:val="3131560D"/>
    <w:rsid w:val="31611AB9"/>
    <w:rsid w:val="316E7B6E"/>
    <w:rsid w:val="316F3466"/>
    <w:rsid w:val="31873A88"/>
    <w:rsid w:val="318C720A"/>
    <w:rsid w:val="31915E9F"/>
    <w:rsid w:val="31933C70"/>
    <w:rsid w:val="31B550A5"/>
    <w:rsid w:val="31BA11BA"/>
    <w:rsid w:val="31C75BFC"/>
    <w:rsid w:val="31CA6B27"/>
    <w:rsid w:val="31D43E75"/>
    <w:rsid w:val="31D75F4B"/>
    <w:rsid w:val="31E247E4"/>
    <w:rsid w:val="31F21979"/>
    <w:rsid w:val="31F4072D"/>
    <w:rsid w:val="32195D2C"/>
    <w:rsid w:val="32243AF3"/>
    <w:rsid w:val="322E35F4"/>
    <w:rsid w:val="3268280F"/>
    <w:rsid w:val="32713DBA"/>
    <w:rsid w:val="327D275F"/>
    <w:rsid w:val="32A30753"/>
    <w:rsid w:val="32D91127"/>
    <w:rsid w:val="32FB7E15"/>
    <w:rsid w:val="330E67C6"/>
    <w:rsid w:val="33115F8B"/>
    <w:rsid w:val="33390820"/>
    <w:rsid w:val="333A41AC"/>
    <w:rsid w:val="334348E8"/>
    <w:rsid w:val="334F019B"/>
    <w:rsid w:val="336B7274"/>
    <w:rsid w:val="33824302"/>
    <w:rsid w:val="33997EB4"/>
    <w:rsid w:val="339E473B"/>
    <w:rsid w:val="33A06705"/>
    <w:rsid w:val="33AF4B9A"/>
    <w:rsid w:val="33AF6291"/>
    <w:rsid w:val="33B977C6"/>
    <w:rsid w:val="33CD3272"/>
    <w:rsid w:val="34034EE6"/>
    <w:rsid w:val="34064F33"/>
    <w:rsid w:val="34230E8F"/>
    <w:rsid w:val="342310E4"/>
    <w:rsid w:val="34307180"/>
    <w:rsid w:val="34404676"/>
    <w:rsid w:val="344B4471"/>
    <w:rsid w:val="345C291E"/>
    <w:rsid w:val="346E6803"/>
    <w:rsid w:val="349D2C44"/>
    <w:rsid w:val="34A63039"/>
    <w:rsid w:val="34B57D75"/>
    <w:rsid w:val="34BA2615"/>
    <w:rsid w:val="34CB78A0"/>
    <w:rsid w:val="34D348B8"/>
    <w:rsid w:val="34F565DC"/>
    <w:rsid w:val="34FB796B"/>
    <w:rsid w:val="35004F81"/>
    <w:rsid w:val="35472BB0"/>
    <w:rsid w:val="354E03E2"/>
    <w:rsid w:val="35696FCA"/>
    <w:rsid w:val="356A201A"/>
    <w:rsid w:val="35A936FB"/>
    <w:rsid w:val="35DC47D3"/>
    <w:rsid w:val="35EB5C31"/>
    <w:rsid w:val="35EE27B6"/>
    <w:rsid w:val="35FB40C6"/>
    <w:rsid w:val="35FE3BB6"/>
    <w:rsid w:val="360F778D"/>
    <w:rsid w:val="3619454C"/>
    <w:rsid w:val="36252EF1"/>
    <w:rsid w:val="363711C6"/>
    <w:rsid w:val="364542F2"/>
    <w:rsid w:val="36483084"/>
    <w:rsid w:val="365612FD"/>
    <w:rsid w:val="366B11FF"/>
    <w:rsid w:val="366C257E"/>
    <w:rsid w:val="36711C14"/>
    <w:rsid w:val="36723C5D"/>
    <w:rsid w:val="367A3428"/>
    <w:rsid w:val="368C4B94"/>
    <w:rsid w:val="36A55DE0"/>
    <w:rsid w:val="36AA1F83"/>
    <w:rsid w:val="36AB5002"/>
    <w:rsid w:val="36B44275"/>
    <w:rsid w:val="36C7044C"/>
    <w:rsid w:val="36CF1672"/>
    <w:rsid w:val="36D13079"/>
    <w:rsid w:val="36FD136C"/>
    <w:rsid w:val="36FD61DC"/>
    <w:rsid w:val="37057030"/>
    <w:rsid w:val="37060F75"/>
    <w:rsid w:val="373C4E38"/>
    <w:rsid w:val="373E4734"/>
    <w:rsid w:val="375E2445"/>
    <w:rsid w:val="376C0B9B"/>
    <w:rsid w:val="37BF5FE6"/>
    <w:rsid w:val="37D270A9"/>
    <w:rsid w:val="380A1BEA"/>
    <w:rsid w:val="38141530"/>
    <w:rsid w:val="383E473E"/>
    <w:rsid w:val="38453B42"/>
    <w:rsid w:val="384927A0"/>
    <w:rsid w:val="38514471"/>
    <w:rsid w:val="38523D46"/>
    <w:rsid w:val="386473A8"/>
    <w:rsid w:val="38743CBC"/>
    <w:rsid w:val="387B14EE"/>
    <w:rsid w:val="38812526"/>
    <w:rsid w:val="388F4F9A"/>
    <w:rsid w:val="38910D12"/>
    <w:rsid w:val="3899154D"/>
    <w:rsid w:val="389A2AB5"/>
    <w:rsid w:val="38A4297A"/>
    <w:rsid w:val="38A84A88"/>
    <w:rsid w:val="38A92F18"/>
    <w:rsid w:val="38BF587F"/>
    <w:rsid w:val="38C27DC4"/>
    <w:rsid w:val="38D0785F"/>
    <w:rsid w:val="38D46E50"/>
    <w:rsid w:val="38D97115"/>
    <w:rsid w:val="38E1059D"/>
    <w:rsid w:val="38E271B9"/>
    <w:rsid w:val="39093ED4"/>
    <w:rsid w:val="39096AFA"/>
    <w:rsid w:val="392C4597"/>
    <w:rsid w:val="392D4C87"/>
    <w:rsid w:val="39333B77"/>
    <w:rsid w:val="39602547"/>
    <w:rsid w:val="39692E45"/>
    <w:rsid w:val="396F26D5"/>
    <w:rsid w:val="397307B0"/>
    <w:rsid w:val="397B107A"/>
    <w:rsid w:val="39965EB4"/>
    <w:rsid w:val="39CE564E"/>
    <w:rsid w:val="39E92488"/>
    <w:rsid w:val="39EB6200"/>
    <w:rsid w:val="39F766DA"/>
    <w:rsid w:val="3A0D707A"/>
    <w:rsid w:val="3A257964"/>
    <w:rsid w:val="3A3C2EFF"/>
    <w:rsid w:val="3A575643"/>
    <w:rsid w:val="3A590683"/>
    <w:rsid w:val="3A5E4A5B"/>
    <w:rsid w:val="3A663AD8"/>
    <w:rsid w:val="3A671232"/>
    <w:rsid w:val="3A722559"/>
    <w:rsid w:val="3A990702"/>
    <w:rsid w:val="3AC4730F"/>
    <w:rsid w:val="3B0D5552"/>
    <w:rsid w:val="3B245E6D"/>
    <w:rsid w:val="3B2B7EC1"/>
    <w:rsid w:val="3B4403F7"/>
    <w:rsid w:val="3B532B57"/>
    <w:rsid w:val="3B5605D9"/>
    <w:rsid w:val="3B5F4274"/>
    <w:rsid w:val="3B6E014F"/>
    <w:rsid w:val="3B9E713A"/>
    <w:rsid w:val="3BAC5E63"/>
    <w:rsid w:val="3BCB0097"/>
    <w:rsid w:val="3BD35859"/>
    <w:rsid w:val="3BD85DFD"/>
    <w:rsid w:val="3BE21884"/>
    <w:rsid w:val="3BEE1FD7"/>
    <w:rsid w:val="3BFA4E20"/>
    <w:rsid w:val="3C033CD5"/>
    <w:rsid w:val="3C21027D"/>
    <w:rsid w:val="3C2A4EE8"/>
    <w:rsid w:val="3C30439E"/>
    <w:rsid w:val="3C4816E7"/>
    <w:rsid w:val="3C4D6CFE"/>
    <w:rsid w:val="3C7E77FF"/>
    <w:rsid w:val="3C940BC0"/>
    <w:rsid w:val="3C941962"/>
    <w:rsid w:val="3CA35A1D"/>
    <w:rsid w:val="3CBF01F3"/>
    <w:rsid w:val="3CCB40C7"/>
    <w:rsid w:val="3CE8111C"/>
    <w:rsid w:val="3D2C725B"/>
    <w:rsid w:val="3D2E4D81"/>
    <w:rsid w:val="3D2F0AF9"/>
    <w:rsid w:val="3D4F646C"/>
    <w:rsid w:val="3D5A3DC8"/>
    <w:rsid w:val="3D660354"/>
    <w:rsid w:val="3D6704F9"/>
    <w:rsid w:val="3D7D3B8B"/>
    <w:rsid w:val="3D8C7CFA"/>
    <w:rsid w:val="3D9571ED"/>
    <w:rsid w:val="3DA70690"/>
    <w:rsid w:val="3DAB06EC"/>
    <w:rsid w:val="3E0E69B8"/>
    <w:rsid w:val="3E175815"/>
    <w:rsid w:val="3E287A22"/>
    <w:rsid w:val="3E3E0700"/>
    <w:rsid w:val="3E7E7144"/>
    <w:rsid w:val="3E906C8F"/>
    <w:rsid w:val="3E924E8F"/>
    <w:rsid w:val="3E927592"/>
    <w:rsid w:val="3E9C0C29"/>
    <w:rsid w:val="3EAA2D3B"/>
    <w:rsid w:val="3EAD617A"/>
    <w:rsid w:val="3EB66D20"/>
    <w:rsid w:val="3EDA6843"/>
    <w:rsid w:val="3EE37BB0"/>
    <w:rsid w:val="3EFB2AED"/>
    <w:rsid w:val="3F3D5750"/>
    <w:rsid w:val="3F49335C"/>
    <w:rsid w:val="3F4A1C1A"/>
    <w:rsid w:val="3F4A725C"/>
    <w:rsid w:val="3F6A0FB9"/>
    <w:rsid w:val="3F6E19E9"/>
    <w:rsid w:val="3F8F762D"/>
    <w:rsid w:val="3FC90AB1"/>
    <w:rsid w:val="3FD140EA"/>
    <w:rsid w:val="3FE7793D"/>
    <w:rsid w:val="3FE94F8F"/>
    <w:rsid w:val="3FEE25A6"/>
    <w:rsid w:val="40063D93"/>
    <w:rsid w:val="400718BA"/>
    <w:rsid w:val="40094B23"/>
    <w:rsid w:val="4012098A"/>
    <w:rsid w:val="404623E2"/>
    <w:rsid w:val="405C0A9F"/>
    <w:rsid w:val="405F5252"/>
    <w:rsid w:val="407969F1"/>
    <w:rsid w:val="407F36D5"/>
    <w:rsid w:val="40805FDC"/>
    <w:rsid w:val="40B51316"/>
    <w:rsid w:val="40BF0C00"/>
    <w:rsid w:val="40C17CBA"/>
    <w:rsid w:val="40CB333D"/>
    <w:rsid w:val="40D519B8"/>
    <w:rsid w:val="40F736DC"/>
    <w:rsid w:val="41083E20"/>
    <w:rsid w:val="41087067"/>
    <w:rsid w:val="411D45F5"/>
    <w:rsid w:val="41681737"/>
    <w:rsid w:val="41A07B50"/>
    <w:rsid w:val="41AF045B"/>
    <w:rsid w:val="41CA2B9F"/>
    <w:rsid w:val="41D1217F"/>
    <w:rsid w:val="41D345E1"/>
    <w:rsid w:val="41DA7286"/>
    <w:rsid w:val="41E95D63"/>
    <w:rsid w:val="41F36599"/>
    <w:rsid w:val="41F6569C"/>
    <w:rsid w:val="42010CB6"/>
    <w:rsid w:val="42156510"/>
    <w:rsid w:val="4246723A"/>
    <w:rsid w:val="425012F6"/>
    <w:rsid w:val="426052B1"/>
    <w:rsid w:val="428471F1"/>
    <w:rsid w:val="42960A9A"/>
    <w:rsid w:val="42A02A98"/>
    <w:rsid w:val="42C27D1A"/>
    <w:rsid w:val="42CA25B3"/>
    <w:rsid w:val="42D21ED6"/>
    <w:rsid w:val="42D73064"/>
    <w:rsid w:val="42E97074"/>
    <w:rsid w:val="42FD3DE8"/>
    <w:rsid w:val="431E31A2"/>
    <w:rsid w:val="43242074"/>
    <w:rsid w:val="433E1A96"/>
    <w:rsid w:val="434A043B"/>
    <w:rsid w:val="43550938"/>
    <w:rsid w:val="43635059"/>
    <w:rsid w:val="436A0665"/>
    <w:rsid w:val="436D237B"/>
    <w:rsid w:val="43860D47"/>
    <w:rsid w:val="43900837"/>
    <w:rsid w:val="43963680"/>
    <w:rsid w:val="439E42E3"/>
    <w:rsid w:val="43A055EF"/>
    <w:rsid w:val="43A22025"/>
    <w:rsid w:val="43A777A7"/>
    <w:rsid w:val="43C319E4"/>
    <w:rsid w:val="43C37F59"/>
    <w:rsid w:val="43C718FB"/>
    <w:rsid w:val="43C92044"/>
    <w:rsid w:val="43CE3F95"/>
    <w:rsid w:val="43E223D4"/>
    <w:rsid w:val="4436451B"/>
    <w:rsid w:val="44760DBC"/>
    <w:rsid w:val="4494751B"/>
    <w:rsid w:val="4498417F"/>
    <w:rsid w:val="449C4CC6"/>
    <w:rsid w:val="44AB0ADC"/>
    <w:rsid w:val="44B50C18"/>
    <w:rsid w:val="44C32204"/>
    <w:rsid w:val="44F52B42"/>
    <w:rsid w:val="45083D9F"/>
    <w:rsid w:val="450E5498"/>
    <w:rsid w:val="451E392D"/>
    <w:rsid w:val="452B429C"/>
    <w:rsid w:val="45343151"/>
    <w:rsid w:val="453D501D"/>
    <w:rsid w:val="454669E0"/>
    <w:rsid w:val="455508D8"/>
    <w:rsid w:val="4568104C"/>
    <w:rsid w:val="45882F0B"/>
    <w:rsid w:val="45941E41"/>
    <w:rsid w:val="459664B2"/>
    <w:rsid w:val="45982B8D"/>
    <w:rsid w:val="45A77B9C"/>
    <w:rsid w:val="45B61DB8"/>
    <w:rsid w:val="45CA13BF"/>
    <w:rsid w:val="45F2691A"/>
    <w:rsid w:val="45F90038"/>
    <w:rsid w:val="45FD79E7"/>
    <w:rsid w:val="461B60BF"/>
    <w:rsid w:val="46222FA9"/>
    <w:rsid w:val="463B406B"/>
    <w:rsid w:val="46454EEA"/>
    <w:rsid w:val="464C6F34"/>
    <w:rsid w:val="46535859"/>
    <w:rsid w:val="46704F3E"/>
    <w:rsid w:val="46737CA9"/>
    <w:rsid w:val="4678766B"/>
    <w:rsid w:val="468974CC"/>
    <w:rsid w:val="4690085B"/>
    <w:rsid w:val="469F2C7D"/>
    <w:rsid w:val="46AB7443"/>
    <w:rsid w:val="46DF533E"/>
    <w:rsid w:val="46E22739"/>
    <w:rsid w:val="46E92A74"/>
    <w:rsid w:val="471A45C8"/>
    <w:rsid w:val="471C20EE"/>
    <w:rsid w:val="472F7F0C"/>
    <w:rsid w:val="47335D4C"/>
    <w:rsid w:val="473A06CC"/>
    <w:rsid w:val="473C453F"/>
    <w:rsid w:val="474575F7"/>
    <w:rsid w:val="474653BD"/>
    <w:rsid w:val="47567CDA"/>
    <w:rsid w:val="476615BC"/>
    <w:rsid w:val="4782079A"/>
    <w:rsid w:val="478C5987"/>
    <w:rsid w:val="47925F0D"/>
    <w:rsid w:val="47A26562"/>
    <w:rsid w:val="47B820EE"/>
    <w:rsid w:val="47C86CBC"/>
    <w:rsid w:val="47EC48AF"/>
    <w:rsid w:val="47F72214"/>
    <w:rsid w:val="47F866B8"/>
    <w:rsid w:val="47FA3CDB"/>
    <w:rsid w:val="480F57AF"/>
    <w:rsid w:val="48194880"/>
    <w:rsid w:val="48215113"/>
    <w:rsid w:val="485A1120"/>
    <w:rsid w:val="486B6D16"/>
    <w:rsid w:val="48773807"/>
    <w:rsid w:val="488241D3"/>
    <w:rsid w:val="489B7C1F"/>
    <w:rsid w:val="4900334A"/>
    <w:rsid w:val="490C79B9"/>
    <w:rsid w:val="493C3C2B"/>
    <w:rsid w:val="493E588E"/>
    <w:rsid w:val="49695393"/>
    <w:rsid w:val="496A6840"/>
    <w:rsid w:val="497614E4"/>
    <w:rsid w:val="498B355B"/>
    <w:rsid w:val="499139ED"/>
    <w:rsid w:val="499A72FA"/>
    <w:rsid w:val="49AB59AC"/>
    <w:rsid w:val="49AB775A"/>
    <w:rsid w:val="49B35FF5"/>
    <w:rsid w:val="49B6275D"/>
    <w:rsid w:val="49C62B95"/>
    <w:rsid w:val="49CC5BA3"/>
    <w:rsid w:val="49E03C68"/>
    <w:rsid w:val="49E14E54"/>
    <w:rsid w:val="49F17862"/>
    <w:rsid w:val="49F628CF"/>
    <w:rsid w:val="49FB586D"/>
    <w:rsid w:val="4A040D5F"/>
    <w:rsid w:val="4A097A72"/>
    <w:rsid w:val="4A1B48DF"/>
    <w:rsid w:val="4A3F43C8"/>
    <w:rsid w:val="4A5338A9"/>
    <w:rsid w:val="4A6D57F8"/>
    <w:rsid w:val="4A77763C"/>
    <w:rsid w:val="4A830677"/>
    <w:rsid w:val="4A9326C8"/>
    <w:rsid w:val="4ADC527E"/>
    <w:rsid w:val="4AF365B0"/>
    <w:rsid w:val="4B0B311A"/>
    <w:rsid w:val="4B0B772E"/>
    <w:rsid w:val="4B2E419E"/>
    <w:rsid w:val="4B3D0885"/>
    <w:rsid w:val="4B413ED2"/>
    <w:rsid w:val="4B577B99"/>
    <w:rsid w:val="4B5851CF"/>
    <w:rsid w:val="4B614574"/>
    <w:rsid w:val="4B88762A"/>
    <w:rsid w:val="4B951BFF"/>
    <w:rsid w:val="4B9709AC"/>
    <w:rsid w:val="4B986DC3"/>
    <w:rsid w:val="4B9C6FD5"/>
    <w:rsid w:val="4BB328F5"/>
    <w:rsid w:val="4BE60F1D"/>
    <w:rsid w:val="4BF82409"/>
    <w:rsid w:val="4C090345"/>
    <w:rsid w:val="4C0D64AA"/>
    <w:rsid w:val="4C4B1CE8"/>
    <w:rsid w:val="4C63431C"/>
    <w:rsid w:val="4C642611"/>
    <w:rsid w:val="4C765DFD"/>
    <w:rsid w:val="4C77236C"/>
    <w:rsid w:val="4C804D33"/>
    <w:rsid w:val="4C9627AB"/>
    <w:rsid w:val="4C9D5A7F"/>
    <w:rsid w:val="4CBE4BD8"/>
    <w:rsid w:val="4CC90623"/>
    <w:rsid w:val="4CCE1C57"/>
    <w:rsid w:val="4CDD0735"/>
    <w:rsid w:val="4CE03BBE"/>
    <w:rsid w:val="4CE30FB8"/>
    <w:rsid w:val="4D083ED2"/>
    <w:rsid w:val="4D193239"/>
    <w:rsid w:val="4D2717ED"/>
    <w:rsid w:val="4D471EEE"/>
    <w:rsid w:val="4D501FDB"/>
    <w:rsid w:val="4D866514"/>
    <w:rsid w:val="4D907392"/>
    <w:rsid w:val="4D9927B6"/>
    <w:rsid w:val="4D9A3D6D"/>
    <w:rsid w:val="4D9D123F"/>
    <w:rsid w:val="4DBB3CB6"/>
    <w:rsid w:val="4DCF6286"/>
    <w:rsid w:val="4DD80534"/>
    <w:rsid w:val="4DDD4CBC"/>
    <w:rsid w:val="4DF41C64"/>
    <w:rsid w:val="4E261AA5"/>
    <w:rsid w:val="4E402B66"/>
    <w:rsid w:val="4E4938B5"/>
    <w:rsid w:val="4E4A12EF"/>
    <w:rsid w:val="4E4D7031"/>
    <w:rsid w:val="4E5A52AA"/>
    <w:rsid w:val="4E63367A"/>
    <w:rsid w:val="4E6A25E9"/>
    <w:rsid w:val="4E700E92"/>
    <w:rsid w:val="4E7973AF"/>
    <w:rsid w:val="4E7C101B"/>
    <w:rsid w:val="4E8D5680"/>
    <w:rsid w:val="4E9A7924"/>
    <w:rsid w:val="4EA817CB"/>
    <w:rsid w:val="4EC51A98"/>
    <w:rsid w:val="4EFD2805"/>
    <w:rsid w:val="4F0A15BF"/>
    <w:rsid w:val="4F0F46F2"/>
    <w:rsid w:val="4F10078B"/>
    <w:rsid w:val="4F155DA1"/>
    <w:rsid w:val="4F2D6405"/>
    <w:rsid w:val="4F386466"/>
    <w:rsid w:val="4F407AE5"/>
    <w:rsid w:val="4F513A07"/>
    <w:rsid w:val="4F5239A7"/>
    <w:rsid w:val="4F652159"/>
    <w:rsid w:val="4F6876A9"/>
    <w:rsid w:val="4F785D73"/>
    <w:rsid w:val="4F7A7D35"/>
    <w:rsid w:val="4F7D758C"/>
    <w:rsid w:val="4F802111"/>
    <w:rsid w:val="4F8132F9"/>
    <w:rsid w:val="4F93316A"/>
    <w:rsid w:val="4F9A62A6"/>
    <w:rsid w:val="4FE46A28"/>
    <w:rsid w:val="4FE67FE2"/>
    <w:rsid w:val="4FF84D7B"/>
    <w:rsid w:val="50026FE7"/>
    <w:rsid w:val="50055E16"/>
    <w:rsid w:val="50125E3D"/>
    <w:rsid w:val="50152B62"/>
    <w:rsid w:val="50352A35"/>
    <w:rsid w:val="504002E6"/>
    <w:rsid w:val="50416722"/>
    <w:rsid w:val="504F52E3"/>
    <w:rsid w:val="505E1082"/>
    <w:rsid w:val="50786A7A"/>
    <w:rsid w:val="5079001A"/>
    <w:rsid w:val="507C3BFE"/>
    <w:rsid w:val="50852AB2"/>
    <w:rsid w:val="508B1F1D"/>
    <w:rsid w:val="508D5E0B"/>
    <w:rsid w:val="50913377"/>
    <w:rsid w:val="509D24DD"/>
    <w:rsid w:val="50A373DC"/>
    <w:rsid w:val="50AB477D"/>
    <w:rsid w:val="50BD58B1"/>
    <w:rsid w:val="50BE0B28"/>
    <w:rsid w:val="50F073F1"/>
    <w:rsid w:val="5119769F"/>
    <w:rsid w:val="5124051D"/>
    <w:rsid w:val="51443CF8"/>
    <w:rsid w:val="51490AE1"/>
    <w:rsid w:val="516452BB"/>
    <w:rsid w:val="516923D4"/>
    <w:rsid w:val="516E4C73"/>
    <w:rsid w:val="517F39A6"/>
    <w:rsid w:val="519901E5"/>
    <w:rsid w:val="51B074AB"/>
    <w:rsid w:val="51C87133"/>
    <w:rsid w:val="51CB149B"/>
    <w:rsid w:val="51D7550F"/>
    <w:rsid w:val="51F936F4"/>
    <w:rsid w:val="52293911"/>
    <w:rsid w:val="5235691E"/>
    <w:rsid w:val="524D13AE"/>
    <w:rsid w:val="5266067E"/>
    <w:rsid w:val="52775AF6"/>
    <w:rsid w:val="52821C10"/>
    <w:rsid w:val="52866EA5"/>
    <w:rsid w:val="52990A97"/>
    <w:rsid w:val="52A86F2C"/>
    <w:rsid w:val="52C80B38"/>
    <w:rsid w:val="52CC06CD"/>
    <w:rsid w:val="52D27B05"/>
    <w:rsid w:val="530D4FE1"/>
    <w:rsid w:val="53206AC2"/>
    <w:rsid w:val="5330048E"/>
    <w:rsid w:val="53360094"/>
    <w:rsid w:val="533C4A76"/>
    <w:rsid w:val="534A7FE3"/>
    <w:rsid w:val="5367648D"/>
    <w:rsid w:val="536A1517"/>
    <w:rsid w:val="53805B22"/>
    <w:rsid w:val="53885F98"/>
    <w:rsid w:val="53901E9A"/>
    <w:rsid w:val="5396539E"/>
    <w:rsid w:val="53984A82"/>
    <w:rsid w:val="53A50C75"/>
    <w:rsid w:val="53E73A84"/>
    <w:rsid w:val="53FD5E60"/>
    <w:rsid w:val="54382383"/>
    <w:rsid w:val="545D5AF4"/>
    <w:rsid w:val="545D78A2"/>
    <w:rsid w:val="546C144D"/>
    <w:rsid w:val="546D3098"/>
    <w:rsid w:val="546F576A"/>
    <w:rsid w:val="54B971CF"/>
    <w:rsid w:val="54C92693"/>
    <w:rsid w:val="54E37576"/>
    <w:rsid w:val="5507618C"/>
    <w:rsid w:val="5524013E"/>
    <w:rsid w:val="55244015"/>
    <w:rsid w:val="553954C4"/>
    <w:rsid w:val="554051FA"/>
    <w:rsid w:val="55442A52"/>
    <w:rsid w:val="55604A0F"/>
    <w:rsid w:val="556A2277"/>
    <w:rsid w:val="55753624"/>
    <w:rsid w:val="5588094F"/>
    <w:rsid w:val="55A06976"/>
    <w:rsid w:val="55A42FB6"/>
    <w:rsid w:val="55AD0426"/>
    <w:rsid w:val="55F12998"/>
    <w:rsid w:val="5621570A"/>
    <w:rsid w:val="562B1993"/>
    <w:rsid w:val="563406A6"/>
    <w:rsid w:val="56342D06"/>
    <w:rsid w:val="563F1955"/>
    <w:rsid w:val="5648521A"/>
    <w:rsid w:val="565C0A5B"/>
    <w:rsid w:val="5661367A"/>
    <w:rsid w:val="568832FC"/>
    <w:rsid w:val="568B343B"/>
    <w:rsid w:val="56991D8F"/>
    <w:rsid w:val="569A3030"/>
    <w:rsid w:val="569D6B13"/>
    <w:rsid w:val="569F41A2"/>
    <w:rsid w:val="56AF0F00"/>
    <w:rsid w:val="56AF36C2"/>
    <w:rsid w:val="56C65BD3"/>
    <w:rsid w:val="56FE00DA"/>
    <w:rsid w:val="57087F99"/>
    <w:rsid w:val="570F30D6"/>
    <w:rsid w:val="571903F8"/>
    <w:rsid w:val="57322D63"/>
    <w:rsid w:val="57362D58"/>
    <w:rsid w:val="573B036F"/>
    <w:rsid w:val="574014E1"/>
    <w:rsid w:val="57647D88"/>
    <w:rsid w:val="576A2A02"/>
    <w:rsid w:val="577A2481"/>
    <w:rsid w:val="577B4C0F"/>
    <w:rsid w:val="57994B97"/>
    <w:rsid w:val="579D6934"/>
    <w:rsid w:val="57B8080B"/>
    <w:rsid w:val="57BF13E7"/>
    <w:rsid w:val="57CD7C42"/>
    <w:rsid w:val="57DB2605"/>
    <w:rsid w:val="57F73FEF"/>
    <w:rsid w:val="581F09BF"/>
    <w:rsid w:val="583D6FBC"/>
    <w:rsid w:val="585C503C"/>
    <w:rsid w:val="586A5739"/>
    <w:rsid w:val="586D1AE2"/>
    <w:rsid w:val="58922FFE"/>
    <w:rsid w:val="5894304C"/>
    <w:rsid w:val="589715D5"/>
    <w:rsid w:val="58971EAC"/>
    <w:rsid w:val="58A67A6A"/>
    <w:rsid w:val="58A94715"/>
    <w:rsid w:val="58A957AC"/>
    <w:rsid w:val="58B23C25"/>
    <w:rsid w:val="58C14000"/>
    <w:rsid w:val="58C919AA"/>
    <w:rsid w:val="58DA3BB7"/>
    <w:rsid w:val="58FC651D"/>
    <w:rsid w:val="591106B8"/>
    <w:rsid w:val="59131169"/>
    <w:rsid w:val="591F15CA"/>
    <w:rsid w:val="595C637A"/>
    <w:rsid w:val="59684D1F"/>
    <w:rsid w:val="596D4A2C"/>
    <w:rsid w:val="597933D0"/>
    <w:rsid w:val="5987789B"/>
    <w:rsid w:val="59B9557B"/>
    <w:rsid w:val="59BC506B"/>
    <w:rsid w:val="59C45F30"/>
    <w:rsid w:val="59D7307A"/>
    <w:rsid w:val="59ED6F91"/>
    <w:rsid w:val="5A0E3B19"/>
    <w:rsid w:val="5A2E7D17"/>
    <w:rsid w:val="5A330E6F"/>
    <w:rsid w:val="5A812FC2"/>
    <w:rsid w:val="5A9A00D2"/>
    <w:rsid w:val="5AA4622B"/>
    <w:rsid w:val="5AAC5F61"/>
    <w:rsid w:val="5AB0756A"/>
    <w:rsid w:val="5ACC4339"/>
    <w:rsid w:val="5ACF7B3C"/>
    <w:rsid w:val="5AF70CA7"/>
    <w:rsid w:val="5B0B1E06"/>
    <w:rsid w:val="5B291335"/>
    <w:rsid w:val="5B4F263B"/>
    <w:rsid w:val="5B527A35"/>
    <w:rsid w:val="5B7E6A7C"/>
    <w:rsid w:val="5B94004E"/>
    <w:rsid w:val="5BA364E3"/>
    <w:rsid w:val="5BA54009"/>
    <w:rsid w:val="5BAF30D9"/>
    <w:rsid w:val="5BCD5FD8"/>
    <w:rsid w:val="5BE2700B"/>
    <w:rsid w:val="5BEC3AD3"/>
    <w:rsid w:val="5BEC60DC"/>
    <w:rsid w:val="5C195A25"/>
    <w:rsid w:val="5C1F025F"/>
    <w:rsid w:val="5C4E788C"/>
    <w:rsid w:val="5C50666A"/>
    <w:rsid w:val="5C8D6E5E"/>
    <w:rsid w:val="5C9C41C2"/>
    <w:rsid w:val="5CA249EC"/>
    <w:rsid w:val="5CD867C6"/>
    <w:rsid w:val="5CE51FD5"/>
    <w:rsid w:val="5CF27722"/>
    <w:rsid w:val="5CF86913"/>
    <w:rsid w:val="5D066D29"/>
    <w:rsid w:val="5D170F36"/>
    <w:rsid w:val="5D1A4582"/>
    <w:rsid w:val="5D1B7A3F"/>
    <w:rsid w:val="5D2A6016"/>
    <w:rsid w:val="5D4A130C"/>
    <w:rsid w:val="5D51762F"/>
    <w:rsid w:val="5D55380D"/>
    <w:rsid w:val="5D7719D5"/>
    <w:rsid w:val="5D8949AA"/>
    <w:rsid w:val="5DA44D84"/>
    <w:rsid w:val="5DA934AC"/>
    <w:rsid w:val="5DC10A1D"/>
    <w:rsid w:val="5DD010E5"/>
    <w:rsid w:val="5DD91EF0"/>
    <w:rsid w:val="5DE54B90"/>
    <w:rsid w:val="5DF94AE0"/>
    <w:rsid w:val="5DFD637E"/>
    <w:rsid w:val="5DFF7C9E"/>
    <w:rsid w:val="5E01731C"/>
    <w:rsid w:val="5E041DF7"/>
    <w:rsid w:val="5E27164D"/>
    <w:rsid w:val="5E581DE9"/>
    <w:rsid w:val="5E824AD5"/>
    <w:rsid w:val="5E9D1A80"/>
    <w:rsid w:val="5EAE1426"/>
    <w:rsid w:val="5EBB1D95"/>
    <w:rsid w:val="5EBB3B43"/>
    <w:rsid w:val="5EC73A2C"/>
    <w:rsid w:val="5EC96260"/>
    <w:rsid w:val="5ED45C3C"/>
    <w:rsid w:val="5F062AAD"/>
    <w:rsid w:val="5F121BD1"/>
    <w:rsid w:val="5F2D13D6"/>
    <w:rsid w:val="5F3B0E72"/>
    <w:rsid w:val="5F3F0D5F"/>
    <w:rsid w:val="5F661984"/>
    <w:rsid w:val="5F7F2DC3"/>
    <w:rsid w:val="5F967FF0"/>
    <w:rsid w:val="5F9B7BD8"/>
    <w:rsid w:val="5FA171DD"/>
    <w:rsid w:val="5FAB2606"/>
    <w:rsid w:val="5FCD3483"/>
    <w:rsid w:val="5FE81793"/>
    <w:rsid w:val="5FFE63DD"/>
    <w:rsid w:val="600A4280"/>
    <w:rsid w:val="60256224"/>
    <w:rsid w:val="602F6597"/>
    <w:rsid w:val="6044719D"/>
    <w:rsid w:val="60583D40"/>
    <w:rsid w:val="606E3563"/>
    <w:rsid w:val="60834AE6"/>
    <w:rsid w:val="60901B26"/>
    <w:rsid w:val="60972298"/>
    <w:rsid w:val="60A501AC"/>
    <w:rsid w:val="60C211B9"/>
    <w:rsid w:val="60D0597E"/>
    <w:rsid w:val="60DC6BA2"/>
    <w:rsid w:val="60DE5595"/>
    <w:rsid w:val="60E2185B"/>
    <w:rsid w:val="60FD242A"/>
    <w:rsid w:val="61271579"/>
    <w:rsid w:val="612C6F7A"/>
    <w:rsid w:val="613D1187"/>
    <w:rsid w:val="615564D1"/>
    <w:rsid w:val="61776447"/>
    <w:rsid w:val="61783F6D"/>
    <w:rsid w:val="6195157A"/>
    <w:rsid w:val="619D5782"/>
    <w:rsid w:val="61BF394A"/>
    <w:rsid w:val="61CB6793"/>
    <w:rsid w:val="61F844A0"/>
    <w:rsid w:val="620677CB"/>
    <w:rsid w:val="6210249C"/>
    <w:rsid w:val="62173786"/>
    <w:rsid w:val="62375290"/>
    <w:rsid w:val="623E236D"/>
    <w:rsid w:val="62660A8D"/>
    <w:rsid w:val="626D31D0"/>
    <w:rsid w:val="626F711E"/>
    <w:rsid w:val="6280757E"/>
    <w:rsid w:val="62A768B8"/>
    <w:rsid w:val="62BA3D7B"/>
    <w:rsid w:val="62C507C9"/>
    <w:rsid w:val="62D17DD9"/>
    <w:rsid w:val="62D85C3F"/>
    <w:rsid w:val="62F9146B"/>
    <w:rsid w:val="62FC7815"/>
    <w:rsid w:val="630F26B0"/>
    <w:rsid w:val="631F04A6"/>
    <w:rsid w:val="631F16F3"/>
    <w:rsid w:val="633852E5"/>
    <w:rsid w:val="63537774"/>
    <w:rsid w:val="63600D8C"/>
    <w:rsid w:val="636935A6"/>
    <w:rsid w:val="637F49D6"/>
    <w:rsid w:val="638035D4"/>
    <w:rsid w:val="63A364C9"/>
    <w:rsid w:val="63AC7EFE"/>
    <w:rsid w:val="63BF7C32"/>
    <w:rsid w:val="63ED098D"/>
    <w:rsid w:val="63F55D49"/>
    <w:rsid w:val="6401649C"/>
    <w:rsid w:val="640A5E1B"/>
    <w:rsid w:val="64142C2F"/>
    <w:rsid w:val="64171E25"/>
    <w:rsid w:val="641E2BAA"/>
    <w:rsid w:val="6435150A"/>
    <w:rsid w:val="643C5726"/>
    <w:rsid w:val="644F7208"/>
    <w:rsid w:val="645058EC"/>
    <w:rsid w:val="6454481E"/>
    <w:rsid w:val="64583A47"/>
    <w:rsid w:val="64722994"/>
    <w:rsid w:val="64803865"/>
    <w:rsid w:val="64A55079"/>
    <w:rsid w:val="64AD03D2"/>
    <w:rsid w:val="64C01EB3"/>
    <w:rsid w:val="64D836A1"/>
    <w:rsid w:val="64EC3722"/>
    <w:rsid w:val="64F67D7F"/>
    <w:rsid w:val="64FB61FE"/>
    <w:rsid w:val="65046244"/>
    <w:rsid w:val="650A6108"/>
    <w:rsid w:val="651352A3"/>
    <w:rsid w:val="65152AA6"/>
    <w:rsid w:val="652E506F"/>
    <w:rsid w:val="652F6707"/>
    <w:rsid w:val="653757DF"/>
    <w:rsid w:val="653B0362"/>
    <w:rsid w:val="654224CD"/>
    <w:rsid w:val="65534AD5"/>
    <w:rsid w:val="656540EC"/>
    <w:rsid w:val="65692941"/>
    <w:rsid w:val="65841133"/>
    <w:rsid w:val="659A0956"/>
    <w:rsid w:val="659E7312"/>
    <w:rsid w:val="65A10970"/>
    <w:rsid w:val="65A3522E"/>
    <w:rsid w:val="65B8702E"/>
    <w:rsid w:val="65C972A3"/>
    <w:rsid w:val="65E11968"/>
    <w:rsid w:val="65E322FD"/>
    <w:rsid w:val="65EA5EDE"/>
    <w:rsid w:val="65EB2F60"/>
    <w:rsid w:val="66043CD6"/>
    <w:rsid w:val="661561AA"/>
    <w:rsid w:val="66212E26"/>
    <w:rsid w:val="66273A59"/>
    <w:rsid w:val="66291CDA"/>
    <w:rsid w:val="6635067F"/>
    <w:rsid w:val="663D275F"/>
    <w:rsid w:val="66560D21"/>
    <w:rsid w:val="665825BB"/>
    <w:rsid w:val="667623FF"/>
    <w:rsid w:val="6679664A"/>
    <w:rsid w:val="667F18FA"/>
    <w:rsid w:val="668849F3"/>
    <w:rsid w:val="66BD6910"/>
    <w:rsid w:val="66DF0AF2"/>
    <w:rsid w:val="66F52A9F"/>
    <w:rsid w:val="670C096B"/>
    <w:rsid w:val="670C13E0"/>
    <w:rsid w:val="67170327"/>
    <w:rsid w:val="671E5F94"/>
    <w:rsid w:val="67393624"/>
    <w:rsid w:val="67515045"/>
    <w:rsid w:val="678A67A9"/>
    <w:rsid w:val="679B1D79"/>
    <w:rsid w:val="67AF3B3C"/>
    <w:rsid w:val="67D22629"/>
    <w:rsid w:val="67D67A64"/>
    <w:rsid w:val="67DD1035"/>
    <w:rsid w:val="67DE02CC"/>
    <w:rsid w:val="67F24A7A"/>
    <w:rsid w:val="68190258"/>
    <w:rsid w:val="681A7107"/>
    <w:rsid w:val="681B51E2"/>
    <w:rsid w:val="681C0A67"/>
    <w:rsid w:val="68307350"/>
    <w:rsid w:val="6833422D"/>
    <w:rsid w:val="685C6397"/>
    <w:rsid w:val="68752FB5"/>
    <w:rsid w:val="68866F70"/>
    <w:rsid w:val="68916D32"/>
    <w:rsid w:val="68AD4C1F"/>
    <w:rsid w:val="68C617F4"/>
    <w:rsid w:val="68EF2D67"/>
    <w:rsid w:val="68FA5275"/>
    <w:rsid w:val="69194288"/>
    <w:rsid w:val="693115D2"/>
    <w:rsid w:val="69646688"/>
    <w:rsid w:val="696F5ED4"/>
    <w:rsid w:val="697A2F79"/>
    <w:rsid w:val="697D65C5"/>
    <w:rsid w:val="69893D36"/>
    <w:rsid w:val="69931206"/>
    <w:rsid w:val="69944139"/>
    <w:rsid w:val="69945E73"/>
    <w:rsid w:val="69A47FF6"/>
    <w:rsid w:val="69BB69EB"/>
    <w:rsid w:val="69DD0250"/>
    <w:rsid w:val="69DF2DDC"/>
    <w:rsid w:val="69E00902"/>
    <w:rsid w:val="69F0323B"/>
    <w:rsid w:val="69F85196"/>
    <w:rsid w:val="6A04400C"/>
    <w:rsid w:val="6A292C42"/>
    <w:rsid w:val="6A303637"/>
    <w:rsid w:val="6A366774"/>
    <w:rsid w:val="6A384319"/>
    <w:rsid w:val="6A464C09"/>
    <w:rsid w:val="6A6B0B13"/>
    <w:rsid w:val="6A70612A"/>
    <w:rsid w:val="6A9646E4"/>
    <w:rsid w:val="6A97582F"/>
    <w:rsid w:val="6A9972A9"/>
    <w:rsid w:val="6AA10091"/>
    <w:rsid w:val="6ABE6E95"/>
    <w:rsid w:val="6AC215A4"/>
    <w:rsid w:val="6B32726A"/>
    <w:rsid w:val="6B3D33BE"/>
    <w:rsid w:val="6B680BAF"/>
    <w:rsid w:val="6B6A4927"/>
    <w:rsid w:val="6B712159"/>
    <w:rsid w:val="6B7834E8"/>
    <w:rsid w:val="6B7D28AC"/>
    <w:rsid w:val="6B841E74"/>
    <w:rsid w:val="6B896FFE"/>
    <w:rsid w:val="6B9320D0"/>
    <w:rsid w:val="6B9F6E34"/>
    <w:rsid w:val="6BA331C3"/>
    <w:rsid w:val="6BCF0C2E"/>
    <w:rsid w:val="6BD44496"/>
    <w:rsid w:val="6BDA2195"/>
    <w:rsid w:val="6BE24E05"/>
    <w:rsid w:val="6C1A00FB"/>
    <w:rsid w:val="6C235D06"/>
    <w:rsid w:val="6C2A1C31"/>
    <w:rsid w:val="6C30791F"/>
    <w:rsid w:val="6C422F88"/>
    <w:rsid w:val="6C4E19D1"/>
    <w:rsid w:val="6C4E249B"/>
    <w:rsid w:val="6C501D6F"/>
    <w:rsid w:val="6C682153"/>
    <w:rsid w:val="6C6B0957"/>
    <w:rsid w:val="6C81017A"/>
    <w:rsid w:val="6C9D1138"/>
    <w:rsid w:val="6CC4109E"/>
    <w:rsid w:val="6CD009CB"/>
    <w:rsid w:val="6CDF5954"/>
    <w:rsid w:val="6CEA21C3"/>
    <w:rsid w:val="6CFD0DB1"/>
    <w:rsid w:val="6D257282"/>
    <w:rsid w:val="6D5835D1"/>
    <w:rsid w:val="6D5C4743"/>
    <w:rsid w:val="6D6A3304"/>
    <w:rsid w:val="6D77157D"/>
    <w:rsid w:val="6D7F1023"/>
    <w:rsid w:val="6D920165"/>
    <w:rsid w:val="6D9D7236"/>
    <w:rsid w:val="6DA13F45"/>
    <w:rsid w:val="6DAD09C3"/>
    <w:rsid w:val="6DBC29C9"/>
    <w:rsid w:val="6DBE53FE"/>
    <w:rsid w:val="6DD137A9"/>
    <w:rsid w:val="6DF34CD9"/>
    <w:rsid w:val="6E0E23E7"/>
    <w:rsid w:val="6E21254C"/>
    <w:rsid w:val="6E273D89"/>
    <w:rsid w:val="6E276AFF"/>
    <w:rsid w:val="6E46167B"/>
    <w:rsid w:val="6E5F68A4"/>
    <w:rsid w:val="6E751F61"/>
    <w:rsid w:val="6E865F1C"/>
    <w:rsid w:val="6E916F27"/>
    <w:rsid w:val="6EB06D7B"/>
    <w:rsid w:val="6EC86534"/>
    <w:rsid w:val="6EC9421A"/>
    <w:rsid w:val="6ED40E43"/>
    <w:rsid w:val="6ED554AF"/>
    <w:rsid w:val="6EE60D49"/>
    <w:rsid w:val="6EEA7C37"/>
    <w:rsid w:val="6F084EB7"/>
    <w:rsid w:val="6F09716A"/>
    <w:rsid w:val="6F1057E5"/>
    <w:rsid w:val="6F1C23DC"/>
    <w:rsid w:val="6F265009"/>
    <w:rsid w:val="6F2F210F"/>
    <w:rsid w:val="6F3E67F6"/>
    <w:rsid w:val="6F47002E"/>
    <w:rsid w:val="6F6317A4"/>
    <w:rsid w:val="6F6B6EC0"/>
    <w:rsid w:val="6F7E3097"/>
    <w:rsid w:val="6F925C2A"/>
    <w:rsid w:val="6F9603E0"/>
    <w:rsid w:val="6FC64F46"/>
    <w:rsid w:val="6FE23629"/>
    <w:rsid w:val="70114ECA"/>
    <w:rsid w:val="70130BD1"/>
    <w:rsid w:val="70204320"/>
    <w:rsid w:val="702E686B"/>
    <w:rsid w:val="70525C1D"/>
    <w:rsid w:val="705F4C76"/>
    <w:rsid w:val="70A73F27"/>
    <w:rsid w:val="70AB7EBB"/>
    <w:rsid w:val="70B30C2E"/>
    <w:rsid w:val="70DF1913"/>
    <w:rsid w:val="70E17439"/>
    <w:rsid w:val="70F133F4"/>
    <w:rsid w:val="71193077"/>
    <w:rsid w:val="711C2B67"/>
    <w:rsid w:val="712E65BF"/>
    <w:rsid w:val="71304BCA"/>
    <w:rsid w:val="71577D20"/>
    <w:rsid w:val="717E2EDA"/>
    <w:rsid w:val="718245F1"/>
    <w:rsid w:val="718B37D7"/>
    <w:rsid w:val="71973284"/>
    <w:rsid w:val="71A17680"/>
    <w:rsid w:val="71A24563"/>
    <w:rsid w:val="71A9476C"/>
    <w:rsid w:val="71B57292"/>
    <w:rsid w:val="72160900"/>
    <w:rsid w:val="72165809"/>
    <w:rsid w:val="723932A5"/>
    <w:rsid w:val="72457E9C"/>
    <w:rsid w:val="725258A7"/>
    <w:rsid w:val="72534367"/>
    <w:rsid w:val="725726B0"/>
    <w:rsid w:val="725C6020"/>
    <w:rsid w:val="72616F8F"/>
    <w:rsid w:val="727E6F0A"/>
    <w:rsid w:val="72823A84"/>
    <w:rsid w:val="7286755F"/>
    <w:rsid w:val="72966949"/>
    <w:rsid w:val="72A93F87"/>
    <w:rsid w:val="72C90380"/>
    <w:rsid w:val="72CB4263"/>
    <w:rsid w:val="72D07765"/>
    <w:rsid w:val="72DC5474"/>
    <w:rsid w:val="72E66F89"/>
    <w:rsid w:val="72F3295B"/>
    <w:rsid w:val="730658C9"/>
    <w:rsid w:val="73211C25"/>
    <w:rsid w:val="73226080"/>
    <w:rsid w:val="733107D8"/>
    <w:rsid w:val="73350DBC"/>
    <w:rsid w:val="738F5872"/>
    <w:rsid w:val="7396206D"/>
    <w:rsid w:val="7399307A"/>
    <w:rsid w:val="739C3AEB"/>
    <w:rsid w:val="73A66C86"/>
    <w:rsid w:val="73AE2BE1"/>
    <w:rsid w:val="73F47A8F"/>
    <w:rsid w:val="73FC458A"/>
    <w:rsid w:val="73FF6936"/>
    <w:rsid w:val="741B2C62"/>
    <w:rsid w:val="744002ED"/>
    <w:rsid w:val="74566390"/>
    <w:rsid w:val="74640AAD"/>
    <w:rsid w:val="748660CD"/>
    <w:rsid w:val="74A013B9"/>
    <w:rsid w:val="74BF2618"/>
    <w:rsid w:val="74D8263E"/>
    <w:rsid w:val="74E27123"/>
    <w:rsid w:val="7510653F"/>
    <w:rsid w:val="75271ADB"/>
    <w:rsid w:val="753164B5"/>
    <w:rsid w:val="753541F8"/>
    <w:rsid w:val="756B7C19"/>
    <w:rsid w:val="75750A98"/>
    <w:rsid w:val="757E1733"/>
    <w:rsid w:val="75976C60"/>
    <w:rsid w:val="75C65A8C"/>
    <w:rsid w:val="75DF5F11"/>
    <w:rsid w:val="75E940CB"/>
    <w:rsid w:val="75F41BBE"/>
    <w:rsid w:val="7604374B"/>
    <w:rsid w:val="76257DC8"/>
    <w:rsid w:val="762A72DC"/>
    <w:rsid w:val="763E0E8A"/>
    <w:rsid w:val="764566BC"/>
    <w:rsid w:val="76563CAB"/>
    <w:rsid w:val="76564426"/>
    <w:rsid w:val="76571F4C"/>
    <w:rsid w:val="7677439C"/>
    <w:rsid w:val="767F4DD7"/>
    <w:rsid w:val="76931EC0"/>
    <w:rsid w:val="76A62257"/>
    <w:rsid w:val="76CE0460"/>
    <w:rsid w:val="76E45ED5"/>
    <w:rsid w:val="76E97048"/>
    <w:rsid w:val="76FB291C"/>
    <w:rsid w:val="76FE0619"/>
    <w:rsid w:val="77015D95"/>
    <w:rsid w:val="771556EE"/>
    <w:rsid w:val="772537D8"/>
    <w:rsid w:val="772A140E"/>
    <w:rsid w:val="7755292F"/>
    <w:rsid w:val="77644920"/>
    <w:rsid w:val="77732DB5"/>
    <w:rsid w:val="77784870"/>
    <w:rsid w:val="777C5C74"/>
    <w:rsid w:val="77B32D9D"/>
    <w:rsid w:val="77B53B2E"/>
    <w:rsid w:val="77BE6726"/>
    <w:rsid w:val="77C74EAF"/>
    <w:rsid w:val="77D25D2E"/>
    <w:rsid w:val="77FC2DAB"/>
    <w:rsid w:val="78127BA6"/>
    <w:rsid w:val="78182A98"/>
    <w:rsid w:val="781D7981"/>
    <w:rsid w:val="78544995"/>
    <w:rsid w:val="785C7E85"/>
    <w:rsid w:val="78A50332"/>
    <w:rsid w:val="78A9515A"/>
    <w:rsid w:val="78B43685"/>
    <w:rsid w:val="78CE0BEB"/>
    <w:rsid w:val="78EA3A18"/>
    <w:rsid w:val="78EA7F04"/>
    <w:rsid w:val="78FD327E"/>
    <w:rsid w:val="791374B3"/>
    <w:rsid w:val="791B3704"/>
    <w:rsid w:val="79234EB7"/>
    <w:rsid w:val="795135CA"/>
    <w:rsid w:val="79534C4C"/>
    <w:rsid w:val="795B1D53"/>
    <w:rsid w:val="796432FD"/>
    <w:rsid w:val="79690287"/>
    <w:rsid w:val="796E5F2A"/>
    <w:rsid w:val="79995678"/>
    <w:rsid w:val="799D5098"/>
    <w:rsid w:val="79A100AE"/>
    <w:rsid w:val="79B0501C"/>
    <w:rsid w:val="79C63670"/>
    <w:rsid w:val="79C97604"/>
    <w:rsid w:val="79CB71BD"/>
    <w:rsid w:val="79CF5797"/>
    <w:rsid w:val="79F77CCE"/>
    <w:rsid w:val="7A0D5743"/>
    <w:rsid w:val="7A122D59"/>
    <w:rsid w:val="7A1C7734"/>
    <w:rsid w:val="7A204FE9"/>
    <w:rsid w:val="7A233DF1"/>
    <w:rsid w:val="7A313550"/>
    <w:rsid w:val="7A480529"/>
    <w:rsid w:val="7A92251C"/>
    <w:rsid w:val="7AA5662F"/>
    <w:rsid w:val="7AA92E37"/>
    <w:rsid w:val="7AAD65DE"/>
    <w:rsid w:val="7AD47A3D"/>
    <w:rsid w:val="7AD85D51"/>
    <w:rsid w:val="7AFB559C"/>
    <w:rsid w:val="7AFF45D2"/>
    <w:rsid w:val="7B095F0A"/>
    <w:rsid w:val="7B1178FE"/>
    <w:rsid w:val="7B2358EB"/>
    <w:rsid w:val="7B2745E3"/>
    <w:rsid w:val="7B2A5E81"/>
    <w:rsid w:val="7B3A2568"/>
    <w:rsid w:val="7B537186"/>
    <w:rsid w:val="7B6E0463"/>
    <w:rsid w:val="7B7517F2"/>
    <w:rsid w:val="7B8A4BC2"/>
    <w:rsid w:val="7BA841E4"/>
    <w:rsid w:val="7BAC4AE8"/>
    <w:rsid w:val="7BB37273"/>
    <w:rsid w:val="7BD01E83"/>
    <w:rsid w:val="7BEB4DC6"/>
    <w:rsid w:val="7BED295A"/>
    <w:rsid w:val="7BF644A6"/>
    <w:rsid w:val="7C041CD0"/>
    <w:rsid w:val="7C5553D2"/>
    <w:rsid w:val="7C743857"/>
    <w:rsid w:val="7C773348"/>
    <w:rsid w:val="7C991510"/>
    <w:rsid w:val="7C99506C"/>
    <w:rsid w:val="7CA92DEC"/>
    <w:rsid w:val="7CAB59A2"/>
    <w:rsid w:val="7CD65DD6"/>
    <w:rsid w:val="7CEA6815"/>
    <w:rsid w:val="7CF1494E"/>
    <w:rsid w:val="7D051F84"/>
    <w:rsid w:val="7D126321"/>
    <w:rsid w:val="7D216BDF"/>
    <w:rsid w:val="7D2338F0"/>
    <w:rsid w:val="7D2A03BA"/>
    <w:rsid w:val="7D465366"/>
    <w:rsid w:val="7D567401"/>
    <w:rsid w:val="7D790942"/>
    <w:rsid w:val="7D8D7B32"/>
    <w:rsid w:val="7D9341B1"/>
    <w:rsid w:val="7DAF0ED6"/>
    <w:rsid w:val="7DC75C09"/>
    <w:rsid w:val="7DC822A3"/>
    <w:rsid w:val="7DD95881"/>
    <w:rsid w:val="7DEB2BD9"/>
    <w:rsid w:val="7DEC1126"/>
    <w:rsid w:val="7DEE3196"/>
    <w:rsid w:val="7DF438B1"/>
    <w:rsid w:val="7E0B3D48"/>
    <w:rsid w:val="7E110A23"/>
    <w:rsid w:val="7E237E00"/>
    <w:rsid w:val="7E470328"/>
    <w:rsid w:val="7E5A6A7D"/>
    <w:rsid w:val="7E5F420D"/>
    <w:rsid w:val="7E7538B7"/>
    <w:rsid w:val="7E754B3E"/>
    <w:rsid w:val="7E7B38FA"/>
    <w:rsid w:val="7E7E276B"/>
    <w:rsid w:val="7E851B7A"/>
    <w:rsid w:val="7E927FC5"/>
    <w:rsid w:val="7E97382D"/>
    <w:rsid w:val="7EC76812"/>
    <w:rsid w:val="7EF507E1"/>
    <w:rsid w:val="7EFC7B34"/>
    <w:rsid w:val="7F0C421B"/>
    <w:rsid w:val="7F0D7F93"/>
    <w:rsid w:val="7F10538E"/>
    <w:rsid w:val="7F261B22"/>
    <w:rsid w:val="7F2A117C"/>
    <w:rsid w:val="7F313C82"/>
    <w:rsid w:val="7F376DBC"/>
    <w:rsid w:val="7F4962A9"/>
    <w:rsid w:val="7F523955"/>
    <w:rsid w:val="7F5923A2"/>
    <w:rsid w:val="7F601E71"/>
    <w:rsid w:val="7F651B7D"/>
    <w:rsid w:val="7F6F47AA"/>
    <w:rsid w:val="7F783A68"/>
    <w:rsid w:val="7F8E1144"/>
    <w:rsid w:val="7F954211"/>
    <w:rsid w:val="7F9B4742"/>
    <w:rsid w:val="7F9C7177"/>
    <w:rsid w:val="7FA501CC"/>
    <w:rsid w:val="7FAF2DF8"/>
    <w:rsid w:val="7FBA3E7C"/>
    <w:rsid w:val="7FC20D7E"/>
    <w:rsid w:val="7FD05249"/>
    <w:rsid w:val="7FD60090"/>
    <w:rsid w:val="7FE44850"/>
    <w:rsid w:val="7FEF3356"/>
    <w:rsid w:val="7FFB7D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qFormat="1" w:uiPriority="99" w:semiHidden="0" w:name="HTML Typewriter"/>
    <w:lsdException w:qFormat="1" w:uiPriority="99"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9"/>
    <w:qFormat/>
    <w:uiPriority w:val="0"/>
    <w:pPr>
      <w:keepNext/>
      <w:keepLines/>
      <w:spacing w:before="340" w:after="330" w:line="576" w:lineRule="auto"/>
      <w:outlineLvl w:val="0"/>
    </w:pPr>
    <w:rPr>
      <w:b/>
      <w:bCs/>
      <w:kern w:val="44"/>
      <w:sz w:val="44"/>
      <w:szCs w:val="44"/>
    </w:rPr>
  </w:style>
  <w:style w:type="paragraph" w:styleId="3">
    <w:name w:val="heading 2"/>
    <w:basedOn w:val="1"/>
    <w:next w:val="1"/>
    <w:link w:val="72"/>
    <w:qFormat/>
    <w:uiPriority w:val="0"/>
    <w:pPr>
      <w:keepNext/>
      <w:keepLines/>
      <w:spacing w:before="260" w:after="260" w:line="415" w:lineRule="auto"/>
      <w:outlineLvl w:val="1"/>
    </w:pPr>
    <w:rPr>
      <w:rFonts w:ascii="Arial" w:hAnsi="Arial" w:eastAsia="黑体"/>
      <w:b/>
      <w:bCs/>
      <w:sz w:val="32"/>
      <w:szCs w:val="32"/>
    </w:rPr>
  </w:style>
  <w:style w:type="paragraph" w:styleId="4">
    <w:name w:val="heading 3"/>
    <w:basedOn w:val="1"/>
    <w:next w:val="1"/>
    <w:link w:val="61"/>
    <w:qFormat/>
    <w:uiPriority w:val="0"/>
    <w:pPr>
      <w:keepNext/>
      <w:keepLines/>
      <w:spacing w:before="260" w:after="260" w:line="415" w:lineRule="auto"/>
      <w:ind w:firstLine="137" w:firstLineChars="49"/>
      <w:outlineLvl w:val="2"/>
    </w:pPr>
    <w:rPr>
      <w:rFonts w:ascii="黑体" w:hAnsi="宋体" w:eastAsia="黑体"/>
      <w:bCs/>
      <w:sz w:val="28"/>
      <w:szCs w:val="28"/>
    </w:rPr>
  </w:style>
  <w:style w:type="paragraph" w:styleId="5">
    <w:name w:val="heading 4"/>
    <w:basedOn w:val="1"/>
    <w:next w:val="1"/>
    <w:link w:val="62"/>
    <w:qFormat/>
    <w:uiPriority w:val="0"/>
    <w:pPr>
      <w:keepNext/>
      <w:keepLines/>
      <w:spacing w:before="280" w:after="290" w:line="374" w:lineRule="auto"/>
      <w:outlineLvl w:val="3"/>
    </w:pPr>
    <w:rPr>
      <w:rFonts w:ascii="Arial" w:hAnsi="Arial" w:eastAsia="黑体"/>
      <w:b/>
      <w:bCs/>
      <w:sz w:val="28"/>
      <w:szCs w:val="28"/>
    </w:rPr>
  </w:style>
  <w:style w:type="paragraph" w:styleId="6">
    <w:name w:val="heading 6"/>
    <w:basedOn w:val="1"/>
    <w:next w:val="1"/>
    <w:qFormat/>
    <w:uiPriority w:val="0"/>
    <w:pPr>
      <w:keepNext/>
      <w:keepLines/>
      <w:widowControl/>
      <w:tabs>
        <w:tab w:val="left" w:pos="1440"/>
      </w:tabs>
      <w:spacing w:before="240" w:after="64" w:line="319" w:lineRule="auto"/>
      <w:ind w:left="1152" w:hanging="1152"/>
      <w:jc w:val="left"/>
      <w:outlineLvl w:val="5"/>
    </w:pPr>
    <w:rPr>
      <w:rFonts w:ascii="Arial" w:hAnsi="Arial" w:eastAsia="黑体"/>
      <w:b/>
      <w:bCs/>
      <w:kern w:val="0"/>
      <w:sz w:val="24"/>
    </w:rPr>
  </w:style>
  <w:style w:type="paragraph" w:styleId="7">
    <w:name w:val="heading 7"/>
    <w:basedOn w:val="1"/>
    <w:next w:val="1"/>
    <w:qFormat/>
    <w:uiPriority w:val="0"/>
    <w:pPr>
      <w:keepNext/>
      <w:keepLines/>
      <w:widowControl/>
      <w:tabs>
        <w:tab w:val="left" w:pos="2520"/>
      </w:tabs>
      <w:spacing w:before="240" w:after="64" w:line="319" w:lineRule="auto"/>
      <w:ind w:left="1296" w:hanging="1296"/>
      <w:jc w:val="left"/>
      <w:outlineLvl w:val="6"/>
    </w:pPr>
    <w:rPr>
      <w:b/>
      <w:bCs/>
      <w:kern w:val="0"/>
      <w:sz w:val="24"/>
    </w:rPr>
  </w:style>
  <w:style w:type="paragraph" w:styleId="8">
    <w:name w:val="heading 8"/>
    <w:basedOn w:val="1"/>
    <w:next w:val="1"/>
    <w:qFormat/>
    <w:uiPriority w:val="0"/>
    <w:pPr>
      <w:keepNext/>
      <w:keepLines/>
      <w:widowControl/>
      <w:tabs>
        <w:tab w:val="left" w:pos="1440"/>
      </w:tabs>
      <w:spacing w:before="240" w:after="64" w:line="319" w:lineRule="auto"/>
      <w:ind w:left="1440" w:hanging="1440"/>
      <w:jc w:val="left"/>
      <w:outlineLvl w:val="7"/>
    </w:pPr>
    <w:rPr>
      <w:rFonts w:ascii="Arial" w:hAnsi="Arial" w:eastAsia="黑体"/>
      <w:kern w:val="0"/>
      <w:sz w:val="24"/>
    </w:rPr>
  </w:style>
  <w:style w:type="paragraph" w:styleId="9">
    <w:name w:val="heading 9"/>
    <w:basedOn w:val="1"/>
    <w:next w:val="1"/>
    <w:qFormat/>
    <w:uiPriority w:val="0"/>
    <w:pPr>
      <w:keepNext/>
      <w:keepLines/>
      <w:widowControl/>
      <w:tabs>
        <w:tab w:val="left" w:pos="1584"/>
      </w:tabs>
      <w:spacing w:before="240" w:after="64" w:line="319" w:lineRule="auto"/>
      <w:ind w:left="1584" w:hanging="1584"/>
      <w:jc w:val="left"/>
      <w:outlineLvl w:val="8"/>
    </w:pPr>
    <w:rPr>
      <w:rFonts w:ascii="Arial" w:hAnsi="Arial" w:eastAsia="黑体"/>
      <w:kern w:val="0"/>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10">
    <w:name w:val="toc 7"/>
    <w:basedOn w:val="1"/>
    <w:next w:val="1"/>
    <w:qFormat/>
    <w:uiPriority w:val="39"/>
    <w:pPr>
      <w:ind w:left="1260"/>
      <w:jc w:val="left"/>
    </w:pPr>
    <w:rPr>
      <w:sz w:val="18"/>
      <w:szCs w:val="18"/>
    </w:rPr>
  </w:style>
  <w:style w:type="paragraph" w:styleId="11">
    <w:name w:val="Normal Indent"/>
    <w:basedOn w:val="1"/>
    <w:link w:val="63"/>
    <w:qFormat/>
    <w:uiPriority w:val="0"/>
    <w:pPr>
      <w:ind w:firstLine="420" w:firstLineChars="200"/>
    </w:pPr>
  </w:style>
  <w:style w:type="paragraph" w:styleId="12">
    <w:name w:val="Document Map"/>
    <w:basedOn w:val="1"/>
    <w:link w:val="64"/>
    <w:qFormat/>
    <w:uiPriority w:val="0"/>
    <w:pPr>
      <w:shd w:val="clear" w:color="auto" w:fill="000080"/>
    </w:pPr>
  </w:style>
  <w:style w:type="paragraph" w:styleId="13">
    <w:name w:val="annotation text"/>
    <w:basedOn w:val="1"/>
    <w:link w:val="65"/>
    <w:qFormat/>
    <w:uiPriority w:val="0"/>
    <w:pPr>
      <w:jc w:val="left"/>
    </w:pPr>
  </w:style>
  <w:style w:type="paragraph" w:styleId="14">
    <w:name w:val="Salutation"/>
    <w:basedOn w:val="1"/>
    <w:next w:val="1"/>
    <w:qFormat/>
    <w:uiPriority w:val="0"/>
  </w:style>
  <w:style w:type="paragraph" w:styleId="15">
    <w:name w:val="Body Text 3"/>
    <w:basedOn w:val="1"/>
    <w:qFormat/>
    <w:uiPriority w:val="0"/>
    <w:rPr>
      <w:rFonts w:ascii="宋体"/>
      <w:sz w:val="24"/>
      <w:szCs w:val="20"/>
    </w:rPr>
  </w:style>
  <w:style w:type="paragraph" w:styleId="16">
    <w:name w:val="Body Text"/>
    <w:basedOn w:val="1"/>
    <w:link w:val="66"/>
    <w:qFormat/>
    <w:uiPriority w:val="0"/>
    <w:pPr>
      <w:spacing w:after="120"/>
    </w:pPr>
  </w:style>
  <w:style w:type="paragraph" w:styleId="17">
    <w:name w:val="Body Text Indent"/>
    <w:basedOn w:val="1"/>
    <w:qFormat/>
    <w:uiPriority w:val="0"/>
    <w:pPr>
      <w:spacing w:after="120"/>
      <w:ind w:left="420" w:leftChars="200"/>
    </w:pPr>
  </w:style>
  <w:style w:type="paragraph" w:styleId="18">
    <w:name w:val="Block Text"/>
    <w:basedOn w:val="1"/>
    <w:next w:val="1"/>
    <w:unhideWhenUsed/>
    <w:qFormat/>
    <w:uiPriority w:val="99"/>
    <w:pPr>
      <w:spacing w:after="120"/>
      <w:ind w:left="1440" w:leftChars="700" w:right="1440" w:rightChars="700"/>
    </w:pPr>
  </w:style>
  <w:style w:type="paragraph" w:styleId="19">
    <w:name w:val="toc 5"/>
    <w:basedOn w:val="1"/>
    <w:next w:val="1"/>
    <w:qFormat/>
    <w:uiPriority w:val="39"/>
    <w:pPr>
      <w:ind w:left="840"/>
      <w:jc w:val="left"/>
    </w:pPr>
    <w:rPr>
      <w:sz w:val="18"/>
      <w:szCs w:val="18"/>
    </w:rPr>
  </w:style>
  <w:style w:type="paragraph" w:styleId="20">
    <w:name w:val="toc 3"/>
    <w:basedOn w:val="1"/>
    <w:next w:val="1"/>
    <w:qFormat/>
    <w:uiPriority w:val="39"/>
    <w:pPr>
      <w:ind w:left="420"/>
      <w:jc w:val="left"/>
    </w:pPr>
    <w:rPr>
      <w:iCs/>
      <w:sz w:val="20"/>
      <w:szCs w:val="20"/>
    </w:rPr>
  </w:style>
  <w:style w:type="paragraph" w:styleId="21">
    <w:name w:val="Plain Text"/>
    <w:basedOn w:val="1"/>
    <w:next w:val="1"/>
    <w:link w:val="67"/>
    <w:qFormat/>
    <w:uiPriority w:val="0"/>
    <w:rPr>
      <w:rFonts w:ascii="宋体" w:hAnsi="Courier New"/>
      <w:sz w:val="28"/>
      <w:szCs w:val="20"/>
    </w:rPr>
  </w:style>
  <w:style w:type="paragraph" w:styleId="22">
    <w:name w:val="toc 8"/>
    <w:basedOn w:val="1"/>
    <w:next w:val="1"/>
    <w:qFormat/>
    <w:uiPriority w:val="39"/>
    <w:pPr>
      <w:ind w:left="1470"/>
      <w:jc w:val="left"/>
    </w:pPr>
    <w:rPr>
      <w:sz w:val="18"/>
      <w:szCs w:val="18"/>
    </w:rPr>
  </w:style>
  <w:style w:type="paragraph" w:styleId="23">
    <w:name w:val="Date"/>
    <w:basedOn w:val="1"/>
    <w:next w:val="1"/>
    <w:qFormat/>
    <w:uiPriority w:val="0"/>
    <w:rPr>
      <w:sz w:val="24"/>
      <w:szCs w:val="20"/>
    </w:rPr>
  </w:style>
  <w:style w:type="paragraph" w:styleId="24">
    <w:name w:val="Body Text Indent 2"/>
    <w:basedOn w:val="1"/>
    <w:qFormat/>
    <w:uiPriority w:val="0"/>
    <w:pPr>
      <w:spacing w:after="120" w:line="480" w:lineRule="auto"/>
      <w:ind w:left="420" w:leftChars="200"/>
    </w:pPr>
  </w:style>
  <w:style w:type="paragraph" w:styleId="25">
    <w:name w:val="Balloon Text"/>
    <w:basedOn w:val="1"/>
    <w:qFormat/>
    <w:uiPriority w:val="0"/>
    <w:rPr>
      <w:sz w:val="18"/>
      <w:szCs w:val="18"/>
    </w:rPr>
  </w:style>
  <w:style w:type="paragraph" w:styleId="26">
    <w:name w:val="footer"/>
    <w:basedOn w:val="1"/>
    <w:link w:val="68"/>
    <w:qFormat/>
    <w:uiPriority w:val="99"/>
    <w:pPr>
      <w:tabs>
        <w:tab w:val="center" w:pos="4153"/>
        <w:tab w:val="right" w:pos="8306"/>
      </w:tabs>
      <w:snapToGrid w:val="0"/>
      <w:jc w:val="left"/>
    </w:pPr>
    <w:rPr>
      <w:sz w:val="18"/>
      <w:szCs w:val="18"/>
    </w:rPr>
  </w:style>
  <w:style w:type="paragraph" w:styleId="27">
    <w:name w:val="header"/>
    <w:basedOn w:val="1"/>
    <w:link w:val="69"/>
    <w:qFormat/>
    <w:uiPriority w:val="0"/>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pPr>
      <w:spacing w:before="120" w:after="120"/>
      <w:jc w:val="left"/>
    </w:pPr>
    <w:rPr>
      <w:b/>
      <w:bCs/>
      <w:caps/>
      <w:sz w:val="20"/>
      <w:szCs w:val="20"/>
    </w:rPr>
  </w:style>
  <w:style w:type="paragraph" w:styleId="29">
    <w:name w:val="toc 4"/>
    <w:basedOn w:val="1"/>
    <w:next w:val="1"/>
    <w:qFormat/>
    <w:uiPriority w:val="39"/>
    <w:pPr>
      <w:ind w:left="630"/>
      <w:jc w:val="left"/>
    </w:pPr>
    <w:rPr>
      <w:sz w:val="18"/>
      <w:szCs w:val="18"/>
    </w:rPr>
  </w:style>
  <w:style w:type="paragraph" w:styleId="30">
    <w:name w:val="toc 6"/>
    <w:basedOn w:val="1"/>
    <w:next w:val="1"/>
    <w:qFormat/>
    <w:uiPriority w:val="39"/>
    <w:pPr>
      <w:ind w:left="1050"/>
      <w:jc w:val="left"/>
    </w:pPr>
    <w:rPr>
      <w:sz w:val="18"/>
      <w:szCs w:val="18"/>
    </w:rPr>
  </w:style>
  <w:style w:type="paragraph" w:styleId="31">
    <w:name w:val="Body Text Indent 3"/>
    <w:basedOn w:val="1"/>
    <w:qFormat/>
    <w:uiPriority w:val="0"/>
    <w:pPr>
      <w:spacing w:after="120"/>
      <w:ind w:left="420" w:leftChars="200"/>
    </w:pPr>
    <w:rPr>
      <w:sz w:val="16"/>
      <w:szCs w:val="16"/>
    </w:rPr>
  </w:style>
  <w:style w:type="paragraph" w:styleId="32">
    <w:name w:val="toc 2"/>
    <w:basedOn w:val="1"/>
    <w:next w:val="1"/>
    <w:qFormat/>
    <w:uiPriority w:val="39"/>
    <w:pPr>
      <w:ind w:left="210"/>
      <w:jc w:val="left"/>
    </w:pPr>
    <w:rPr>
      <w:smallCaps/>
      <w:sz w:val="20"/>
      <w:szCs w:val="20"/>
    </w:rPr>
  </w:style>
  <w:style w:type="paragraph" w:styleId="33">
    <w:name w:val="toc 9"/>
    <w:basedOn w:val="1"/>
    <w:next w:val="1"/>
    <w:qFormat/>
    <w:uiPriority w:val="39"/>
    <w:pPr>
      <w:ind w:left="1680"/>
      <w:jc w:val="left"/>
    </w:pPr>
    <w:rPr>
      <w:sz w:val="18"/>
      <w:szCs w:val="18"/>
    </w:rPr>
  </w:style>
  <w:style w:type="paragraph" w:styleId="34">
    <w:name w:val="Body Text 2"/>
    <w:basedOn w:val="1"/>
    <w:qFormat/>
    <w:uiPriority w:val="0"/>
    <w:rPr>
      <w:sz w:val="24"/>
    </w:rPr>
  </w:style>
  <w:style w:type="paragraph" w:styleId="35">
    <w:name w:val="Normal (Web)"/>
    <w:basedOn w:val="1"/>
    <w:qFormat/>
    <w:uiPriority w:val="0"/>
    <w:pPr>
      <w:widowControl/>
      <w:spacing w:before="100" w:beforeAutospacing="1" w:after="100" w:afterAutospacing="1"/>
      <w:jc w:val="left"/>
    </w:pPr>
    <w:rPr>
      <w:rFonts w:hint="eastAsia" w:ascii="宋体" w:hAnsi="宋体"/>
      <w:kern w:val="0"/>
      <w:sz w:val="24"/>
    </w:rPr>
  </w:style>
  <w:style w:type="paragraph" w:styleId="36">
    <w:name w:val="index 1"/>
    <w:basedOn w:val="1"/>
    <w:next w:val="1"/>
    <w:qFormat/>
    <w:uiPriority w:val="0"/>
    <w:pPr>
      <w:spacing w:line="220" w:lineRule="exact"/>
      <w:jc w:val="center"/>
    </w:pPr>
    <w:rPr>
      <w:rFonts w:ascii="仿宋_GB2312" w:eastAsia="仿宋_GB2312"/>
      <w:szCs w:val="21"/>
    </w:rPr>
  </w:style>
  <w:style w:type="paragraph" w:styleId="37">
    <w:name w:val="Title"/>
    <w:basedOn w:val="1"/>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38">
    <w:name w:val="annotation subject"/>
    <w:basedOn w:val="13"/>
    <w:next w:val="13"/>
    <w:link w:val="70"/>
    <w:qFormat/>
    <w:uiPriority w:val="0"/>
    <w:pPr>
      <w:jc w:val="both"/>
    </w:pPr>
    <w:rPr>
      <w:b/>
      <w:bCs/>
    </w:rPr>
  </w:style>
  <w:style w:type="paragraph" w:styleId="39">
    <w:name w:val="Body Text First Indent"/>
    <w:basedOn w:val="1"/>
    <w:link w:val="71"/>
    <w:qFormat/>
    <w:uiPriority w:val="0"/>
    <w:pPr>
      <w:spacing w:line="312" w:lineRule="auto"/>
      <w:ind w:firstLine="420"/>
    </w:pPr>
  </w:style>
  <w:style w:type="paragraph" w:styleId="40">
    <w:name w:val="Body Text First Indent 2"/>
    <w:basedOn w:val="17"/>
    <w:unhideWhenUsed/>
    <w:qFormat/>
    <w:uiPriority w:val="99"/>
    <w:pPr>
      <w:ind w:firstLine="420" w:firstLineChars="200"/>
    </w:pPr>
  </w:style>
  <w:style w:type="table" w:styleId="42">
    <w:name w:val="Table Grid"/>
    <w:basedOn w:val="4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4">
    <w:name w:val="Strong"/>
    <w:basedOn w:val="43"/>
    <w:qFormat/>
    <w:uiPriority w:val="22"/>
    <w:rPr>
      <w:b/>
    </w:rPr>
  </w:style>
  <w:style w:type="character" w:styleId="45">
    <w:name w:val="page number"/>
    <w:basedOn w:val="43"/>
    <w:qFormat/>
    <w:uiPriority w:val="0"/>
  </w:style>
  <w:style w:type="character" w:styleId="46">
    <w:name w:val="FollowedHyperlink"/>
    <w:basedOn w:val="43"/>
    <w:qFormat/>
    <w:uiPriority w:val="0"/>
    <w:rPr>
      <w:rFonts w:hint="eastAsia" w:ascii="宋体" w:hAnsi="宋体" w:eastAsia="宋体" w:cs="宋体"/>
      <w:color w:val="000000"/>
      <w:sz w:val="18"/>
      <w:szCs w:val="18"/>
      <w:u w:val="none"/>
    </w:rPr>
  </w:style>
  <w:style w:type="character" w:styleId="47">
    <w:name w:val="Emphasis"/>
    <w:basedOn w:val="43"/>
    <w:qFormat/>
    <w:uiPriority w:val="20"/>
    <w:rPr>
      <w:i/>
    </w:rPr>
  </w:style>
  <w:style w:type="character" w:styleId="48">
    <w:name w:val="HTML Definition"/>
    <w:basedOn w:val="43"/>
    <w:unhideWhenUsed/>
    <w:qFormat/>
    <w:uiPriority w:val="99"/>
    <w:rPr>
      <w:i/>
    </w:rPr>
  </w:style>
  <w:style w:type="character" w:styleId="49">
    <w:name w:val="HTML Typewriter"/>
    <w:basedOn w:val="43"/>
    <w:unhideWhenUsed/>
    <w:qFormat/>
    <w:uiPriority w:val="99"/>
    <w:rPr>
      <w:rFonts w:ascii="monospace" w:hAnsi="monospace" w:eastAsia="monospace" w:cs="monospace"/>
      <w:sz w:val="20"/>
    </w:rPr>
  </w:style>
  <w:style w:type="character" w:styleId="50">
    <w:name w:val="HTML Acronym"/>
    <w:basedOn w:val="43"/>
    <w:unhideWhenUsed/>
    <w:qFormat/>
    <w:uiPriority w:val="99"/>
  </w:style>
  <w:style w:type="character" w:styleId="51">
    <w:name w:val="HTML Variable"/>
    <w:basedOn w:val="43"/>
    <w:unhideWhenUsed/>
    <w:qFormat/>
    <w:uiPriority w:val="99"/>
    <w:rPr>
      <w:i/>
    </w:rPr>
  </w:style>
  <w:style w:type="character" w:styleId="52">
    <w:name w:val="Hyperlink"/>
    <w:basedOn w:val="43"/>
    <w:qFormat/>
    <w:uiPriority w:val="99"/>
    <w:rPr>
      <w:rFonts w:hint="eastAsia" w:ascii="宋体" w:hAnsi="宋体" w:eastAsia="宋体" w:cs="宋体"/>
      <w:color w:val="000000"/>
      <w:sz w:val="18"/>
      <w:szCs w:val="18"/>
      <w:u w:val="single"/>
    </w:rPr>
  </w:style>
  <w:style w:type="character" w:styleId="53">
    <w:name w:val="HTML Code"/>
    <w:basedOn w:val="43"/>
    <w:unhideWhenUsed/>
    <w:qFormat/>
    <w:uiPriority w:val="99"/>
    <w:rPr>
      <w:rFonts w:hint="default" w:ascii="monospace" w:hAnsi="monospace" w:eastAsia="monospace" w:cs="monospace"/>
      <w:sz w:val="20"/>
    </w:rPr>
  </w:style>
  <w:style w:type="character" w:styleId="54">
    <w:name w:val="annotation reference"/>
    <w:qFormat/>
    <w:uiPriority w:val="99"/>
    <w:rPr>
      <w:sz w:val="21"/>
      <w:szCs w:val="21"/>
    </w:rPr>
  </w:style>
  <w:style w:type="character" w:styleId="55">
    <w:name w:val="HTML Cite"/>
    <w:basedOn w:val="43"/>
    <w:unhideWhenUsed/>
    <w:qFormat/>
    <w:uiPriority w:val="99"/>
    <w:rPr>
      <w:i/>
    </w:rPr>
  </w:style>
  <w:style w:type="character" w:styleId="56">
    <w:name w:val="footnote reference"/>
    <w:qFormat/>
    <w:uiPriority w:val="0"/>
    <w:rPr>
      <w:vertAlign w:val="superscript"/>
    </w:rPr>
  </w:style>
  <w:style w:type="character" w:styleId="57">
    <w:name w:val="HTML Keyboard"/>
    <w:basedOn w:val="43"/>
    <w:unhideWhenUsed/>
    <w:qFormat/>
    <w:uiPriority w:val="99"/>
    <w:rPr>
      <w:rFonts w:hint="default" w:ascii="monospace" w:hAnsi="monospace" w:eastAsia="monospace" w:cs="monospace"/>
      <w:sz w:val="20"/>
    </w:rPr>
  </w:style>
  <w:style w:type="character" w:styleId="58">
    <w:name w:val="HTML Sample"/>
    <w:basedOn w:val="43"/>
    <w:unhideWhenUsed/>
    <w:qFormat/>
    <w:uiPriority w:val="99"/>
    <w:rPr>
      <w:rFonts w:hint="default" w:ascii="monospace" w:hAnsi="monospace" w:eastAsia="monospace" w:cs="monospace"/>
    </w:rPr>
  </w:style>
  <w:style w:type="character" w:customStyle="1" w:styleId="59">
    <w:name w:val="标题 1 字符"/>
    <w:link w:val="2"/>
    <w:qFormat/>
    <w:uiPriority w:val="0"/>
    <w:rPr>
      <w:rFonts w:eastAsia="宋体"/>
      <w:b/>
      <w:bCs/>
      <w:kern w:val="44"/>
      <w:sz w:val="44"/>
      <w:szCs w:val="44"/>
      <w:lang w:val="en-US" w:eastAsia="zh-CN" w:bidi="ar-SA"/>
    </w:rPr>
  </w:style>
  <w:style w:type="character" w:customStyle="1" w:styleId="60">
    <w:name w:val="标题 2 Char1"/>
    <w:qFormat/>
    <w:locked/>
    <w:uiPriority w:val="0"/>
    <w:rPr>
      <w:rFonts w:ascii="Arial" w:hAnsi="Arial" w:eastAsia="黑体" w:cs="Arial"/>
      <w:b/>
      <w:bCs/>
      <w:kern w:val="0"/>
      <w:sz w:val="20"/>
      <w:szCs w:val="20"/>
    </w:rPr>
  </w:style>
  <w:style w:type="character" w:customStyle="1" w:styleId="61">
    <w:name w:val="标题 3 字符1"/>
    <w:link w:val="4"/>
    <w:qFormat/>
    <w:uiPriority w:val="0"/>
    <w:rPr>
      <w:rFonts w:ascii="黑体" w:hAnsi="宋体" w:eastAsia="黑体"/>
      <w:bCs/>
      <w:kern w:val="2"/>
      <w:sz w:val="28"/>
      <w:szCs w:val="28"/>
      <w:lang w:val="en-US" w:eastAsia="zh-CN" w:bidi="ar-SA"/>
    </w:rPr>
  </w:style>
  <w:style w:type="character" w:customStyle="1" w:styleId="62">
    <w:name w:val="标题 4 字符"/>
    <w:link w:val="5"/>
    <w:qFormat/>
    <w:uiPriority w:val="0"/>
    <w:rPr>
      <w:rFonts w:ascii="Arial" w:hAnsi="Arial" w:eastAsia="黑体"/>
      <w:b/>
      <w:bCs/>
      <w:kern w:val="2"/>
      <w:sz w:val="28"/>
      <w:szCs w:val="28"/>
      <w:lang w:val="en-US" w:eastAsia="zh-CN" w:bidi="ar-SA"/>
    </w:rPr>
  </w:style>
  <w:style w:type="character" w:customStyle="1" w:styleId="63">
    <w:name w:val="正文缩进 字符"/>
    <w:link w:val="11"/>
    <w:qFormat/>
    <w:uiPriority w:val="0"/>
    <w:rPr>
      <w:rFonts w:eastAsia="宋体"/>
      <w:kern w:val="2"/>
      <w:sz w:val="21"/>
      <w:szCs w:val="24"/>
      <w:lang w:val="en-US" w:eastAsia="zh-CN" w:bidi="ar-SA"/>
    </w:rPr>
  </w:style>
  <w:style w:type="character" w:customStyle="1" w:styleId="64">
    <w:name w:val="文档结构图 字符"/>
    <w:link w:val="12"/>
    <w:qFormat/>
    <w:uiPriority w:val="0"/>
    <w:rPr>
      <w:rFonts w:eastAsia="宋体"/>
      <w:kern w:val="2"/>
      <w:sz w:val="21"/>
      <w:szCs w:val="24"/>
      <w:lang w:val="en-US" w:eastAsia="zh-CN" w:bidi="ar-SA"/>
    </w:rPr>
  </w:style>
  <w:style w:type="character" w:customStyle="1" w:styleId="65">
    <w:name w:val="批注文字 字符"/>
    <w:link w:val="13"/>
    <w:qFormat/>
    <w:uiPriority w:val="0"/>
    <w:rPr>
      <w:rFonts w:eastAsia="宋体"/>
      <w:kern w:val="2"/>
      <w:sz w:val="21"/>
      <w:szCs w:val="24"/>
      <w:lang w:val="en-US" w:eastAsia="zh-CN" w:bidi="ar-SA"/>
    </w:rPr>
  </w:style>
  <w:style w:type="character" w:customStyle="1" w:styleId="66">
    <w:name w:val="正文文本 字符"/>
    <w:link w:val="16"/>
    <w:qFormat/>
    <w:uiPriority w:val="0"/>
    <w:rPr>
      <w:rFonts w:eastAsia="宋体"/>
      <w:kern w:val="2"/>
      <w:sz w:val="21"/>
      <w:szCs w:val="24"/>
      <w:lang w:val="en-US" w:eastAsia="zh-CN" w:bidi="ar-SA"/>
    </w:rPr>
  </w:style>
  <w:style w:type="character" w:customStyle="1" w:styleId="67">
    <w:name w:val="纯文本 字符"/>
    <w:link w:val="21"/>
    <w:qFormat/>
    <w:uiPriority w:val="0"/>
    <w:rPr>
      <w:rFonts w:ascii="宋体" w:hAnsi="Courier New"/>
      <w:kern w:val="2"/>
      <w:sz w:val="28"/>
    </w:rPr>
  </w:style>
  <w:style w:type="character" w:customStyle="1" w:styleId="68">
    <w:name w:val="页脚 字符"/>
    <w:link w:val="26"/>
    <w:qFormat/>
    <w:uiPriority w:val="99"/>
    <w:rPr>
      <w:rFonts w:eastAsia="宋体"/>
      <w:kern w:val="2"/>
      <w:sz w:val="18"/>
      <w:szCs w:val="18"/>
      <w:lang w:val="en-US" w:eastAsia="zh-CN" w:bidi="ar-SA"/>
    </w:rPr>
  </w:style>
  <w:style w:type="character" w:customStyle="1" w:styleId="69">
    <w:name w:val="页眉 字符"/>
    <w:link w:val="27"/>
    <w:qFormat/>
    <w:uiPriority w:val="99"/>
    <w:rPr>
      <w:rFonts w:eastAsia="宋体"/>
      <w:kern w:val="2"/>
      <w:sz w:val="18"/>
      <w:szCs w:val="18"/>
      <w:lang w:val="en-US" w:eastAsia="zh-CN" w:bidi="ar-SA"/>
    </w:rPr>
  </w:style>
  <w:style w:type="character" w:customStyle="1" w:styleId="70">
    <w:name w:val="批注主题 字符"/>
    <w:link w:val="38"/>
    <w:qFormat/>
    <w:uiPriority w:val="0"/>
    <w:rPr>
      <w:rFonts w:eastAsia="宋体"/>
      <w:b/>
      <w:bCs/>
      <w:kern w:val="2"/>
      <w:sz w:val="21"/>
      <w:szCs w:val="24"/>
      <w:lang w:val="en-US" w:eastAsia="zh-CN" w:bidi="ar-SA"/>
    </w:rPr>
  </w:style>
  <w:style w:type="character" w:customStyle="1" w:styleId="71">
    <w:name w:val="正文文本首行缩进 字符"/>
    <w:basedOn w:val="66"/>
    <w:link w:val="39"/>
    <w:qFormat/>
    <w:uiPriority w:val="0"/>
    <w:rPr>
      <w:rFonts w:eastAsia="宋体"/>
      <w:kern w:val="2"/>
      <w:sz w:val="21"/>
      <w:szCs w:val="24"/>
      <w:lang w:val="en-US" w:eastAsia="zh-CN" w:bidi="ar-SA"/>
    </w:rPr>
  </w:style>
  <w:style w:type="character" w:customStyle="1" w:styleId="72">
    <w:name w:val="标题 2 字符1"/>
    <w:link w:val="3"/>
    <w:qFormat/>
    <w:uiPriority w:val="99"/>
    <w:rPr>
      <w:rFonts w:ascii="Arial" w:hAnsi="Arial" w:eastAsia="黑体"/>
      <w:b/>
      <w:bCs/>
      <w:kern w:val="2"/>
      <w:sz w:val="32"/>
      <w:szCs w:val="32"/>
      <w:lang w:val="en-US" w:eastAsia="zh-CN" w:bidi="ar-SA"/>
    </w:rPr>
  </w:style>
  <w:style w:type="character" w:customStyle="1" w:styleId="73">
    <w:name w:val="msoins"/>
    <w:basedOn w:val="43"/>
    <w:qFormat/>
    <w:uiPriority w:val="0"/>
  </w:style>
  <w:style w:type="character" w:customStyle="1" w:styleId="74">
    <w:name w:val="font161"/>
    <w:qFormat/>
    <w:uiPriority w:val="0"/>
    <w:rPr>
      <w:b/>
      <w:bCs/>
      <w:sz w:val="32"/>
      <w:szCs w:val="32"/>
    </w:rPr>
  </w:style>
  <w:style w:type="character" w:customStyle="1" w:styleId="75">
    <w:name w:val="标题 2 字符"/>
    <w:qFormat/>
    <w:uiPriority w:val="99"/>
    <w:rPr>
      <w:rFonts w:ascii="Arial" w:hAnsi="Arial" w:eastAsia="黑体"/>
      <w:b/>
      <w:bCs/>
      <w:kern w:val="2"/>
      <w:sz w:val="32"/>
      <w:szCs w:val="32"/>
      <w:lang w:val="en-US" w:eastAsia="zh-CN" w:bidi="ar-SA"/>
    </w:rPr>
  </w:style>
  <w:style w:type="character" w:customStyle="1" w:styleId="76">
    <w:name w:val="标题 3 字符"/>
    <w:qFormat/>
    <w:uiPriority w:val="0"/>
    <w:rPr>
      <w:rFonts w:ascii="黑体" w:hAnsi="宋体" w:eastAsia="黑体"/>
      <w:bCs/>
      <w:kern w:val="2"/>
      <w:sz w:val="28"/>
      <w:szCs w:val="28"/>
      <w:lang w:val="en-US" w:eastAsia="zh-CN" w:bidi="ar-SA"/>
    </w:rPr>
  </w:style>
  <w:style w:type="character" w:customStyle="1" w:styleId="77">
    <w:name w:val="Char Char16"/>
    <w:qFormat/>
    <w:uiPriority w:val="0"/>
    <w:rPr>
      <w:rFonts w:eastAsia="宋体"/>
      <w:b/>
      <w:bCs/>
      <w:kern w:val="44"/>
      <w:sz w:val="44"/>
      <w:szCs w:val="44"/>
      <w:lang w:val="en-US" w:eastAsia="zh-CN" w:bidi="ar-SA"/>
    </w:rPr>
  </w:style>
  <w:style w:type="character" w:customStyle="1" w:styleId="78">
    <w:name w:val="Char Char17"/>
    <w:qFormat/>
    <w:locked/>
    <w:uiPriority w:val="0"/>
    <w:rPr>
      <w:rFonts w:eastAsia="宋体"/>
      <w:kern w:val="2"/>
      <w:sz w:val="24"/>
      <w:szCs w:val="24"/>
      <w:lang w:val="en-US" w:eastAsia="zh-CN"/>
    </w:rPr>
  </w:style>
  <w:style w:type="character" w:customStyle="1" w:styleId="79">
    <w:name w:val="Char Char11"/>
    <w:qFormat/>
    <w:uiPriority w:val="0"/>
    <w:rPr>
      <w:rFonts w:ascii="Arial" w:hAnsi="Arial" w:eastAsia="黑体"/>
      <w:b/>
      <w:bCs/>
      <w:kern w:val="2"/>
      <w:sz w:val="32"/>
      <w:szCs w:val="32"/>
      <w:lang w:val="en-US" w:eastAsia="zh-CN" w:bidi="ar-SA"/>
    </w:rPr>
  </w:style>
  <w:style w:type="character" w:customStyle="1" w:styleId="80">
    <w:name w:val="Char Char12"/>
    <w:qFormat/>
    <w:uiPriority w:val="0"/>
    <w:rPr>
      <w:rFonts w:ascii="Arial" w:hAnsi="Arial" w:eastAsia="黑体"/>
      <w:b/>
      <w:bCs/>
      <w:kern w:val="2"/>
      <w:sz w:val="32"/>
      <w:szCs w:val="32"/>
      <w:lang w:val="en-US" w:eastAsia="zh-CN" w:bidi="ar-SA"/>
    </w:rPr>
  </w:style>
  <w:style w:type="character" w:customStyle="1" w:styleId="81">
    <w:name w:val="Char Char14"/>
    <w:qFormat/>
    <w:uiPriority w:val="0"/>
    <w:rPr>
      <w:rFonts w:ascii="黑体" w:hAnsi="宋体" w:eastAsia="黑体"/>
      <w:bCs/>
      <w:kern w:val="2"/>
      <w:sz w:val="28"/>
      <w:szCs w:val="28"/>
      <w:lang w:val="en-US" w:eastAsia="zh-CN" w:bidi="ar-SA"/>
    </w:rPr>
  </w:style>
  <w:style w:type="character" w:customStyle="1" w:styleId="82">
    <w:name w:val="标题 2 Char Char"/>
    <w:qFormat/>
    <w:uiPriority w:val="0"/>
    <w:rPr>
      <w:sz w:val="28"/>
    </w:rPr>
  </w:style>
  <w:style w:type="character" w:customStyle="1" w:styleId="83">
    <w:name w:val="Char Char13"/>
    <w:qFormat/>
    <w:uiPriority w:val="0"/>
    <w:rPr>
      <w:rFonts w:eastAsia="宋体"/>
      <w:b/>
      <w:bCs/>
      <w:kern w:val="44"/>
      <w:sz w:val="44"/>
      <w:szCs w:val="44"/>
      <w:lang w:val="en-US" w:eastAsia="zh-CN" w:bidi="ar-SA"/>
    </w:rPr>
  </w:style>
  <w:style w:type="character" w:customStyle="1" w:styleId="84">
    <w:name w:val="apple-converted-space"/>
    <w:basedOn w:val="43"/>
    <w:qFormat/>
    <w:uiPriority w:val="0"/>
  </w:style>
  <w:style w:type="character" w:customStyle="1" w:styleId="85">
    <w:name w:val="纯文本 Char1"/>
    <w:semiHidden/>
    <w:qFormat/>
    <w:uiPriority w:val="99"/>
    <w:rPr>
      <w:rFonts w:ascii="宋体" w:hAnsi="Courier New" w:cs="Courier New"/>
      <w:kern w:val="2"/>
      <w:sz w:val="21"/>
      <w:szCs w:val="21"/>
    </w:rPr>
  </w:style>
  <w:style w:type="paragraph" w:customStyle="1" w:styleId="86">
    <w:name w:val="通用标题5"/>
    <w:qFormat/>
    <w:uiPriority w:val="0"/>
    <w:pPr>
      <w:widowControl w:val="0"/>
      <w:tabs>
        <w:tab w:val="left" w:pos="1134"/>
      </w:tabs>
      <w:autoSpaceDE w:val="0"/>
      <w:autoSpaceDN w:val="0"/>
      <w:adjustRightInd w:val="0"/>
      <w:snapToGrid w:val="0"/>
      <w:spacing w:afterLines="50" w:line="360" w:lineRule="auto"/>
      <w:ind w:left="1681" w:hanging="420"/>
      <w:jc w:val="both"/>
    </w:pPr>
    <w:rPr>
      <w:rFonts w:ascii="宋体" w:hAnsi="宋体" w:eastAsia="宋体" w:cs="Times New Roman"/>
      <w:kern w:val="2"/>
      <w:sz w:val="24"/>
      <w:szCs w:val="21"/>
      <w:lang w:val="en-US" w:eastAsia="zh-CN" w:bidi="ar-SA"/>
    </w:rPr>
  </w:style>
  <w:style w:type="paragraph" w:styleId="87">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8">
    <w:name w:val="表格文字"/>
    <w:basedOn w:val="1"/>
    <w:qFormat/>
    <w:uiPriority w:val="0"/>
    <w:pPr>
      <w:adjustRightInd w:val="0"/>
      <w:spacing w:line="420" w:lineRule="atLeast"/>
      <w:jc w:val="left"/>
      <w:textAlignment w:val="baseline"/>
    </w:pPr>
    <w:rPr>
      <w:kern w:val="0"/>
      <w:szCs w:val="20"/>
    </w:rPr>
  </w:style>
  <w:style w:type="paragraph" w:customStyle="1" w:styleId="89">
    <w:name w:val="tabl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paragraph" w:customStyle="1" w:styleId="90">
    <w:name w:val="样式 标题 3 + (中文) 黑体 小四 非加粗 段前: 7.8 磅 段后: 0 磅 行距: 固定值 20 磅"/>
    <w:basedOn w:val="4"/>
    <w:qFormat/>
    <w:uiPriority w:val="0"/>
    <w:pPr>
      <w:spacing w:before="0" w:after="0" w:line="400" w:lineRule="exact"/>
    </w:pPr>
    <w:rPr>
      <w:rFonts w:cs="宋体"/>
      <w:bCs w:val="0"/>
      <w:sz w:val="24"/>
      <w:szCs w:val="20"/>
    </w:rPr>
  </w:style>
  <w:style w:type="paragraph" w:customStyle="1" w:styleId="91">
    <w:name w:val="样式4-3"/>
    <w:basedOn w:val="92"/>
    <w:qFormat/>
    <w:uiPriority w:val="0"/>
    <w:pPr>
      <w:ind w:firstLine="482" w:firstLineChars="200"/>
      <w:outlineLvl w:val="3"/>
    </w:pPr>
    <w:rPr>
      <w:szCs w:val="22"/>
    </w:rPr>
  </w:style>
  <w:style w:type="paragraph" w:customStyle="1" w:styleId="92">
    <w:name w:val="样式3-3"/>
    <w:basedOn w:val="93"/>
    <w:qFormat/>
    <w:uiPriority w:val="0"/>
    <w:pPr>
      <w:spacing w:beforeLines="0" w:afterLines="0"/>
    </w:pPr>
    <w:rPr>
      <w:rFonts w:ascii="黑体" w:hAnsi="华文中宋"/>
    </w:rPr>
  </w:style>
  <w:style w:type="paragraph" w:customStyle="1" w:styleId="93">
    <w:name w:val="样式3-1"/>
    <w:basedOn w:val="1"/>
    <w:qFormat/>
    <w:uiPriority w:val="0"/>
    <w:pPr>
      <w:autoSpaceDE w:val="0"/>
      <w:autoSpaceDN w:val="0"/>
      <w:adjustRightInd w:val="0"/>
      <w:snapToGrid w:val="0"/>
      <w:spacing w:beforeLines="50" w:afterLines="50"/>
      <w:jc w:val="left"/>
      <w:outlineLvl w:val="2"/>
    </w:pPr>
    <w:rPr>
      <w:rFonts w:ascii="Arial" w:hAnsi="Arial" w:eastAsia="黑体"/>
      <w:b/>
      <w:color w:val="000000"/>
      <w:kern w:val="0"/>
      <w:sz w:val="32"/>
      <w:szCs w:val="20"/>
    </w:rPr>
  </w:style>
  <w:style w:type="paragraph" w:customStyle="1" w:styleId="94">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95">
    <w:name w:val="Char Char7"/>
    <w:basedOn w:val="1"/>
    <w:qFormat/>
    <w:uiPriority w:val="0"/>
    <w:rPr>
      <w:rFonts w:ascii="Tahoma" w:hAnsi="Tahoma"/>
      <w:sz w:val="24"/>
      <w:szCs w:val="20"/>
    </w:rPr>
  </w:style>
  <w:style w:type="paragraph" w:customStyle="1" w:styleId="96">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bCs w:val="0"/>
      <w:sz w:val="28"/>
      <w:szCs w:val="20"/>
    </w:rPr>
  </w:style>
  <w:style w:type="paragraph" w:customStyle="1" w:styleId="97">
    <w:name w:val="CM2"/>
    <w:basedOn w:val="98"/>
    <w:next w:val="98"/>
    <w:qFormat/>
    <w:uiPriority w:val="99"/>
    <w:pPr>
      <w:spacing w:line="188" w:lineRule="atLeast"/>
    </w:pPr>
    <w:rPr>
      <w:rFonts w:ascii="Times New Roman" w:cs="Times New Roman"/>
      <w:color w:val="auto"/>
    </w:rPr>
  </w:style>
  <w:style w:type="paragraph" w:customStyle="1" w:styleId="98">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99">
    <w:name w:val="Table Paragraph"/>
    <w:basedOn w:val="1"/>
    <w:qFormat/>
    <w:uiPriority w:val="1"/>
  </w:style>
  <w:style w:type="paragraph" w:styleId="100">
    <w:name w:val="List Paragraph"/>
    <w:basedOn w:val="1"/>
    <w:qFormat/>
    <w:uiPriority w:val="34"/>
    <w:pPr>
      <w:ind w:firstLine="420" w:firstLineChars="200"/>
    </w:pPr>
    <w:rPr>
      <w:rFonts w:ascii="Calibri" w:hAnsi="Calibri"/>
      <w:szCs w:val="22"/>
    </w:rPr>
  </w:style>
  <w:style w:type="paragraph" w:customStyle="1" w:styleId="101">
    <w:name w:val="样式 标题 1 + 黑体 三号 非加粗 居中 段前: 6 磅 段后: 6 磅 行距: 固定值 20 磅"/>
    <w:basedOn w:val="2"/>
    <w:qFormat/>
    <w:uiPriority w:val="0"/>
    <w:pPr>
      <w:spacing w:before="120" w:after="120" w:line="400" w:lineRule="exact"/>
      <w:jc w:val="center"/>
    </w:pPr>
    <w:rPr>
      <w:rFonts w:ascii="黑体" w:hAnsi="黑体" w:eastAsia="黑体" w:cs="宋体"/>
      <w:b w:val="0"/>
      <w:bCs w:val="0"/>
      <w:sz w:val="32"/>
      <w:szCs w:val="20"/>
    </w:rPr>
  </w:style>
  <w:style w:type="paragraph" w:customStyle="1" w:styleId="102">
    <w:name w:val="CM3"/>
    <w:basedOn w:val="98"/>
    <w:next w:val="98"/>
    <w:qFormat/>
    <w:uiPriority w:val="99"/>
    <w:rPr>
      <w:rFonts w:ascii="Times New Roman" w:cs="Times New Roman"/>
      <w:color w:val="auto"/>
    </w:rPr>
  </w:style>
  <w:style w:type="paragraph" w:customStyle="1" w:styleId="103">
    <w:name w:val="CM37"/>
    <w:basedOn w:val="98"/>
    <w:next w:val="98"/>
    <w:qFormat/>
    <w:uiPriority w:val="99"/>
    <w:rPr>
      <w:rFonts w:ascii="Times New Roman" w:cs="Times New Roman"/>
      <w:color w:val="auto"/>
    </w:rPr>
  </w:style>
  <w:style w:type="paragraph" w:customStyle="1" w:styleId="104">
    <w:name w:val="修订1"/>
    <w:qFormat/>
    <w:uiPriority w:val="0"/>
    <w:rPr>
      <w:rFonts w:ascii="Times New Roman" w:hAnsi="Times New Roman" w:eastAsia="宋体" w:cs="Times New Roman"/>
      <w:kern w:val="2"/>
      <w:sz w:val="21"/>
      <w:szCs w:val="24"/>
      <w:lang w:val="en-US" w:eastAsia="zh-CN" w:bidi="ar-SA"/>
    </w:rPr>
  </w:style>
  <w:style w:type="paragraph" w:customStyle="1" w:styleId="105">
    <w:name w:val="通用标题6"/>
    <w:basedOn w:val="1"/>
    <w:qFormat/>
    <w:uiPriority w:val="0"/>
    <w:pPr>
      <w:widowControl/>
      <w:numPr>
        <w:ilvl w:val="4"/>
        <w:numId w:val="1"/>
      </w:numPr>
      <w:tabs>
        <w:tab w:val="left" w:pos="993"/>
      </w:tabs>
      <w:adjustRightInd w:val="0"/>
      <w:snapToGrid w:val="0"/>
      <w:spacing w:afterLines="50" w:line="360" w:lineRule="auto"/>
      <w:ind w:firstLine="0"/>
    </w:pPr>
    <w:rPr>
      <w:rFonts w:ascii="宋体" w:hAnsi="宋体"/>
      <w:kern w:val="0"/>
      <w:sz w:val="24"/>
      <w:szCs w:val="20"/>
    </w:rPr>
  </w:style>
  <w:style w:type="paragraph" w:customStyle="1" w:styleId="106">
    <w:name w:val="Char Char Char Char"/>
    <w:basedOn w:val="1"/>
    <w:qFormat/>
    <w:uiPriority w:val="0"/>
    <w:rPr>
      <w:rFonts w:ascii="Tahoma" w:hAnsi="Tahoma" w:cs="Tahoma"/>
      <w:sz w:val="24"/>
    </w:rPr>
  </w:style>
  <w:style w:type="paragraph" w:customStyle="1" w:styleId="107">
    <w:name w:val="CM5"/>
    <w:basedOn w:val="98"/>
    <w:next w:val="98"/>
    <w:qFormat/>
    <w:uiPriority w:val="99"/>
    <w:pPr>
      <w:spacing w:line="180" w:lineRule="atLeast"/>
    </w:pPr>
    <w:rPr>
      <w:rFonts w:ascii="Times New Roman" w:cs="Times New Roman"/>
      <w:color w:val="auto"/>
    </w:rPr>
  </w:style>
  <w:style w:type="paragraph" w:customStyle="1" w:styleId="108">
    <w:name w:val="表格"/>
    <w:basedOn w:val="1"/>
    <w:qFormat/>
    <w:uiPriority w:val="0"/>
    <w:pPr>
      <w:jc w:val="center"/>
      <w:textAlignment w:val="center"/>
    </w:pPr>
    <w:rPr>
      <w:rFonts w:ascii="华文细黑" w:hAnsi="华文细黑"/>
      <w:kern w:val="0"/>
      <w:szCs w:val="20"/>
    </w:rPr>
  </w:style>
  <w:style w:type="paragraph" w:customStyle="1" w:styleId="109">
    <w:name w:val="标题2"/>
    <w:basedOn w:val="3"/>
    <w:next w:val="1"/>
    <w:qFormat/>
    <w:uiPriority w:val="0"/>
    <w:pPr>
      <w:snapToGrid w:val="0"/>
      <w:spacing w:before="120" w:after="120" w:line="240" w:lineRule="auto"/>
      <w:jc w:val="left"/>
    </w:pPr>
    <w:rPr>
      <w:b w:val="0"/>
      <w:bCs w:val="0"/>
      <w:sz w:val="21"/>
      <w:szCs w:val="21"/>
    </w:rPr>
  </w:style>
  <w:style w:type="paragraph" w:customStyle="1" w:styleId="110">
    <w:name w:val="样式2"/>
    <w:basedOn w:val="4"/>
    <w:qFormat/>
    <w:uiPriority w:val="0"/>
    <w:rPr>
      <w:i/>
    </w:rPr>
  </w:style>
  <w:style w:type="paragraph" w:customStyle="1" w:styleId="111">
    <w:name w:val="TOC 标题1"/>
    <w:basedOn w:val="2"/>
    <w:next w:val="1"/>
    <w:unhideWhenUsed/>
    <w:qFormat/>
    <w:uiPriority w:val="0"/>
    <w:pPr>
      <w:keepNext w:val="0"/>
      <w:keepLines w:val="0"/>
      <w:widowControl/>
      <w:adjustRightInd w:val="0"/>
      <w:snapToGrid w:val="0"/>
      <w:spacing w:before="240" w:after="0" w:line="259" w:lineRule="auto"/>
      <w:jc w:val="left"/>
      <w:outlineLvl w:val="9"/>
    </w:pPr>
    <w:rPr>
      <w:rFonts w:ascii="Calibri Light" w:hAnsi="Calibri Light"/>
      <w:b w:val="0"/>
      <w:bCs w:val="0"/>
      <w:color w:val="2E75B5"/>
      <w:kern w:val="0"/>
      <w:sz w:val="32"/>
      <w:szCs w:val="32"/>
    </w:rPr>
  </w:style>
  <w:style w:type="paragraph" w:customStyle="1" w:styleId="112">
    <w:name w:val="附件标题"/>
    <w:basedOn w:val="3"/>
    <w:next w:val="1"/>
    <w:qFormat/>
    <w:uiPriority w:val="0"/>
    <w:pPr>
      <w:widowControl/>
      <w:numPr>
        <w:ilvl w:val="0"/>
        <w:numId w:val="2"/>
      </w:numPr>
      <w:tabs>
        <w:tab w:val="left" w:pos="1134"/>
      </w:tabs>
      <w:wordWrap w:val="0"/>
      <w:topLinePunct/>
      <w:adjustRightInd w:val="0"/>
      <w:snapToGrid w:val="0"/>
      <w:spacing w:before="0" w:after="0" w:afterLines="50" w:line="360" w:lineRule="auto"/>
      <w:jc w:val="center"/>
    </w:pPr>
    <w:rPr>
      <w:rFonts w:ascii="黑体" w:hAnsi="黑体"/>
      <w:bCs w:val="0"/>
      <w:kern w:val="0"/>
      <w:sz w:val="30"/>
      <w:szCs w:val="30"/>
    </w:rPr>
  </w:style>
  <w:style w:type="paragraph" w:customStyle="1" w:styleId="113">
    <w:name w:val="CM56"/>
    <w:basedOn w:val="98"/>
    <w:next w:val="98"/>
    <w:qFormat/>
    <w:uiPriority w:val="99"/>
    <w:rPr>
      <w:rFonts w:ascii="Times New Roman" w:cs="Times New Roman"/>
      <w:color w:val="auto"/>
    </w:rPr>
  </w:style>
  <w:style w:type="paragraph" w:customStyle="1" w:styleId="114">
    <w:name w:val="通用标题4"/>
    <w:next w:val="1"/>
    <w:qFormat/>
    <w:uiPriority w:val="0"/>
    <w:pPr>
      <w:numPr>
        <w:ilvl w:val="2"/>
        <w:numId w:val="3"/>
      </w:numPr>
      <w:tabs>
        <w:tab w:val="left" w:pos="851"/>
      </w:tabs>
      <w:adjustRightInd w:val="0"/>
      <w:snapToGrid w:val="0"/>
      <w:spacing w:afterLines="50" w:line="360" w:lineRule="auto"/>
      <w:jc w:val="both"/>
      <w:outlineLvl w:val="3"/>
    </w:pPr>
    <w:rPr>
      <w:rFonts w:ascii="宋体" w:hAnsi="宋体" w:eastAsia="宋体" w:cs="Times New Roman"/>
      <w:kern w:val="2"/>
      <w:sz w:val="24"/>
      <w:szCs w:val="21"/>
      <w:lang w:val="en-US" w:eastAsia="zh-CN" w:bidi="ar-SA"/>
    </w:rPr>
  </w:style>
  <w:style w:type="paragraph" w:customStyle="1" w:styleId="115">
    <w:name w:val="_Style 206"/>
    <w:basedOn w:val="1"/>
    <w:unhideWhenUsed/>
    <w:qFormat/>
    <w:uiPriority w:val="0"/>
    <w:pPr>
      <w:spacing w:line="360" w:lineRule="auto"/>
      <w:ind w:firstLine="200" w:firstLineChars="200"/>
    </w:pPr>
    <w:rPr>
      <w:rFonts w:hint="eastAsia" w:ascii="宋体" w:hAnsi="宋体"/>
      <w:sz w:val="24"/>
      <w:szCs w:val="20"/>
    </w:rPr>
  </w:style>
  <w:style w:type="paragraph" w:customStyle="1" w:styleId="116">
    <w:name w:val="_Style 115"/>
    <w:semiHidden/>
    <w:qFormat/>
    <w:uiPriority w:val="99"/>
    <w:rPr>
      <w:rFonts w:ascii="Times New Roman" w:hAnsi="Times New Roman" w:eastAsia="宋体" w:cs="Times New Roman"/>
      <w:kern w:val="2"/>
      <w:sz w:val="21"/>
      <w:szCs w:val="24"/>
      <w:lang w:val="en-US" w:eastAsia="zh-CN" w:bidi="ar-SA"/>
    </w:rPr>
  </w:style>
  <w:style w:type="paragraph" w:customStyle="1" w:styleId="117">
    <w:name w:val="TOC 标题2"/>
    <w:basedOn w:val="2"/>
    <w:next w:val="1"/>
    <w:qFormat/>
    <w:uiPriority w:val="0"/>
    <w:pPr>
      <w:spacing w:before="260" w:after="260" w:line="413" w:lineRule="auto"/>
      <w:jc w:val="center"/>
    </w:pPr>
    <w:rPr>
      <w:rFonts w:ascii="宋体" w:hAnsi="宋体"/>
      <w:sz w:val="36"/>
      <w:lang w:val="zh-CN"/>
    </w:rPr>
  </w:style>
  <w:style w:type="paragraph" w:customStyle="1" w:styleId="118">
    <w:name w:val="CM7"/>
    <w:basedOn w:val="98"/>
    <w:next w:val="98"/>
    <w:qFormat/>
    <w:uiPriority w:val="99"/>
    <w:pPr>
      <w:spacing w:line="191" w:lineRule="atLeast"/>
    </w:pPr>
    <w:rPr>
      <w:rFonts w:ascii="Times New Roman" w:cs="Times New Roman"/>
      <w:color w:val="auto"/>
    </w:rPr>
  </w:style>
  <w:style w:type="paragraph" w:customStyle="1" w:styleId="119">
    <w:name w:val="通用标题3"/>
    <w:next w:val="1"/>
    <w:qFormat/>
    <w:uiPriority w:val="0"/>
    <w:pPr>
      <w:widowControl w:val="0"/>
      <w:tabs>
        <w:tab w:val="left" w:pos="851"/>
      </w:tabs>
      <w:adjustRightInd w:val="0"/>
      <w:snapToGrid w:val="0"/>
      <w:spacing w:afterLines="50" w:line="360" w:lineRule="auto"/>
      <w:ind w:left="841" w:hanging="420"/>
      <w:jc w:val="both"/>
      <w:outlineLvl w:val="2"/>
    </w:pPr>
    <w:rPr>
      <w:rFonts w:ascii="黑体" w:hAnsi="黑体" w:eastAsia="黑体" w:cs="Times New Roman"/>
      <w:b/>
      <w:kern w:val="2"/>
      <w:sz w:val="24"/>
      <w:szCs w:val="24"/>
      <w:lang w:val="en-US" w:eastAsia="zh-CN" w:bidi="ar-SA"/>
    </w:rPr>
  </w:style>
  <w:style w:type="paragraph" w:customStyle="1" w:styleId="120">
    <w:name w:val="样式1"/>
    <w:basedOn w:val="1"/>
    <w:next w:val="5"/>
    <w:qFormat/>
    <w:uiPriority w:val="0"/>
    <w:pPr>
      <w:spacing w:line="360" w:lineRule="auto"/>
      <w:ind w:firstLine="420" w:firstLineChars="200"/>
    </w:pPr>
    <w:rPr>
      <w:rFonts w:ascii="宋体" w:hAnsi="宋体"/>
      <w:szCs w:val="21"/>
    </w:rPr>
  </w:style>
  <w:style w:type="paragraph" w:customStyle="1" w:styleId="121">
    <w:name w:val="Char1"/>
    <w:basedOn w:val="1"/>
    <w:qFormat/>
    <w:uiPriority w:val="0"/>
    <w:pPr>
      <w:tabs>
        <w:tab w:val="left" w:pos="360"/>
      </w:tabs>
    </w:pPr>
    <w:rPr>
      <w:sz w:val="24"/>
    </w:rPr>
  </w:style>
  <w:style w:type="paragraph" w:customStyle="1" w:styleId="122">
    <w:name w:val="专用标题2"/>
    <w:basedOn w:val="3"/>
    <w:next w:val="1"/>
    <w:qFormat/>
    <w:uiPriority w:val="0"/>
    <w:pPr>
      <w:keepNext w:val="0"/>
      <w:keepLines w:val="0"/>
      <w:widowControl/>
      <w:tabs>
        <w:tab w:val="left" w:pos="993"/>
      </w:tabs>
      <w:adjustRightInd w:val="0"/>
      <w:snapToGrid w:val="0"/>
      <w:spacing w:before="0" w:after="0" w:afterLines="50" w:line="360" w:lineRule="auto"/>
    </w:pPr>
    <w:rPr>
      <w:rFonts w:ascii="宋体" w:hAnsi="宋体" w:eastAsia="宋体" w:cs="Times"/>
      <w:bCs w:val="0"/>
      <w:kern w:val="0"/>
      <w:sz w:val="28"/>
      <w:szCs w:val="20"/>
    </w:rPr>
  </w:style>
  <w:style w:type="paragraph" w:customStyle="1" w:styleId="123">
    <w:name w:val="p2"/>
    <w:basedOn w:val="1"/>
    <w:qFormat/>
    <w:uiPriority w:val="0"/>
    <w:pPr>
      <w:widowControl/>
      <w:spacing w:line="480" w:lineRule="auto"/>
      <w:ind w:firstLine="420"/>
      <w:jc w:val="left"/>
    </w:pPr>
    <w:rPr>
      <w:rFonts w:ascii="宋体" w:hAnsi="宋体" w:cs="宋体"/>
      <w:kern w:val="0"/>
      <w:szCs w:val="21"/>
    </w:rPr>
  </w:style>
  <w:style w:type="paragraph" w:customStyle="1" w:styleId="124">
    <w:name w:val="p0"/>
    <w:basedOn w:val="1"/>
    <w:qFormat/>
    <w:uiPriority w:val="0"/>
    <w:pPr>
      <w:widowControl/>
    </w:pPr>
    <w:rPr>
      <w:kern w:val="0"/>
      <w:szCs w:val="21"/>
    </w:rPr>
  </w:style>
  <w:style w:type="paragraph" w:customStyle="1" w:styleId="125">
    <w:name w:val="CM57"/>
    <w:basedOn w:val="98"/>
    <w:next w:val="98"/>
    <w:qFormat/>
    <w:uiPriority w:val="99"/>
    <w:rPr>
      <w:rFonts w:ascii="Times New Roman" w:cs="Times New Roman"/>
      <w:color w:val="auto"/>
    </w:rPr>
  </w:style>
  <w:style w:type="paragraph" w:customStyle="1" w:styleId="126">
    <w:name w:val="_Style 57"/>
    <w:basedOn w:val="1"/>
    <w:unhideWhenUsed/>
    <w:qFormat/>
    <w:uiPriority w:val="0"/>
    <w:pPr>
      <w:spacing w:line="360" w:lineRule="auto"/>
      <w:ind w:firstLine="200" w:firstLineChars="200"/>
    </w:pPr>
    <w:rPr>
      <w:rFonts w:hint="eastAsia" w:ascii="宋体" w:hAnsi="宋体"/>
      <w:sz w:val="24"/>
      <w:szCs w:val="20"/>
    </w:rPr>
  </w:style>
  <w:style w:type="paragraph" w:customStyle="1" w:styleId="127">
    <w:name w:val="Char"/>
    <w:basedOn w:val="1"/>
    <w:qFormat/>
    <w:uiPriority w:val="0"/>
    <w:pPr>
      <w:tabs>
        <w:tab w:val="left" w:pos="360"/>
      </w:tabs>
    </w:pPr>
    <w:rPr>
      <w:sz w:val="24"/>
    </w:rPr>
  </w:style>
  <w:style w:type="paragraph" w:customStyle="1" w:styleId="128">
    <w:name w:val="CM60"/>
    <w:basedOn w:val="98"/>
    <w:next w:val="98"/>
    <w:qFormat/>
    <w:uiPriority w:val="99"/>
    <w:rPr>
      <w:rFonts w:ascii="Times New Roman" w:cs="Times New Roman"/>
      <w:color w:val="auto"/>
    </w:rPr>
  </w:style>
  <w:style w:type="paragraph" w:customStyle="1" w:styleId="129">
    <w:name w:val="附件标题1"/>
    <w:next w:val="1"/>
    <w:qFormat/>
    <w:uiPriority w:val="0"/>
    <w:pPr>
      <w:tabs>
        <w:tab w:val="left" w:pos="567"/>
      </w:tabs>
      <w:adjustRightInd w:val="0"/>
      <w:snapToGrid w:val="0"/>
      <w:spacing w:afterLines="50" w:line="312" w:lineRule="auto"/>
    </w:pPr>
    <w:rPr>
      <w:rFonts w:ascii="黑体" w:hAnsi="黑体" w:eastAsia="黑体" w:cs="Times New Roman"/>
      <w:b/>
      <w:kern w:val="2"/>
      <w:sz w:val="24"/>
      <w:szCs w:val="24"/>
      <w:lang w:val="en-US" w:eastAsia="zh-CN" w:bidi="ar-SA"/>
    </w:rPr>
  </w:style>
  <w:style w:type="paragraph" w:customStyle="1" w:styleId="130">
    <w:name w:val="通用标题2"/>
    <w:basedOn w:val="3"/>
    <w:next w:val="1"/>
    <w:qFormat/>
    <w:uiPriority w:val="0"/>
    <w:pPr>
      <w:keepNext w:val="0"/>
      <w:keepLines w:val="0"/>
      <w:widowControl/>
      <w:tabs>
        <w:tab w:val="left" w:pos="993"/>
      </w:tabs>
      <w:wordWrap w:val="0"/>
      <w:topLinePunct/>
      <w:adjustRightInd w:val="0"/>
      <w:snapToGrid w:val="0"/>
      <w:spacing w:before="0" w:after="0" w:afterLines="50" w:line="360" w:lineRule="auto"/>
      <w:ind w:left="690" w:hanging="690"/>
    </w:pPr>
    <w:rPr>
      <w:rFonts w:ascii="黑体" w:hAnsi="黑体"/>
      <w:bCs w:val="0"/>
      <w:kern w:val="0"/>
      <w:sz w:val="28"/>
      <w:szCs w:val="20"/>
    </w:rPr>
  </w:style>
  <w:style w:type="paragraph" w:customStyle="1" w:styleId="131">
    <w:name w:val="Main Title"/>
    <w:next w:val="1"/>
    <w:qFormat/>
    <w:uiPriority w:val="0"/>
    <w:pPr>
      <w:adjustRightInd w:val="0"/>
      <w:snapToGrid w:val="0"/>
      <w:spacing w:afterLines="50" w:line="360" w:lineRule="auto"/>
      <w:jc w:val="center"/>
    </w:pPr>
    <w:rPr>
      <w:rFonts w:ascii="黑体" w:hAnsi="黑体" w:eastAsia="黑体" w:cs="Times New Roman"/>
      <w:b/>
      <w:kern w:val="2"/>
      <w:sz w:val="36"/>
      <w:szCs w:val="22"/>
      <w:lang w:val="zh-CN" w:eastAsia="zh-CN" w:bidi="ar-SA"/>
    </w:rPr>
  </w:style>
  <w:style w:type="paragraph" w:customStyle="1" w:styleId="132">
    <w:name w:val="Char Char Char Char1"/>
    <w:basedOn w:val="1"/>
    <w:qFormat/>
    <w:uiPriority w:val="0"/>
    <w:rPr>
      <w:rFonts w:ascii="Tahoma" w:hAnsi="Tahoma"/>
      <w:sz w:val="24"/>
      <w:szCs w:val="20"/>
    </w:rPr>
  </w:style>
  <w:style w:type="paragraph" w:customStyle="1" w:styleId="133">
    <w:name w:val="1"/>
    <w:basedOn w:val="1"/>
    <w:qFormat/>
    <w:uiPriority w:val="0"/>
  </w:style>
  <w:style w:type="paragraph" w:customStyle="1" w:styleId="134">
    <w:name w:val="协议书标题2"/>
    <w:basedOn w:val="3"/>
    <w:next w:val="1"/>
    <w:qFormat/>
    <w:uiPriority w:val="0"/>
    <w:pPr>
      <w:keepNext w:val="0"/>
      <w:keepLines w:val="0"/>
      <w:widowControl/>
      <w:numPr>
        <w:ilvl w:val="0"/>
        <w:numId w:val="4"/>
      </w:numPr>
      <w:tabs>
        <w:tab w:val="left" w:pos="567"/>
      </w:tabs>
      <w:wordWrap w:val="0"/>
      <w:topLinePunct/>
      <w:adjustRightInd w:val="0"/>
      <w:snapToGrid w:val="0"/>
      <w:spacing w:before="0" w:after="0" w:afterLines="50" w:line="360" w:lineRule="auto"/>
      <w:jc w:val="left"/>
    </w:pPr>
    <w:rPr>
      <w:rFonts w:ascii="宋体" w:hAnsi="宋体" w:eastAsia="宋体"/>
      <w:bCs w:val="0"/>
      <w:kern w:val="0"/>
      <w:sz w:val="24"/>
      <w:szCs w:val="20"/>
    </w:rPr>
  </w:style>
  <w:style w:type="paragraph" w:customStyle="1" w:styleId="135">
    <w:name w:val="Body text|1"/>
    <w:basedOn w:val="1"/>
    <w:qFormat/>
    <w:uiPriority w:val="0"/>
    <w:pPr>
      <w:spacing w:line="382" w:lineRule="auto"/>
      <w:ind w:firstLine="400"/>
      <w:jc w:val="left"/>
    </w:pPr>
    <w:rPr>
      <w:rFonts w:ascii="宋体" w:hAnsi="宋体" w:cs="宋体"/>
      <w:sz w:val="30"/>
      <w:szCs w:val="30"/>
      <w:lang w:val="zh-TW" w:eastAsia="zh-TW" w:bidi="zh-TW"/>
    </w:rPr>
  </w:style>
  <w:style w:type="paragraph" w:customStyle="1" w:styleId="136">
    <w:name w:val="正文+2"/>
    <w:basedOn w:val="1"/>
    <w:qFormat/>
    <w:uiPriority w:val="0"/>
    <w:pPr>
      <w:ind w:firstLine="200" w:firstLineChars="200"/>
    </w:pPr>
  </w:style>
  <w:style w:type="character" w:customStyle="1" w:styleId="137">
    <w:name w:val="yui-toolbar-draghandle"/>
    <w:basedOn w:val="43"/>
    <w:qFormat/>
    <w:uiPriority w:val="0"/>
    <w:rPr>
      <w:bdr w:val="single" w:color="999999" w:sz="6" w:space="0"/>
    </w:rPr>
  </w:style>
  <w:style w:type="character" w:customStyle="1" w:styleId="138">
    <w:name w:val="after"/>
    <w:basedOn w:val="43"/>
    <w:qFormat/>
    <w:uiPriority w:val="0"/>
  </w:style>
  <w:style w:type="character" w:customStyle="1" w:styleId="139">
    <w:name w:val="icon"/>
    <w:basedOn w:val="43"/>
    <w:qFormat/>
    <w:uiPriority w:val="0"/>
  </w:style>
  <w:style w:type="character" w:customStyle="1" w:styleId="140">
    <w:name w:val="yui-toolbar-separator"/>
    <w:basedOn w:val="43"/>
    <w:qFormat/>
    <w:uiPriority w:val="0"/>
    <w:rPr>
      <w:vanish/>
    </w:rPr>
  </w:style>
  <w:style w:type="character" w:customStyle="1" w:styleId="141">
    <w:name w:val="yui-toolbar-separator1"/>
    <w:basedOn w:val="43"/>
    <w:qFormat/>
    <w:uiPriority w:val="0"/>
  </w:style>
  <w:style w:type="character" w:customStyle="1" w:styleId="142">
    <w:name w:val="icon-warn"/>
    <w:basedOn w:val="43"/>
    <w:qFormat/>
    <w:uiPriority w:val="0"/>
  </w:style>
  <w:style w:type="character" w:customStyle="1" w:styleId="143">
    <w:name w:val="cur-month"/>
    <w:basedOn w:val="43"/>
    <w:qFormat/>
    <w:uiPriority w:val="0"/>
    <w:rPr>
      <w:b/>
      <w:bCs/>
    </w:rPr>
  </w:style>
  <w:style w:type="character" w:customStyle="1" w:styleId="144">
    <w:name w:val="arrowup"/>
    <w:basedOn w:val="43"/>
    <w:qFormat/>
    <w:uiPriority w:val="0"/>
  </w:style>
  <w:style w:type="character" w:customStyle="1" w:styleId="145">
    <w:name w:val="navperson"/>
    <w:basedOn w:val="43"/>
    <w:qFormat/>
    <w:uiPriority w:val="0"/>
  </w:style>
  <w:style w:type="character" w:customStyle="1" w:styleId="146">
    <w:name w:val="navperson1"/>
    <w:basedOn w:val="43"/>
    <w:qFormat/>
    <w:uiPriority w:val="0"/>
  </w:style>
  <w:style w:type="character" w:customStyle="1" w:styleId="147">
    <w:name w:val="navperson2"/>
    <w:basedOn w:val="43"/>
    <w:qFormat/>
    <w:uiPriority w:val="0"/>
  </w:style>
  <w:style w:type="character" w:customStyle="1" w:styleId="148">
    <w:name w:val="knob"/>
    <w:basedOn w:val="43"/>
    <w:qFormat/>
    <w:uiPriority w:val="0"/>
  </w:style>
  <w:style w:type="character" w:customStyle="1" w:styleId="149">
    <w:name w:val="yui-toolbar-bordertype-solid"/>
    <w:basedOn w:val="43"/>
    <w:qFormat/>
    <w:uiPriority w:val="0"/>
  </w:style>
  <w:style w:type="character" w:customStyle="1" w:styleId="150">
    <w:name w:val="tipicon"/>
    <w:basedOn w:val="43"/>
    <w:qFormat/>
    <w:uiPriority w:val="0"/>
  </w:style>
  <w:style w:type="character" w:customStyle="1" w:styleId="151">
    <w:name w:val="collapse22"/>
    <w:basedOn w:val="43"/>
    <w:qFormat/>
    <w:uiPriority w:val="0"/>
  </w:style>
  <w:style w:type="character" w:customStyle="1" w:styleId="152">
    <w:name w:val="yui-toolbar-icon2"/>
    <w:basedOn w:val="43"/>
    <w:qFormat/>
    <w:uiPriority w:val="0"/>
  </w:style>
  <w:style w:type="character" w:customStyle="1" w:styleId="153">
    <w:name w:val="yui-toolbar-icon3"/>
    <w:basedOn w:val="43"/>
    <w:qFormat/>
    <w:uiPriority w:val="0"/>
  </w:style>
  <w:style w:type="character" w:customStyle="1" w:styleId="154">
    <w:name w:val="yui-toolbar-icon4"/>
    <w:basedOn w:val="43"/>
    <w:qFormat/>
    <w:uiPriority w:val="0"/>
    <w:rPr>
      <w:vanish/>
    </w:rPr>
  </w:style>
  <w:style w:type="character" w:customStyle="1" w:styleId="155">
    <w:name w:val="yui-toolbar-icon5"/>
    <w:basedOn w:val="43"/>
    <w:qFormat/>
    <w:uiPriority w:val="0"/>
  </w:style>
  <w:style w:type="character" w:customStyle="1" w:styleId="156">
    <w:name w:val="yui-toolbar-icon6"/>
    <w:basedOn w:val="43"/>
    <w:qFormat/>
    <w:uiPriority w:val="0"/>
  </w:style>
  <w:style w:type="character" w:customStyle="1" w:styleId="157">
    <w:name w:val="yui-toolbar-icon7"/>
    <w:basedOn w:val="43"/>
    <w:qFormat/>
    <w:uiPriority w:val="0"/>
  </w:style>
  <w:style w:type="character" w:customStyle="1" w:styleId="158">
    <w:name w:val="yui-toolbar-icon8"/>
    <w:basedOn w:val="43"/>
    <w:qFormat/>
    <w:uiPriority w:val="0"/>
  </w:style>
  <w:style w:type="character" w:customStyle="1" w:styleId="159">
    <w:name w:val="yui-toolbar-icon9"/>
    <w:basedOn w:val="43"/>
    <w:qFormat/>
    <w:uiPriority w:val="0"/>
  </w:style>
  <w:style w:type="character" w:customStyle="1" w:styleId="160">
    <w:name w:val="yui-toolbar-icon10"/>
    <w:basedOn w:val="43"/>
    <w:qFormat/>
    <w:uiPriority w:val="0"/>
  </w:style>
  <w:style w:type="character" w:customStyle="1" w:styleId="161">
    <w:name w:val="yui-toolbar-icon11"/>
    <w:basedOn w:val="43"/>
    <w:qFormat/>
    <w:uiPriority w:val="0"/>
  </w:style>
  <w:style w:type="character" w:customStyle="1" w:styleId="162">
    <w:name w:val="yui-toolbar-icon12"/>
    <w:basedOn w:val="43"/>
    <w:qFormat/>
    <w:uiPriority w:val="0"/>
  </w:style>
  <w:style w:type="character" w:customStyle="1" w:styleId="163">
    <w:name w:val="yui-toolbar-icon13"/>
    <w:basedOn w:val="43"/>
    <w:qFormat/>
    <w:uiPriority w:val="0"/>
  </w:style>
  <w:style w:type="character" w:customStyle="1" w:styleId="164">
    <w:name w:val="yui-toolbar-icon14"/>
    <w:basedOn w:val="43"/>
    <w:qFormat/>
    <w:uiPriority w:val="0"/>
  </w:style>
  <w:style w:type="character" w:customStyle="1" w:styleId="165">
    <w:name w:val="yui-toolbar-icon15"/>
    <w:basedOn w:val="43"/>
    <w:qFormat/>
    <w:uiPriority w:val="0"/>
  </w:style>
  <w:style w:type="character" w:customStyle="1" w:styleId="166">
    <w:name w:val="yui-toolbar-icon16"/>
    <w:basedOn w:val="43"/>
    <w:qFormat/>
    <w:uiPriority w:val="0"/>
  </w:style>
  <w:style w:type="character" w:customStyle="1" w:styleId="167">
    <w:name w:val="yui-toolbar-icon17"/>
    <w:basedOn w:val="43"/>
    <w:qFormat/>
    <w:uiPriority w:val="0"/>
  </w:style>
  <w:style w:type="character" w:customStyle="1" w:styleId="168">
    <w:name w:val="yui-toolbar-icon18"/>
    <w:basedOn w:val="43"/>
    <w:qFormat/>
    <w:uiPriority w:val="0"/>
  </w:style>
  <w:style w:type="character" w:customStyle="1" w:styleId="169">
    <w:name w:val="yui-toolbar-icon19"/>
    <w:basedOn w:val="43"/>
    <w:qFormat/>
    <w:uiPriority w:val="0"/>
  </w:style>
  <w:style w:type="character" w:customStyle="1" w:styleId="170">
    <w:name w:val="yui-toolbar-icon20"/>
    <w:basedOn w:val="43"/>
    <w:qFormat/>
    <w:uiPriority w:val="0"/>
  </w:style>
  <w:style w:type="character" w:customStyle="1" w:styleId="171">
    <w:name w:val="yui-toolbar-icon21"/>
    <w:basedOn w:val="43"/>
    <w:qFormat/>
    <w:uiPriority w:val="0"/>
  </w:style>
  <w:style w:type="character" w:customStyle="1" w:styleId="172">
    <w:name w:val="yui-toolbar-icon22"/>
    <w:basedOn w:val="43"/>
    <w:qFormat/>
    <w:uiPriority w:val="0"/>
  </w:style>
  <w:style w:type="character" w:customStyle="1" w:styleId="173">
    <w:name w:val="yui-toolbar-icon23"/>
    <w:basedOn w:val="43"/>
    <w:qFormat/>
    <w:uiPriority w:val="0"/>
  </w:style>
  <w:style w:type="character" w:customStyle="1" w:styleId="174">
    <w:name w:val="yui-toolbar-icon24"/>
    <w:basedOn w:val="43"/>
    <w:qFormat/>
    <w:uiPriority w:val="0"/>
  </w:style>
  <w:style w:type="character" w:customStyle="1" w:styleId="175">
    <w:name w:val="yui-toolbar-icon25"/>
    <w:basedOn w:val="43"/>
    <w:qFormat/>
    <w:uiPriority w:val="0"/>
  </w:style>
  <w:style w:type="character" w:customStyle="1" w:styleId="176">
    <w:name w:val="yui-toolbar-icon26"/>
    <w:basedOn w:val="43"/>
    <w:qFormat/>
    <w:uiPriority w:val="0"/>
  </w:style>
  <w:style w:type="character" w:customStyle="1" w:styleId="177">
    <w:name w:val="yui-toolbar-icon27"/>
    <w:basedOn w:val="43"/>
    <w:qFormat/>
    <w:uiPriority w:val="0"/>
  </w:style>
  <w:style w:type="character" w:customStyle="1" w:styleId="178">
    <w:name w:val="yui-toolbar-icon28"/>
    <w:basedOn w:val="43"/>
    <w:qFormat/>
    <w:uiPriority w:val="0"/>
  </w:style>
  <w:style w:type="character" w:customStyle="1" w:styleId="179">
    <w:name w:val="yui-toolbar-icon29"/>
    <w:basedOn w:val="43"/>
    <w:qFormat/>
    <w:uiPriority w:val="0"/>
  </w:style>
  <w:style w:type="character" w:customStyle="1" w:styleId="180">
    <w:name w:val="yui-toolbar-icon30"/>
    <w:basedOn w:val="43"/>
    <w:qFormat/>
    <w:uiPriority w:val="0"/>
  </w:style>
  <w:style w:type="character" w:customStyle="1" w:styleId="181">
    <w:name w:val="yui-toolbar-icon31"/>
    <w:basedOn w:val="43"/>
    <w:qFormat/>
    <w:uiPriority w:val="0"/>
  </w:style>
  <w:style w:type="character" w:customStyle="1" w:styleId="182">
    <w:name w:val="yui-toolbar-icon32"/>
    <w:basedOn w:val="43"/>
    <w:qFormat/>
    <w:uiPriority w:val="0"/>
  </w:style>
  <w:style w:type="character" w:customStyle="1" w:styleId="183">
    <w:name w:val="yui-toolbar-icon33"/>
    <w:basedOn w:val="43"/>
    <w:qFormat/>
    <w:uiPriority w:val="0"/>
  </w:style>
  <w:style w:type="character" w:customStyle="1" w:styleId="184">
    <w:name w:val="yui-toolbar-icon34"/>
    <w:basedOn w:val="43"/>
    <w:qFormat/>
    <w:uiPriority w:val="0"/>
  </w:style>
  <w:style w:type="character" w:customStyle="1" w:styleId="185">
    <w:name w:val="yui-toolbar-icon35"/>
    <w:basedOn w:val="43"/>
    <w:qFormat/>
    <w:uiPriority w:val="0"/>
  </w:style>
  <w:style w:type="character" w:customStyle="1" w:styleId="186">
    <w:name w:val="close4"/>
    <w:basedOn w:val="43"/>
    <w:qFormat/>
    <w:uiPriority w:val="0"/>
  </w:style>
  <w:style w:type="character" w:customStyle="1" w:styleId="187">
    <w:name w:val="warnicon"/>
    <w:basedOn w:val="43"/>
    <w:qFormat/>
    <w:uiPriority w:val="0"/>
  </w:style>
  <w:style w:type="character" w:customStyle="1" w:styleId="188">
    <w:name w:val="icon-info"/>
    <w:basedOn w:val="43"/>
    <w:qFormat/>
    <w:uiPriority w:val="0"/>
  </w:style>
  <w:style w:type="character" w:customStyle="1" w:styleId="189">
    <w:name w:val="infoicon"/>
    <w:basedOn w:val="43"/>
    <w:qFormat/>
    <w:uiPriority w:val="0"/>
  </w:style>
  <w:style w:type="character" w:customStyle="1" w:styleId="190">
    <w:name w:val="blckicon"/>
    <w:basedOn w:val="43"/>
    <w:qFormat/>
    <w:uiPriority w:val="0"/>
  </w:style>
  <w:style w:type="character" w:customStyle="1" w:styleId="191">
    <w:name w:val="alrticon"/>
    <w:basedOn w:val="43"/>
    <w:qFormat/>
    <w:uiPriority w:val="0"/>
  </w:style>
  <w:style w:type="character" w:customStyle="1" w:styleId="192">
    <w:name w:val="hlpicon"/>
    <w:basedOn w:val="43"/>
    <w:qFormat/>
    <w:uiPriority w:val="0"/>
  </w:style>
  <w:style w:type="character" w:customStyle="1" w:styleId="193">
    <w:name w:val="tip"/>
    <w:basedOn w:val="43"/>
    <w:qFormat/>
    <w:uiPriority w:val="0"/>
  </w:style>
  <w:style w:type="character" w:customStyle="1" w:styleId="194">
    <w:name w:val="info"/>
    <w:basedOn w:val="43"/>
    <w:qFormat/>
    <w:uiPriority w:val="0"/>
    <w:rPr>
      <w:sz w:val="16"/>
      <w:szCs w:val="16"/>
    </w:rPr>
  </w:style>
  <w:style w:type="character" w:customStyle="1" w:styleId="195">
    <w:name w:val="yui-toolbar-bordersize-5"/>
    <w:basedOn w:val="43"/>
    <w:qFormat/>
    <w:uiPriority w:val="0"/>
  </w:style>
  <w:style w:type="character" w:customStyle="1" w:styleId="196">
    <w:name w:val="yui-toolbar-bordersize-0"/>
    <w:basedOn w:val="43"/>
    <w:qFormat/>
    <w:uiPriority w:val="0"/>
    <w:rPr>
      <w:sz w:val="18"/>
      <w:szCs w:val="18"/>
    </w:rPr>
  </w:style>
  <w:style w:type="character" w:customStyle="1" w:styleId="197">
    <w:name w:val="yui-toolbar-bordersize-1"/>
    <w:basedOn w:val="43"/>
    <w:qFormat/>
    <w:uiPriority w:val="0"/>
  </w:style>
  <w:style w:type="character" w:customStyle="1" w:styleId="198">
    <w:name w:val="yui-toolbar-bordersize-3"/>
    <w:basedOn w:val="43"/>
    <w:qFormat/>
    <w:uiPriority w:val="0"/>
  </w:style>
  <w:style w:type="character" w:customStyle="1" w:styleId="199">
    <w:name w:val="yui-toolbar-bordersize-4"/>
    <w:basedOn w:val="43"/>
    <w:qFormat/>
    <w:uiPriority w:val="0"/>
  </w:style>
  <w:style w:type="character" w:customStyle="1" w:styleId="200">
    <w:name w:val="yui-toolbar-bordersize-2"/>
    <w:basedOn w:val="43"/>
    <w:qFormat/>
    <w:uiPriority w:val="0"/>
  </w:style>
  <w:style w:type="character" w:customStyle="1" w:styleId="201">
    <w:name w:val="yui-toolbar-bordertype-dotted"/>
    <w:basedOn w:val="43"/>
    <w:qFormat/>
    <w:uiPriority w:val="0"/>
  </w:style>
  <w:style w:type="character" w:customStyle="1" w:styleId="202">
    <w:name w:val="yui-toolbar-bordertype-dashed"/>
    <w:basedOn w:val="43"/>
    <w:qFormat/>
    <w:uiPriority w:val="0"/>
  </w:style>
  <w:style w:type="character" w:customStyle="1" w:styleId="203">
    <w:name w:val="active"/>
    <w:basedOn w:val="43"/>
    <w:qFormat/>
    <w:uiPriority w:val="0"/>
  </w:style>
  <w:style w:type="character" w:customStyle="1" w:styleId="204">
    <w:name w:val="hover11"/>
    <w:basedOn w:val="43"/>
    <w:qFormat/>
    <w:uiPriority w:val="0"/>
  </w:style>
  <w:style w:type="character" w:customStyle="1" w:styleId="205">
    <w:name w:val="arrowdown"/>
    <w:basedOn w:val="43"/>
    <w:qFormat/>
    <w:uiPriority w:val="0"/>
  </w:style>
  <w:style w:type="character" w:customStyle="1" w:styleId="206">
    <w:name w:val="flatpickr-weekday2"/>
    <w:basedOn w:val="43"/>
    <w:qFormat/>
    <w:uiPriority w:val="0"/>
    <w:rPr>
      <w:b/>
      <w:bCs/>
      <w:sz w:val="21"/>
      <w:szCs w:val="21"/>
    </w:rPr>
  </w:style>
  <w:style w:type="character" w:customStyle="1" w:styleId="207">
    <w:name w:val="flatpickr-day4"/>
    <w:basedOn w:val="43"/>
    <w:qFormat/>
    <w:uiPriority w:val="0"/>
  </w:style>
  <w:style w:type="paragraph" w:customStyle="1" w:styleId="208">
    <w:name w:val="Revision"/>
    <w:hidden/>
    <w:unhideWhenUsed/>
    <w:qFormat/>
    <w:uiPriority w:val="99"/>
    <w:rPr>
      <w:rFonts w:ascii="Times New Roman" w:hAnsi="Times New Roman" w:eastAsia="宋体" w:cs="Times New Roman"/>
      <w:kern w:val="2"/>
      <w:sz w:val="21"/>
      <w:szCs w:val="24"/>
      <w:lang w:val="en-US" w:eastAsia="zh-CN" w:bidi="ar-SA"/>
    </w:rPr>
  </w:style>
  <w:style w:type="paragraph" w:customStyle="1" w:styleId="209">
    <w:name w:val="列出段落3"/>
    <w:basedOn w:val="1"/>
    <w:qFormat/>
    <w:uiPriority w:val="99"/>
    <w:pPr>
      <w:ind w:firstLine="420" w:firstLineChars="200"/>
    </w:pPr>
    <w:rPr>
      <w:rFonts w:ascii="Times New Roman" w:hAnsi="Times New Roman" w:eastAsia="宋体" w:cs="Times New Roman"/>
      <w:szCs w:val="24"/>
    </w:rPr>
  </w:style>
  <w:style w:type="paragraph" w:customStyle="1" w:styleId="210">
    <w:name w:val="项目编号"/>
    <w:basedOn w:val="11"/>
    <w:qFormat/>
    <w:uiPriority w:val="0"/>
    <w:pPr>
      <w:tabs>
        <w:tab w:val="left" w:pos="525"/>
        <w:tab w:val="left" w:pos="630"/>
      </w:tabs>
      <w:adjustRightInd/>
      <w:snapToGrid/>
      <w:spacing w:before="0" w:beforeLines="0" w:after="0" w:afterLines="0" w:line="360" w:lineRule="auto"/>
      <w:ind w:firstLine="0"/>
      <w:jc w:val="both"/>
      <w:textAlignment w:val="auto"/>
    </w:pPr>
    <w:rPr>
      <w:rFonts w:ascii="宋体" w:hAnsi="宋体" w:eastAsia="宋体" w:cs="Arial"/>
      <w:kern w:val="10"/>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3.png"/><Relationship Id="rId18" Type="http://schemas.openxmlformats.org/officeDocument/2006/relationships/image" Target="media/image2.png"/><Relationship Id="rId17" Type="http://schemas.openxmlformats.org/officeDocument/2006/relationships/image" Target="media/image1.png"/><Relationship Id="rId16" Type="http://schemas.openxmlformats.org/officeDocument/2006/relationships/theme" Target="theme/theme1.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header" Target="header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231</Pages>
  <Words>7564</Words>
  <Characters>8613</Characters>
  <Lines>4290</Lines>
  <Paragraphs>3924</Paragraphs>
  <TotalTime>4</TotalTime>
  <ScaleCrop>false</ScaleCrop>
  <LinksUpToDate>false</LinksUpToDate>
  <CharactersWithSpaces>9025</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2020-09-08T02:21:00Z</dcterms:created>
  <dc:creator>1</dc:creator>
  <cp:lastModifiedBy>WPS_1738585971</cp:lastModifiedBy>
  <cp:lastPrinted>2026-01-21T09:05:00Z</cp:lastPrinted>
  <dcterms:modified xsi:type="dcterms:W3CDTF">2026-01-27T07:34:21Z</dcterms:modified>
  <dc:title>中华人民共和国</dc:title>
  <cp:revision>79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BCE08A2E84E74C98A398CF3E8F76A333_13</vt:lpwstr>
  </property>
  <property fmtid="{D5CDD505-2E9C-101B-9397-08002B2CF9AE}" pid="4" name="KSOTemplateDocerSaveRecord">
    <vt:lpwstr>eyJoZGlkIjoiNmVjNDNlM2VkM2Y1ODY5ZGQzYWExZmUyYzkzZTFhZjgiLCJ1c2VySWQiOiIxNjc3Njk1ODEyIn0=</vt:lpwstr>
  </property>
</Properties>
</file>