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004510">
      <w:pPr>
        <w:pStyle w:val="7"/>
        <w:spacing w:before="101" w:line="222" w:lineRule="auto"/>
        <w:ind w:left="104"/>
        <w:jc w:val="center"/>
        <w:outlineLvl w:val="1"/>
        <w:rPr>
          <w:rFonts w:hint="eastAsia" w:eastAsia="宋体"/>
          <w:sz w:val="43"/>
          <w:szCs w:val="43"/>
          <w:lang w:eastAsia="zh-CN"/>
        </w:rPr>
      </w:pPr>
      <w:r>
        <w:rPr>
          <w:rFonts w:hint="eastAsia"/>
          <w:b/>
          <w:bCs/>
          <w:spacing w:val="17"/>
          <w:sz w:val="43"/>
          <w:szCs w:val="43"/>
          <w:lang w:eastAsia="zh-CN"/>
        </w:rPr>
        <w:t>迤车镇石桥、店子、坪子片区牛栏江低热河谷农业产业基地基础配套设施建设项目</w:t>
      </w:r>
    </w:p>
    <w:p w14:paraId="34245137">
      <w:pPr>
        <w:spacing w:line="248" w:lineRule="auto"/>
        <w:rPr>
          <w:rFonts w:ascii="Arial"/>
          <w:sz w:val="21"/>
        </w:rPr>
      </w:pPr>
    </w:p>
    <w:p w14:paraId="7C7B49A5">
      <w:pPr>
        <w:spacing w:line="248" w:lineRule="auto"/>
        <w:rPr>
          <w:rFonts w:ascii="Arial"/>
          <w:sz w:val="21"/>
        </w:rPr>
      </w:pPr>
    </w:p>
    <w:p w14:paraId="183BC33C">
      <w:pPr>
        <w:spacing w:line="248" w:lineRule="auto"/>
        <w:rPr>
          <w:rFonts w:ascii="Arial"/>
          <w:sz w:val="21"/>
        </w:rPr>
      </w:pPr>
    </w:p>
    <w:p w14:paraId="4669DB68">
      <w:pPr>
        <w:spacing w:line="248" w:lineRule="auto"/>
        <w:rPr>
          <w:rFonts w:ascii="Arial"/>
          <w:sz w:val="21"/>
        </w:rPr>
      </w:pPr>
    </w:p>
    <w:p w14:paraId="5A76979F">
      <w:pPr>
        <w:spacing w:line="248" w:lineRule="auto"/>
        <w:rPr>
          <w:rFonts w:ascii="Arial"/>
          <w:sz w:val="21"/>
        </w:rPr>
      </w:pPr>
    </w:p>
    <w:p w14:paraId="5122A4F2">
      <w:pPr>
        <w:spacing w:line="249" w:lineRule="auto"/>
        <w:rPr>
          <w:rFonts w:ascii="Arial"/>
          <w:sz w:val="21"/>
        </w:rPr>
      </w:pPr>
    </w:p>
    <w:p w14:paraId="025223F8">
      <w:pPr>
        <w:pStyle w:val="7"/>
        <w:spacing w:before="230" w:line="222" w:lineRule="auto"/>
        <w:ind w:left="2209"/>
        <w:outlineLvl w:val="0"/>
        <w:rPr>
          <w:sz w:val="71"/>
          <w:szCs w:val="71"/>
        </w:rPr>
      </w:pPr>
      <w:r>
        <w:rPr>
          <w:b/>
          <w:bCs/>
          <w:spacing w:val="-24"/>
          <w:sz w:val="71"/>
          <w:szCs w:val="71"/>
        </w:rPr>
        <w:t>招</w:t>
      </w:r>
      <w:r>
        <w:rPr>
          <w:spacing w:val="40"/>
          <w:sz w:val="71"/>
          <w:szCs w:val="71"/>
        </w:rPr>
        <w:t xml:space="preserve"> </w:t>
      </w:r>
      <w:r>
        <w:rPr>
          <w:b/>
          <w:bCs/>
          <w:spacing w:val="-24"/>
          <w:sz w:val="71"/>
          <w:szCs w:val="71"/>
        </w:rPr>
        <w:t>标</w:t>
      </w:r>
      <w:r>
        <w:rPr>
          <w:spacing w:val="41"/>
          <w:sz w:val="71"/>
          <w:szCs w:val="71"/>
        </w:rPr>
        <w:t xml:space="preserve"> </w:t>
      </w:r>
      <w:r>
        <w:rPr>
          <w:b/>
          <w:bCs/>
          <w:spacing w:val="-24"/>
          <w:sz w:val="71"/>
          <w:szCs w:val="71"/>
        </w:rPr>
        <w:t>文</w:t>
      </w:r>
      <w:r>
        <w:rPr>
          <w:spacing w:val="35"/>
          <w:sz w:val="71"/>
          <w:szCs w:val="71"/>
        </w:rPr>
        <w:t xml:space="preserve"> </w:t>
      </w:r>
      <w:r>
        <w:rPr>
          <w:b/>
          <w:bCs/>
          <w:spacing w:val="-24"/>
          <w:sz w:val="71"/>
          <w:szCs w:val="71"/>
        </w:rPr>
        <w:t>件</w:t>
      </w:r>
    </w:p>
    <w:p w14:paraId="59433681">
      <w:pPr>
        <w:spacing w:line="254" w:lineRule="auto"/>
        <w:rPr>
          <w:rFonts w:ascii="Arial"/>
          <w:sz w:val="21"/>
        </w:rPr>
      </w:pPr>
    </w:p>
    <w:p w14:paraId="71DFB3D3">
      <w:pPr>
        <w:spacing w:line="254" w:lineRule="auto"/>
        <w:rPr>
          <w:rFonts w:ascii="Arial"/>
          <w:sz w:val="21"/>
        </w:rPr>
      </w:pPr>
    </w:p>
    <w:p w14:paraId="5AEC4AB6">
      <w:pPr>
        <w:spacing w:line="254" w:lineRule="auto"/>
        <w:rPr>
          <w:rFonts w:ascii="Arial"/>
          <w:sz w:val="21"/>
        </w:rPr>
      </w:pPr>
    </w:p>
    <w:p w14:paraId="07EF1172">
      <w:pPr>
        <w:spacing w:line="254" w:lineRule="auto"/>
        <w:rPr>
          <w:rFonts w:ascii="Arial"/>
          <w:sz w:val="21"/>
        </w:rPr>
      </w:pPr>
    </w:p>
    <w:p w14:paraId="36EB94CE">
      <w:pPr>
        <w:spacing w:line="255" w:lineRule="auto"/>
        <w:rPr>
          <w:rFonts w:ascii="Arial"/>
          <w:sz w:val="21"/>
        </w:rPr>
      </w:pPr>
    </w:p>
    <w:p w14:paraId="77515F0B">
      <w:pPr>
        <w:spacing w:line="255" w:lineRule="auto"/>
        <w:rPr>
          <w:rFonts w:ascii="Arial"/>
          <w:sz w:val="21"/>
        </w:rPr>
      </w:pPr>
    </w:p>
    <w:p w14:paraId="656D19B4">
      <w:pPr>
        <w:spacing w:line="255" w:lineRule="auto"/>
        <w:rPr>
          <w:rFonts w:ascii="Arial"/>
          <w:sz w:val="21"/>
        </w:rPr>
      </w:pPr>
    </w:p>
    <w:p w14:paraId="06F79EF4">
      <w:pPr>
        <w:spacing w:line="255" w:lineRule="auto"/>
        <w:rPr>
          <w:rFonts w:ascii="Arial"/>
          <w:sz w:val="21"/>
        </w:rPr>
      </w:pPr>
    </w:p>
    <w:p w14:paraId="016743E4">
      <w:pPr>
        <w:pStyle w:val="7"/>
        <w:spacing w:before="91" w:line="220" w:lineRule="auto"/>
        <w:ind w:left="2484"/>
        <w:rPr>
          <w:rFonts w:hint="eastAsia" w:ascii="Times New Roman" w:hAnsi="Times New Roman" w:eastAsia="宋体" w:cs="Times New Roman"/>
          <w:lang w:eastAsia="zh-CN"/>
        </w:rPr>
      </w:pPr>
      <w:r>
        <w:rPr>
          <w:b/>
          <w:bCs/>
          <w:spacing w:val="-2"/>
        </w:rPr>
        <w:t>项目编号：</w:t>
      </w:r>
      <w:r>
        <w:rPr>
          <w:rFonts w:hint="eastAsia" w:cs="Times New Roman"/>
          <w:b/>
          <w:bCs/>
          <w:spacing w:val="-2"/>
          <w:lang w:eastAsia="zh-CN"/>
        </w:rPr>
        <w:t>QJLJ-2026-003J</w:t>
      </w:r>
    </w:p>
    <w:p w14:paraId="244B8A5B">
      <w:pPr>
        <w:spacing w:line="250" w:lineRule="auto"/>
        <w:rPr>
          <w:rFonts w:ascii="Arial"/>
          <w:sz w:val="21"/>
        </w:rPr>
      </w:pPr>
    </w:p>
    <w:p w14:paraId="434BCFFB">
      <w:pPr>
        <w:spacing w:line="250" w:lineRule="auto"/>
        <w:rPr>
          <w:rFonts w:ascii="Arial"/>
          <w:sz w:val="21"/>
        </w:rPr>
      </w:pPr>
    </w:p>
    <w:p w14:paraId="0AF1766F">
      <w:pPr>
        <w:spacing w:line="250" w:lineRule="auto"/>
        <w:rPr>
          <w:rFonts w:ascii="Arial"/>
          <w:sz w:val="21"/>
        </w:rPr>
      </w:pPr>
    </w:p>
    <w:p w14:paraId="469BA331">
      <w:pPr>
        <w:spacing w:line="250" w:lineRule="auto"/>
        <w:rPr>
          <w:rFonts w:ascii="Arial"/>
          <w:sz w:val="21"/>
        </w:rPr>
      </w:pPr>
    </w:p>
    <w:p w14:paraId="40DF6277">
      <w:pPr>
        <w:spacing w:line="251" w:lineRule="auto"/>
        <w:rPr>
          <w:rFonts w:ascii="Arial"/>
          <w:sz w:val="21"/>
        </w:rPr>
      </w:pPr>
    </w:p>
    <w:p w14:paraId="40143B0C">
      <w:pPr>
        <w:spacing w:line="251" w:lineRule="auto"/>
        <w:rPr>
          <w:rFonts w:ascii="Arial"/>
          <w:sz w:val="21"/>
        </w:rPr>
      </w:pPr>
    </w:p>
    <w:p w14:paraId="3AB92BBE">
      <w:pPr>
        <w:spacing w:line="251" w:lineRule="auto"/>
        <w:rPr>
          <w:rFonts w:ascii="Arial"/>
          <w:sz w:val="21"/>
        </w:rPr>
      </w:pPr>
    </w:p>
    <w:p w14:paraId="124F50D5">
      <w:pPr>
        <w:pStyle w:val="7"/>
        <w:spacing w:line="360" w:lineRule="auto"/>
        <w:ind w:left="0" w:right="0" w:firstLine="0"/>
      </w:pPr>
      <w:r>
        <w:rPr>
          <w:b/>
          <w:bCs/>
          <w:spacing w:val="-5"/>
        </w:rPr>
        <w:t>项</w:t>
      </w:r>
      <w:r>
        <w:rPr>
          <w:spacing w:val="66"/>
        </w:rPr>
        <w:t xml:space="preserve"> </w:t>
      </w:r>
      <w:r>
        <w:rPr>
          <w:b/>
          <w:bCs/>
          <w:spacing w:val="-5"/>
        </w:rPr>
        <w:t>目</w:t>
      </w:r>
      <w:r>
        <w:rPr>
          <w:spacing w:val="-5"/>
        </w:rPr>
        <w:t xml:space="preserve"> </w:t>
      </w:r>
      <w:r>
        <w:rPr>
          <w:b/>
          <w:bCs/>
          <w:spacing w:val="-5"/>
        </w:rPr>
        <w:t>名</w:t>
      </w:r>
      <w:r>
        <w:rPr>
          <w:spacing w:val="-5"/>
        </w:rPr>
        <w:t xml:space="preserve"> </w:t>
      </w:r>
      <w:r>
        <w:rPr>
          <w:b/>
          <w:bCs/>
          <w:spacing w:val="-5"/>
        </w:rPr>
        <w:t>称：</w:t>
      </w:r>
      <w:r>
        <w:rPr>
          <w:rFonts w:hint="eastAsia"/>
          <w:b/>
          <w:bCs/>
          <w:spacing w:val="-5"/>
          <w:u w:val="single" w:color="auto"/>
          <w:lang w:eastAsia="zh-CN"/>
        </w:rPr>
        <w:t>迤车镇石桥、店子、坪子片区牛栏江低热河谷农业产业基地基础配套设施建设项目</w:t>
      </w:r>
      <w:r>
        <w:t xml:space="preserve"> </w:t>
      </w:r>
    </w:p>
    <w:p w14:paraId="2B0875C7">
      <w:pPr>
        <w:pStyle w:val="7"/>
        <w:spacing w:before="91" w:line="360" w:lineRule="auto"/>
        <w:ind w:left="26" w:right="1434" w:firstLine="3"/>
        <w:rPr>
          <w:rFonts w:hint="eastAsia" w:eastAsia="宋体"/>
          <w:lang w:eastAsia="zh-CN"/>
        </w:rPr>
      </w:pPr>
      <w:r>
        <w:rPr>
          <w:b/>
          <w:bCs/>
          <w:spacing w:val="-2"/>
        </w:rPr>
        <w:t>招</w:t>
      </w:r>
      <w:r>
        <w:rPr>
          <w:spacing w:val="-2"/>
        </w:rPr>
        <w:t xml:space="preserve">   </w:t>
      </w:r>
      <w:r>
        <w:rPr>
          <w:b/>
          <w:bCs/>
          <w:spacing w:val="-2"/>
        </w:rPr>
        <w:t>标</w:t>
      </w:r>
      <w:r>
        <w:rPr>
          <w:spacing w:val="-2"/>
        </w:rPr>
        <w:t xml:space="preserve">   </w:t>
      </w:r>
      <w:r>
        <w:rPr>
          <w:b/>
          <w:bCs/>
          <w:spacing w:val="-2"/>
        </w:rPr>
        <w:t>人：</w:t>
      </w:r>
      <w:r>
        <w:rPr>
          <w:rFonts w:hint="eastAsia"/>
          <w:b/>
          <w:bCs/>
          <w:spacing w:val="-2"/>
          <w:u w:val="single" w:color="auto"/>
          <w:lang w:eastAsia="zh-CN"/>
        </w:rPr>
        <w:t>会泽县迤车镇人民政府</w:t>
      </w:r>
    </w:p>
    <w:p w14:paraId="050615C7">
      <w:pPr>
        <w:pStyle w:val="7"/>
        <w:spacing w:before="39" w:line="360" w:lineRule="auto"/>
        <w:ind w:left="26"/>
        <w:rPr>
          <w:rFonts w:hint="eastAsia" w:eastAsia="宋体"/>
          <w:lang w:eastAsia="zh-CN"/>
        </w:rPr>
      </w:pPr>
      <w:r>
        <w:rPr>
          <w:b/>
          <w:bCs/>
          <w:spacing w:val="-3"/>
        </w:rPr>
        <w:t>招标代理机构：</w:t>
      </w:r>
      <w:r>
        <w:rPr>
          <w:rFonts w:hint="eastAsia"/>
          <w:b/>
          <w:bCs/>
          <w:spacing w:val="-3"/>
          <w:u w:val="single" w:color="auto"/>
          <w:lang w:eastAsia="zh-CN"/>
        </w:rPr>
        <w:t>曲靖领竣招标代理有限公司</w:t>
      </w:r>
    </w:p>
    <w:p w14:paraId="5EBB0D3A">
      <w:pPr>
        <w:spacing w:line="360" w:lineRule="auto"/>
        <w:rPr>
          <w:rFonts w:ascii="Arial"/>
          <w:sz w:val="21"/>
        </w:rPr>
      </w:pPr>
    </w:p>
    <w:p w14:paraId="2C512FDF">
      <w:pPr>
        <w:pStyle w:val="7"/>
        <w:spacing w:before="91" w:line="360" w:lineRule="auto"/>
        <w:ind w:left="73"/>
      </w:pPr>
      <w:r>
        <w:rPr>
          <w:b/>
          <w:bCs/>
          <w:spacing w:val="-13"/>
        </w:rPr>
        <w:t>日</w:t>
      </w:r>
      <w:r>
        <w:rPr>
          <w:spacing w:val="3"/>
        </w:rPr>
        <w:t xml:space="preserve">      </w:t>
      </w:r>
      <w:r>
        <w:rPr>
          <w:b/>
          <w:bCs/>
          <w:spacing w:val="-13"/>
        </w:rPr>
        <w:t>期：</w:t>
      </w:r>
      <w:r>
        <w:rPr>
          <w:spacing w:val="-13"/>
        </w:rPr>
        <w:t xml:space="preserve"> </w:t>
      </w:r>
      <w:r>
        <w:rPr>
          <w:spacing w:val="-124"/>
          <w:u w:val="single" w:color="auto"/>
        </w:rPr>
        <w:t xml:space="preserve"> </w:t>
      </w:r>
      <w:r>
        <w:rPr>
          <w:b/>
          <w:bCs/>
          <w:spacing w:val="-13"/>
          <w:u w:val="single" w:color="auto"/>
        </w:rPr>
        <w:t>202</w:t>
      </w:r>
      <w:r>
        <w:rPr>
          <w:rFonts w:hint="eastAsia"/>
          <w:b/>
          <w:bCs/>
          <w:spacing w:val="-13"/>
          <w:u w:val="single" w:color="auto"/>
          <w:lang w:val="en-US" w:eastAsia="zh-CN"/>
        </w:rPr>
        <w:t xml:space="preserve">6 </w:t>
      </w:r>
      <w:r>
        <w:rPr>
          <w:b/>
          <w:bCs/>
          <w:spacing w:val="-13"/>
          <w:u w:val="single" w:color="auto"/>
        </w:rPr>
        <w:t>年</w:t>
      </w:r>
      <w:r>
        <w:rPr>
          <w:rFonts w:hint="eastAsia"/>
          <w:b/>
          <w:bCs/>
          <w:spacing w:val="-13"/>
          <w:u w:val="single" w:color="auto"/>
          <w:lang w:val="en-US" w:eastAsia="zh-CN"/>
        </w:rPr>
        <w:t xml:space="preserve"> 5 </w:t>
      </w:r>
      <w:r>
        <w:rPr>
          <w:b/>
          <w:bCs/>
          <w:spacing w:val="-13"/>
          <w:u w:val="single" w:color="auto"/>
        </w:rPr>
        <w:t>月</w:t>
      </w:r>
    </w:p>
    <w:p w14:paraId="7835F07A">
      <w:pPr>
        <w:spacing w:line="360" w:lineRule="auto"/>
        <w:sectPr>
          <w:pgSz w:w="11906" w:h="16839"/>
          <w:pgMar w:top="1431" w:right="1785" w:bottom="0" w:left="1785" w:header="0" w:footer="0" w:gutter="0"/>
          <w:pgNumType w:fmt="decimal"/>
          <w:cols w:space="720" w:num="1"/>
        </w:sectPr>
      </w:pPr>
    </w:p>
    <w:p w14:paraId="153EBBE1">
      <w:pPr>
        <w:rPr>
          <w:rFonts w:hint="eastAsia" w:asciiTheme="minorEastAsia" w:hAnsiTheme="minorEastAsia" w:eastAsiaTheme="minorEastAsia" w:cstheme="minorEastAsia"/>
          <w:color w:val="000000" w:themeColor="text1"/>
          <w14:textFill>
            <w14:solidFill>
              <w14:schemeClr w14:val="tx1"/>
            </w14:solidFill>
          </w14:textFill>
        </w:rPr>
      </w:pPr>
    </w:p>
    <w:p w14:paraId="0A0051F7">
      <w:pPr>
        <w:spacing w:after="120" w:line="360" w:lineRule="exact"/>
        <w:jc w:val="both"/>
        <w:rPr>
          <w:rFonts w:hint="eastAsia" w:asciiTheme="minorEastAsia" w:hAnsiTheme="minorEastAsia" w:eastAsiaTheme="minorEastAsia" w:cstheme="minorEastAsia"/>
          <w:b/>
          <w:color w:val="000000" w:themeColor="text1"/>
          <w:kern w:val="0"/>
          <w:sz w:val="30"/>
          <w:szCs w:val="30"/>
          <w:highlight w:val="none"/>
          <w14:textFill>
            <w14:solidFill>
              <w14:schemeClr w14:val="tx1"/>
            </w14:solidFill>
          </w14:textFill>
        </w:rPr>
      </w:pPr>
    </w:p>
    <w:p w14:paraId="0D0590CC">
      <w:pPr>
        <w:spacing w:after="120" w:line="360"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30"/>
          <w:szCs w:val="30"/>
          <w:highlight w:val="none"/>
          <w14:textFill>
            <w14:solidFill>
              <w14:schemeClr w14:val="tx1"/>
            </w14:solidFill>
          </w14:textFill>
        </w:rPr>
        <w:t>目  录</w:t>
      </w:r>
    </w:p>
    <w:p w14:paraId="7D99AE79">
      <w:pPr>
        <w:pStyle w:val="1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2"/>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fldChar w:fldCharType="begin"/>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instrText xml:space="preserve"> TOC \o "1-3" \h \z \u </w:instrTex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fldChar w:fldCharType="separate"/>
      </w: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"_Toc81682045" </w:instrText>
      </w:r>
      <w:r>
        <w:rPr>
          <w:rFonts w:hint="eastAsia" w:asciiTheme="majorEastAsia" w:hAnsiTheme="majorEastAsia" w:eastAsiaTheme="majorEastAsia" w:cstheme="majorEastAsia"/>
          <w:sz w:val="21"/>
          <w:szCs w:val="21"/>
        </w:rPr>
        <w:fldChar w:fldCharType="separate"/>
      </w:r>
      <w:r>
        <w:rPr>
          <w:rStyle w:val="27"/>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第一章 招标公告</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ab/>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1</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fldChar w:fldCharType="end"/>
      </w:r>
    </w:p>
    <w:p w14:paraId="7E511632">
      <w:pPr>
        <w:pStyle w:val="1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2"/>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"_Toc81682046" </w:instrText>
      </w:r>
      <w:r>
        <w:rPr>
          <w:rFonts w:hint="eastAsia" w:asciiTheme="majorEastAsia" w:hAnsiTheme="majorEastAsia" w:eastAsiaTheme="majorEastAsia" w:cstheme="majorEastAsia"/>
          <w:sz w:val="21"/>
          <w:szCs w:val="21"/>
        </w:rPr>
        <w:fldChar w:fldCharType="separate"/>
      </w:r>
      <w:r>
        <w:rPr>
          <w:rStyle w:val="27"/>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第二章 投标人须知</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ab/>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fldChar w:fldCharType="end"/>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5</w:t>
      </w:r>
    </w:p>
    <w:p w14:paraId="044CB368">
      <w:pPr>
        <w:pStyle w:val="1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"_Toc81682057" </w:instrText>
      </w:r>
      <w:r>
        <w:rPr>
          <w:rFonts w:hint="eastAsia" w:asciiTheme="majorEastAsia" w:hAnsiTheme="majorEastAsia" w:eastAsiaTheme="majorEastAsia" w:cstheme="majorEastAsia"/>
          <w:sz w:val="21"/>
          <w:szCs w:val="21"/>
        </w:rPr>
        <w:fldChar w:fldCharType="separate"/>
      </w:r>
      <w:r>
        <w:rPr>
          <w:rStyle w:val="27"/>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第三章 评标办法(综合评估法)</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ab/>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2</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fldChar w:fldCharType="end"/>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8</w:t>
      </w:r>
    </w:p>
    <w:p w14:paraId="079449C3">
      <w:pPr>
        <w:pStyle w:val="1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2"/>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"_Toc81682061" </w:instrText>
      </w:r>
      <w:r>
        <w:rPr>
          <w:rFonts w:hint="eastAsia" w:asciiTheme="majorEastAsia" w:hAnsiTheme="majorEastAsia" w:eastAsiaTheme="majorEastAsia" w:cstheme="majorEastAsia"/>
          <w:sz w:val="21"/>
          <w:szCs w:val="21"/>
        </w:rPr>
        <w:fldChar w:fldCharType="separate"/>
      </w:r>
      <w:r>
        <w:rPr>
          <w:rStyle w:val="27"/>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第四章 合同条款及格式</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ab/>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3</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fldChar w:fldCharType="end"/>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6</w:t>
      </w:r>
    </w:p>
    <w:p w14:paraId="5367262E">
      <w:pPr>
        <w:pStyle w:val="15"/>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"_Toc81682065" </w:instrText>
      </w:r>
      <w:r>
        <w:rPr>
          <w:rFonts w:hint="eastAsia" w:asciiTheme="majorEastAsia" w:hAnsiTheme="majorEastAsia" w:eastAsiaTheme="majorEastAsia" w:cstheme="majorEastAsia"/>
          <w:sz w:val="21"/>
          <w:szCs w:val="21"/>
        </w:rPr>
        <w:fldChar w:fldCharType="separate"/>
      </w:r>
      <w:r>
        <w:rPr>
          <w:rStyle w:val="27"/>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第五章 工程量清单</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ab/>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fldChar w:fldCharType="end"/>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68</w:t>
      </w:r>
    </w:p>
    <w:p w14:paraId="499B4D0B">
      <w:pPr>
        <w:spacing w:line="360" w:lineRule="auto"/>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第六章  图  纸..................................................................... 69</w:t>
      </w:r>
    </w:p>
    <w:p w14:paraId="05057C45">
      <w:pPr>
        <w:pStyle w:val="1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2"/>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"_Toc81682066" </w:instrText>
      </w:r>
      <w:r>
        <w:rPr>
          <w:rFonts w:hint="eastAsia" w:asciiTheme="majorEastAsia" w:hAnsiTheme="majorEastAsia" w:eastAsiaTheme="majorEastAsia" w:cstheme="majorEastAsia"/>
          <w:sz w:val="21"/>
          <w:szCs w:val="21"/>
        </w:rPr>
        <w:fldChar w:fldCharType="separate"/>
      </w:r>
      <w:r>
        <w:rPr>
          <w:rStyle w:val="27"/>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第</w:t>
      </w:r>
      <w:r>
        <w:rPr>
          <w:rStyle w:val="27"/>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七</w:t>
      </w:r>
      <w:r>
        <w:rPr>
          <w:rStyle w:val="27"/>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章 技术标准和要求</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ab/>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7</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fldChar w:fldCharType="end"/>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0</w:t>
      </w:r>
    </w:p>
    <w:p w14:paraId="59D6F4B9">
      <w:pPr>
        <w:pStyle w:val="1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b/>
          <w:bCs/>
          <w:color w:val="000000" w:themeColor="text1"/>
          <w:kern w:val="2"/>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sz w:val="21"/>
          <w:szCs w:val="21"/>
        </w:rPr>
        <w:fldChar w:fldCharType="begin"/>
      </w:r>
      <w:r>
        <w:rPr>
          <w:rFonts w:hint="eastAsia" w:asciiTheme="majorEastAsia" w:hAnsiTheme="majorEastAsia" w:eastAsiaTheme="majorEastAsia" w:cstheme="majorEastAsia"/>
          <w:sz w:val="21"/>
          <w:szCs w:val="21"/>
        </w:rPr>
        <w:instrText xml:space="preserve"> HYPERLINK \l "_Toc81682067" </w:instrText>
      </w:r>
      <w:r>
        <w:rPr>
          <w:rFonts w:hint="eastAsia" w:asciiTheme="majorEastAsia" w:hAnsiTheme="majorEastAsia" w:eastAsiaTheme="majorEastAsia" w:cstheme="majorEastAsia"/>
          <w:sz w:val="21"/>
          <w:szCs w:val="21"/>
        </w:rPr>
        <w:fldChar w:fldCharType="separate"/>
      </w:r>
      <w:r>
        <w:rPr>
          <w:rStyle w:val="27"/>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第</w:t>
      </w:r>
      <w:r>
        <w:rPr>
          <w:rStyle w:val="27"/>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八</w:t>
      </w:r>
      <w:r>
        <w:rPr>
          <w:rStyle w:val="27"/>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章  投标文件格式</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ab/>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7</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fldChar w:fldCharType="end"/>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1</w:t>
      </w:r>
    </w:p>
    <w:p w14:paraId="523A6363">
      <w:pPr>
        <w:pStyle w:val="11"/>
        <w:keepNext w:val="0"/>
        <w:keepLines w:val="0"/>
        <w:pageBreakBefore w:val="0"/>
        <w:widowControl w:val="0"/>
        <w:tabs>
          <w:tab w:val="right" w:leader="dot" w:pos="9259"/>
        </w:tabs>
        <w:kinsoku/>
        <w:wordWrap/>
        <w:overflowPunct/>
        <w:topLinePunct w:val="0"/>
        <w:autoSpaceDE/>
        <w:autoSpaceDN/>
        <w:bidi w:val="0"/>
        <w:adjustRightInd/>
        <w:snapToGrid/>
        <w:spacing w:line="440" w:lineRule="exact"/>
        <w:ind w:left="1260" w:hanging="420"/>
        <w:textAlignment w:val="auto"/>
        <w:rPr>
          <w:rFonts w:hint="eastAsia" w:asciiTheme="minorEastAsia" w:hAnsiTheme="minorEastAsia" w:eastAsiaTheme="minorEastAsia" w:cstheme="minorEastAsia"/>
          <w:color w:val="000000" w:themeColor="text1"/>
          <w:szCs w:val="22"/>
          <w:highlight w:val="none"/>
          <w14:textFill>
            <w14:solidFill>
              <w14:schemeClr w14:val="tx1"/>
            </w14:solidFill>
          </w14:textFill>
        </w:rPr>
      </w:pPr>
    </w:p>
    <w:p w14:paraId="75907411">
      <w:pPr>
        <w:spacing w:line="360" w:lineRule="exact"/>
        <w:ind w:left="178" w:leftChars="85" w:firstLine="210" w:firstLineChars="100"/>
        <w:jc w:val="center"/>
        <w:rPr>
          <w:rFonts w:hint="eastAsia" w:ascii="宋体" w:hAnsi="宋体" w:eastAsia="宋体" w:cs="宋体"/>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end"/>
      </w:r>
    </w:p>
    <w:p w14:paraId="60243AE4">
      <w:pPr>
        <w:spacing w:line="360" w:lineRule="exact"/>
        <w:jc w:val="both"/>
        <w:rPr>
          <w:rFonts w:hint="eastAsia" w:ascii="宋体" w:hAnsi="宋体" w:eastAsia="宋体" w:cs="宋体"/>
          <w:color w:val="000000" w:themeColor="text1"/>
          <w:highlight w:val="none"/>
          <w14:textFill>
            <w14:solidFill>
              <w14:schemeClr w14:val="tx1"/>
            </w14:solidFill>
          </w14:textFill>
        </w:rPr>
      </w:pPr>
    </w:p>
    <w:p w14:paraId="2D1B1122">
      <w:pPr>
        <w:spacing w:line="360" w:lineRule="exact"/>
        <w:ind w:left="178" w:leftChars="85" w:firstLine="210" w:firstLineChars="100"/>
        <w:jc w:val="center"/>
        <w:rPr>
          <w:rFonts w:hint="eastAsia" w:ascii="宋体" w:hAnsi="宋体" w:eastAsia="宋体" w:cs="宋体"/>
          <w:color w:val="000000" w:themeColor="text1"/>
          <w:highlight w:val="none"/>
          <w14:textFill>
            <w14:solidFill>
              <w14:schemeClr w14:val="tx1"/>
            </w14:solidFill>
          </w14:textFill>
        </w:rPr>
        <w:sectPr>
          <w:footerReference r:id="rId3" w:type="default"/>
          <w:pgSz w:w="11905" w:h="16838"/>
          <w:pgMar w:top="1417" w:right="1417" w:bottom="1417" w:left="1417" w:header="850" w:footer="992" w:gutter="0"/>
          <w:pgNumType w:fmt="decimal" w:start="1"/>
          <w:cols w:space="0" w:num="1"/>
          <w:rtlGutter w:val="0"/>
          <w:docGrid w:type="lines" w:linePitch="317" w:charSpace="0"/>
        </w:sectPr>
      </w:pPr>
    </w:p>
    <w:p w14:paraId="7A373A2A">
      <w:pPr>
        <w:pStyle w:val="2"/>
        <w:pageBreakBefore w:val="0"/>
        <w:kinsoku/>
        <w:wordWrap/>
        <w:topLinePunct w:val="0"/>
        <w:bidi w:val="0"/>
        <w:spacing w:line="560" w:lineRule="exact"/>
        <w:jc w:val="center"/>
        <w:textAlignment w:val="auto"/>
        <w:rPr>
          <w:rFonts w:hint="default" w:ascii="宋体" w:hAnsi="宋体" w:eastAsia="宋体" w:cs="宋体"/>
          <w:bCs w:val="0"/>
          <w:color w:val="000000" w:themeColor="text1"/>
          <w:kern w:val="0"/>
          <w:sz w:val="32"/>
          <w:szCs w:val="32"/>
          <w:highlight w:val="none"/>
          <w:lang w:val="en-US" w:eastAsia="zh-CN"/>
          <w14:textFill>
            <w14:solidFill>
              <w14:schemeClr w14:val="tx1"/>
            </w14:solidFill>
          </w14:textFill>
        </w:rPr>
      </w:pPr>
      <w:bookmarkStart w:id="0" w:name="_Toc81682045"/>
      <w:bookmarkStart w:id="1" w:name="_Toc262675307"/>
      <w:r>
        <w:rPr>
          <w:rFonts w:hint="eastAsia" w:ascii="宋体" w:hAnsi="宋体" w:eastAsia="宋体" w:cs="宋体"/>
          <w:bCs w:val="0"/>
          <w:color w:val="000000" w:themeColor="text1"/>
          <w:kern w:val="0"/>
          <w:sz w:val="32"/>
          <w:szCs w:val="32"/>
          <w:highlight w:val="none"/>
          <w14:textFill>
            <w14:solidFill>
              <w14:schemeClr w14:val="tx1"/>
            </w14:solidFill>
          </w14:textFill>
        </w:rPr>
        <w:t>第一章</w:t>
      </w:r>
      <w:bookmarkEnd w:id="0"/>
      <w:bookmarkStart w:id="2" w:name="bookmark1"/>
      <w:bookmarkStart w:id="3" w:name="bookmark0"/>
      <w:bookmarkStart w:id="4" w:name="bookmark2"/>
      <w:r>
        <w:rPr>
          <w:rFonts w:hint="eastAsia" w:ascii="宋体" w:hAnsi="宋体" w:cs="宋体"/>
          <w:bCs w:val="0"/>
          <w:color w:val="000000" w:themeColor="text1"/>
          <w:kern w:val="0"/>
          <w:sz w:val="32"/>
          <w:szCs w:val="32"/>
          <w:highlight w:val="none"/>
          <w:lang w:val="en-US" w:eastAsia="zh-CN"/>
          <w14:textFill>
            <w14:solidFill>
              <w14:schemeClr w14:val="tx1"/>
            </w14:solidFill>
          </w14:textFill>
        </w:rPr>
        <w:t xml:space="preserve">  </w:t>
      </w:r>
      <w:r>
        <w:rPr>
          <w:rFonts w:hint="eastAsia" w:ascii="宋体" w:hAnsi="宋体" w:cs="宋体"/>
          <w:b/>
          <w:color w:val="000000"/>
          <w:sz w:val="32"/>
          <w:szCs w:val="32"/>
        </w:rPr>
        <w:t>招标公告</w:t>
      </w:r>
    </w:p>
    <w:bookmarkEnd w:id="1"/>
    <w:bookmarkEnd w:id="2"/>
    <w:bookmarkEnd w:id="3"/>
    <w:bookmarkEnd w:id="4"/>
    <w:p w14:paraId="1D7E89E9">
      <w:pPr>
        <w:pageBreakBefore w:val="0"/>
        <w:kinsoku/>
        <w:wordWrap/>
        <w:topLinePunct w:val="0"/>
        <w:bidi w:val="0"/>
        <w:spacing w:line="560" w:lineRule="exact"/>
        <w:jc w:val="center"/>
        <w:textAlignment w:val="auto"/>
        <w:rPr>
          <w:rFonts w:hint="eastAsia" w:asciiTheme="minorEastAsia" w:hAnsiTheme="minorEastAsia" w:eastAsiaTheme="minorEastAsia" w:cstheme="minorEastAsia"/>
          <w:b/>
          <w:caps/>
          <w:color w:val="000000"/>
          <w:kern w:val="32"/>
          <w:sz w:val="20"/>
          <w:szCs w:val="20"/>
        </w:rPr>
      </w:pPr>
      <w:bookmarkStart w:id="5" w:name="_Toc15239611"/>
      <w:bookmarkStart w:id="6" w:name="_Toc262675308"/>
      <w:bookmarkStart w:id="7" w:name="_Toc260172641"/>
      <w:r>
        <w:rPr>
          <w:rFonts w:hint="eastAsia" w:asciiTheme="minorEastAsia" w:hAnsiTheme="minorEastAsia" w:eastAsiaTheme="minorEastAsia" w:cstheme="minorEastAsia"/>
          <w:b/>
          <w:color w:val="000000"/>
          <w:sz w:val="28"/>
          <w:szCs w:val="28"/>
          <w:lang w:eastAsia="zh-CN"/>
        </w:rPr>
        <w:t>迤车镇石桥、店子、坪子片区牛栏江低热河谷农业产业基地基础配套设施建设项目</w:t>
      </w:r>
      <w:r>
        <w:rPr>
          <w:rFonts w:hint="eastAsia" w:asciiTheme="minorEastAsia" w:hAnsiTheme="minorEastAsia" w:eastAsiaTheme="minorEastAsia" w:cstheme="minorEastAsia"/>
          <w:b/>
          <w:color w:val="000000"/>
          <w:sz w:val="28"/>
          <w:szCs w:val="28"/>
        </w:rPr>
        <w:t>招标公告</w:t>
      </w:r>
    </w:p>
    <w:p w14:paraId="6AD4CD09">
      <w:pPr>
        <w:pageBreakBefore w:val="0"/>
        <w:kinsoku/>
        <w:wordWrap/>
        <w:topLinePunct w:val="0"/>
        <w:autoSpaceDE w:val="0"/>
        <w:autoSpaceDN w:val="0"/>
        <w:bidi w:val="0"/>
        <w:adjustRightInd w:val="0"/>
        <w:spacing w:line="560" w:lineRule="exact"/>
        <w:contextualSpacing/>
        <w:textAlignment w:val="auto"/>
        <w:rPr>
          <w:rFonts w:hint="eastAsia" w:asciiTheme="minorEastAsia" w:hAnsiTheme="minorEastAsia" w:eastAsiaTheme="minorEastAsia" w:cstheme="minorEastAsia"/>
          <w:b/>
          <w:caps/>
          <w:color w:val="000000"/>
          <w:kern w:val="32"/>
          <w:sz w:val="21"/>
          <w:szCs w:val="21"/>
        </w:rPr>
      </w:pPr>
      <w:r>
        <w:rPr>
          <w:rFonts w:hint="eastAsia" w:asciiTheme="minorEastAsia" w:hAnsiTheme="minorEastAsia" w:eastAsiaTheme="minorEastAsia" w:cstheme="minorEastAsia"/>
          <w:b/>
          <w:caps/>
          <w:color w:val="000000"/>
          <w:kern w:val="32"/>
          <w:sz w:val="21"/>
          <w:szCs w:val="21"/>
        </w:rPr>
        <w:t>1.招标条件</w:t>
      </w:r>
    </w:p>
    <w:p w14:paraId="08184D79">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210" w:firstLineChars="100"/>
        <w:textAlignment w:val="auto"/>
        <w:outlineLvl w:val="1"/>
        <w:rPr>
          <w:rStyle w:val="38"/>
          <w:rFonts w:hint="eastAsia" w:asciiTheme="minorEastAsia" w:hAnsiTheme="minorEastAsia" w:eastAsiaTheme="minorEastAsia" w:cstheme="minorEastAsia"/>
          <w:sz w:val="21"/>
          <w:szCs w:val="21"/>
          <w:highlight w:val="none"/>
        </w:rPr>
      </w:pPr>
      <w:r>
        <w:rPr>
          <w:rStyle w:val="38"/>
          <w:rFonts w:hint="eastAsia" w:asciiTheme="minorEastAsia" w:hAnsiTheme="minorEastAsia" w:eastAsiaTheme="minorEastAsia" w:cstheme="minorEastAsia"/>
          <w:sz w:val="21"/>
          <w:szCs w:val="21"/>
          <w:highlight w:val="none"/>
        </w:rPr>
        <w:t>本招标项目</w:t>
      </w:r>
      <w:r>
        <w:rPr>
          <w:rStyle w:val="38"/>
          <w:rFonts w:hint="eastAsia" w:asciiTheme="minorEastAsia" w:hAnsiTheme="minorEastAsia" w:eastAsiaTheme="minorEastAsia" w:cstheme="minorEastAsia"/>
          <w:b/>
          <w:bCs/>
          <w:sz w:val="21"/>
          <w:szCs w:val="21"/>
          <w:highlight w:val="none"/>
          <w:u w:val="single"/>
          <w:lang w:eastAsia="zh-CN"/>
        </w:rPr>
        <w:t>迤车镇石桥、店子、坪子片区牛栏江低热河谷农业产业基地基础配套设施建设项目</w:t>
      </w:r>
      <w:r>
        <w:rPr>
          <w:rStyle w:val="38"/>
          <w:rFonts w:hint="eastAsia" w:asciiTheme="minorEastAsia" w:hAnsiTheme="minorEastAsia" w:eastAsiaTheme="minorEastAsia" w:cstheme="minorEastAsia"/>
          <w:b/>
          <w:bCs/>
          <w:sz w:val="21"/>
          <w:szCs w:val="21"/>
          <w:highlight w:val="none"/>
          <w:u w:val="single"/>
          <w:lang w:val="en-US" w:eastAsia="zh-CN"/>
        </w:rPr>
        <w:t xml:space="preserve"> </w:t>
      </w:r>
      <w:r>
        <w:rPr>
          <w:rStyle w:val="38"/>
          <w:rFonts w:hint="eastAsia" w:asciiTheme="minorEastAsia" w:hAnsiTheme="minorEastAsia" w:eastAsiaTheme="minorEastAsia" w:cstheme="minorEastAsia"/>
          <w:sz w:val="21"/>
          <w:szCs w:val="21"/>
          <w:highlight w:val="none"/>
        </w:rPr>
        <w:t>已由</w:t>
      </w:r>
      <w:r>
        <w:rPr>
          <w:rStyle w:val="38"/>
          <w:rFonts w:hint="eastAsia" w:asciiTheme="minorEastAsia" w:hAnsiTheme="minorEastAsia" w:eastAsiaTheme="minorEastAsia" w:cstheme="minorEastAsia"/>
          <w:sz w:val="21"/>
          <w:szCs w:val="21"/>
          <w:highlight w:val="none"/>
          <w:lang w:val="en-US" w:eastAsia="zh-CN"/>
        </w:rPr>
        <w:t xml:space="preserve"> </w:t>
      </w:r>
      <w:r>
        <w:rPr>
          <w:rStyle w:val="38"/>
          <w:rFonts w:hint="eastAsia" w:asciiTheme="minorEastAsia" w:hAnsiTheme="minorEastAsia" w:eastAsiaTheme="minorEastAsia" w:cstheme="minorEastAsia"/>
          <w:b/>
          <w:bCs/>
          <w:sz w:val="21"/>
          <w:szCs w:val="21"/>
          <w:highlight w:val="none"/>
          <w:u w:val="single"/>
          <w:lang w:eastAsia="zh-CN"/>
        </w:rPr>
        <w:t>会泽县人民政府</w:t>
      </w:r>
      <w:r>
        <w:rPr>
          <w:rStyle w:val="38"/>
          <w:rFonts w:hint="eastAsia" w:asciiTheme="minorEastAsia" w:hAnsiTheme="minorEastAsia" w:eastAsiaTheme="minorEastAsia" w:cstheme="minorEastAsia"/>
          <w:b/>
          <w:bCs/>
          <w:sz w:val="21"/>
          <w:szCs w:val="21"/>
          <w:highlight w:val="none"/>
          <w:u w:val="single"/>
          <w:lang w:val="en-US" w:eastAsia="zh-CN"/>
        </w:rPr>
        <w:t xml:space="preserve"> </w:t>
      </w:r>
      <w:r>
        <w:rPr>
          <w:rStyle w:val="38"/>
          <w:rFonts w:hint="eastAsia" w:asciiTheme="minorEastAsia" w:hAnsiTheme="minorEastAsia" w:eastAsiaTheme="minorEastAsia" w:cstheme="minorEastAsia"/>
          <w:sz w:val="21"/>
          <w:szCs w:val="21"/>
          <w:highlight w:val="none"/>
        </w:rPr>
        <w:t>以</w:t>
      </w:r>
      <w:r>
        <w:rPr>
          <w:rStyle w:val="38"/>
          <w:rFonts w:hint="eastAsia" w:asciiTheme="minorEastAsia" w:hAnsiTheme="minorEastAsia" w:eastAsiaTheme="minorEastAsia" w:cstheme="minorEastAsia"/>
          <w:sz w:val="21"/>
          <w:szCs w:val="21"/>
          <w:highlight w:val="none"/>
          <w:lang w:val="en-US" w:eastAsia="zh-CN"/>
        </w:rPr>
        <w:t xml:space="preserve"> </w:t>
      </w:r>
      <w:r>
        <w:rPr>
          <w:rStyle w:val="38"/>
          <w:rFonts w:hint="eastAsia" w:asciiTheme="minorEastAsia" w:hAnsiTheme="minorEastAsia" w:eastAsiaTheme="minorEastAsia" w:cstheme="minorEastAsia"/>
          <w:b/>
          <w:bCs/>
          <w:sz w:val="21"/>
          <w:szCs w:val="21"/>
          <w:highlight w:val="none"/>
          <w:u w:val="single"/>
          <w:lang w:val="en-US" w:eastAsia="zh-CN"/>
        </w:rPr>
        <w:t>会政复〔2026〕170 号</w:t>
      </w:r>
      <w:r>
        <w:rPr>
          <w:rStyle w:val="38"/>
          <w:rFonts w:hint="eastAsia" w:asciiTheme="minorEastAsia" w:hAnsiTheme="minorEastAsia" w:eastAsiaTheme="minorEastAsia" w:cstheme="minorEastAsia"/>
          <w:sz w:val="21"/>
          <w:szCs w:val="21"/>
          <w:highlight w:val="none"/>
          <w:u w:val="none"/>
        </w:rPr>
        <w:t>文</w:t>
      </w:r>
      <w:r>
        <w:rPr>
          <w:rStyle w:val="38"/>
          <w:rFonts w:hint="eastAsia" w:asciiTheme="minorEastAsia" w:hAnsiTheme="minorEastAsia" w:eastAsiaTheme="minorEastAsia" w:cstheme="minorEastAsia"/>
          <w:sz w:val="21"/>
          <w:szCs w:val="21"/>
          <w:highlight w:val="none"/>
        </w:rPr>
        <w:t>批准建设，项目业主为</w:t>
      </w:r>
      <w:r>
        <w:rPr>
          <w:rStyle w:val="38"/>
          <w:rFonts w:hint="eastAsia" w:asciiTheme="minorEastAsia" w:hAnsiTheme="minorEastAsia" w:eastAsiaTheme="minorEastAsia" w:cstheme="minorEastAsia"/>
          <w:b/>
          <w:bCs/>
          <w:sz w:val="21"/>
          <w:szCs w:val="21"/>
          <w:highlight w:val="none"/>
          <w:u w:val="single"/>
          <w:lang w:eastAsia="zh-CN"/>
        </w:rPr>
        <w:t>会泽县迤车镇人民政府</w:t>
      </w:r>
      <w:r>
        <w:rPr>
          <w:rStyle w:val="38"/>
          <w:rFonts w:hint="eastAsia" w:asciiTheme="minorEastAsia" w:hAnsiTheme="minorEastAsia" w:eastAsiaTheme="minorEastAsia" w:cstheme="minorEastAsia"/>
          <w:sz w:val="21"/>
          <w:szCs w:val="21"/>
          <w:highlight w:val="none"/>
        </w:rPr>
        <w:t>，建设资金来自</w:t>
      </w:r>
      <w:r>
        <w:rPr>
          <w:rStyle w:val="38"/>
          <w:rFonts w:hint="eastAsia" w:asciiTheme="minorEastAsia" w:hAnsiTheme="minorEastAsia" w:eastAsiaTheme="minorEastAsia" w:cstheme="minorEastAsia"/>
          <w:b/>
          <w:bCs/>
          <w:sz w:val="21"/>
          <w:szCs w:val="21"/>
          <w:highlight w:val="none"/>
          <w:u w:val="single"/>
          <w:lang w:val="en-US" w:eastAsia="zh-CN"/>
        </w:rPr>
        <w:t>2026年中央财政衔接资金</w:t>
      </w:r>
      <w:r>
        <w:rPr>
          <w:rStyle w:val="38"/>
          <w:rFonts w:hint="eastAsia" w:asciiTheme="minorEastAsia" w:hAnsiTheme="minorEastAsia" w:eastAsiaTheme="minorEastAsia" w:cstheme="minorEastAsia"/>
          <w:sz w:val="21"/>
          <w:szCs w:val="21"/>
          <w:highlight w:val="none"/>
        </w:rPr>
        <w:t>，资金已落实。项目已具备招标条件，现对该项目的施工进行</w:t>
      </w:r>
      <w:r>
        <w:rPr>
          <w:rStyle w:val="38"/>
          <w:rFonts w:hint="eastAsia" w:asciiTheme="minorEastAsia" w:hAnsiTheme="minorEastAsia" w:eastAsiaTheme="minorEastAsia" w:cstheme="minorEastAsia"/>
          <w:b w:val="0"/>
          <w:bCs w:val="0"/>
          <w:sz w:val="21"/>
          <w:szCs w:val="21"/>
          <w:highlight w:val="none"/>
          <w:u w:val="none"/>
        </w:rPr>
        <w:t>公开招标。</w:t>
      </w:r>
    </w:p>
    <w:p w14:paraId="6D362A4A">
      <w:pPr>
        <w:pStyle w:val="7"/>
        <w:pageBreakBefore w:val="0"/>
        <w:numPr>
          <w:ilvl w:val="0"/>
          <w:numId w:val="1"/>
        </w:numPr>
        <w:kinsoku/>
        <w:wordWrap/>
        <w:topLinePunct w:val="0"/>
        <w:bidi w:val="0"/>
        <w:spacing w:line="560" w:lineRule="exact"/>
        <w:textAlignment w:val="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项目概况</w:t>
      </w:r>
    </w:p>
    <w:p w14:paraId="17CBECB1">
      <w:pPr>
        <w:keepNext w:val="0"/>
        <w:keepLines w:val="0"/>
        <w:pageBreakBefore w:val="0"/>
        <w:kinsoku/>
        <w:wordWrap/>
        <w:overflowPunct/>
        <w:topLinePunct w:val="0"/>
        <w:autoSpaceDE/>
        <w:autoSpaceDN/>
        <w:bidi w:val="0"/>
        <w:adjustRightInd w:val="0"/>
        <w:snapToGrid w:val="0"/>
        <w:spacing w:line="480" w:lineRule="auto"/>
        <w:ind w:firstLine="420" w:firstLineChars="200"/>
        <w:textAlignment w:val="auto"/>
        <w:rPr>
          <w:rStyle w:val="38"/>
          <w:rFonts w:hint="eastAsia" w:asciiTheme="minorEastAsia" w:hAnsiTheme="minorEastAsia" w:eastAsiaTheme="minorEastAsia" w:cstheme="minorEastAsia"/>
          <w:bCs/>
          <w:sz w:val="21"/>
          <w:szCs w:val="21"/>
          <w:highlight w:val="none"/>
          <w:lang w:val="en-US" w:eastAsia="zh-CN"/>
        </w:rPr>
      </w:pPr>
      <w:r>
        <w:rPr>
          <w:rStyle w:val="38"/>
          <w:rFonts w:hint="eastAsia" w:asciiTheme="minorEastAsia" w:hAnsiTheme="minorEastAsia" w:eastAsiaTheme="minorEastAsia" w:cstheme="minorEastAsia"/>
          <w:bCs/>
          <w:sz w:val="21"/>
          <w:szCs w:val="21"/>
          <w:highlight w:val="none"/>
        </w:rPr>
        <w:t>2.1</w:t>
      </w:r>
      <w:r>
        <w:rPr>
          <w:rStyle w:val="38"/>
          <w:rFonts w:hint="eastAsia" w:asciiTheme="minorEastAsia" w:hAnsiTheme="minorEastAsia" w:eastAsiaTheme="minorEastAsia" w:cstheme="minorEastAsia"/>
          <w:bCs/>
          <w:sz w:val="21"/>
          <w:szCs w:val="21"/>
          <w:highlight w:val="none"/>
          <w:lang w:val="en-US" w:eastAsia="zh-CN"/>
        </w:rPr>
        <w:t>项目名称</w:t>
      </w:r>
      <w:r>
        <w:rPr>
          <w:rStyle w:val="38"/>
          <w:rFonts w:hint="eastAsia" w:asciiTheme="minorEastAsia" w:hAnsiTheme="minorEastAsia" w:eastAsiaTheme="minorEastAsia" w:cstheme="minorEastAsia"/>
          <w:bCs/>
          <w:sz w:val="21"/>
          <w:szCs w:val="21"/>
          <w:highlight w:val="none"/>
        </w:rPr>
        <w:t>：</w:t>
      </w:r>
      <w:r>
        <w:rPr>
          <w:rStyle w:val="38"/>
          <w:rFonts w:hint="eastAsia" w:asciiTheme="minorEastAsia" w:hAnsiTheme="minorEastAsia" w:eastAsiaTheme="minorEastAsia" w:cstheme="minorEastAsia"/>
          <w:bCs/>
          <w:sz w:val="21"/>
          <w:szCs w:val="21"/>
          <w:highlight w:val="none"/>
          <w:lang w:eastAsia="zh-CN"/>
        </w:rPr>
        <w:t>迤车镇石桥、店子、坪子片区牛栏江低热河谷农业产业基地基础配套设施建设项目</w:t>
      </w:r>
      <w:r>
        <w:rPr>
          <w:rStyle w:val="38"/>
          <w:rFonts w:hint="eastAsia" w:asciiTheme="minorEastAsia" w:hAnsiTheme="minorEastAsia" w:eastAsiaTheme="minorEastAsia" w:cstheme="minorEastAsia"/>
          <w:bCs/>
          <w:sz w:val="21"/>
          <w:szCs w:val="21"/>
          <w:highlight w:val="none"/>
          <w:lang w:val="en-US" w:eastAsia="zh-CN"/>
        </w:rPr>
        <w:t xml:space="preserve"> </w:t>
      </w:r>
    </w:p>
    <w:p w14:paraId="1DD22DCB">
      <w:pPr>
        <w:keepNext w:val="0"/>
        <w:keepLines w:val="0"/>
        <w:pageBreakBefore w:val="0"/>
        <w:kinsoku/>
        <w:wordWrap/>
        <w:overflowPunct/>
        <w:topLinePunct w:val="0"/>
        <w:autoSpaceDE/>
        <w:autoSpaceDN/>
        <w:bidi w:val="0"/>
        <w:adjustRightInd w:val="0"/>
        <w:snapToGrid w:val="0"/>
        <w:spacing w:line="480" w:lineRule="auto"/>
        <w:ind w:firstLine="420" w:firstLineChars="200"/>
        <w:textAlignment w:val="auto"/>
        <w:rPr>
          <w:rStyle w:val="38"/>
          <w:rFonts w:hint="eastAsia" w:asciiTheme="minorEastAsia" w:hAnsiTheme="minorEastAsia" w:eastAsiaTheme="minorEastAsia" w:cstheme="minorEastAsia"/>
          <w:bCs/>
          <w:sz w:val="21"/>
          <w:szCs w:val="21"/>
          <w:highlight w:val="none"/>
        </w:rPr>
      </w:pPr>
      <w:r>
        <w:rPr>
          <w:rStyle w:val="38"/>
          <w:rFonts w:hint="eastAsia" w:asciiTheme="minorEastAsia" w:hAnsiTheme="minorEastAsia" w:eastAsiaTheme="minorEastAsia" w:cstheme="minorEastAsia"/>
          <w:bCs/>
          <w:sz w:val="21"/>
          <w:szCs w:val="21"/>
          <w:highlight w:val="none"/>
        </w:rPr>
        <w:t>2.2建设地点：</w:t>
      </w:r>
      <w:r>
        <w:rPr>
          <w:rStyle w:val="38"/>
          <w:rFonts w:hint="eastAsia" w:asciiTheme="minorEastAsia" w:hAnsiTheme="minorEastAsia" w:eastAsiaTheme="minorEastAsia" w:cstheme="minorEastAsia"/>
          <w:bCs/>
          <w:sz w:val="21"/>
          <w:szCs w:val="21"/>
          <w:highlight w:val="none"/>
          <w:lang w:val="en-US" w:eastAsia="zh-CN"/>
        </w:rPr>
        <w:t>会泽县迤车镇石桥、店子、坪子村。</w:t>
      </w:r>
    </w:p>
    <w:p w14:paraId="7446E868">
      <w:pPr>
        <w:keepNext w:val="0"/>
        <w:keepLines w:val="0"/>
        <w:pageBreakBefore w:val="0"/>
        <w:kinsoku/>
        <w:wordWrap/>
        <w:overflowPunct/>
        <w:topLinePunct w:val="0"/>
        <w:autoSpaceDE/>
        <w:autoSpaceDN/>
        <w:bidi w:val="0"/>
        <w:adjustRightInd w:val="0"/>
        <w:snapToGrid w:val="0"/>
        <w:spacing w:line="240" w:lineRule="auto"/>
        <w:ind w:firstLine="420" w:firstLineChars="200"/>
        <w:textAlignment w:val="auto"/>
        <w:rPr>
          <w:rStyle w:val="38"/>
          <w:rFonts w:hint="eastAsia" w:asciiTheme="minorEastAsia" w:hAnsiTheme="minorEastAsia" w:eastAsiaTheme="minorEastAsia" w:cstheme="minorEastAsia"/>
          <w:b w:val="0"/>
          <w:bCs/>
          <w:sz w:val="21"/>
          <w:szCs w:val="21"/>
          <w:highlight w:val="none"/>
          <w:u w:val="none"/>
          <w:lang w:val="en-US" w:eastAsia="zh-CN"/>
        </w:rPr>
      </w:pPr>
      <w:r>
        <w:rPr>
          <w:rStyle w:val="38"/>
          <w:rFonts w:hint="eastAsia" w:asciiTheme="minorEastAsia" w:hAnsiTheme="minorEastAsia" w:eastAsiaTheme="minorEastAsia" w:cstheme="minorEastAsia"/>
          <w:bCs/>
          <w:sz w:val="21"/>
          <w:szCs w:val="21"/>
          <w:highlight w:val="none"/>
        </w:rPr>
        <w:t>2.3建设内容</w:t>
      </w:r>
      <w:r>
        <w:rPr>
          <w:rStyle w:val="38"/>
          <w:rFonts w:hint="eastAsia" w:asciiTheme="minorEastAsia" w:hAnsiTheme="minorEastAsia" w:eastAsiaTheme="minorEastAsia" w:cstheme="minorEastAsia"/>
          <w:b w:val="0"/>
          <w:bCs/>
          <w:sz w:val="21"/>
          <w:szCs w:val="21"/>
          <w:highlight w:val="none"/>
          <w:u w:val="none"/>
          <w:lang w:val="en-US" w:eastAsia="zh-CN"/>
        </w:rPr>
        <w:t>：1.石桥、店子村片区：新建取水坝1座，输水管道长11790m，其中：Φ273×6mm螺旋焊管（国标，壁厚 6.0mm，焊接连接，局部法兰盘）长5918m ，DN200×6mm 热镀锌钢管（国标，壁厚6mm，焊接连接，局部法兰盘）长693m，DN150×4.5mm 热镀锌钢管（国标，壁厚 4.5mm ，焊接连接，局部法兰盘）长3842m，DN100×4.0mm 热镀锌钢管（国标，壁厚 4.0mm ，焊接连接，局部法兰盘）长 1337m；配水管道长5248m ，其中：DN80×4.0mm 热镀锌钢管（国标，壁厚 4.0mm ，焊接连接，局部法兰盘）长 1100m，DN65×4.0mm 热镀锌钢管（国标，壁厚 4.0mm ，焊接连接，局部法兰盘）长 3344m ，DN50×3.8mm 热镀锌钢管（国标，壁厚 4.0mm ，焊接连接，局部法兰盘）长804m，100m³蓄水池7座，闸阀房7座，闸阀井 11 座，分水口107 座。</w:t>
      </w:r>
    </w:p>
    <w:p w14:paraId="0146F8A7">
      <w:pPr>
        <w:keepNext w:val="0"/>
        <w:keepLines w:val="0"/>
        <w:pageBreakBefore w:val="0"/>
        <w:kinsoku/>
        <w:wordWrap/>
        <w:overflowPunct/>
        <w:topLinePunct w:val="0"/>
        <w:autoSpaceDE/>
        <w:autoSpaceDN/>
        <w:bidi w:val="0"/>
        <w:adjustRightInd w:val="0"/>
        <w:snapToGrid w:val="0"/>
        <w:spacing w:line="240" w:lineRule="auto"/>
        <w:ind w:firstLine="420" w:firstLineChars="200"/>
        <w:textAlignment w:val="auto"/>
        <w:rPr>
          <w:rStyle w:val="38"/>
          <w:rFonts w:hint="eastAsia" w:asciiTheme="minorEastAsia" w:hAnsiTheme="minorEastAsia" w:eastAsiaTheme="minorEastAsia" w:cstheme="minorEastAsia"/>
          <w:b w:val="0"/>
          <w:bCs/>
          <w:sz w:val="21"/>
          <w:szCs w:val="21"/>
          <w:highlight w:val="none"/>
          <w:u w:val="none"/>
          <w:lang w:val="en-US" w:eastAsia="zh-CN"/>
        </w:rPr>
      </w:pPr>
      <w:r>
        <w:rPr>
          <w:rStyle w:val="38"/>
          <w:rFonts w:hint="eastAsia" w:asciiTheme="minorEastAsia" w:hAnsiTheme="minorEastAsia" w:eastAsiaTheme="minorEastAsia" w:cstheme="minorEastAsia"/>
          <w:b w:val="0"/>
          <w:bCs/>
          <w:sz w:val="21"/>
          <w:szCs w:val="21"/>
          <w:highlight w:val="none"/>
          <w:u w:val="none"/>
          <w:lang w:val="en-US" w:eastAsia="zh-CN"/>
        </w:rPr>
        <w:t>2.坪子村片区：取水池1座，输水管道长5009m，其中：DN200×6.0mm 热镀锌钢管（国标，壁厚 6.0mm ，焊接连接，局部法兰盘）长 2992m,DN150×4.5mm 热镀锌钢管（国标，壁厚 4.5mm ，焊接连接，局部法兰盘）长461m ，DN100×4.0mm 热镀锌钢管（国标，壁厚 4.0mm ，焊接连接，局部法兰盘）长 356m，DN80×4.0mm 热镀锌钢管（国标，壁厚 4.0mm ，焊接连接，局部法兰盘）长 1200m；</w:t>
      </w:r>
    </w:p>
    <w:p w14:paraId="035D07E7">
      <w:pPr>
        <w:keepNext w:val="0"/>
        <w:keepLines w:val="0"/>
        <w:pageBreakBefore w:val="0"/>
        <w:kinsoku/>
        <w:wordWrap/>
        <w:overflowPunct/>
        <w:topLinePunct w:val="0"/>
        <w:autoSpaceDE/>
        <w:autoSpaceDN/>
        <w:bidi w:val="0"/>
        <w:adjustRightInd w:val="0"/>
        <w:snapToGrid w:val="0"/>
        <w:spacing w:line="240" w:lineRule="auto"/>
        <w:ind w:firstLine="420" w:firstLineChars="200"/>
        <w:textAlignment w:val="auto"/>
        <w:rPr>
          <w:rStyle w:val="38"/>
          <w:rFonts w:hint="eastAsia" w:asciiTheme="minorEastAsia" w:hAnsiTheme="minorEastAsia" w:eastAsiaTheme="minorEastAsia" w:cstheme="minorEastAsia"/>
          <w:b w:val="0"/>
          <w:bCs/>
          <w:sz w:val="21"/>
          <w:szCs w:val="21"/>
          <w:highlight w:val="none"/>
          <w:u w:val="none"/>
          <w:lang w:val="en-US" w:eastAsia="zh-CN"/>
        </w:rPr>
      </w:pPr>
      <w:r>
        <w:rPr>
          <w:rStyle w:val="38"/>
          <w:rFonts w:hint="eastAsia" w:asciiTheme="minorEastAsia" w:hAnsiTheme="minorEastAsia" w:eastAsiaTheme="minorEastAsia" w:cstheme="minorEastAsia"/>
          <w:b w:val="0"/>
          <w:bCs/>
          <w:sz w:val="21"/>
          <w:szCs w:val="21"/>
          <w:highlight w:val="none"/>
          <w:u w:val="none"/>
          <w:lang w:val="en-US" w:eastAsia="zh-CN"/>
        </w:rPr>
        <w:t>配水管道长 1875m ，其中：DN100×4.0mm 热镀锌钢管（国标，壁厚 4.0mm ，焊接连接，局部法兰盘）长 133m，DN80×4.0mm 热镀锌钢管（国标，壁厚 4.0mm ，焊接连接，局部法兰盘）长 1005m ，DN65×4.0mm 热镀锌钢管（国标，壁厚 4.0mm ，焊接连接，局部法兰盘）长637m ，100m³蓄水池4座，闸阀房4座，闸阀井 3 座，分水口42座。</w:t>
      </w:r>
    </w:p>
    <w:p w14:paraId="22BFF16B">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Style w:val="38"/>
          <w:rFonts w:hint="default" w:asciiTheme="minorEastAsia" w:hAnsiTheme="minorEastAsia" w:eastAsiaTheme="minorEastAsia" w:cstheme="minorEastAsia"/>
          <w:bCs/>
          <w:sz w:val="21"/>
          <w:szCs w:val="21"/>
          <w:highlight w:val="none"/>
          <w:u w:val="none"/>
          <w:lang w:val="en-US"/>
        </w:rPr>
      </w:pPr>
      <w:r>
        <w:rPr>
          <w:rStyle w:val="38"/>
          <w:rFonts w:hint="eastAsia" w:asciiTheme="minorEastAsia" w:hAnsiTheme="minorEastAsia" w:eastAsiaTheme="minorEastAsia" w:cstheme="minorEastAsia"/>
          <w:bCs/>
          <w:sz w:val="21"/>
          <w:szCs w:val="21"/>
          <w:highlight w:val="none"/>
          <w:lang w:val="en-US" w:eastAsia="zh-CN"/>
        </w:rPr>
        <w:t>2.4</w:t>
      </w:r>
      <w:r>
        <w:rPr>
          <w:rStyle w:val="38"/>
          <w:rFonts w:hint="eastAsia" w:asciiTheme="minorEastAsia" w:hAnsiTheme="minorEastAsia" w:eastAsiaTheme="minorEastAsia" w:cstheme="minorEastAsia"/>
          <w:bCs/>
          <w:sz w:val="21"/>
          <w:szCs w:val="21"/>
          <w:highlight w:val="none"/>
        </w:rPr>
        <w:t>资金来</w:t>
      </w:r>
      <w:r>
        <w:rPr>
          <w:rStyle w:val="38"/>
          <w:rFonts w:hint="eastAsia" w:asciiTheme="minorEastAsia" w:hAnsiTheme="minorEastAsia" w:eastAsiaTheme="minorEastAsia" w:cstheme="minorEastAsia"/>
          <w:b w:val="0"/>
          <w:bCs/>
          <w:sz w:val="21"/>
          <w:szCs w:val="21"/>
          <w:highlight w:val="none"/>
        </w:rPr>
        <w:t>源：</w:t>
      </w:r>
      <w:r>
        <w:rPr>
          <w:rStyle w:val="38"/>
          <w:rFonts w:hint="eastAsia" w:asciiTheme="minorEastAsia" w:hAnsiTheme="minorEastAsia" w:eastAsiaTheme="minorEastAsia" w:cstheme="minorEastAsia"/>
          <w:b w:val="0"/>
          <w:bCs/>
          <w:sz w:val="21"/>
          <w:szCs w:val="21"/>
          <w:highlight w:val="none"/>
          <w:u w:val="none"/>
          <w:lang w:val="en-US" w:eastAsia="zh-CN"/>
        </w:rPr>
        <w:t xml:space="preserve"> 2026年中央财政衔接资金。</w:t>
      </w:r>
    </w:p>
    <w:p w14:paraId="537A6778">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420" w:firstLineChars="200"/>
        <w:textAlignment w:val="auto"/>
        <w:outlineLvl w:val="1"/>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Style w:val="38"/>
          <w:rFonts w:hint="eastAsia" w:asciiTheme="minorEastAsia" w:hAnsiTheme="minorEastAsia" w:eastAsiaTheme="minorEastAsia" w:cstheme="minorEastAsia"/>
          <w:bCs/>
          <w:sz w:val="21"/>
          <w:szCs w:val="21"/>
          <w:highlight w:val="none"/>
          <w:lang w:val="en-US" w:eastAsia="zh-CN"/>
        </w:rPr>
        <w:t>2.5</w:t>
      </w:r>
      <w:r>
        <w:rPr>
          <w:rStyle w:val="38"/>
          <w:rFonts w:hint="eastAsia" w:asciiTheme="minorEastAsia" w:hAnsiTheme="minorEastAsia" w:eastAsiaTheme="minorEastAsia" w:cstheme="minorEastAsia"/>
          <w:bCs/>
          <w:sz w:val="21"/>
          <w:szCs w:val="21"/>
          <w:highlight w:val="none"/>
          <w:lang w:eastAsia="zh-CN"/>
        </w:rPr>
        <w:t>计划</w:t>
      </w:r>
      <w:r>
        <w:rPr>
          <w:rFonts w:hint="eastAsia" w:asciiTheme="minorEastAsia" w:hAnsiTheme="minorEastAsia" w:eastAsiaTheme="minorEastAsia" w:cstheme="minorEastAsia"/>
          <w:color w:val="000000" w:themeColor="text1"/>
          <w:sz w:val="21"/>
          <w:szCs w:val="21"/>
          <w14:textFill>
            <w14:solidFill>
              <w14:schemeClr w14:val="tx1"/>
            </w14:solidFill>
          </w14:textFill>
        </w:rPr>
        <w:t>工期</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Style w:val="38"/>
          <w:rFonts w:hint="eastAsia" w:asciiTheme="minorEastAsia" w:hAnsiTheme="minorEastAsia" w:eastAsiaTheme="minorEastAsia" w:cstheme="minorEastAsia"/>
          <w:bCs/>
          <w:sz w:val="21"/>
          <w:szCs w:val="21"/>
          <w:highlight w:val="none"/>
          <w:lang w:val="en-US" w:eastAsia="zh-CN"/>
        </w:rPr>
        <w:t>180日历天。</w:t>
      </w:r>
    </w:p>
    <w:p w14:paraId="1BFA0950">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420" w:firstLineChars="200"/>
        <w:textAlignment w:val="auto"/>
        <w:outlineLvl w:val="1"/>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2.6</w:t>
      </w:r>
      <w:r>
        <w:rPr>
          <w:rFonts w:hint="eastAsia" w:asciiTheme="minorEastAsia" w:hAnsiTheme="minorEastAsia" w:eastAsiaTheme="minorEastAsia" w:cstheme="minorEastAsia"/>
          <w:color w:val="000000" w:themeColor="text1"/>
          <w:sz w:val="21"/>
          <w:szCs w:val="21"/>
          <w14:textFill>
            <w14:solidFill>
              <w14:schemeClr w14:val="tx1"/>
            </w14:solidFill>
          </w14:textFill>
        </w:rPr>
        <w:t>质量要求</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按国家、行业及地方相关施工标准及规范要求，一次性验收合格</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4584B2C2">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420" w:firstLineChars="200"/>
        <w:textAlignment w:val="auto"/>
        <w:outlineLvl w:val="1"/>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本次招标不接受联合体投标。</w:t>
      </w:r>
    </w:p>
    <w:p w14:paraId="4C0E6AB0">
      <w:pPr>
        <w:pStyle w:val="7"/>
        <w:pageBreakBefore w:val="0"/>
        <w:numPr>
          <w:ilvl w:val="0"/>
          <w:numId w:val="1"/>
        </w:numPr>
        <w:kinsoku/>
        <w:wordWrap/>
        <w:topLinePunct w:val="0"/>
        <w:bidi w:val="0"/>
        <w:spacing w:line="360" w:lineRule="auto"/>
        <w:ind w:left="0" w:leftChars="0" w:firstLine="0" w:firstLineChars="0"/>
        <w:textAlignment w:val="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招标范围</w:t>
      </w:r>
    </w:p>
    <w:p w14:paraId="6DE35E62">
      <w:pPr>
        <w:pStyle w:val="7"/>
        <w:pageBreakBefore w:val="0"/>
        <w:numPr>
          <w:ilvl w:val="0"/>
          <w:numId w:val="0"/>
        </w:numPr>
        <w:kinsoku/>
        <w:wordWrap/>
        <w:topLinePunct w:val="0"/>
        <w:bidi w:val="0"/>
        <w:spacing w:line="560" w:lineRule="exact"/>
        <w:ind w:leftChars="0"/>
        <w:textAlignment w:val="auto"/>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instrText xml:space="preserve"> AUTOTEXT  input13 \* MERGEFORMAT </w:instrText>
      </w:r>
      <w:r>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t>一、</w:t>
      </w:r>
      <w:r>
        <w:rPr>
          <w:rFonts w:hint="eastAsia" w:asciiTheme="minorEastAsia" w:hAnsiTheme="minorEastAsia" w:eastAsiaTheme="minorEastAsia" w:cstheme="minorEastAsia"/>
          <w:color w:val="000000" w:themeColor="text1"/>
          <w:kern w:val="2"/>
          <w:sz w:val="21"/>
          <w:szCs w:val="21"/>
          <w:lang w:val="en-US" w:eastAsia="zh-CN" w:bidi="ar-SA"/>
          <w14:textFill>
            <w14:solidFill>
              <w14:schemeClr w14:val="tx1"/>
            </w14:solidFill>
          </w14:textFill>
        </w:rPr>
        <w:t>招标文件及</w:t>
      </w:r>
      <w:r>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t>工程量清单所示内容；</w:t>
      </w:r>
    </w:p>
    <w:p w14:paraId="56202474">
      <w:pPr>
        <w:pStyle w:val="7"/>
        <w:pageBreakBefore w:val="0"/>
        <w:numPr>
          <w:ilvl w:val="0"/>
          <w:numId w:val="0"/>
        </w:numPr>
        <w:kinsoku/>
        <w:wordWrap/>
        <w:topLinePunct w:val="0"/>
        <w:bidi w:val="0"/>
        <w:spacing w:line="560" w:lineRule="exact"/>
        <w:ind w:leftChars="0"/>
        <w:textAlignment w:val="auto"/>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t>二、投标准备期内所发出的修改通知和招标答疑文件中所说明的内容；</w:t>
      </w:r>
    </w:p>
    <w:p w14:paraId="6C14B62E">
      <w:pPr>
        <w:pStyle w:val="7"/>
        <w:pageBreakBefore w:val="0"/>
        <w:numPr>
          <w:ilvl w:val="0"/>
          <w:numId w:val="0"/>
        </w:numPr>
        <w:kinsoku/>
        <w:wordWrap/>
        <w:topLinePunct w:val="0"/>
        <w:bidi w:val="0"/>
        <w:spacing w:line="560" w:lineRule="exact"/>
        <w:ind w:leftChars="0"/>
        <w:textAlignment w:val="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t>三、本工程设置招标控制价及工程量清单。</w:t>
      </w:r>
      <w:r>
        <w:rPr>
          <w:rFonts w:hint="eastAsia" w:asciiTheme="minorEastAsia" w:hAnsiTheme="minorEastAsia" w:eastAsiaTheme="minorEastAsia" w:cstheme="minorEastAsia"/>
          <w:color w:val="000000" w:themeColor="text1"/>
          <w:kern w:val="2"/>
          <w:sz w:val="21"/>
          <w:szCs w:val="21"/>
          <w:lang w:val="en-US" w:eastAsia="en-US" w:bidi="ar-SA"/>
          <w14:textFill>
            <w14:solidFill>
              <w14:schemeClr w14:val="tx1"/>
            </w14:solidFill>
          </w14:textFill>
        </w:rPr>
        <w:fldChar w:fldCharType="end"/>
      </w:r>
    </w:p>
    <w:p w14:paraId="0F834303">
      <w:pPr>
        <w:pStyle w:val="7"/>
        <w:pageBreakBefore w:val="0"/>
        <w:kinsoku/>
        <w:wordWrap/>
        <w:topLinePunct w:val="0"/>
        <w:bidi w:val="0"/>
        <w:spacing w:line="560" w:lineRule="exac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rPr>
        <w:t>4.资格要求</w:t>
      </w:r>
    </w:p>
    <w:p w14:paraId="1607B21D">
      <w:pPr>
        <w:spacing w:line="360" w:lineRule="auto"/>
        <w:ind w:firstLine="210" w:firstLineChars="100"/>
        <w:rPr>
          <w:rFonts w:hint="eastAsia" w:asciiTheme="minorEastAsia" w:hAnsiTheme="minorEastAsia" w:eastAsiaTheme="minorEastAsia" w:cstheme="minorEastAsia"/>
          <w:color w:val="000000"/>
          <w:kern w:val="0"/>
          <w:sz w:val="21"/>
          <w:szCs w:val="21"/>
          <w:highlight w:val="none"/>
          <w:lang w:val="en-US" w:eastAsia="zh-CN" w:bidi="ar-SA"/>
        </w:rPr>
      </w:pPr>
      <w:r>
        <w:rPr>
          <w:rFonts w:hint="eastAsia" w:asciiTheme="minorEastAsia" w:hAnsiTheme="minorEastAsia" w:eastAsiaTheme="minorEastAsia" w:cstheme="minorEastAsia"/>
          <w:color w:val="000000"/>
          <w:kern w:val="0"/>
          <w:sz w:val="21"/>
          <w:szCs w:val="21"/>
          <w:highlight w:val="none"/>
          <w:lang w:val="en-US" w:eastAsia="zh-CN" w:bidi="ar-SA"/>
        </w:rPr>
        <w:t>4.1 本项目要求投标人须具备以下条件：</w:t>
      </w:r>
    </w:p>
    <w:p w14:paraId="68675543">
      <w:pPr>
        <w:spacing w:line="360" w:lineRule="auto"/>
        <w:ind w:firstLine="210" w:firstLineChars="100"/>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4.1.2投标人必须是在中国境内合法注册、具有独立承担民事责任能力的企业，提供有效的营业执照；</w:t>
      </w:r>
    </w:p>
    <w:p w14:paraId="4CF42EAA">
      <w:pPr>
        <w:pageBreakBefore w:val="0"/>
        <w:kinsoku/>
        <w:wordWrap/>
        <w:topLinePunct w:val="0"/>
        <w:bidi w:val="0"/>
        <w:spacing w:line="360" w:lineRule="auto"/>
        <w:ind w:firstLine="210" w:firstLineChars="100"/>
        <w:jc w:val="left"/>
        <w:textAlignment w:val="auto"/>
        <w:rPr>
          <w:rFonts w:hint="eastAsia" w:asciiTheme="minorEastAsia" w:hAnsiTheme="minorEastAsia" w:eastAsiaTheme="minorEastAsia" w:cstheme="minorEastAsia"/>
          <w:color w:val="000000"/>
          <w:kern w:val="0"/>
          <w:sz w:val="21"/>
          <w:szCs w:val="21"/>
          <w:highlight w:val="none"/>
          <w:lang w:val="en-US" w:eastAsia="zh-CN" w:bidi="ar-SA"/>
        </w:rPr>
      </w:pPr>
      <w:r>
        <w:rPr>
          <w:rFonts w:hint="eastAsia" w:asciiTheme="minorEastAsia" w:hAnsiTheme="minorEastAsia" w:eastAsiaTheme="minorEastAsia" w:cstheme="minorEastAsia"/>
          <w:color w:val="000000"/>
          <w:kern w:val="0"/>
          <w:sz w:val="21"/>
          <w:szCs w:val="21"/>
          <w:highlight w:val="none"/>
          <w:lang w:val="en-US" w:eastAsia="zh-CN" w:bidi="ar-SA"/>
        </w:rPr>
        <w:t>4.1.3资质要求：投标人具备合法有效的建设行政主管部门颁发的水利水电工程施工总承包叁级及以上资质的独立法人，具备有效的安全生产许可证，并在人员、设备、资金等方面具备与招标内容相适应的施工能力。</w:t>
      </w:r>
    </w:p>
    <w:p w14:paraId="2ACB51DD">
      <w:pPr>
        <w:pageBreakBefore w:val="0"/>
        <w:kinsoku/>
        <w:wordWrap/>
        <w:topLinePunct w:val="0"/>
        <w:bidi w:val="0"/>
        <w:spacing w:line="360" w:lineRule="auto"/>
        <w:jc w:val="left"/>
        <w:textAlignment w:val="auto"/>
        <w:rPr>
          <w:rFonts w:hint="eastAsia" w:asciiTheme="minorEastAsia" w:hAnsiTheme="minorEastAsia" w:eastAsiaTheme="minorEastAsia" w:cstheme="minorEastAsia"/>
          <w:color w:val="000000"/>
          <w:kern w:val="0"/>
          <w:sz w:val="21"/>
          <w:szCs w:val="21"/>
          <w:highlight w:val="none"/>
          <w:lang w:val="en-US" w:eastAsia="zh-CN" w:bidi="ar-SA"/>
        </w:rPr>
      </w:pPr>
      <w:r>
        <w:rPr>
          <w:rFonts w:hint="eastAsia" w:asciiTheme="minorEastAsia" w:hAnsiTheme="minorEastAsia" w:eastAsiaTheme="minorEastAsia" w:cstheme="minorEastAsia"/>
          <w:color w:val="000000"/>
          <w:kern w:val="0"/>
          <w:sz w:val="21"/>
          <w:szCs w:val="21"/>
          <w:highlight w:val="none"/>
          <w:lang w:val="en-US" w:eastAsia="zh-CN" w:bidi="ar-SA"/>
        </w:rPr>
        <w:t>4.2拟派项目经理要求：</w:t>
      </w:r>
    </w:p>
    <w:p w14:paraId="2F2C2D97">
      <w:pPr>
        <w:pageBreakBefore w:val="0"/>
        <w:kinsoku/>
        <w:wordWrap/>
        <w:topLinePunct w:val="0"/>
        <w:bidi w:val="0"/>
        <w:spacing w:line="360" w:lineRule="auto"/>
        <w:ind w:firstLine="420" w:firstLineChars="200"/>
        <w:jc w:val="left"/>
        <w:textAlignment w:val="auto"/>
        <w:rPr>
          <w:rFonts w:hint="eastAsia" w:asciiTheme="minorEastAsia" w:hAnsiTheme="minorEastAsia" w:eastAsiaTheme="minorEastAsia" w:cstheme="minorEastAsia"/>
          <w:color w:val="000000"/>
          <w:kern w:val="0"/>
          <w:sz w:val="21"/>
          <w:szCs w:val="21"/>
          <w:highlight w:val="none"/>
          <w:lang w:val="en-US" w:eastAsia="zh-CN" w:bidi="ar-SA"/>
        </w:rPr>
      </w:pPr>
      <w:r>
        <w:rPr>
          <w:rFonts w:hint="eastAsia" w:asciiTheme="minorEastAsia" w:hAnsiTheme="minorEastAsia" w:eastAsiaTheme="minorEastAsia" w:cstheme="minorEastAsia"/>
          <w:color w:val="000000"/>
          <w:kern w:val="0"/>
          <w:sz w:val="21"/>
          <w:szCs w:val="21"/>
          <w:highlight w:val="none"/>
          <w:lang w:val="en-US" w:eastAsia="zh-CN" w:bidi="ar-SA"/>
        </w:rPr>
        <w:t>拟派往本项目的项目经理具备贰级及以上注册建造师（水利水电工程专业），并提供有效期内的安全生产考核合格证（B 证）。且必须注册在投标人本单位，如注册单位曾有变更的，需提供注册单位变更记录，不得同时在两个或者两个以上工程项目担任项目经理。</w:t>
      </w:r>
    </w:p>
    <w:p w14:paraId="29416EC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210" w:firstLineChars="100"/>
        <w:textAlignment w:val="auto"/>
        <w:rPr>
          <w:rFonts w:hint="eastAsia" w:asciiTheme="minorEastAsia" w:hAnsiTheme="minorEastAsia" w:eastAsiaTheme="minorEastAsia" w:cstheme="minorEastAsia"/>
          <w:color w:val="000000"/>
          <w:kern w:val="0"/>
          <w:sz w:val="21"/>
          <w:szCs w:val="21"/>
          <w:highlight w:val="none"/>
          <w:lang w:val="en-US" w:eastAsia="zh-CN" w:bidi="ar-SA"/>
        </w:rPr>
      </w:pPr>
      <w:r>
        <w:rPr>
          <w:rFonts w:hint="eastAsia" w:asciiTheme="minorEastAsia" w:hAnsiTheme="minorEastAsia" w:eastAsiaTheme="minorEastAsia" w:cstheme="minorEastAsia"/>
          <w:color w:val="000000"/>
          <w:kern w:val="0"/>
          <w:sz w:val="21"/>
          <w:szCs w:val="21"/>
          <w:highlight w:val="none"/>
          <w:lang w:val="en-US" w:eastAsia="zh-CN" w:bidi="ar-SA"/>
        </w:rPr>
        <w:t>4.3</w:t>
      </w:r>
      <w:r>
        <w:rPr>
          <w:rFonts w:hint="eastAsia" w:asciiTheme="minorEastAsia" w:hAnsiTheme="minorEastAsia" w:eastAsiaTheme="minorEastAsia" w:cstheme="minorEastAsia"/>
          <w:color w:val="000000"/>
          <w:kern w:val="0"/>
          <w:sz w:val="21"/>
          <w:szCs w:val="21"/>
          <w:highlight w:val="none"/>
          <w:lang w:val="en-US" w:eastAsia="zh-CN" w:bidi="ar-SA"/>
        </w:rPr>
        <w:fldChar w:fldCharType="begin"/>
      </w:r>
      <w:r>
        <w:rPr>
          <w:rFonts w:hint="eastAsia" w:asciiTheme="minorEastAsia" w:hAnsiTheme="minorEastAsia" w:eastAsiaTheme="minorEastAsia" w:cstheme="minorEastAsia"/>
          <w:color w:val="000000"/>
          <w:kern w:val="0"/>
          <w:sz w:val="21"/>
          <w:szCs w:val="21"/>
          <w:highlight w:val="none"/>
          <w:lang w:val="en-US" w:eastAsia="zh-CN" w:bidi="ar-SA"/>
        </w:rPr>
        <w:instrText xml:space="preserve"> AUTOTEXT  input18 \* MERGEFORMAT </w:instrText>
      </w:r>
      <w:r>
        <w:rPr>
          <w:rFonts w:hint="eastAsia" w:asciiTheme="minorEastAsia" w:hAnsiTheme="minorEastAsia" w:eastAsiaTheme="minorEastAsia" w:cstheme="minorEastAsia"/>
          <w:color w:val="000000"/>
          <w:kern w:val="0"/>
          <w:sz w:val="21"/>
          <w:szCs w:val="21"/>
          <w:highlight w:val="none"/>
          <w:lang w:val="en-US" w:eastAsia="zh-CN" w:bidi="ar-SA"/>
        </w:rPr>
        <w:fldChar w:fldCharType="separate"/>
      </w:r>
      <w:r>
        <w:rPr>
          <w:rFonts w:hint="eastAsia" w:asciiTheme="minorEastAsia" w:hAnsiTheme="minorEastAsia" w:eastAsiaTheme="minorEastAsia" w:cstheme="minorEastAsia"/>
          <w:color w:val="000000"/>
          <w:kern w:val="0"/>
          <w:sz w:val="21"/>
          <w:szCs w:val="21"/>
          <w:highlight w:val="none"/>
          <w:lang w:val="en-US" w:eastAsia="zh-CN" w:bidi="ar-SA"/>
        </w:rPr>
        <w:t>财务要求：</w:t>
      </w:r>
    </w:p>
    <w:p w14:paraId="2F783B6B">
      <w:pPr>
        <w:keepNext w:val="0"/>
        <w:keepLines w:val="0"/>
        <w:pageBreakBefore w:val="0"/>
        <w:widowControl w:val="0"/>
        <w:numPr>
          <w:ilvl w:val="0"/>
          <w:numId w:val="0"/>
        </w:numPr>
        <w:kinsoku/>
        <w:wordWrap/>
        <w:overflowPunct/>
        <w:topLinePunct w:val="0"/>
        <w:autoSpaceDE/>
        <w:autoSpaceDN/>
        <w:bidi w:val="0"/>
        <w:adjustRightInd/>
        <w:snapToGrid/>
        <w:spacing w:before="91" w:line="240" w:lineRule="auto"/>
        <w:ind w:right="80" w:rightChars="0" w:firstLine="420" w:firstLineChars="200"/>
        <w:textAlignment w:val="auto"/>
        <w:rPr>
          <w:rFonts w:hint="eastAsia" w:asciiTheme="minorEastAsia" w:hAnsiTheme="minorEastAsia" w:eastAsiaTheme="minorEastAsia" w:cstheme="minorEastAsia"/>
          <w:color w:val="000000"/>
          <w:kern w:val="0"/>
          <w:sz w:val="21"/>
          <w:szCs w:val="21"/>
          <w:highlight w:val="none"/>
          <w:lang w:val="en-US" w:eastAsia="zh-CN" w:bidi="ar-SA"/>
        </w:rPr>
      </w:pPr>
      <w:r>
        <w:rPr>
          <w:rFonts w:hint="eastAsia" w:asciiTheme="minorEastAsia" w:hAnsiTheme="minorEastAsia" w:eastAsiaTheme="minorEastAsia" w:cstheme="minorEastAsia"/>
          <w:color w:val="000000"/>
          <w:kern w:val="0"/>
          <w:sz w:val="21"/>
          <w:szCs w:val="21"/>
          <w:highlight w:val="none"/>
          <w:lang w:val="en-US" w:eastAsia="zh-CN" w:bidi="ar-SA"/>
        </w:rPr>
        <w:t>提供近三年（2022 年、2023年、2024年）经审计机构审计的审计报告及财务报表（包括资产负债表、现金流量表、利润表等有效的财务报表)。成立不满 三年的企业提供成立至今经审计机构审计的审计报告及财务报表。成立时间不足 1 年的企业可提供自投标文件提交截止时间前三个月内开户银行出具的资信证明或资金存款证明；因国家相关保密规定不方便提供财务状况信息材料的，提供相关保密规定的证明材料及说明。（财务报表须真实完整且符合《中华人民共和国会计法》相关规定）。</w:t>
      </w:r>
    </w:p>
    <w:p w14:paraId="610467B5">
      <w:pPr>
        <w:keepNext w:val="0"/>
        <w:keepLines w:val="0"/>
        <w:pageBreakBefore w:val="0"/>
        <w:widowControl w:val="0"/>
        <w:numPr>
          <w:ilvl w:val="0"/>
          <w:numId w:val="0"/>
        </w:numPr>
        <w:kinsoku/>
        <w:wordWrap/>
        <w:overflowPunct/>
        <w:topLinePunct w:val="0"/>
        <w:autoSpaceDE/>
        <w:autoSpaceDN/>
        <w:bidi w:val="0"/>
        <w:adjustRightInd/>
        <w:snapToGrid/>
        <w:spacing w:before="91" w:line="360" w:lineRule="auto"/>
        <w:ind w:right="80" w:rightChars="0"/>
        <w:textAlignment w:val="auto"/>
        <w:rPr>
          <w:rFonts w:hint="eastAsia" w:asciiTheme="minorEastAsia" w:hAnsiTheme="minorEastAsia" w:eastAsiaTheme="minorEastAsia" w:cstheme="minorEastAsia"/>
          <w:color w:val="000000"/>
          <w:kern w:val="0"/>
          <w:sz w:val="21"/>
          <w:szCs w:val="21"/>
          <w:highlight w:val="none"/>
          <w:lang w:val="en-US" w:eastAsia="zh-CN"/>
        </w:rPr>
      </w:pPr>
      <w:r>
        <w:rPr>
          <w:rFonts w:hint="eastAsia" w:asciiTheme="minorEastAsia" w:hAnsiTheme="minorEastAsia" w:eastAsiaTheme="minorEastAsia" w:cstheme="minorEastAsia"/>
          <w:color w:val="000000"/>
          <w:kern w:val="0"/>
          <w:sz w:val="21"/>
          <w:szCs w:val="21"/>
          <w:highlight w:val="none"/>
          <w:lang w:val="en-US" w:eastAsia="zh-CN"/>
        </w:rPr>
        <w:t>4.4.其他要求：</w:t>
      </w:r>
    </w:p>
    <w:p w14:paraId="357B872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420" w:firstLineChars="200"/>
        <w:textAlignment w:val="auto"/>
        <w:rPr>
          <w:rFonts w:hint="eastAsia" w:asciiTheme="minorEastAsia" w:hAnsiTheme="minorEastAsia" w:eastAsiaTheme="minorEastAsia" w:cstheme="minorEastAsia"/>
          <w:color w:val="000000"/>
          <w:kern w:val="0"/>
          <w:sz w:val="21"/>
          <w:szCs w:val="21"/>
          <w:highlight w:val="none"/>
          <w:lang w:val="en-US" w:eastAsia="zh-CN"/>
        </w:rPr>
      </w:pPr>
      <w:r>
        <w:rPr>
          <w:rFonts w:hint="eastAsia" w:asciiTheme="minorEastAsia" w:hAnsiTheme="minorEastAsia" w:eastAsiaTheme="minorEastAsia" w:cstheme="minorEastAsia"/>
          <w:color w:val="000000"/>
          <w:kern w:val="0"/>
          <w:sz w:val="21"/>
          <w:szCs w:val="21"/>
          <w:highlight w:val="none"/>
          <w:lang w:val="en-US" w:eastAsia="zh-CN"/>
        </w:rPr>
        <w:t>（1）廉洁自律承诺。</w:t>
      </w:r>
    </w:p>
    <w:p w14:paraId="649F0F7B">
      <w:pPr>
        <w:keepNext w:val="0"/>
        <w:keepLines w:val="0"/>
        <w:pageBreakBefore w:val="0"/>
        <w:widowControl w:val="0"/>
        <w:numPr>
          <w:ilvl w:val="0"/>
          <w:numId w:val="0"/>
        </w:numPr>
        <w:kinsoku/>
        <w:wordWrap/>
        <w:overflowPunct/>
        <w:topLinePunct w:val="0"/>
        <w:autoSpaceDE/>
        <w:autoSpaceDN/>
        <w:bidi w:val="0"/>
        <w:adjustRightInd/>
        <w:snapToGrid/>
        <w:spacing w:before="91" w:line="360" w:lineRule="auto"/>
        <w:ind w:right="80" w:rightChars="0" w:firstLine="420" w:firstLineChars="200"/>
        <w:textAlignment w:val="auto"/>
        <w:rPr>
          <w:rFonts w:hint="eastAsia" w:asciiTheme="minorEastAsia" w:hAnsiTheme="minorEastAsia" w:eastAsiaTheme="minorEastAsia" w:cstheme="minorEastAsia"/>
          <w:color w:val="000000"/>
          <w:kern w:val="0"/>
          <w:sz w:val="21"/>
          <w:szCs w:val="21"/>
          <w:highlight w:val="red"/>
          <w:lang w:val="en-US" w:eastAsia="zh-CN"/>
        </w:rPr>
      </w:pPr>
      <w:r>
        <w:rPr>
          <w:rFonts w:hint="eastAsia" w:asciiTheme="minorEastAsia" w:hAnsiTheme="minorEastAsia" w:eastAsiaTheme="minorEastAsia" w:cstheme="minorEastAsia"/>
          <w:color w:val="000000"/>
          <w:kern w:val="0"/>
          <w:sz w:val="21"/>
          <w:szCs w:val="21"/>
          <w:highlight w:val="none"/>
          <w:lang w:val="en-US" w:eastAsia="zh-CN"/>
        </w:rPr>
        <w:t>（2）人员配备满足本工程的需要，拟派往本项目的项目负责人及其他主要管理人员无特殊情况不得更改,并出具承诺。</w:t>
      </w:r>
    </w:p>
    <w:p w14:paraId="412E0C0E">
      <w:pPr>
        <w:pageBreakBefore w:val="0"/>
        <w:kinsoku/>
        <w:wordWrap/>
        <w:topLinePunct w:val="0"/>
        <w:bidi w:val="0"/>
        <w:spacing w:line="360" w:lineRule="auto"/>
        <w:ind w:firstLine="420" w:firstLineChars="200"/>
        <w:jc w:val="left"/>
        <w:textAlignment w:val="auto"/>
        <w:rPr>
          <w:rFonts w:hint="eastAsia" w:asciiTheme="minorEastAsia" w:hAnsiTheme="minorEastAsia" w:eastAsiaTheme="minorEastAsia" w:cstheme="minorEastAsia"/>
          <w:color w:val="000000"/>
          <w:kern w:val="0"/>
          <w:sz w:val="21"/>
          <w:szCs w:val="21"/>
          <w:highlight w:val="none"/>
          <w:lang w:val="en-US" w:eastAsia="zh-CN" w:bidi="ar-SA"/>
        </w:rPr>
      </w:pPr>
      <w:r>
        <w:rPr>
          <w:rFonts w:hint="eastAsia" w:asciiTheme="minorEastAsia" w:hAnsiTheme="minorEastAsia" w:eastAsiaTheme="minorEastAsia" w:cstheme="minorEastAsia"/>
          <w:color w:val="000000"/>
          <w:kern w:val="0"/>
          <w:sz w:val="21"/>
          <w:szCs w:val="21"/>
          <w:highlight w:val="none"/>
          <w:lang w:val="en-US" w:eastAsia="zh-CN" w:bidi="ar-SA"/>
        </w:rPr>
        <w:t>（3）投标人出具所提供的证件、证明材料等的真实性、有效性、合法性承担法律责任的承诺。</w:t>
      </w:r>
    </w:p>
    <w:p w14:paraId="62CE4321">
      <w:pPr>
        <w:pageBreakBefore w:val="0"/>
        <w:kinsoku/>
        <w:wordWrap/>
        <w:topLinePunct w:val="0"/>
        <w:bidi w:val="0"/>
        <w:spacing w:line="360" w:lineRule="auto"/>
        <w:ind w:firstLine="420" w:firstLineChars="200"/>
        <w:jc w:val="left"/>
        <w:textAlignment w:val="auto"/>
        <w:rPr>
          <w:rFonts w:hint="eastAsia" w:asciiTheme="minorEastAsia" w:hAnsiTheme="minorEastAsia" w:eastAsiaTheme="minorEastAsia" w:cstheme="minorEastAsia"/>
          <w:color w:val="000000"/>
          <w:kern w:val="0"/>
          <w:sz w:val="21"/>
          <w:szCs w:val="21"/>
          <w:u w:val="none"/>
        </w:rPr>
      </w:pPr>
      <w:r>
        <w:rPr>
          <w:rFonts w:hint="eastAsia" w:asciiTheme="minorEastAsia" w:hAnsiTheme="minorEastAsia" w:eastAsiaTheme="minorEastAsia" w:cstheme="minorEastAsia"/>
          <w:color w:val="000000"/>
          <w:kern w:val="0"/>
          <w:sz w:val="21"/>
          <w:szCs w:val="21"/>
          <w:highlight w:val="none"/>
          <w:lang w:val="en-US" w:eastAsia="zh-CN" w:bidi="ar-SA"/>
        </w:rPr>
        <w:t>（4）</w:t>
      </w:r>
      <w:r>
        <w:rPr>
          <w:rFonts w:hint="eastAsia" w:asciiTheme="minorEastAsia" w:hAnsiTheme="minorEastAsia" w:eastAsiaTheme="minorEastAsia" w:cstheme="minorEastAsia"/>
          <w:color w:val="000000"/>
          <w:kern w:val="0"/>
          <w:sz w:val="21"/>
          <w:szCs w:val="21"/>
          <w:highlight w:val="none"/>
          <w:lang w:val="en-US" w:eastAsia="zh-CN" w:bidi="ar-SA"/>
        </w:rPr>
        <w:fldChar w:fldCharType="end"/>
      </w:r>
      <w:r>
        <w:rPr>
          <w:rFonts w:hint="eastAsia" w:asciiTheme="minorEastAsia" w:hAnsiTheme="minorEastAsia" w:eastAsiaTheme="minorEastAsia" w:cstheme="minorEastAsia"/>
          <w:color w:val="000000"/>
          <w:kern w:val="0"/>
          <w:sz w:val="21"/>
          <w:szCs w:val="21"/>
          <w:highlight w:val="none"/>
          <w:lang w:val="en-US" w:eastAsia="zh-CN" w:bidi="ar-SA"/>
        </w:rPr>
        <w:t>投标人须按月足额支付农民工工资和项目实行人工费与其他工程款分账管理；投标人须根据《云南省人民政府办公厅关于进一步构</w:t>
      </w:r>
      <w:r>
        <w:rPr>
          <w:rFonts w:hint="eastAsia" w:asciiTheme="minorEastAsia" w:hAnsiTheme="minorEastAsia" w:eastAsiaTheme="minorEastAsia" w:cstheme="minorEastAsia"/>
          <w:color w:val="000000"/>
          <w:kern w:val="0"/>
          <w:sz w:val="21"/>
          <w:szCs w:val="21"/>
          <w:u w:val="none"/>
          <w:lang w:val="en-US" w:eastAsia="zh-CN"/>
        </w:rPr>
        <w:t>建解决农民工工资拖欠长效机制的若干意见》（云政办发（2017）60 号），在投标文件中提供：在项目实施过程中按月足额支付农民工工资和项目实行人工费与其他工程款分账管理的承诺</w:t>
      </w:r>
      <w:r>
        <w:rPr>
          <w:rFonts w:hint="eastAsia" w:asciiTheme="minorEastAsia" w:hAnsiTheme="minorEastAsia" w:eastAsiaTheme="minorEastAsia" w:cstheme="minorEastAsia"/>
          <w:color w:val="000000"/>
          <w:kern w:val="0"/>
          <w:sz w:val="21"/>
          <w:szCs w:val="21"/>
          <w:u w:val="none"/>
        </w:rPr>
        <w:t>。</w:t>
      </w:r>
    </w:p>
    <w:p w14:paraId="6A8FA268">
      <w:pPr>
        <w:pStyle w:val="7"/>
        <w:pageBreakBefore w:val="0"/>
        <w:kinsoku/>
        <w:wordWrap/>
        <w:topLinePunct w:val="0"/>
        <w:bidi w:val="0"/>
        <w:spacing w:line="560" w:lineRule="exac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rPr>
        <w:t>5.招标文件的获取</w:t>
      </w:r>
    </w:p>
    <w:p w14:paraId="02823598">
      <w:pPr>
        <w:pageBreakBefore w:val="0"/>
        <w:kinsoku/>
        <w:wordWrap/>
        <w:overflowPunct w:val="0"/>
        <w:topLinePunct w:val="0"/>
        <w:bidi w:val="0"/>
        <w:spacing w:line="560" w:lineRule="exact"/>
        <w:ind w:firstLine="315" w:firstLineChars="15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rPr>
        <w:t>5.1</w:t>
      </w:r>
      <w:r>
        <w:rPr>
          <w:rFonts w:hint="eastAsia" w:asciiTheme="minorEastAsia" w:hAnsiTheme="minorEastAsia" w:eastAsiaTheme="minorEastAsia" w:cstheme="minorEastAsia"/>
          <w:color w:val="000000"/>
          <w:sz w:val="21"/>
          <w:szCs w:val="21"/>
        </w:rPr>
        <w:t>投标人必须进行网上获取，步骤：</w:t>
      </w:r>
    </w:p>
    <w:p w14:paraId="1FD6BDD8">
      <w:pPr>
        <w:pageBreakBefore w:val="0"/>
        <w:kinsoku/>
        <w:wordWrap/>
        <w:overflowPunct w:val="0"/>
        <w:topLinePunct w:val="0"/>
        <w:bidi w:val="0"/>
        <w:spacing w:line="560" w:lineRule="exact"/>
        <w:ind w:firstLine="315" w:firstLineChars="15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①凭借企业数字证书（CA）登录云南省公共资源交易平台（网址：https://ggzy.yn.gov.cn/#/homePage）进行网上获取。</w:t>
      </w:r>
    </w:p>
    <w:p w14:paraId="14262826">
      <w:pPr>
        <w:pageBreakBefore w:val="0"/>
        <w:kinsoku/>
        <w:wordWrap/>
        <w:overflowPunct w:val="0"/>
        <w:topLinePunct w:val="0"/>
        <w:bidi w:val="0"/>
        <w:spacing w:line="560" w:lineRule="exact"/>
        <w:ind w:firstLine="315" w:firstLineChars="15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②网上</w:t>
      </w:r>
      <w:r>
        <w:rPr>
          <w:rFonts w:hint="eastAsia" w:asciiTheme="minorEastAsia" w:hAnsiTheme="minorEastAsia" w:eastAsiaTheme="minorEastAsia" w:cstheme="minorEastAsia"/>
          <w:color w:val="000000"/>
          <w:sz w:val="21"/>
          <w:szCs w:val="21"/>
          <w:lang w:val="en-US" w:eastAsia="zh-CN"/>
        </w:rPr>
        <w:t>获取</w:t>
      </w:r>
      <w:r>
        <w:rPr>
          <w:rFonts w:hint="eastAsia" w:asciiTheme="minorEastAsia" w:hAnsiTheme="minorEastAsia" w:eastAsiaTheme="minorEastAsia" w:cstheme="minorEastAsia"/>
          <w:color w:val="000000"/>
          <w:sz w:val="21"/>
          <w:szCs w:val="21"/>
        </w:rPr>
        <w:t>时间：</w:t>
      </w:r>
      <w:r>
        <w:rPr>
          <w:rFonts w:hint="eastAsia" w:asciiTheme="minorEastAsia" w:hAnsiTheme="minorEastAsia" w:eastAsiaTheme="minorEastAsia" w:cstheme="minorEastAsia"/>
          <w:b/>
          <w:color w:val="000000"/>
          <w:sz w:val="21"/>
          <w:szCs w:val="21"/>
          <w:highlight w:val="none"/>
          <w:u w:val="single"/>
        </w:rPr>
        <w:t>202</w:t>
      </w:r>
      <w:r>
        <w:rPr>
          <w:rFonts w:hint="eastAsia" w:asciiTheme="minorEastAsia" w:hAnsiTheme="minorEastAsia" w:eastAsiaTheme="minorEastAsia" w:cstheme="minorEastAsia"/>
          <w:b/>
          <w:color w:val="000000"/>
          <w:sz w:val="21"/>
          <w:szCs w:val="21"/>
          <w:highlight w:val="none"/>
          <w:u w:val="single"/>
          <w:lang w:val="en-US" w:eastAsia="zh-CN"/>
        </w:rPr>
        <w:t>6</w:t>
      </w:r>
      <w:r>
        <w:rPr>
          <w:rFonts w:hint="eastAsia" w:asciiTheme="minorEastAsia" w:hAnsiTheme="minorEastAsia" w:eastAsiaTheme="minorEastAsia" w:cstheme="minorEastAsia"/>
          <w:b/>
          <w:color w:val="000000"/>
          <w:sz w:val="21"/>
          <w:szCs w:val="21"/>
          <w:highlight w:val="none"/>
          <w:u w:val="single"/>
        </w:rPr>
        <w:t>年</w:t>
      </w:r>
      <w:r>
        <w:rPr>
          <w:rFonts w:hint="eastAsia" w:asciiTheme="minorEastAsia" w:hAnsiTheme="minorEastAsia" w:eastAsiaTheme="minorEastAsia" w:cstheme="minorEastAsia"/>
          <w:b/>
          <w:color w:val="000000"/>
          <w:sz w:val="21"/>
          <w:szCs w:val="21"/>
          <w:highlight w:val="none"/>
          <w:u w:val="single"/>
          <w:lang w:val="en-US" w:eastAsia="zh-CN"/>
        </w:rPr>
        <w:t xml:space="preserve">  </w:t>
      </w:r>
      <w:r>
        <w:rPr>
          <w:rFonts w:hint="eastAsia" w:asciiTheme="minorEastAsia" w:hAnsiTheme="minorEastAsia" w:eastAsiaTheme="minorEastAsia" w:cstheme="minorEastAsia"/>
          <w:b/>
          <w:color w:val="000000"/>
          <w:sz w:val="21"/>
          <w:szCs w:val="21"/>
          <w:highlight w:val="none"/>
          <w:u w:val="single"/>
        </w:rPr>
        <w:t>月</w:t>
      </w:r>
      <w:r>
        <w:rPr>
          <w:rFonts w:hint="eastAsia" w:asciiTheme="minorEastAsia" w:hAnsiTheme="minorEastAsia" w:eastAsiaTheme="minorEastAsia" w:cstheme="minorEastAsia"/>
          <w:b/>
          <w:color w:val="000000"/>
          <w:sz w:val="21"/>
          <w:szCs w:val="21"/>
          <w:highlight w:val="none"/>
          <w:u w:val="single"/>
          <w:lang w:val="en-US" w:eastAsia="zh-CN"/>
        </w:rPr>
        <w:t xml:space="preserve">  </w:t>
      </w:r>
      <w:r>
        <w:rPr>
          <w:rFonts w:hint="eastAsia" w:asciiTheme="minorEastAsia" w:hAnsiTheme="minorEastAsia" w:eastAsiaTheme="minorEastAsia" w:cstheme="minorEastAsia"/>
          <w:b/>
          <w:color w:val="000000"/>
          <w:sz w:val="21"/>
          <w:szCs w:val="21"/>
          <w:highlight w:val="none"/>
          <w:u w:val="single"/>
        </w:rPr>
        <w:t>日9时00分至202</w:t>
      </w:r>
      <w:r>
        <w:rPr>
          <w:rFonts w:hint="eastAsia" w:asciiTheme="minorEastAsia" w:hAnsiTheme="minorEastAsia" w:eastAsiaTheme="minorEastAsia" w:cstheme="minorEastAsia"/>
          <w:b/>
          <w:color w:val="000000"/>
          <w:sz w:val="21"/>
          <w:szCs w:val="21"/>
          <w:highlight w:val="none"/>
          <w:u w:val="single"/>
          <w:lang w:val="en-US" w:eastAsia="zh-CN"/>
        </w:rPr>
        <w:t>6</w:t>
      </w:r>
      <w:r>
        <w:rPr>
          <w:rFonts w:hint="eastAsia" w:asciiTheme="minorEastAsia" w:hAnsiTheme="minorEastAsia" w:eastAsiaTheme="minorEastAsia" w:cstheme="minorEastAsia"/>
          <w:b/>
          <w:color w:val="000000"/>
          <w:sz w:val="21"/>
          <w:szCs w:val="21"/>
          <w:highlight w:val="none"/>
          <w:u w:val="single"/>
        </w:rPr>
        <w:t>年</w:t>
      </w:r>
      <w:r>
        <w:rPr>
          <w:rFonts w:hint="eastAsia" w:asciiTheme="minorEastAsia" w:hAnsiTheme="minorEastAsia" w:eastAsiaTheme="minorEastAsia" w:cstheme="minorEastAsia"/>
          <w:b/>
          <w:color w:val="000000"/>
          <w:sz w:val="21"/>
          <w:szCs w:val="21"/>
          <w:highlight w:val="none"/>
          <w:u w:val="single"/>
          <w:lang w:val="en-US" w:eastAsia="zh-CN"/>
        </w:rPr>
        <w:t xml:space="preserve">   </w:t>
      </w:r>
      <w:r>
        <w:rPr>
          <w:rFonts w:hint="eastAsia" w:asciiTheme="minorEastAsia" w:hAnsiTheme="minorEastAsia" w:eastAsiaTheme="minorEastAsia" w:cstheme="minorEastAsia"/>
          <w:b/>
          <w:color w:val="000000"/>
          <w:sz w:val="21"/>
          <w:szCs w:val="21"/>
          <w:highlight w:val="none"/>
          <w:u w:val="single"/>
        </w:rPr>
        <w:t>月</w:t>
      </w:r>
      <w:r>
        <w:rPr>
          <w:rFonts w:hint="eastAsia" w:asciiTheme="minorEastAsia" w:hAnsiTheme="minorEastAsia" w:eastAsiaTheme="minorEastAsia" w:cstheme="minorEastAsia"/>
          <w:b/>
          <w:color w:val="000000"/>
          <w:sz w:val="21"/>
          <w:szCs w:val="21"/>
          <w:highlight w:val="none"/>
          <w:u w:val="single"/>
          <w:lang w:val="en-US" w:eastAsia="zh-CN"/>
        </w:rPr>
        <w:t xml:space="preserve">   </w:t>
      </w:r>
      <w:r>
        <w:rPr>
          <w:rFonts w:hint="eastAsia" w:asciiTheme="minorEastAsia" w:hAnsiTheme="minorEastAsia" w:eastAsiaTheme="minorEastAsia" w:cstheme="minorEastAsia"/>
          <w:b/>
          <w:color w:val="000000"/>
          <w:sz w:val="21"/>
          <w:szCs w:val="21"/>
          <w:highlight w:val="none"/>
          <w:u w:val="single"/>
        </w:rPr>
        <w:t>日17时00分</w:t>
      </w:r>
      <w:r>
        <w:rPr>
          <w:rFonts w:hint="eastAsia" w:asciiTheme="minorEastAsia" w:hAnsiTheme="minorEastAsia" w:eastAsiaTheme="minorEastAsia" w:cstheme="minorEastAsia"/>
          <w:color w:val="000000"/>
          <w:sz w:val="21"/>
          <w:szCs w:val="21"/>
        </w:rPr>
        <w:t>（北京时间）网上</w:t>
      </w:r>
      <w:r>
        <w:rPr>
          <w:rFonts w:hint="eastAsia" w:asciiTheme="minorEastAsia" w:hAnsiTheme="minorEastAsia" w:eastAsiaTheme="minorEastAsia" w:cstheme="minorEastAsia"/>
          <w:color w:val="000000"/>
          <w:sz w:val="21"/>
          <w:szCs w:val="21"/>
          <w:lang w:val="en-US" w:eastAsia="zh-CN"/>
        </w:rPr>
        <w:t>获取</w:t>
      </w:r>
      <w:r>
        <w:rPr>
          <w:rFonts w:hint="eastAsia" w:asciiTheme="minorEastAsia" w:hAnsiTheme="minorEastAsia" w:eastAsiaTheme="minorEastAsia" w:cstheme="minorEastAsia"/>
          <w:color w:val="000000"/>
          <w:sz w:val="21"/>
          <w:szCs w:val="21"/>
        </w:rPr>
        <w:t>起止时间内任意时间段均可获取。</w:t>
      </w:r>
    </w:p>
    <w:p w14:paraId="6390D528">
      <w:pPr>
        <w:pageBreakBefore w:val="0"/>
        <w:kinsoku/>
        <w:wordWrap/>
        <w:overflowPunct w:val="0"/>
        <w:topLinePunct w:val="0"/>
        <w:bidi w:val="0"/>
        <w:spacing w:line="560" w:lineRule="exact"/>
        <w:ind w:firstLine="315" w:firstLineChars="15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5.2登录云南省公共资源交易平台（网址：https://ggzy.yn.gov.cn/#/homePage），凭企业数字证书（CA）在网上获取电子招标文件及其它资料；未办理企业数字证书（CA）的企业需要按照云南省公共资源交易电子认证的要求，办理企业数字证书（CA），并在云南省公共资源交易平台完成注册通过后，便可获取招标文件，此为获取招标文件的唯一途径。</w:t>
      </w:r>
    </w:p>
    <w:p w14:paraId="55690A93">
      <w:pPr>
        <w:pStyle w:val="7"/>
        <w:pageBreakBefore w:val="0"/>
        <w:kinsoku/>
        <w:wordWrap/>
        <w:topLinePunct w:val="0"/>
        <w:bidi w:val="0"/>
        <w:spacing w:line="560" w:lineRule="exac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rPr>
        <w:t>6.投标文件的上传</w:t>
      </w:r>
    </w:p>
    <w:p w14:paraId="0C19A217">
      <w:pPr>
        <w:pStyle w:val="7"/>
        <w:pageBreakBefore w:val="0"/>
        <w:kinsoku/>
        <w:wordWrap/>
        <w:topLinePunct w:val="0"/>
        <w:bidi w:val="0"/>
        <w:spacing w:line="560" w:lineRule="exac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6.1投标文件上传的截止时间（投标截止时间，下同）以网上公告时间为准。</w:t>
      </w:r>
    </w:p>
    <w:p w14:paraId="411955E0">
      <w:pPr>
        <w:pStyle w:val="7"/>
        <w:pageBreakBefore w:val="0"/>
        <w:kinsoku/>
        <w:wordWrap/>
        <w:topLinePunct w:val="0"/>
        <w:bidi w:val="0"/>
        <w:spacing w:line="560" w:lineRule="exac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6.2网上上传：网上上传网址为“云南省公共资源交易信息网（网址：https://ggzy.yn.gov.cn/#/homePage）”，投标人须在投标截止时间前完成所有投标文件的上传。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467B29DD">
      <w:pPr>
        <w:pStyle w:val="7"/>
        <w:pageBreakBefore w:val="0"/>
        <w:kinsoku/>
        <w:wordWrap/>
        <w:topLinePunct w:val="0"/>
        <w:bidi w:val="0"/>
        <w:spacing w:line="560" w:lineRule="exac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6.3其他要求：</w:t>
      </w:r>
    </w:p>
    <w:p w14:paraId="30C10CEF">
      <w:pPr>
        <w:pStyle w:val="7"/>
        <w:pageBreakBefore w:val="0"/>
        <w:kinsoku/>
        <w:wordWrap/>
        <w:topLinePunct w:val="0"/>
        <w:bidi w:val="0"/>
        <w:spacing w:line="560" w:lineRule="exact"/>
        <w:ind w:firstLine="420" w:firstLineChars="200"/>
        <w:textAlignment w:val="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color w:val="000000"/>
          <w:sz w:val="21"/>
          <w:szCs w:val="21"/>
        </w:rPr>
        <w:t>投标文件递交截止时间及地点：截止时间</w:t>
      </w:r>
      <w:r>
        <w:rPr>
          <w:rFonts w:hint="eastAsia" w:asciiTheme="minorEastAsia" w:hAnsiTheme="minorEastAsia" w:eastAsiaTheme="minorEastAsia" w:cstheme="minorEastAsia"/>
          <w:b/>
          <w:bCs/>
          <w:color w:val="000000"/>
          <w:sz w:val="21"/>
          <w:szCs w:val="21"/>
          <w:highlight w:val="none"/>
          <w:u w:val="single"/>
        </w:rPr>
        <w:t>202</w:t>
      </w:r>
      <w:r>
        <w:rPr>
          <w:rFonts w:hint="eastAsia" w:asciiTheme="minorEastAsia" w:hAnsiTheme="minorEastAsia" w:eastAsiaTheme="minorEastAsia" w:cstheme="minorEastAsia"/>
          <w:b/>
          <w:bCs/>
          <w:color w:val="000000"/>
          <w:sz w:val="21"/>
          <w:szCs w:val="21"/>
          <w:highlight w:val="none"/>
          <w:u w:val="single"/>
          <w:lang w:val="en-US" w:eastAsia="zh-CN"/>
        </w:rPr>
        <w:t>6</w:t>
      </w:r>
      <w:r>
        <w:rPr>
          <w:rFonts w:hint="eastAsia" w:asciiTheme="minorEastAsia" w:hAnsiTheme="minorEastAsia" w:eastAsiaTheme="minorEastAsia" w:cstheme="minorEastAsia"/>
          <w:b/>
          <w:bCs/>
          <w:color w:val="000000"/>
          <w:sz w:val="21"/>
          <w:szCs w:val="21"/>
          <w:highlight w:val="none"/>
          <w:u w:val="single"/>
        </w:rPr>
        <w:t>年</w:t>
      </w:r>
      <w:r>
        <w:rPr>
          <w:rFonts w:hint="eastAsia" w:asciiTheme="minorEastAsia" w:hAnsiTheme="minorEastAsia" w:eastAsiaTheme="minorEastAsia" w:cstheme="minorEastAsia"/>
          <w:b/>
          <w:bCs/>
          <w:color w:val="000000"/>
          <w:sz w:val="21"/>
          <w:szCs w:val="21"/>
          <w:highlight w:val="none"/>
          <w:u w:val="single"/>
          <w:lang w:val="en-US" w:eastAsia="zh-CN"/>
        </w:rPr>
        <w:t xml:space="preserve">    </w:t>
      </w:r>
      <w:r>
        <w:rPr>
          <w:rFonts w:hint="eastAsia" w:asciiTheme="minorEastAsia" w:hAnsiTheme="minorEastAsia" w:eastAsiaTheme="minorEastAsia" w:cstheme="minorEastAsia"/>
          <w:b/>
          <w:bCs/>
          <w:color w:val="000000"/>
          <w:sz w:val="21"/>
          <w:szCs w:val="21"/>
          <w:highlight w:val="none"/>
          <w:u w:val="single"/>
        </w:rPr>
        <w:t>月</w:t>
      </w:r>
      <w:r>
        <w:rPr>
          <w:rFonts w:hint="eastAsia" w:asciiTheme="minorEastAsia" w:hAnsiTheme="minorEastAsia" w:eastAsiaTheme="minorEastAsia" w:cstheme="minorEastAsia"/>
          <w:b/>
          <w:bCs/>
          <w:color w:val="000000"/>
          <w:sz w:val="21"/>
          <w:szCs w:val="21"/>
          <w:highlight w:val="none"/>
          <w:u w:val="single"/>
          <w:lang w:val="en-US" w:eastAsia="zh-CN"/>
        </w:rPr>
        <w:t xml:space="preserve">   </w:t>
      </w:r>
      <w:r>
        <w:rPr>
          <w:rFonts w:hint="eastAsia" w:asciiTheme="minorEastAsia" w:hAnsiTheme="minorEastAsia" w:eastAsiaTheme="minorEastAsia" w:cstheme="minorEastAsia"/>
          <w:b/>
          <w:bCs/>
          <w:color w:val="000000"/>
          <w:sz w:val="21"/>
          <w:szCs w:val="21"/>
          <w:highlight w:val="none"/>
          <w:u w:val="single"/>
        </w:rPr>
        <w:t>日</w:t>
      </w:r>
      <w:r>
        <w:rPr>
          <w:rFonts w:hint="eastAsia" w:asciiTheme="minorEastAsia" w:hAnsiTheme="minorEastAsia" w:eastAsiaTheme="minorEastAsia" w:cstheme="minorEastAsia"/>
          <w:b/>
          <w:bCs/>
          <w:color w:val="000000"/>
          <w:sz w:val="21"/>
          <w:szCs w:val="21"/>
          <w:highlight w:val="none"/>
          <w:u w:val="single"/>
          <w:lang w:val="en-US" w:eastAsia="zh-CN"/>
        </w:rPr>
        <w:t xml:space="preserve"> 9</w:t>
      </w:r>
      <w:r>
        <w:rPr>
          <w:rFonts w:hint="eastAsia" w:asciiTheme="minorEastAsia" w:hAnsiTheme="minorEastAsia" w:eastAsiaTheme="minorEastAsia" w:cstheme="minorEastAsia"/>
          <w:b/>
          <w:bCs/>
          <w:color w:val="000000"/>
          <w:sz w:val="21"/>
          <w:szCs w:val="21"/>
          <w:highlight w:val="none"/>
          <w:u w:val="single"/>
        </w:rPr>
        <w:t>时00分</w:t>
      </w:r>
      <w:r>
        <w:rPr>
          <w:rFonts w:hint="eastAsia" w:asciiTheme="minorEastAsia" w:hAnsiTheme="minorEastAsia" w:eastAsiaTheme="minorEastAsia" w:cstheme="minorEastAsia"/>
          <w:color w:val="000000"/>
          <w:sz w:val="21"/>
          <w:szCs w:val="21"/>
        </w:rPr>
        <w:t>，投标人应于投标文件截止时间前网上递交投标文件。（</w:t>
      </w:r>
      <w:r>
        <w:rPr>
          <w:rFonts w:hint="eastAsia" w:asciiTheme="minorEastAsia" w:hAnsiTheme="minorEastAsia" w:eastAsiaTheme="minorEastAsia" w:cstheme="minorEastAsia"/>
          <w:color w:val="000000"/>
          <w:sz w:val="21"/>
          <w:szCs w:val="21"/>
        </w:rPr>
        <w:fldChar w:fldCharType="begin"/>
      </w:r>
      <w:r>
        <w:rPr>
          <w:rFonts w:hint="eastAsia" w:asciiTheme="minorEastAsia" w:hAnsiTheme="minorEastAsia" w:eastAsiaTheme="minorEastAsia" w:cstheme="minorEastAsia"/>
          <w:color w:val="000000"/>
          <w:sz w:val="21"/>
          <w:szCs w:val="21"/>
        </w:rPr>
        <w:instrText xml:space="preserve"> AUTOTEXT  input493 \* MERGEFORMAT </w:instrText>
      </w:r>
      <w:r>
        <w:rPr>
          <w:rFonts w:hint="eastAsia" w:asciiTheme="minorEastAsia" w:hAnsiTheme="minorEastAsia" w:eastAsiaTheme="minorEastAsia" w:cstheme="minorEastAsia"/>
          <w:color w:val="000000"/>
          <w:sz w:val="21"/>
          <w:szCs w:val="21"/>
        </w:rPr>
        <w:fldChar w:fldCharType="separate"/>
      </w:r>
      <w:r>
        <w:rPr>
          <w:rFonts w:hint="eastAsia" w:asciiTheme="minorEastAsia" w:hAnsiTheme="minorEastAsia" w:eastAsiaTheme="minorEastAsia" w:cstheme="minorEastAsia"/>
          <w:color w:val="000000"/>
          <w:spacing w:val="-6"/>
          <w:sz w:val="21"/>
          <w:szCs w:val="21"/>
        </w:rPr>
        <w:t>本项目开标方式采用网上智能开标</w:t>
      </w:r>
      <w:r>
        <w:rPr>
          <w:rFonts w:hint="eastAsia" w:asciiTheme="minorEastAsia" w:hAnsiTheme="minorEastAsia" w:eastAsiaTheme="minorEastAsia" w:cstheme="minorEastAsia"/>
          <w:color w:val="000000"/>
          <w:sz w:val="21"/>
          <w:szCs w:val="21"/>
        </w:rPr>
        <w:t>远程解密方式，投标人无需参与现场开标和解密投标文件，请各投标人自行查阅“云南省公共资源交易电子服务系统”关于网上智能开标解锁的相关教程）</w:t>
      </w:r>
      <w:r>
        <w:rPr>
          <w:rFonts w:hint="eastAsia" w:asciiTheme="minorEastAsia" w:hAnsiTheme="minorEastAsia" w:eastAsiaTheme="minorEastAsia" w:cstheme="minorEastAsia"/>
          <w:color w:val="000000"/>
          <w:sz w:val="21"/>
          <w:szCs w:val="21"/>
        </w:rPr>
        <w:fldChar w:fldCharType="end"/>
      </w:r>
      <w:r>
        <w:rPr>
          <w:rFonts w:hint="eastAsia" w:asciiTheme="minorEastAsia" w:hAnsiTheme="minorEastAsia" w:eastAsiaTheme="minorEastAsia" w:cstheme="minorEastAsia"/>
          <w:color w:val="000000"/>
          <w:sz w:val="21"/>
          <w:szCs w:val="21"/>
        </w:rPr>
        <w:t>。</w:t>
      </w:r>
    </w:p>
    <w:p w14:paraId="6E6A781F">
      <w:pPr>
        <w:pStyle w:val="7"/>
        <w:pageBreakBefore w:val="0"/>
        <w:kinsoku/>
        <w:wordWrap/>
        <w:topLinePunct w:val="0"/>
        <w:bidi w:val="0"/>
        <w:spacing w:line="560" w:lineRule="exact"/>
        <w:textAlignment w:val="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7.发布公告的媒介</w:t>
      </w:r>
    </w:p>
    <w:p w14:paraId="1621CBAF">
      <w:pPr>
        <w:pStyle w:val="7"/>
        <w:pageBreakBefore w:val="0"/>
        <w:kinsoku/>
        <w:wordWrap/>
        <w:topLinePunct w:val="0"/>
        <w:bidi w:val="0"/>
        <w:spacing w:line="240" w:lineRule="auto"/>
        <w:ind w:firstLine="420" w:firstLineChars="200"/>
        <w:jc w:val="left"/>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本次招标公告同时在“云南省公共资源交易信息网（网址：https://ggzy.yn.gov.cn/#/homePage）”及</w:t>
      </w:r>
      <w:r>
        <w:rPr>
          <w:rFonts w:hint="eastAsia" w:asciiTheme="minorEastAsia" w:hAnsiTheme="minorEastAsia" w:eastAsiaTheme="minorEastAsia" w:cstheme="minorEastAsia"/>
          <w:color w:val="000000"/>
          <w:sz w:val="21"/>
          <w:szCs w:val="21"/>
        </w:rPr>
        <w:fldChar w:fldCharType="begin"/>
      </w:r>
      <w:r>
        <w:rPr>
          <w:rFonts w:hint="eastAsia" w:asciiTheme="minorEastAsia" w:hAnsiTheme="minorEastAsia" w:eastAsiaTheme="minorEastAsia" w:cstheme="minorEastAsia"/>
          <w:color w:val="000000"/>
          <w:sz w:val="21"/>
          <w:szCs w:val="21"/>
        </w:rPr>
        <w:instrText xml:space="preserve"> AUTOTEXT  input22 \* MERGEFORMAT </w:instrText>
      </w:r>
      <w:r>
        <w:rPr>
          <w:rFonts w:hint="eastAsia" w:asciiTheme="minorEastAsia" w:hAnsiTheme="minorEastAsia" w:eastAsiaTheme="minorEastAsia" w:cstheme="minorEastAsia"/>
          <w:color w:val="000000"/>
          <w:sz w:val="21"/>
          <w:szCs w:val="21"/>
        </w:rPr>
        <w:fldChar w:fldCharType="separate"/>
      </w: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color w:val="000000"/>
          <w:sz w:val="21"/>
          <w:szCs w:val="21"/>
        </w:rPr>
        <w:fldChar w:fldCharType="end"/>
      </w:r>
      <w:r>
        <w:rPr>
          <w:rFonts w:hint="eastAsia" w:asciiTheme="minorEastAsia" w:hAnsiTheme="minorEastAsia" w:eastAsiaTheme="minorEastAsia" w:cstheme="minorEastAsia"/>
          <w:color w:val="000000"/>
          <w:sz w:val="21"/>
          <w:szCs w:val="21"/>
        </w:rPr>
        <w:t>（其他发布公告的媒介全称）上发布。</w:t>
      </w:r>
    </w:p>
    <w:p w14:paraId="5AF397FA">
      <w:pPr>
        <w:pageBreakBefore w:val="0"/>
        <w:kinsoku/>
        <w:wordWrap/>
        <w:topLinePunct w:val="0"/>
        <w:bidi w:val="0"/>
        <w:spacing w:line="560" w:lineRule="exact"/>
        <w:jc w:val="left"/>
        <w:textAlignment w:val="auto"/>
        <w:rPr>
          <w:rFonts w:hint="eastAsia" w:asciiTheme="minorEastAsia" w:hAnsiTheme="minorEastAsia" w:eastAsiaTheme="minorEastAsia" w:cstheme="minorEastAsia"/>
          <w:b/>
          <w:caps/>
          <w:color w:val="000000"/>
          <w:sz w:val="21"/>
          <w:szCs w:val="21"/>
        </w:rPr>
      </w:pPr>
      <w:r>
        <w:rPr>
          <w:rFonts w:hint="eastAsia" w:asciiTheme="minorEastAsia" w:hAnsiTheme="minorEastAsia" w:eastAsiaTheme="minorEastAsia" w:cstheme="minorEastAsia"/>
          <w:b/>
          <w:caps/>
          <w:color w:val="000000"/>
          <w:sz w:val="21"/>
          <w:szCs w:val="21"/>
          <w:lang w:val="en-US" w:eastAsia="zh-CN"/>
        </w:rPr>
        <w:t>8</w:t>
      </w:r>
      <w:r>
        <w:rPr>
          <w:rFonts w:hint="eastAsia" w:asciiTheme="minorEastAsia" w:hAnsiTheme="minorEastAsia" w:eastAsiaTheme="minorEastAsia" w:cstheme="minorEastAsia"/>
          <w:b/>
          <w:caps/>
          <w:color w:val="000000"/>
          <w:sz w:val="21"/>
          <w:szCs w:val="21"/>
        </w:rPr>
        <w:t>.联系方式</w:t>
      </w:r>
    </w:p>
    <w:p w14:paraId="6B5C053B">
      <w:pPr>
        <w:spacing w:line="480" w:lineRule="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招标人：会泽县迤车镇人民政府</w:t>
      </w:r>
    </w:p>
    <w:p w14:paraId="098FE45B">
      <w:pPr>
        <w:spacing w:line="480" w:lineRule="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地址：曲靖市会泽县迤车镇索桥社区</w:t>
      </w:r>
    </w:p>
    <w:p w14:paraId="6A0D513E">
      <w:pPr>
        <w:spacing w:line="480" w:lineRule="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联系人：李泓进</w:t>
      </w:r>
    </w:p>
    <w:p w14:paraId="212E8178">
      <w:pPr>
        <w:spacing w:line="480" w:lineRule="auto"/>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联系电话：18468181770</w:t>
      </w:r>
    </w:p>
    <w:p w14:paraId="012F08C0">
      <w:pPr>
        <w:rPr>
          <w:rFonts w:hint="eastAsia" w:asciiTheme="minorEastAsia" w:hAnsiTheme="minorEastAsia" w:eastAsiaTheme="minorEastAsia" w:cstheme="minorEastAsia"/>
          <w:color w:val="000000"/>
          <w:kern w:val="2"/>
          <w:sz w:val="21"/>
          <w:szCs w:val="21"/>
          <w:lang w:val="en-US" w:eastAsia="zh-CN" w:bidi="ar-SA"/>
        </w:rPr>
      </w:pPr>
    </w:p>
    <w:p w14:paraId="5CA9E491">
      <w:pPr>
        <w:spacing w:line="480" w:lineRule="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招标代理机构：曲靖领竣招标代理有限公司</w:t>
      </w:r>
    </w:p>
    <w:p w14:paraId="53BEB767">
      <w:pPr>
        <w:spacing w:line="480" w:lineRule="auto"/>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地址：曲靖市会泽县瑞祥路以北木府大道以西金塬木府书院居安生活馆2楼</w:t>
      </w:r>
    </w:p>
    <w:p w14:paraId="175BE057">
      <w:pPr>
        <w:spacing w:line="480" w:lineRule="auto"/>
        <w:rPr>
          <w:rFonts w:hint="default"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2"/>
          <w:sz w:val="21"/>
          <w:szCs w:val="21"/>
          <w:lang w:val="en-US" w:eastAsia="zh-CN" w:bidi="ar-SA"/>
        </w:rPr>
        <w:t>联系人：苟雨丹</w:t>
      </w:r>
    </w:p>
    <w:p w14:paraId="0E779DA8">
      <w:pPr>
        <w:spacing w:line="480" w:lineRule="auto"/>
        <w:rPr>
          <w:rFonts w:hint="eastAsia" w:ascii="宋体" w:hAnsi="宋体"/>
          <w:b/>
          <w:bCs/>
          <w:color w:val="000000" w:themeColor="text1"/>
          <w:kern w:val="0"/>
          <w:sz w:val="28"/>
          <w:szCs w:val="28"/>
          <w:lang w:val="en-US" w:eastAsia="zh-CN"/>
          <w14:textFill>
            <w14:solidFill>
              <w14:schemeClr w14:val="tx1"/>
            </w14:solidFill>
          </w14:textFill>
        </w:rPr>
      </w:pPr>
      <w:r>
        <w:rPr>
          <w:rFonts w:hint="eastAsia" w:asciiTheme="minorEastAsia" w:hAnsiTheme="minorEastAsia" w:eastAsiaTheme="minorEastAsia" w:cstheme="minorEastAsia"/>
          <w:color w:val="000000"/>
          <w:kern w:val="2"/>
          <w:sz w:val="21"/>
          <w:szCs w:val="21"/>
          <w:lang w:val="en-US" w:eastAsia="zh-CN" w:bidi="ar-SA"/>
        </w:rPr>
        <w:t>联系电话：18987413356</w:t>
      </w:r>
    </w:p>
    <w:p w14:paraId="6FCA0121">
      <w:pPr>
        <w:rPr>
          <w:rFonts w:hint="eastAsia" w:ascii="宋体" w:hAnsi="宋体"/>
          <w:b/>
          <w:bCs/>
          <w:color w:val="000000" w:themeColor="text1"/>
          <w:kern w:val="0"/>
          <w:sz w:val="28"/>
          <w:szCs w:val="28"/>
          <w:lang w:val="en-US" w:eastAsia="zh-CN"/>
          <w14:textFill>
            <w14:solidFill>
              <w14:schemeClr w14:val="tx1"/>
            </w14:solidFill>
          </w14:textFill>
        </w:rPr>
      </w:pPr>
    </w:p>
    <w:p w14:paraId="34796D44">
      <w:pPr>
        <w:adjustRightInd w:val="0"/>
        <w:snapToGrid w:val="0"/>
        <w:spacing w:line="360" w:lineRule="auto"/>
        <w:jc w:val="center"/>
        <w:outlineLvl w:val="2"/>
        <w:rPr>
          <w:rFonts w:ascii="宋体" w:hAnsi="宋体"/>
          <w:b/>
          <w:bCs/>
          <w:color w:val="000000" w:themeColor="text1"/>
          <w:kern w:val="0"/>
          <w:sz w:val="28"/>
          <w:szCs w:val="28"/>
          <w14:textFill>
            <w14:solidFill>
              <w14:schemeClr w14:val="tx1"/>
            </w14:solidFill>
          </w14:textFill>
        </w:rPr>
      </w:pPr>
      <w:r>
        <w:rPr>
          <w:rFonts w:hint="eastAsia" w:ascii="宋体" w:hAnsi="宋体"/>
          <w:b/>
          <w:bCs/>
          <w:color w:val="000000" w:themeColor="text1"/>
          <w:kern w:val="0"/>
          <w:sz w:val="28"/>
          <w:szCs w:val="28"/>
          <w:lang w:val="en-US" w:eastAsia="zh-CN"/>
          <w14:textFill>
            <w14:solidFill>
              <w14:schemeClr w14:val="tx1"/>
            </w14:solidFill>
          </w14:textFill>
        </w:rPr>
        <w:t>二</w:t>
      </w:r>
      <w:r>
        <w:rPr>
          <w:rFonts w:hint="eastAsia" w:ascii="宋体" w:hAnsi="宋体"/>
          <w:b/>
          <w:bCs/>
          <w:color w:val="000000" w:themeColor="text1"/>
          <w:kern w:val="0"/>
          <w:sz w:val="28"/>
          <w:szCs w:val="28"/>
          <w14:textFill>
            <w14:solidFill>
              <w14:schemeClr w14:val="tx1"/>
            </w14:solidFill>
          </w14:textFill>
        </w:rPr>
        <w:t>、</w:t>
      </w:r>
      <w:r>
        <w:rPr>
          <w:rFonts w:ascii="宋体" w:hAnsi="宋体"/>
          <w:b/>
          <w:bCs/>
          <w:color w:val="000000" w:themeColor="text1"/>
          <w:kern w:val="0"/>
          <w:sz w:val="28"/>
          <w:szCs w:val="28"/>
          <w14:textFill>
            <w14:solidFill>
              <w14:schemeClr w14:val="tx1"/>
            </w14:solidFill>
          </w14:textFill>
        </w:rPr>
        <w:t>投标人须知前附表</w:t>
      </w:r>
      <w:bookmarkEnd w:id="5"/>
    </w:p>
    <w:tbl>
      <w:tblPr>
        <w:tblStyle w:val="23"/>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046"/>
        <w:gridCol w:w="6471"/>
      </w:tblGrid>
      <w:tr w14:paraId="14DB7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93" w:type="dxa"/>
            <w:tcBorders>
              <w:top w:val="single" w:color="auto" w:sz="12" w:space="0"/>
              <w:left w:val="single" w:color="auto" w:sz="12" w:space="0"/>
              <w:bottom w:val="outset" w:color="auto" w:sz="6" w:space="0"/>
              <w:right w:val="outset" w:color="auto" w:sz="6" w:space="0"/>
            </w:tcBorders>
            <w:vAlign w:val="center"/>
          </w:tcPr>
          <w:p w14:paraId="64C8B350">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条款号</w:t>
            </w:r>
          </w:p>
        </w:tc>
        <w:tc>
          <w:tcPr>
            <w:tcW w:w="2046" w:type="dxa"/>
            <w:tcBorders>
              <w:top w:val="single" w:color="auto" w:sz="12" w:space="0"/>
              <w:left w:val="outset" w:color="auto" w:sz="6" w:space="0"/>
              <w:bottom w:val="outset" w:color="auto" w:sz="6" w:space="0"/>
              <w:right w:val="outset" w:color="auto" w:sz="6" w:space="0"/>
            </w:tcBorders>
            <w:vAlign w:val="center"/>
          </w:tcPr>
          <w:p w14:paraId="4082534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条款名称</w:t>
            </w:r>
          </w:p>
        </w:tc>
        <w:tc>
          <w:tcPr>
            <w:tcW w:w="6471" w:type="dxa"/>
            <w:tcBorders>
              <w:top w:val="single" w:color="auto" w:sz="12" w:space="0"/>
              <w:left w:val="outset" w:color="auto" w:sz="6" w:space="0"/>
              <w:bottom w:val="outset" w:color="auto" w:sz="6" w:space="0"/>
              <w:right w:val="single" w:color="auto" w:sz="12" w:space="0"/>
            </w:tcBorders>
            <w:vAlign w:val="center"/>
          </w:tcPr>
          <w:p w14:paraId="7A59AD2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编列内容</w:t>
            </w:r>
          </w:p>
        </w:tc>
      </w:tr>
      <w:tr w14:paraId="46387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3BD7AE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1.1.2</w:t>
            </w:r>
          </w:p>
        </w:tc>
        <w:tc>
          <w:tcPr>
            <w:tcW w:w="2046" w:type="dxa"/>
            <w:tcBorders>
              <w:top w:val="outset" w:color="auto" w:sz="6" w:space="0"/>
              <w:left w:val="outset" w:color="auto" w:sz="6" w:space="0"/>
              <w:bottom w:val="outset" w:color="auto" w:sz="6" w:space="0"/>
              <w:right w:val="outset" w:color="auto" w:sz="6" w:space="0"/>
            </w:tcBorders>
            <w:vAlign w:val="center"/>
          </w:tcPr>
          <w:p w14:paraId="6F3CD887">
            <w:pPr>
              <w:widowControl/>
              <w:adjustRightInd w:val="0"/>
              <w:snapToGrid w:val="0"/>
              <w:jc w:val="center"/>
              <w:rPr>
                <w:rFonts w:hint="eastAsia" w:ascii="宋体" w:hAnsi="宋体" w:eastAsia="宋体" w:cs="宋体"/>
                <w:bCs/>
                <w:color w:val="000000" w:themeColor="text1"/>
                <w:kern w:val="0"/>
                <w:szCs w:val="21"/>
                <w:highlight w:val="none"/>
                <w:u w:val="none"/>
                <w:lang w:eastAsia="zh-CN"/>
                <w14:textFill>
                  <w14:solidFill>
                    <w14:schemeClr w14:val="tx1"/>
                  </w14:solidFill>
                </w14:textFill>
              </w:rPr>
            </w:pPr>
            <w:r>
              <w:rPr>
                <w:rFonts w:hint="eastAsia" w:ascii="宋体" w:hAnsi="宋体" w:eastAsia="宋体" w:cs="宋体"/>
                <w:bCs/>
                <w:color w:val="000000" w:themeColor="text1"/>
                <w:kern w:val="0"/>
                <w:szCs w:val="21"/>
                <w:highlight w:val="none"/>
                <w:u w:val="none"/>
                <w:lang w:eastAsia="zh-CN"/>
                <w14:textFill>
                  <w14:solidFill>
                    <w14:schemeClr w14:val="tx1"/>
                  </w14:solidFill>
                </w14:textFill>
              </w:rPr>
              <w:t>招标人</w:t>
            </w:r>
          </w:p>
        </w:tc>
        <w:tc>
          <w:tcPr>
            <w:tcW w:w="6471" w:type="dxa"/>
            <w:tcBorders>
              <w:top w:val="outset" w:color="auto" w:sz="6" w:space="0"/>
              <w:left w:val="outset" w:color="auto" w:sz="6" w:space="0"/>
              <w:bottom w:val="outset" w:color="auto" w:sz="6" w:space="0"/>
              <w:right w:val="single" w:color="auto" w:sz="12" w:space="0"/>
            </w:tcBorders>
            <w:vAlign w:val="center"/>
          </w:tcPr>
          <w:p w14:paraId="763046DC">
            <w:pPr>
              <w:widowControl/>
              <w:adjustRightInd w:val="0"/>
              <w:snapToGrid w:val="0"/>
              <w:rPr>
                <w:rFonts w:hint="eastAsia" w:ascii="宋体" w:hAnsi="宋体" w:eastAsia="宋体" w:cs="宋体"/>
                <w:bCs/>
                <w:color w:val="000000" w:themeColor="text1"/>
                <w:kern w:val="0"/>
                <w:szCs w:val="21"/>
                <w:highlight w:val="none"/>
                <w:u w:val="none"/>
                <w:lang w:eastAsia="zh-CN"/>
                <w14:textFill>
                  <w14:solidFill>
                    <w14:schemeClr w14:val="tx1"/>
                  </w14:solidFill>
                </w14:textFill>
              </w:rPr>
            </w:pPr>
            <w:r>
              <w:rPr>
                <w:rFonts w:hint="eastAsia" w:ascii="宋体" w:hAnsi="宋体" w:cs="宋体"/>
                <w:bCs/>
                <w:color w:val="000000" w:themeColor="text1"/>
                <w:kern w:val="0"/>
                <w:szCs w:val="21"/>
                <w:highlight w:val="none"/>
                <w:u w:val="none"/>
                <w:lang w:eastAsia="zh-CN"/>
                <w14:textFill>
                  <w14:solidFill>
                    <w14:schemeClr w14:val="tx1"/>
                  </w14:solidFill>
                </w14:textFill>
              </w:rPr>
              <w:t>会泽县迤车镇人民政府</w:t>
            </w:r>
          </w:p>
        </w:tc>
      </w:tr>
      <w:tr w14:paraId="085E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1FD977A2">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1.1.3</w:t>
            </w:r>
          </w:p>
        </w:tc>
        <w:tc>
          <w:tcPr>
            <w:tcW w:w="2046" w:type="dxa"/>
            <w:tcBorders>
              <w:top w:val="outset" w:color="auto" w:sz="6" w:space="0"/>
              <w:left w:val="outset" w:color="auto" w:sz="6" w:space="0"/>
              <w:bottom w:val="outset" w:color="auto" w:sz="6" w:space="0"/>
              <w:right w:val="outset" w:color="auto" w:sz="6" w:space="0"/>
            </w:tcBorders>
            <w:vAlign w:val="center"/>
          </w:tcPr>
          <w:p w14:paraId="4FFFACF6">
            <w:pPr>
              <w:widowControl/>
              <w:adjustRightInd w:val="0"/>
              <w:snapToGrid w:val="0"/>
              <w:jc w:val="center"/>
              <w:rPr>
                <w:rFonts w:hint="eastAsia" w:ascii="宋体" w:hAnsi="宋体" w:eastAsia="宋体" w:cs="宋体"/>
                <w:bCs/>
                <w:color w:val="000000" w:themeColor="text1"/>
                <w:kern w:val="0"/>
                <w:szCs w:val="21"/>
                <w:highlight w:val="none"/>
                <w:u w:val="none"/>
                <w:lang w:eastAsia="zh-CN"/>
                <w14:textFill>
                  <w14:solidFill>
                    <w14:schemeClr w14:val="tx1"/>
                  </w14:solidFill>
                </w14:textFill>
              </w:rPr>
            </w:pPr>
            <w:r>
              <w:rPr>
                <w:rFonts w:hint="eastAsia" w:ascii="宋体" w:hAnsi="宋体" w:eastAsia="宋体" w:cs="宋体"/>
                <w:bCs/>
                <w:color w:val="000000" w:themeColor="text1"/>
                <w:kern w:val="0"/>
                <w:szCs w:val="21"/>
                <w:highlight w:val="none"/>
                <w:u w:val="none"/>
                <w:lang w:eastAsia="zh-CN"/>
                <w14:textFill>
                  <w14:solidFill>
                    <w14:schemeClr w14:val="tx1"/>
                  </w14:solidFill>
                </w14:textFill>
              </w:rPr>
              <w:t>招标代理机构</w:t>
            </w:r>
          </w:p>
        </w:tc>
        <w:tc>
          <w:tcPr>
            <w:tcW w:w="6471" w:type="dxa"/>
            <w:tcBorders>
              <w:top w:val="outset" w:color="auto" w:sz="6" w:space="0"/>
              <w:left w:val="outset" w:color="auto" w:sz="6" w:space="0"/>
              <w:bottom w:val="outset" w:color="auto" w:sz="6" w:space="0"/>
              <w:right w:val="single" w:color="auto" w:sz="12" w:space="0"/>
            </w:tcBorders>
            <w:vAlign w:val="center"/>
          </w:tcPr>
          <w:p w14:paraId="09CB2BA6">
            <w:pPr>
              <w:widowControl/>
              <w:adjustRightInd w:val="0"/>
              <w:snapToGrid w:val="0"/>
              <w:rPr>
                <w:rFonts w:hint="eastAsia" w:ascii="宋体" w:hAnsi="宋体" w:eastAsia="宋体" w:cs="宋体"/>
                <w:bCs/>
                <w:color w:val="000000" w:themeColor="text1"/>
                <w:kern w:val="0"/>
                <w:szCs w:val="21"/>
                <w:highlight w:val="none"/>
                <w:u w:val="none"/>
                <w:lang w:eastAsia="zh-CN"/>
                <w14:textFill>
                  <w14:solidFill>
                    <w14:schemeClr w14:val="tx1"/>
                  </w14:solidFill>
                </w14:textFill>
              </w:rPr>
            </w:pPr>
            <w:r>
              <w:rPr>
                <w:rFonts w:hint="eastAsia" w:ascii="宋体" w:hAnsi="宋体" w:cs="宋体"/>
                <w:bCs/>
                <w:color w:val="000000" w:themeColor="text1"/>
                <w:kern w:val="0"/>
                <w:szCs w:val="21"/>
                <w:highlight w:val="none"/>
                <w:u w:val="none"/>
                <w:lang w:eastAsia="zh-CN"/>
                <w14:textFill>
                  <w14:solidFill>
                    <w14:schemeClr w14:val="tx1"/>
                  </w14:solidFill>
                </w14:textFill>
              </w:rPr>
              <w:t>曲靖领竣招标代理有限公司</w:t>
            </w:r>
          </w:p>
        </w:tc>
      </w:tr>
      <w:tr w14:paraId="7879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29E0ED3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1.1.4</w:t>
            </w:r>
          </w:p>
        </w:tc>
        <w:tc>
          <w:tcPr>
            <w:tcW w:w="2046" w:type="dxa"/>
            <w:tcBorders>
              <w:top w:val="outset" w:color="auto" w:sz="6" w:space="0"/>
              <w:left w:val="outset" w:color="auto" w:sz="6" w:space="0"/>
              <w:bottom w:val="outset" w:color="auto" w:sz="6" w:space="0"/>
              <w:right w:val="outset" w:color="auto" w:sz="6" w:space="0"/>
            </w:tcBorders>
            <w:vAlign w:val="center"/>
          </w:tcPr>
          <w:p w14:paraId="709A66F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工程名称</w:t>
            </w:r>
          </w:p>
        </w:tc>
        <w:tc>
          <w:tcPr>
            <w:tcW w:w="6471" w:type="dxa"/>
            <w:tcBorders>
              <w:top w:val="outset" w:color="auto" w:sz="6" w:space="0"/>
              <w:left w:val="outset" w:color="auto" w:sz="6" w:space="0"/>
              <w:bottom w:val="outset" w:color="auto" w:sz="6" w:space="0"/>
              <w:right w:val="single" w:color="auto" w:sz="12" w:space="0"/>
            </w:tcBorders>
            <w:vAlign w:val="center"/>
          </w:tcPr>
          <w:p w14:paraId="5A20D22B">
            <w:pPr>
              <w:widowControl/>
              <w:adjustRightInd w:val="0"/>
              <w:snapToGrid w:val="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bCs/>
                <w:color w:val="000000" w:themeColor="text1"/>
                <w:kern w:val="0"/>
                <w:szCs w:val="21"/>
                <w:highlight w:val="none"/>
                <w:u w:val="none"/>
                <w:lang w:eastAsia="zh-CN"/>
                <w14:textFill>
                  <w14:solidFill>
                    <w14:schemeClr w14:val="tx1"/>
                  </w14:solidFill>
                </w14:textFill>
              </w:rPr>
              <w:t>迤车镇石桥、店子、坪子片区牛栏江低热河谷农业产业基地基础配套设施建设项目</w:t>
            </w:r>
          </w:p>
        </w:tc>
      </w:tr>
      <w:tr w14:paraId="53F6E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5A94F82">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1.1.5</w:t>
            </w:r>
          </w:p>
        </w:tc>
        <w:tc>
          <w:tcPr>
            <w:tcW w:w="2046" w:type="dxa"/>
            <w:tcBorders>
              <w:top w:val="outset" w:color="auto" w:sz="6" w:space="0"/>
              <w:left w:val="outset" w:color="auto" w:sz="6" w:space="0"/>
              <w:bottom w:val="outset" w:color="auto" w:sz="6" w:space="0"/>
              <w:right w:val="outset" w:color="auto" w:sz="6" w:space="0"/>
            </w:tcBorders>
            <w:vAlign w:val="center"/>
          </w:tcPr>
          <w:p w14:paraId="7E2A3DF4">
            <w:pPr>
              <w:widowControl/>
              <w:adjustRightInd w:val="0"/>
              <w:snapToGrid w:val="0"/>
              <w:ind w:firstLine="630" w:firstLineChars="300"/>
              <w:rPr>
                <w:rFonts w:hint="eastAsia" w:ascii="宋体" w:hAnsi="宋体" w:eastAsia="宋体" w:cs="宋体"/>
                <w:bCs/>
                <w:color w:val="000000" w:themeColor="text1"/>
                <w:kern w:val="0"/>
                <w:szCs w:val="21"/>
                <w:highlight w:val="none"/>
                <w:u w:val="none"/>
                <w:lang w:eastAsia="zh-CN"/>
                <w14:textFill>
                  <w14:solidFill>
                    <w14:schemeClr w14:val="tx1"/>
                  </w14:solidFill>
                </w14:textFill>
              </w:rPr>
            </w:pPr>
            <w:r>
              <w:rPr>
                <w:rFonts w:hint="eastAsia" w:ascii="宋体" w:hAnsi="宋体" w:eastAsia="宋体" w:cs="宋体"/>
                <w:bCs/>
                <w:color w:val="000000" w:themeColor="text1"/>
                <w:kern w:val="0"/>
                <w:szCs w:val="21"/>
                <w:highlight w:val="none"/>
                <w:u w:val="none"/>
                <w:lang w:eastAsia="zh-CN"/>
                <w14:textFill>
                  <w14:solidFill>
                    <w14:schemeClr w14:val="tx1"/>
                  </w14:solidFill>
                </w14:textFill>
              </w:rPr>
              <w:t>建设地点</w:t>
            </w:r>
          </w:p>
        </w:tc>
        <w:tc>
          <w:tcPr>
            <w:tcW w:w="6471" w:type="dxa"/>
            <w:tcBorders>
              <w:top w:val="outset" w:color="auto" w:sz="6" w:space="0"/>
              <w:left w:val="outset" w:color="auto" w:sz="6" w:space="0"/>
              <w:bottom w:val="outset" w:color="auto" w:sz="6" w:space="0"/>
              <w:right w:val="single" w:color="auto" w:sz="12" w:space="0"/>
            </w:tcBorders>
            <w:vAlign w:val="center"/>
          </w:tcPr>
          <w:p w14:paraId="313B5BE5">
            <w:pPr>
              <w:widowControl/>
              <w:adjustRightInd w:val="0"/>
              <w:snapToGrid w:val="0"/>
              <w:jc w:val="left"/>
              <w:rPr>
                <w:rFonts w:hint="eastAsia" w:ascii="宋体" w:hAnsi="宋体" w:eastAsia="宋体" w:cs="宋体"/>
                <w:bCs/>
                <w:color w:val="000000" w:themeColor="text1"/>
                <w:kern w:val="0"/>
                <w:szCs w:val="21"/>
                <w:highlight w:val="none"/>
                <w:u w:val="none"/>
                <w:lang w:val="en-US" w:eastAsia="zh-CN"/>
                <w14:textFill>
                  <w14:solidFill>
                    <w14:schemeClr w14:val="tx1"/>
                  </w14:solidFill>
                </w14:textFill>
              </w:rPr>
            </w:pPr>
            <w:r>
              <w:rPr>
                <w:rFonts w:hint="eastAsia" w:ascii="宋体" w:hAnsi="宋体" w:cs="宋体"/>
                <w:bCs/>
                <w:color w:val="000000" w:themeColor="text1"/>
                <w:kern w:val="0"/>
                <w:szCs w:val="21"/>
                <w:highlight w:val="none"/>
                <w:u w:val="none"/>
                <w:lang w:val="en-US" w:eastAsia="zh-CN"/>
                <w14:textFill>
                  <w14:solidFill>
                    <w14:schemeClr w14:val="tx1"/>
                  </w14:solidFill>
                </w14:textFill>
              </w:rPr>
              <w:t>会泽县迤车镇石桥、店子、坪子村</w:t>
            </w:r>
          </w:p>
        </w:tc>
      </w:tr>
      <w:tr w14:paraId="0F514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75B8DBB6">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1.2.1</w:t>
            </w:r>
          </w:p>
        </w:tc>
        <w:tc>
          <w:tcPr>
            <w:tcW w:w="2046" w:type="dxa"/>
            <w:tcBorders>
              <w:top w:val="outset" w:color="auto" w:sz="6" w:space="0"/>
              <w:left w:val="outset" w:color="auto" w:sz="6" w:space="0"/>
              <w:bottom w:val="outset" w:color="auto" w:sz="6" w:space="0"/>
              <w:right w:val="outset" w:color="auto" w:sz="6" w:space="0"/>
            </w:tcBorders>
            <w:vAlign w:val="center"/>
          </w:tcPr>
          <w:p w14:paraId="0CE1151E">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资金来源</w:t>
            </w:r>
          </w:p>
        </w:tc>
        <w:tc>
          <w:tcPr>
            <w:tcW w:w="6471" w:type="dxa"/>
            <w:tcBorders>
              <w:top w:val="outset" w:color="auto" w:sz="6" w:space="0"/>
              <w:left w:val="outset" w:color="auto" w:sz="6" w:space="0"/>
              <w:bottom w:val="outset" w:color="auto" w:sz="6" w:space="0"/>
              <w:right w:val="single" w:color="auto" w:sz="12" w:space="0"/>
            </w:tcBorders>
            <w:vAlign w:val="center"/>
          </w:tcPr>
          <w:p w14:paraId="2174ED58">
            <w:pP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2026年中央财政衔接资金 </w:t>
            </w:r>
          </w:p>
        </w:tc>
      </w:tr>
      <w:tr w14:paraId="3192A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6D18FEC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1.2.2</w:t>
            </w:r>
          </w:p>
        </w:tc>
        <w:tc>
          <w:tcPr>
            <w:tcW w:w="2046" w:type="dxa"/>
            <w:tcBorders>
              <w:top w:val="outset" w:color="auto" w:sz="6" w:space="0"/>
              <w:left w:val="outset" w:color="auto" w:sz="6" w:space="0"/>
              <w:bottom w:val="outset" w:color="auto" w:sz="6" w:space="0"/>
              <w:right w:val="outset" w:color="auto" w:sz="6" w:space="0"/>
            </w:tcBorders>
            <w:vAlign w:val="center"/>
          </w:tcPr>
          <w:p w14:paraId="06341BD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资金落实情况</w:t>
            </w:r>
          </w:p>
        </w:tc>
        <w:tc>
          <w:tcPr>
            <w:tcW w:w="6471" w:type="dxa"/>
            <w:tcBorders>
              <w:top w:val="outset" w:color="auto" w:sz="6" w:space="0"/>
              <w:left w:val="outset" w:color="auto" w:sz="6" w:space="0"/>
              <w:bottom w:val="outset" w:color="auto" w:sz="6" w:space="0"/>
              <w:right w:val="single" w:color="auto" w:sz="12" w:space="0"/>
            </w:tcBorders>
            <w:vAlign w:val="center"/>
          </w:tcPr>
          <w:p w14:paraId="652F0A6A">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已落实</w:t>
            </w:r>
          </w:p>
        </w:tc>
      </w:tr>
      <w:tr w14:paraId="3AD5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3E3CB8C8">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1.3.1</w:t>
            </w:r>
          </w:p>
        </w:tc>
        <w:tc>
          <w:tcPr>
            <w:tcW w:w="2046" w:type="dxa"/>
            <w:tcBorders>
              <w:top w:val="outset" w:color="auto" w:sz="6" w:space="0"/>
              <w:left w:val="outset" w:color="auto" w:sz="6" w:space="0"/>
              <w:bottom w:val="outset" w:color="auto" w:sz="6" w:space="0"/>
              <w:right w:val="outset" w:color="auto" w:sz="6" w:space="0"/>
            </w:tcBorders>
            <w:vAlign w:val="center"/>
          </w:tcPr>
          <w:p w14:paraId="15553E0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招标范围</w:t>
            </w:r>
          </w:p>
        </w:tc>
        <w:tc>
          <w:tcPr>
            <w:tcW w:w="6471" w:type="dxa"/>
            <w:tcBorders>
              <w:top w:val="outset" w:color="auto" w:sz="6" w:space="0"/>
              <w:left w:val="outset" w:color="auto" w:sz="6" w:space="0"/>
              <w:bottom w:val="outset" w:color="auto" w:sz="6" w:space="0"/>
              <w:right w:val="single" w:color="auto" w:sz="12" w:space="0"/>
            </w:tcBorders>
            <w:vAlign w:val="center"/>
          </w:tcPr>
          <w:p w14:paraId="336040E1">
            <w:pPr>
              <w:pStyle w:val="7"/>
              <w:pageBreakBefore w:val="0"/>
              <w:kinsoku/>
              <w:wordWrap/>
              <w:topLinePunct w:val="0"/>
              <w:bidi w:val="0"/>
              <w:spacing w:line="240" w:lineRule="auto"/>
              <w:textAlignment w:val="auto"/>
              <w:rPr>
                <w:rFonts w:hint="eastAsia" w:ascii="宋体" w:hAnsi="宋体" w:eastAsia="宋体" w:cs="宋体"/>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bCs/>
                <w:color w:val="000000" w:themeColor="text1"/>
                <w:kern w:val="0"/>
                <w:sz w:val="21"/>
                <w:szCs w:val="21"/>
                <w:highlight w:val="none"/>
                <w:u w:val="none"/>
                <w:lang w:val="en-US" w:eastAsia="zh-CN" w:bidi="ar-SA"/>
                <w14:textFill>
                  <w14:solidFill>
                    <w14:schemeClr w14:val="tx1"/>
                  </w14:solidFill>
                </w14:textFill>
              </w:rPr>
              <w:fldChar w:fldCharType="begin"/>
            </w:r>
            <w:r>
              <w:rPr>
                <w:rFonts w:hint="eastAsia" w:ascii="宋体" w:hAnsi="宋体" w:eastAsia="宋体" w:cs="宋体"/>
                <w:bCs/>
                <w:color w:val="000000" w:themeColor="text1"/>
                <w:kern w:val="0"/>
                <w:sz w:val="21"/>
                <w:szCs w:val="21"/>
                <w:highlight w:val="none"/>
                <w:u w:val="none"/>
                <w:lang w:val="en-US" w:eastAsia="zh-CN" w:bidi="ar-SA"/>
                <w14:textFill>
                  <w14:solidFill>
                    <w14:schemeClr w14:val="tx1"/>
                  </w14:solidFill>
                </w14:textFill>
              </w:rPr>
              <w:instrText xml:space="preserve"> AUTOTEXT  input13 \* MERGEFORMAT </w:instrText>
            </w:r>
            <w:r>
              <w:rPr>
                <w:rFonts w:hint="eastAsia" w:ascii="宋体" w:hAnsi="宋体" w:eastAsia="宋体" w:cs="宋体"/>
                <w:bCs/>
                <w:color w:val="000000" w:themeColor="text1"/>
                <w:kern w:val="0"/>
                <w:sz w:val="21"/>
                <w:szCs w:val="21"/>
                <w:highlight w:val="none"/>
                <w:u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kern w:val="0"/>
                <w:sz w:val="21"/>
                <w:szCs w:val="21"/>
                <w:highlight w:val="none"/>
                <w:u w:val="none"/>
                <w:lang w:val="en-US" w:eastAsia="zh-CN" w:bidi="ar-SA"/>
                <w14:textFill>
                  <w14:solidFill>
                    <w14:schemeClr w14:val="tx1"/>
                  </w14:solidFill>
                </w14:textFill>
              </w:rPr>
              <w:t>一、招标文件及工程量清单所示内容；</w:t>
            </w:r>
          </w:p>
          <w:p w14:paraId="373858D7">
            <w:pPr>
              <w:pStyle w:val="7"/>
              <w:pageBreakBefore w:val="0"/>
              <w:kinsoku/>
              <w:wordWrap/>
              <w:topLinePunct w:val="0"/>
              <w:bidi w:val="0"/>
              <w:spacing w:line="240" w:lineRule="auto"/>
              <w:textAlignment w:val="auto"/>
              <w:rPr>
                <w:rFonts w:hint="eastAsia" w:ascii="宋体" w:hAnsi="宋体" w:eastAsia="宋体" w:cs="宋体"/>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eastAsia="宋体" w:cs="宋体"/>
                <w:bCs/>
                <w:color w:val="000000" w:themeColor="text1"/>
                <w:kern w:val="0"/>
                <w:sz w:val="21"/>
                <w:szCs w:val="21"/>
                <w:highlight w:val="none"/>
                <w:u w:val="none"/>
                <w:lang w:val="en-US" w:eastAsia="zh-CN" w:bidi="ar-SA"/>
                <w14:textFill>
                  <w14:solidFill>
                    <w14:schemeClr w14:val="tx1"/>
                  </w14:solidFill>
                </w14:textFill>
              </w:rPr>
              <w:t>二、投标准备期内所发出的修改通知和招标答疑文件中所说明的内容；</w:t>
            </w:r>
          </w:p>
          <w:p w14:paraId="738D3343">
            <w:pPr>
              <w:pStyle w:val="7"/>
              <w:pageBreakBefore w:val="0"/>
              <w:kinsoku/>
              <w:wordWrap/>
              <w:topLinePunct w:val="0"/>
              <w:bidi w:val="0"/>
              <w:spacing w:line="240" w:lineRule="auto"/>
              <w:textAlignment w:val="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kern w:val="0"/>
                <w:sz w:val="21"/>
                <w:szCs w:val="21"/>
                <w:highlight w:val="none"/>
                <w:u w:val="none"/>
                <w:lang w:val="en-US" w:eastAsia="zh-CN" w:bidi="ar-SA"/>
                <w14:textFill>
                  <w14:solidFill>
                    <w14:schemeClr w14:val="tx1"/>
                  </w14:solidFill>
                </w14:textFill>
              </w:rPr>
              <w:t>三、本工程设置招标控制价及工程量清单。</w:t>
            </w:r>
            <w:r>
              <w:rPr>
                <w:rFonts w:hint="eastAsia" w:ascii="宋体" w:hAnsi="宋体" w:eastAsia="宋体" w:cs="宋体"/>
                <w:bCs/>
                <w:color w:val="000000" w:themeColor="text1"/>
                <w:kern w:val="0"/>
                <w:sz w:val="21"/>
                <w:szCs w:val="21"/>
                <w:highlight w:val="none"/>
                <w:u w:val="none"/>
                <w:lang w:val="en-US" w:eastAsia="zh-CN" w:bidi="ar-SA"/>
                <w14:textFill>
                  <w14:solidFill>
                    <w14:schemeClr w14:val="tx1"/>
                  </w14:solidFill>
                </w14:textFill>
              </w:rPr>
              <w:fldChar w:fldCharType="end"/>
            </w:r>
          </w:p>
        </w:tc>
      </w:tr>
      <w:tr w14:paraId="3804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636F71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1.3.2</w:t>
            </w:r>
          </w:p>
        </w:tc>
        <w:tc>
          <w:tcPr>
            <w:tcW w:w="2046" w:type="dxa"/>
            <w:tcBorders>
              <w:top w:val="outset" w:color="auto" w:sz="6" w:space="0"/>
              <w:left w:val="outset" w:color="auto" w:sz="6" w:space="0"/>
              <w:bottom w:val="outset" w:color="auto" w:sz="6" w:space="0"/>
              <w:right w:val="outset" w:color="auto" w:sz="6" w:space="0"/>
            </w:tcBorders>
            <w:vAlign w:val="center"/>
          </w:tcPr>
          <w:p w14:paraId="6B0B827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计划工期</w:t>
            </w:r>
          </w:p>
        </w:tc>
        <w:tc>
          <w:tcPr>
            <w:tcW w:w="6471" w:type="dxa"/>
            <w:tcBorders>
              <w:top w:val="outset" w:color="auto" w:sz="6" w:space="0"/>
              <w:left w:val="outset" w:color="auto" w:sz="6" w:space="0"/>
              <w:bottom w:val="outset" w:color="auto" w:sz="6" w:space="0"/>
              <w:right w:val="single" w:color="auto" w:sz="12" w:space="0"/>
            </w:tcBorders>
            <w:vAlign w:val="center"/>
          </w:tcPr>
          <w:p w14:paraId="36BC2C4D">
            <w:pPr>
              <w:spacing w:line="24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u w:val="none"/>
                <w:lang w:val="en-US" w:eastAsia="zh-CN"/>
                <w14:textFill>
                  <w14:solidFill>
                    <w14:schemeClr w14:val="tx1"/>
                  </w14:solidFill>
                </w14:textFill>
              </w:rPr>
              <w:t>180日历天</w:t>
            </w:r>
          </w:p>
        </w:tc>
      </w:tr>
      <w:tr w14:paraId="6FEB5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365FD4A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1.3.3</w:t>
            </w:r>
          </w:p>
        </w:tc>
        <w:tc>
          <w:tcPr>
            <w:tcW w:w="2046" w:type="dxa"/>
            <w:tcBorders>
              <w:top w:val="outset" w:color="auto" w:sz="6" w:space="0"/>
              <w:left w:val="outset" w:color="auto" w:sz="6" w:space="0"/>
              <w:bottom w:val="outset" w:color="auto" w:sz="6" w:space="0"/>
              <w:right w:val="outset" w:color="auto" w:sz="6" w:space="0"/>
            </w:tcBorders>
            <w:vAlign w:val="center"/>
          </w:tcPr>
          <w:p w14:paraId="30CF15E5">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质量要求</w:t>
            </w:r>
          </w:p>
        </w:tc>
        <w:tc>
          <w:tcPr>
            <w:tcW w:w="6471" w:type="dxa"/>
            <w:tcBorders>
              <w:top w:val="outset" w:color="auto" w:sz="6" w:space="0"/>
              <w:left w:val="outset" w:color="auto" w:sz="6" w:space="0"/>
              <w:bottom w:val="outset" w:color="auto" w:sz="6" w:space="0"/>
              <w:right w:val="single" w:color="auto" w:sz="12" w:space="0"/>
            </w:tcBorders>
            <w:vAlign w:val="center"/>
          </w:tcPr>
          <w:p w14:paraId="1F08A1CF">
            <w:pP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kern w:val="0"/>
                <w:szCs w:val="21"/>
                <w:highlight w:val="none"/>
                <w:lang w:eastAsia="zh-CN"/>
                <w14:textFill>
                  <w14:solidFill>
                    <w14:schemeClr w14:val="tx1"/>
                  </w14:solidFill>
                </w14:textFill>
              </w:rPr>
              <w:t>按国家、行业及地方相关施工标准及规范要求，一次性验收合格</w:t>
            </w:r>
            <w:r>
              <w:rPr>
                <w:rFonts w:hint="eastAsia" w:ascii="宋体" w:hAnsi="宋体" w:eastAsia="宋体" w:cs="宋体"/>
                <w:color w:val="000000" w:themeColor="text1"/>
                <w:kern w:val="0"/>
                <w:szCs w:val="21"/>
                <w:highlight w:val="none"/>
                <w:lang w:eastAsia="zh-CN"/>
                <w14:textFill>
                  <w14:solidFill>
                    <w14:schemeClr w14:val="tx1"/>
                  </w14:solidFill>
                </w14:textFill>
              </w:rPr>
              <w:t>；</w:t>
            </w:r>
          </w:p>
        </w:tc>
      </w:tr>
      <w:tr w14:paraId="0278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549C75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1.4.1</w:t>
            </w:r>
          </w:p>
        </w:tc>
        <w:tc>
          <w:tcPr>
            <w:tcW w:w="2046" w:type="dxa"/>
            <w:tcBorders>
              <w:top w:val="outset" w:color="auto" w:sz="6" w:space="0"/>
              <w:left w:val="outset" w:color="auto" w:sz="6" w:space="0"/>
              <w:bottom w:val="outset" w:color="auto" w:sz="6" w:space="0"/>
              <w:right w:val="outset" w:color="auto" w:sz="6" w:space="0"/>
            </w:tcBorders>
            <w:vAlign w:val="center"/>
          </w:tcPr>
          <w:p w14:paraId="1E175B9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投标人资质条件、能力和信誉</w:t>
            </w:r>
          </w:p>
        </w:tc>
        <w:tc>
          <w:tcPr>
            <w:tcW w:w="6471" w:type="dxa"/>
            <w:tcBorders>
              <w:top w:val="outset" w:color="auto" w:sz="6" w:space="0"/>
              <w:left w:val="outset" w:color="auto" w:sz="6" w:space="0"/>
              <w:bottom w:val="outset" w:color="auto" w:sz="6" w:space="0"/>
              <w:right w:val="single" w:color="auto" w:sz="12" w:space="0"/>
            </w:tcBorders>
            <w:vAlign w:val="center"/>
          </w:tcPr>
          <w:p w14:paraId="052E12AC">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u w:val="none"/>
                <w:shd w:val="clear" w:color="auto" w:fill="auto"/>
                <w:lang w:val="en-US" w:eastAsia="zh-CN" w:bidi="ar-SA"/>
                <w14:textFill>
                  <w14:solidFill>
                    <w14:schemeClr w14:val="tx1"/>
                  </w14:solidFill>
                </w14:textFill>
              </w:rPr>
              <w:t>1.</w:t>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本项目要求投标人须具备以下资质条件：</w:t>
            </w:r>
          </w:p>
          <w:p w14:paraId="0E017F7E">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1.</w:t>
            </w:r>
            <w:r>
              <w:rPr>
                <w:rFonts w:hint="eastAsia" w:ascii="宋体" w:hAnsi="宋体" w:cs="宋体"/>
                <w:color w:val="000000" w:themeColor="text1"/>
                <w:kern w:val="0"/>
                <w:sz w:val="21"/>
                <w:szCs w:val="21"/>
                <w:highlight w:val="none"/>
                <w:u w:val="none"/>
                <w:shd w:val="clear" w:color="auto" w:fill="auto"/>
                <w:lang w:val="en-US" w:eastAsia="zh-CN" w:bidi="ar-SA"/>
                <w14:textFill>
                  <w14:solidFill>
                    <w14:schemeClr w14:val="tx1"/>
                  </w14:solidFill>
                </w14:textFill>
              </w:rPr>
              <w:t>1</w:t>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投标人必须是在中国境内合法注册、具有独立承担民事责任能力的企业，提供有效的营业执照；</w:t>
            </w:r>
          </w:p>
          <w:p w14:paraId="416C19DF">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1.</w:t>
            </w:r>
            <w:r>
              <w:rPr>
                <w:rFonts w:hint="eastAsia" w:ascii="宋体" w:hAnsi="宋体" w:cs="宋体"/>
                <w:color w:val="000000" w:themeColor="text1"/>
                <w:kern w:val="0"/>
                <w:sz w:val="21"/>
                <w:szCs w:val="21"/>
                <w:highlight w:val="none"/>
                <w:u w:val="none"/>
                <w:shd w:val="clear" w:color="auto" w:fill="auto"/>
                <w:lang w:val="en-US" w:eastAsia="zh-CN" w:bidi="ar-SA"/>
                <w14:textFill>
                  <w14:solidFill>
                    <w14:schemeClr w14:val="tx1"/>
                  </w14:solidFill>
                </w14:textFill>
              </w:rPr>
              <w:t>2</w:t>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资质要求：投标人具备合法有效的建设行政主管部门颁发的水利水电工程施工总承包叁级及以上资质的独立法人，具备有效的安全生产许可证，并在人员、设备、资金等方面具备与招标内容相适应的施工能力。</w:t>
            </w:r>
          </w:p>
          <w:p w14:paraId="2E1EF850">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u w:val="none"/>
                <w:shd w:val="clear" w:color="auto" w:fill="auto"/>
                <w:lang w:val="en-US" w:eastAsia="zh-CN" w:bidi="ar-SA"/>
                <w14:textFill>
                  <w14:solidFill>
                    <w14:schemeClr w14:val="tx1"/>
                  </w14:solidFill>
                </w14:textFill>
              </w:rPr>
              <w:t>2.</w:t>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拟派项目经理要求：</w:t>
            </w:r>
          </w:p>
          <w:p w14:paraId="6BCDF9EC">
            <w:pPr>
              <w:pageBreakBefore w:val="0"/>
              <w:kinsoku/>
              <w:wordWrap/>
              <w:topLinePunct w:val="0"/>
              <w:bidi w:val="0"/>
              <w:spacing w:line="240" w:lineRule="auto"/>
              <w:ind w:firstLine="420" w:firstLineChars="200"/>
              <w:jc w:val="left"/>
              <w:textAlignment w:val="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拟派往本项目的项目经理具备贰级及以上注册建造师（水利水电工程专业），并提供有效期内的安全生产考核合格证（B 证）。</w:t>
            </w:r>
            <w:r>
              <w:rPr>
                <w:rFonts w:hint="eastAsia" w:asciiTheme="minorEastAsia" w:hAnsiTheme="minorEastAsia" w:eastAsiaTheme="minorEastAsia" w:cstheme="minorEastAsia"/>
                <w:color w:val="000000"/>
                <w:kern w:val="0"/>
                <w:sz w:val="21"/>
                <w:szCs w:val="21"/>
                <w:highlight w:val="none"/>
                <w:lang w:val="en-US" w:eastAsia="zh-CN" w:bidi="ar-SA"/>
              </w:rPr>
              <w:t>且必须注册在投标人本单位，如注册单位曾有变更的，需提供注册单位变更记录，不得同时在两个或者两个以上工程项目担任项目经理。</w:t>
            </w:r>
          </w:p>
          <w:p w14:paraId="114A1296">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u w:val="none"/>
                <w:shd w:val="clear" w:color="auto" w:fill="auto"/>
                <w:lang w:val="en-US" w:eastAsia="zh-CN" w:bidi="ar-SA"/>
                <w14:textFill>
                  <w14:solidFill>
                    <w14:schemeClr w14:val="tx1"/>
                  </w14:solidFill>
                </w14:textFill>
              </w:rPr>
              <w:t>3.</w:t>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fldChar w:fldCharType="begin"/>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instrText xml:space="preserve"> AUTOTEXT  input18 \* MERGEFORMAT </w:instrText>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fldChar w:fldCharType="separate"/>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财务要求：</w:t>
            </w:r>
          </w:p>
          <w:p w14:paraId="7413BC8D">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提供近三年（2022 年、2023年、2024年）经审计机构审计的审计报告及财务报表（包括资产负债表、现金流量表、利润表等有效的财务报表)。成立不满 三年的企业提供成立至今经审计机构审计的审计报告及财务报表。成立时间不足 1 年的企业可提供自投标文件提交截止时间前三个月内开户银行出具的资信证明或资金存款证明；因国家相关保密规定不方便提供财务状况信息材料的，提供相关保密规定的证明材料及说明。（财务报表须真实完整且符合《中华人民共和国会计法》相关规定）。</w:t>
            </w:r>
          </w:p>
          <w:p w14:paraId="765A67DE">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4.其他要求：</w:t>
            </w:r>
          </w:p>
          <w:p w14:paraId="4C07664F">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（1）廉洁自律承诺。</w:t>
            </w:r>
          </w:p>
          <w:p w14:paraId="79959433">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（2）人员配备满足本工程的需要，拟派往本项目的项目负责人及其他主要管理人员无特殊情况不得更改,并出具承诺。</w:t>
            </w:r>
          </w:p>
          <w:p w14:paraId="6673C1C1">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（3）投标人出具所提供的证件、证明材料等的真实性、有效性、合法性承担法律责任的承诺。</w:t>
            </w:r>
          </w:p>
          <w:p w14:paraId="4889B0C3">
            <w:pPr>
              <w:spacing w:line="240" w:lineRule="auto"/>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（4）</w:t>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fldChar w:fldCharType="end"/>
            </w:r>
            <w:r>
              <w:rPr>
                <w:rFonts w:hint="eastAsia" w:ascii="宋体" w:hAnsi="宋体" w:eastAsia="宋体" w:cs="宋体"/>
                <w:color w:val="000000" w:themeColor="text1"/>
                <w:kern w:val="0"/>
                <w:sz w:val="21"/>
                <w:szCs w:val="21"/>
                <w:highlight w:val="none"/>
                <w:u w:val="none"/>
                <w:shd w:val="clear" w:color="auto" w:fill="auto"/>
                <w:lang w:val="en-US" w:eastAsia="zh-CN" w:bidi="ar-SA"/>
                <w14:textFill>
                  <w14:solidFill>
                    <w14:schemeClr w14:val="tx1"/>
                  </w14:solidFill>
                </w14:textFill>
              </w:rPr>
              <w:t>投标人须按月足额支付农民工工资和项目实行人工费与其他工程款分账管理；投标人须根据《云南省人民政府办公厅关于进一步构建解决农民工工资拖欠长效机制的若干意见》（云政办发（2017）60 号），在投标文件中提供：在项目实施过程中按月足额支付农民工工资和项目实行人工费与其他工程款分账管理的承诺。</w:t>
            </w:r>
          </w:p>
        </w:tc>
      </w:tr>
      <w:tr w14:paraId="2A89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706F047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1.4.3</w:t>
            </w:r>
          </w:p>
        </w:tc>
        <w:tc>
          <w:tcPr>
            <w:tcW w:w="2046" w:type="dxa"/>
            <w:tcBorders>
              <w:top w:val="outset" w:color="auto" w:sz="6" w:space="0"/>
              <w:left w:val="outset" w:color="auto" w:sz="6" w:space="0"/>
              <w:bottom w:val="outset" w:color="auto" w:sz="6" w:space="0"/>
              <w:right w:val="outset" w:color="auto" w:sz="6" w:space="0"/>
            </w:tcBorders>
            <w:vAlign w:val="center"/>
          </w:tcPr>
          <w:p w14:paraId="3BDDC87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是否接受联合体投标</w:t>
            </w:r>
          </w:p>
        </w:tc>
        <w:tc>
          <w:tcPr>
            <w:tcW w:w="6471" w:type="dxa"/>
            <w:tcBorders>
              <w:top w:val="outset" w:color="auto" w:sz="6" w:space="0"/>
              <w:left w:val="outset" w:color="auto" w:sz="6" w:space="0"/>
              <w:bottom w:val="outset" w:color="auto" w:sz="6" w:space="0"/>
              <w:right w:val="single" w:color="auto" w:sz="12" w:space="0"/>
            </w:tcBorders>
            <w:vAlign w:val="center"/>
          </w:tcPr>
          <w:p w14:paraId="55ACCD11">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■不接受</w:t>
            </w:r>
          </w:p>
          <w:p w14:paraId="57959073">
            <w:pPr>
              <w:rPr>
                <w:rFonts w:hint="eastAsia" w:ascii="宋体" w:hAnsi="宋体" w:eastAsia="宋体" w:cs="宋体"/>
                <w:color w:val="000000" w:themeColor="text1"/>
                <w:szCs w:val="21"/>
                <w14:textFill>
                  <w14:solidFill>
                    <w14:schemeClr w14:val="tx1"/>
                  </w14:solidFill>
                </w14:textFill>
              </w:rPr>
            </w:pPr>
            <w:r>
              <w:rPr>
                <w:rFonts w:ascii="Wingdings 2" w:hAnsi="Wingdings 2" w:eastAsia="宋体" w:cs="宋体"/>
                <w:color w:val="000000" w:themeColor="text1"/>
                <w:szCs w:val="21"/>
                <w14:textFill>
                  <w14:solidFill>
                    <w14:schemeClr w14:val="tx1"/>
                  </w14:solidFill>
                </w14:textFill>
              </w:rPr>
              <w:sym w:font="Wingdings 2" w:char="F0A3"/>
            </w:r>
            <w:r>
              <w:rPr>
                <w:rFonts w:hint="eastAsia" w:ascii="宋体" w:hAnsi="宋体" w:eastAsia="宋体" w:cs="宋体"/>
                <w:color w:val="000000" w:themeColor="text1"/>
                <w:szCs w:val="21"/>
                <w14:textFill>
                  <w14:solidFill>
                    <w14:schemeClr w14:val="tx1"/>
                  </w14:solidFill>
                </w14:textFill>
              </w:rPr>
              <w:t xml:space="preserve">接受，应满足下列要求： </w:t>
            </w:r>
          </w:p>
        </w:tc>
      </w:tr>
      <w:tr w14:paraId="458B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328DB01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1.9.1</w:t>
            </w:r>
          </w:p>
        </w:tc>
        <w:tc>
          <w:tcPr>
            <w:tcW w:w="2046" w:type="dxa"/>
            <w:tcBorders>
              <w:top w:val="outset" w:color="auto" w:sz="6" w:space="0"/>
              <w:left w:val="outset" w:color="auto" w:sz="6" w:space="0"/>
              <w:bottom w:val="outset" w:color="auto" w:sz="6" w:space="0"/>
              <w:right w:val="outset" w:color="auto" w:sz="6" w:space="0"/>
            </w:tcBorders>
            <w:vAlign w:val="center"/>
          </w:tcPr>
          <w:p w14:paraId="5CB66C9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踏勘现场</w:t>
            </w:r>
          </w:p>
        </w:tc>
        <w:tc>
          <w:tcPr>
            <w:tcW w:w="6471" w:type="dxa"/>
            <w:tcBorders>
              <w:top w:val="outset" w:color="auto" w:sz="6" w:space="0"/>
              <w:left w:val="outset" w:color="auto" w:sz="6" w:space="0"/>
              <w:bottom w:val="outset" w:color="auto" w:sz="6" w:space="0"/>
              <w:right w:val="single" w:color="auto" w:sz="12" w:space="0"/>
            </w:tcBorders>
            <w:vAlign w:val="center"/>
          </w:tcPr>
          <w:p w14:paraId="4C292851">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不组织</w:t>
            </w:r>
          </w:p>
          <w:p w14:paraId="5196CB8D">
            <w:pPr>
              <w:rPr>
                <w:rFonts w:hint="eastAsia" w:ascii="宋体" w:hAnsi="宋体" w:eastAsia="宋体" w:cs="宋体"/>
                <w:color w:val="000000" w:themeColor="text1"/>
                <w:highlight w:val="none"/>
                <w14:textFill>
                  <w14:solidFill>
                    <w14:schemeClr w14:val="tx1"/>
                  </w14:solidFill>
                </w14:textFill>
              </w:rPr>
            </w:pPr>
            <w:r>
              <w:rPr>
                <w:rFonts w:ascii="Wingdings 2" w:hAnsi="Wingdings 2" w:eastAsia="宋体" w:cs="宋体"/>
                <w:color w:val="000000" w:themeColor="text1"/>
                <w:highlight w:val="none"/>
                <w14:textFill>
                  <w14:solidFill>
                    <w14:schemeClr w14:val="tx1"/>
                  </w14:solidFill>
                </w14:textFill>
              </w:rPr>
              <w:sym w:font="Wingdings 2" w:char="F0A3"/>
            </w:r>
            <w:r>
              <w:rPr>
                <w:rFonts w:hint="eastAsia" w:ascii="宋体" w:hAnsi="宋体" w:eastAsia="宋体" w:cs="宋体"/>
                <w:color w:val="000000" w:themeColor="text1"/>
                <w:highlight w:val="none"/>
                <w14:textFill>
                  <w14:solidFill>
                    <w14:schemeClr w14:val="tx1"/>
                  </w14:solidFill>
                </w14:textFill>
              </w:rPr>
              <w:t>组织踏勘</w:t>
            </w:r>
          </w:p>
        </w:tc>
      </w:tr>
      <w:tr w14:paraId="23E2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66687463">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1.10.1</w:t>
            </w:r>
          </w:p>
        </w:tc>
        <w:tc>
          <w:tcPr>
            <w:tcW w:w="2046" w:type="dxa"/>
            <w:tcBorders>
              <w:top w:val="outset" w:color="auto" w:sz="6" w:space="0"/>
              <w:left w:val="outset" w:color="auto" w:sz="6" w:space="0"/>
              <w:bottom w:val="outset" w:color="auto" w:sz="6" w:space="0"/>
              <w:right w:val="outset" w:color="auto" w:sz="6" w:space="0"/>
            </w:tcBorders>
            <w:vAlign w:val="center"/>
          </w:tcPr>
          <w:p w14:paraId="6FEBE1A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投标预备会</w:t>
            </w:r>
          </w:p>
        </w:tc>
        <w:tc>
          <w:tcPr>
            <w:tcW w:w="6471" w:type="dxa"/>
            <w:tcBorders>
              <w:top w:val="outset" w:color="auto" w:sz="6" w:space="0"/>
              <w:left w:val="outset" w:color="auto" w:sz="6" w:space="0"/>
              <w:bottom w:val="outset" w:color="auto" w:sz="6" w:space="0"/>
              <w:right w:val="single" w:color="auto" w:sz="12" w:space="0"/>
            </w:tcBorders>
            <w:vAlign w:val="center"/>
          </w:tcPr>
          <w:p w14:paraId="379F7CB5">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■不召开</w:t>
            </w:r>
          </w:p>
          <w:p w14:paraId="46D6C33F">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□召开</w:t>
            </w:r>
          </w:p>
        </w:tc>
      </w:tr>
      <w:tr w14:paraId="19C4A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554C17B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1.10.2</w:t>
            </w:r>
          </w:p>
        </w:tc>
        <w:tc>
          <w:tcPr>
            <w:tcW w:w="2046" w:type="dxa"/>
            <w:tcBorders>
              <w:top w:val="outset" w:color="auto" w:sz="6" w:space="0"/>
              <w:left w:val="outset" w:color="auto" w:sz="6" w:space="0"/>
              <w:bottom w:val="outset" w:color="auto" w:sz="6" w:space="0"/>
              <w:right w:val="outset" w:color="auto" w:sz="6" w:space="0"/>
            </w:tcBorders>
            <w:vAlign w:val="center"/>
          </w:tcPr>
          <w:p w14:paraId="007F90A9">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投标人提出问题的截止时间</w:t>
            </w:r>
          </w:p>
        </w:tc>
        <w:tc>
          <w:tcPr>
            <w:tcW w:w="6471" w:type="dxa"/>
            <w:tcBorders>
              <w:top w:val="outset" w:color="auto" w:sz="6" w:space="0"/>
              <w:left w:val="outset" w:color="auto" w:sz="6" w:space="0"/>
              <w:bottom w:val="outset" w:color="auto" w:sz="6" w:space="0"/>
              <w:right w:val="single" w:color="auto" w:sz="12" w:space="0"/>
            </w:tcBorders>
            <w:vAlign w:val="center"/>
          </w:tcPr>
          <w:p w14:paraId="12FBE25E">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投标截止时间至少10日前，所有获取了招标文件的潜在投标人凭企业数字证书（CA）登录云南省公共资源交易中心（网址：https://ggzy.yn.gov.cn/#/homePage）网，通过网络在线方式进行不署名提问。</w:t>
            </w:r>
          </w:p>
        </w:tc>
      </w:tr>
      <w:tr w14:paraId="1BAD0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3E8D69F3">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1.10.3</w:t>
            </w:r>
          </w:p>
        </w:tc>
        <w:tc>
          <w:tcPr>
            <w:tcW w:w="2046" w:type="dxa"/>
            <w:tcBorders>
              <w:top w:val="outset" w:color="auto" w:sz="6" w:space="0"/>
              <w:left w:val="outset" w:color="auto" w:sz="6" w:space="0"/>
              <w:bottom w:val="outset" w:color="auto" w:sz="6" w:space="0"/>
              <w:right w:val="outset" w:color="auto" w:sz="6" w:space="0"/>
            </w:tcBorders>
            <w:vAlign w:val="center"/>
          </w:tcPr>
          <w:p w14:paraId="1F261E95">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招标人书面澄清的时间</w:t>
            </w:r>
          </w:p>
        </w:tc>
        <w:tc>
          <w:tcPr>
            <w:tcW w:w="6471" w:type="dxa"/>
            <w:tcBorders>
              <w:top w:val="outset" w:color="auto" w:sz="6" w:space="0"/>
              <w:left w:val="outset" w:color="auto" w:sz="6" w:space="0"/>
              <w:bottom w:val="outset" w:color="auto" w:sz="6" w:space="0"/>
              <w:right w:val="single" w:color="auto" w:sz="12" w:space="0"/>
            </w:tcBorders>
            <w:vAlign w:val="center"/>
          </w:tcPr>
          <w:p w14:paraId="75E7DCB2">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投标截止时间至少15日前，由招标人以补遗书方式按程序报有关主管部门备案后，提交会泽县公共资源交易中心统一通过网络向潜在投标人发布，且投标人不须回函确认，所有获取了招标文件的潜在投标人登录云南省公共资源交易中心（网址：https://ggzy.yn.gov.cn/#/homePage）凭企业身份认证数字证书（CA）查看澄清内容。</w:t>
            </w:r>
          </w:p>
        </w:tc>
      </w:tr>
      <w:tr w14:paraId="3752C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0F4758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1.11</w:t>
            </w:r>
          </w:p>
        </w:tc>
        <w:tc>
          <w:tcPr>
            <w:tcW w:w="2046" w:type="dxa"/>
            <w:tcBorders>
              <w:top w:val="outset" w:color="auto" w:sz="6" w:space="0"/>
              <w:left w:val="outset" w:color="auto" w:sz="6" w:space="0"/>
              <w:bottom w:val="outset" w:color="auto" w:sz="6" w:space="0"/>
              <w:right w:val="outset" w:color="auto" w:sz="6" w:space="0"/>
            </w:tcBorders>
            <w:vAlign w:val="center"/>
          </w:tcPr>
          <w:p w14:paraId="6F78FE2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违法转</w:t>
            </w:r>
            <w:r>
              <w:rPr>
                <w:rFonts w:hint="eastAsia" w:ascii="宋体" w:hAnsi="宋体" w:eastAsia="宋体" w:cs="宋体"/>
                <w:color w:val="000000" w:themeColor="text1"/>
                <w:szCs w:val="21"/>
                <w14:textFill>
                  <w14:solidFill>
                    <w14:schemeClr w14:val="tx1"/>
                  </w14:solidFill>
                </w14:textFill>
              </w:rPr>
              <w:t>包</w:t>
            </w:r>
          </w:p>
        </w:tc>
        <w:tc>
          <w:tcPr>
            <w:tcW w:w="6471" w:type="dxa"/>
            <w:tcBorders>
              <w:top w:val="outset" w:color="auto" w:sz="6" w:space="0"/>
              <w:left w:val="outset" w:color="auto" w:sz="6" w:space="0"/>
              <w:bottom w:val="outset" w:color="auto" w:sz="6" w:space="0"/>
              <w:right w:val="single" w:color="auto" w:sz="12" w:space="0"/>
            </w:tcBorders>
            <w:vAlign w:val="center"/>
          </w:tcPr>
          <w:p w14:paraId="74B5FA0A">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■不允许</w:t>
            </w:r>
          </w:p>
          <w:p w14:paraId="67201467">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□允许</w:t>
            </w:r>
          </w:p>
        </w:tc>
      </w:tr>
      <w:tr w14:paraId="73A8D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618D6A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1.12</w:t>
            </w:r>
          </w:p>
        </w:tc>
        <w:tc>
          <w:tcPr>
            <w:tcW w:w="2046" w:type="dxa"/>
            <w:tcBorders>
              <w:top w:val="outset" w:color="auto" w:sz="6" w:space="0"/>
              <w:left w:val="outset" w:color="auto" w:sz="6" w:space="0"/>
              <w:bottom w:val="outset" w:color="auto" w:sz="6" w:space="0"/>
              <w:right w:val="outset" w:color="auto" w:sz="6" w:space="0"/>
            </w:tcBorders>
            <w:vAlign w:val="center"/>
          </w:tcPr>
          <w:p w14:paraId="74593B2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偏离</w:t>
            </w:r>
          </w:p>
        </w:tc>
        <w:tc>
          <w:tcPr>
            <w:tcW w:w="6471" w:type="dxa"/>
            <w:tcBorders>
              <w:top w:val="outset" w:color="auto" w:sz="6" w:space="0"/>
              <w:left w:val="outset" w:color="auto" w:sz="6" w:space="0"/>
              <w:bottom w:val="outset" w:color="auto" w:sz="6" w:space="0"/>
              <w:right w:val="single" w:color="auto" w:sz="12" w:space="0"/>
            </w:tcBorders>
            <w:vAlign w:val="center"/>
          </w:tcPr>
          <w:p w14:paraId="407C45FA">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■不允许</w:t>
            </w:r>
          </w:p>
          <w:p w14:paraId="0FE25ADF">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□允许</w:t>
            </w:r>
          </w:p>
        </w:tc>
      </w:tr>
      <w:tr w14:paraId="773D8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59616F8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2.1</w:t>
            </w:r>
          </w:p>
        </w:tc>
        <w:tc>
          <w:tcPr>
            <w:tcW w:w="2046" w:type="dxa"/>
            <w:tcBorders>
              <w:top w:val="outset" w:color="auto" w:sz="6" w:space="0"/>
              <w:left w:val="outset" w:color="auto" w:sz="6" w:space="0"/>
              <w:bottom w:val="outset" w:color="auto" w:sz="6" w:space="0"/>
              <w:right w:val="outset" w:color="auto" w:sz="6" w:space="0"/>
            </w:tcBorders>
            <w:vAlign w:val="center"/>
          </w:tcPr>
          <w:p w14:paraId="319C72D0">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构成招标文件的其他材料</w:t>
            </w:r>
          </w:p>
        </w:tc>
        <w:tc>
          <w:tcPr>
            <w:tcW w:w="6471" w:type="dxa"/>
            <w:tcBorders>
              <w:top w:val="outset" w:color="auto" w:sz="6" w:space="0"/>
              <w:left w:val="outset" w:color="auto" w:sz="6" w:space="0"/>
              <w:bottom w:val="outset" w:color="auto" w:sz="6" w:space="0"/>
              <w:right w:val="single" w:color="auto" w:sz="12" w:space="0"/>
            </w:tcBorders>
            <w:vAlign w:val="center"/>
          </w:tcPr>
          <w:p w14:paraId="5C0BA79A">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答疑书、补遗书或通知等。</w:t>
            </w:r>
          </w:p>
        </w:tc>
      </w:tr>
      <w:tr w14:paraId="16E8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1EE6130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2.2.1</w:t>
            </w:r>
          </w:p>
        </w:tc>
        <w:tc>
          <w:tcPr>
            <w:tcW w:w="2046" w:type="dxa"/>
            <w:tcBorders>
              <w:top w:val="outset" w:color="auto" w:sz="6" w:space="0"/>
              <w:left w:val="outset" w:color="auto" w:sz="6" w:space="0"/>
              <w:bottom w:val="outset" w:color="auto" w:sz="6" w:space="0"/>
              <w:right w:val="outset" w:color="auto" w:sz="6" w:space="0"/>
            </w:tcBorders>
            <w:vAlign w:val="center"/>
          </w:tcPr>
          <w:p w14:paraId="17ACD318">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投标人要求澄清招标文件的截止时间</w:t>
            </w:r>
          </w:p>
        </w:tc>
        <w:tc>
          <w:tcPr>
            <w:tcW w:w="6471" w:type="dxa"/>
            <w:tcBorders>
              <w:top w:val="outset" w:color="auto" w:sz="6" w:space="0"/>
              <w:left w:val="outset" w:color="auto" w:sz="6" w:space="0"/>
              <w:bottom w:val="outset" w:color="auto" w:sz="6" w:space="0"/>
              <w:right w:val="single" w:color="auto" w:sz="12" w:space="0"/>
            </w:tcBorders>
            <w:vAlign w:val="center"/>
          </w:tcPr>
          <w:p w14:paraId="7FA3E050">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同1.10.2的时间要求</w:t>
            </w:r>
          </w:p>
          <w:p w14:paraId="7010B043">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投标人应仔细阅读和检查招标文件的全部内容。如发现缺页或附件不全，应及时向招标人提出，以便补齐。如有疑问，请投标人在应当在投标截止时间</w:t>
            </w:r>
            <w:r>
              <w:rPr>
                <w:rFonts w:hint="eastAsia" w:ascii="宋体" w:hAnsi="宋体" w:eastAsia="宋体" w:cs="宋体"/>
                <w:color w:val="000000" w:themeColor="text1"/>
                <w:szCs w:val="21"/>
                <w:highlight w:val="none"/>
                <w:lang w:val="en-US" w:eastAsia="zh-CN"/>
                <w14:textFill>
                  <w14:solidFill>
                    <w14:schemeClr w14:val="tx1"/>
                  </w14:solidFill>
                </w14:textFill>
              </w:rPr>
              <w:t>10</w:t>
            </w:r>
            <w:r>
              <w:rPr>
                <w:rFonts w:hint="eastAsia" w:ascii="宋体" w:hAnsi="宋体" w:eastAsia="宋体" w:cs="宋体"/>
                <w:color w:val="000000" w:themeColor="text1"/>
                <w:szCs w:val="21"/>
                <w:highlight w:val="none"/>
                <w14:textFill>
                  <w14:solidFill>
                    <w14:schemeClr w14:val="tx1"/>
                  </w14:solidFill>
                </w14:textFill>
              </w:rPr>
              <w:t>日前，凭企业数字证书（CA）登录云南省公共资源交易信息网（网址：https://ggzy.yn.gov.cn/#/homePage）以在线不署名方式提交，要求招标人对招标文件予以澄清。</w:t>
            </w:r>
          </w:p>
        </w:tc>
      </w:tr>
      <w:tr w14:paraId="2E03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1BF3860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2.2.2</w:t>
            </w:r>
          </w:p>
        </w:tc>
        <w:tc>
          <w:tcPr>
            <w:tcW w:w="2046" w:type="dxa"/>
            <w:tcBorders>
              <w:top w:val="outset" w:color="auto" w:sz="6" w:space="0"/>
              <w:left w:val="outset" w:color="auto" w:sz="6" w:space="0"/>
              <w:bottom w:val="outset" w:color="auto" w:sz="6" w:space="0"/>
              <w:right w:val="outset" w:color="auto" w:sz="6" w:space="0"/>
            </w:tcBorders>
            <w:vAlign w:val="center"/>
          </w:tcPr>
          <w:p w14:paraId="45F34969">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投标截止时间</w:t>
            </w:r>
          </w:p>
        </w:tc>
        <w:tc>
          <w:tcPr>
            <w:tcW w:w="6471" w:type="dxa"/>
            <w:tcBorders>
              <w:top w:val="outset" w:color="auto" w:sz="6" w:space="0"/>
              <w:left w:val="outset" w:color="auto" w:sz="6" w:space="0"/>
              <w:bottom w:val="outset" w:color="auto" w:sz="6" w:space="0"/>
              <w:right w:val="single" w:color="auto" w:sz="12" w:space="0"/>
            </w:tcBorders>
            <w:vAlign w:val="center"/>
          </w:tcPr>
          <w:p w14:paraId="60FB0FC1">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u w:val="single"/>
                <w14:textFill>
                  <w14:solidFill>
                    <w14:schemeClr w14:val="tx1"/>
                  </w14:solidFill>
                </w14:textFill>
              </w:rPr>
              <w:t xml:space="preserve"> 202</w:t>
            </w:r>
            <w:r>
              <w:rPr>
                <w:rFonts w:hint="eastAsia" w:ascii="宋体" w:hAnsi="宋体" w:cs="宋体"/>
                <w:b/>
                <w:bCs/>
                <w:color w:val="000000" w:themeColor="text1"/>
                <w:szCs w:val="21"/>
                <w:highlight w:val="none"/>
                <w:u w:val="single"/>
                <w:lang w:val="en-US" w:eastAsia="zh-CN"/>
                <w14:textFill>
                  <w14:solidFill>
                    <w14:schemeClr w14:val="tx1"/>
                  </w14:solidFill>
                </w14:textFill>
              </w:rPr>
              <w:t>6</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年</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月</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日</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09</w:t>
            </w:r>
            <w:r>
              <w:rPr>
                <w:rFonts w:hint="eastAsia" w:ascii="宋体" w:hAnsi="宋体" w:eastAsia="宋体" w:cs="宋体"/>
                <w:b/>
                <w:bCs/>
                <w:color w:val="000000" w:themeColor="text1"/>
                <w:szCs w:val="21"/>
                <w:highlight w:val="none"/>
                <w14:textFill>
                  <w14:solidFill>
                    <w14:schemeClr w14:val="tx1"/>
                  </w14:solidFill>
                </w14:textFill>
              </w:rPr>
              <w:t>时</w:t>
            </w:r>
            <w:r>
              <w:rPr>
                <w:rFonts w:hint="eastAsia" w:ascii="宋体" w:hAnsi="宋体" w:eastAsia="宋体" w:cs="宋体"/>
                <w:b/>
                <w:bCs/>
                <w:color w:val="000000" w:themeColor="text1"/>
                <w:szCs w:val="21"/>
                <w:highlight w:val="none"/>
                <w:u w:val="single"/>
                <w14:textFill>
                  <w14:solidFill>
                    <w14:schemeClr w14:val="tx1"/>
                  </w14:solidFill>
                </w14:textFill>
              </w:rPr>
              <w:t>00</w:t>
            </w:r>
            <w:r>
              <w:rPr>
                <w:rFonts w:hint="eastAsia" w:ascii="宋体" w:hAnsi="宋体" w:eastAsia="宋体" w:cs="宋体"/>
                <w:b/>
                <w:bCs/>
                <w:color w:val="000000" w:themeColor="text1"/>
                <w:szCs w:val="21"/>
                <w:highlight w:val="none"/>
                <w14:textFill>
                  <w14:solidFill>
                    <w14:schemeClr w14:val="tx1"/>
                  </w14:solidFill>
                </w14:textFill>
              </w:rPr>
              <w:t>分</w:t>
            </w:r>
          </w:p>
        </w:tc>
      </w:tr>
      <w:tr w14:paraId="2F5B2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5EEE96A5">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2.2.3</w:t>
            </w:r>
          </w:p>
        </w:tc>
        <w:tc>
          <w:tcPr>
            <w:tcW w:w="2046" w:type="dxa"/>
            <w:tcBorders>
              <w:top w:val="outset" w:color="auto" w:sz="6" w:space="0"/>
              <w:left w:val="outset" w:color="auto" w:sz="6" w:space="0"/>
              <w:bottom w:val="outset" w:color="auto" w:sz="6" w:space="0"/>
              <w:right w:val="outset" w:color="auto" w:sz="6" w:space="0"/>
            </w:tcBorders>
            <w:vAlign w:val="center"/>
          </w:tcPr>
          <w:p w14:paraId="5311902D">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投标人确认收到招标文件澄清</w:t>
            </w:r>
          </w:p>
        </w:tc>
        <w:tc>
          <w:tcPr>
            <w:tcW w:w="6471" w:type="dxa"/>
            <w:tcBorders>
              <w:top w:val="outset" w:color="auto" w:sz="6" w:space="0"/>
              <w:left w:val="outset" w:color="auto" w:sz="6" w:space="0"/>
              <w:bottom w:val="outset" w:color="auto" w:sz="6" w:space="0"/>
              <w:right w:val="single" w:color="auto" w:sz="12" w:space="0"/>
            </w:tcBorders>
            <w:vAlign w:val="center"/>
          </w:tcPr>
          <w:p w14:paraId="25047C79">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投标人应在投标截止时间前及时登录</w:t>
            </w:r>
            <w:r>
              <w:rPr>
                <w:rFonts w:hint="eastAsia" w:ascii="宋体" w:hAnsi="宋体" w:eastAsia="宋体" w:cs="宋体"/>
                <w:color w:val="000000" w:themeColor="text1"/>
                <w:szCs w:val="21"/>
                <w:lang w:eastAsia="zh-CN"/>
                <w14:textFill>
                  <w14:solidFill>
                    <w14:schemeClr w14:val="tx1"/>
                  </w14:solidFill>
                </w14:textFill>
              </w:rPr>
              <w:t>云南省公共资源交易信息网·曲靖市</w:t>
            </w:r>
            <w:r>
              <w:rPr>
                <w:rFonts w:hint="eastAsia" w:ascii="宋体" w:hAnsi="宋体" w:eastAsia="宋体" w:cs="宋体"/>
                <w:color w:val="000000" w:themeColor="text1"/>
                <w:szCs w:val="21"/>
                <w14:textFill>
                  <w14:solidFill>
                    <w14:schemeClr w14:val="tx1"/>
                  </w14:solidFill>
                </w14:textFill>
              </w:rPr>
              <w:t>（网址：</w:t>
            </w:r>
            <w:r>
              <w:rPr>
                <w:rFonts w:hint="eastAsia" w:ascii="宋体" w:hAnsi="宋体" w:eastAsia="宋体" w:cs="宋体"/>
                <w:color w:val="000000" w:themeColor="text1"/>
                <w:szCs w:val="21"/>
                <w:lang w:eastAsia="zh-CN"/>
                <w14:textFill>
                  <w14:solidFill>
                    <w14:schemeClr w14:val="tx1"/>
                  </w14:solidFill>
                </w14:textFill>
              </w:rPr>
              <w:t xml:space="preserve"> https://ggzy.yn.gov.cn/#/homePage</w:t>
            </w:r>
            <w:r>
              <w:rPr>
                <w:rFonts w:hint="eastAsia" w:ascii="宋体" w:hAnsi="宋体" w:eastAsia="宋体" w:cs="宋体"/>
                <w:color w:val="000000" w:themeColor="text1"/>
                <w:szCs w:val="21"/>
                <w14:textFill>
                  <w14:solidFill>
                    <w14:schemeClr w14:val="tx1"/>
                  </w14:solidFill>
                </w14:textFill>
              </w:rPr>
              <w:t>）中查看有关该项目招标文件的答疑、补遗内容。否则，后果自负。</w:t>
            </w:r>
          </w:p>
        </w:tc>
      </w:tr>
      <w:tr w14:paraId="422CC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3CA0B4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2.3.1</w:t>
            </w:r>
          </w:p>
        </w:tc>
        <w:tc>
          <w:tcPr>
            <w:tcW w:w="2046" w:type="dxa"/>
            <w:tcBorders>
              <w:top w:val="outset" w:color="auto" w:sz="6" w:space="0"/>
              <w:left w:val="outset" w:color="auto" w:sz="6" w:space="0"/>
              <w:bottom w:val="outset" w:color="auto" w:sz="6" w:space="0"/>
              <w:right w:val="outset" w:color="auto" w:sz="6" w:space="0"/>
            </w:tcBorders>
            <w:vAlign w:val="center"/>
          </w:tcPr>
          <w:p w14:paraId="3826CD70">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招标文件的修改截止时间</w:t>
            </w:r>
          </w:p>
        </w:tc>
        <w:tc>
          <w:tcPr>
            <w:tcW w:w="6471" w:type="dxa"/>
            <w:tcBorders>
              <w:top w:val="outset" w:color="auto" w:sz="6" w:space="0"/>
              <w:left w:val="outset" w:color="auto" w:sz="6" w:space="0"/>
              <w:bottom w:val="outset" w:color="auto" w:sz="6" w:space="0"/>
              <w:right w:val="single" w:color="auto" w:sz="12" w:space="0"/>
            </w:tcBorders>
            <w:vAlign w:val="center"/>
          </w:tcPr>
          <w:p w14:paraId="27E022CA">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在投标截止时间15日前，确需要变更招标文件内容的，招标人可主动或在解答投标人提出的澄清问题时对招标文件进行修改。招标人无论对评标办法、评审项目等重要评审内容作何种变更，都要重新制作电子招标文件，同时发布补遗文件进行说明以保证各投标人都能重新下载最新的电子招标文件用于编制电子投标文件。招标文件的修改将在“</w:t>
            </w:r>
            <w:r>
              <w:rPr>
                <w:rFonts w:hint="eastAsia" w:ascii="宋体" w:hAnsi="宋体" w:eastAsia="宋体" w:cs="宋体"/>
                <w:color w:val="000000" w:themeColor="text1"/>
                <w:szCs w:val="21"/>
                <w:lang w:eastAsia="zh-CN"/>
                <w14:textFill>
                  <w14:solidFill>
                    <w14:schemeClr w14:val="tx1"/>
                  </w14:solidFill>
                </w14:textFill>
              </w:rPr>
              <w:t>云南省公共资源交易信息网（网址：https://ggzy.yn.gov.cn/#/homePage）</w:t>
            </w:r>
            <w:r>
              <w:rPr>
                <w:rFonts w:hint="eastAsia" w:ascii="宋体" w:hAnsi="宋体" w:eastAsia="宋体" w:cs="宋体"/>
                <w:color w:val="000000" w:themeColor="text1"/>
                <w:szCs w:val="21"/>
                <w14:textFill>
                  <w14:solidFill>
                    <w14:schemeClr w14:val="tx1"/>
                  </w14:solidFill>
                </w14:textFill>
              </w:rPr>
              <w:t>发布，招标文件的修改作为招标文件的组成部分，并具有约束力。但如果修改招标文件的时间距投标截止时间不足15天，并且修改内容影响投标文件编制的，将相应延长投标截止时间。</w:t>
            </w:r>
          </w:p>
        </w:tc>
      </w:tr>
      <w:tr w14:paraId="62C31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9F343FD">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2.3.2</w:t>
            </w:r>
          </w:p>
        </w:tc>
        <w:tc>
          <w:tcPr>
            <w:tcW w:w="2046" w:type="dxa"/>
            <w:tcBorders>
              <w:top w:val="outset" w:color="auto" w:sz="6" w:space="0"/>
              <w:left w:val="outset" w:color="auto" w:sz="6" w:space="0"/>
              <w:bottom w:val="outset" w:color="auto" w:sz="6" w:space="0"/>
              <w:right w:val="outset" w:color="auto" w:sz="6" w:space="0"/>
            </w:tcBorders>
            <w:vAlign w:val="center"/>
          </w:tcPr>
          <w:p w14:paraId="7E377EB0">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投标人确认收到招标文件修改</w:t>
            </w:r>
          </w:p>
        </w:tc>
        <w:tc>
          <w:tcPr>
            <w:tcW w:w="6471" w:type="dxa"/>
            <w:tcBorders>
              <w:top w:val="outset" w:color="auto" w:sz="6" w:space="0"/>
              <w:left w:val="outset" w:color="auto" w:sz="6" w:space="0"/>
              <w:bottom w:val="outset" w:color="auto" w:sz="6" w:space="0"/>
              <w:right w:val="single" w:color="auto" w:sz="12" w:space="0"/>
            </w:tcBorders>
            <w:vAlign w:val="center"/>
          </w:tcPr>
          <w:p w14:paraId="5E853C09">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自行登录云南省公共资源交易信息网（网址：https://ggzy.yn.gov.cn/#/homePage）收取修改内容，无须回复确认已收到该修改。投标人应在截标时间前随时查看“云南省公共资源交易信息网”中有关该项目招标文件的答疑、补遗内容。否则，由此引起的投标损失自负。</w:t>
            </w:r>
          </w:p>
        </w:tc>
      </w:tr>
      <w:tr w14:paraId="5B351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287C016E">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3.1.1</w:t>
            </w:r>
          </w:p>
        </w:tc>
        <w:tc>
          <w:tcPr>
            <w:tcW w:w="2046" w:type="dxa"/>
            <w:tcBorders>
              <w:top w:val="outset" w:color="auto" w:sz="6" w:space="0"/>
              <w:left w:val="outset" w:color="auto" w:sz="6" w:space="0"/>
              <w:bottom w:val="outset" w:color="auto" w:sz="6" w:space="0"/>
              <w:right w:val="outset" w:color="auto" w:sz="6" w:space="0"/>
            </w:tcBorders>
            <w:vAlign w:val="center"/>
          </w:tcPr>
          <w:p w14:paraId="39AB9628">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构成投标文件的其他材料</w:t>
            </w:r>
          </w:p>
        </w:tc>
        <w:tc>
          <w:tcPr>
            <w:tcW w:w="6471" w:type="dxa"/>
            <w:tcBorders>
              <w:top w:val="outset" w:color="auto" w:sz="6" w:space="0"/>
              <w:left w:val="outset" w:color="auto" w:sz="6" w:space="0"/>
              <w:bottom w:val="outset" w:color="auto" w:sz="6" w:space="0"/>
              <w:right w:val="single" w:color="auto" w:sz="12" w:space="0"/>
            </w:tcBorders>
            <w:vAlign w:val="center"/>
          </w:tcPr>
          <w:p w14:paraId="6EB22FD2">
            <w:pP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中标人在领取中标通知书时：需提供电子版U盘壹份内容包含电子版投标文件（电子投标文件内容格式与网上递交上传的电子版格式一致PDF）及纸质投标文件</w:t>
            </w:r>
            <w:r>
              <w:rPr>
                <w:rFonts w:hint="eastAsia" w:ascii="宋体" w:hAnsi="宋体" w:eastAsia="宋体" w:cs="宋体"/>
                <w:color w:val="000000" w:themeColor="text1"/>
                <w:szCs w:val="21"/>
                <w:highlight w:val="none"/>
                <w:lang w:val="en-US" w:eastAsia="zh-CN"/>
                <w14:textFill>
                  <w14:solidFill>
                    <w14:schemeClr w14:val="tx1"/>
                  </w14:solidFill>
                </w14:textFill>
              </w:rPr>
              <w:t>叁</w:t>
            </w:r>
            <w:r>
              <w:rPr>
                <w:rFonts w:hint="eastAsia" w:ascii="宋体" w:hAnsi="宋体" w:eastAsia="宋体" w:cs="宋体"/>
                <w:color w:val="000000" w:themeColor="text1"/>
                <w:szCs w:val="21"/>
                <w:highlight w:val="none"/>
                <w14:textFill>
                  <w14:solidFill>
                    <w14:schemeClr w14:val="tx1"/>
                  </w14:solidFill>
                </w14:textFill>
              </w:rPr>
              <w:t>份。</w:t>
            </w:r>
          </w:p>
        </w:tc>
      </w:tr>
      <w:tr w14:paraId="15B9C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442DF1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3.2.3</w:t>
            </w:r>
          </w:p>
        </w:tc>
        <w:tc>
          <w:tcPr>
            <w:tcW w:w="2046" w:type="dxa"/>
            <w:tcBorders>
              <w:top w:val="outset" w:color="auto" w:sz="6" w:space="0"/>
              <w:left w:val="outset" w:color="auto" w:sz="6" w:space="0"/>
              <w:bottom w:val="outset" w:color="auto" w:sz="6" w:space="0"/>
              <w:right w:val="outset" w:color="auto" w:sz="6" w:space="0"/>
            </w:tcBorders>
            <w:vAlign w:val="center"/>
          </w:tcPr>
          <w:p w14:paraId="70BE4C0D">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计价方式</w:t>
            </w:r>
          </w:p>
        </w:tc>
        <w:tc>
          <w:tcPr>
            <w:tcW w:w="6471" w:type="dxa"/>
            <w:tcBorders>
              <w:top w:val="outset" w:color="auto" w:sz="6" w:space="0"/>
              <w:left w:val="outset" w:color="auto" w:sz="6" w:space="0"/>
              <w:bottom w:val="outset" w:color="auto" w:sz="6" w:space="0"/>
              <w:right w:val="single" w:color="auto" w:sz="12" w:space="0"/>
            </w:tcBorders>
            <w:vAlign w:val="center"/>
          </w:tcPr>
          <w:p w14:paraId="5D99F37A">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工程量清单计价</w:t>
            </w:r>
          </w:p>
        </w:tc>
      </w:tr>
      <w:tr w14:paraId="2CC1E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1782B9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3.3.1</w:t>
            </w:r>
          </w:p>
        </w:tc>
        <w:tc>
          <w:tcPr>
            <w:tcW w:w="2046" w:type="dxa"/>
            <w:tcBorders>
              <w:top w:val="outset" w:color="auto" w:sz="6" w:space="0"/>
              <w:left w:val="outset" w:color="auto" w:sz="6" w:space="0"/>
              <w:bottom w:val="outset" w:color="auto" w:sz="6" w:space="0"/>
              <w:right w:val="outset" w:color="auto" w:sz="6" w:space="0"/>
            </w:tcBorders>
            <w:vAlign w:val="center"/>
          </w:tcPr>
          <w:p w14:paraId="35696FA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投标有效期</w:t>
            </w:r>
          </w:p>
        </w:tc>
        <w:tc>
          <w:tcPr>
            <w:tcW w:w="6471" w:type="dxa"/>
            <w:tcBorders>
              <w:top w:val="outset" w:color="auto" w:sz="6" w:space="0"/>
              <w:left w:val="outset" w:color="auto" w:sz="6" w:space="0"/>
              <w:bottom w:val="outset" w:color="auto" w:sz="6" w:space="0"/>
              <w:right w:val="single" w:color="auto" w:sz="12" w:space="0"/>
            </w:tcBorders>
            <w:vAlign w:val="center"/>
          </w:tcPr>
          <w:p w14:paraId="52A3270A">
            <w:pPr>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9</w:t>
            </w:r>
            <w:r>
              <w:rPr>
                <w:rFonts w:hint="eastAsia" w:ascii="宋体" w:hAnsi="宋体" w:cs="宋体"/>
                <w:color w:val="000000" w:themeColor="text1"/>
                <w:szCs w:val="21"/>
                <w:lang w:eastAsia="zh-CN"/>
                <w14:textFill>
                  <w14:solidFill>
                    <w14:schemeClr w14:val="tx1"/>
                  </w14:solidFill>
                </w14:textFill>
              </w:rPr>
              <w:t>0日历天</w:t>
            </w:r>
          </w:p>
        </w:tc>
      </w:tr>
      <w:tr w14:paraId="70AD9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D1E5496">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3.4.1</w:t>
            </w:r>
          </w:p>
        </w:tc>
        <w:tc>
          <w:tcPr>
            <w:tcW w:w="2046" w:type="dxa"/>
            <w:tcBorders>
              <w:top w:val="outset" w:color="auto" w:sz="6" w:space="0"/>
              <w:left w:val="outset" w:color="auto" w:sz="6" w:space="0"/>
              <w:bottom w:val="outset" w:color="auto" w:sz="6" w:space="0"/>
              <w:right w:val="outset" w:color="auto" w:sz="6" w:space="0"/>
            </w:tcBorders>
            <w:vAlign w:val="center"/>
          </w:tcPr>
          <w:p w14:paraId="3101B0F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投标保证金</w:t>
            </w:r>
          </w:p>
        </w:tc>
        <w:tc>
          <w:tcPr>
            <w:tcW w:w="6471" w:type="dxa"/>
            <w:tcBorders>
              <w:top w:val="outset" w:color="auto" w:sz="6" w:space="0"/>
              <w:left w:val="outset" w:color="auto" w:sz="6" w:space="0"/>
              <w:bottom w:val="outset" w:color="auto" w:sz="6" w:space="0"/>
              <w:right w:val="single" w:color="auto" w:sz="12" w:space="0"/>
            </w:tcBorders>
            <w:vAlign w:val="center"/>
          </w:tcPr>
          <w:p w14:paraId="255295E7">
            <w:pPr>
              <w:widowControl/>
              <w:spacing w:line="360" w:lineRule="auto"/>
              <w:jc w:val="lef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本项目不需要缴纳投标保证金</w:t>
            </w:r>
          </w:p>
          <w:p w14:paraId="27D0F3EA">
            <w:pPr>
              <w:widowControl/>
              <w:spacing w:line="36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落实《云南省人民政府关于印发</w:t>
            </w:r>
            <w:r>
              <w:rPr>
                <w:rFonts w:hint="eastAsia" w:ascii="宋体" w:hAnsi="宋体" w:cs="宋体"/>
                <w:color w:val="000000" w:themeColor="text1"/>
                <w:szCs w:val="21"/>
                <w:highlight w:val="none"/>
                <w:lang w:val="en-US" w:eastAsia="zh-CN"/>
                <w14:textFill>
                  <w14:solidFill>
                    <w14:schemeClr w14:val="tx1"/>
                  </w14:solidFill>
                </w14:textFill>
              </w:rPr>
              <w:t>2025年</w:t>
            </w:r>
            <w:r>
              <w:rPr>
                <w:rFonts w:hint="eastAsia" w:ascii="宋体" w:hAnsi="宋体" w:eastAsia="宋体" w:cs="宋体"/>
                <w:color w:val="000000" w:themeColor="text1"/>
                <w:szCs w:val="21"/>
                <w:highlight w:val="none"/>
                <w:lang w:val="en-US" w:eastAsia="zh-CN"/>
                <w14:textFill>
                  <w14:solidFill>
                    <w14:schemeClr w14:val="tx1"/>
                  </w14:solidFill>
                </w14:textFill>
              </w:rPr>
              <w:t>进一步推动经济稳进提质政策措施的通知》(云政发(2024)7号)、《云南省发展和改革委员会等部门关于鼓励减免政府投资项目投标保证金的通知》(云发改交易管理(2023)397号)要求，按规定减免投标保证金或推广保函(保险)替代现金缴纳投标保证金，降低市场主体特别是中小企业交易成本，优化招标投标领域营商环境。对依法必须招标且标的金额1000万元以下(含1000万元)的政府投资项目，免收无失信记录企业投标保证金。</w:t>
            </w:r>
          </w:p>
        </w:tc>
      </w:tr>
      <w:tr w14:paraId="69AE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3071F39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3.5.2</w:t>
            </w:r>
          </w:p>
        </w:tc>
        <w:tc>
          <w:tcPr>
            <w:tcW w:w="2046" w:type="dxa"/>
            <w:tcBorders>
              <w:top w:val="outset" w:color="auto" w:sz="6" w:space="0"/>
              <w:left w:val="outset" w:color="auto" w:sz="6" w:space="0"/>
              <w:bottom w:val="outset" w:color="auto" w:sz="6" w:space="0"/>
              <w:right w:val="outset" w:color="auto" w:sz="6" w:space="0"/>
            </w:tcBorders>
            <w:vAlign w:val="center"/>
          </w:tcPr>
          <w:p w14:paraId="6F57940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近年财务状况的年份要求</w:t>
            </w:r>
          </w:p>
        </w:tc>
        <w:tc>
          <w:tcPr>
            <w:tcW w:w="6471" w:type="dxa"/>
            <w:tcBorders>
              <w:top w:val="outset" w:color="auto" w:sz="6" w:space="0"/>
              <w:left w:val="outset" w:color="auto" w:sz="6" w:space="0"/>
              <w:bottom w:val="outset" w:color="auto" w:sz="6" w:space="0"/>
              <w:right w:val="single" w:color="auto" w:sz="12" w:space="0"/>
            </w:tcBorders>
            <w:vAlign w:val="center"/>
          </w:tcPr>
          <w:p w14:paraId="57743926">
            <w:pPr>
              <w:rPr>
                <w:rFonts w:hint="eastAsia" w:ascii="宋体" w:hAnsi="宋体" w:eastAsia="宋体" w:cs="宋体"/>
                <w:color w:val="000000" w:themeColor="text1"/>
                <w:szCs w:val="21"/>
                <w:lang w:val="en-US" w:eastAsia="zh-CN"/>
                <w14:textFill>
                  <w14:solidFill>
                    <w14:schemeClr w14:val="tx1"/>
                  </w14:solidFill>
                </w14:textFill>
              </w:rPr>
            </w:pPr>
            <w:r>
              <w:rPr>
                <w:rFonts w:ascii="Wingdings" w:hAnsi="Wingdings" w:eastAsia="宋体" w:cs="宋体"/>
                <w:color w:val="000000" w:themeColor="text1"/>
                <w:highlight w:val="none"/>
                <w14:textFill>
                  <w14:solidFill>
                    <w14:schemeClr w14:val="tx1"/>
                  </w14:solidFill>
                </w14:textFill>
              </w:rPr>
              <w:sym w:font="Wingdings" w:char="00FE"/>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有       </w:t>
            </w:r>
            <w:r>
              <w:rPr>
                <w:rFonts w:ascii="Wingdings" w:hAnsi="Wingdings" w:eastAsia="宋体" w:cs="宋体"/>
                <w:color w:val="000000" w:themeColor="text1"/>
                <w:highlight w:val="none"/>
                <w14:textFill>
                  <w14:solidFill>
                    <w14:schemeClr w14:val="tx1"/>
                  </w14:solidFill>
                </w14:textFill>
              </w:rPr>
              <w:sym w:font="Wingdings" w:char="00A8"/>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无</w:t>
            </w:r>
          </w:p>
        </w:tc>
      </w:tr>
      <w:tr w14:paraId="08BC8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27F8E25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3.5.3</w:t>
            </w:r>
          </w:p>
        </w:tc>
        <w:tc>
          <w:tcPr>
            <w:tcW w:w="2046" w:type="dxa"/>
            <w:tcBorders>
              <w:top w:val="outset" w:color="auto" w:sz="6" w:space="0"/>
              <w:left w:val="outset" w:color="auto" w:sz="6" w:space="0"/>
              <w:bottom w:val="outset" w:color="auto" w:sz="6" w:space="0"/>
              <w:right w:val="outset" w:color="auto" w:sz="6" w:space="0"/>
            </w:tcBorders>
            <w:vAlign w:val="center"/>
          </w:tcPr>
          <w:p w14:paraId="2E419726">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近年完成的业绩年份要求</w:t>
            </w:r>
          </w:p>
        </w:tc>
        <w:tc>
          <w:tcPr>
            <w:tcW w:w="6471" w:type="dxa"/>
            <w:tcBorders>
              <w:top w:val="outset" w:color="auto" w:sz="6" w:space="0"/>
              <w:left w:val="outset" w:color="auto" w:sz="6" w:space="0"/>
              <w:bottom w:val="outset" w:color="auto" w:sz="6" w:space="0"/>
              <w:right w:val="single" w:color="auto" w:sz="12" w:space="0"/>
            </w:tcBorders>
            <w:vAlign w:val="center"/>
          </w:tcPr>
          <w:p w14:paraId="31209105">
            <w:pPr>
              <w:rPr>
                <w:rFonts w:hint="eastAsia" w:ascii="宋体" w:hAnsi="宋体" w:eastAsia="宋体" w:cs="宋体"/>
                <w:color w:val="000000" w:themeColor="text1"/>
                <w:szCs w:val="21"/>
                <w14:textFill>
                  <w14:solidFill>
                    <w14:schemeClr w14:val="tx1"/>
                  </w14:solidFill>
                </w14:textFill>
              </w:rPr>
            </w:pPr>
            <w:r>
              <w:rPr>
                <w:rFonts w:ascii="Wingdings" w:hAnsi="Wingdings" w:eastAsia="宋体" w:cs="宋体"/>
                <w:color w:val="000000" w:themeColor="text1"/>
                <w:highlight w:val="none"/>
                <w14:textFill>
                  <w14:solidFill>
                    <w14:schemeClr w14:val="tx1"/>
                  </w14:solidFill>
                </w14:textFill>
              </w:rPr>
              <w:sym w:font="Wingdings" w:char="F0A8"/>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有       </w:t>
            </w:r>
            <w:r>
              <w:rPr>
                <w:rFonts w:ascii="Wingdings" w:hAnsi="Wingdings" w:eastAsia="宋体" w:cs="宋体"/>
                <w:color w:val="000000" w:themeColor="text1"/>
                <w:highlight w:val="none"/>
                <w14:textFill>
                  <w14:solidFill>
                    <w14:schemeClr w14:val="tx1"/>
                  </w14:solidFill>
                </w14:textFill>
              </w:rPr>
              <w:sym w:font="Wingdings" w:char="F0FE"/>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无</w:t>
            </w:r>
          </w:p>
        </w:tc>
      </w:tr>
      <w:tr w14:paraId="634A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2810E3E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3.6</w:t>
            </w:r>
          </w:p>
        </w:tc>
        <w:tc>
          <w:tcPr>
            <w:tcW w:w="2046" w:type="dxa"/>
            <w:tcBorders>
              <w:top w:val="outset" w:color="auto" w:sz="6" w:space="0"/>
              <w:left w:val="outset" w:color="auto" w:sz="6" w:space="0"/>
              <w:bottom w:val="outset" w:color="auto" w:sz="6" w:space="0"/>
              <w:right w:val="outset" w:color="auto" w:sz="6" w:space="0"/>
            </w:tcBorders>
            <w:vAlign w:val="center"/>
          </w:tcPr>
          <w:p w14:paraId="4F9349CE">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是否允许递交备选投标方案</w:t>
            </w:r>
          </w:p>
        </w:tc>
        <w:tc>
          <w:tcPr>
            <w:tcW w:w="6471" w:type="dxa"/>
            <w:tcBorders>
              <w:top w:val="outset" w:color="auto" w:sz="6" w:space="0"/>
              <w:left w:val="outset" w:color="auto" w:sz="6" w:space="0"/>
              <w:bottom w:val="outset" w:color="auto" w:sz="6" w:space="0"/>
              <w:right w:val="single" w:color="auto" w:sz="12" w:space="0"/>
            </w:tcBorders>
            <w:vAlign w:val="center"/>
          </w:tcPr>
          <w:p w14:paraId="7D8B6197">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■不允许</w:t>
            </w:r>
          </w:p>
          <w:p w14:paraId="0698439C">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□允许</w:t>
            </w:r>
          </w:p>
        </w:tc>
      </w:tr>
      <w:tr w14:paraId="13AC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4E5DAB6">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3.7.8</w:t>
            </w:r>
          </w:p>
        </w:tc>
        <w:tc>
          <w:tcPr>
            <w:tcW w:w="2046" w:type="dxa"/>
            <w:tcBorders>
              <w:top w:val="outset" w:color="auto" w:sz="6" w:space="0"/>
              <w:left w:val="outset" w:color="auto" w:sz="6" w:space="0"/>
              <w:bottom w:val="outset" w:color="auto" w:sz="6" w:space="0"/>
              <w:right w:val="outset" w:color="auto" w:sz="6" w:space="0"/>
            </w:tcBorders>
            <w:vAlign w:val="center"/>
          </w:tcPr>
          <w:p w14:paraId="136D02C0">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签字或盖章要求</w:t>
            </w:r>
          </w:p>
        </w:tc>
        <w:tc>
          <w:tcPr>
            <w:tcW w:w="6471" w:type="dxa"/>
            <w:tcBorders>
              <w:top w:val="outset" w:color="auto" w:sz="6" w:space="0"/>
              <w:left w:val="outset" w:color="auto" w:sz="6" w:space="0"/>
              <w:bottom w:val="outset" w:color="auto" w:sz="6" w:space="0"/>
              <w:right w:val="single" w:color="auto" w:sz="12" w:space="0"/>
            </w:tcBorders>
            <w:vAlign w:val="center"/>
          </w:tcPr>
          <w:p w14:paraId="427B9EE6">
            <w:pPr>
              <w:adjustRightInd w:val="0"/>
              <w:snapToGri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网上提交的投标文件须在要求企业盖章处盖电子签章；要求法定代表人签字处进行法定代表人电子签名</w:t>
            </w:r>
            <w:r>
              <w:rPr>
                <w:rFonts w:hint="eastAsia" w:ascii="宋体" w:hAnsi="宋体" w:cs="宋体"/>
                <w:color w:val="000000" w:themeColor="text1"/>
                <w:szCs w:val="21"/>
                <w:lang w:val="en-US" w:eastAsia="zh-CN"/>
                <w14:textFill>
                  <w14:solidFill>
                    <w14:schemeClr w14:val="tx1"/>
                  </w14:solidFill>
                </w14:textFill>
              </w:rPr>
              <w:t>及</w:t>
            </w:r>
            <w:r>
              <w:rPr>
                <w:rFonts w:hint="eastAsia" w:ascii="宋体" w:hAnsi="宋体" w:eastAsia="宋体" w:cs="宋体"/>
                <w:color w:val="000000" w:themeColor="text1"/>
                <w:szCs w:val="21"/>
                <w14:textFill>
                  <w14:solidFill>
                    <w14:schemeClr w14:val="tx1"/>
                  </w14:solidFill>
                </w14:textFill>
              </w:rPr>
              <w:t>法定代表人电子印章。</w:t>
            </w:r>
          </w:p>
        </w:tc>
      </w:tr>
      <w:tr w14:paraId="1246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7B13A3A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3.7.9</w:t>
            </w:r>
          </w:p>
        </w:tc>
        <w:tc>
          <w:tcPr>
            <w:tcW w:w="2046" w:type="dxa"/>
            <w:tcBorders>
              <w:top w:val="outset" w:color="auto" w:sz="6" w:space="0"/>
              <w:left w:val="outset" w:color="auto" w:sz="6" w:space="0"/>
              <w:bottom w:val="outset" w:color="auto" w:sz="6" w:space="0"/>
              <w:right w:val="outset" w:color="auto" w:sz="6" w:space="0"/>
            </w:tcBorders>
            <w:vAlign w:val="center"/>
          </w:tcPr>
          <w:p w14:paraId="04C28C4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投标文件</w:t>
            </w:r>
            <w:r>
              <w:rPr>
                <w:rFonts w:hint="eastAsia" w:ascii="宋体" w:hAnsi="宋体" w:eastAsia="宋体" w:cs="宋体"/>
                <w:color w:val="000000" w:themeColor="text1"/>
                <w:szCs w:val="21"/>
                <w:lang w:val="en-US" w:eastAsia="zh-CN"/>
                <w14:textFill>
                  <w14:solidFill>
                    <w14:schemeClr w14:val="tx1"/>
                  </w14:solidFill>
                </w14:textFill>
              </w:rPr>
              <w:t>纸质版</w:t>
            </w:r>
            <w:r>
              <w:rPr>
                <w:rFonts w:hint="eastAsia" w:ascii="宋体" w:hAnsi="宋体" w:eastAsia="宋体" w:cs="宋体"/>
                <w:color w:val="000000" w:themeColor="text1"/>
                <w:szCs w:val="21"/>
                <w14:textFill>
                  <w14:solidFill>
                    <w14:schemeClr w14:val="tx1"/>
                  </w14:solidFill>
                </w14:textFill>
              </w:rPr>
              <w:t>份数</w:t>
            </w:r>
          </w:p>
        </w:tc>
        <w:tc>
          <w:tcPr>
            <w:tcW w:w="6471" w:type="dxa"/>
            <w:tcBorders>
              <w:top w:val="outset" w:color="auto" w:sz="6" w:space="0"/>
              <w:left w:val="outset" w:color="auto" w:sz="6" w:space="0"/>
              <w:bottom w:val="outset" w:color="auto" w:sz="6" w:space="0"/>
              <w:right w:val="single" w:color="auto" w:sz="12" w:space="0"/>
            </w:tcBorders>
            <w:vAlign w:val="center"/>
          </w:tcPr>
          <w:p w14:paraId="6BCA1D84">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中标结果公示发布后，中标单位需提供三</w:t>
            </w:r>
            <w:r>
              <w:rPr>
                <w:rFonts w:hint="eastAsia" w:ascii="宋体" w:hAnsi="宋体" w:eastAsia="宋体" w:cs="宋体"/>
                <w:color w:val="000000" w:themeColor="text1"/>
                <w:szCs w:val="21"/>
                <w14:textFill>
                  <w14:solidFill>
                    <w14:schemeClr w14:val="tx1"/>
                  </w14:solidFill>
                </w14:textFill>
              </w:rPr>
              <w:t>份</w:t>
            </w:r>
            <w:r>
              <w:rPr>
                <w:rFonts w:hint="eastAsia" w:ascii="宋体" w:hAnsi="宋体" w:eastAsia="宋体" w:cs="宋体"/>
                <w:color w:val="000000" w:themeColor="text1"/>
                <w:szCs w:val="21"/>
                <w:lang w:val="en-US" w:eastAsia="zh-CN"/>
                <w14:textFill>
                  <w14:solidFill>
                    <w14:schemeClr w14:val="tx1"/>
                  </w14:solidFill>
                </w14:textFill>
              </w:rPr>
              <w:t>纸质投标文件</w:t>
            </w:r>
            <w:r>
              <w:rPr>
                <w:rFonts w:hint="eastAsia" w:ascii="宋体" w:hAnsi="宋体" w:eastAsia="宋体" w:cs="宋体"/>
                <w:color w:val="000000" w:themeColor="text1"/>
                <w:szCs w:val="21"/>
                <w14:textFill>
                  <w14:solidFill>
                    <w14:schemeClr w14:val="tx1"/>
                  </w14:solidFill>
                </w14:textFill>
              </w:rPr>
              <w:t>。</w:t>
            </w:r>
          </w:p>
        </w:tc>
      </w:tr>
      <w:tr w14:paraId="5624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062EB8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3.7.10</w:t>
            </w:r>
          </w:p>
        </w:tc>
        <w:tc>
          <w:tcPr>
            <w:tcW w:w="2046" w:type="dxa"/>
            <w:tcBorders>
              <w:top w:val="outset" w:color="auto" w:sz="6" w:space="0"/>
              <w:left w:val="outset" w:color="auto" w:sz="6" w:space="0"/>
              <w:bottom w:val="outset" w:color="auto" w:sz="6" w:space="0"/>
              <w:right w:val="outset" w:color="auto" w:sz="6" w:space="0"/>
            </w:tcBorders>
            <w:vAlign w:val="center"/>
          </w:tcPr>
          <w:p w14:paraId="7E82890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装订要求</w:t>
            </w:r>
          </w:p>
        </w:tc>
        <w:tc>
          <w:tcPr>
            <w:tcW w:w="6471" w:type="dxa"/>
            <w:tcBorders>
              <w:top w:val="outset" w:color="auto" w:sz="6" w:space="0"/>
              <w:left w:val="outset" w:color="auto" w:sz="6" w:space="0"/>
              <w:bottom w:val="outset" w:color="auto" w:sz="6" w:space="0"/>
              <w:right w:val="single" w:color="auto" w:sz="12" w:space="0"/>
            </w:tcBorders>
            <w:vAlign w:val="center"/>
          </w:tcPr>
          <w:p w14:paraId="07DB7DA2">
            <w:pP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开标时</w:t>
            </w:r>
            <w:r>
              <w:rPr>
                <w:rFonts w:hint="eastAsia" w:ascii="宋体" w:hAnsi="宋体" w:eastAsia="宋体" w:cs="宋体"/>
                <w:color w:val="000000" w:themeColor="text1"/>
                <w:szCs w:val="21"/>
                <w14:textFill>
                  <w14:solidFill>
                    <w14:schemeClr w14:val="tx1"/>
                  </w14:solidFill>
                </w14:textFill>
              </w:rPr>
              <w:t>纸质投标文件</w:t>
            </w:r>
            <w:r>
              <w:rPr>
                <w:rFonts w:hint="eastAsia" w:ascii="宋体" w:hAnsi="宋体" w:eastAsia="宋体" w:cs="宋体"/>
                <w:color w:val="000000" w:themeColor="text1"/>
                <w:szCs w:val="21"/>
                <w:lang w:val="en-US" w:eastAsia="zh-CN"/>
                <w14:textFill>
                  <w14:solidFill>
                    <w14:schemeClr w14:val="tx1"/>
                  </w14:solidFill>
                </w14:textFill>
              </w:rPr>
              <w:t>不需要提供。</w:t>
            </w:r>
          </w:p>
        </w:tc>
      </w:tr>
      <w:tr w14:paraId="0070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23994F92">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4.1.2</w:t>
            </w:r>
          </w:p>
        </w:tc>
        <w:tc>
          <w:tcPr>
            <w:tcW w:w="2046" w:type="dxa"/>
            <w:tcBorders>
              <w:top w:val="outset" w:color="auto" w:sz="6" w:space="0"/>
              <w:left w:val="outset" w:color="auto" w:sz="6" w:space="0"/>
              <w:bottom w:val="outset" w:color="auto" w:sz="6" w:space="0"/>
              <w:right w:val="outset" w:color="auto" w:sz="6" w:space="0"/>
            </w:tcBorders>
            <w:vAlign w:val="center"/>
          </w:tcPr>
          <w:p w14:paraId="1582B657">
            <w:pPr>
              <w:spacing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投标文件加密</w:t>
            </w:r>
          </w:p>
        </w:tc>
        <w:tc>
          <w:tcPr>
            <w:tcW w:w="6471" w:type="dxa"/>
            <w:tcBorders>
              <w:top w:val="outset" w:color="auto" w:sz="6" w:space="0"/>
              <w:left w:val="outset" w:color="auto" w:sz="6" w:space="0"/>
              <w:bottom w:val="outset" w:color="auto" w:sz="6" w:space="0"/>
              <w:right w:val="single" w:color="auto" w:sz="12" w:space="0"/>
            </w:tcBorders>
            <w:vAlign w:val="center"/>
          </w:tcPr>
          <w:p w14:paraId="73D9ABF9">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网上递交的投标文件应使用数字证书进行加密；</w:t>
            </w:r>
          </w:p>
        </w:tc>
      </w:tr>
      <w:tr w14:paraId="49C1C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366C33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4.2.2</w:t>
            </w:r>
          </w:p>
        </w:tc>
        <w:tc>
          <w:tcPr>
            <w:tcW w:w="2046" w:type="dxa"/>
            <w:tcBorders>
              <w:top w:val="outset" w:color="auto" w:sz="6" w:space="0"/>
              <w:left w:val="outset" w:color="auto" w:sz="6" w:space="0"/>
              <w:bottom w:val="outset" w:color="auto" w:sz="6" w:space="0"/>
              <w:right w:val="outset" w:color="auto" w:sz="6" w:space="0"/>
            </w:tcBorders>
            <w:vAlign w:val="center"/>
          </w:tcPr>
          <w:p w14:paraId="1A581709">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递交投标文件地点</w:t>
            </w:r>
          </w:p>
        </w:tc>
        <w:tc>
          <w:tcPr>
            <w:tcW w:w="6471" w:type="dxa"/>
            <w:tcBorders>
              <w:top w:val="outset" w:color="auto" w:sz="6" w:space="0"/>
              <w:left w:val="outset" w:color="auto" w:sz="6" w:space="0"/>
              <w:bottom w:val="outset" w:color="auto" w:sz="6" w:space="0"/>
              <w:right w:val="single" w:color="auto" w:sz="12" w:space="0"/>
            </w:tcBorders>
            <w:vAlign w:val="center"/>
          </w:tcPr>
          <w:p w14:paraId="473BB61A">
            <w:pPr>
              <w:widowControl/>
              <w:spacing w:line="240"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地点：会泽县公共资源交易中心开标厅（会泽县通宝路东端电子科技及信息产业园区新公共资源交易中心（万商会西侧）四楼</w:t>
            </w:r>
          </w:p>
          <w:p w14:paraId="03D5AE2F">
            <w:pPr>
              <w:pStyle w:val="22"/>
              <w:ind w:left="0" w:leftChars="0" w:firstLine="0" w:firstLineChars="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开启网上远程开标，无须到现场递交投标文件，远程开标操作流程详见云南省公共资源交易信息网平台《“网上开标远程解密操作指南--投标方”》，请投标人仔细阅读以保证开标顺利进行，若投标人没有在规定时间完成以上相关操作，则视为撤销其投标文件，不再进入评标阶段。全文与本条内容不一致的，请以本条款为准。</w:t>
            </w:r>
          </w:p>
        </w:tc>
      </w:tr>
      <w:tr w14:paraId="26213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F268E8E">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4.2.3</w:t>
            </w:r>
          </w:p>
        </w:tc>
        <w:tc>
          <w:tcPr>
            <w:tcW w:w="2046" w:type="dxa"/>
            <w:tcBorders>
              <w:top w:val="outset" w:color="auto" w:sz="6" w:space="0"/>
              <w:left w:val="outset" w:color="auto" w:sz="6" w:space="0"/>
              <w:bottom w:val="outset" w:color="auto" w:sz="6" w:space="0"/>
              <w:right w:val="outset" w:color="auto" w:sz="6" w:space="0"/>
            </w:tcBorders>
            <w:vAlign w:val="center"/>
          </w:tcPr>
          <w:p w14:paraId="725FA3DD">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是否退还投标文件</w:t>
            </w:r>
          </w:p>
        </w:tc>
        <w:tc>
          <w:tcPr>
            <w:tcW w:w="6471" w:type="dxa"/>
            <w:tcBorders>
              <w:top w:val="outset" w:color="auto" w:sz="6" w:space="0"/>
              <w:left w:val="outset" w:color="auto" w:sz="6" w:space="0"/>
              <w:bottom w:val="outset" w:color="auto" w:sz="6" w:space="0"/>
              <w:right w:val="single" w:color="auto" w:sz="12" w:space="0"/>
            </w:tcBorders>
            <w:vAlign w:val="center"/>
          </w:tcPr>
          <w:p w14:paraId="192E6EDC">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□是</w:t>
            </w:r>
          </w:p>
          <w:p w14:paraId="28348680">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■否</w:t>
            </w:r>
          </w:p>
        </w:tc>
      </w:tr>
      <w:tr w14:paraId="2EB49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3AF045A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5.1</w:t>
            </w:r>
          </w:p>
        </w:tc>
        <w:tc>
          <w:tcPr>
            <w:tcW w:w="2046" w:type="dxa"/>
            <w:tcBorders>
              <w:top w:val="outset" w:color="auto" w:sz="6" w:space="0"/>
              <w:left w:val="outset" w:color="auto" w:sz="6" w:space="0"/>
              <w:bottom w:val="outset" w:color="auto" w:sz="6" w:space="0"/>
              <w:right w:val="outset" w:color="auto" w:sz="6" w:space="0"/>
            </w:tcBorders>
            <w:vAlign w:val="center"/>
          </w:tcPr>
          <w:p w14:paraId="22E1494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开标时间和地点</w:t>
            </w:r>
          </w:p>
        </w:tc>
        <w:tc>
          <w:tcPr>
            <w:tcW w:w="6471" w:type="dxa"/>
            <w:tcBorders>
              <w:top w:val="outset" w:color="auto" w:sz="6" w:space="0"/>
              <w:left w:val="outset" w:color="auto" w:sz="6" w:space="0"/>
              <w:bottom w:val="outset" w:color="auto" w:sz="6" w:space="0"/>
              <w:right w:val="single" w:color="auto" w:sz="12" w:space="0"/>
            </w:tcBorders>
            <w:vAlign w:val="center"/>
          </w:tcPr>
          <w:p w14:paraId="22B1E213">
            <w:pP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开标时间</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b/>
                <w:bCs/>
                <w:color w:val="000000" w:themeColor="text1"/>
                <w:szCs w:val="21"/>
                <w:highlight w:val="none"/>
                <w:u w:val="single"/>
                <w14:textFill>
                  <w14:solidFill>
                    <w14:schemeClr w14:val="tx1"/>
                  </w14:solidFill>
                </w14:textFill>
              </w:rPr>
              <w:t xml:space="preserve"> </w:t>
            </w:r>
            <w:r>
              <w:rPr>
                <w:rFonts w:hint="eastAsia" w:ascii="宋体" w:hAnsi="宋体" w:cs="宋体"/>
                <w:b/>
                <w:bCs/>
                <w:color w:val="000000" w:themeColor="text1"/>
                <w:szCs w:val="21"/>
                <w:highlight w:val="none"/>
                <w:u w:val="single"/>
                <w:lang w:eastAsia="zh-CN"/>
                <w14:textFill>
                  <w14:solidFill>
                    <w14:schemeClr w14:val="tx1"/>
                  </w14:solidFill>
                </w14:textFill>
              </w:rPr>
              <w:t>202</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6 </w:t>
            </w:r>
            <w:r>
              <w:rPr>
                <w:rFonts w:hint="eastAsia" w:ascii="宋体" w:hAnsi="宋体" w:cs="宋体"/>
                <w:b/>
                <w:bCs/>
                <w:color w:val="000000" w:themeColor="text1"/>
                <w:szCs w:val="21"/>
                <w:highlight w:val="none"/>
                <w:u w:val="none"/>
                <w:lang w:eastAsia="zh-CN"/>
                <w14:textFill>
                  <w14:solidFill>
                    <w14:schemeClr w14:val="tx1"/>
                  </w14:solidFill>
                </w14:textFill>
              </w:rPr>
              <w:t>年</w:t>
            </w:r>
            <w:r>
              <w:rPr>
                <w:rFonts w:hint="eastAsia" w:ascii="宋体" w:hAnsi="宋体" w:cs="宋体"/>
                <w:b/>
                <w:bCs/>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月</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日</w:t>
            </w:r>
            <w:r>
              <w:rPr>
                <w:rFonts w:hint="eastAsia" w:ascii="宋体" w:hAnsi="宋体" w:eastAsia="宋体" w:cs="宋体"/>
                <w:b/>
                <w:bCs/>
                <w:color w:val="000000" w:themeColor="text1"/>
                <w:szCs w:val="21"/>
                <w:highlight w:val="none"/>
                <w:u w:val="single"/>
                <w14:textFill>
                  <w14:solidFill>
                    <w14:schemeClr w14:val="tx1"/>
                  </w14:solidFill>
                </w14:textFill>
              </w:rPr>
              <w:t xml:space="preserve"> </w:t>
            </w:r>
            <w:r>
              <w:rPr>
                <w:rFonts w:hint="eastAsia" w:ascii="宋体" w:hAnsi="宋体" w:eastAsia="宋体" w:cs="宋体"/>
                <w:b/>
                <w:bCs/>
                <w:color w:val="000000" w:themeColor="text1"/>
                <w:szCs w:val="21"/>
                <w:highlight w:val="none"/>
                <w:u w:val="single"/>
                <w:lang w:val="en-US" w:eastAsia="zh-CN"/>
                <w14:textFill>
                  <w14:solidFill>
                    <w14:schemeClr w14:val="tx1"/>
                  </w14:solidFill>
                </w14:textFill>
              </w:rPr>
              <w:t>09</w:t>
            </w:r>
            <w:r>
              <w:rPr>
                <w:rFonts w:hint="eastAsia" w:ascii="宋体" w:hAnsi="宋体" w:eastAsia="宋体" w:cs="宋体"/>
                <w:b/>
                <w:bCs/>
                <w:color w:val="000000" w:themeColor="text1"/>
                <w:szCs w:val="21"/>
                <w:highlight w:val="none"/>
                <w:u w:val="single"/>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时</w:t>
            </w:r>
            <w:r>
              <w:rPr>
                <w:rFonts w:hint="eastAsia" w:ascii="宋体" w:hAnsi="宋体" w:eastAsia="宋体" w:cs="宋体"/>
                <w:b/>
                <w:bCs/>
                <w:color w:val="000000" w:themeColor="text1"/>
                <w:szCs w:val="21"/>
                <w:highlight w:val="none"/>
                <w:u w:val="single"/>
                <w14:textFill>
                  <w14:solidFill>
                    <w14:schemeClr w14:val="tx1"/>
                  </w14:solidFill>
                </w14:textFill>
              </w:rPr>
              <w:t>00</w:t>
            </w:r>
            <w:r>
              <w:rPr>
                <w:rFonts w:hint="eastAsia" w:ascii="宋体" w:hAnsi="宋体" w:eastAsia="宋体" w:cs="宋体"/>
                <w:b/>
                <w:bCs/>
                <w:color w:val="000000" w:themeColor="text1"/>
                <w:szCs w:val="21"/>
                <w:highlight w:val="none"/>
                <w14:textFill>
                  <w14:solidFill>
                    <w14:schemeClr w14:val="tx1"/>
                  </w14:solidFill>
                </w14:textFill>
              </w:rPr>
              <w:t>分</w:t>
            </w:r>
          </w:p>
          <w:p w14:paraId="36D1868B">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开标地点：会泽县公共资源交易中心开标厅</w:t>
            </w:r>
            <w:r>
              <w:rPr>
                <w:rFonts w:hint="eastAsia" w:ascii="宋体" w:hAnsi="宋体" w:eastAsia="宋体" w:cs="宋体"/>
                <w:color w:val="000000" w:themeColor="text1"/>
                <w:szCs w:val="21"/>
                <w:highlight w:val="none"/>
                <w:lang w:eastAsia="zh-CN"/>
                <w14:textFill>
                  <w14:solidFill>
                    <w14:schemeClr w14:val="tx1"/>
                  </w14:solidFill>
                </w14:textFill>
              </w:rPr>
              <w:t>（会泽县通宝路东端电子科技及信息产业园区新公共资源交易中心（万商会西侧）</w:t>
            </w:r>
            <w:r>
              <w:rPr>
                <w:rFonts w:hint="eastAsia" w:ascii="宋体" w:hAnsi="宋体" w:eastAsia="宋体" w:cs="宋体"/>
                <w:color w:val="000000" w:themeColor="text1"/>
                <w:szCs w:val="21"/>
                <w:highlight w:val="none"/>
                <w:lang w:val="en-US" w:eastAsia="zh-CN"/>
                <w14:textFill>
                  <w14:solidFill>
                    <w14:schemeClr w14:val="tx1"/>
                  </w14:solidFill>
                </w14:textFill>
              </w:rPr>
              <w:t>四楼</w:t>
            </w:r>
          </w:p>
        </w:tc>
      </w:tr>
      <w:tr w14:paraId="47C7F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02DAD33">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5.2</w:t>
            </w:r>
          </w:p>
        </w:tc>
        <w:tc>
          <w:tcPr>
            <w:tcW w:w="2046" w:type="dxa"/>
            <w:tcBorders>
              <w:top w:val="outset" w:color="auto" w:sz="6" w:space="0"/>
              <w:left w:val="outset" w:color="auto" w:sz="6" w:space="0"/>
              <w:bottom w:val="outset" w:color="auto" w:sz="6" w:space="0"/>
              <w:right w:val="outset" w:color="auto" w:sz="6" w:space="0"/>
            </w:tcBorders>
            <w:vAlign w:val="center"/>
          </w:tcPr>
          <w:p w14:paraId="420060D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开标程序</w:t>
            </w:r>
          </w:p>
        </w:tc>
        <w:tc>
          <w:tcPr>
            <w:tcW w:w="6471" w:type="dxa"/>
            <w:tcBorders>
              <w:top w:val="outset" w:color="auto" w:sz="6" w:space="0"/>
              <w:left w:val="outset" w:color="auto" w:sz="6" w:space="0"/>
              <w:bottom w:val="outset" w:color="auto" w:sz="6" w:space="0"/>
              <w:right w:val="single" w:color="auto" w:sz="12" w:space="0"/>
            </w:tcBorders>
            <w:vAlign w:val="center"/>
          </w:tcPr>
          <w:p w14:paraId="7DF40404">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主持人按下列程序进行开标：</w:t>
            </w:r>
          </w:p>
          <w:p w14:paraId="1C73C47D">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1.宣布开标纪律；</w:t>
            </w:r>
          </w:p>
          <w:p w14:paraId="5DA167B6">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2.公布在投标截止时间前递交投标文件的投标人名称；</w:t>
            </w:r>
          </w:p>
          <w:p w14:paraId="1A014F71">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3.宣布开标人、唱标人、记录人、监督人等有关人员姓名；</w:t>
            </w:r>
          </w:p>
          <w:p w14:paraId="09D09759">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开标顺序：开标顺序按照电子公共资源交易平台自动提取所有供应商的顺序当众开标。主持人宣布开启电子投标文件后，投标人按照上述开标顺序，使用投标人编制投标文件时的加密数字证书对投标文件进行解密，公布投标人名称、投标保证金的递交情况、投标报价、质量目标、工期及其他内容，并记录在案。因投标人原因造成投标文件未解密的，视为撤销其投标文件；</w:t>
            </w:r>
          </w:p>
          <w:p w14:paraId="652725E2">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5.开标结束。</w:t>
            </w:r>
          </w:p>
        </w:tc>
      </w:tr>
      <w:tr w14:paraId="012F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5AACDB2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6.1.1</w:t>
            </w:r>
          </w:p>
        </w:tc>
        <w:tc>
          <w:tcPr>
            <w:tcW w:w="2046" w:type="dxa"/>
            <w:tcBorders>
              <w:top w:val="outset" w:color="auto" w:sz="6" w:space="0"/>
              <w:left w:val="outset" w:color="auto" w:sz="6" w:space="0"/>
              <w:bottom w:val="outset" w:color="auto" w:sz="6" w:space="0"/>
              <w:right w:val="outset" w:color="auto" w:sz="6" w:space="0"/>
            </w:tcBorders>
            <w:vAlign w:val="center"/>
          </w:tcPr>
          <w:p w14:paraId="58EFC15D">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评标委员会的组建</w:t>
            </w:r>
          </w:p>
        </w:tc>
        <w:tc>
          <w:tcPr>
            <w:tcW w:w="6471" w:type="dxa"/>
            <w:tcBorders>
              <w:top w:val="outset" w:color="auto" w:sz="6" w:space="0"/>
              <w:left w:val="outset" w:color="auto" w:sz="6" w:space="0"/>
              <w:bottom w:val="outset" w:color="auto" w:sz="6" w:space="0"/>
              <w:right w:val="single" w:color="auto" w:sz="12" w:space="0"/>
            </w:tcBorders>
            <w:vAlign w:val="center"/>
          </w:tcPr>
          <w:p w14:paraId="3E84EBB4">
            <w:pP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评标委员会构成：抽取专家人数 5 人，建设单位 专家 2 人。</w:t>
            </w:r>
          </w:p>
          <w:p w14:paraId="4A960BE8">
            <w:pP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评标专家确定方式：云南省专家库随机抽取</w:t>
            </w:r>
            <w:r>
              <w:rPr>
                <w:rFonts w:hint="eastAsia" w:ascii="宋体" w:hAnsi="宋体" w:cs="宋体"/>
                <w:color w:val="000000" w:themeColor="text1"/>
                <w:szCs w:val="21"/>
                <w:lang w:eastAsia="zh-CN"/>
                <w14:textFill>
                  <w14:solidFill>
                    <w14:schemeClr w14:val="tx1"/>
                  </w14:solidFill>
                </w14:textFill>
              </w:rPr>
              <w:t>。</w:t>
            </w:r>
          </w:p>
        </w:tc>
      </w:tr>
      <w:tr w14:paraId="7F63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5A785015">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7.1</w:t>
            </w:r>
          </w:p>
        </w:tc>
        <w:tc>
          <w:tcPr>
            <w:tcW w:w="2046" w:type="dxa"/>
            <w:tcBorders>
              <w:top w:val="outset" w:color="auto" w:sz="6" w:space="0"/>
              <w:left w:val="outset" w:color="auto" w:sz="6" w:space="0"/>
              <w:bottom w:val="outset" w:color="auto" w:sz="6" w:space="0"/>
              <w:right w:val="outset" w:color="auto" w:sz="6" w:space="0"/>
            </w:tcBorders>
            <w:vAlign w:val="center"/>
          </w:tcPr>
          <w:p w14:paraId="6196119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是否授权评标委员会确定中标人</w:t>
            </w:r>
          </w:p>
        </w:tc>
        <w:tc>
          <w:tcPr>
            <w:tcW w:w="6471" w:type="dxa"/>
            <w:tcBorders>
              <w:top w:val="outset" w:color="auto" w:sz="6" w:space="0"/>
              <w:left w:val="outset" w:color="auto" w:sz="6" w:space="0"/>
              <w:bottom w:val="outset" w:color="auto" w:sz="6" w:space="0"/>
              <w:right w:val="single" w:color="auto" w:sz="12" w:space="0"/>
            </w:tcBorders>
            <w:vAlign w:val="center"/>
          </w:tcPr>
          <w:p w14:paraId="1DF1E03B">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□是</w:t>
            </w:r>
          </w:p>
          <w:p w14:paraId="70294676">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■否，推荐的中标候选人数：有排序的中标候选人前三名</w:t>
            </w:r>
          </w:p>
        </w:tc>
      </w:tr>
      <w:tr w14:paraId="4AA15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5E150883">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7.4.1</w:t>
            </w:r>
          </w:p>
        </w:tc>
        <w:tc>
          <w:tcPr>
            <w:tcW w:w="2046" w:type="dxa"/>
            <w:tcBorders>
              <w:top w:val="outset" w:color="auto" w:sz="6" w:space="0"/>
              <w:left w:val="outset" w:color="auto" w:sz="6" w:space="0"/>
              <w:bottom w:val="outset" w:color="auto" w:sz="6" w:space="0"/>
              <w:right w:val="single" w:color="auto" w:sz="4" w:space="0"/>
            </w:tcBorders>
            <w:vAlign w:val="center"/>
          </w:tcPr>
          <w:p w14:paraId="2527FDB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履约担保</w:t>
            </w:r>
          </w:p>
        </w:tc>
        <w:tc>
          <w:tcPr>
            <w:tcW w:w="6471" w:type="dxa"/>
            <w:tcBorders>
              <w:top w:val="outset" w:color="auto" w:sz="6" w:space="0"/>
              <w:left w:val="single" w:color="auto" w:sz="4" w:space="0"/>
              <w:bottom w:val="outset" w:color="auto" w:sz="6" w:space="0"/>
              <w:right w:val="single" w:color="auto" w:sz="12" w:space="0"/>
            </w:tcBorders>
            <w:vAlign w:val="center"/>
          </w:tcPr>
          <w:p w14:paraId="3758E2E2">
            <w:pPr>
              <w:adjustRightInd w:val="0"/>
              <w:snapToGrid w:val="0"/>
              <w:spacing w:line="360" w:lineRule="auto"/>
              <w:rPr>
                <w:rFonts w:hint="eastAsia" w:ascii="宋体" w:hAnsi="宋体" w:eastAsia="宋体" w:cs="宋体"/>
                <w:color w:val="auto"/>
                <w:kern w:val="0"/>
                <w:szCs w:val="28"/>
                <w:highlight w:val="none"/>
                <w:lang w:val="en-US" w:eastAsia="zh-CN"/>
              </w:rPr>
            </w:pPr>
            <w:r>
              <w:rPr>
                <w:rFonts w:ascii="Wingdings" w:hAnsi="Wingdings" w:eastAsia="宋体" w:cs="宋体"/>
                <w:color w:val="auto"/>
                <w:kern w:val="0"/>
                <w:szCs w:val="28"/>
                <w:highlight w:val="none"/>
              </w:rPr>
              <w:sym w:font="Wingdings" w:char="00FE"/>
            </w:r>
            <w:r>
              <w:rPr>
                <w:rFonts w:hint="eastAsia" w:ascii="宋体" w:hAnsi="宋体" w:eastAsia="宋体" w:cs="宋体"/>
                <w:color w:val="auto"/>
                <w:kern w:val="0"/>
                <w:szCs w:val="28"/>
                <w:highlight w:val="none"/>
              </w:rPr>
              <w:t xml:space="preserve"> </w:t>
            </w:r>
            <w:r>
              <w:rPr>
                <w:rFonts w:hint="eastAsia" w:ascii="宋体" w:hAnsi="宋体" w:eastAsia="宋体" w:cs="宋体"/>
                <w:color w:val="auto"/>
                <w:kern w:val="0"/>
                <w:szCs w:val="28"/>
                <w:highlight w:val="none"/>
                <w:lang w:val="en-US" w:eastAsia="zh-CN"/>
              </w:rPr>
              <w:t>不要求</w:t>
            </w:r>
          </w:p>
          <w:p w14:paraId="4C37F6EA">
            <w:pPr>
              <w:adjustRightInd w:val="0"/>
              <w:snapToGrid w:val="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ascii="Wingdings" w:hAnsi="Wingdings" w:eastAsia="宋体" w:cs="宋体"/>
                <w:color w:val="auto"/>
                <w:kern w:val="0"/>
                <w:szCs w:val="28"/>
                <w:highlight w:val="none"/>
              </w:rPr>
              <w:sym w:font="Wingdings" w:char="00A8"/>
            </w:r>
            <w:r>
              <w:rPr>
                <w:rFonts w:hint="eastAsia" w:ascii="宋体" w:hAnsi="宋体" w:eastAsia="宋体" w:cs="宋体"/>
                <w:color w:val="auto"/>
                <w:kern w:val="0"/>
                <w:szCs w:val="28"/>
                <w:highlight w:val="none"/>
              </w:rPr>
              <w:t xml:space="preserve"> </w:t>
            </w:r>
            <w:r>
              <w:rPr>
                <w:rFonts w:hint="eastAsia" w:ascii="宋体" w:hAnsi="宋体" w:eastAsia="宋体" w:cs="宋体"/>
                <w:color w:val="auto"/>
                <w:kern w:val="0"/>
                <w:szCs w:val="28"/>
                <w:highlight w:val="none"/>
                <w:lang w:val="en-US" w:eastAsia="zh-CN"/>
              </w:rPr>
              <w:t>要求</w:t>
            </w:r>
          </w:p>
        </w:tc>
      </w:tr>
      <w:tr w14:paraId="31FA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72CF1E90">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p>
        </w:tc>
        <w:tc>
          <w:tcPr>
            <w:tcW w:w="8517" w:type="dxa"/>
            <w:gridSpan w:val="2"/>
            <w:tcBorders>
              <w:top w:val="outset" w:color="auto" w:sz="6" w:space="0"/>
              <w:left w:val="outset" w:color="auto" w:sz="6" w:space="0"/>
              <w:bottom w:val="outset" w:color="auto" w:sz="6" w:space="0"/>
              <w:right w:val="single" w:color="auto" w:sz="12" w:space="0"/>
            </w:tcBorders>
            <w:vAlign w:val="center"/>
          </w:tcPr>
          <w:p w14:paraId="1D7FA106">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需要补充的其他内容</w:t>
            </w:r>
          </w:p>
        </w:tc>
      </w:tr>
      <w:tr w14:paraId="68D9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3E1EE7E">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.1</w:t>
            </w:r>
          </w:p>
        </w:tc>
        <w:tc>
          <w:tcPr>
            <w:tcW w:w="2046" w:type="dxa"/>
            <w:tcBorders>
              <w:top w:val="outset" w:color="auto" w:sz="6" w:space="0"/>
              <w:left w:val="outset" w:color="auto" w:sz="6" w:space="0"/>
              <w:bottom w:val="outset" w:color="auto" w:sz="6" w:space="0"/>
              <w:right w:val="single" w:color="auto" w:sz="4" w:space="0"/>
            </w:tcBorders>
            <w:vAlign w:val="center"/>
          </w:tcPr>
          <w:p w14:paraId="3A1761F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招标控制价</w:t>
            </w:r>
          </w:p>
        </w:tc>
        <w:tc>
          <w:tcPr>
            <w:tcW w:w="6471" w:type="dxa"/>
            <w:tcBorders>
              <w:top w:val="outset" w:color="auto" w:sz="6" w:space="0"/>
              <w:left w:val="single" w:color="auto" w:sz="4" w:space="0"/>
              <w:bottom w:val="outset" w:color="auto" w:sz="6" w:space="0"/>
              <w:right w:val="single" w:color="auto" w:sz="12" w:space="0"/>
            </w:tcBorders>
            <w:vAlign w:val="center"/>
          </w:tcPr>
          <w:p w14:paraId="6B583FFE">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□不设招标控制价</w:t>
            </w:r>
          </w:p>
          <w:p w14:paraId="0945F27F">
            <w:pPr>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■设招标控</w:t>
            </w:r>
            <w:r>
              <w:rPr>
                <w:rFonts w:hint="eastAsia" w:ascii="宋体" w:hAnsi="宋体" w:eastAsia="宋体" w:cs="宋体"/>
                <w:color w:val="000000" w:themeColor="text1"/>
                <w:szCs w:val="21"/>
                <w:highlight w:val="none"/>
                <w14:textFill>
                  <w14:solidFill>
                    <w14:schemeClr w14:val="tx1"/>
                  </w14:solidFill>
                </w14:textFill>
              </w:rPr>
              <w:t>制价</w:t>
            </w:r>
            <w:r>
              <w:rPr>
                <w:rFonts w:hint="eastAsia" w:ascii="宋体" w:hAnsi="宋体" w:cs="宋体"/>
                <w:color w:val="000000" w:themeColor="text1"/>
                <w:szCs w:val="21"/>
                <w:highlight w:val="none"/>
                <w:lang w:eastAsia="zh-CN"/>
                <w14:textFill>
                  <w14:solidFill>
                    <w14:schemeClr w14:val="tx1"/>
                  </w14:solidFill>
                </w14:textFill>
              </w:rPr>
              <w:t>：6019909.7</w:t>
            </w:r>
            <w:r>
              <w:rPr>
                <w:rFonts w:hint="eastAsia" w:ascii="宋体" w:hAnsi="宋体" w:cs="宋体"/>
                <w:color w:val="000000" w:themeColor="text1"/>
                <w:szCs w:val="21"/>
                <w:highlight w:val="none"/>
                <w:lang w:val="en-US" w:eastAsia="zh-CN"/>
                <w14:textFill>
                  <w14:solidFill>
                    <w14:schemeClr w14:val="tx1"/>
                  </w14:solidFill>
                </w14:textFill>
              </w:rPr>
              <w:t>元</w:t>
            </w:r>
          </w:p>
          <w:p w14:paraId="15E9792E">
            <w:pP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投标人的投标总报价不得高于或等于招标控制价，且不得低于成本价</w:t>
            </w:r>
            <w:r>
              <w:rPr>
                <w:rFonts w:hint="eastAsia" w:ascii="宋体" w:hAnsi="宋体" w:eastAsia="宋体" w:cs="宋体"/>
                <w:color w:val="000000" w:themeColor="text1"/>
                <w:highlight w:val="none"/>
                <w:lang w:eastAsia="zh-CN"/>
                <w14:textFill>
                  <w14:solidFill>
                    <w14:schemeClr w14:val="tx1"/>
                  </w14:solidFill>
                </w14:textFill>
              </w:rPr>
              <w:t>。</w:t>
            </w:r>
          </w:p>
        </w:tc>
      </w:tr>
      <w:tr w14:paraId="4445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773D1E90">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.2</w:t>
            </w:r>
          </w:p>
        </w:tc>
        <w:tc>
          <w:tcPr>
            <w:tcW w:w="2046" w:type="dxa"/>
            <w:tcBorders>
              <w:top w:val="outset" w:color="auto" w:sz="6" w:space="0"/>
              <w:left w:val="outset" w:color="auto" w:sz="6" w:space="0"/>
              <w:bottom w:val="outset" w:color="auto" w:sz="6" w:space="0"/>
              <w:right w:val="single" w:color="auto" w:sz="4" w:space="0"/>
            </w:tcBorders>
            <w:vAlign w:val="center"/>
          </w:tcPr>
          <w:p w14:paraId="0D886988">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“暗标”评审：施工组织设计是否采用“暗标”评审方式</w:t>
            </w:r>
          </w:p>
        </w:tc>
        <w:tc>
          <w:tcPr>
            <w:tcW w:w="6471" w:type="dxa"/>
            <w:tcBorders>
              <w:top w:val="outset" w:color="auto" w:sz="6" w:space="0"/>
              <w:left w:val="single" w:color="auto" w:sz="4" w:space="0"/>
              <w:bottom w:val="outset" w:color="auto" w:sz="6" w:space="0"/>
              <w:right w:val="single" w:color="auto" w:sz="12" w:space="0"/>
            </w:tcBorders>
            <w:vAlign w:val="center"/>
          </w:tcPr>
          <w:p w14:paraId="387F1F78">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■不采用</w:t>
            </w:r>
          </w:p>
          <w:p w14:paraId="7C286EA1">
            <w:pPr>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采用</w:t>
            </w:r>
          </w:p>
        </w:tc>
      </w:tr>
      <w:tr w14:paraId="364C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19048F38">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.3</w:t>
            </w:r>
          </w:p>
        </w:tc>
        <w:tc>
          <w:tcPr>
            <w:tcW w:w="2046" w:type="dxa"/>
            <w:tcBorders>
              <w:top w:val="outset" w:color="auto" w:sz="6" w:space="0"/>
              <w:left w:val="outset" w:color="auto" w:sz="6" w:space="0"/>
              <w:bottom w:val="outset" w:color="auto" w:sz="6" w:space="0"/>
              <w:right w:val="single" w:color="auto" w:sz="4" w:space="0"/>
            </w:tcBorders>
            <w:vAlign w:val="center"/>
          </w:tcPr>
          <w:p w14:paraId="78C0F03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投标文件电子版</w:t>
            </w:r>
          </w:p>
        </w:tc>
        <w:tc>
          <w:tcPr>
            <w:tcW w:w="6471" w:type="dxa"/>
            <w:tcBorders>
              <w:top w:val="outset" w:color="auto" w:sz="6" w:space="0"/>
              <w:left w:val="single" w:color="auto" w:sz="4" w:space="0"/>
              <w:bottom w:val="outset" w:color="auto" w:sz="6" w:space="0"/>
              <w:right w:val="single" w:color="auto" w:sz="12" w:space="0"/>
            </w:tcBorders>
            <w:vAlign w:val="center"/>
          </w:tcPr>
          <w:p w14:paraId="3EC398C9">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详见招标公告</w:t>
            </w:r>
          </w:p>
        </w:tc>
      </w:tr>
      <w:tr w14:paraId="532F7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66FE754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.4</w:t>
            </w:r>
          </w:p>
        </w:tc>
        <w:tc>
          <w:tcPr>
            <w:tcW w:w="2046" w:type="dxa"/>
            <w:tcBorders>
              <w:top w:val="outset" w:color="auto" w:sz="6" w:space="0"/>
              <w:left w:val="outset" w:color="auto" w:sz="6" w:space="0"/>
              <w:bottom w:val="outset" w:color="auto" w:sz="6" w:space="0"/>
              <w:right w:val="single" w:color="auto" w:sz="4" w:space="0"/>
            </w:tcBorders>
            <w:vAlign w:val="center"/>
          </w:tcPr>
          <w:p w14:paraId="0A9B40DD">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计算机辅助评标：是否实行计算机辅助评标</w:t>
            </w:r>
          </w:p>
        </w:tc>
        <w:tc>
          <w:tcPr>
            <w:tcW w:w="6471" w:type="dxa"/>
            <w:tcBorders>
              <w:top w:val="outset" w:color="auto" w:sz="6" w:space="0"/>
              <w:left w:val="single" w:color="auto" w:sz="4" w:space="0"/>
              <w:bottom w:val="outset" w:color="auto" w:sz="6" w:space="0"/>
              <w:right w:val="single" w:color="auto" w:sz="12" w:space="0"/>
            </w:tcBorders>
            <w:vAlign w:val="center"/>
          </w:tcPr>
          <w:p w14:paraId="747BA2EF">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■否</w:t>
            </w:r>
          </w:p>
          <w:p w14:paraId="1AAC43B9">
            <w:pPr>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是</w:t>
            </w:r>
          </w:p>
        </w:tc>
      </w:tr>
      <w:tr w14:paraId="5BBE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571F0ED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.5</w:t>
            </w:r>
          </w:p>
        </w:tc>
        <w:tc>
          <w:tcPr>
            <w:tcW w:w="2046" w:type="dxa"/>
            <w:tcBorders>
              <w:top w:val="outset" w:color="auto" w:sz="6" w:space="0"/>
              <w:left w:val="outset" w:color="auto" w:sz="6" w:space="0"/>
              <w:bottom w:val="outset" w:color="auto" w:sz="6" w:space="0"/>
              <w:right w:val="single" w:color="auto" w:sz="4" w:space="0"/>
            </w:tcBorders>
            <w:vAlign w:val="center"/>
          </w:tcPr>
          <w:p w14:paraId="13DB0BA6">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投标人代表出席开标会</w:t>
            </w:r>
          </w:p>
        </w:tc>
        <w:tc>
          <w:tcPr>
            <w:tcW w:w="6471" w:type="dxa"/>
            <w:tcBorders>
              <w:top w:val="outset" w:color="auto" w:sz="6" w:space="0"/>
              <w:left w:val="single" w:color="auto" w:sz="4" w:space="0"/>
              <w:bottom w:val="outset" w:color="auto" w:sz="6" w:space="0"/>
              <w:right w:val="single" w:color="auto" w:sz="12" w:space="0"/>
            </w:tcBorders>
            <w:vAlign w:val="center"/>
          </w:tcPr>
          <w:p w14:paraId="6988F158">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本项目开启网上远程开标，无须到现场递交投标文件，远程开标操作流程详见</w:t>
            </w:r>
            <w:r>
              <w:rPr>
                <w:rFonts w:hint="eastAsia" w:ascii="宋体" w:hAnsi="宋体" w:eastAsia="宋体" w:cs="宋体"/>
                <w:color w:val="000000" w:themeColor="text1"/>
                <w:kern w:val="0"/>
                <w:szCs w:val="21"/>
                <w:lang w:val="en-US" w:eastAsia="zh-CN"/>
                <w14:textFill>
                  <w14:solidFill>
                    <w14:schemeClr w14:val="tx1"/>
                  </w14:solidFill>
                </w14:textFill>
              </w:rPr>
              <w:t>云南省公共资源交易信息网·曲靖市平台</w:t>
            </w:r>
            <w:r>
              <w:rPr>
                <w:rFonts w:hint="eastAsia" w:ascii="宋体" w:hAnsi="宋体" w:eastAsia="宋体" w:cs="宋体"/>
                <w:color w:val="000000" w:themeColor="text1"/>
                <w:kern w:val="0"/>
                <w:szCs w:val="21"/>
                <w:lang w:eastAsia="zh-CN"/>
                <w14:textFill>
                  <w14:solidFill>
                    <w14:schemeClr w14:val="tx1"/>
                  </w14:solidFill>
                </w14:textFill>
              </w:rPr>
              <w:t>《“网上开标远程解密操作指南--投标</w:t>
            </w:r>
            <w:r>
              <w:rPr>
                <w:rFonts w:hint="eastAsia" w:ascii="宋体" w:hAnsi="宋体" w:eastAsia="宋体" w:cs="宋体"/>
                <w:color w:val="000000" w:themeColor="text1"/>
                <w:kern w:val="0"/>
                <w:szCs w:val="21"/>
                <w14:textFill>
                  <w14:solidFill>
                    <w14:schemeClr w14:val="tx1"/>
                  </w14:solidFill>
                </w14:textFill>
              </w:rPr>
              <w:t>方”</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，请投标人仔细阅读以保证开标顺利进行，若投标人没有在规定时间完成以上相关操作，则视为撤销其投标文件，不再进入评标阶段。全文与本条内容不一致的，请以本条款为准。</w:t>
            </w:r>
          </w:p>
        </w:tc>
      </w:tr>
      <w:tr w14:paraId="0634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75B67B1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.6</w:t>
            </w:r>
          </w:p>
        </w:tc>
        <w:tc>
          <w:tcPr>
            <w:tcW w:w="2046" w:type="dxa"/>
            <w:tcBorders>
              <w:top w:val="outset" w:color="auto" w:sz="6" w:space="0"/>
              <w:left w:val="outset" w:color="auto" w:sz="6" w:space="0"/>
              <w:bottom w:val="outset" w:color="auto" w:sz="6" w:space="0"/>
              <w:right w:val="single" w:color="auto" w:sz="4" w:space="0"/>
            </w:tcBorders>
            <w:vAlign w:val="center"/>
          </w:tcPr>
          <w:p w14:paraId="684AEEB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中标公示</w:t>
            </w:r>
          </w:p>
        </w:tc>
        <w:tc>
          <w:tcPr>
            <w:tcW w:w="6471" w:type="dxa"/>
            <w:tcBorders>
              <w:top w:val="outset" w:color="auto" w:sz="6" w:space="0"/>
              <w:left w:val="single" w:color="auto" w:sz="4" w:space="0"/>
              <w:bottom w:val="outset" w:color="auto" w:sz="6" w:space="0"/>
              <w:right w:val="single" w:color="auto" w:sz="12" w:space="0"/>
            </w:tcBorders>
            <w:vAlign w:val="center"/>
          </w:tcPr>
          <w:p w14:paraId="1BC4F9BA">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在中标通知书发出前，招标人将中标候选人的情况在本招标工程招标公告发布的相同媒介</w:t>
            </w:r>
            <w:r>
              <w:rPr>
                <w:rFonts w:hint="eastAsia" w:ascii="宋体" w:hAnsi="宋体" w:eastAsia="宋体" w:cs="宋体"/>
                <w:color w:val="000000" w:themeColor="text1"/>
                <w:kern w:val="0"/>
                <w:szCs w:val="21"/>
                <w14:textFill>
                  <w14:solidFill>
                    <w14:schemeClr w14:val="tx1"/>
                  </w14:solidFill>
                </w14:textFill>
              </w:rPr>
              <w:t>《云南省公共资源交易信息网》、曲靖市公共资源交易信息网》</w:t>
            </w:r>
            <w:r>
              <w:rPr>
                <w:rFonts w:hint="eastAsia" w:ascii="宋体" w:hAnsi="宋体" w:eastAsia="宋体" w:cs="宋体"/>
                <w:color w:val="000000" w:themeColor="text1"/>
                <w:szCs w:val="21"/>
                <w14:textFill>
                  <w14:solidFill>
                    <w14:schemeClr w14:val="tx1"/>
                  </w14:solidFill>
                </w14:textFill>
              </w:rPr>
              <w:t>予以公示，公示期不少于3个工作日。</w:t>
            </w:r>
          </w:p>
        </w:tc>
      </w:tr>
      <w:tr w14:paraId="1993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62BE320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.7</w:t>
            </w:r>
          </w:p>
        </w:tc>
        <w:tc>
          <w:tcPr>
            <w:tcW w:w="2046" w:type="dxa"/>
            <w:tcBorders>
              <w:top w:val="outset" w:color="auto" w:sz="6" w:space="0"/>
              <w:left w:val="outset" w:color="auto" w:sz="6" w:space="0"/>
              <w:bottom w:val="outset" w:color="auto" w:sz="6" w:space="0"/>
              <w:right w:val="single" w:color="auto" w:sz="4" w:space="0"/>
            </w:tcBorders>
            <w:vAlign w:val="center"/>
          </w:tcPr>
          <w:p w14:paraId="2091BA6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知识产权</w:t>
            </w:r>
          </w:p>
        </w:tc>
        <w:tc>
          <w:tcPr>
            <w:tcW w:w="6471" w:type="dxa"/>
            <w:tcBorders>
              <w:top w:val="outset" w:color="auto" w:sz="6" w:space="0"/>
              <w:left w:val="single" w:color="auto" w:sz="4" w:space="0"/>
              <w:bottom w:val="outset" w:color="auto" w:sz="6" w:space="0"/>
              <w:right w:val="single" w:color="auto" w:sz="12" w:space="0"/>
            </w:tcBorders>
            <w:vAlign w:val="center"/>
          </w:tcPr>
          <w:p w14:paraId="2EE75CF3">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构成本招标文件各个组成部分的文件，未经招标人书面同意，投标人不得擅自复印和用于非本招标工程所需的其他目的。招标人全部或者部分使用未中标人投标文件中的技术成果或技术方案时，需征得其书面同意，并不得擅自复印或提供给第三人。</w:t>
            </w:r>
          </w:p>
        </w:tc>
      </w:tr>
      <w:tr w14:paraId="172E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385A16A">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.8</w:t>
            </w:r>
          </w:p>
        </w:tc>
        <w:tc>
          <w:tcPr>
            <w:tcW w:w="2046" w:type="dxa"/>
            <w:tcBorders>
              <w:top w:val="outset" w:color="auto" w:sz="6" w:space="0"/>
              <w:left w:val="outset" w:color="auto" w:sz="6" w:space="0"/>
              <w:bottom w:val="outset" w:color="auto" w:sz="6" w:space="0"/>
              <w:right w:val="single" w:color="auto" w:sz="4" w:space="0"/>
            </w:tcBorders>
            <w:vAlign w:val="center"/>
          </w:tcPr>
          <w:p w14:paraId="6A61ECB6">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重新招标的其他情形</w:t>
            </w:r>
          </w:p>
        </w:tc>
        <w:tc>
          <w:tcPr>
            <w:tcW w:w="6471" w:type="dxa"/>
            <w:tcBorders>
              <w:top w:val="outset" w:color="auto" w:sz="6" w:space="0"/>
              <w:left w:val="single" w:color="auto" w:sz="4" w:space="0"/>
              <w:bottom w:val="outset" w:color="auto" w:sz="6" w:space="0"/>
              <w:right w:val="single" w:color="auto" w:sz="12" w:space="0"/>
            </w:tcBorders>
            <w:vAlign w:val="center"/>
          </w:tcPr>
          <w:p w14:paraId="041FC3AA">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除投标人须知正文第8条规定的情形外，除非已经产生中标候选人，在投标有效期内同意延长投标有效期的投标人少于三个的，招标人应当依法重新招标。</w:t>
            </w:r>
          </w:p>
        </w:tc>
      </w:tr>
      <w:tr w14:paraId="13850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7E29F4D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.9</w:t>
            </w:r>
          </w:p>
        </w:tc>
        <w:tc>
          <w:tcPr>
            <w:tcW w:w="2046" w:type="dxa"/>
            <w:tcBorders>
              <w:top w:val="outset" w:color="auto" w:sz="6" w:space="0"/>
              <w:left w:val="outset" w:color="auto" w:sz="6" w:space="0"/>
              <w:bottom w:val="outset" w:color="auto" w:sz="6" w:space="0"/>
              <w:right w:val="single" w:color="auto" w:sz="4" w:space="0"/>
            </w:tcBorders>
            <w:vAlign w:val="center"/>
          </w:tcPr>
          <w:p w14:paraId="175E8F3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同义词语</w:t>
            </w:r>
          </w:p>
        </w:tc>
        <w:tc>
          <w:tcPr>
            <w:tcW w:w="6471" w:type="dxa"/>
            <w:tcBorders>
              <w:top w:val="outset" w:color="auto" w:sz="6" w:space="0"/>
              <w:left w:val="single" w:color="auto" w:sz="4" w:space="0"/>
              <w:bottom w:val="outset" w:color="auto" w:sz="6" w:space="0"/>
              <w:right w:val="single" w:color="auto" w:sz="12" w:space="0"/>
            </w:tcBorders>
            <w:vAlign w:val="center"/>
          </w:tcPr>
          <w:p w14:paraId="7E87F70F">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构成招标文件组成部分的“合同通用条款”、“合同专用条款”、“技术标准和要求”和“工程量清单”等章节中出现的措辞“发包人”和“承包人”，在招标投标阶段应当分别按“招标人”和“投标人”进行理解。</w:t>
            </w:r>
          </w:p>
        </w:tc>
      </w:tr>
      <w:tr w14:paraId="24961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1D8F668B">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.10</w:t>
            </w:r>
          </w:p>
        </w:tc>
        <w:tc>
          <w:tcPr>
            <w:tcW w:w="2046" w:type="dxa"/>
            <w:tcBorders>
              <w:top w:val="outset" w:color="auto" w:sz="6" w:space="0"/>
              <w:left w:val="outset" w:color="auto" w:sz="6" w:space="0"/>
              <w:bottom w:val="outset" w:color="auto" w:sz="6" w:space="0"/>
              <w:right w:val="single" w:color="auto" w:sz="4" w:space="0"/>
            </w:tcBorders>
            <w:vAlign w:val="center"/>
          </w:tcPr>
          <w:p w14:paraId="6027773D">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解释权</w:t>
            </w:r>
          </w:p>
        </w:tc>
        <w:tc>
          <w:tcPr>
            <w:tcW w:w="6471" w:type="dxa"/>
            <w:tcBorders>
              <w:top w:val="outset" w:color="auto" w:sz="6" w:space="0"/>
              <w:left w:val="single" w:color="auto" w:sz="4" w:space="0"/>
              <w:bottom w:val="outset" w:color="auto" w:sz="6" w:space="0"/>
              <w:right w:val="single" w:color="auto" w:sz="12" w:space="0"/>
            </w:tcBorders>
            <w:vAlign w:val="center"/>
          </w:tcPr>
          <w:p w14:paraId="6DEF3145">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构成本招标文件的各个组成文件应互为解释，互为说明；如有不明确或不一致，构成合同文件组成内容的，以合同文件约定内容为准，且以合同专用条款约定的合同文件优先顺序解释；除招标文件中有特别规定外，仅适用于招标投标阶段的规定，按投标邀请书、投标人须知、评标办法、投标文件格式的先后顺序解释；同一组成文件中就同一事项的规定或约定不一致的，以编排顺序在后者为准；同一组成文件不同版本之间有不一致的，以形成时间在后者为准。</w:t>
            </w:r>
          </w:p>
        </w:tc>
      </w:tr>
      <w:tr w14:paraId="1C8CC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D4A506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.12</w:t>
            </w:r>
          </w:p>
        </w:tc>
        <w:tc>
          <w:tcPr>
            <w:tcW w:w="2046" w:type="dxa"/>
            <w:tcBorders>
              <w:top w:val="outset" w:color="auto" w:sz="6" w:space="0"/>
              <w:left w:val="outset" w:color="auto" w:sz="6" w:space="0"/>
              <w:bottom w:val="outset" w:color="auto" w:sz="6" w:space="0"/>
              <w:right w:val="single" w:color="auto" w:sz="4" w:space="0"/>
            </w:tcBorders>
            <w:vAlign w:val="center"/>
          </w:tcPr>
          <w:p w14:paraId="51814A65">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承包方式</w:t>
            </w:r>
          </w:p>
        </w:tc>
        <w:tc>
          <w:tcPr>
            <w:tcW w:w="6471" w:type="dxa"/>
            <w:tcBorders>
              <w:top w:val="outset" w:color="auto" w:sz="6" w:space="0"/>
              <w:left w:val="single" w:color="auto" w:sz="4" w:space="0"/>
              <w:bottom w:val="outset" w:color="auto" w:sz="6" w:space="0"/>
              <w:right w:val="single" w:color="auto" w:sz="12" w:space="0"/>
            </w:tcBorders>
            <w:vAlign w:val="center"/>
          </w:tcPr>
          <w:p w14:paraId="042A1283">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总承包</w:t>
            </w:r>
          </w:p>
        </w:tc>
      </w:tr>
      <w:tr w14:paraId="7ABEF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4B08E19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.13</w:t>
            </w:r>
          </w:p>
        </w:tc>
        <w:tc>
          <w:tcPr>
            <w:tcW w:w="2046" w:type="dxa"/>
            <w:tcBorders>
              <w:top w:val="outset" w:color="auto" w:sz="6" w:space="0"/>
              <w:left w:val="outset" w:color="auto" w:sz="6" w:space="0"/>
              <w:bottom w:val="outset" w:color="auto" w:sz="6" w:space="0"/>
              <w:right w:val="single" w:color="auto" w:sz="4" w:space="0"/>
            </w:tcBorders>
            <w:vAlign w:val="center"/>
          </w:tcPr>
          <w:p w14:paraId="545E7300">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招标方式</w:t>
            </w:r>
          </w:p>
        </w:tc>
        <w:tc>
          <w:tcPr>
            <w:tcW w:w="6471" w:type="dxa"/>
            <w:tcBorders>
              <w:top w:val="outset" w:color="auto" w:sz="6" w:space="0"/>
              <w:left w:val="single" w:color="auto" w:sz="4" w:space="0"/>
              <w:bottom w:val="outset" w:color="auto" w:sz="6" w:space="0"/>
              <w:right w:val="single" w:color="auto" w:sz="12" w:space="0"/>
            </w:tcBorders>
            <w:vAlign w:val="center"/>
          </w:tcPr>
          <w:p w14:paraId="39EDB3B6">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公开招标</w:t>
            </w:r>
          </w:p>
        </w:tc>
      </w:tr>
      <w:tr w14:paraId="0A968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93" w:type="dxa"/>
            <w:tcBorders>
              <w:top w:val="outset" w:color="auto" w:sz="6" w:space="0"/>
              <w:left w:val="single" w:color="auto" w:sz="12" w:space="0"/>
              <w:bottom w:val="outset" w:color="auto" w:sz="6" w:space="0"/>
              <w:right w:val="outset" w:color="auto" w:sz="6" w:space="0"/>
            </w:tcBorders>
            <w:vAlign w:val="center"/>
          </w:tcPr>
          <w:p w14:paraId="0DF994B9">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.14</w:t>
            </w:r>
          </w:p>
        </w:tc>
        <w:tc>
          <w:tcPr>
            <w:tcW w:w="2046" w:type="dxa"/>
            <w:tcBorders>
              <w:top w:val="outset" w:color="auto" w:sz="6" w:space="0"/>
              <w:left w:val="outset" w:color="auto" w:sz="6" w:space="0"/>
              <w:bottom w:val="outset" w:color="auto" w:sz="6" w:space="0"/>
              <w:right w:val="single" w:color="auto" w:sz="4" w:space="0"/>
            </w:tcBorders>
            <w:vAlign w:val="center"/>
          </w:tcPr>
          <w:p w14:paraId="13B0F12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资格审查方式</w:t>
            </w:r>
          </w:p>
        </w:tc>
        <w:tc>
          <w:tcPr>
            <w:tcW w:w="6471" w:type="dxa"/>
            <w:tcBorders>
              <w:top w:val="outset" w:color="auto" w:sz="6" w:space="0"/>
              <w:left w:val="single" w:color="auto" w:sz="4" w:space="0"/>
              <w:bottom w:val="outset" w:color="auto" w:sz="6" w:space="0"/>
              <w:right w:val="single" w:color="auto" w:sz="12" w:space="0"/>
            </w:tcBorders>
            <w:vAlign w:val="center"/>
          </w:tcPr>
          <w:p w14:paraId="53BF60A3">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资格后审</w:t>
            </w:r>
          </w:p>
        </w:tc>
      </w:tr>
      <w:tr w14:paraId="12ECC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tcBorders>
              <w:top w:val="outset" w:color="auto" w:sz="6" w:space="0"/>
              <w:left w:val="single" w:color="auto" w:sz="12" w:space="0"/>
              <w:bottom w:val="single" w:color="auto" w:sz="12" w:space="0"/>
              <w:right w:val="outset" w:color="auto" w:sz="6" w:space="0"/>
            </w:tcBorders>
            <w:vAlign w:val="center"/>
          </w:tcPr>
          <w:p w14:paraId="264CBA6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.15</w:t>
            </w:r>
          </w:p>
        </w:tc>
        <w:tc>
          <w:tcPr>
            <w:tcW w:w="2046" w:type="dxa"/>
            <w:tcBorders>
              <w:top w:val="outset" w:color="auto" w:sz="6" w:space="0"/>
              <w:left w:val="outset" w:color="auto" w:sz="6" w:space="0"/>
              <w:bottom w:val="single" w:color="auto" w:sz="12" w:space="0"/>
              <w:right w:val="single" w:color="auto" w:sz="4" w:space="0"/>
            </w:tcBorders>
            <w:vAlign w:val="center"/>
          </w:tcPr>
          <w:p w14:paraId="42193455">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其他</w:t>
            </w:r>
          </w:p>
        </w:tc>
        <w:tc>
          <w:tcPr>
            <w:tcW w:w="6471" w:type="dxa"/>
            <w:tcBorders>
              <w:top w:val="outset" w:color="auto" w:sz="6" w:space="0"/>
              <w:left w:val="single" w:color="auto" w:sz="4" w:space="0"/>
              <w:bottom w:val="single" w:color="auto" w:sz="12" w:space="0"/>
              <w:right w:val="single" w:color="auto" w:sz="12" w:space="0"/>
            </w:tcBorders>
            <w:vAlign w:val="center"/>
          </w:tcPr>
          <w:p w14:paraId="4FFD85D9">
            <w:pP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、根据相关文件要求，投标人须作出一旦中标，将实行人工费用与其他工程款分帐管理制度，并按时足额支付农民工工资的书面承诺并作为投标文件的组成部分。</w:t>
            </w:r>
          </w:p>
          <w:p w14:paraId="47150938">
            <w:pP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、要求提供的复印件应字迹清晰。</w:t>
            </w:r>
          </w:p>
          <w:p w14:paraId="79AEDDFC">
            <w:pPr>
              <w:spacing w:line="24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本项目开启网上远程开标，无须到现场递交投标文件，远程开标操作流程详见曲靖市公共资源交易中心平台《“网上开标远程解密操作指南--投标方”》，请投标人仔细阅读以保证开标顺利进行，若投标人没有在规定时间完成以上相关操作，则视为撤销其投标文件，不再进入评标阶段。全文与本条内容不一致的，请以本条款为准。</w:t>
            </w:r>
          </w:p>
        </w:tc>
      </w:tr>
    </w:tbl>
    <w:p w14:paraId="3F79CE1F">
      <w:pPr>
        <w:pStyle w:val="3"/>
        <w:spacing w:line="360" w:lineRule="auto"/>
        <w:rPr>
          <w:rFonts w:ascii="宋体" w:hAnsi="宋体" w:eastAsia="宋体" w:cs="宋体"/>
          <w:b/>
          <w:color w:val="000000" w:themeColor="text1"/>
          <w:kern w:val="0"/>
          <w:sz w:val="21"/>
          <w:szCs w:val="21"/>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br w:type="page"/>
      </w:r>
      <w:bookmarkEnd w:id="6"/>
      <w:bookmarkEnd w:id="7"/>
      <w:bookmarkStart w:id="8" w:name="_Toc117867957"/>
      <w:bookmarkStart w:id="9" w:name="_Toc343157987"/>
      <w:r>
        <w:rPr>
          <w:rFonts w:hint="eastAsia" w:ascii="宋体" w:hAnsi="宋体" w:eastAsia="宋体" w:cs="宋体"/>
          <w:b/>
          <w:color w:val="000000" w:themeColor="text1"/>
          <w:kern w:val="0"/>
          <w:sz w:val="21"/>
          <w:szCs w:val="21"/>
          <w14:textFill>
            <w14:solidFill>
              <w14:schemeClr w14:val="tx1"/>
            </w14:solidFill>
          </w14:textFill>
        </w:rPr>
        <w:t>1.总则</w:t>
      </w:r>
      <w:bookmarkEnd w:id="8"/>
      <w:bookmarkEnd w:id="9"/>
    </w:p>
    <w:p w14:paraId="3B68453C">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bookmarkStart w:id="10" w:name="_Toc247277929"/>
      <w:bookmarkStart w:id="11" w:name="_Toc491246636"/>
      <w:bookmarkStart w:id="12" w:name="_Toc199321872"/>
      <w:bookmarkStart w:id="13" w:name="_Toc260172642"/>
      <w:bookmarkStart w:id="14" w:name="_Toc209498805"/>
      <w:bookmarkStart w:id="15" w:name="_Toc262675309"/>
      <w:bookmarkStart w:id="16" w:name="_Toc343157988"/>
      <w:r>
        <w:rPr>
          <w:rFonts w:hint="eastAsia" w:ascii="宋体" w:hAnsi="宋体" w:eastAsia="宋体" w:cs="宋体"/>
          <w:color w:val="000000" w:themeColor="text1"/>
          <w:kern w:val="0"/>
          <w:szCs w:val="21"/>
          <w14:textFill>
            <w14:solidFill>
              <w14:schemeClr w14:val="tx1"/>
            </w14:solidFill>
          </w14:textFill>
        </w:rPr>
        <w:t>1.1 项目概况</w:t>
      </w:r>
      <w:bookmarkEnd w:id="10"/>
      <w:bookmarkEnd w:id="11"/>
      <w:bookmarkEnd w:id="12"/>
      <w:bookmarkEnd w:id="13"/>
      <w:bookmarkEnd w:id="14"/>
      <w:bookmarkEnd w:id="15"/>
      <w:bookmarkEnd w:id="16"/>
    </w:p>
    <w:p w14:paraId="3EBC734F">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1.1.1根据《中华人民共和国招标投标法》等有关法律、法规和规章的规定，本招标项目已具备招标条件，现对本标段施工进行招标。</w:t>
      </w:r>
    </w:p>
    <w:p w14:paraId="0FF55820">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bookmarkStart w:id="17" w:name="_Toc199321873"/>
      <w:r>
        <w:rPr>
          <w:rFonts w:hint="eastAsia" w:ascii="宋体" w:hAnsi="宋体" w:eastAsia="宋体" w:cs="宋体"/>
          <w:color w:val="000000" w:themeColor="text1"/>
          <w:kern w:val="0"/>
          <w:szCs w:val="21"/>
          <w14:textFill>
            <w14:solidFill>
              <w14:schemeClr w14:val="tx1"/>
            </w14:solidFill>
          </w14:textFill>
        </w:rPr>
        <w:t>1.1.2本招标项目招标人：见投标人须知前附表。</w:t>
      </w:r>
      <w:bookmarkEnd w:id="17"/>
    </w:p>
    <w:p w14:paraId="19E21F12">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bookmarkStart w:id="18" w:name="_Toc199321874"/>
      <w:r>
        <w:rPr>
          <w:rFonts w:hint="eastAsia" w:ascii="宋体" w:hAnsi="宋体" w:eastAsia="宋体" w:cs="宋体"/>
          <w:color w:val="000000" w:themeColor="text1"/>
          <w:kern w:val="0"/>
          <w:szCs w:val="21"/>
          <w14:textFill>
            <w14:solidFill>
              <w14:schemeClr w14:val="tx1"/>
            </w14:solidFill>
          </w14:textFill>
        </w:rPr>
        <w:t>1.1.3本标段招标代理机构：见投标人须知前附表。</w:t>
      </w:r>
      <w:bookmarkEnd w:id="18"/>
    </w:p>
    <w:p w14:paraId="3EFC7935">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1.1.4本招标项目名称：见投标人须知前附表。</w:t>
      </w:r>
    </w:p>
    <w:p w14:paraId="1C69B70C">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bookmarkStart w:id="19" w:name="_Toc199321875"/>
      <w:r>
        <w:rPr>
          <w:rFonts w:hint="eastAsia" w:ascii="宋体" w:hAnsi="宋体" w:eastAsia="宋体" w:cs="宋体"/>
          <w:color w:val="000000" w:themeColor="text1"/>
          <w:kern w:val="0"/>
          <w:szCs w:val="21"/>
          <w14:textFill>
            <w14:solidFill>
              <w14:schemeClr w14:val="tx1"/>
            </w14:solidFill>
          </w14:textFill>
        </w:rPr>
        <w:t>1.1.5本标段建设地点：见投标人须知前附表。</w:t>
      </w:r>
      <w:bookmarkEnd w:id="19"/>
    </w:p>
    <w:p w14:paraId="655E8067">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1.1.6本招标项目现场管理机构：见投标人须知前附表。</w:t>
      </w:r>
    </w:p>
    <w:p w14:paraId="2660DFF6">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1.1.7本招标项目设计人：见投标人须知前附表。</w:t>
      </w:r>
    </w:p>
    <w:p w14:paraId="5122293C">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1.1.8本招标项目监理人：见投标人须知前附表。</w:t>
      </w:r>
    </w:p>
    <w:p w14:paraId="6BA5E1BD">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bookmarkStart w:id="20" w:name="_Toc343157989"/>
      <w:bookmarkStart w:id="21" w:name="_Toc262406294"/>
      <w:r>
        <w:rPr>
          <w:rFonts w:hint="eastAsia" w:ascii="宋体" w:hAnsi="宋体" w:eastAsia="宋体" w:cs="宋体"/>
          <w:color w:val="000000" w:themeColor="text1"/>
          <w:kern w:val="0"/>
          <w:szCs w:val="21"/>
          <w14:textFill>
            <w14:solidFill>
              <w14:schemeClr w14:val="tx1"/>
            </w14:solidFill>
          </w14:textFill>
        </w:rPr>
        <w:t>1.2 资金来源和落实情况</w:t>
      </w:r>
      <w:bookmarkEnd w:id="20"/>
      <w:bookmarkEnd w:id="21"/>
    </w:p>
    <w:p w14:paraId="7B4F00E7">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1.2.1本招标项目的资金来源：见投标人须知前附表。</w:t>
      </w:r>
    </w:p>
    <w:p w14:paraId="727D8C9D">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1.2.2本招标项目的资金落实情况：见投标人须知前附表。</w:t>
      </w:r>
    </w:p>
    <w:p w14:paraId="10B9D3BC">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bookmarkStart w:id="22" w:name="_Toc343157990"/>
      <w:bookmarkStart w:id="23" w:name="_Toc262406295"/>
      <w:r>
        <w:rPr>
          <w:rFonts w:hint="eastAsia" w:ascii="宋体" w:hAnsi="宋体" w:eastAsia="宋体" w:cs="宋体"/>
          <w:color w:val="000000" w:themeColor="text1"/>
          <w:kern w:val="0"/>
          <w:szCs w:val="21"/>
          <w14:textFill>
            <w14:solidFill>
              <w14:schemeClr w14:val="tx1"/>
            </w14:solidFill>
          </w14:textFill>
        </w:rPr>
        <w:t>1.3 招标范围、计划工期、质量要求</w:t>
      </w:r>
      <w:bookmarkEnd w:id="22"/>
      <w:bookmarkEnd w:id="23"/>
    </w:p>
    <w:p w14:paraId="3E58E6B8">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 本次招标范围：见投标人须知前附表。</w:t>
      </w:r>
    </w:p>
    <w:p w14:paraId="1EDF79C2">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1.3.2 本标段的计划工期：见投标人须知前附表。</w:t>
      </w:r>
    </w:p>
    <w:p w14:paraId="5AD0EA64">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1.3.3 本标段的质量要求：见投标人须知前附表。</w:t>
      </w:r>
    </w:p>
    <w:p w14:paraId="2971FE4E">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bookmarkStart w:id="24" w:name="_Toc343157991"/>
      <w:bookmarkStart w:id="25" w:name="_Toc262406296"/>
      <w:r>
        <w:rPr>
          <w:rFonts w:hint="eastAsia" w:ascii="宋体" w:hAnsi="宋体" w:eastAsia="宋体" w:cs="宋体"/>
          <w:color w:val="000000" w:themeColor="text1"/>
          <w:kern w:val="0"/>
          <w:szCs w:val="21"/>
          <w14:textFill>
            <w14:solidFill>
              <w14:schemeClr w14:val="tx1"/>
            </w14:solidFill>
          </w14:textFill>
        </w:rPr>
        <w:t>1.4 投标人资格要求</w:t>
      </w:r>
      <w:bookmarkEnd w:id="24"/>
      <w:bookmarkEnd w:id="25"/>
    </w:p>
    <w:p w14:paraId="3E1DEB6A">
      <w:pPr>
        <w:autoSpaceDE w:val="0"/>
        <w:autoSpaceDN w:val="0"/>
        <w:spacing w:line="360" w:lineRule="auto"/>
        <w:ind w:left="420" w:left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1.4.1投标人应具备承担本标段施工的资质条件、能力和信誉。</w:t>
      </w:r>
    </w:p>
    <w:p w14:paraId="362BA959">
      <w:pPr>
        <w:autoSpaceDE w:val="0"/>
        <w:autoSpaceDN w:val="0"/>
        <w:spacing w:line="360" w:lineRule="auto"/>
        <w:ind w:firstLine="315" w:firstLineChars="15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（1）资质条件：见投标人须知前附表；</w:t>
      </w:r>
    </w:p>
    <w:p w14:paraId="781755C7">
      <w:pPr>
        <w:autoSpaceDE w:val="0"/>
        <w:autoSpaceDN w:val="0"/>
        <w:spacing w:line="360" w:lineRule="auto"/>
        <w:ind w:firstLine="315" w:firstLineChars="15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lang w:val="en-US" w:eastAsia="zh-CN"/>
          <w14:textFill>
            <w14:solidFill>
              <w14:schemeClr w14:val="tx1"/>
            </w14:solidFill>
          </w14:textFill>
        </w:rPr>
        <w:t>财务</w:t>
      </w:r>
      <w:r>
        <w:rPr>
          <w:rFonts w:hint="eastAsia" w:ascii="宋体" w:hAnsi="宋体" w:cs="宋体"/>
          <w:color w:val="000000" w:themeColor="text1"/>
          <w:kern w:val="0"/>
          <w:szCs w:val="21"/>
          <w14:textFill>
            <w14:solidFill>
              <w14:schemeClr w14:val="tx1"/>
            </w14:solidFill>
          </w14:textFill>
        </w:rPr>
        <w:t>要求：见投标人须知前附表；</w:t>
      </w:r>
    </w:p>
    <w:p w14:paraId="344BD6F6">
      <w:pPr>
        <w:autoSpaceDE w:val="0"/>
        <w:autoSpaceDN w:val="0"/>
        <w:spacing w:line="360" w:lineRule="auto"/>
        <w:ind w:firstLine="315" w:firstLineChars="15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3</w:t>
      </w:r>
      <w:r>
        <w:rPr>
          <w:rFonts w:hint="eastAsia" w:ascii="宋体" w:hAnsi="宋体" w:cs="宋体"/>
          <w:color w:val="000000" w:themeColor="text1"/>
          <w:kern w:val="0"/>
          <w:szCs w:val="21"/>
          <w14:textFill>
            <w14:solidFill>
              <w14:schemeClr w14:val="tx1"/>
            </w14:solidFill>
          </w14:textFill>
        </w:rPr>
        <w:t>）项目负责人资格：见投标人须知前附表；</w:t>
      </w:r>
    </w:p>
    <w:p w14:paraId="45AA1C12">
      <w:pPr>
        <w:pStyle w:val="8"/>
        <w:spacing w:line="360" w:lineRule="auto"/>
        <w:ind w:firstLine="420" w:firstLineChars="200"/>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1.4.2 本工程不接受联合体投标</w:t>
      </w:r>
    </w:p>
    <w:p w14:paraId="012CEFDC">
      <w:pPr>
        <w:pStyle w:val="8"/>
        <w:spacing w:line="360" w:lineRule="auto"/>
        <w:ind w:firstLine="420" w:firstLineChars="200"/>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1.4.3 投标人不得存在下列情形之一：</w:t>
      </w:r>
    </w:p>
    <w:p w14:paraId="3036BCC1">
      <w:pPr>
        <w:autoSpaceDE w:val="0"/>
        <w:autoSpaceDN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(1)为招标人不具有独立法人资格的附属机构(单位)；</w:t>
      </w:r>
    </w:p>
    <w:p w14:paraId="70CCE9D4">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(2)为本标段前期准备提供设计或咨询服务的，但设计施工总承包的除外；</w:t>
      </w:r>
    </w:p>
    <w:p w14:paraId="39B8D625">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(3)为本标段的监理人；</w:t>
      </w:r>
    </w:p>
    <w:p w14:paraId="4DB3A00F">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(4)为本标段的代建人；</w:t>
      </w:r>
    </w:p>
    <w:p w14:paraId="19FC8D5F">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(5)为本标段提供招标代理服务的；</w:t>
      </w:r>
    </w:p>
    <w:p w14:paraId="1CECC699">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(6)与本标段的监理人或代建人或招标代理机构同为一个法定代表人的；</w:t>
      </w:r>
    </w:p>
    <w:p w14:paraId="027FC8A6">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(7)与本标段的监理人或代建人或招标代理机构相互控股或参股的；</w:t>
      </w:r>
    </w:p>
    <w:p w14:paraId="313C91A9">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(8)与本标段的监理人或代建人或招标代理机构相互任职或工作的；</w:t>
      </w:r>
    </w:p>
    <w:p w14:paraId="0D05049C">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(9)被责令停业的；</w:t>
      </w:r>
    </w:p>
    <w:p w14:paraId="175DEA7B">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(10)被暂停或取消投标资格的；</w:t>
      </w:r>
    </w:p>
    <w:p w14:paraId="348B778B">
      <w:pPr>
        <w:autoSpaceDE w:val="0"/>
        <w:autoSpaceDN w:val="0"/>
        <w:spacing w:line="360" w:lineRule="auto"/>
        <w:ind w:left="420" w:left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(11)财产被接管或冻结的；</w:t>
      </w:r>
    </w:p>
    <w:p w14:paraId="5661BAED">
      <w:pPr>
        <w:autoSpaceDE w:val="0"/>
        <w:autoSpaceDN w:val="0"/>
        <w:spacing w:line="360" w:lineRule="auto"/>
        <w:ind w:left="420" w:left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(12)在最近年内有骗取中标或严重违约或重大工程质量问题的。</w:t>
      </w:r>
    </w:p>
    <w:p w14:paraId="65EFD7DC">
      <w:pPr>
        <w:spacing w:line="360" w:lineRule="auto"/>
        <w:rPr>
          <w:rFonts w:hint="default" w:ascii="宋体" w:hAnsi="宋体" w:eastAsia="宋体" w:cs="宋体"/>
          <w:color w:val="000000" w:themeColor="text1"/>
          <w:kern w:val="0"/>
          <w:szCs w:val="21"/>
          <w:lang w:val="en-US" w:eastAsia="zh-CN"/>
          <w14:textFill>
            <w14:solidFill>
              <w14:schemeClr w14:val="tx1"/>
            </w14:solidFill>
          </w14:textFill>
        </w:rPr>
      </w:pPr>
      <w:bookmarkStart w:id="26" w:name="_Toc343157992"/>
      <w:bookmarkStart w:id="27" w:name="_Toc262406297"/>
      <w:r>
        <w:rPr>
          <w:rFonts w:hint="eastAsia" w:ascii="宋体" w:hAnsi="宋体" w:cs="宋体"/>
          <w:b/>
          <w:color w:val="000000" w:themeColor="text1"/>
          <w:kern w:val="0"/>
          <w14:textFill>
            <w14:solidFill>
              <w14:schemeClr w14:val="tx1"/>
            </w14:solidFill>
          </w14:textFill>
        </w:rPr>
        <w:t>1.5 费用承担</w:t>
      </w:r>
      <w:bookmarkEnd w:id="26"/>
      <w:bookmarkEnd w:id="27"/>
    </w:p>
    <w:p w14:paraId="10013C3F">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投标人准备和参加投标活动发生的费用自理。</w:t>
      </w:r>
    </w:p>
    <w:p w14:paraId="6C608F89">
      <w:pPr>
        <w:spacing w:line="360" w:lineRule="auto"/>
        <w:rPr>
          <w:rFonts w:ascii="宋体" w:hAnsi="宋体" w:cs="宋体"/>
          <w:b/>
          <w:color w:val="000000" w:themeColor="text1"/>
          <w:kern w:val="0"/>
          <w14:textFill>
            <w14:solidFill>
              <w14:schemeClr w14:val="tx1"/>
            </w14:solidFill>
          </w14:textFill>
        </w:rPr>
      </w:pPr>
      <w:bookmarkStart w:id="28" w:name="_Toc262406298"/>
      <w:bookmarkStart w:id="29" w:name="_Toc343157993"/>
      <w:r>
        <w:rPr>
          <w:rFonts w:hint="eastAsia" w:ascii="宋体" w:hAnsi="宋体" w:cs="宋体"/>
          <w:b/>
          <w:color w:val="000000" w:themeColor="text1"/>
          <w:kern w:val="0"/>
          <w14:textFill>
            <w14:solidFill>
              <w14:schemeClr w14:val="tx1"/>
            </w14:solidFill>
          </w14:textFill>
        </w:rPr>
        <w:t>1.6 保密</w:t>
      </w:r>
      <w:bookmarkEnd w:id="28"/>
      <w:bookmarkEnd w:id="29"/>
    </w:p>
    <w:p w14:paraId="75755CF6">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参与招标投标活动的各方应对招标文件和投标文件中的商业和技术等秘密保密，违者应对由此造成的后果承担法律责任。</w:t>
      </w:r>
    </w:p>
    <w:p w14:paraId="2C7F24D4">
      <w:pPr>
        <w:spacing w:line="360" w:lineRule="auto"/>
        <w:rPr>
          <w:rFonts w:ascii="宋体" w:hAnsi="宋体" w:cs="宋体"/>
          <w:b/>
          <w:color w:val="000000" w:themeColor="text1"/>
          <w:kern w:val="0"/>
          <w14:textFill>
            <w14:solidFill>
              <w14:schemeClr w14:val="tx1"/>
            </w14:solidFill>
          </w14:textFill>
        </w:rPr>
      </w:pPr>
      <w:bookmarkStart w:id="30" w:name="_Toc262406299"/>
      <w:bookmarkStart w:id="31" w:name="_Toc343157994"/>
      <w:r>
        <w:rPr>
          <w:rFonts w:hint="eastAsia" w:ascii="宋体" w:hAnsi="宋体" w:cs="宋体"/>
          <w:b/>
          <w:color w:val="000000" w:themeColor="text1"/>
          <w:kern w:val="0"/>
          <w14:textFill>
            <w14:solidFill>
              <w14:schemeClr w14:val="tx1"/>
            </w14:solidFill>
          </w14:textFill>
        </w:rPr>
        <w:t>1.7 语言文字</w:t>
      </w:r>
      <w:bookmarkEnd w:id="30"/>
      <w:bookmarkEnd w:id="31"/>
    </w:p>
    <w:p w14:paraId="4C2F3209">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除专用术语外，与招标投标有关的语言均使用中文。必要时专用术语应附有中文注释。</w:t>
      </w:r>
    </w:p>
    <w:p w14:paraId="49AE6A5C">
      <w:pPr>
        <w:spacing w:line="360" w:lineRule="auto"/>
        <w:rPr>
          <w:rFonts w:ascii="宋体" w:hAnsi="宋体" w:cs="宋体"/>
          <w:b/>
          <w:color w:val="000000" w:themeColor="text1"/>
          <w:kern w:val="0"/>
          <w14:textFill>
            <w14:solidFill>
              <w14:schemeClr w14:val="tx1"/>
            </w14:solidFill>
          </w14:textFill>
        </w:rPr>
      </w:pPr>
      <w:bookmarkStart w:id="32" w:name="_Toc343157995"/>
      <w:bookmarkStart w:id="33" w:name="_Toc262406300"/>
      <w:r>
        <w:rPr>
          <w:rFonts w:hint="eastAsia" w:ascii="宋体" w:hAnsi="宋体" w:cs="宋体"/>
          <w:b/>
          <w:color w:val="000000" w:themeColor="text1"/>
          <w:kern w:val="0"/>
          <w14:textFill>
            <w14:solidFill>
              <w14:schemeClr w14:val="tx1"/>
            </w14:solidFill>
          </w14:textFill>
        </w:rPr>
        <w:t>1.8 计量单位</w:t>
      </w:r>
      <w:bookmarkEnd w:id="32"/>
      <w:bookmarkEnd w:id="33"/>
    </w:p>
    <w:p w14:paraId="78A5D934">
      <w:pPr>
        <w:pStyle w:val="8"/>
        <w:spacing w:line="360" w:lineRule="auto"/>
        <w:ind w:firstLine="315" w:firstLineChars="150"/>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所有计量均采用中华人民共和国法定计量单位。</w:t>
      </w:r>
    </w:p>
    <w:p w14:paraId="781096DA">
      <w:pPr>
        <w:spacing w:line="360" w:lineRule="auto"/>
        <w:rPr>
          <w:rFonts w:ascii="宋体" w:hAnsi="宋体" w:cs="宋体"/>
          <w:b/>
          <w:color w:val="000000" w:themeColor="text1"/>
          <w:kern w:val="0"/>
          <w:szCs w:val="21"/>
          <w14:textFill>
            <w14:solidFill>
              <w14:schemeClr w14:val="tx1"/>
            </w14:solidFill>
          </w14:textFill>
        </w:rPr>
      </w:pPr>
      <w:bookmarkStart w:id="34" w:name="_Toc343157996"/>
      <w:bookmarkStart w:id="35" w:name="_Toc262406301"/>
      <w:r>
        <w:rPr>
          <w:rFonts w:hint="eastAsia" w:ascii="宋体" w:hAnsi="宋体" w:cs="宋体"/>
          <w:b/>
          <w:color w:val="000000" w:themeColor="text1"/>
          <w:kern w:val="0"/>
          <w14:textFill>
            <w14:solidFill>
              <w14:schemeClr w14:val="tx1"/>
            </w14:solidFill>
          </w14:textFill>
        </w:rPr>
        <w:t>1.9 踏勘现场</w:t>
      </w:r>
      <w:bookmarkEnd w:id="34"/>
      <w:bookmarkEnd w:id="35"/>
    </w:p>
    <w:p w14:paraId="55CAF1A7">
      <w:pPr>
        <w:adjustRightInd w:val="0"/>
        <w:snapToGrid w:val="0"/>
        <w:spacing w:line="360" w:lineRule="auto"/>
        <w:ind w:firstLine="420" w:firstLineChars="200"/>
        <w:jc w:val="left"/>
        <w:rPr>
          <w:rFonts w:hint="eastAsia" w:asciiTheme="minorEastAsia" w:hAnsiTheme="minorEastAsia" w:eastAsiaTheme="minorEastAsia"/>
          <w:color w:val="000000" w:themeColor="text1"/>
          <w:kern w:val="0"/>
          <w:szCs w:val="21"/>
          <w14:textFill>
            <w14:solidFill>
              <w14:schemeClr w14:val="tx1"/>
            </w14:solidFill>
          </w14:textFill>
        </w:rPr>
      </w:pPr>
      <w:bookmarkStart w:id="36" w:name="_Toc343157997"/>
      <w:r>
        <w:rPr>
          <w:rFonts w:hint="eastAsia" w:asciiTheme="minorEastAsia" w:hAnsiTheme="minorEastAsia" w:eastAsiaTheme="minorEastAsia"/>
          <w:color w:val="000000" w:themeColor="text1"/>
          <w:kern w:val="0"/>
          <w:szCs w:val="21"/>
          <w14:textFill>
            <w14:solidFill>
              <w14:schemeClr w14:val="tx1"/>
            </w14:solidFill>
          </w14:textFill>
        </w:rPr>
        <w:t>1.9..1投标人按本须知前附表第</w:t>
      </w:r>
      <w:r>
        <w:rPr>
          <w:rFonts w:hint="eastAsia" w:asciiTheme="minorEastAsia" w:hAnsiTheme="minorEastAsia" w:eastAsiaTheme="minorEastAsia"/>
          <w:color w:val="000000" w:themeColor="text1"/>
          <w:kern w:val="0"/>
          <w:szCs w:val="21"/>
          <w:lang w:val="en-US" w:eastAsia="zh-CN"/>
          <w14:textFill>
            <w14:solidFill>
              <w14:schemeClr w14:val="tx1"/>
            </w14:solidFill>
          </w14:textFill>
        </w:rPr>
        <w:t>1.9.1</w:t>
      </w:r>
      <w:r>
        <w:rPr>
          <w:rFonts w:hint="eastAsia" w:asciiTheme="minorEastAsia" w:hAnsiTheme="minorEastAsia" w:eastAsiaTheme="minorEastAsia"/>
          <w:color w:val="000000" w:themeColor="text1"/>
          <w:kern w:val="0"/>
          <w:szCs w:val="21"/>
          <w14:textFill>
            <w14:solidFill>
              <w14:schemeClr w14:val="tx1"/>
            </w14:solidFill>
          </w14:textFill>
        </w:rPr>
        <w:t>项所述方式，对工程现场及周围环境进行踏勘，以便投标人获取有关编制投标文件和签署合同所涉及现场的资料。</w:t>
      </w:r>
    </w:p>
    <w:p w14:paraId="5EBC78F2">
      <w:pPr>
        <w:adjustRightInd w:val="0"/>
        <w:snapToGrid w:val="0"/>
        <w:spacing w:line="360" w:lineRule="auto"/>
        <w:ind w:firstLine="420" w:firstLineChars="200"/>
        <w:jc w:val="left"/>
        <w:rPr>
          <w:rFonts w:hint="eastAsia"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lang w:val="en-US" w:eastAsia="zh-CN"/>
          <w14:textFill>
            <w14:solidFill>
              <w14:schemeClr w14:val="tx1"/>
            </w14:solidFill>
          </w14:textFill>
        </w:rPr>
        <w:t>1.9.2</w:t>
      </w:r>
      <w:r>
        <w:rPr>
          <w:rFonts w:hint="eastAsia" w:asciiTheme="minorEastAsia" w:hAnsiTheme="minorEastAsia" w:eastAsiaTheme="minorEastAsia"/>
          <w:color w:val="000000" w:themeColor="text1"/>
          <w:kern w:val="0"/>
          <w:szCs w:val="21"/>
          <w14:textFill>
            <w14:solidFill>
              <w14:schemeClr w14:val="tx1"/>
            </w14:solidFill>
          </w14:textFill>
        </w:rPr>
        <w:t xml:space="preserve"> 招标人在踏勘现场中介绍的工程场地和相关的周边环境情况，供投标人在编制投标文件时参考，招标人不对投标人据此做出的判断和决策负责。</w:t>
      </w:r>
    </w:p>
    <w:p w14:paraId="4BE58CAF">
      <w:pPr>
        <w:adjustRightInd w:val="0"/>
        <w:snapToGrid w:val="0"/>
        <w:spacing w:line="360" w:lineRule="auto"/>
        <w:ind w:firstLine="420" w:firstLineChars="200"/>
        <w:jc w:val="left"/>
        <w:rPr>
          <w:rFonts w:hint="eastAsia"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lang w:val="en-US" w:eastAsia="zh-CN"/>
          <w14:textFill>
            <w14:solidFill>
              <w14:schemeClr w14:val="tx1"/>
            </w14:solidFill>
          </w14:textFill>
        </w:rPr>
        <w:t>1.9.3</w:t>
      </w:r>
      <w:r>
        <w:rPr>
          <w:rFonts w:hint="eastAsia" w:asciiTheme="minorEastAsia" w:hAnsiTheme="minorEastAsia" w:eastAsiaTheme="minorEastAsia"/>
          <w:color w:val="000000" w:themeColor="text1"/>
          <w:kern w:val="0"/>
          <w:szCs w:val="21"/>
          <w14:textFill>
            <w14:solidFill>
              <w14:schemeClr w14:val="tx1"/>
            </w14:solidFill>
          </w14:textFill>
        </w:rPr>
        <w:t xml:space="preserve"> 经招标人允许，投标人可为踏勘目的进入招标人的项目现场，但投标人不得因此使招标人承担有关的责任和蒙受损失。投标人应承担踏勘现场的责任和风险。</w:t>
      </w:r>
    </w:p>
    <w:p w14:paraId="5E3CE096">
      <w:pPr>
        <w:adjustRightInd w:val="0"/>
        <w:snapToGrid w:val="0"/>
        <w:spacing w:line="360" w:lineRule="auto"/>
        <w:ind w:firstLine="420" w:firstLineChars="200"/>
        <w:jc w:val="left"/>
        <w:rPr>
          <w:rFonts w:hint="eastAsia"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lang w:val="en-US" w:eastAsia="zh-CN"/>
          <w14:textFill>
            <w14:solidFill>
              <w14:schemeClr w14:val="tx1"/>
            </w14:solidFill>
          </w14:textFill>
        </w:rPr>
        <w:t>1.9.4</w:t>
      </w:r>
      <w:r>
        <w:rPr>
          <w:rFonts w:hint="eastAsia" w:asciiTheme="minorEastAsia" w:hAnsiTheme="minorEastAsia" w:eastAsiaTheme="minorEastAsia"/>
          <w:color w:val="000000" w:themeColor="text1"/>
          <w:kern w:val="0"/>
          <w:szCs w:val="21"/>
          <w14:textFill>
            <w14:solidFill>
              <w14:schemeClr w14:val="tx1"/>
            </w14:solidFill>
          </w14:textFill>
        </w:rPr>
        <w:t>投标人承担踏勘现场所发生的自身费用。</w:t>
      </w:r>
    </w:p>
    <w:p w14:paraId="2803B2ED">
      <w:pPr>
        <w:adjustRightInd w:val="0"/>
        <w:snapToGrid w:val="0"/>
        <w:spacing w:line="360" w:lineRule="auto"/>
        <w:ind w:firstLine="420" w:firstLineChars="200"/>
        <w:jc w:val="left"/>
        <w:rPr>
          <w:rFonts w:hint="eastAsia"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1.9.</w:t>
      </w:r>
      <w:r>
        <w:rPr>
          <w:rFonts w:hint="eastAsia" w:asciiTheme="minorEastAsia" w:hAnsiTheme="minorEastAsia" w:eastAsia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olor w:val="000000" w:themeColor="text1"/>
          <w:kern w:val="0"/>
          <w:szCs w:val="21"/>
          <w14:textFill>
            <w14:solidFill>
              <w14:schemeClr w14:val="tx1"/>
            </w14:solidFill>
          </w14:textFill>
        </w:rPr>
        <w:t>投标人自行负责在踏勘现场中所发生的人员伤亡和财产损失。</w:t>
      </w:r>
    </w:p>
    <w:p w14:paraId="2C117864">
      <w:pPr>
        <w:spacing w:line="360" w:lineRule="auto"/>
        <w:rPr>
          <w:rFonts w:ascii="宋体" w:hAnsi="宋体" w:cs="宋体"/>
          <w:b/>
          <w:color w:val="000000" w:themeColor="text1"/>
          <w:kern w:val="0"/>
          <w14:textFill>
            <w14:solidFill>
              <w14:schemeClr w14:val="tx1"/>
            </w14:solidFill>
          </w14:textFill>
        </w:rPr>
      </w:pPr>
      <w:r>
        <w:rPr>
          <w:rFonts w:hint="eastAsia" w:ascii="宋体" w:hAnsi="宋体" w:cs="宋体"/>
          <w:b/>
          <w:color w:val="000000" w:themeColor="text1"/>
          <w:kern w:val="0"/>
          <w14:textFill>
            <w14:solidFill>
              <w14:schemeClr w14:val="tx1"/>
            </w14:solidFill>
          </w14:textFill>
        </w:rPr>
        <w:t>1.10 投标预备会</w:t>
      </w:r>
      <w:bookmarkEnd w:id="36"/>
    </w:p>
    <w:p w14:paraId="132FE9A4">
      <w:pPr>
        <w:pStyle w:val="8"/>
        <w:spacing w:line="360" w:lineRule="auto"/>
        <w:ind w:firstLine="420" w:firstLineChars="200"/>
        <w:rPr>
          <w:rFonts w:hint="eastAsia" w:cs="Times New Roman" w:asciiTheme="minorEastAsia" w:hAnsiTheme="minorEastAsia" w:eastAsiaTheme="minorEastAsia"/>
          <w:color w:val="000000" w:themeColor="text1"/>
          <w:kern w:val="0"/>
          <w:sz w:val="21"/>
          <w:szCs w:val="21"/>
          <w:lang w:val="en-US" w:eastAsia="zh-CN" w:bidi="ar-SA"/>
          <w14:textFill>
            <w14:solidFill>
              <w14:schemeClr w14:val="tx1"/>
            </w14:solidFill>
          </w14:textFill>
        </w:rPr>
      </w:pPr>
      <w:r>
        <w:rPr>
          <w:rFonts w:hint="eastAsia" w:cs="Times New Roman" w:asciiTheme="minorEastAsia" w:hAnsiTheme="minorEastAsia" w:eastAsiaTheme="minorEastAsia"/>
          <w:color w:val="000000" w:themeColor="text1"/>
          <w:kern w:val="0"/>
          <w:sz w:val="21"/>
          <w:szCs w:val="21"/>
          <w:lang w:val="en-US" w:eastAsia="zh-CN" w:bidi="ar-SA"/>
          <w14:textFill>
            <w14:solidFill>
              <w14:schemeClr w14:val="tx1"/>
            </w14:solidFill>
          </w14:textFill>
        </w:rPr>
        <w:t>1.10.1不召开</w:t>
      </w:r>
    </w:p>
    <w:p w14:paraId="47DF0261">
      <w:pPr>
        <w:spacing w:line="360" w:lineRule="auto"/>
        <w:rPr>
          <w:rFonts w:ascii="宋体" w:hAnsi="宋体" w:cs="宋体"/>
          <w:b/>
          <w:color w:val="000000" w:themeColor="text1"/>
          <w:kern w:val="0"/>
          <w14:textFill>
            <w14:solidFill>
              <w14:schemeClr w14:val="tx1"/>
            </w14:solidFill>
          </w14:textFill>
        </w:rPr>
      </w:pPr>
      <w:bookmarkStart w:id="37" w:name="_Toc343157999"/>
      <w:bookmarkStart w:id="38" w:name="_Toc260172653"/>
      <w:bookmarkStart w:id="39" w:name="_Toc247277940"/>
      <w:bookmarkStart w:id="40" w:name="_Toc209498815"/>
      <w:bookmarkStart w:id="41" w:name="_Toc262675320"/>
      <w:r>
        <w:rPr>
          <w:rFonts w:hint="eastAsia" w:ascii="宋体" w:hAnsi="宋体" w:cs="宋体"/>
          <w:b/>
          <w:color w:val="000000" w:themeColor="text1"/>
          <w:kern w:val="0"/>
          <w14:textFill>
            <w14:solidFill>
              <w14:schemeClr w14:val="tx1"/>
            </w14:solidFill>
          </w14:textFill>
        </w:rPr>
        <w:t>1.1</w:t>
      </w:r>
      <w:r>
        <w:rPr>
          <w:rFonts w:hint="eastAsia" w:ascii="宋体" w:hAnsi="宋体" w:cs="宋体"/>
          <w:b/>
          <w:color w:val="000000" w:themeColor="text1"/>
          <w:kern w:val="0"/>
          <w:lang w:val="en-US" w:eastAsia="zh-CN"/>
          <w14:textFill>
            <w14:solidFill>
              <w14:schemeClr w14:val="tx1"/>
            </w14:solidFill>
          </w14:textFill>
        </w:rPr>
        <w:t>1</w:t>
      </w:r>
      <w:r>
        <w:rPr>
          <w:rFonts w:hint="eastAsia" w:ascii="宋体" w:hAnsi="宋体" w:cs="宋体"/>
          <w:b/>
          <w:color w:val="000000" w:themeColor="text1"/>
          <w:kern w:val="0"/>
          <w14:textFill>
            <w14:solidFill>
              <w14:schemeClr w14:val="tx1"/>
            </w14:solidFill>
          </w14:textFill>
        </w:rPr>
        <w:t>偏离</w:t>
      </w:r>
      <w:bookmarkEnd w:id="37"/>
      <w:bookmarkEnd w:id="38"/>
      <w:bookmarkEnd w:id="39"/>
      <w:bookmarkEnd w:id="40"/>
      <w:bookmarkEnd w:id="41"/>
    </w:p>
    <w:p w14:paraId="15172EBA">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bookmarkStart w:id="42" w:name="_Toc209498816"/>
      <w:r>
        <w:rPr>
          <w:rFonts w:hint="eastAsia" w:ascii="宋体" w:hAnsi="宋体" w:cs="宋体"/>
          <w:color w:val="000000" w:themeColor="text1"/>
          <w:kern w:val="0"/>
          <w:szCs w:val="21"/>
          <w14:textFill>
            <w14:solidFill>
              <w14:schemeClr w14:val="tx1"/>
            </w14:solidFill>
          </w14:textFill>
        </w:rPr>
        <w:t>投标文件不允许偏离招标文件的实质性要求和条件。</w:t>
      </w:r>
      <w:bookmarkEnd w:id="42"/>
      <w:r>
        <w:rPr>
          <w:rFonts w:hint="eastAsia" w:ascii="宋体" w:hAnsi="宋体" w:cs="宋体"/>
          <w:color w:val="000000" w:themeColor="text1"/>
          <w:kern w:val="0"/>
          <w:szCs w:val="21"/>
          <w14:textFill>
            <w14:solidFill>
              <w14:schemeClr w14:val="tx1"/>
            </w14:solidFill>
          </w14:textFill>
        </w:rPr>
        <w:t>投标文件偏离招标文件的非实质性要求和条件的，其处理方式见投标人须知前附表。</w:t>
      </w:r>
    </w:p>
    <w:p w14:paraId="24A38777">
      <w:pPr>
        <w:pStyle w:val="3"/>
        <w:spacing w:line="360" w:lineRule="auto"/>
        <w:jc w:val="left"/>
        <w:rPr>
          <w:rFonts w:ascii="宋体" w:hAnsi="宋体" w:eastAsia="宋体" w:cs="宋体"/>
          <w:b/>
          <w:color w:val="000000" w:themeColor="text1"/>
          <w:kern w:val="0"/>
          <w:sz w:val="21"/>
          <w:szCs w:val="21"/>
          <w14:textFill>
            <w14:solidFill>
              <w14:schemeClr w14:val="tx1"/>
            </w14:solidFill>
          </w14:textFill>
        </w:rPr>
      </w:pPr>
      <w:bookmarkStart w:id="43" w:name="_Toc343158000"/>
      <w:bookmarkStart w:id="44" w:name="_Toc491246646"/>
      <w:bookmarkStart w:id="45" w:name="_Toc247277941"/>
      <w:bookmarkStart w:id="46" w:name="_Toc209498817"/>
      <w:bookmarkStart w:id="47" w:name="_Toc260172654"/>
      <w:bookmarkStart w:id="48" w:name="_Toc262675321"/>
      <w:bookmarkStart w:id="49" w:name="_Toc117867958"/>
      <w:bookmarkStart w:id="50" w:name="_Toc199321891"/>
      <w:r>
        <w:rPr>
          <w:rFonts w:hint="eastAsia" w:ascii="宋体" w:hAnsi="宋体" w:eastAsia="宋体" w:cs="宋体"/>
          <w:b/>
          <w:color w:val="000000" w:themeColor="text1"/>
          <w:kern w:val="0"/>
          <w:sz w:val="21"/>
          <w:szCs w:val="21"/>
          <w14:textFill>
            <w14:solidFill>
              <w14:schemeClr w14:val="tx1"/>
            </w14:solidFill>
          </w14:textFill>
        </w:rPr>
        <w:t>2.招标文件</w:t>
      </w:r>
      <w:bookmarkEnd w:id="43"/>
      <w:bookmarkEnd w:id="44"/>
      <w:bookmarkEnd w:id="45"/>
      <w:bookmarkEnd w:id="46"/>
      <w:bookmarkEnd w:id="47"/>
      <w:bookmarkEnd w:id="48"/>
      <w:bookmarkEnd w:id="49"/>
      <w:bookmarkEnd w:id="50"/>
    </w:p>
    <w:p w14:paraId="4C706FA9">
      <w:pPr>
        <w:spacing w:line="360" w:lineRule="auto"/>
        <w:rPr>
          <w:rFonts w:ascii="宋体" w:hAnsi="宋体" w:cs="宋体"/>
          <w:b/>
          <w:color w:val="000000" w:themeColor="text1"/>
          <w:kern w:val="0"/>
          <w14:textFill>
            <w14:solidFill>
              <w14:schemeClr w14:val="tx1"/>
            </w14:solidFill>
          </w14:textFill>
        </w:rPr>
      </w:pPr>
      <w:bookmarkStart w:id="51" w:name="_Toc260172655"/>
      <w:bookmarkStart w:id="52" w:name="_Toc491246647"/>
      <w:bookmarkStart w:id="53" w:name="_Toc199321892"/>
      <w:bookmarkStart w:id="54" w:name="_Toc247277942"/>
      <w:bookmarkStart w:id="55" w:name="_Toc209498818"/>
      <w:bookmarkStart w:id="56" w:name="_Toc343158001"/>
      <w:bookmarkStart w:id="57" w:name="_Toc262675322"/>
      <w:r>
        <w:rPr>
          <w:rFonts w:hint="eastAsia" w:ascii="宋体" w:hAnsi="宋体" w:cs="宋体"/>
          <w:b/>
          <w:color w:val="000000" w:themeColor="text1"/>
          <w:kern w:val="0"/>
          <w14:textFill>
            <w14:solidFill>
              <w14:schemeClr w14:val="tx1"/>
            </w14:solidFill>
          </w14:textFill>
        </w:rPr>
        <w:t>2.1 招标文件的组成</w:t>
      </w:r>
      <w:bookmarkEnd w:id="51"/>
      <w:bookmarkEnd w:id="52"/>
      <w:bookmarkEnd w:id="53"/>
      <w:bookmarkEnd w:id="54"/>
      <w:bookmarkEnd w:id="55"/>
      <w:bookmarkEnd w:id="56"/>
      <w:bookmarkEnd w:id="57"/>
    </w:p>
    <w:p w14:paraId="7BA609D6">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本招标文件包括:</w:t>
      </w:r>
    </w:p>
    <w:p w14:paraId="75918960">
      <w:pPr>
        <w:autoSpaceDE w:val="0"/>
        <w:autoSpaceDN w:val="0"/>
        <w:spacing w:line="360" w:lineRule="auto"/>
        <w:ind w:firstLine="42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（1）招标公告</w:t>
      </w:r>
    </w:p>
    <w:p w14:paraId="0622EC4B">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（2）投标人须知；</w:t>
      </w:r>
    </w:p>
    <w:p w14:paraId="09D0B015">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（3）评标办法；</w:t>
      </w:r>
    </w:p>
    <w:p w14:paraId="0836F1DC">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（4）合同条款及格式；</w:t>
      </w:r>
    </w:p>
    <w:p w14:paraId="69251429">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（5）工程量清单；</w:t>
      </w:r>
    </w:p>
    <w:p w14:paraId="4AF04055">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（6）技术标准和要求；</w:t>
      </w:r>
    </w:p>
    <w:p w14:paraId="4543A339">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（7）投标文件格式；</w:t>
      </w:r>
    </w:p>
    <w:p w14:paraId="7AE354EB">
      <w:pPr>
        <w:autoSpaceDE w:val="0"/>
        <w:autoSpaceDN w:val="0"/>
        <w:spacing w:line="360" w:lineRule="auto"/>
        <w:ind w:left="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pacing w:val="-4"/>
          <w:kern w:val="0"/>
          <w:szCs w:val="21"/>
          <w14:textFill>
            <w14:solidFill>
              <w14:schemeClr w14:val="tx1"/>
            </w14:solidFill>
          </w14:textFill>
        </w:rPr>
        <w:t>根据本章第2.2款和第2.3款对招标文件所作的澄清、修改，构成招标文件</w:t>
      </w:r>
      <w:r>
        <w:rPr>
          <w:rFonts w:hint="eastAsia" w:ascii="宋体" w:hAnsi="宋体" w:cs="宋体"/>
          <w:color w:val="000000" w:themeColor="text1"/>
          <w:kern w:val="0"/>
          <w:szCs w:val="21"/>
          <w14:textFill>
            <w14:solidFill>
              <w14:schemeClr w14:val="tx1"/>
            </w14:solidFill>
          </w14:textFill>
        </w:rPr>
        <w:t>的组成部分。</w:t>
      </w:r>
    </w:p>
    <w:p w14:paraId="24C0F459">
      <w:pPr>
        <w:spacing w:line="360" w:lineRule="auto"/>
        <w:rPr>
          <w:rFonts w:ascii="宋体" w:hAnsi="宋体" w:cs="宋体"/>
          <w:b/>
          <w:color w:val="000000" w:themeColor="text1"/>
          <w:kern w:val="0"/>
          <w14:textFill>
            <w14:solidFill>
              <w14:schemeClr w14:val="tx1"/>
            </w14:solidFill>
          </w14:textFill>
        </w:rPr>
      </w:pPr>
      <w:bookmarkStart w:id="58" w:name="_Toc247277943"/>
      <w:bookmarkStart w:id="59" w:name="_Toc262675323"/>
      <w:bookmarkStart w:id="60" w:name="_Toc343158002"/>
      <w:bookmarkStart w:id="61" w:name="_Toc199321893"/>
      <w:bookmarkStart w:id="62" w:name="_Toc209498819"/>
      <w:bookmarkStart w:id="63" w:name="_Toc260172656"/>
      <w:bookmarkStart w:id="64" w:name="_Toc491246648"/>
      <w:r>
        <w:rPr>
          <w:rFonts w:hint="eastAsia" w:ascii="宋体" w:hAnsi="宋体" w:cs="宋体"/>
          <w:b/>
          <w:color w:val="000000" w:themeColor="text1"/>
          <w:kern w:val="0"/>
          <w14:textFill>
            <w14:solidFill>
              <w14:schemeClr w14:val="tx1"/>
            </w14:solidFill>
          </w14:textFill>
        </w:rPr>
        <w:t>2.2 招标文件的澄清</w:t>
      </w:r>
      <w:bookmarkEnd w:id="58"/>
      <w:bookmarkEnd w:id="59"/>
      <w:bookmarkEnd w:id="60"/>
      <w:bookmarkEnd w:id="61"/>
      <w:bookmarkEnd w:id="62"/>
      <w:bookmarkEnd w:id="63"/>
      <w:bookmarkEnd w:id="64"/>
    </w:p>
    <w:p w14:paraId="008CB347">
      <w:pPr>
        <w:pStyle w:val="28"/>
        <w:adjustRightInd/>
        <w:snapToGrid/>
        <w:spacing w:line="360" w:lineRule="auto"/>
        <w:ind w:firstLine="0" w:firstLineChars="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bookmarkStart w:id="65" w:name="_Toc262675324"/>
      <w:bookmarkStart w:id="66" w:name="_Toc209498820"/>
      <w:bookmarkStart w:id="67" w:name="_Toc199321897"/>
      <w:bookmarkStart w:id="68" w:name="_Toc247277944"/>
      <w:bookmarkStart w:id="69" w:name="_Toc491246649"/>
      <w:bookmarkStart w:id="70" w:name="_Toc260172657"/>
      <w:bookmarkStart w:id="71" w:name="_Toc343158003"/>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电子版招标文件的澄清：</w:t>
      </w:r>
    </w:p>
    <w:p w14:paraId="7D0BE3A8">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2.2.1 在投标人须知前附表规定的时间要求。投标人应仔细阅读和检查招标文件的全部内容。如发现缺页或附件不全，应及时向招标人提出，以便补齐。如有疑问，应在投标人须知前附表规定的时间前以在线不署名提交方式登录云南省公共资源交易信息网，要求招标人对招标文件予以澄清。</w:t>
      </w:r>
    </w:p>
    <w:p w14:paraId="3E6E3B5D">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2.2.2投标截止时间：见投标人须知前附表。</w:t>
      </w:r>
    </w:p>
    <w:p w14:paraId="564016A6">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2.2.3招标澄清和补遗全部通过网络送达，请投标人在开标截止日前，务必查询网站信息，投标人自行登录云南省公共资源交易信息网，无须回复确认已收到该澄清。</w:t>
      </w:r>
    </w:p>
    <w:bookmarkEnd w:id="65"/>
    <w:bookmarkEnd w:id="66"/>
    <w:bookmarkEnd w:id="67"/>
    <w:bookmarkEnd w:id="68"/>
    <w:bookmarkEnd w:id="69"/>
    <w:bookmarkEnd w:id="70"/>
    <w:bookmarkEnd w:id="71"/>
    <w:p w14:paraId="3E026541">
      <w:pPr>
        <w:spacing w:line="360" w:lineRule="auto"/>
        <w:rPr>
          <w:rFonts w:ascii="宋体" w:hAnsi="宋体" w:cs="宋体"/>
          <w:b/>
          <w:color w:val="000000" w:themeColor="text1"/>
          <w:kern w:val="0"/>
          <w:szCs w:val="21"/>
          <w14:textFill>
            <w14:solidFill>
              <w14:schemeClr w14:val="tx1"/>
            </w14:solidFill>
          </w14:textFill>
        </w:rPr>
      </w:pPr>
      <w:bookmarkStart w:id="72" w:name="_Toc209498821"/>
      <w:bookmarkStart w:id="73" w:name="_Toc260172658"/>
      <w:bookmarkStart w:id="74" w:name="_Toc247277945"/>
      <w:bookmarkStart w:id="75" w:name="_Toc491246650"/>
      <w:bookmarkStart w:id="76" w:name="_Toc262675325"/>
      <w:bookmarkStart w:id="77" w:name="_Toc343158004"/>
      <w:bookmarkStart w:id="78" w:name="_Toc199321900"/>
      <w:r>
        <w:rPr>
          <w:rFonts w:hint="eastAsia" w:ascii="宋体" w:hAnsi="宋体" w:cs="宋体"/>
          <w:b/>
          <w:color w:val="000000" w:themeColor="text1"/>
          <w:kern w:val="0"/>
          <w:szCs w:val="21"/>
          <w14:textFill>
            <w14:solidFill>
              <w14:schemeClr w14:val="tx1"/>
            </w14:solidFill>
          </w14:textFill>
        </w:rPr>
        <w:t>2.3招标文件的修改：</w:t>
      </w:r>
    </w:p>
    <w:p w14:paraId="41740EC5">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2.3.1在投标截止时间15天前，确需要变更招标文件内容的，招标人可主动或在解答投标人提出的澄清问题时对招标文件进行修改，并同时报主管部门备案。无论对评标办法、评审项目等重要评审内容作何种变更，都要重新制作电子招标文件，并重新备案，同时发布补遗文件进行说明以保证各投标人都能重新下载最新的电子招标文件用于编制电子投标文件。招标文件的修改将在“云南省公共资源交易信息网”发布，招标文件的修改作为招标文件的组成部分，并具有约束力。</w:t>
      </w:r>
    </w:p>
    <w:p w14:paraId="2F4BE92B">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2.3.2投标人自行登录云南省公共资源交易信息网收取修改内容，无须回复确认已收到该修改。投标人应在截标时间前随时查看“云南省公共资源交易信息网”中有关该工程招标文件的答疑、补遗内容。否则，由此引起的投标损失自负。</w:t>
      </w:r>
    </w:p>
    <w:p w14:paraId="412C9250">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2.3.3招标文件、招标文件澄清、招标文件修改文件内容均以网上发布的为准，当招标文件、招标文件澄清、招标文件修改文件内容相互矛盾时，以最后发出的为准。</w:t>
      </w:r>
    </w:p>
    <w:p w14:paraId="224650A1">
      <w:pPr>
        <w:pStyle w:val="3"/>
        <w:spacing w:line="360" w:lineRule="auto"/>
        <w:jc w:val="left"/>
        <w:rPr>
          <w:rFonts w:ascii="宋体" w:hAnsi="宋体" w:eastAsia="宋体" w:cs="宋体"/>
          <w:b/>
          <w:color w:val="000000" w:themeColor="text1"/>
          <w:kern w:val="0"/>
          <w:sz w:val="21"/>
          <w:szCs w:val="21"/>
          <w14:textFill>
            <w14:solidFill>
              <w14:schemeClr w14:val="tx1"/>
            </w14:solidFill>
          </w14:textFill>
        </w:rPr>
      </w:pPr>
      <w:bookmarkStart w:id="79" w:name="_Toc117867959"/>
      <w:r>
        <w:rPr>
          <w:rFonts w:hint="eastAsia" w:ascii="宋体" w:hAnsi="宋体" w:eastAsia="宋体" w:cs="宋体"/>
          <w:b/>
          <w:color w:val="000000" w:themeColor="text1"/>
          <w:kern w:val="0"/>
          <w:sz w:val="21"/>
          <w:szCs w:val="21"/>
          <w14:textFill>
            <w14:solidFill>
              <w14:schemeClr w14:val="tx1"/>
            </w14:solidFill>
          </w14:textFill>
        </w:rPr>
        <w:t>3.投标文件</w:t>
      </w:r>
      <w:bookmarkEnd w:id="72"/>
      <w:bookmarkEnd w:id="73"/>
      <w:bookmarkEnd w:id="74"/>
      <w:bookmarkEnd w:id="75"/>
      <w:bookmarkEnd w:id="76"/>
      <w:bookmarkEnd w:id="77"/>
      <w:bookmarkEnd w:id="78"/>
      <w:bookmarkEnd w:id="79"/>
    </w:p>
    <w:p w14:paraId="4A4C47DE">
      <w:pPr>
        <w:spacing w:line="360" w:lineRule="auto"/>
        <w:rPr>
          <w:rFonts w:ascii="宋体" w:hAnsi="宋体" w:cs="宋体"/>
          <w:b/>
          <w:color w:val="000000" w:themeColor="text1"/>
          <w:kern w:val="0"/>
          <w14:textFill>
            <w14:solidFill>
              <w14:schemeClr w14:val="tx1"/>
            </w14:solidFill>
          </w14:textFill>
        </w:rPr>
      </w:pPr>
      <w:bookmarkStart w:id="80" w:name="_Toc343158005"/>
      <w:bookmarkStart w:id="81" w:name="_Toc209498822"/>
      <w:bookmarkStart w:id="82" w:name="_Toc491246651"/>
      <w:bookmarkStart w:id="83" w:name="_Toc199321901"/>
      <w:bookmarkStart w:id="84" w:name="_Toc262675326"/>
      <w:bookmarkStart w:id="85" w:name="_Toc260172659"/>
      <w:bookmarkStart w:id="86" w:name="_Toc247277946"/>
      <w:r>
        <w:rPr>
          <w:rFonts w:hint="eastAsia" w:ascii="宋体" w:hAnsi="宋体" w:cs="宋体"/>
          <w:b/>
          <w:color w:val="000000" w:themeColor="text1"/>
          <w:kern w:val="0"/>
          <w14:textFill>
            <w14:solidFill>
              <w14:schemeClr w14:val="tx1"/>
            </w14:solidFill>
          </w14:textFill>
        </w:rPr>
        <w:t>3.1 投标文件的组成</w:t>
      </w:r>
      <w:bookmarkEnd w:id="80"/>
      <w:bookmarkEnd w:id="81"/>
      <w:bookmarkEnd w:id="82"/>
      <w:bookmarkEnd w:id="83"/>
      <w:bookmarkEnd w:id="84"/>
      <w:bookmarkEnd w:id="85"/>
      <w:bookmarkEnd w:id="86"/>
    </w:p>
    <w:p w14:paraId="2B2244AD">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3.1.1</w:t>
      </w:r>
      <w:r>
        <w:rPr>
          <w:rFonts w:hint="eastAsia" w:ascii="宋体" w:hAnsi="宋体" w:cs="宋体"/>
          <w:color w:val="000000" w:themeColor="text1"/>
          <w:kern w:val="0"/>
          <w:szCs w:val="21"/>
          <w14:textFill>
            <w14:solidFill>
              <w14:schemeClr w14:val="tx1"/>
            </w14:solidFill>
          </w14:textFill>
        </w:rPr>
        <w:t xml:space="preserve"> 投标文件应包括下列内容:</w:t>
      </w:r>
    </w:p>
    <w:p w14:paraId="454BAC0E">
      <w:pPr>
        <w:pStyle w:val="22"/>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（1）资格审查部分</w:t>
      </w:r>
    </w:p>
    <w:p w14:paraId="5CF68FFC">
      <w:pPr>
        <w:pStyle w:val="22"/>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（2）技术部分</w:t>
      </w:r>
    </w:p>
    <w:p w14:paraId="73F83E71">
      <w:pPr>
        <w:pStyle w:val="22"/>
        <w:autoSpaceDE w:val="0"/>
        <w:autoSpaceDN w:val="0"/>
        <w:spacing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14:textFill>
            <w14:solidFill>
              <w14:schemeClr w14:val="tx1"/>
            </w14:solidFill>
          </w14:textFill>
        </w:rPr>
        <w:t>（3）商务部分</w:t>
      </w:r>
    </w:p>
    <w:p w14:paraId="02EBD509">
      <w:pPr>
        <w:spacing w:line="360" w:lineRule="auto"/>
        <w:rPr>
          <w:rFonts w:ascii="宋体" w:hAnsi="宋体" w:cs="宋体"/>
          <w:b/>
          <w:color w:val="000000" w:themeColor="text1"/>
          <w:kern w:val="0"/>
          <w14:textFill>
            <w14:solidFill>
              <w14:schemeClr w14:val="tx1"/>
            </w14:solidFill>
          </w14:textFill>
        </w:rPr>
      </w:pPr>
      <w:bookmarkStart w:id="87" w:name="_Toc247277947"/>
      <w:bookmarkStart w:id="88" w:name="_Toc209498823"/>
      <w:bookmarkStart w:id="89" w:name="_Toc343158006"/>
      <w:bookmarkStart w:id="90" w:name="_Toc260172660"/>
      <w:bookmarkStart w:id="91" w:name="_Toc262675327"/>
      <w:bookmarkStart w:id="92" w:name="_Toc199321902"/>
      <w:bookmarkStart w:id="93" w:name="_Toc491246652"/>
      <w:r>
        <w:rPr>
          <w:rFonts w:hint="eastAsia" w:ascii="宋体" w:hAnsi="宋体" w:cs="宋体"/>
          <w:b/>
          <w:color w:val="000000" w:themeColor="text1"/>
          <w:kern w:val="0"/>
          <w14:textFill>
            <w14:solidFill>
              <w14:schemeClr w14:val="tx1"/>
            </w14:solidFill>
          </w14:textFill>
        </w:rPr>
        <w:t>3.2 投标报价</w:t>
      </w:r>
      <w:bookmarkEnd w:id="87"/>
      <w:bookmarkEnd w:id="88"/>
      <w:bookmarkEnd w:id="89"/>
      <w:bookmarkEnd w:id="90"/>
      <w:bookmarkEnd w:id="91"/>
      <w:bookmarkEnd w:id="92"/>
      <w:bookmarkEnd w:id="93"/>
    </w:p>
    <w:p w14:paraId="079F0343">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3.2.1 投标人应按第五章"工程量清单"的要求填写相应表格。</w:t>
      </w:r>
    </w:p>
    <w:p w14:paraId="44F24A57">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3.2.2 投标人在投标截止时间前修改投标函中的投标总报价，应同时修改第五章"工程量清单"中的相应报价。此修改须符合本章第4.3款的有关要求。</w:t>
      </w:r>
    </w:p>
    <w:p w14:paraId="2EFC8BEB">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3.2.3 投标人在报价时，人工、材料、机械台班单价、管理费、利润、措施费用等可在不低于企业成本的基础上自主确定，定额编号、定额子目工作内容、工程量计算规则、计量单位、措施费用划分以及规费和税金应按计价依据的规定执行。</w:t>
      </w:r>
    </w:p>
    <w:p w14:paraId="22FD79E3">
      <w:pPr>
        <w:spacing w:line="360" w:lineRule="auto"/>
        <w:rPr>
          <w:rFonts w:ascii="宋体" w:hAnsi="宋体" w:cs="宋体"/>
          <w:b/>
          <w:color w:val="000000" w:themeColor="text1"/>
          <w:kern w:val="0"/>
          <w14:textFill>
            <w14:solidFill>
              <w14:schemeClr w14:val="tx1"/>
            </w14:solidFill>
          </w14:textFill>
        </w:rPr>
      </w:pPr>
      <w:bookmarkStart w:id="94" w:name="_Toc262675328"/>
      <w:bookmarkStart w:id="95" w:name="_Toc199321903"/>
      <w:bookmarkStart w:id="96" w:name="_Toc491246653"/>
      <w:bookmarkStart w:id="97" w:name="_Toc260172661"/>
      <w:bookmarkStart w:id="98" w:name="_Toc343158007"/>
      <w:bookmarkStart w:id="99" w:name="_Toc209498824"/>
      <w:bookmarkStart w:id="100" w:name="_Toc247277948"/>
      <w:r>
        <w:rPr>
          <w:rFonts w:hint="eastAsia" w:ascii="宋体" w:hAnsi="宋体" w:cs="宋体"/>
          <w:b/>
          <w:color w:val="000000" w:themeColor="text1"/>
          <w:kern w:val="0"/>
          <w14:textFill>
            <w14:solidFill>
              <w14:schemeClr w14:val="tx1"/>
            </w14:solidFill>
          </w14:textFill>
        </w:rPr>
        <w:t>3.3 投标有效期</w:t>
      </w:r>
      <w:bookmarkEnd w:id="94"/>
      <w:bookmarkEnd w:id="95"/>
      <w:bookmarkEnd w:id="96"/>
      <w:bookmarkEnd w:id="97"/>
      <w:bookmarkEnd w:id="98"/>
      <w:bookmarkEnd w:id="99"/>
      <w:bookmarkEnd w:id="100"/>
    </w:p>
    <w:p w14:paraId="79A1175C">
      <w:pPr>
        <w:wordWrap w:val="0"/>
        <w:autoSpaceDE w:val="0"/>
        <w:autoSpaceDN w:val="0"/>
        <w:adjustRightInd w:val="0"/>
        <w:spacing w:line="360" w:lineRule="auto"/>
        <w:ind w:firstLine="420" w:firstLineChars="200"/>
        <w:jc w:val="left"/>
        <w:rPr>
          <w:rFonts w:hint="eastAsia" w:hAnsi="宋体" w:cs="宋体"/>
          <w:color w:val="000000" w:themeColor="text1"/>
          <w:kern w:val="0"/>
          <w:szCs w:val="21"/>
          <w14:textFill>
            <w14:solidFill>
              <w14:schemeClr w14:val="tx1"/>
            </w14:solidFill>
          </w14:textFill>
        </w:rPr>
      </w:pPr>
      <w:r>
        <w:rPr>
          <w:rFonts w:hint="eastAsia" w:hAnsi="宋体" w:cs="宋体"/>
          <w:b w:val="0"/>
          <w:bCs/>
          <w:color w:val="000000" w:themeColor="text1"/>
          <w:kern w:val="0"/>
          <w:szCs w:val="21"/>
          <w14:textFill>
            <w14:solidFill>
              <w14:schemeClr w14:val="tx1"/>
            </w14:solidFill>
          </w14:textFill>
        </w:rPr>
        <w:t xml:space="preserve">3.3.1 </w:t>
      </w:r>
      <w:r>
        <w:rPr>
          <w:rFonts w:hint="eastAsia" w:hAnsi="宋体" w:cs="宋体"/>
          <w:color w:val="000000" w:themeColor="text1"/>
          <w:kern w:val="0"/>
          <w:szCs w:val="21"/>
          <w14:textFill>
            <w14:solidFill>
              <w14:schemeClr w14:val="tx1"/>
            </w14:solidFill>
          </w14:textFill>
        </w:rPr>
        <w:t>在投标人须知前附表规定的投标有效期内，投标人不得要求撤销或修改其投标文件。投标文件中的法定代表人授权委托书应注明具体的委托起止年月日，委托时限不得短于</w:t>
      </w:r>
      <w:r>
        <w:rPr>
          <w:rFonts w:hint="eastAsia" w:hAnsi="宋体" w:cs="宋体"/>
          <w:color w:val="000000" w:themeColor="text1"/>
          <w:kern w:val="0"/>
          <w:szCs w:val="21"/>
          <w:lang w:val="en-US" w:eastAsia="zh-CN"/>
          <w14:textFill>
            <w14:solidFill>
              <w14:schemeClr w14:val="tx1"/>
            </w14:solidFill>
          </w14:textFill>
        </w:rPr>
        <w:t>项目工</w:t>
      </w:r>
      <w:r>
        <w:rPr>
          <w:rFonts w:hint="eastAsia" w:hAnsi="宋体" w:cs="宋体"/>
          <w:color w:val="000000" w:themeColor="text1"/>
          <w:kern w:val="0"/>
          <w:szCs w:val="21"/>
          <w14:textFill>
            <w14:solidFill>
              <w14:schemeClr w14:val="tx1"/>
            </w14:solidFill>
          </w14:textFill>
        </w:rPr>
        <w:t>期。</w:t>
      </w:r>
    </w:p>
    <w:p w14:paraId="5B7339A0">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Start w:id="101" w:name="_Toc262675329"/>
      <w:bookmarkStart w:id="102" w:name="_Toc343158008"/>
      <w:bookmarkStart w:id="103" w:name="_Toc209498825"/>
      <w:bookmarkStart w:id="104" w:name="_Toc247277949"/>
      <w:bookmarkStart w:id="105" w:name="_Toc199321904"/>
      <w:bookmarkStart w:id="106" w:name="_Toc260172662"/>
      <w:bookmarkStart w:id="107" w:name="_Toc491246654"/>
    </w:p>
    <w:p w14:paraId="1BA1EDA1">
      <w:pPr>
        <w:spacing w:line="360" w:lineRule="auto"/>
        <w:rPr>
          <w:rFonts w:ascii="宋体" w:hAnsi="宋体" w:cs="宋体"/>
          <w:b/>
          <w:color w:val="000000" w:themeColor="text1"/>
          <w:kern w:val="0"/>
          <w14:textFill>
            <w14:solidFill>
              <w14:schemeClr w14:val="tx1"/>
            </w14:solidFill>
          </w14:textFill>
        </w:rPr>
      </w:pPr>
      <w:r>
        <w:rPr>
          <w:rFonts w:hint="eastAsia" w:ascii="宋体" w:hAnsi="宋体" w:cs="宋体"/>
          <w:b/>
          <w:color w:val="000000" w:themeColor="text1"/>
          <w:kern w:val="0"/>
          <w14:textFill>
            <w14:solidFill>
              <w14:schemeClr w14:val="tx1"/>
            </w14:solidFill>
          </w14:textFill>
        </w:rPr>
        <w:t>3.4 投标保证金</w:t>
      </w:r>
      <w:bookmarkEnd w:id="101"/>
      <w:bookmarkEnd w:id="102"/>
      <w:bookmarkEnd w:id="103"/>
      <w:bookmarkEnd w:id="104"/>
      <w:bookmarkEnd w:id="105"/>
      <w:bookmarkEnd w:id="106"/>
      <w:bookmarkEnd w:id="107"/>
    </w:p>
    <w:p w14:paraId="1DD0608D">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3.4.1 投标人在递交投标文件的同时，应按投标人须知前附表规定的金额、担保形式和第</w:t>
      </w:r>
      <w:r>
        <w:rPr>
          <w:rFonts w:hint="eastAsia" w:hAnsi="宋体" w:cs="宋体"/>
          <w:color w:val="000000" w:themeColor="text1"/>
          <w:spacing w:val="-4"/>
          <w:kern w:val="0"/>
          <w:sz w:val="21"/>
          <w:szCs w:val="21"/>
          <w:lang w:val="en-US" w:eastAsia="zh-CN" w:bidi="ar-SA"/>
          <w14:textFill>
            <w14:solidFill>
              <w14:schemeClr w14:val="tx1"/>
            </w14:solidFill>
          </w14:textFill>
        </w:rPr>
        <w:t>八</w:t>
      </w: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章"投标文件格式"规定的投标保证金格式递交投标保证金。</w:t>
      </w:r>
    </w:p>
    <w:p w14:paraId="18C287D1">
      <w:pPr>
        <w:pStyle w:val="8"/>
        <w:spacing w:line="360" w:lineRule="auto"/>
        <w:ind w:firstLine="404" w:firstLineChars="200"/>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pPr>
      <w:r>
        <w:rPr>
          <w:rFonts w:hint="eastAsia" w:ascii="宋体" w:hAnsi="宋体" w:eastAsia="宋体" w:cs="宋体"/>
          <w:color w:val="000000" w:themeColor="text1"/>
          <w:spacing w:val="-4"/>
          <w:kern w:val="0"/>
          <w:sz w:val="21"/>
          <w:szCs w:val="21"/>
          <w:lang w:val="en-US" w:eastAsia="zh-CN" w:bidi="ar-SA"/>
          <w14:textFill>
            <w14:solidFill>
              <w14:schemeClr w14:val="tx1"/>
            </w14:solidFill>
          </w14:textFill>
        </w:rPr>
        <w:t>3.4.2 投标人不按本章第3.4.1项要求提交投标保证金的，其投标文件作废标处理。</w:t>
      </w:r>
    </w:p>
    <w:p w14:paraId="6D1A4972">
      <w:pPr>
        <w:autoSpaceDE w:val="0"/>
        <w:autoSpaceDN w:val="0"/>
        <w:spacing w:line="360" w:lineRule="auto"/>
        <w:ind w:firstLine="420" w:firstLineChars="200"/>
        <w:jc w:val="left"/>
        <w:rPr>
          <w:rFonts w:hint="eastAsia" w:hAnsi="宋体" w:cs="宋体"/>
          <w:color w:val="000000" w:themeColor="text1"/>
          <w:kern w:val="0"/>
          <w:szCs w:val="21"/>
          <w14:textFill>
            <w14:solidFill>
              <w14:schemeClr w14:val="tx1"/>
            </w14:solidFill>
          </w14:textFill>
        </w:rPr>
      </w:pPr>
      <w:r>
        <w:rPr>
          <w:rFonts w:hint="eastAsia" w:hAnsi="宋体" w:cs="宋体"/>
          <w:b w:val="0"/>
          <w:bCs/>
          <w:color w:val="000000" w:themeColor="text1"/>
          <w:kern w:val="0"/>
          <w:szCs w:val="21"/>
          <w14:textFill>
            <w14:solidFill>
              <w14:schemeClr w14:val="tx1"/>
            </w14:solidFill>
          </w14:textFill>
        </w:rPr>
        <w:t>3.4.3</w:t>
      </w:r>
      <w:r>
        <w:rPr>
          <w:rFonts w:hint="eastAsia" w:hAnsi="宋体" w:cs="宋体"/>
          <w:b/>
          <w:color w:val="000000" w:themeColor="text1"/>
          <w:kern w:val="0"/>
          <w:szCs w:val="21"/>
          <w:lang w:val="en-US" w:eastAsia="zh-CN"/>
          <w14:textFill>
            <w14:solidFill>
              <w14:schemeClr w14:val="tx1"/>
            </w14:solidFill>
          </w14:textFill>
        </w:rPr>
        <w:t xml:space="preserve"> </w:t>
      </w:r>
      <w:r>
        <w:rPr>
          <w:rFonts w:hint="eastAsia" w:hAnsi="宋体" w:cs="宋体"/>
          <w:color w:val="000000" w:themeColor="text1"/>
          <w:kern w:val="0"/>
          <w:szCs w:val="21"/>
          <w14:textFill>
            <w14:solidFill>
              <w14:schemeClr w14:val="tx1"/>
            </w14:solidFill>
          </w14:textFill>
        </w:rPr>
        <w:t xml:space="preserve"> a、未中标的投标保证金在中标结果公示期满后5个工作日（节假日顺延）由代理公司提出退还申请，交易中心审核通过之后银行自动退还。</w:t>
      </w:r>
    </w:p>
    <w:p w14:paraId="4A1C2013">
      <w:pPr>
        <w:autoSpaceDE w:val="0"/>
        <w:autoSpaceDN w:val="0"/>
        <w:spacing w:line="360" w:lineRule="auto"/>
        <w:ind w:firstLine="420" w:firstLineChars="200"/>
        <w:jc w:val="left"/>
        <w:rPr>
          <w:rFonts w:hint="eastAsia" w:hAnsi="宋体" w:cs="宋体"/>
          <w:color w:val="000000" w:themeColor="text1"/>
          <w:kern w:val="0"/>
          <w:szCs w:val="21"/>
          <w14:textFill>
            <w14:solidFill>
              <w14:schemeClr w14:val="tx1"/>
            </w14:solidFill>
          </w14:textFill>
        </w:rPr>
      </w:pPr>
      <w:r>
        <w:rPr>
          <w:rFonts w:hint="eastAsia" w:hAnsi="宋体" w:cs="宋体"/>
          <w:color w:val="000000" w:themeColor="text1"/>
          <w:kern w:val="0"/>
          <w:szCs w:val="21"/>
          <w14:textFill>
            <w14:solidFill>
              <w14:schemeClr w14:val="tx1"/>
            </w14:solidFill>
          </w14:textFill>
        </w:rPr>
        <w:t>b、中标人的投标保证金在签订合同后，将合同上传至</w:t>
      </w:r>
      <w:r>
        <w:rPr>
          <w:rFonts w:hint="eastAsia" w:hAnsi="宋体" w:cs="宋体"/>
          <w:color w:val="000000" w:themeColor="text1"/>
          <w:kern w:val="0"/>
          <w:szCs w:val="21"/>
          <w:lang w:eastAsia="zh-CN"/>
          <w14:textFill>
            <w14:solidFill>
              <w14:schemeClr w14:val="tx1"/>
            </w14:solidFill>
          </w14:textFill>
        </w:rPr>
        <w:t>云南省公共资源交易信息网</w:t>
      </w:r>
      <w:r>
        <w:rPr>
          <w:rFonts w:hint="eastAsia" w:hAnsi="宋体" w:cs="宋体"/>
          <w:color w:val="000000" w:themeColor="text1"/>
          <w:kern w:val="0"/>
          <w:szCs w:val="21"/>
          <w14:textFill>
            <w14:solidFill>
              <w14:schemeClr w14:val="tx1"/>
            </w14:solidFill>
          </w14:textFill>
        </w:rPr>
        <w:t>并送交相关部门备案后5个工作日（节假日顺延）由代理公司提出退还申请，交易中心审核通过之后银行自动退还。</w:t>
      </w:r>
    </w:p>
    <w:p w14:paraId="60F11518">
      <w:pPr>
        <w:autoSpaceDE w:val="0"/>
        <w:autoSpaceDN w:val="0"/>
        <w:spacing w:line="360" w:lineRule="auto"/>
        <w:ind w:firstLine="420" w:firstLineChars="200"/>
        <w:jc w:val="left"/>
        <w:rPr>
          <w:rFonts w:hint="eastAsia" w:hAnsi="宋体" w:cs="宋体"/>
          <w:color w:val="000000" w:themeColor="text1"/>
          <w:kern w:val="0"/>
          <w:szCs w:val="21"/>
          <w14:textFill>
            <w14:solidFill>
              <w14:schemeClr w14:val="tx1"/>
            </w14:solidFill>
          </w14:textFill>
        </w:rPr>
      </w:pPr>
      <w:r>
        <w:rPr>
          <w:rFonts w:hint="eastAsia" w:hAnsi="宋体" w:cs="宋体"/>
          <w:color w:val="000000" w:themeColor="text1"/>
          <w:kern w:val="0"/>
          <w:szCs w:val="21"/>
          <w14:textFill>
            <w14:solidFill>
              <w14:schemeClr w14:val="tx1"/>
            </w14:solidFill>
          </w14:textFill>
        </w:rPr>
        <w:t>c、流标项目的投标保证金在招标失败公示期满后5个工作日后由投标人提出退还申请（申请理由：项目招标失败），交易中心审核通过之后银行自动退还。</w:t>
      </w:r>
    </w:p>
    <w:p w14:paraId="7F530484">
      <w:pPr>
        <w:autoSpaceDE w:val="0"/>
        <w:autoSpaceDN w:val="0"/>
        <w:spacing w:line="360" w:lineRule="auto"/>
        <w:ind w:firstLine="420" w:firstLineChars="200"/>
        <w:jc w:val="left"/>
        <w:rPr>
          <w:rFonts w:hint="eastAsia" w:hAnsi="宋体" w:cs="宋体"/>
          <w:color w:val="000000" w:themeColor="text1"/>
          <w:kern w:val="0"/>
          <w:szCs w:val="21"/>
          <w14:textFill>
            <w14:solidFill>
              <w14:schemeClr w14:val="tx1"/>
            </w14:solidFill>
          </w14:textFill>
        </w:rPr>
      </w:pPr>
      <w:r>
        <w:rPr>
          <w:rFonts w:hint="eastAsia" w:hAnsi="宋体" w:cs="宋体"/>
          <w:color w:val="000000" w:themeColor="text1"/>
          <w:kern w:val="0"/>
          <w:szCs w:val="21"/>
          <w14:textFill>
            <w14:solidFill>
              <w14:schemeClr w14:val="tx1"/>
            </w14:solidFill>
          </w14:textFill>
        </w:rPr>
        <w:t>d、其他异常保证金处理请参照《保证金操作手册》（见门户网站-首页-服务指南-办事流程）注：其他保证金退还事项均需提供加盖公章的情况说明和转款凭证原件。</w:t>
      </w:r>
    </w:p>
    <w:p w14:paraId="3890649E">
      <w:pPr>
        <w:autoSpaceDE w:val="0"/>
        <w:autoSpaceDN w:val="0"/>
        <w:spacing w:line="360" w:lineRule="auto"/>
        <w:ind w:firstLine="404"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b w:val="0"/>
          <w:bCs/>
          <w:color w:val="000000" w:themeColor="text1"/>
          <w:spacing w:val="-4"/>
          <w:kern w:val="0"/>
          <w:szCs w:val="21"/>
          <w14:textFill>
            <w14:solidFill>
              <w14:schemeClr w14:val="tx1"/>
            </w14:solidFill>
          </w14:textFill>
        </w:rPr>
        <w:t>3.4.4</w:t>
      </w:r>
      <w:r>
        <w:rPr>
          <w:rFonts w:hint="eastAsia" w:ascii="宋体" w:hAnsi="宋体" w:cs="宋体"/>
          <w:b/>
          <w:color w:val="000000" w:themeColor="text1"/>
          <w:spacing w:val="-4"/>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有下列情形之一的，投标保证金将不予退还：</w:t>
      </w:r>
    </w:p>
    <w:p w14:paraId="73C86C50">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 投标人在规定的投标有效期内撤销或修改其投标文件；</w:t>
      </w:r>
    </w:p>
    <w:p w14:paraId="69C9F96B">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 中标人在收到中标通知书后，无正当理由拒签合同协议书或未按招标文件规定提交履约担保。</w:t>
      </w:r>
    </w:p>
    <w:p w14:paraId="5FF94F59">
      <w:pPr>
        <w:spacing w:line="360" w:lineRule="auto"/>
        <w:rPr>
          <w:rFonts w:ascii="宋体" w:hAnsi="宋体" w:cs="宋体"/>
          <w:b/>
          <w:color w:val="000000" w:themeColor="text1"/>
          <w:kern w:val="0"/>
          <w:szCs w:val="21"/>
          <w14:textFill>
            <w14:solidFill>
              <w14:schemeClr w14:val="tx1"/>
            </w14:solidFill>
          </w14:textFill>
        </w:rPr>
      </w:pPr>
      <w:bookmarkStart w:id="108" w:name="_Toc343158009"/>
      <w:bookmarkStart w:id="109" w:name="_Toc491246655"/>
      <w:bookmarkStart w:id="110" w:name="_Toc247277950"/>
      <w:bookmarkStart w:id="111" w:name="_Toc199321905"/>
      <w:bookmarkStart w:id="112" w:name="_Toc262675330"/>
      <w:bookmarkStart w:id="113" w:name="_Toc260172663"/>
      <w:bookmarkStart w:id="114" w:name="_Toc209498826"/>
      <w:r>
        <w:rPr>
          <w:rFonts w:hint="eastAsia" w:ascii="宋体" w:hAnsi="宋体" w:cs="宋体"/>
          <w:b/>
          <w:color w:val="000000" w:themeColor="text1"/>
          <w:kern w:val="0"/>
          <w14:textFill>
            <w14:solidFill>
              <w14:schemeClr w14:val="tx1"/>
            </w14:solidFill>
          </w14:textFill>
        </w:rPr>
        <w:t>3.5 资格审查资料</w:t>
      </w:r>
      <w:bookmarkEnd w:id="108"/>
      <w:bookmarkEnd w:id="109"/>
      <w:bookmarkEnd w:id="110"/>
      <w:bookmarkEnd w:id="111"/>
      <w:bookmarkEnd w:id="112"/>
      <w:bookmarkEnd w:id="113"/>
      <w:bookmarkEnd w:id="114"/>
    </w:p>
    <w:p w14:paraId="5E4727F4">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3.5.1“投标人基本情况表”</w:t>
      </w:r>
      <w:r>
        <w:rPr>
          <w:rFonts w:hint="eastAsia" w:ascii="宋体" w:hAnsi="宋体" w:cs="宋体"/>
          <w:color w:val="000000" w:themeColor="text1"/>
          <w:kern w:val="0"/>
          <w:szCs w:val="21"/>
          <w14:textFill>
            <w14:solidFill>
              <w14:schemeClr w14:val="tx1"/>
            </w14:solidFill>
          </w14:textFill>
        </w:rPr>
        <w:t>应附投标人营业执照、资质证书和安全生产许可证等材料的复印件。</w:t>
      </w:r>
    </w:p>
    <w:p w14:paraId="1F6E404D">
      <w:pPr>
        <w:autoSpaceDE w:val="0"/>
        <w:autoSpaceDN w:val="0"/>
        <w:spacing w:line="360" w:lineRule="auto"/>
        <w:ind w:firstLine="420"/>
        <w:jc w:val="left"/>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3.5.</w:t>
      </w:r>
      <w:r>
        <w:rPr>
          <w:rFonts w:hint="eastAsia" w:ascii="宋体" w:hAnsi="宋体" w:cs="宋体"/>
          <w:b/>
          <w:color w:val="000000" w:themeColor="text1"/>
          <w:kern w:val="0"/>
          <w:szCs w:val="21"/>
          <w:lang w:val="en-US" w:eastAsia="zh-CN"/>
          <w14:textFill>
            <w14:solidFill>
              <w14:schemeClr w14:val="tx1"/>
            </w14:solidFill>
          </w14:textFill>
        </w:rPr>
        <w:t>2</w:t>
      </w:r>
      <w:r>
        <w:rPr>
          <w:rFonts w:hint="eastAsia" w:ascii="宋体" w:hAnsi="宋体" w:cs="宋体"/>
          <w:b/>
          <w:color w:val="000000" w:themeColor="text1"/>
          <w:kern w:val="0"/>
          <w:szCs w:val="21"/>
          <w14:textFill>
            <w14:solidFill>
              <w14:schemeClr w14:val="tx1"/>
            </w14:solidFill>
          </w14:textFill>
        </w:rPr>
        <w:t xml:space="preserve"> 近三年内直至目前，投标申请人应：</w:t>
      </w:r>
    </w:p>
    <w:p w14:paraId="02722B5F">
      <w:pPr>
        <w:autoSpaceDE w:val="0"/>
        <w:autoSpaceDN w:val="0"/>
        <w:spacing w:line="360" w:lineRule="auto"/>
        <w:ind w:firstLine="420"/>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1未曾与本项目的招标代理机构有任何的隶属关系或者其他利害关系；</w:t>
      </w:r>
    </w:p>
    <w:p w14:paraId="3FD69301">
      <w:pPr>
        <w:autoSpaceDE w:val="0"/>
        <w:autoSpaceDN w:val="0"/>
        <w:spacing w:line="360" w:lineRule="auto"/>
        <w:ind w:firstLine="420"/>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2未曾参与过本项目的技术规范、资格预审或招标文件的编制工作；</w:t>
      </w:r>
    </w:p>
    <w:p w14:paraId="29340036">
      <w:pPr>
        <w:autoSpaceDE w:val="0"/>
        <w:autoSpaceDN w:val="0"/>
        <w:spacing w:line="360" w:lineRule="auto"/>
        <w:ind w:firstLine="420"/>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3与将承担本招标工程项目监理业务的单位没有任何隶属关系或者其他利害关系。</w:t>
      </w:r>
    </w:p>
    <w:p w14:paraId="6F90F3C8">
      <w:pPr>
        <w:spacing w:line="360" w:lineRule="auto"/>
        <w:rPr>
          <w:rFonts w:ascii="宋体" w:hAnsi="宋体" w:cs="宋体"/>
          <w:b/>
          <w:color w:val="000000" w:themeColor="text1"/>
          <w:kern w:val="0"/>
          <w14:textFill>
            <w14:solidFill>
              <w14:schemeClr w14:val="tx1"/>
            </w14:solidFill>
          </w14:textFill>
        </w:rPr>
      </w:pPr>
      <w:bookmarkStart w:id="115" w:name="_Toc343158010"/>
      <w:r>
        <w:rPr>
          <w:rFonts w:hint="eastAsia" w:ascii="宋体" w:hAnsi="宋体" w:cs="宋体"/>
          <w:b/>
          <w:color w:val="000000" w:themeColor="text1"/>
          <w:kern w:val="0"/>
          <w14:textFill>
            <w14:solidFill>
              <w14:schemeClr w14:val="tx1"/>
            </w14:solidFill>
          </w14:textFill>
        </w:rPr>
        <w:t>3.6 备选投标方案</w:t>
      </w:r>
      <w:bookmarkEnd w:id="115"/>
    </w:p>
    <w:p w14:paraId="2E18F43A">
      <w:pPr>
        <w:pStyle w:val="8"/>
        <w:spacing w:line="360" w:lineRule="auto"/>
        <w:ind w:firstLine="420" w:firstLineChars="200"/>
        <w:rPr>
          <w:rFonts w:hint="eastAsia" w:ascii="宋体" w:hAnsi="宋体" w:eastAsia="宋体" w:cs="宋体"/>
          <w:bCs/>
          <w:color w:val="000000" w:themeColor="text1"/>
          <w:kern w:val="0"/>
          <w:sz w:val="21"/>
          <w:szCs w:val="21"/>
          <w:lang w:val="en-US" w:eastAsia="zh-CN" w:bidi="ar-SA"/>
          <w14:textFill>
            <w14:solidFill>
              <w14:schemeClr w14:val="tx1"/>
            </w14:solidFill>
          </w14:textFill>
        </w:rPr>
      </w:pPr>
      <w:r>
        <w:rPr>
          <w:rFonts w:hint="eastAsia" w:ascii="宋体" w:hAnsi="宋体" w:eastAsia="宋体" w:cs="宋体"/>
          <w:bCs/>
          <w:color w:val="000000" w:themeColor="text1"/>
          <w:kern w:val="0"/>
          <w:sz w:val="21"/>
          <w:szCs w:val="21"/>
          <w:lang w:val="en-US" w:eastAsia="zh-CN" w:bidi="ar-SA"/>
          <w14:textFill>
            <w14:solidFill>
              <w14:schemeClr w14:val="tx1"/>
            </w14:solidFill>
          </w14:textFill>
        </w:rPr>
        <w:t>本工程</w:t>
      </w:r>
      <w:r>
        <w:rPr>
          <w:rFonts w:hint="eastAsia" w:ascii="宋体" w:hAnsi="宋体" w:eastAsia="宋体" w:cs="宋体"/>
          <w:bCs/>
          <w:color w:val="000000" w:themeColor="text1"/>
          <w:kern w:val="0"/>
          <w:sz w:val="21"/>
          <w:szCs w:val="21"/>
          <w:u w:val="single"/>
          <w:lang w:val="en-US" w:eastAsia="zh-CN" w:bidi="ar-SA"/>
          <w14:textFill>
            <w14:solidFill>
              <w14:schemeClr w14:val="tx1"/>
            </w14:solidFill>
          </w14:textFill>
        </w:rPr>
        <w:t>不接受</w:t>
      </w:r>
      <w:r>
        <w:rPr>
          <w:rFonts w:hint="eastAsia" w:ascii="宋体" w:hAnsi="宋体" w:eastAsia="宋体" w:cs="宋体"/>
          <w:bCs/>
          <w:color w:val="000000" w:themeColor="text1"/>
          <w:kern w:val="0"/>
          <w:sz w:val="21"/>
          <w:szCs w:val="21"/>
          <w:lang w:val="en-US" w:eastAsia="zh-CN" w:bidi="ar-SA"/>
          <w14:textFill>
            <w14:solidFill>
              <w14:schemeClr w14:val="tx1"/>
            </w14:solidFill>
          </w14:textFill>
        </w:rPr>
        <w:t>备选方案。</w:t>
      </w:r>
    </w:p>
    <w:p w14:paraId="1496E796">
      <w:pPr>
        <w:spacing w:line="360" w:lineRule="auto"/>
        <w:rPr>
          <w:rFonts w:ascii="宋体" w:hAnsi="宋体" w:cs="宋体"/>
          <w:b/>
          <w:color w:val="000000" w:themeColor="text1"/>
          <w:kern w:val="0"/>
          <w14:textFill>
            <w14:solidFill>
              <w14:schemeClr w14:val="tx1"/>
            </w14:solidFill>
          </w14:textFill>
        </w:rPr>
      </w:pPr>
      <w:bookmarkStart w:id="116" w:name="_Toc260172665"/>
      <w:bookmarkStart w:id="117" w:name="_Toc209498828"/>
      <w:bookmarkStart w:id="118" w:name="_Toc491246657"/>
      <w:bookmarkStart w:id="119" w:name="_Toc343158011"/>
      <w:bookmarkStart w:id="120" w:name="_Toc199321908"/>
      <w:bookmarkStart w:id="121" w:name="_Toc262675331"/>
      <w:bookmarkStart w:id="122" w:name="_Toc247277952"/>
      <w:r>
        <w:rPr>
          <w:rFonts w:hint="eastAsia" w:ascii="宋体" w:hAnsi="宋体" w:cs="宋体"/>
          <w:b/>
          <w:color w:val="000000" w:themeColor="text1"/>
          <w:kern w:val="0"/>
          <w14:textFill>
            <w14:solidFill>
              <w14:schemeClr w14:val="tx1"/>
            </w14:solidFill>
          </w14:textFill>
        </w:rPr>
        <w:t>3.7 投标文件的编制</w:t>
      </w:r>
      <w:bookmarkEnd w:id="116"/>
      <w:bookmarkEnd w:id="117"/>
      <w:bookmarkEnd w:id="118"/>
      <w:bookmarkEnd w:id="119"/>
      <w:bookmarkEnd w:id="120"/>
      <w:bookmarkEnd w:id="121"/>
      <w:bookmarkEnd w:id="122"/>
    </w:p>
    <w:p w14:paraId="76D7A893">
      <w:pPr>
        <w:pStyle w:val="8"/>
        <w:spacing w:line="360" w:lineRule="auto"/>
        <w:ind w:firstLine="420"/>
        <w:rPr>
          <w:rFonts w:hint="eastAsia" w:ascii="宋体" w:hAnsi="宋体" w:eastAsia="宋体" w:cs="宋体"/>
          <w:bCs/>
          <w:color w:val="000000" w:themeColor="text1"/>
          <w:kern w:val="0"/>
          <w:sz w:val="21"/>
          <w:szCs w:val="21"/>
          <w:lang w:val="en-US" w:eastAsia="zh-CN" w:bidi="ar-SA"/>
          <w14:textFill>
            <w14:solidFill>
              <w14:schemeClr w14:val="tx1"/>
            </w14:solidFill>
          </w14:textFill>
        </w:rPr>
      </w:pPr>
      <w:bookmarkStart w:id="123" w:name="_Toc199321909"/>
      <w:bookmarkStart w:id="124" w:name="_Toc247277953"/>
      <w:bookmarkStart w:id="125" w:name="_Toc209498829"/>
      <w:bookmarkStart w:id="126" w:name="_Toc262675332"/>
      <w:bookmarkStart w:id="127" w:name="_Toc260172666"/>
      <w:bookmarkStart w:id="128" w:name="_Toc199321914"/>
      <w:bookmarkStart w:id="129" w:name="_Toc491246658"/>
      <w:r>
        <w:rPr>
          <w:rFonts w:hint="eastAsia" w:ascii="宋体" w:hAnsi="宋体" w:eastAsia="宋体" w:cs="宋体"/>
          <w:bCs/>
          <w:color w:val="000000" w:themeColor="text1"/>
          <w:kern w:val="0"/>
          <w:sz w:val="21"/>
          <w:szCs w:val="21"/>
          <w:lang w:val="en-US" w:eastAsia="zh-CN" w:bidi="ar-SA"/>
          <w14:textFill>
            <w14:solidFill>
              <w14:schemeClr w14:val="tx1"/>
            </w14:solidFill>
          </w14:textFill>
        </w:rPr>
        <w:t>3.7.1  投标文件应按第七章"投标文件格式"进行编写，如有必要，可以增加附页，作</w:t>
      </w:r>
      <w:bookmarkEnd w:id="123"/>
      <w:r>
        <w:rPr>
          <w:rFonts w:hint="eastAsia" w:ascii="宋体" w:hAnsi="宋体" w:eastAsia="宋体" w:cs="宋体"/>
          <w:bCs/>
          <w:color w:val="000000" w:themeColor="text1"/>
          <w:kern w:val="0"/>
          <w:sz w:val="21"/>
          <w:szCs w:val="21"/>
          <w:lang w:val="en-US" w:eastAsia="zh-CN" w:bidi="ar-SA"/>
          <w14:textFill>
            <w14:solidFill>
              <w14:schemeClr w14:val="tx1"/>
            </w14:solidFill>
          </w14:textFill>
        </w:rPr>
        <w:t>为投标文件的组成部分。其中，投标函附录在满足招标文件实质性要求的基础上，可以提出比招标文件要求更有利于招标人的承诺。</w:t>
      </w:r>
    </w:p>
    <w:p w14:paraId="28BF0D14">
      <w:pPr>
        <w:wordWrap w:val="0"/>
        <w:autoSpaceDE w:val="0"/>
        <w:autoSpaceDN w:val="0"/>
        <w:adjustRightInd w:val="0"/>
        <w:spacing w:line="360" w:lineRule="auto"/>
        <w:ind w:firstLine="420" w:firstLineChars="200"/>
        <w:jc w:val="left"/>
        <w:rPr>
          <w:rFonts w:hint="eastAsia" w:ascii="宋体" w:hAnsi="宋体" w:eastAsia="宋体" w:cs="宋体"/>
          <w:color w:val="000000" w:themeColor="text1"/>
          <w:kern w:val="0"/>
          <w:sz w:val="21"/>
          <w:szCs w:val="21"/>
          <w:lang w:val="en-US" w:eastAsia="zh-CN" w:bidi="ar-SA"/>
          <w14:textFill>
            <w14:solidFill>
              <w14:schemeClr w14:val="tx1"/>
            </w14:solidFill>
          </w14:textFill>
        </w:rPr>
      </w:pPr>
      <w:bookmarkStart w:id="130" w:name="_Toc199321910"/>
      <w:r>
        <w:rPr>
          <w:rFonts w:hint="eastAsia" w:hAnsi="宋体" w:cs="宋体"/>
          <w:b w:val="0"/>
          <w:bCs/>
          <w:color w:val="000000" w:themeColor="text1"/>
          <w:kern w:val="0"/>
          <w:szCs w:val="21"/>
          <w14:textFill>
            <w14:solidFill>
              <w14:schemeClr w14:val="tx1"/>
            </w14:solidFill>
          </w14:textFill>
        </w:rPr>
        <w:t xml:space="preserve">3.7.2  </w:t>
      </w:r>
      <w:bookmarkEnd w:id="130"/>
      <w:r>
        <w:rPr>
          <w:rFonts w:hint="eastAsia" w:ascii="宋体" w:hAnsi="宋体" w:eastAsia="宋体" w:cs="宋体"/>
          <w:color w:val="000000" w:themeColor="text1"/>
          <w:kern w:val="0"/>
          <w:sz w:val="21"/>
          <w:szCs w:val="21"/>
          <w:lang w:val="en-US" w:eastAsia="zh-CN" w:bidi="ar-SA"/>
          <w14:textFill>
            <w14:solidFill>
              <w14:schemeClr w14:val="tx1"/>
            </w14:solidFill>
          </w14:textFill>
        </w:rPr>
        <w:t>投标文件应当对招标文件有关招标范围、投标有效期、工期、质量标准等实质性内容作出响应，并在投标文件中逐一附相关承诺书，否则作否决投标处理。若招标文件提供的“投标文件格式”中有相应的承诺书格式的，投标人不得增减、篡改格式内容，若招标文件提供的“投标文件格式”中没有相应的格式的，则由投标人自拟格式，承诺书的签字、盖章应符合招标文件的规定，否则作否决投标处理。</w:t>
      </w:r>
    </w:p>
    <w:p w14:paraId="4741281F">
      <w:pPr>
        <w:pStyle w:val="8"/>
        <w:spacing w:line="360" w:lineRule="auto"/>
        <w:ind w:firstLine="420" w:firstLineChars="200"/>
        <w:rPr>
          <w:rFonts w:hint="eastAsia" w:ascii="宋体" w:hAnsi="宋体" w:eastAsia="宋体" w:cs="宋体"/>
          <w:color w:val="000000" w:themeColor="text1"/>
          <w:kern w:val="0"/>
          <w:sz w:val="21"/>
          <w:szCs w:val="21"/>
          <w:lang w:val="en-US" w:eastAsia="zh-CN" w:bidi="ar-SA"/>
          <w14:textFill>
            <w14:solidFill>
              <w14:schemeClr w14:val="tx1"/>
            </w14:solidFill>
          </w14:textFill>
        </w:rPr>
      </w:pPr>
      <w:bookmarkStart w:id="131" w:name="_Toc199321911"/>
      <w:r>
        <w:rPr>
          <w:rFonts w:hint="eastAsia" w:ascii="宋体" w:hAnsi="宋体" w:eastAsia="宋体" w:cs="宋体"/>
          <w:color w:val="000000" w:themeColor="text1"/>
          <w:kern w:val="0"/>
          <w:sz w:val="21"/>
          <w:szCs w:val="21"/>
          <w:lang w:val="en-US" w:eastAsia="zh-CN" w:bidi="ar-SA"/>
          <w14:textFill>
            <w14:solidFill>
              <w14:schemeClr w14:val="tx1"/>
            </w14:solidFill>
          </w14:textFill>
        </w:rPr>
        <w:t>3.7.3</w:t>
      </w:r>
      <w:bookmarkEnd w:id="131"/>
      <w:r>
        <w:rPr>
          <w:rFonts w:hint="eastAsia" w:ascii="宋体" w:hAnsi="宋体" w:eastAsia="宋体" w:cs="宋体"/>
          <w:color w:val="000000" w:themeColor="text1"/>
          <w:kern w:val="0"/>
          <w:sz w:val="21"/>
          <w:szCs w:val="21"/>
          <w:lang w:val="en-US" w:eastAsia="zh-CN" w:bidi="ar-SA"/>
          <w14:textFill>
            <w14:solidFill>
              <w14:schemeClr w14:val="tx1"/>
            </w14:solidFill>
          </w14:textFill>
        </w:rPr>
        <w:t>电子投标文件的编制详见本章</w:t>
      </w:r>
    </w:p>
    <w:p w14:paraId="7E643C66">
      <w:pPr>
        <w:pStyle w:val="3"/>
        <w:spacing w:line="360" w:lineRule="auto"/>
        <w:jc w:val="left"/>
        <w:rPr>
          <w:rFonts w:ascii="宋体" w:hAnsi="宋体" w:eastAsia="宋体" w:cs="宋体"/>
          <w:b/>
          <w:color w:val="000000" w:themeColor="text1"/>
          <w:kern w:val="0"/>
          <w:sz w:val="21"/>
          <w:szCs w:val="21"/>
          <w14:textFill>
            <w14:solidFill>
              <w14:schemeClr w14:val="tx1"/>
            </w14:solidFill>
          </w14:textFill>
        </w:rPr>
      </w:pPr>
      <w:bookmarkStart w:id="132" w:name="_Toc117867960"/>
      <w:bookmarkStart w:id="133" w:name="_Toc343158012"/>
      <w:r>
        <w:rPr>
          <w:rFonts w:hint="eastAsia" w:ascii="宋体" w:hAnsi="宋体" w:eastAsia="宋体" w:cs="宋体"/>
          <w:b/>
          <w:color w:val="000000" w:themeColor="text1"/>
          <w:kern w:val="0"/>
          <w:sz w:val="21"/>
          <w:szCs w:val="21"/>
          <w14:textFill>
            <w14:solidFill>
              <w14:schemeClr w14:val="tx1"/>
            </w14:solidFill>
          </w14:textFill>
        </w:rPr>
        <w:t>4.投标</w:t>
      </w:r>
      <w:bookmarkEnd w:id="124"/>
      <w:bookmarkEnd w:id="125"/>
      <w:bookmarkEnd w:id="126"/>
      <w:bookmarkEnd w:id="127"/>
      <w:bookmarkEnd w:id="128"/>
      <w:bookmarkEnd w:id="129"/>
      <w:bookmarkEnd w:id="132"/>
      <w:bookmarkEnd w:id="133"/>
    </w:p>
    <w:p w14:paraId="2241C104">
      <w:pPr>
        <w:pStyle w:val="8"/>
        <w:spacing w:line="360" w:lineRule="auto"/>
        <w:ind w:firstLine="420" w:firstLineChars="200"/>
        <w:rPr>
          <w:rFonts w:hint="eastAsia" w:ascii="宋体" w:hAnsi="宋体" w:eastAsia="宋体" w:cs="宋体"/>
          <w:color w:val="000000" w:themeColor="text1"/>
          <w:kern w:val="0"/>
          <w:sz w:val="21"/>
          <w:szCs w:val="21"/>
          <w:lang w:val="en-US" w:eastAsia="zh-CN" w:bidi="ar-SA"/>
          <w14:textFill>
            <w14:solidFill>
              <w14:schemeClr w14:val="tx1"/>
            </w14:solidFill>
          </w14:textFill>
        </w:rPr>
      </w:pPr>
      <w:bookmarkStart w:id="134" w:name="_Toc247277955"/>
      <w:bookmarkStart w:id="135" w:name="_Toc491246660"/>
      <w:bookmarkStart w:id="136" w:name="_Toc262675334"/>
      <w:bookmarkStart w:id="137" w:name="_Toc343158014"/>
      <w:bookmarkStart w:id="138" w:name="_Toc199321918"/>
      <w:bookmarkStart w:id="139" w:name="_Toc209498831"/>
      <w:bookmarkStart w:id="140" w:name="_Toc260172668"/>
      <w:r>
        <w:rPr>
          <w:rFonts w:hint="eastAsia" w:ascii="宋体" w:hAnsi="宋体" w:eastAsia="宋体" w:cs="宋体"/>
          <w:color w:val="000000" w:themeColor="text1"/>
          <w:kern w:val="0"/>
          <w:sz w:val="21"/>
          <w:szCs w:val="21"/>
          <w:lang w:val="en-US" w:eastAsia="zh-CN" w:bidi="ar-SA"/>
          <w14:textFill>
            <w14:solidFill>
              <w14:schemeClr w14:val="tx1"/>
            </w14:solidFill>
          </w14:textFill>
        </w:rPr>
        <w:t>4.1 投标文件的递交</w:t>
      </w:r>
      <w:bookmarkEnd w:id="134"/>
      <w:bookmarkEnd w:id="135"/>
      <w:bookmarkEnd w:id="136"/>
      <w:bookmarkEnd w:id="137"/>
      <w:bookmarkEnd w:id="138"/>
      <w:bookmarkEnd w:id="139"/>
      <w:bookmarkEnd w:id="140"/>
    </w:p>
    <w:p w14:paraId="2CB9578F">
      <w:pPr>
        <w:pStyle w:val="8"/>
        <w:spacing w:line="360" w:lineRule="auto"/>
        <w:ind w:firstLine="420" w:firstLineChars="200"/>
        <w:rPr>
          <w:rFonts w:hint="eastAsia" w:ascii="宋体" w:hAnsi="宋体" w:eastAsia="宋体" w:cs="宋体"/>
          <w:color w:val="000000" w:themeColor="text1"/>
          <w:kern w:val="0"/>
          <w:sz w:val="21"/>
          <w:szCs w:val="21"/>
          <w:lang w:val="en-US" w:eastAsia="zh-CN" w:bidi="ar-SA"/>
          <w14:textFill>
            <w14:solidFill>
              <w14:schemeClr w14:val="tx1"/>
            </w14:solidFill>
          </w14:textFill>
        </w:rPr>
      </w:pPr>
      <w:bookmarkStart w:id="141" w:name="_Toc262675336"/>
      <w:bookmarkStart w:id="142" w:name="_Toc247277956"/>
      <w:bookmarkStart w:id="143" w:name="_Toc209498832"/>
      <w:bookmarkStart w:id="144" w:name="_Toc491246661"/>
      <w:bookmarkStart w:id="145" w:name="_Toc343158015"/>
      <w:bookmarkStart w:id="146" w:name="_Toc199321919"/>
      <w:bookmarkStart w:id="147" w:name="_Toc260172669"/>
      <w:r>
        <w:rPr>
          <w:rFonts w:hint="eastAsia" w:ascii="宋体" w:hAnsi="宋体" w:eastAsia="宋体" w:cs="宋体"/>
          <w:color w:val="000000" w:themeColor="text1"/>
          <w:kern w:val="0"/>
          <w:sz w:val="21"/>
          <w:szCs w:val="21"/>
          <w:lang w:val="en-US" w:eastAsia="zh-CN" w:bidi="ar-SA"/>
          <w14:textFill>
            <w14:solidFill>
              <w14:schemeClr w14:val="tx1"/>
            </w14:solidFill>
          </w14:textFill>
        </w:rPr>
        <w:t>4.1.1网上递交的投标文件需要对投标文件进行加密。</w:t>
      </w:r>
    </w:p>
    <w:p w14:paraId="3BF16FDD">
      <w:pPr>
        <w:pStyle w:val="8"/>
        <w:spacing w:line="360" w:lineRule="auto"/>
        <w:ind w:firstLine="420" w:firstLineChars="200"/>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4.1.2 网上上传投标文件：投标人登录“云南省公共资源交易信息网”，根据要投标的项目，按照网上投标系统要求上传投标文件，电子文件必须使用《云南省工程建设模块化投标文件编制系统》制作，并完成最后的“确认并签名”，表明投标人网上上传投标文件成功。</w:t>
      </w:r>
    </w:p>
    <w:p w14:paraId="51C81379">
      <w:pPr>
        <w:pStyle w:val="8"/>
        <w:spacing w:line="360" w:lineRule="auto"/>
        <w:ind w:firstLine="420" w:firstLineChars="200"/>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4.2.3 投标人在提交投标文件截止时间前，首先应将电子投标文件上传到云南省公共资源交易信息网，如果投标人没有按规定网上递交电子投标文件，视为投标无效。</w:t>
      </w:r>
      <w:bookmarkEnd w:id="141"/>
      <w:bookmarkEnd w:id="142"/>
      <w:bookmarkEnd w:id="143"/>
      <w:bookmarkEnd w:id="144"/>
      <w:bookmarkEnd w:id="145"/>
      <w:bookmarkEnd w:id="146"/>
      <w:bookmarkEnd w:id="147"/>
    </w:p>
    <w:p w14:paraId="0D3648D2">
      <w:pPr>
        <w:pStyle w:val="3"/>
        <w:spacing w:line="360" w:lineRule="auto"/>
        <w:jc w:val="left"/>
        <w:rPr>
          <w:rFonts w:ascii="宋体" w:hAnsi="宋体" w:eastAsia="宋体" w:cs="宋体"/>
          <w:b/>
          <w:color w:val="000000" w:themeColor="text1"/>
          <w:kern w:val="0"/>
          <w:sz w:val="21"/>
          <w:szCs w:val="21"/>
          <w14:textFill>
            <w14:solidFill>
              <w14:schemeClr w14:val="tx1"/>
            </w14:solidFill>
          </w14:textFill>
        </w:rPr>
      </w:pPr>
      <w:bookmarkStart w:id="148" w:name="_Toc209498833"/>
      <w:bookmarkStart w:id="149" w:name="_Toc199321920"/>
      <w:bookmarkStart w:id="150" w:name="_Toc247277957"/>
      <w:bookmarkStart w:id="151" w:name="_Toc262675337"/>
      <w:bookmarkStart w:id="152" w:name="_Toc260172670"/>
      <w:bookmarkStart w:id="153" w:name="_Toc491246662"/>
      <w:bookmarkStart w:id="154" w:name="_Toc343158016"/>
      <w:bookmarkStart w:id="155" w:name="_Toc117867961"/>
      <w:r>
        <w:rPr>
          <w:rFonts w:hint="eastAsia" w:ascii="宋体" w:hAnsi="宋体" w:eastAsia="宋体" w:cs="宋体"/>
          <w:b/>
          <w:color w:val="000000" w:themeColor="text1"/>
          <w:kern w:val="0"/>
          <w:sz w:val="21"/>
          <w:szCs w:val="21"/>
          <w14:textFill>
            <w14:solidFill>
              <w14:schemeClr w14:val="tx1"/>
            </w14:solidFill>
          </w14:textFill>
        </w:rPr>
        <w:t>5.开标</w:t>
      </w:r>
      <w:bookmarkEnd w:id="148"/>
      <w:bookmarkEnd w:id="149"/>
      <w:bookmarkEnd w:id="150"/>
      <w:bookmarkEnd w:id="151"/>
      <w:bookmarkEnd w:id="152"/>
      <w:bookmarkEnd w:id="153"/>
      <w:bookmarkEnd w:id="154"/>
      <w:bookmarkEnd w:id="155"/>
    </w:p>
    <w:p w14:paraId="6011DC6A">
      <w:pPr>
        <w:spacing w:line="360" w:lineRule="auto"/>
        <w:rPr>
          <w:rFonts w:ascii="宋体" w:hAnsi="宋体" w:cs="宋体"/>
          <w:b/>
          <w:color w:val="000000" w:themeColor="text1"/>
          <w:kern w:val="0"/>
          <w14:textFill>
            <w14:solidFill>
              <w14:schemeClr w14:val="tx1"/>
            </w14:solidFill>
          </w14:textFill>
        </w:rPr>
      </w:pPr>
      <w:bookmarkStart w:id="156" w:name="_Toc260172671"/>
      <w:bookmarkStart w:id="157" w:name="_Toc343158017"/>
      <w:bookmarkStart w:id="158" w:name="_Toc247277958"/>
      <w:bookmarkStart w:id="159" w:name="_Toc262675338"/>
      <w:bookmarkStart w:id="160" w:name="_Toc491246663"/>
      <w:bookmarkStart w:id="161" w:name="_Toc209498834"/>
      <w:r>
        <w:rPr>
          <w:rFonts w:hint="eastAsia" w:ascii="宋体" w:hAnsi="宋体" w:cs="宋体"/>
          <w:b/>
          <w:color w:val="000000" w:themeColor="text1"/>
          <w:kern w:val="0"/>
          <w14:textFill>
            <w14:solidFill>
              <w14:schemeClr w14:val="tx1"/>
            </w14:solidFill>
          </w14:textFill>
        </w:rPr>
        <w:t>5.1 开标时间和地点</w:t>
      </w:r>
      <w:bookmarkEnd w:id="156"/>
      <w:bookmarkEnd w:id="157"/>
      <w:bookmarkEnd w:id="158"/>
      <w:bookmarkEnd w:id="159"/>
      <w:bookmarkEnd w:id="160"/>
      <w:bookmarkEnd w:id="161"/>
    </w:p>
    <w:p w14:paraId="3B2DD974">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bookmarkStart w:id="162" w:name="_Toc247277959"/>
      <w:bookmarkStart w:id="163" w:name="_Toc260172672"/>
      <w:bookmarkStart w:id="164" w:name="_Toc209498835"/>
      <w:bookmarkStart w:id="165" w:name="_Toc343158018"/>
      <w:bookmarkStart w:id="166" w:name="_Toc491246664"/>
      <w:bookmarkStart w:id="167" w:name="_Toc262675339"/>
      <w:r>
        <w:rPr>
          <w:rFonts w:hint="eastAsia" w:ascii="宋体" w:hAnsi="宋体" w:cs="宋体"/>
          <w:color w:val="000000" w:themeColor="text1"/>
          <w:kern w:val="0"/>
          <w:szCs w:val="21"/>
          <w14:textFill>
            <w14:solidFill>
              <w14:schemeClr w14:val="tx1"/>
            </w14:solidFill>
          </w14:textFill>
        </w:rPr>
        <w:t>招标人在规定的投标截止时间（开标时间）和投标人须知前附表规定的地点公开开标。</w:t>
      </w:r>
    </w:p>
    <w:p w14:paraId="65C4C080">
      <w:pPr>
        <w:spacing w:line="360" w:lineRule="auto"/>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14:textFill>
            <w14:solidFill>
              <w14:schemeClr w14:val="tx1"/>
            </w14:solidFill>
          </w14:textFill>
        </w:rPr>
        <w:t>5.2 开标程序</w:t>
      </w:r>
      <w:bookmarkEnd w:id="162"/>
      <w:bookmarkEnd w:id="163"/>
      <w:bookmarkEnd w:id="164"/>
      <w:bookmarkEnd w:id="165"/>
      <w:bookmarkEnd w:id="166"/>
      <w:bookmarkEnd w:id="167"/>
    </w:p>
    <w:p w14:paraId="43DE2BFE">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主持人按下列程序进行开标：</w:t>
      </w:r>
    </w:p>
    <w:p w14:paraId="69238410">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bookmarkStart w:id="168" w:name="_Toc247277960"/>
      <w:bookmarkStart w:id="169" w:name="_Toc209498836"/>
      <w:bookmarkStart w:id="170" w:name="_Toc199321921"/>
      <w:bookmarkStart w:id="171" w:name="_Toc491246665"/>
      <w:bookmarkStart w:id="172" w:name="_Toc260172673"/>
      <w:bookmarkStart w:id="173" w:name="_Toc262675340"/>
      <w:r>
        <w:rPr>
          <w:rFonts w:hint="eastAsia" w:ascii="宋体" w:hAnsi="宋体" w:cs="宋体"/>
          <w:color w:val="000000" w:themeColor="text1"/>
          <w:kern w:val="0"/>
          <w:szCs w:val="21"/>
          <w14:textFill>
            <w14:solidFill>
              <w14:schemeClr w14:val="tx1"/>
            </w14:solidFill>
          </w14:textFill>
        </w:rPr>
        <w:t>1、主持人宣布开标大会开始；</w:t>
      </w:r>
    </w:p>
    <w:p w14:paraId="27AE3F03">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2、主持人宣布开标纪律；</w:t>
      </w:r>
    </w:p>
    <w:p w14:paraId="25277C99">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3、主持人介绍来宾及有关单位代表；</w:t>
      </w:r>
    </w:p>
    <w:p w14:paraId="00170BA3">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4、在投标截止时间递交投标文件的投标人名称，并点名确认投标人是否派人到场；</w:t>
      </w:r>
    </w:p>
    <w:p w14:paraId="09DE406E">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5、宣布开标人、唱标人、记录人、监督人等有关人员姓名；</w:t>
      </w:r>
    </w:p>
    <w:p w14:paraId="400F3027">
      <w:pPr>
        <w:autoSpaceDE w:val="0"/>
        <w:autoSpaceDN w:val="0"/>
        <w:spacing w:line="360" w:lineRule="auto"/>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6、电子开标：</w:t>
      </w:r>
      <w:r>
        <w:rPr>
          <w:rFonts w:hint="eastAsia" w:ascii="宋体" w:hAnsi="宋体" w:cs="宋体"/>
          <w:color w:val="000000" w:themeColor="text1"/>
          <w:szCs w:val="21"/>
          <w14:textFill>
            <w14:solidFill>
              <w14:schemeClr w14:val="tx1"/>
            </w14:solidFill>
          </w14:textFill>
        </w:rPr>
        <w:t>按照</w:t>
      </w:r>
      <w:r>
        <w:rPr>
          <w:rFonts w:hint="eastAsia" w:ascii="宋体" w:hAnsi="宋体" w:cs="宋体"/>
          <w:color w:val="000000" w:themeColor="text1"/>
          <w:szCs w:val="28"/>
          <w14:textFill>
            <w14:solidFill>
              <w14:schemeClr w14:val="tx1"/>
            </w14:solidFill>
          </w14:textFill>
        </w:rPr>
        <w:t>交易平台</w:t>
      </w:r>
      <w:r>
        <w:rPr>
          <w:rFonts w:hint="eastAsia" w:ascii="宋体" w:hAnsi="宋体" w:cs="宋体"/>
          <w:color w:val="000000" w:themeColor="text1"/>
          <w:szCs w:val="21"/>
          <w14:textFill>
            <w14:solidFill>
              <w14:schemeClr w14:val="tx1"/>
            </w14:solidFill>
          </w14:textFill>
        </w:rPr>
        <w:t>自动提取所有投标人的顺序当众开标，依次导入有效投标人的电子投标文件。同时，由投标人对网上递交已加密的投标文件，进行现场解密，解密完成后，公布投标人名称、标段名称、投标保证金的递交情况、投标报价、质量目标、工期及其他内容，并记录在案。因投标人原因造成投标文件未解密的，视为撤销其投标文件；</w:t>
      </w:r>
    </w:p>
    <w:p w14:paraId="14E3D047">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7、宣布的开标顺序当众开标，并由投标人自行公布投标人名称、标段名称、投标保证金的递交情况、投标报价、工期及其它内容，并同步记录在案；</w:t>
      </w:r>
    </w:p>
    <w:p w14:paraId="368B7937">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8、投标人代表、招标人代表、监标人、记录人等有关人员在开标记录上签名确认；</w:t>
      </w:r>
    </w:p>
    <w:p w14:paraId="46B96ADF">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9、主持人宣布开标会议结束。</w:t>
      </w:r>
    </w:p>
    <w:p w14:paraId="69C38363">
      <w:pPr>
        <w:pStyle w:val="3"/>
        <w:spacing w:line="360" w:lineRule="auto"/>
        <w:jc w:val="left"/>
        <w:rPr>
          <w:rFonts w:ascii="宋体" w:hAnsi="宋体" w:eastAsia="宋体" w:cs="宋体"/>
          <w:b/>
          <w:color w:val="000000" w:themeColor="text1"/>
          <w:kern w:val="0"/>
          <w:sz w:val="21"/>
          <w:szCs w:val="21"/>
          <w14:textFill>
            <w14:solidFill>
              <w14:schemeClr w14:val="tx1"/>
            </w14:solidFill>
          </w14:textFill>
        </w:rPr>
      </w:pPr>
      <w:bookmarkStart w:id="174" w:name="_Toc343158019"/>
      <w:bookmarkStart w:id="175" w:name="_Toc117867962"/>
      <w:r>
        <w:rPr>
          <w:rFonts w:hint="eastAsia" w:ascii="宋体" w:hAnsi="宋体" w:eastAsia="宋体" w:cs="宋体"/>
          <w:b/>
          <w:color w:val="000000" w:themeColor="text1"/>
          <w:kern w:val="0"/>
          <w:sz w:val="21"/>
          <w:szCs w:val="21"/>
          <w14:textFill>
            <w14:solidFill>
              <w14:schemeClr w14:val="tx1"/>
            </w14:solidFill>
          </w14:textFill>
        </w:rPr>
        <w:t>6.评标</w:t>
      </w:r>
      <w:bookmarkEnd w:id="168"/>
      <w:bookmarkEnd w:id="169"/>
      <w:bookmarkEnd w:id="170"/>
      <w:bookmarkEnd w:id="171"/>
      <w:bookmarkEnd w:id="172"/>
      <w:bookmarkEnd w:id="173"/>
      <w:bookmarkEnd w:id="174"/>
      <w:bookmarkEnd w:id="175"/>
    </w:p>
    <w:p w14:paraId="3AE8078E">
      <w:pPr>
        <w:spacing w:line="360" w:lineRule="auto"/>
        <w:rPr>
          <w:rFonts w:ascii="宋体" w:hAnsi="宋体" w:cs="宋体"/>
          <w:b/>
          <w:color w:val="000000" w:themeColor="text1"/>
          <w:kern w:val="0"/>
          <w:szCs w:val="21"/>
          <w14:textFill>
            <w14:solidFill>
              <w14:schemeClr w14:val="tx1"/>
            </w14:solidFill>
          </w14:textFill>
        </w:rPr>
      </w:pPr>
      <w:bookmarkStart w:id="176" w:name="_Toc199321922"/>
      <w:bookmarkStart w:id="177" w:name="_Toc262675341"/>
      <w:bookmarkStart w:id="178" w:name="_Toc343158020"/>
      <w:bookmarkStart w:id="179" w:name="_Toc260172674"/>
      <w:bookmarkStart w:id="180" w:name="_Toc491246666"/>
      <w:bookmarkStart w:id="181" w:name="_Toc247277961"/>
      <w:bookmarkStart w:id="182" w:name="_Toc209498837"/>
      <w:r>
        <w:rPr>
          <w:rFonts w:hint="eastAsia" w:ascii="宋体" w:hAnsi="宋体" w:cs="宋体"/>
          <w:b/>
          <w:color w:val="000000" w:themeColor="text1"/>
          <w:kern w:val="0"/>
          <w14:textFill>
            <w14:solidFill>
              <w14:schemeClr w14:val="tx1"/>
            </w14:solidFill>
          </w14:textFill>
        </w:rPr>
        <w:t>6.1 评标委员会</w:t>
      </w:r>
      <w:bookmarkEnd w:id="176"/>
      <w:bookmarkEnd w:id="177"/>
      <w:bookmarkEnd w:id="178"/>
      <w:bookmarkEnd w:id="179"/>
      <w:bookmarkEnd w:id="180"/>
      <w:bookmarkEnd w:id="181"/>
      <w:bookmarkEnd w:id="182"/>
    </w:p>
    <w:p w14:paraId="69505DB3">
      <w:pPr>
        <w:autoSpaceDE w:val="0"/>
        <w:autoSpaceDN w:val="0"/>
        <w:spacing w:line="360" w:lineRule="auto"/>
        <w:ind w:firstLine="422"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6.1.1</w:t>
      </w:r>
      <w:r>
        <w:rPr>
          <w:rFonts w:hint="eastAsia" w:ascii="宋体" w:hAnsi="宋体" w:cs="宋体"/>
          <w:color w:val="000000" w:themeColor="text1"/>
          <w:kern w:val="0"/>
          <w:szCs w:val="21"/>
          <w14:textFill>
            <w14:solidFill>
              <w14:schemeClr w14:val="tx1"/>
            </w14:solidFill>
          </w14:textFill>
        </w:rPr>
        <w:t xml:space="preserve"> 评标委员会</w:t>
      </w:r>
      <w:r>
        <w:rPr>
          <w:rFonts w:hint="eastAsia" w:ascii="宋体" w:hAnsi="宋体" w:cs="宋体"/>
          <w:color w:val="000000" w:themeColor="text1"/>
          <w:kern w:val="0"/>
          <w:szCs w:val="21"/>
          <w:lang w:eastAsia="zh-CN"/>
          <w14:textFill>
            <w14:solidFill>
              <w14:schemeClr w14:val="tx1"/>
            </w14:solidFill>
          </w14:textFill>
        </w:rPr>
        <w:t>成员在云南省综合评标专家库中随机抽取。</w:t>
      </w:r>
    </w:p>
    <w:p w14:paraId="398A11AF">
      <w:pPr>
        <w:autoSpaceDE w:val="0"/>
        <w:autoSpaceDN w:val="0"/>
        <w:spacing w:line="360" w:lineRule="auto"/>
        <w:ind w:firstLine="422"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 xml:space="preserve">6.1.2 </w:t>
      </w:r>
      <w:r>
        <w:rPr>
          <w:rFonts w:hint="eastAsia" w:ascii="宋体" w:hAnsi="宋体" w:cs="宋体"/>
          <w:color w:val="000000" w:themeColor="text1"/>
          <w:kern w:val="0"/>
          <w:szCs w:val="21"/>
          <w14:textFill>
            <w14:solidFill>
              <w14:schemeClr w14:val="tx1"/>
            </w14:solidFill>
          </w14:textFill>
        </w:rPr>
        <w:t>评标委员会成员有下列情形之一的，应当回避:</w:t>
      </w:r>
    </w:p>
    <w:p w14:paraId="0E7342B8">
      <w:pPr>
        <w:autoSpaceDE w:val="0"/>
        <w:autoSpaceDN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 招标人或投标人的主要负责人的近亲属；</w:t>
      </w:r>
    </w:p>
    <w:p w14:paraId="66A517D5">
      <w:pPr>
        <w:autoSpaceDE w:val="0"/>
        <w:autoSpaceDN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 项目主管部门或者行政监督部门的人员；</w:t>
      </w:r>
    </w:p>
    <w:p w14:paraId="1BB1916B">
      <w:pPr>
        <w:autoSpaceDE w:val="0"/>
        <w:autoSpaceDN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 与投标人有经济利益关系，可能影响对投标公正评审的；</w:t>
      </w:r>
    </w:p>
    <w:p w14:paraId="69FCFB50">
      <w:pPr>
        <w:autoSpaceDE w:val="0"/>
        <w:autoSpaceDN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 曾因在招标、评标以及其他与招标投标有关活动中从事违法行为而受过行政处罚或刑事处罚的。</w:t>
      </w:r>
    </w:p>
    <w:p w14:paraId="45ECA721">
      <w:pPr>
        <w:spacing w:line="360" w:lineRule="auto"/>
        <w:rPr>
          <w:rFonts w:ascii="宋体" w:hAnsi="宋体" w:cs="宋体"/>
          <w:b/>
          <w:color w:val="000000" w:themeColor="text1"/>
          <w:kern w:val="0"/>
          <w14:textFill>
            <w14:solidFill>
              <w14:schemeClr w14:val="tx1"/>
            </w14:solidFill>
          </w14:textFill>
        </w:rPr>
      </w:pPr>
      <w:bookmarkStart w:id="183" w:name="_Toc247277962"/>
      <w:bookmarkStart w:id="184" w:name="_Toc262675342"/>
      <w:bookmarkStart w:id="185" w:name="_Toc199321923"/>
      <w:bookmarkStart w:id="186" w:name="_Toc209498838"/>
      <w:bookmarkStart w:id="187" w:name="_Toc491246667"/>
      <w:bookmarkStart w:id="188" w:name="_Toc260172675"/>
      <w:bookmarkStart w:id="189" w:name="_Toc343158021"/>
      <w:r>
        <w:rPr>
          <w:rFonts w:hint="eastAsia" w:ascii="宋体" w:hAnsi="宋体" w:cs="宋体"/>
          <w:b/>
          <w:color w:val="000000" w:themeColor="text1"/>
          <w:kern w:val="0"/>
          <w14:textFill>
            <w14:solidFill>
              <w14:schemeClr w14:val="tx1"/>
            </w14:solidFill>
          </w14:textFill>
        </w:rPr>
        <w:t>6.2 评标原则</w:t>
      </w:r>
      <w:bookmarkEnd w:id="183"/>
      <w:bookmarkEnd w:id="184"/>
      <w:bookmarkEnd w:id="185"/>
      <w:bookmarkEnd w:id="186"/>
      <w:bookmarkEnd w:id="187"/>
      <w:bookmarkEnd w:id="188"/>
      <w:bookmarkEnd w:id="189"/>
    </w:p>
    <w:p w14:paraId="379B2B40">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评标活动遵循公平、公正、科学和择优的原则。</w:t>
      </w:r>
    </w:p>
    <w:p w14:paraId="23CF90BE">
      <w:pPr>
        <w:spacing w:line="360" w:lineRule="auto"/>
        <w:rPr>
          <w:rFonts w:ascii="宋体" w:hAnsi="宋体" w:cs="宋体"/>
          <w:b/>
          <w:color w:val="000000" w:themeColor="text1"/>
          <w:kern w:val="0"/>
          <w14:textFill>
            <w14:solidFill>
              <w14:schemeClr w14:val="tx1"/>
            </w14:solidFill>
          </w14:textFill>
        </w:rPr>
      </w:pPr>
      <w:bookmarkStart w:id="190" w:name="_Toc247277963"/>
      <w:bookmarkStart w:id="191" w:name="_Toc343158022"/>
      <w:bookmarkStart w:id="192" w:name="_Toc491246668"/>
      <w:bookmarkStart w:id="193" w:name="_Toc209498839"/>
      <w:bookmarkStart w:id="194" w:name="_Toc262675343"/>
      <w:bookmarkStart w:id="195" w:name="_Toc260172676"/>
      <w:bookmarkStart w:id="196" w:name="_Toc199321924"/>
      <w:r>
        <w:rPr>
          <w:rFonts w:hint="eastAsia" w:ascii="宋体" w:hAnsi="宋体" w:cs="宋体"/>
          <w:b/>
          <w:color w:val="000000" w:themeColor="text1"/>
          <w:kern w:val="0"/>
          <w14:textFill>
            <w14:solidFill>
              <w14:schemeClr w14:val="tx1"/>
            </w14:solidFill>
          </w14:textFill>
        </w:rPr>
        <w:t>6.3 评标</w:t>
      </w:r>
      <w:bookmarkEnd w:id="190"/>
      <w:bookmarkEnd w:id="191"/>
      <w:bookmarkEnd w:id="192"/>
      <w:bookmarkEnd w:id="193"/>
      <w:bookmarkEnd w:id="194"/>
      <w:bookmarkEnd w:id="195"/>
      <w:bookmarkEnd w:id="196"/>
    </w:p>
    <w:p w14:paraId="38B2DF58">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评标委员会按照“评标办法”规定的方法、评审因素、标准和程序对投标文件进行评审。“评标办法”没有规定的方法、评审因素和标准，不作为评标依据。</w:t>
      </w:r>
    </w:p>
    <w:p w14:paraId="028169CC">
      <w:pPr>
        <w:pStyle w:val="3"/>
        <w:spacing w:line="360" w:lineRule="auto"/>
        <w:jc w:val="left"/>
        <w:rPr>
          <w:rFonts w:ascii="宋体" w:hAnsi="宋体" w:eastAsia="宋体" w:cs="宋体"/>
          <w:b/>
          <w:color w:val="000000" w:themeColor="text1"/>
          <w:kern w:val="0"/>
          <w:sz w:val="21"/>
          <w:szCs w:val="21"/>
          <w14:textFill>
            <w14:solidFill>
              <w14:schemeClr w14:val="tx1"/>
            </w14:solidFill>
          </w14:textFill>
        </w:rPr>
      </w:pPr>
      <w:bookmarkStart w:id="197" w:name="_Toc343158023"/>
      <w:bookmarkStart w:id="198" w:name="_Toc247277964"/>
      <w:bookmarkStart w:id="199" w:name="_Toc199321925"/>
      <w:bookmarkStart w:id="200" w:name="_Toc491246669"/>
      <w:bookmarkStart w:id="201" w:name="_Toc209498840"/>
      <w:bookmarkStart w:id="202" w:name="_Toc117867963"/>
      <w:bookmarkStart w:id="203" w:name="_Toc260172677"/>
      <w:bookmarkStart w:id="204" w:name="_Toc262675344"/>
      <w:r>
        <w:rPr>
          <w:rFonts w:hint="eastAsia" w:ascii="宋体" w:hAnsi="宋体" w:eastAsia="宋体" w:cs="宋体"/>
          <w:b/>
          <w:color w:val="000000" w:themeColor="text1"/>
          <w:kern w:val="0"/>
          <w:sz w:val="21"/>
          <w:szCs w:val="21"/>
          <w14:textFill>
            <w14:solidFill>
              <w14:schemeClr w14:val="tx1"/>
            </w14:solidFill>
          </w14:textFill>
        </w:rPr>
        <w:t>7.合同授予</w:t>
      </w:r>
      <w:bookmarkEnd w:id="197"/>
      <w:bookmarkEnd w:id="198"/>
      <w:bookmarkEnd w:id="199"/>
      <w:bookmarkEnd w:id="200"/>
      <w:bookmarkEnd w:id="201"/>
      <w:bookmarkEnd w:id="202"/>
      <w:bookmarkEnd w:id="203"/>
      <w:bookmarkEnd w:id="204"/>
    </w:p>
    <w:p w14:paraId="1E82EB24">
      <w:pPr>
        <w:spacing w:line="360" w:lineRule="auto"/>
        <w:rPr>
          <w:rFonts w:ascii="宋体" w:hAnsi="宋体" w:cs="宋体"/>
          <w:b/>
          <w:color w:val="000000" w:themeColor="text1"/>
          <w:kern w:val="0"/>
          <w14:textFill>
            <w14:solidFill>
              <w14:schemeClr w14:val="tx1"/>
            </w14:solidFill>
          </w14:textFill>
        </w:rPr>
      </w:pPr>
      <w:bookmarkStart w:id="205" w:name="_Toc262675345"/>
      <w:bookmarkStart w:id="206" w:name="_Toc209498841"/>
      <w:bookmarkStart w:id="207" w:name="_Toc199321926"/>
      <w:bookmarkStart w:id="208" w:name="_Toc491246670"/>
      <w:bookmarkStart w:id="209" w:name="_Toc247277965"/>
      <w:bookmarkStart w:id="210" w:name="_Toc260172678"/>
      <w:bookmarkStart w:id="211" w:name="_Toc343158024"/>
      <w:r>
        <w:rPr>
          <w:rFonts w:hint="eastAsia" w:ascii="宋体" w:hAnsi="宋体" w:cs="宋体"/>
          <w:b/>
          <w:color w:val="000000" w:themeColor="text1"/>
          <w:kern w:val="0"/>
          <w14:textFill>
            <w14:solidFill>
              <w14:schemeClr w14:val="tx1"/>
            </w14:solidFill>
          </w14:textFill>
        </w:rPr>
        <w:t>7.1 定标方式</w:t>
      </w:r>
      <w:bookmarkEnd w:id="205"/>
      <w:bookmarkEnd w:id="206"/>
      <w:bookmarkEnd w:id="207"/>
      <w:bookmarkEnd w:id="208"/>
      <w:bookmarkEnd w:id="209"/>
      <w:bookmarkEnd w:id="210"/>
      <w:bookmarkEnd w:id="211"/>
    </w:p>
    <w:p w14:paraId="5B1A500B">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评标委员会推荐3名中标候选人，并标明推荐顺序。招标人依据评标委员会推荐的中标候选人确定中标人。</w:t>
      </w:r>
    </w:p>
    <w:p w14:paraId="471046DE">
      <w:pPr>
        <w:spacing w:line="360" w:lineRule="auto"/>
        <w:rPr>
          <w:rFonts w:ascii="宋体" w:hAnsi="宋体" w:cs="宋体"/>
          <w:b/>
          <w:color w:val="000000" w:themeColor="text1"/>
          <w:kern w:val="0"/>
          <w:szCs w:val="21"/>
          <w14:textFill>
            <w14:solidFill>
              <w14:schemeClr w14:val="tx1"/>
            </w14:solidFill>
          </w14:textFill>
        </w:rPr>
      </w:pPr>
      <w:bookmarkStart w:id="212" w:name="_Toc260172679"/>
      <w:bookmarkStart w:id="213" w:name="_Toc491246671"/>
      <w:bookmarkStart w:id="214" w:name="_Toc247277966"/>
      <w:bookmarkStart w:id="215" w:name="_Toc343158025"/>
      <w:bookmarkStart w:id="216" w:name="_Toc262675346"/>
      <w:bookmarkStart w:id="217" w:name="_Toc209498842"/>
      <w:r>
        <w:rPr>
          <w:rFonts w:hint="eastAsia" w:ascii="宋体" w:hAnsi="宋体" w:cs="宋体"/>
          <w:b/>
          <w:color w:val="000000" w:themeColor="text1"/>
          <w:kern w:val="0"/>
          <w14:textFill>
            <w14:solidFill>
              <w14:schemeClr w14:val="tx1"/>
            </w14:solidFill>
          </w14:textFill>
        </w:rPr>
        <w:t>7.2 中标通知</w:t>
      </w:r>
      <w:bookmarkEnd w:id="212"/>
      <w:bookmarkEnd w:id="213"/>
      <w:bookmarkEnd w:id="214"/>
      <w:bookmarkEnd w:id="215"/>
      <w:bookmarkEnd w:id="216"/>
      <w:bookmarkEnd w:id="217"/>
    </w:p>
    <w:p w14:paraId="3832F045">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在本章第3.3 款规定的投标有效期内，招标人以书面形式向中标人发出中标通知书，将中标结果公示在</w:t>
      </w:r>
      <w:r>
        <w:rPr>
          <w:rFonts w:hint="eastAsia" w:ascii="宋体" w:hAnsi="宋体" w:cs="宋体"/>
          <w:color w:val="000000" w:themeColor="text1"/>
          <w:szCs w:val="21"/>
          <w14:textFill>
            <w14:solidFill>
              <w14:schemeClr w14:val="tx1"/>
            </w14:solidFill>
          </w14:textFill>
        </w:rPr>
        <w:t>云南省公共资源交易信息网(网址：https://ggzy.yn.gov.cn/#/homePage)</w:t>
      </w:r>
    </w:p>
    <w:p w14:paraId="5C55A629">
      <w:pPr>
        <w:spacing w:line="360" w:lineRule="auto"/>
        <w:rPr>
          <w:rFonts w:ascii="宋体" w:hAnsi="宋体" w:cs="宋体"/>
          <w:b/>
          <w:color w:val="000000" w:themeColor="text1"/>
          <w:kern w:val="0"/>
          <w14:textFill>
            <w14:solidFill>
              <w14:schemeClr w14:val="tx1"/>
            </w14:solidFill>
          </w14:textFill>
        </w:rPr>
      </w:pPr>
      <w:bookmarkStart w:id="218" w:name="_Toc343158027"/>
      <w:bookmarkStart w:id="219" w:name="_Toc262675348"/>
      <w:bookmarkStart w:id="220" w:name="_Toc247277968"/>
      <w:bookmarkStart w:id="221" w:name="_Toc260172681"/>
      <w:bookmarkStart w:id="222" w:name="_Toc199321928"/>
      <w:r>
        <w:rPr>
          <w:rFonts w:hint="eastAsia" w:ascii="宋体" w:hAnsi="宋体" w:cs="宋体"/>
          <w:b/>
          <w:color w:val="000000" w:themeColor="text1"/>
          <w:kern w:val="0"/>
          <w14:textFill>
            <w14:solidFill>
              <w14:schemeClr w14:val="tx1"/>
            </w14:solidFill>
          </w14:textFill>
        </w:rPr>
        <w:t>7.</w:t>
      </w:r>
      <w:r>
        <w:rPr>
          <w:rFonts w:hint="eastAsia" w:ascii="宋体" w:hAnsi="宋体" w:cs="宋体"/>
          <w:b/>
          <w:color w:val="000000" w:themeColor="text1"/>
          <w:kern w:val="0"/>
          <w:lang w:val="en-US" w:eastAsia="zh-CN"/>
          <w14:textFill>
            <w14:solidFill>
              <w14:schemeClr w14:val="tx1"/>
            </w14:solidFill>
          </w14:textFill>
        </w:rPr>
        <w:t>3</w:t>
      </w:r>
      <w:r>
        <w:rPr>
          <w:rFonts w:hint="eastAsia" w:ascii="宋体" w:hAnsi="宋体" w:cs="宋体"/>
          <w:b/>
          <w:color w:val="000000" w:themeColor="text1"/>
          <w:kern w:val="0"/>
          <w14:textFill>
            <w14:solidFill>
              <w14:schemeClr w14:val="tx1"/>
            </w14:solidFill>
          </w14:textFill>
        </w:rPr>
        <w:t xml:space="preserve"> 签订合同</w:t>
      </w:r>
      <w:bookmarkEnd w:id="218"/>
      <w:bookmarkEnd w:id="219"/>
      <w:bookmarkEnd w:id="220"/>
      <w:bookmarkEnd w:id="221"/>
      <w:bookmarkEnd w:id="222"/>
    </w:p>
    <w:p w14:paraId="0AE4D12D">
      <w:pPr>
        <w:pStyle w:val="19"/>
        <w:spacing w:line="360" w:lineRule="auto"/>
        <w:ind w:left="0" w:leftChars="0" w:firstLine="422" w:firstLineChars="200"/>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b/>
          <w:bCs w:val="0"/>
          <w:color w:val="000000" w:themeColor="text1"/>
          <w:kern w:val="0"/>
          <w:sz w:val="21"/>
          <w:szCs w:val="21"/>
          <w:lang w:val="en-US" w:eastAsia="zh-CN" w:bidi="ar-SA"/>
          <w14:textFill>
            <w14:solidFill>
              <w14:schemeClr w14:val="tx1"/>
            </w14:solidFill>
          </w14:textFill>
        </w:rPr>
        <w:t>7.</w:t>
      </w:r>
      <w:r>
        <w:rPr>
          <w:rFonts w:hint="eastAsia" w:ascii="宋体" w:hAnsi="宋体" w:cs="宋体"/>
          <w:b/>
          <w:bCs w:val="0"/>
          <w:color w:val="000000" w:themeColor="text1"/>
          <w:kern w:val="0"/>
          <w:sz w:val="21"/>
          <w:szCs w:val="21"/>
          <w:lang w:val="en-US" w:eastAsia="zh-CN" w:bidi="ar-SA"/>
          <w14:textFill>
            <w14:solidFill>
              <w14:schemeClr w14:val="tx1"/>
            </w14:solidFill>
          </w14:textFill>
        </w:rPr>
        <w:t>3</w:t>
      </w:r>
      <w:r>
        <w:rPr>
          <w:rFonts w:hint="eastAsia" w:ascii="宋体" w:hAnsi="宋体" w:eastAsia="宋体" w:cs="宋体"/>
          <w:b/>
          <w:bCs w:val="0"/>
          <w:color w:val="000000" w:themeColor="text1"/>
          <w:kern w:val="0"/>
          <w:sz w:val="21"/>
          <w:szCs w:val="21"/>
          <w:lang w:val="en-US" w:eastAsia="zh-CN" w:bidi="ar-SA"/>
          <w14:textFill>
            <w14:solidFill>
              <w14:schemeClr w14:val="tx1"/>
            </w14:solidFill>
          </w14:textFill>
        </w:rPr>
        <w:t>.1</w:t>
      </w:r>
      <w:r>
        <w:rPr>
          <w:rFonts w:hint="eastAsia" w:ascii="宋体" w:hAnsi="宋体" w:eastAsia="宋体" w:cs="宋体"/>
          <w:b w:val="0"/>
          <w:bCs/>
          <w:color w:val="000000" w:themeColor="text1"/>
          <w:kern w:val="0"/>
          <w:sz w:val="21"/>
          <w:szCs w:val="21"/>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1"/>
          <w:szCs w:val="21"/>
          <w:lang w:val="en-US" w:eastAsia="zh-CN" w:bidi="ar-SA"/>
          <w14:textFill>
            <w14:solidFill>
              <w14:schemeClr w14:val="tx1"/>
            </w14:solidFill>
          </w14:textFill>
        </w:rPr>
        <w:t>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643FC798">
      <w:pPr>
        <w:autoSpaceDE w:val="0"/>
        <w:autoSpaceDN w:val="0"/>
        <w:spacing w:line="360" w:lineRule="auto"/>
        <w:ind w:firstLine="422"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7.</w:t>
      </w:r>
      <w:r>
        <w:rPr>
          <w:rFonts w:hint="eastAsia" w:ascii="宋体" w:hAnsi="宋体" w:cs="宋体"/>
          <w:b/>
          <w:color w:val="000000" w:themeColor="text1"/>
          <w:kern w:val="0"/>
          <w:szCs w:val="21"/>
          <w:lang w:val="en-US" w:eastAsia="zh-CN"/>
          <w14:textFill>
            <w14:solidFill>
              <w14:schemeClr w14:val="tx1"/>
            </w14:solidFill>
          </w14:textFill>
        </w:rPr>
        <w:t>3</w:t>
      </w:r>
      <w:r>
        <w:rPr>
          <w:rFonts w:hint="eastAsia" w:ascii="宋体" w:hAnsi="宋体" w:cs="宋体"/>
          <w:b/>
          <w:color w:val="000000" w:themeColor="text1"/>
          <w:kern w:val="0"/>
          <w:szCs w:val="21"/>
          <w14:textFill>
            <w14:solidFill>
              <w14:schemeClr w14:val="tx1"/>
            </w14:solidFill>
          </w14:textFill>
        </w:rPr>
        <w:t>.2</w:t>
      </w:r>
      <w:r>
        <w:rPr>
          <w:rFonts w:hint="eastAsia" w:ascii="宋体" w:hAnsi="宋体" w:cs="宋体"/>
          <w:color w:val="000000" w:themeColor="text1"/>
          <w:kern w:val="0"/>
          <w:szCs w:val="21"/>
          <w14:textFill>
            <w14:solidFill>
              <w14:schemeClr w14:val="tx1"/>
            </w14:solidFill>
          </w14:textFill>
        </w:rPr>
        <w:t xml:space="preserve"> 发出中标通知书后，招标人无正当理由拒签合同的，招标人向中标人退还投标保证金，并按投标保证金双倍的金额补偿投标人损失。</w:t>
      </w:r>
    </w:p>
    <w:p w14:paraId="2C3A2948">
      <w:pPr>
        <w:pStyle w:val="3"/>
        <w:spacing w:line="360" w:lineRule="auto"/>
        <w:jc w:val="left"/>
        <w:rPr>
          <w:rFonts w:ascii="宋体" w:hAnsi="宋体" w:eastAsia="宋体" w:cs="宋体"/>
          <w:b/>
          <w:color w:val="000000" w:themeColor="text1"/>
          <w:kern w:val="0"/>
          <w:sz w:val="21"/>
          <w:szCs w:val="21"/>
          <w14:textFill>
            <w14:solidFill>
              <w14:schemeClr w14:val="tx1"/>
            </w14:solidFill>
          </w14:textFill>
        </w:rPr>
      </w:pPr>
      <w:bookmarkStart w:id="223" w:name="_Toc343158028"/>
      <w:bookmarkStart w:id="224" w:name="_Toc262675349"/>
      <w:bookmarkStart w:id="225" w:name="_Toc260172682"/>
      <w:bookmarkStart w:id="226" w:name="_Toc209498844"/>
      <w:bookmarkStart w:id="227" w:name="_Toc117867964"/>
      <w:bookmarkStart w:id="228" w:name="_Toc247277969"/>
      <w:bookmarkStart w:id="229" w:name="_Toc491246673"/>
      <w:bookmarkStart w:id="230" w:name="_Toc199321929"/>
      <w:r>
        <w:rPr>
          <w:rFonts w:hint="eastAsia" w:ascii="宋体" w:hAnsi="宋体" w:eastAsia="宋体" w:cs="宋体"/>
          <w:b/>
          <w:color w:val="000000" w:themeColor="text1"/>
          <w:kern w:val="0"/>
          <w:sz w:val="21"/>
          <w:szCs w:val="21"/>
          <w14:textFill>
            <w14:solidFill>
              <w14:schemeClr w14:val="tx1"/>
            </w14:solidFill>
          </w14:textFill>
        </w:rPr>
        <w:t>8.重新招标和不再招标</w:t>
      </w:r>
      <w:bookmarkEnd w:id="223"/>
      <w:bookmarkEnd w:id="224"/>
      <w:bookmarkEnd w:id="225"/>
      <w:bookmarkEnd w:id="226"/>
      <w:bookmarkEnd w:id="227"/>
      <w:bookmarkEnd w:id="228"/>
      <w:bookmarkEnd w:id="229"/>
      <w:bookmarkEnd w:id="230"/>
    </w:p>
    <w:p w14:paraId="19114921">
      <w:pPr>
        <w:spacing w:line="360" w:lineRule="auto"/>
        <w:rPr>
          <w:rFonts w:ascii="宋体" w:hAnsi="宋体" w:cs="宋体"/>
          <w:b/>
          <w:color w:val="000000" w:themeColor="text1"/>
          <w:kern w:val="0"/>
          <w:szCs w:val="21"/>
          <w14:textFill>
            <w14:solidFill>
              <w14:schemeClr w14:val="tx1"/>
            </w14:solidFill>
          </w14:textFill>
        </w:rPr>
      </w:pPr>
      <w:bookmarkStart w:id="231" w:name="_Toc491246674"/>
      <w:bookmarkStart w:id="232" w:name="_Toc247277970"/>
      <w:bookmarkStart w:id="233" w:name="_Toc343158029"/>
      <w:bookmarkStart w:id="234" w:name="_Toc260172683"/>
      <w:bookmarkStart w:id="235" w:name="_Toc209498845"/>
      <w:bookmarkStart w:id="236" w:name="_Toc262675350"/>
      <w:r>
        <w:rPr>
          <w:rFonts w:hint="eastAsia" w:ascii="宋体" w:hAnsi="宋体" w:cs="宋体"/>
          <w:b/>
          <w:color w:val="000000" w:themeColor="text1"/>
          <w:kern w:val="0"/>
          <w14:textFill>
            <w14:solidFill>
              <w14:schemeClr w14:val="tx1"/>
            </w14:solidFill>
          </w14:textFill>
        </w:rPr>
        <w:t>8.1 重新招标</w:t>
      </w:r>
      <w:bookmarkEnd w:id="231"/>
      <w:bookmarkEnd w:id="232"/>
      <w:bookmarkEnd w:id="233"/>
      <w:bookmarkEnd w:id="234"/>
      <w:bookmarkEnd w:id="235"/>
      <w:bookmarkEnd w:id="236"/>
    </w:p>
    <w:p w14:paraId="7F9C7EA8">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有下列情形之一的，招标人将重新招标：</w:t>
      </w:r>
    </w:p>
    <w:p w14:paraId="3B9B4183">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 投标截止时间止，投标人少于3个的；</w:t>
      </w:r>
    </w:p>
    <w:p w14:paraId="2B3E53FD">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 经评标委员会评审后否决所有投标的。</w:t>
      </w:r>
    </w:p>
    <w:p w14:paraId="0B03B6D6">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 评标委员会否决不合格投标或者界定为废标后因有效投标不足3个使得投标明显缺乏竞争，评标委员会决定否决全部投标的；</w:t>
      </w:r>
    </w:p>
    <w:p w14:paraId="3F8B757E">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 同意延长投标有效期的投标人少于3个的；</w:t>
      </w:r>
    </w:p>
    <w:p w14:paraId="668A8E99">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(5) 中标候选人均未与招标人签订合同的。</w:t>
      </w:r>
    </w:p>
    <w:p w14:paraId="05765853">
      <w:pPr>
        <w:spacing w:line="360" w:lineRule="auto"/>
        <w:rPr>
          <w:rFonts w:ascii="宋体" w:hAnsi="宋体" w:cs="宋体"/>
          <w:b/>
          <w:color w:val="000000" w:themeColor="text1"/>
          <w:kern w:val="0"/>
          <w14:textFill>
            <w14:solidFill>
              <w14:schemeClr w14:val="tx1"/>
            </w14:solidFill>
          </w14:textFill>
        </w:rPr>
      </w:pPr>
      <w:bookmarkStart w:id="237" w:name="_Toc209498846"/>
      <w:bookmarkStart w:id="238" w:name="_Toc491246675"/>
      <w:bookmarkStart w:id="239" w:name="_Toc343158030"/>
      <w:bookmarkStart w:id="240" w:name="_Toc260172684"/>
      <w:bookmarkStart w:id="241" w:name="_Toc262675351"/>
      <w:bookmarkStart w:id="242" w:name="_Toc247277971"/>
      <w:r>
        <w:rPr>
          <w:rFonts w:hint="eastAsia" w:ascii="宋体" w:hAnsi="宋体" w:cs="宋体"/>
          <w:b/>
          <w:color w:val="000000" w:themeColor="text1"/>
          <w:kern w:val="0"/>
          <w14:textFill>
            <w14:solidFill>
              <w14:schemeClr w14:val="tx1"/>
            </w14:solidFill>
          </w14:textFill>
        </w:rPr>
        <w:t>8.2 不再招标</w:t>
      </w:r>
      <w:bookmarkEnd w:id="237"/>
      <w:bookmarkEnd w:id="238"/>
      <w:bookmarkEnd w:id="239"/>
      <w:bookmarkEnd w:id="240"/>
      <w:bookmarkEnd w:id="241"/>
      <w:bookmarkEnd w:id="242"/>
    </w:p>
    <w:p w14:paraId="369C1E6B">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重新招标后，仍出现本章第8.1条规定情形之一的，属于必须审批或核准的工程建设项目，经原审批或核准部门批准后不再进行招标。</w:t>
      </w:r>
    </w:p>
    <w:p w14:paraId="08820FE1">
      <w:pPr>
        <w:pStyle w:val="3"/>
        <w:spacing w:line="360" w:lineRule="auto"/>
        <w:jc w:val="left"/>
        <w:rPr>
          <w:rFonts w:ascii="宋体" w:hAnsi="宋体" w:eastAsia="宋体" w:cs="宋体"/>
          <w:b/>
          <w:color w:val="000000" w:themeColor="text1"/>
          <w:kern w:val="0"/>
          <w:sz w:val="21"/>
          <w:szCs w:val="21"/>
          <w14:textFill>
            <w14:solidFill>
              <w14:schemeClr w14:val="tx1"/>
            </w14:solidFill>
          </w14:textFill>
        </w:rPr>
      </w:pPr>
      <w:bookmarkStart w:id="243" w:name="_Toc491246676"/>
      <w:bookmarkStart w:id="244" w:name="_Toc262675352"/>
      <w:bookmarkStart w:id="245" w:name="_Toc343158031"/>
      <w:bookmarkStart w:id="246" w:name="_Toc247277972"/>
      <w:bookmarkStart w:id="247" w:name="_Toc117867965"/>
      <w:bookmarkStart w:id="248" w:name="_Toc209498847"/>
      <w:bookmarkStart w:id="249" w:name="_Toc260172685"/>
      <w:r>
        <w:rPr>
          <w:rFonts w:hint="eastAsia" w:ascii="宋体" w:hAnsi="宋体" w:eastAsia="宋体" w:cs="宋体"/>
          <w:b/>
          <w:color w:val="000000" w:themeColor="text1"/>
          <w:kern w:val="0"/>
          <w:sz w:val="21"/>
          <w:szCs w:val="21"/>
          <w14:textFill>
            <w14:solidFill>
              <w14:schemeClr w14:val="tx1"/>
            </w14:solidFill>
          </w14:textFill>
        </w:rPr>
        <w:t>9.纪律和监督</w:t>
      </w:r>
      <w:bookmarkEnd w:id="243"/>
      <w:bookmarkEnd w:id="244"/>
      <w:bookmarkEnd w:id="245"/>
      <w:bookmarkEnd w:id="246"/>
      <w:bookmarkEnd w:id="247"/>
      <w:bookmarkEnd w:id="248"/>
      <w:bookmarkEnd w:id="249"/>
    </w:p>
    <w:p w14:paraId="6898A0A1">
      <w:pPr>
        <w:spacing w:line="360" w:lineRule="auto"/>
        <w:rPr>
          <w:rFonts w:ascii="宋体" w:hAnsi="宋体" w:cs="宋体"/>
          <w:b/>
          <w:color w:val="000000" w:themeColor="text1"/>
          <w:kern w:val="0"/>
          <w14:textFill>
            <w14:solidFill>
              <w14:schemeClr w14:val="tx1"/>
            </w14:solidFill>
          </w14:textFill>
        </w:rPr>
      </w:pPr>
      <w:bookmarkStart w:id="250" w:name="_Toc260172686"/>
      <w:bookmarkStart w:id="251" w:name="_Toc247277973"/>
      <w:bookmarkStart w:id="252" w:name="_Toc491246677"/>
      <w:bookmarkStart w:id="253" w:name="_Toc343158032"/>
      <w:bookmarkStart w:id="254" w:name="_Toc209498848"/>
      <w:bookmarkStart w:id="255" w:name="_Toc262675353"/>
      <w:r>
        <w:rPr>
          <w:rFonts w:hint="eastAsia" w:ascii="宋体" w:hAnsi="宋体" w:cs="宋体"/>
          <w:b/>
          <w:color w:val="000000" w:themeColor="text1"/>
          <w:kern w:val="0"/>
          <w14:textFill>
            <w14:solidFill>
              <w14:schemeClr w14:val="tx1"/>
            </w14:solidFill>
          </w14:textFill>
        </w:rPr>
        <w:t>9.1 对招标人的纪律要求</w:t>
      </w:r>
      <w:bookmarkEnd w:id="250"/>
      <w:bookmarkEnd w:id="251"/>
      <w:bookmarkEnd w:id="252"/>
      <w:bookmarkEnd w:id="253"/>
      <w:bookmarkEnd w:id="254"/>
      <w:bookmarkEnd w:id="255"/>
    </w:p>
    <w:p w14:paraId="103FA30D">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招标人不得泄漏招标投标活动中应当保密的情况和资料，不得与投标人串通损害国家利益、社会公共利益或者他人合法权益。</w:t>
      </w:r>
    </w:p>
    <w:p w14:paraId="49BA631D">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bookmarkStart w:id="256" w:name="_Toc209498849"/>
      <w:bookmarkStart w:id="257" w:name="_Toc247277974"/>
      <w:bookmarkStart w:id="258" w:name="_Toc491246678"/>
      <w:r>
        <w:rPr>
          <w:rFonts w:hint="eastAsia" w:ascii="宋体" w:hAnsi="宋体" w:cs="宋体"/>
          <w:color w:val="000000" w:themeColor="text1"/>
          <w:kern w:val="0"/>
          <w:szCs w:val="21"/>
          <w14:textFill>
            <w14:solidFill>
              <w14:schemeClr w14:val="tx1"/>
            </w14:solidFill>
          </w14:textFill>
        </w:rPr>
        <w:t>下列行为均属招标人与投标人串通投标：</w:t>
      </w:r>
    </w:p>
    <w:p w14:paraId="75819B4A">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 招标人在开标前开启投标文件，并将投标情况告知其他投标人，或者协助投标人撤换投标文件，更改报价；</w:t>
      </w:r>
    </w:p>
    <w:p w14:paraId="127750DD">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cs="宋体"/>
          <w:color w:val="000000" w:themeColor="text1"/>
          <w:kern w:val="0"/>
          <w:szCs w:val="21"/>
          <w14:textFill>
            <w14:solidFill>
              <w14:schemeClr w14:val="tx1"/>
            </w14:solidFill>
          </w14:textFill>
        </w:rPr>
        <w:t>) 招标人与投标人商定，投标时压低或抬高标价，中标后再给投标人或招标人额外补偿；</w:t>
      </w:r>
    </w:p>
    <w:p w14:paraId="01ACCEBE">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3</w:t>
      </w:r>
      <w:r>
        <w:rPr>
          <w:rFonts w:hint="eastAsia" w:ascii="宋体" w:hAnsi="宋体" w:cs="宋体"/>
          <w:color w:val="000000" w:themeColor="text1"/>
          <w:kern w:val="0"/>
          <w:szCs w:val="21"/>
          <w14:textFill>
            <w14:solidFill>
              <w14:schemeClr w14:val="tx1"/>
            </w14:solidFill>
          </w14:textFill>
        </w:rPr>
        <w:t>) 招标人预定内定中标人；</w:t>
      </w:r>
    </w:p>
    <w:p w14:paraId="1F7E0F26">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14:textFill>
            <w14:solidFill>
              <w14:schemeClr w14:val="tx1"/>
            </w14:solidFill>
          </w14:textFill>
        </w:rPr>
        <w:t>) 其它串通投标行为。</w:t>
      </w:r>
    </w:p>
    <w:p w14:paraId="75ECD129">
      <w:pPr>
        <w:spacing w:line="360" w:lineRule="auto"/>
        <w:rPr>
          <w:rFonts w:ascii="宋体" w:hAnsi="宋体" w:cs="宋体"/>
          <w:b/>
          <w:color w:val="000000" w:themeColor="text1"/>
          <w:kern w:val="0"/>
          <w14:textFill>
            <w14:solidFill>
              <w14:schemeClr w14:val="tx1"/>
            </w14:solidFill>
          </w14:textFill>
        </w:rPr>
      </w:pPr>
      <w:bookmarkStart w:id="259" w:name="_Toc262675354"/>
      <w:bookmarkStart w:id="260" w:name="_Toc343158033"/>
      <w:bookmarkStart w:id="261" w:name="_Toc260172687"/>
      <w:r>
        <w:rPr>
          <w:rFonts w:hint="eastAsia" w:ascii="宋体" w:hAnsi="宋体" w:cs="宋体"/>
          <w:b/>
          <w:color w:val="000000" w:themeColor="text1"/>
          <w:kern w:val="0"/>
          <w14:textFill>
            <w14:solidFill>
              <w14:schemeClr w14:val="tx1"/>
            </w14:solidFill>
          </w14:textFill>
        </w:rPr>
        <w:t>9.2 对投标人的纪律要求</w:t>
      </w:r>
      <w:bookmarkEnd w:id="256"/>
      <w:bookmarkEnd w:id="257"/>
      <w:bookmarkEnd w:id="258"/>
      <w:bookmarkEnd w:id="259"/>
      <w:bookmarkEnd w:id="260"/>
      <w:bookmarkEnd w:id="261"/>
    </w:p>
    <w:p w14:paraId="28B3D956">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C6BEDCD">
      <w:pPr>
        <w:spacing w:line="360" w:lineRule="auto"/>
        <w:ind w:firstLine="210" w:firstLineChars="1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14:textFill>
            <w14:solidFill>
              <w14:schemeClr w14:val="tx1"/>
            </w14:solidFill>
          </w14:textFill>
        </w:rPr>
        <w:t>9.2.1 下列行为均属以他人名义投标</w:t>
      </w:r>
      <w:r>
        <w:rPr>
          <w:rFonts w:hint="eastAsia" w:ascii="宋体" w:hAnsi="宋体" w:cs="宋体"/>
          <w:color w:val="000000" w:themeColor="text1"/>
          <w:kern w:val="0"/>
          <w:szCs w:val="21"/>
          <w14:textFill>
            <w14:solidFill>
              <w14:schemeClr w14:val="tx1"/>
            </w14:solidFill>
          </w14:textFill>
        </w:rPr>
        <w:t>：</w:t>
      </w:r>
    </w:p>
    <w:p w14:paraId="66F78216">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 投标人挂靠其他施工单位；</w:t>
      </w:r>
    </w:p>
    <w:p w14:paraId="0A6CA04F">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 投标人从其它施工单位通过转让或租借的方式获取资格或资质证书；</w:t>
      </w:r>
    </w:p>
    <w:p w14:paraId="7198AFD8">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 由其他单位法定代表人或委托代理人在自己编制的投标文件上加盖印章或签字的行为。</w:t>
      </w:r>
    </w:p>
    <w:p w14:paraId="1EA243A9">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 xml:space="preserve">9.2.2 </w:t>
      </w:r>
      <w:r>
        <w:rPr>
          <w:rFonts w:hint="eastAsia" w:ascii="宋体" w:hAnsi="宋体" w:cs="宋体"/>
          <w:color w:val="000000" w:themeColor="text1"/>
          <w:kern w:val="0"/>
          <w:szCs w:val="21"/>
          <w14:textFill>
            <w14:solidFill>
              <w14:schemeClr w14:val="tx1"/>
            </w14:solidFill>
          </w14:textFill>
        </w:rPr>
        <w:t>下列行为，视为允许他人以本单位名义承揽工程：</w:t>
      </w:r>
    </w:p>
    <w:p w14:paraId="6E81F28E">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投标人拟在施工现场所设项目管理机构的项目负责人、技术负责人、质量管理人员、安全管理人员（专职安全生产管理人员）不是本单位人员。</w:t>
      </w:r>
    </w:p>
    <w:p w14:paraId="66DF598B">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 xml:space="preserve">9.2.3 </w:t>
      </w:r>
      <w:r>
        <w:rPr>
          <w:rFonts w:hint="eastAsia" w:ascii="宋体" w:hAnsi="宋体" w:cs="宋体"/>
          <w:color w:val="000000" w:themeColor="text1"/>
          <w:kern w:val="0"/>
          <w:szCs w:val="21"/>
          <w14:textFill>
            <w14:solidFill>
              <w14:schemeClr w14:val="tx1"/>
            </w14:solidFill>
          </w14:textFill>
        </w:rPr>
        <w:t>下列行为均属投标人串通投标报价：</w:t>
      </w:r>
    </w:p>
    <w:p w14:paraId="57F7B457">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 投标人之间相互约定抬高或压低投标报价；</w:t>
      </w:r>
    </w:p>
    <w:p w14:paraId="68AE61BA">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 投标人之间相互约定，在招标项目中分别以高、中、低价位报价；</w:t>
      </w:r>
    </w:p>
    <w:p w14:paraId="6B98D91C">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 投标人之间现进行内部竞价，内定中标人，然后再参与投标；</w:t>
      </w:r>
    </w:p>
    <w:p w14:paraId="509CE41A">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 投标人之间其他串通投标报价的行为。</w:t>
      </w:r>
    </w:p>
    <w:p w14:paraId="1D736C4B">
      <w:pPr>
        <w:spacing w:line="360" w:lineRule="auto"/>
        <w:rPr>
          <w:rFonts w:ascii="宋体" w:hAnsi="宋体" w:cs="宋体"/>
          <w:b/>
          <w:color w:val="000000" w:themeColor="text1"/>
          <w:kern w:val="0"/>
          <w14:textFill>
            <w14:solidFill>
              <w14:schemeClr w14:val="tx1"/>
            </w14:solidFill>
          </w14:textFill>
        </w:rPr>
      </w:pPr>
      <w:bookmarkStart w:id="262" w:name="_Toc247277975"/>
      <w:bookmarkStart w:id="263" w:name="_Toc262675355"/>
      <w:bookmarkStart w:id="264" w:name="_Toc209498850"/>
      <w:bookmarkStart w:id="265" w:name="_Toc491246679"/>
      <w:bookmarkStart w:id="266" w:name="_Toc260172688"/>
      <w:bookmarkStart w:id="267" w:name="_Toc343158034"/>
      <w:r>
        <w:rPr>
          <w:rFonts w:hint="eastAsia" w:ascii="宋体" w:hAnsi="宋体" w:cs="宋体"/>
          <w:b/>
          <w:color w:val="000000" w:themeColor="text1"/>
          <w:kern w:val="0"/>
          <w14:textFill>
            <w14:solidFill>
              <w14:schemeClr w14:val="tx1"/>
            </w14:solidFill>
          </w14:textFill>
        </w:rPr>
        <w:t>9.3 对评标委员会成员的纪律要求</w:t>
      </w:r>
      <w:bookmarkEnd w:id="262"/>
      <w:bookmarkEnd w:id="263"/>
      <w:bookmarkEnd w:id="264"/>
      <w:bookmarkEnd w:id="265"/>
      <w:bookmarkEnd w:id="266"/>
      <w:bookmarkEnd w:id="267"/>
    </w:p>
    <w:p w14:paraId="4987BEE3">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评标办法"没有规定的评审因素和标准进行评标。</w:t>
      </w:r>
    </w:p>
    <w:p w14:paraId="3270A2BC">
      <w:pPr>
        <w:spacing w:line="360" w:lineRule="auto"/>
        <w:rPr>
          <w:rFonts w:ascii="宋体" w:hAnsi="宋体" w:cs="宋体"/>
          <w:b/>
          <w:color w:val="000000" w:themeColor="text1"/>
          <w:kern w:val="0"/>
          <w14:textFill>
            <w14:solidFill>
              <w14:schemeClr w14:val="tx1"/>
            </w14:solidFill>
          </w14:textFill>
        </w:rPr>
      </w:pPr>
      <w:bookmarkStart w:id="268" w:name="_Toc491246680"/>
      <w:bookmarkStart w:id="269" w:name="_Toc262675356"/>
      <w:bookmarkStart w:id="270" w:name="_Toc260172689"/>
      <w:bookmarkStart w:id="271" w:name="_Toc247277976"/>
      <w:bookmarkStart w:id="272" w:name="_Toc343158035"/>
      <w:bookmarkStart w:id="273" w:name="_Toc209498851"/>
      <w:r>
        <w:rPr>
          <w:rFonts w:hint="eastAsia" w:ascii="宋体" w:hAnsi="宋体" w:cs="宋体"/>
          <w:b/>
          <w:color w:val="000000" w:themeColor="text1"/>
          <w:kern w:val="0"/>
          <w14:textFill>
            <w14:solidFill>
              <w14:schemeClr w14:val="tx1"/>
            </w14:solidFill>
          </w14:textFill>
        </w:rPr>
        <w:t>9.4 对与评标活动有关的工作人员的纪律要求</w:t>
      </w:r>
      <w:bookmarkEnd w:id="268"/>
      <w:bookmarkEnd w:id="269"/>
      <w:bookmarkEnd w:id="270"/>
      <w:bookmarkEnd w:id="271"/>
      <w:bookmarkEnd w:id="272"/>
      <w:bookmarkEnd w:id="273"/>
    </w:p>
    <w:p w14:paraId="1BCB60CD">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0A81D233">
      <w:pPr>
        <w:spacing w:line="360" w:lineRule="auto"/>
        <w:rPr>
          <w:rFonts w:ascii="宋体" w:hAnsi="宋体" w:cs="宋体"/>
          <w:b/>
          <w:color w:val="000000" w:themeColor="text1"/>
          <w:kern w:val="0"/>
          <w14:textFill>
            <w14:solidFill>
              <w14:schemeClr w14:val="tx1"/>
            </w14:solidFill>
          </w14:textFill>
        </w:rPr>
      </w:pPr>
      <w:bookmarkStart w:id="274" w:name="_Toc247277977"/>
      <w:bookmarkStart w:id="275" w:name="_Toc209498852"/>
      <w:bookmarkStart w:id="276" w:name="_Toc260172690"/>
      <w:bookmarkStart w:id="277" w:name="_Toc491246681"/>
      <w:bookmarkStart w:id="278" w:name="_Toc343158036"/>
      <w:bookmarkStart w:id="279" w:name="_Toc262675357"/>
      <w:r>
        <w:rPr>
          <w:rFonts w:hint="eastAsia" w:ascii="宋体" w:hAnsi="宋体" w:cs="宋体"/>
          <w:b/>
          <w:color w:val="000000" w:themeColor="text1"/>
          <w:kern w:val="0"/>
          <w14:textFill>
            <w14:solidFill>
              <w14:schemeClr w14:val="tx1"/>
            </w14:solidFill>
          </w14:textFill>
        </w:rPr>
        <w:t>9.5 投诉</w:t>
      </w:r>
      <w:bookmarkEnd w:id="274"/>
      <w:bookmarkEnd w:id="275"/>
      <w:bookmarkEnd w:id="276"/>
      <w:bookmarkEnd w:id="277"/>
      <w:bookmarkEnd w:id="278"/>
      <w:bookmarkEnd w:id="279"/>
    </w:p>
    <w:p w14:paraId="45F5A4E9">
      <w:pPr>
        <w:autoSpaceDE w:val="0"/>
        <w:autoSpaceDN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投标人和其他利害关系人认为本次招标活动违反法律、法规和规章规定的，有权向有关行政监督部门投诉。</w:t>
      </w:r>
    </w:p>
    <w:p w14:paraId="17A99B06">
      <w:pPr>
        <w:spacing w:line="360" w:lineRule="auto"/>
        <w:rPr>
          <w:rFonts w:ascii="宋体" w:hAnsi="宋体" w:cs="宋体"/>
          <w:b/>
          <w:color w:val="000000" w:themeColor="text1"/>
          <w:kern w:val="0"/>
          <w14:textFill>
            <w14:solidFill>
              <w14:schemeClr w14:val="tx1"/>
            </w14:solidFill>
          </w14:textFill>
        </w:rPr>
      </w:pPr>
      <w:bookmarkStart w:id="280" w:name="_Toc491246682"/>
      <w:bookmarkStart w:id="281" w:name="_Toc199321930"/>
      <w:bookmarkStart w:id="282" w:name="_Toc209498853"/>
      <w:bookmarkStart w:id="283" w:name="_Toc262675358"/>
      <w:bookmarkStart w:id="284" w:name="_Toc247277978"/>
      <w:bookmarkStart w:id="285" w:name="_Toc260172691"/>
      <w:bookmarkStart w:id="286" w:name="_Toc343158037"/>
      <w:r>
        <w:rPr>
          <w:rFonts w:hint="eastAsia" w:ascii="宋体" w:hAnsi="宋体" w:cs="宋体"/>
          <w:b/>
          <w:color w:val="000000" w:themeColor="text1"/>
          <w:kern w:val="0"/>
          <w14:textFill>
            <w14:solidFill>
              <w14:schemeClr w14:val="tx1"/>
            </w14:solidFill>
          </w14:textFill>
        </w:rPr>
        <w:t>9.6 需要补充的其他内容</w:t>
      </w:r>
      <w:bookmarkEnd w:id="280"/>
      <w:bookmarkEnd w:id="281"/>
      <w:bookmarkEnd w:id="282"/>
      <w:bookmarkEnd w:id="283"/>
      <w:bookmarkEnd w:id="284"/>
      <w:bookmarkEnd w:id="285"/>
      <w:bookmarkEnd w:id="286"/>
    </w:p>
    <w:p w14:paraId="6D36C8AB">
      <w:pPr>
        <w:autoSpaceDE w:val="0"/>
        <w:autoSpaceDN w:val="0"/>
        <w:spacing w:line="360" w:lineRule="auto"/>
        <w:ind w:right="420"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需要补充的其他内容：见投标人须知前附表。</w:t>
      </w:r>
    </w:p>
    <w:p w14:paraId="04B75D60">
      <w:pPr>
        <w:pStyle w:val="3"/>
        <w:spacing w:line="360" w:lineRule="auto"/>
        <w:jc w:val="left"/>
        <w:rPr>
          <w:rFonts w:ascii="宋体" w:hAnsi="宋体" w:eastAsia="宋体" w:cs="宋体"/>
          <w:b/>
          <w:color w:val="000000" w:themeColor="text1"/>
          <w:kern w:val="0"/>
          <w:sz w:val="21"/>
          <w:szCs w:val="21"/>
          <w14:textFill>
            <w14:solidFill>
              <w14:schemeClr w14:val="tx1"/>
            </w14:solidFill>
          </w14:textFill>
        </w:rPr>
      </w:pPr>
      <w:bookmarkStart w:id="287" w:name="_Toc117867966"/>
      <w:r>
        <w:rPr>
          <w:rFonts w:hint="eastAsia" w:ascii="宋体" w:hAnsi="宋体" w:eastAsia="宋体" w:cs="宋体"/>
          <w:b/>
          <w:color w:val="000000" w:themeColor="text1"/>
          <w:kern w:val="0"/>
          <w:sz w:val="21"/>
          <w:szCs w:val="21"/>
          <w14:textFill>
            <w14:solidFill>
              <w14:schemeClr w14:val="tx1"/>
            </w14:solidFill>
          </w14:textFill>
        </w:rPr>
        <w:t>10.电子招标投标</w:t>
      </w:r>
      <w:bookmarkEnd w:id="287"/>
    </w:p>
    <w:p w14:paraId="71C88C93">
      <w:pPr>
        <w:spacing w:line="500" w:lineRule="exact"/>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采用电子招标投标。</w:t>
      </w:r>
      <w:r>
        <w:rPr>
          <w:rFonts w:hint="eastAsia" w:ascii="宋体" w:hAnsi="宋体" w:eastAsia="宋体" w:cs="宋体"/>
          <w:color w:val="000000" w:themeColor="text1"/>
          <w:highlight w:val="none"/>
          <w14:textFill>
            <w14:solidFill>
              <w14:schemeClr w14:val="tx1"/>
            </w14:solidFill>
          </w14:textFill>
        </w:rPr>
        <w:t>对投标文件的编制、密封和标记、递交、开标、评标等的具体要求，见投标人须知前附表。</w:t>
      </w:r>
    </w:p>
    <w:p w14:paraId="29EA9F7B">
      <w:pPr>
        <w:spacing w:line="360" w:lineRule="auto"/>
        <w:rPr>
          <w:rFonts w:ascii="宋体" w:hAnsi="宋体" w:cs="宋体"/>
          <w:b/>
          <w:color w:val="000000" w:themeColor="text1"/>
          <w:kern w:val="0"/>
          <w14:textFill>
            <w14:solidFill>
              <w14:schemeClr w14:val="tx1"/>
            </w14:solidFill>
          </w14:textFill>
        </w:rPr>
      </w:pPr>
      <w:r>
        <w:rPr>
          <w:rFonts w:hint="eastAsia" w:ascii="宋体" w:hAnsi="宋体" w:cs="宋体"/>
          <w:b/>
          <w:color w:val="000000" w:themeColor="text1"/>
          <w:kern w:val="0"/>
          <w14:textFill>
            <w14:solidFill>
              <w14:schemeClr w14:val="tx1"/>
            </w14:solidFill>
          </w14:textFill>
        </w:rPr>
        <w:t>10.1电子投标文件编制及报送要求</w:t>
      </w:r>
    </w:p>
    <w:p w14:paraId="6AF90F5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1、电子投标文件的制作应使用《云南省工程建设模块化投标文件编制系统》，生成电子签名的投标文件，格式为*.BTBJ（此文件须网上递交）。</w:t>
      </w:r>
    </w:p>
    <w:p w14:paraId="0DF76091">
      <w:pPr>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2、《云南省工程建设模块化投标文件编制系统》提供数字证书（CA）对投标文件进行加密功能。投标人对网上递交的投标文件应加密。</w:t>
      </w:r>
    </w:p>
    <w:p w14:paraId="4E46DDD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网上递交投标文件应根据招标文件要求，在投标截止时间前将电子投标文件通过云南省公共资源交易信息网(网址：https://ggzy.yn.gov.cn/#/homePage)网上上传指定的开标项目，并打印“上传投标文件回执”，以表明上传成功。同时，应自行核验下载上传成功的投标文件，并进行查看和解密以确保上传投标文件的正确性。</w:t>
      </w:r>
    </w:p>
    <w:p w14:paraId="20BA6310">
      <w:pPr>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5、投标人投标时，须按本附件 “电子投标文件编制及报送要求”规定编制及网上递交电子投标文件，按规定</w:t>
      </w:r>
      <w:r>
        <w:rPr>
          <w:rFonts w:hint="eastAsia" w:ascii="宋体" w:hAnsi="宋体" w:cs="宋体"/>
          <w:color w:val="000000" w:themeColor="text1"/>
          <w:szCs w:val="21"/>
          <w:lang w:eastAsia="zh-CN"/>
          <w14:textFill>
            <w14:solidFill>
              <w14:schemeClr w14:val="tx1"/>
            </w14:solidFill>
          </w14:textFill>
        </w:rPr>
        <w:t>网上解密投标文件</w:t>
      </w:r>
      <w:r>
        <w:rPr>
          <w:rFonts w:hint="eastAsia" w:ascii="宋体" w:hAnsi="宋体" w:cs="宋体"/>
          <w:color w:val="000000" w:themeColor="text1"/>
          <w:szCs w:val="21"/>
          <w14:textFill>
            <w14:solidFill>
              <w14:schemeClr w14:val="tx1"/>
            </w14:solidFill>
          </w14:textFill>
        </w:rPr>
        <w:t>，如果投标人没有按规定网上递交电子投标文件，视为投标无效。</w:t>
      </w:r>
    </w:p>
    <w:p w14:paraId="0B13C73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6、该投标文件制作及报送要求如果与招标文件规定不一致，以此投标文件制作及报送要求为准。</w:t>
      </w:r>
    </w:p>
    <w:p w14:paraId="1F3F245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7、在编制技术标投标文件时，粘贴图片使用JPG格式的文件，并且每张图片的分辩率应小于100dpi。</w:t>
      </w:r>
    </w:p>
    <w:p w14:paraId="00E76855">
      <w:pPr>
        <w:autoSpaceDE w:val="0"/>
        <w:autoSpaceDN w:val="0"/>
        <w:adjustRightInd w:val="0"/>
        <w:spacing w:line="400" w:lineRule="exact"/>
        <w:ind w:right="420" w:firstLine="482" w:firstLineChars="200"/>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r>
        <w:rPr>
          <w:rFonts w:hint="eastAsia" w:ascii="宋体" w:hAnsi="宋体" w:eastAsia="宋体" w:cs="宋体"/>
          <w:b/>
          <w:color w:val="000000" w:themeColor="text1"/>
          <w:kern w:val="0"/>
          <w:sz w:val="24"/>
          <w:highlight w:val="none"/>
          <w14:textFill>
            <w14:solidFill>
              <w14:schemeClr w14:val="tx1"/>
            </w14:solidFill>
          </w14:textFill>
        </w:rPr>
        <w:t>附件一：</w:t>
      </w:r>
    </w:p>
    <w:p w14:paraId="032C5766">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6DB163B3">
      <w:pPr>
        <w:autoSpaceDE w:val="0"/>
        <w:autoSpaceDN w:val="0"/>
        <w:adjustRightInd w:val="0"/>
        <w:spacing w:line="400" w:lineRule="exact"/>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招标文件澄清申请函</w:t>
      </w:r>
    </w:p>
    <w:p w14:paraId="4D2750E8">
      <w:pPr>
        <w:autoSpaceDE w:val="0"/>
        <w:autoSpaceDN w:val="0"/>
        <w:adjustRightInd w:val="0"/>
        <w:spacing w:line="400" w:lineRule="exact"/>
        <w:ind w:firstLine="3990" w:firstLineChars="19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编号:</w:t>
      </w:r>
    </w:p>
    <w:p w14:paraId="082A2A7D">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1878EC6E">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1C7BF54E">
      <w:pPr>
        <w:autoSpaceDE w:val="0"/>
        <w:autoSpaceDN w:val="0"/>
        <w:adjustRightInd w:val="0"/>
        <w:spacing w:line="360" w:lineRule="auto"/>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u w:val="single"/>
          <w14:textFill>
            <w14:solidFill>
              <w14:schemeClr w14:val="tx1"/>
            </w14:solidFill>
          </w14:textFill>
        </w:rPr>
        <w:t xml:space="preserve">     (招标人或招标代理机构名称)     </w:t>
      </w:r>
      <w:r>
        <w:rPr>
          <w:rFonts w:hint="eastAsia" w:ascii="宋体" w:hAnsi="宋体" w:eastAsia="宋体" w:cs="宋体"/>
          <w:color w:val="000000" w:themeColor="text1"/>
          <w:kern w:val="0"/>
          <w:szCs w:val="21"/>
          <w:highlight w:val="none"/>
          <w14:textFill>
            <w14:solidFill>
              <w14:schemeClr w14:val="tx1"/>
            </w14:solidFill>
          </w14:textFill>
        </w:rPr>
        <w:t>:</w:t>
      </w:r>
    </w:p>
    <w:p w14:paraId="296A7852">
      <w:pPr>
        <w:autoSpaceDE w:val="0"/>
        <w:autoSpaceDN w:val="0"/>
        <w:adjustRightInd w:val="0"/>
        <w:spacing w:line="360" w:lineRule="auto"/>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经过仔细阅读</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(项目名称)          （标段名称）</w:t>
      </w:r>
      <w:r>
        <w:rPr>
          <w:rFonts w:hint="eastAsia" w:ascii="宋体" w:hAnsi="宋体" w:eastAsia="宋体" w:cs="宋体"/>
          <w:color w:val="000000" w:themeColor="text1"/>
          <w:kern w:val="0"/>
          <w:szCs w:val="21"/>
          <w:highlight w:val="none"/>
          <w14:textFill>
            <w14:solidFill>
              <w14:schemeClr w14:val="tx1"/>
            </w14:solidFill>
          </w14:textFill>
        </w:rPr>
        <w:t>招标文件后，我方申请对以下问题予以澄清：</w:t>
      </w:r>
    </w:p>
    <w:p w14:paraId="04DD7353">
      <w:pPr>
        <w:autoSpaceDE w:val="0"/>
        <w:autoSpaceDN w:val="0"/>
        <w:adjustRightInd w:val="0"/>
        <w:spacing w:line="360" w:lineRule="auto"/>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w:t>
      </w:r>
    </w:p>
    <w:p w14:paraId="2D50716D">
      <w:pPr>
        <w:autoSpaceDE w:val="0"/>
        <w:autoSpaceDN w:val="0"/>
        <w:adjustRightInd w:val="0"/>
        <w:spacing w:line="360" w:lineRule="auto"/>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w:t>
      </w:r>
    </w:p>
    <w:p w14:paraId="7AD5081B">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w:t>
      </w:r>
    </w:p>
    <w:p w14:paraId="2B9747EB">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6E1380E7">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7D78A7D6">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3D004568">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35590952">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045E921B">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2B546D3A">
      <w:pPr>
        <w:autoSpaceDE w:val="0"/>
        <w:autoSpaceDN w:val="0"/>
        <w:adjustRightInd w:val="0"/>
        <w:spacing w:line="400" w:lineRule="exact"/>
        <w:ind w:right="420" w:firstLine="4305" w:firstLineChars="2050"/>
        <w:rPr>
          <w:rFonts w:hint="eastAsia" w:ascii="宋体" w:hAnsi="宋体" w:eastAsia="宋体" w:cs="宋体"/>
          <w:color w:val="000000" w:themeColor="text1"/>
          <w:kern w:val="0"/>
          <w:szCs w:val="21"/>
          <w:highlight w:val="none"/>
          <w:u w:val="singl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投标人:</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(单位盖章)        </w:t>
      </w:r>
    </w:p>
    <w:p w14:paraId="00AAD14B">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31984CD5">
      <w:pPr>
        <w:autoSpaceDE w:val="0"/>
        <w:autoSpaceDN w:val="0"/>
        <w:adjustRightInd w:val="0"/>
        <w:spacing w:line="400" w:lineRule="exact"/>
        <w:ind w:right="420" w:firstLine="4410" w:firstLineChars="21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年月日</w:t>
      </w:r>
    </w:p>
    <w:p w14:paraId="00732857">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189C3DAA">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60046C3A">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0E12E6B5">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0D4BE977">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01444358">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41205671">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0EE7F069">
      <w:pPr>
        <w:autoSpaceDE w:val="0"/>
        <w:autoSpaceDN w:val="0"/>
        <w:adjustRightInd w:val="0"/>
        <w:spacing w:line="40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注：投标人要求招标人澄清招标文件有关问题时，适用于本格式。</w:t>
      </w:r>
    </w:p>
    <w:p w14:paraId="4AB7F915">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38CB63CC">
      <w:pPr>
        <w:autoSpaceDE w:val="0"/>
        <w:autoSpaceDN w:val="0"/>
        <w:adjustRightInd w:val="0"/>
        <w:spacing w:line="400" w:lineRule="exact"/>
        <w:jc w:val="left"/>
        <w:rPr>
          <w:rFonts w:hint="eastAsia" w:ascii="宋体" w:hAnsi="宋体" w:eastAsia="宋体" w:cs="宋体"/>
          <w:color w:val="000000" w:themeColor="text1"/>
          <w:spacing w:val="-2"/>
          <w:kern w:val="0"/>
          <w:szCs w:val="21"/>
          <w:highlight w:val="none"/>
          <w14:textFill>
            <w14:solidFill>
              <w14:schemeClr w14:val="tx1"/>
            </w14:solidFill>
          </w14:textFill>
        </w:rPr>
      </w:pPr>
    </w:p>
    <w:p w14:paraId="04B61656">
      <w:pPr>
        <w:autoSpaceDE w:val="0"/>
        <w:autoSpaceDN w:val="0"/>
        <w:adjustRightInd w:val="0"/>
        <w:spacing w:line="400" w:lineRule="exact"/>
        <w:jc w:val="left"/>
        <w:rPr>
          <w:rFonts w:hint="eastAsia" w:ascii="宋体" w:hAnsi="宋体" w:eastAsia="宋体" w:cs="宋体"/>
          <w:color w:val="000000" w:themeColor="text1"/>
          <w:spacing w:val="-2"/>
          <w:kern w:val="0"/>
          <w:szCs w:val="21"/>
          <w:highlight w:val="none"/>
          <w14:textFill>
            <w14:solidFill>
              <w14:schemeClr w14:val="tx1"/>
            </w14:solidFill>
          </w14:textFill>
        </w:rPr>
      </w:pPr>
    </w:p>
    <w:p w14:paraId="668BC75B">
      <w:pPr>
        <w:autoSpaceDE w:val="0"/>
        <w:autoSpaceDN w:val="0"/>
        <w:adjustRightInd w:val="0"/>
        <w:spacing w:line="400" w:lineRule="exact"/>
        <w:jc w:val="left"/>
        <w:rPr>
          <w:rFonts w:hint="eastAsia" w:ascii="宋体" w:hAnsi="宋体" w:eastAsia="宋体" w:cs="宋体"/>
          <w:color w:val="000000" w:themeColor="text1"/>
          <w:spacing w:val="-2"/>
          <w:kern w:val="0"/>
          <w:szCs w:val="21"/>
          <w:highlight w:val="none"/>
          <w14:textFill>
            <w14:solidFill>
              <w14:schemeClr w14:val="tx1"/>
            </w14:solidFill>
          </w14:textFill>
        </w:rPr>
      </w:pPr>
    </w:p>
    <w:p w14:paraId="6DF209FA">
      <w:pPr>
        <w:autoSpaceDE w:val="0"/>
        <w:autoSpaceDN w:val="0"/>
        <w:adjustRightInd w:val="0"/>
        <w:spacing w:line="400" w:lineRule="exact"/>
        <w:jc w:val="left"/>
        <w:rPr>
          <w:rFonts w:hint="eastAsia" w:ascii="宋体" w:hAnsi="宋体" w:eastAsia="宋体" w:cs="宋体"/>
          <w:color w:val="000000" w:themeColor="text1"/>
          <w:spacing w:val="-2"/>
          <w:kern w:val="0"/>
          <w:szCs w:val="21"/>
          <w:highlight w:val="none"/>
          <w14:textFill>
            <w14:solidFill>
              <w14:schemeClr w14:val="tx1"/>
            </w14:solidFill>
          </w14:textFill>
        </w:rPr>
      </w:pPr>
    </w:p>
    <w:p w14:paraId="585BAFF7">
      <w:pPr>
        <w:autoSpaceDE w:val="0"/>
        <w:autoSpaceDN w:val="0"/>
        <w:adjustRightInd w:val="0"/>
        <w:spacing w:line="400" w:lineRule="exact"/>
        <w:jc w:val="left"/>
        <w:rPr>
          <w:rFonts w:hint="eastAsia" w:ascii="宋体" w:hAnsi="宋体" w:eastAsia="宋体" w:cs="宋体"/>
          <w:color w:val="000000" w:themeColor="text1"/>
          <w:spacing w:val="-2"/>
          <w:kern w:val="0"/>
          <w:szCs w:val="21"/>
          <w:highlight w:val="none"/>
          <w14:textFill>
            <w14:solidFill>
              <w14:schemeClr w14:val="tx1"/>
            </w14:solidFill>
          </w14:textFill>
        </w:rPr>
      </w:pPr>
    </w:p>
    <w:p w14:paraId="6CB2A431">
      <w:pPr>
        <w:autoSpaceDE w:val="0"/>
        <w:autoSpaceDN w:val="0"/>
        <w:adjustRightInd w:val="0"/>
        <w:spacing w:line="400" w:lineRule="exact"/>
        <w:jc w:val="left"/>
        <w:rPr>
          <w:rFonts w:hint="eastAsia" w:ascii="宋体" w:hAnsi="宋体" w:eastAsia="宋体" w:cs="宋体"/>
          <w:color w:val="000000" w:themeColor="text1"/>
          <w:spacing w:val="-2"/>
          <w:kern w:val="0"/>
          <w:szCs w:val="21"/>
          <w:highlight w:val="none"/>
          <w14:textFill>
            <w14:solidFill>
              <w14:schemeClr w14:val="tx1"/>
            </w14:solidFill>
          </w14:textFill>
        </w:rPr>
      </w:pPr>
    </w:p>
    <w:p w14:paraId="4702591A">
      <w:pPr>
        <w:autoSpaceDE w:val="0"/>
        <w:autoSpaceDN w:val="0"/>
        <w:adjustRightInd w:val="0"/>
        <w:spacing w:line="400" w:lineRule="exact"/>
        <w:ind w:right="420"/>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附件二：</w:t>
      </w:r>
    </w:p>
    <w:p w14:paraId="1891EAEF">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430F6920">
      <w:pPr>
        <w:autoSpaceDE w:val="0"/>
        <w:autoSpaceDN w:val="0"/>
        <w:adjustRightInd w:val="0"/>
        <w:spacing w:line="400" w:lineRule="exact"/>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招 标 文 件 澄 清 通 知</w:t>
      </w:r>
    </w:p>
    <w:p w14:paraId="7B4159F4">
      <w:pPr>
        <w:autoSpaceDE w:val="0"/>
        <w:autoSpaceDN w:val="0"/>
        <w:adjustRightInd w:val="0"/>
        <w:spacing w:line="400" w:lineRule="exact"/>
        <w:ind w:firstLine="3990" w:firstLineChars="19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编号:</w:t>
      </w:r>
    </w:p>
    <w:p w14:paraId="19649CEE">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59C3AF4">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4CCC24C5">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u w:val="single"/>
          <w14:textFill>
            <w14:solidFill>
              <w14:schemeClr w14:val="tx1"/>
            </w14:solidFill>
          </w14:textFill>
        </w:rPr>
        <w:t xml:space="preserve">          (投标人名称)       </w:t>
      </w:r>
      <w:r>
        <w:rPr>
          <w:rFonts w:hint="eastAsia" w:ascii="宋体" w:hAnsi="宋体" w:eastAsia="宋体" w:cs="宋体"/>
          <w:color w:val="000000" w:themeColor="text1"/>
          <w:kern w:val="0"/>
          <w:szCs w:val="21"/>
          <w:highlight w:val="none"/>
          <w14:textFill>
            <w14:solidFill>
              <w14:schemeClr w14:val="tx1"/>
            </w14:solidFill>
          </w14:textFill>
        </w:rPr>
        <w:t>:</w:t>
      </w:r>
    </w:p>
    <w:p w14:paraId="7F0C76E6">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404F85E7">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经研究，对</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(项目名称)          （标段名称）</w:t>
      </w:r>
      <w:r>
        <w:rPr>
          <w:rFonts w:hint="eastAsia" w:ascii="宋体" w:hAnsi="宋体" w:eastAsia="宋体" w:cs="宋体"/>
          <w:color w:val="000000" w:themeColor="text1"/>
          <w:kern w:val="0"/>
          <w:szCs w:val="21"/>
          <w:highlight w:val="none"/>
          <w14:textFill>
            <w14:solidFill>
              <w14:schemeClr w14:val="tx1"/>
            </w14:solidFill>
          </w14:textFill>
        </w:rPr>
        <w:t>招标文件，作如下澄清：</w:t>
      </w:r>
    </w:p>
    <w:p w14:paraId="1984D003">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w:t>
      </w:r>
    </w:p>
    <w:p w14:paraId="3403AE6D">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 ……</w:t>
      </w:r>
    </w:p>
    <w:p w14:paraId="1765E931">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w:t>
      </w:r>
    </w:p>
    <w:p w14:paraId="193AE866">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62C4884A">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EBCC326">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435E8D1">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4C3D1720">
      <w:pPr>
        <w:autoSpaceDE w:val="0"/>
        <w:autoSpaceDN w:val="0"/>
        <w:adjustRightInd w:val="0"/>
        <w:spacing w:line="40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请收到本通知后以书面形式按招标文件第二章附件四格式在年月日前回复确认，同时采用传真方式至。</w:t>
      </w:r>
    </w:p>
    <w:p w14:paraId="4BAF085E">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A3EA000">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95BF4D5">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059A3E31">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D496643">
      <w:pPr>
        <w:autoSpaceDE w:val="0"/>
        <w:autoSpaceDN w:val="0"/>
        <w:adjustRightInd w:val="0"/>
        <w:spacing w:line="400" w:lineRule="exact"/>
        <w:ind w:right="420" w:firstLine="4305" w:firstLineChars="2050"/>
        <w:rPr>
          <w:rFonts w:hint="eastAsia" w:ascii="宋体" w:hAnsi="宋体" w:eastAsia="宋体" w:cs="宋体"/>
          <w:color w:val="000000" w:themeColor="text1"/>
          <w:kern w:val="0"/>
          <w:szCs w:val="21"/>
          <w:highlight w:val="none"/>
          <w:u w:val="singl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招标人:</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(单位盖章)        </w:t>
      </w:r>
    </w:p>
    <w:p w14:paraId="5C05E33E">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0DFE5768">
      <w:pPr>
        <w:autoSpaceDE w:val="0"/>
        <w:autoSpaceDN w:val="0"/>
        <w:adjustRightInd w:val="0"/>
        <w:spacing w:line="400" w:lineRule="exact"/>
        <w:ind w:right="420" w:firstLine="4410" w:firstLineChars="21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年月日</w:t>
      </w:r>
    </w:p>
    <w:p w14:paraId="1852A420">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D4105A2">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467C4EC">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EB2D857">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0B26C8C5">
      <w:pPr>
        <w:autoSpaceDE w:val="0"/>
        <w:autoSpaceDN w:val="0"/>
        <w:adjustRightInd w:val="0"/>
        <w:spacing w:line="40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注：招标人对招标文件有关问题澄清时，适用于本格式。招标人可根据需要将附件二与附件三内容和并发出。</w:t>
      </w:r>
    </w:p>
    <w:p w14:paraId="7C99B6E1">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ED39BD5">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4376CCF6">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56AD5C6">
      <w:pPr>
        <w:autoSpaceDE w:val="0"/>
        <w:autoSpaceDN w:val="0"/>
        <w:adjustRightInd w:val="0"/>
        <w:spacing w:line="400" w:lineRule="exact"/>
        <w:ind w:right="420"/>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附件三：</w:t>
      </w:r>
    </w:p>
    <w:p w14:paraId="2A7AD5AC">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7C5CF9AD">
      <w:pPr>
        <w:autoSpaceDE w:val="0"/>
        <w:autoSpaceDN w:val="0"/>
        <w:adjustRightInd w:val="0"/>
        <w:spacing w:line="400" w:lineRule="exact"/>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招 标 文 件 修 改 通 知</w:t>
      </w:r>
    </w:p>
    <w:p w14:paraId="367EA610">
      <w:pPr>
        <w:autoSpaceDE w:val="0"/>
        <w:autoSpaceDN w:val="0"/>
        <w:adjustRightInd w:val="0"/>
        <w:spacing w:line="400" w:lineRule="exact"/>
        <w:ind w:firstLine="3990" w:firstLineChars="19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编号:</w:t>
      </w:r>
    </w:p>
    <w:p w14:paraId="0C7A1C62">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544B7152">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700F14CA">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u w:val="single"/>
          <w14:textFill>
            <w14:solidFill>
              <w14:schemeClr w14:val="tx1"/>
            </w14:solidFill>
          </w14:textFill>
        </w:rPr>
        <w:t xml:space="preserve">          (招标人名称)       </w:t>
      </w:r>
      <w:r>
        <w:rPr>
          <w:rFonts w:hint="eastAsia" w:ascii="宋体" w:hAnsi="宋体" w:eastAsia="宋体" w:cs="宋体"/>
          <w:color w:val="000000" w:themeColor="text1"/>
          <w:kern w:val="0"/>
          <w:szCs w:val="21"/>
          <w:highlight w:val="none"/>
          <w14:textFill>
            <w14:solidFill>
              <w14:schemeClr w14:val="tx1"/>
            </w14:solidFill>
          </w14:textFill>
        </w:rPr>
        <w:t>:</w:t>
      </w:r>
    </w:p>
    <w:p w14:paraId="2DC072B2">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经研究，对</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(项目名称)          （标段名称）</w:t>
      </w:r>
      <w:r>
        <w:rPr>
          <w:rFonts w:hint="eastAsia" w:ascii="宋体" w:hAnsi="宋体" w:eastAsia="宋体" w:cs="宋体"/>
          <w:color w:val="000000" w:themeColor="text1"/>
          <w:kern w:val="0"/>
          <w:szCs w:val="21"/>
          <w:highlight w:val="none"/>
          <w14:textFill>
            <w14:solidFill>
              <w14:schemeClr w14:val="tx1"/>
            </w14:solidFill>
          </w14:textFill>
        </w:rPr>
        <w:t>招标文件，作如下修改：</w:t>
      </w:r>
    </w:p>
    <w:p w14:paraId="207DBE0A">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w:t>
      </w:r>
    </w:p>
    <w:p w14:paraId="0329C6D9">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 ……</w:t>
      </w:r>
    </w:p>
    <w:p w14:paraId="473B4C27">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w:t>
      </w:r>
    </w:p>
    <w:p w14:paraId="295F1165">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4EB0C918">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9F03713">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0C70A68F">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7CFDAD0A">
      <w:pPr>
        <w:autoSpaceDE w:val="0"/>
        <w:autoSpaceDN w:val="0"/>
        <w:adjustRightInd w:val="0"/>
        <w:spacing w:line="40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请收到本通知后以书面形式按招标文件第二章附件四格式在年月日前回复确认，同时采用传真方式至。</w:t>
      </w:r>
    </w:p>
    <w:p w14:paraId="6E9EF43F">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AC406B3">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054CA47">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47D075C3">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9750EC1">
      <w:pPr>
        <w:autoSpaceDE w:val="0"/>
        <w:autoSpaceDN w:val="0"/>
        <w:adjustRightInd w:val="0"/>
        <w:spacing w:line="400" w:lineRule="exact"/>
        <w:ind w:right="420" w:firstLine="4305" w:firstLineChars="2050"/>
        <w:rPr>
          <w:rFonts w:hint="eastAsia" w:ascii="宋体" w:hAnsi="宋体" w:eastAsia="宋体" w:cs="宋体"/>
          <w:color w:val="000000" w:themeColor="text1"/>
          <w:kern w:val="0"/>
          <w:szCs w:val="21"/>
          <w:highlight w:val="none"/>
          <w:u w:val="singl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招标人:</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(单位盖章)        </w:t>
      </w:r>
    </w:p>
    <w:p w14:paraId="7F385AC5">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10686779">
      <w:pPr>
        <w:autoSpaceDE w:val="0"/>
        <w:autoSpaceDN w:val="0"/>
        <w:adjustRightInd w:val="0"/>
        <w:spacing w:line="400" w:lineRule="exact"/>
        <w:ind w:right="420" w:firstLine="4305" w:firstLineChars="205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年月日</w:t>
      </w:r>
    </w:p>
    <w:p w14:paraId="26BE34DE">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2C7FA3B">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720DF062">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F84DEF6">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6C732AD1">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0270E250">
      <w:pPr>
        <w:autoSpaceDE w:val="0"/>
        <w:autoSpaceDN w:val="0"/>
        <w:adjustRightInd w:val="0"/>
        <w:spacing w:line="400" w:lineRule="exact"/>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注：招标人对招标文件修改时，适用于本格式。</w:t>
      </w:r>
    </w:p>
    <w:p w14:paraId="39992C1F">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48644B2">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751E8702">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06D5D599">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DE7F31B">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7A76665B">
      <w:pPr>
        <w:autoSpaceDE w:val="0"/>
        <w:autoSpaceDN w:val="0"/>
        <w:adjustRightInd w:val="0"/>
        <w:spacing w:line="400" w:lineRule="exact"/>
        <w:ind w:right="420"/>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附件四：</w:t>
      </w:r>
    </w:p>
    <w:p w14:paraId="7D9C538D">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727929F">
      <w:pPr>
        <w:autoSpaceDE w:val="0"/>
        <w:autoSpaceDN w:val="0"/>
        <w:adjustRightInd w:val="0"/>
        <w:spacing w:line="400" w:lineRule="exact"/>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招标文件澄清通知、修改通知确认函</w:t>
      </w:r>
    </w:p>
    <w:p w14:paraId="6AE33C62">
      <w:pPr>
        <w:autoSpaceDE w:val="0"/>
        <w:autoSpaceDN w:val="0"/>
        <w:adjustRightInd w:val="0"/>
        <w:spacing w:line="400" w:lineRule="exact"/>
        <w:ind w:firstLine="3990" w:firstLineChars="19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编号:</w:t>
      </w:r>
    </w:p>
    <w:p w14:paraId="64E7C97A">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13F4E996">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62B16022">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u w:val="single"/>
          <w14:textFill>
            <w14:solidFill>
              <w14:schemeClr w14:val="tx1"/>
            </w14:solidFill>
          </w14:textFill>
        </w:rPr>
        <w:t xml:space="preserve">          (招标人名称)       </w:t>
      </w:r>
      <w:r>
        <w:rPr>
          <w:rFonts w:hint="eastAsia" w:ascii="宋体" w:hAnsi="宋体" w:eastAsia="宋体" w:cs="宋体"/>
          <w:color w:val="000000" w:themeColor="text1"/>
          <w:kern w:val="0"/>
          <w:szCs w:val="21"/>
          <w:highlight w:val="none"/>
          <w14:textFill>
            <w14:solidFill>
              <w14:schemeClr w14:val="tx1"/>
            </w14:solidFill>
          </w14:textFill>
        </w:rPr>
        <w:t>:</w:t>
      </w:r>
    </w:p>
    <w:p w14:paraId="2AFF1605">
      <w:pPr>
        <w:autoSpaceDE w:val="0"/>
        <w:autoSpaceDN w:val="0"/>
        <w:adjustRightInd w:val="0"/>
        <w:spacing w:line="40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你方年月日发送的</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(项目名称)         （标段名称）</w:t>
      </w:r>
      <w:r>
        <w:rPr>
          <w:rFonts w:hint="eastAsia" w:ascii="宋体" w:hAnsi="宋体" w:eastAsia="宋体" w:cs="宋体"/>
          <w:color w:val="000000" w:themeColor="text1"/>
          <w:kern w:val="0"/>
          <w:szCs w:val="21"/>
          <w:highlight w:val="none"/>
          <w14:textFill>
            <w14:solidFill>
              <w14:schemeClr w14:val="tx1"/>
            </w14:solidFill>
          </w14:textFill>
        </w:rPr>
        <w:t>招标文件问题（澄清通知/修改通知），我方已于年月日收到，通知的主要内容如下：</w:t>
      </w:r>
    </w:p>
    <w:p w14:paraId="3CD366AA">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年月日，</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（文件名称及编号）   </w:t>
      </w:r>
      <w:r>
        <w:rPr>
          <w:rFonts w:hint="eastAsia" w:ascii="宋体" w:hAnsi="宋体" w:eastAsia="宋体" w:cs="宋体"/>
          <w:color w:val="000000" w:themeColor="text1"/>
          <w:kern w:val="0"/>
          <w:szCs w:val="21"/>
          <w:highlight w:val="none"/>
          <w14:textFill>
            <w14:solidFill>
              <w14:schemeClr w14:val="tx1"/>
            </w14:solidFill>
          </w14:textFill>
        </w:rPr>
        <w:t>，共</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（页码总数）    （条款总数）</w:t>
      </w:r>
      <w:r>
        <w:rPr>
          <w:rFonts w:hint="eastAsia" w:ascii="宋体" w:hAnsi="宋体" w:eastAsia="宋体" w:cs="宋体"/>
          <w:color w:val="000000" w:themeColor="text1"/>
          <w:kern w:val="0"/>
          <w:szCs w:val="21"/>
          <w:highlight w:val="none"/>
          <w14:textFill>
            <w14:solidFill>
              <w14:schemeClr w14:val="tx1"/>
            </w14:solidFill>
          </w14:textFill>
        </w:rPr>
        <w:t>；</w:t>
      </w:r>
    </w:p>
    <w:p w14:paraId="7729DA29">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w:t>
      </w:r>
    </w:p>
    <w:p w14:paraId="49B78040">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特此确认。</w:t>
      </w:r>
    </w:p>
    <w:p w14:paraId="23D45AAB">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61F919E">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615B6132">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46AF0FF1">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66D365E0">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73627140">
      <w:pPr>
        <w:autoSpaceDE w:val="0"/>
        <w:autoSpaceDN w:val="0"/>
        <w:adjustRightInd w:val="0"/>
        <w:spacing w:line="400" w:lineRule="exact"/>
        <w:ind w:right="420" w:firstLine="4305" w:firstLineChars="2050"/>
        <w:rPr>
          <w:rFonts w:hint="eastAsia" w:ascii="宋体" w:hAnsi="宋体" w:eastAsia="宋体" w:cs="宋体"/>
          <w:color w:val="000000" w:themeColor="text1"/>
          <w:kern w:val="0"/>
          <w:szCs w:val="21"/>
          <w:highlight w:val="none"/>
          <w:u w:val="singl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投标人:</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(单位盖章)        </w:t>
      </w:r>
    </w:p>
    <w:p w14:paraId="662702FA">
      <w:pPr>
        <w:autoSpaceDE w:val="0"/>
        <w:autoSpaceDN w:val="0"/>
        <w:adjustRightInd w:val="0"/>
        <w:spacing w:line="400" w:lineRule="exact"/>
        <w:jc w:val="left"/>
        <w:rPr>
          <w:rFonts w:hint="eastAsia" w:ascii="宋体" w:hAnsi="宋体" w:eastAsia="宋体" w:cs="宋体"/>
          <w:color w:val="000000" w:themeColor="text1"/>
          <w:kern w:val="0"/>
          <w:szCs w:val="21"/>
          <w:highlight w:val="none"/>
          <w:u w:val="single"/>
          <w14:textFill>
            <w14:solidFill>
              <w14:schemeClr w14:val="tx1"/>
            </w14:solidFill>
          </w14:textFill>
        </w:rPr>
      </w:pPr>
    </w:p>
    <w:p w14:paraId="086AEA41">
      <w:pPr>
        <w:autoSpaceDE w:val="0"/>
        <w:autoSpaceDN w:val="0"/>
        <w:adjustRightInd w:val="0"/>
        <w:spacing w:line="400" w:lineRule="exact"/>
        <w:ind w:right="420" w:firstLine="4410" w:firstLineChars="21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年月日</w:t>
      </w:r>
    </w:p>
    <w:p w14:paraId="1717E1DE">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27FABCB">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D471DD7">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266EA9E">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04777E6D">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7183524D">
      <w:pPr>
        <w:autoSpaceDE w:val="0"/>
        <w:autoSpaceDN w:val="0"/>
        <w:adjustRightInd w:val="0"/>
        <w:spacing w:line="400" w:lineRule="exact"/>
        <w:jc w:val="left"/>
        <w:rPr>
          <w:rFonts w:hint="eastAsia" w:ascii="宋体" w:hAnsi="宋体" w:eastAsia="宋体" w:cs="宋体"/>
          <w:b/>
          <w:color w:val="000000" w:themeColor="text1"/>
          <w:kern w:val="0"/>
          <w:sz w:val="18"/>
          <w:szCs w:val="18"/>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注：收到招标文件澄清通知或修改通知后，投标人向招标人发出确认函时，适用于本格式。</w:t>
      </w:r>
    </w:p>
    <w:p w14:paraId="518FE438">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0BDF2AB">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E3D575D">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FD97309">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7F1AB647">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4488BB8">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5E30235">
      <w:pPr>
        <w:pStyle w:val="7"/>
        <w:rPr>
          <w:rFonts w:hint="eastAsia" w:ascii="宋体" w:hAnsi="宋体" w:eastAsia="宋体" w:cs="宋体"/>
          <w:color w:val="000000" w:themeColor="text1"/>
          <w:kern w:val="0"/>
          <w:szCs w:val="21"/>
          <w:highlight w:val="none"/>
          <w14:textFill>
            <w14:solidFill>
              <w14:schemeClr w14:val="tx1"/>
            </w14:solidFill>
          </w14:textFill>
        </w:rPr>
      </w:pPr>
    </w:p>
    <w:p w14:paraId="42228BFA">
      <w:pPr>
        <w:pStyle w:val="7"/>
        <w:rPr>
          <w:rFonts w:hint="eastAsia" w:ascii="宋体" w:hAnsi="宋体" w:eastAsia="宋体" w:cs="宋体"/>
          <w:color w:val="000000" w:themeColor="text1"/>
          <w:kern w:val="0"/>
          <w:szCs w:val="21"/>
          <w:highlight w:val="none"/>
          <w14:textFill>
            <w14:solidFill>
              <w14:schemeClr w14:val="tx1"/>
            </w14:solidFill>
          </w14:textFill>
        </w:rPr>
      </w:pPr>
    </w:p>
    <w:p w14:paraId="15A0888B">
      <w:pPr>
        <w:pStyle w:val="22"/>
        <w:rPr>
          <w:rFonts w:hint="eastAsia" w:ascii="宋体" w:hAnsi="宋体" w:eastAsia="宋体" w:cs="宋体"/>
          <w:color w:val="000000" w:themeColor="text1"/>
          <w:kern w:val="0"/>
          <w:szCs w:val="21"/>
          <w:highlight w:val="none"/>
          <w14:textFill>
            <w14:solidFill>
              <w14:schemeClr w14:val="tx1"/>
            </w14:solidFill>
          </w14:textFill>
        </w:rPr>
      </w:pPr>
    </w:p>
    <w:p w14:paraId="690642C3">
      <w:pPr>
        <w:pStyle w:val="22"/>
        <w:rPr>
          <w:rFonts w:hint="eastAsia" w:ascii="宋体" w:hAnsi="宋体" w:eastAsia="宋体" w:cs="宋体"/>
          <w:color w:val="000000" w:themeColor="text1"/>
          <w:kern w:val="0"/>
          <w:szCs w:val="21"/>
          <w:highlight w:val="none"/>
          <w14:textFill>
            <w14:solidFill>
              <w14:schemeClr w14:val="tx1"/>
            </w14:solidFill>
          </w14:textFill>
        </w:rPr>
      </w:pPr>
    </w:p>
    <w:p w14:paraId="21AB02B2">
      <w:pPr>
        <w:autoSpaceDE w:val="0"/>
        <w:autoSpaceDN w:val="0"/>
        <w:adjustRightInd w:val="0"/>
        <w:spacing w:line="40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w:t>
      </w:r>
      <w:r>
        <w:rPr>
          <w:rFonts w:hint="eastAsia" w:ascii="宋体" w:hAnsi="宋体" w:cs="宋体"/>
          <w:b/>
          <w:color w:val="000000" w:themeColor="text1"/>
          <w:kern w:val="0"/>
          <w:sz w:val="24"/>
          <w:highlight w:val="none"/>
          <w:lang w:val="en-US" w:eastAsia="zh-CN"/>
          <w14:textFill>
            <w14:solidFill>
              <w14:schemeClr w14:val="tx1"/>
            </w14:solidFill>
          </w14:textFill>
        </w:rPr>
        <w:t>五</w:t>
      </w:r>
      <w:r>
        <w:rPr>
          <w:rFonts w:hint="eastAsia" w:ascii="宋体" w:hAnsi="宋体" w:eastAsia="宋体" w:cs="宋体"/>
          <w:b/>
          <w:color w:val="000000" w:themeColor="text1"/>
          <w:kern w:val="0"/>
          <w:sz w:val="24"/>
          <w:highlight w:val="none"/>
          <w14:textFill>
            <w14:solidFill>
              <w14:schemeClr w14:val="tx1"/>
            </w14:solidFill>
          </w14:textFill>
        </w:rPr>
        <w:t>:</w:t>
      </w:r>
    </w:p>
    <w:p w14:paraId="38537285">
      <w:pPr>
        <w:autoSpaceDE w:val="0"/>
        <w:autoSpaceDN w:val="0"/>
        <w:adjustRightInd w:val="0"/>
        <w:spacing w:line="400" w:lineRule="exact"/>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中 标 通 知 书</w:t>
      </w:r>
    </w:p>
    <w:p w14:paraId="432F88C8">
      <w:pPr>
        <w:autoSpaceDE w:val="0"/>
        <w:autoSpaceDN w:val="0"/>
        <w:adjustRightInd w:val="0"/>
        <w:spacing w:line="400" w:lineRule="exact"/>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编号:</w:t>
      </w:r>
    </w:p>
    <w:p w14:paraId="18029CDB">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F75EE4F">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F5C8153">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 (中标人名称):</w:t>
      </w:r>
    </w:p>
    <w:p w14:paraId="6E138FCD">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你方于 (投标日期)所递交的(项目名称)（标段名称）投标文件已被我方接受，被被确定为中标人。</w:t>
      </w:r>
    </w:p>
    <w:p w14:paraId="25CD93D7">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中标价</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Cs w:val="21"/>
          <w:highlight w:val="none"/>
          <w14:textFill>
            <w14:solidFill>
              <w14:schemeClr w14:val="tx1"/>
            </w14:solidFill>
          </w14:textFill>
        </w:rPr>
        <w:t>元。</w:t>
      </w:r>
    </w:p>
    <w:p w14:paraId="3F15490C">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工期</w:t>
      </w:r>
      <w:r>
        <w:rPr>
          <w:rFonts w:hint="eastAsia" w:ascii="宋体" w:hAnsi="宋体" w:cs="宋体"/>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Cs w:val="21"/>
          <w:highlight w:val="none"/>
          <w14:textFill>
            <w14:solidFill>
              <w14:schemeClr w14:val="tx1"/>
            </w14:solidFill>
          </w14:textFill>
        </w:rPr>
        <w:t>日历天。</w:t>
      </w:r>
    </w:p>
    <w:p w14:paraId="5849323D">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工程质量:符合标准</w:t>
      </w:r>
    </w:p>
    <w:p w14:paraId="60C062F2">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项目经理: (姓名)。</w:t>
      </w:r>
    </w:p>
    <w:p w14:paraId="61CE345C">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请你方在接到本通知书后的 </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Cs w:val="21"/>
          <w:highlight w:val="none"/>
          <w14:textFill>
            <w14:solidFill>
              <w14:schemeClr w14:val="tx1"/>
            </w14:solidFill>
          </w14:textFill>
        </w:rPr>
        <w:t xml:space="preserve">日内到 </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w:t>
      </w:r>
      <w:r>
        <w:rPr>
          <w:rFonts w:hint="eastAsia" w:ascii="宋体" w:hAnsi="宋体" w:eastAsia="宋体" w:cs="宋体"/>
          <w:color w:val="000000" w:themeColor="text1"/>
          <w:kern w:val="0"/>
          <w:szCs w:val="21"/>
          <w:highlight w:val="none"/>
          <w14:textFill>
            <w14:solidFill>
              <w14:schemeClr w14:val="tx1"/>
            </w14:solidFill>
          </w14:textFill>
        </w:rPr>
        <w:t>（详细地点）与我方签订施工合同协议书，</w:t>
      </w:r>
    </w:p>
    <w:p w14:paraId="0E181424">
      <w:pPr>
        <w:autoSpaceDE w:val="0"/>
        <w:autoSpaceDN w:val="0"/>
        <w:adjustRightInd w:val="0"/>
        <w:spacing w:line="400" w:lineRule="exact"/>
        <w:ind w:firstLine="42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特此通知。</w:t>
      </w:r>
    </w:p>
    <w:p w14:paraId="4D224F52">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5DA4B44B">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6F95F003">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0865663">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55B0E84">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09BEDF3">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44F98642">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9788A25">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D62F19B">
      <w:pPr>
        <w:wordWrap w:val="0"/>
        <w:autoSpaceDE w:val="0"/>
        <w:autoSpaceDN w:val="0"/>
        <w:adjustRightInd w:val="0"/>
        <w:spacing w:line="480" w:lineRule="auto"/>
        <w:ind w:right="61"/>
        <w:jc w:val="righ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招  标  人：</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(单位盖章)          </w:t>
      </w:r>
    </w:p>
    <w:p w14:paraId="09E689AF">
      <w:pPr>
        <w:wordWrap w:val="0"/>
        <w:autoSpaceDE w:val="0"/>
        <w:autoSpaceDN w:val="0"/>
        <w:adjustRightInd w:val="0"/>
        <w:spacing w:line="480" w:lineRule="auto"/>
        <w:ind w:right="61"/>
        <w:jc w:val="righ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法定代表人或委托代理人：</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(签名)            </w:t>
      </w:r>
    </w:p>
    <w:p w14:paraId="2E1F35D6">
      <w:pPr>
        <w:spacing w:line="480" w:lineRule="auto"/>
        <w:ind w:right="61" w:firstLine="4061" w:firstLineChars="1934"/>
        <w:jc w:val="righ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年月日</w:t>
      </w:r>
    </w:p>
    <w:p w14:paraId="63051F1E">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CC4BC51">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E4BBECB">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C2783F0">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0E905A19">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36A2EAB2">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12A57DF6">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038346DC">
      <w:pPr>
        <w:autoSpaceDE w:val="0"/>
        <w:autoSpaceDN w:val="0"/>
        <w:adjustRightInd w:val="0"/>
        <w:spacing w:line="400" w:lineRule="exact"/>
        <w:jc w:val="lef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附件</w:t>
      </w:r>
      <w:r>
        <w:rPr>
          <w:rFonts w:hint="eastAsia" w:ascii="宋体" w:hAnsi="宋体" w:cs="宋体"/>
          <w:b/>
          <w:color w:val="000000" w:themeColor="text1"/>
          <w:kern w:val="0"/>
          <w:sz w:val="24"/>
          <w:highlight w:val="none"/>
          <w:lang w:val="en-US" w:eastAsia="zh-CN"/>
          <w14:textFill>
            <w14:solidFill>
              <w14:schemeClr w14:val="tx1"/>
            </w14:solidFill>
          </w14:textFill>
        </w:rPr>
        <w:t>六</w:t>
      </w:r>
      <w:r>
        <w:rPr>
          <w:rFonts w:hint="eastAsia" w:ascii="宋体" w:hAnsi="宋体" w:eastAsia="宋体" w:cs="宋体"/>
          <w:b/>
          <w:color w:val="000000" w:themeColor="text1"/>
          <w:kern w:val="0"/>
          <w:sz w:val="24"/>
          <w:highlight w:val="none"/>
          <w14:textFill>
            <w14:solidFill>
              <w14:schemeClr w14:val="tx1"/>
            </w14:solidFill>
          </w14:textFill>
        </w:rPr>
        <w:t>:</w:t>
      </w:r>
    </w:p>
    <w:p w14:paraId="3B0D217B">
      <w:pPr>
        <w:autoSpaceDE w:val="0"/>
        <w:autoSpaceDN w:val="0"/>
        <w:adjustRightInd w:val="0"/>
        <w:spacing w:line="400" w:lineRule="exact"/>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 xml:space="preserve">中 标 结 果 通 知 </w:t>
      </w:r>
    </w:p>
    <w:p w14:paraId="6D51EAE1">
      <w:pPr>
        <w:autoSpaceDE w:val="0"/>
        <w:autoSpaceDN w:val="0"/>
        <w:adjustRightInd w:val="0"/>
        <w:spacing w:line="400" w:lineRule="exact"/>
        <w:jc w:val="left"/>
        <w:rPr>
          <w:rFonts w:hint="eastAsia" w:ascii="宋体" w:hAnsi="宋体" w:eastAsia="宋体" w:cs="宋体"/>
          <w:color w:val="000000" w:themeColor="text1"/>
          <w:kern w:val="0"/>
          <w:szCs w:val="21"/>
          <w:highlight w:val="none"/>
          <w14:textFill>
            <w14:solidFill>
              <w14:schemeClr w14:val="tx1"/>
            </w14:solidFill>
          </w14:textFill>
        </w:rPr>
      </w:pPr>
    </w:p>
    <w:p w14:paraId="2F88414F">
      <w:pPr>
        <w:autoSpaceDE w:val="0"/>
        <w:autoSpaceDN w:val="0"/>
        <w:adjustRightInd w:val="0"/>
        <w:spacing w:line="360" w:lineRule="exact"/>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本工程中标结果详见刊登于</w:t>
      </w:r>
      <w:r>
        <w:rPr>
          <w:rFonts w:hint="eastAsia" w:ascii="宋体" w:hAnsi="宋体" w:cs="宋体"/>
          <w:color w:val="000000" w:themeColor="text1"/>
          <w:szCs w:val="21"/>
          <w:highlight w:val="none"/>
          <w:lang w:eastAsia="zh-CN"/>
          <w14:textFill>
            <w14:solidFill>
              <w14:schemeClr w14:val="tx1"/>
            </w14:solidFill>
          </w14:textFill>
        </w:rPr>
        <w:t>云南省公共资源交易信息网·曲靖市</w:t>
      </w:r>
      <w:r>
        <w:rPr>
          <w:rFonts w:hint="eastAsia" w:ascii="宋体" w:hAnsi="宋体" w:eastAsia="宋体" w:cs="宋体"/>
          <w:color w:val="000000" w:themeColor="text1"/>
          <w:szCs w:val="21"/>
          <w:highlight w:val="none"/>
          <w14:textFill>
            <w14:solidFill>
              <w14:schemeClr w14:val="tx1"/>
            </w14:solidFill>
          </w14:textFill>
        </w:rPr>
        <w:t>(网址：</w:t>
      </w:r>
      <w:r>
        <w:rPr>
          <w:rFonts w:hint="eastAsia" w:ascii="宋体" w:hAnsi="宋体" w:cs="宋体"/>
          <w:color w:val="000000" w:themeColor="text1"/>
          <w:szCs w:val="21"/>
          <w:highlight w:val="none"/>
          <w:lang w:val="en-US" w:eastAsia="zh-CN"/>
          <w14:textFill>
            <w14:solidFill>
              <w14:schemeClr w14:val="tx1"/>
            </w14:solidFill>
          </w14:textFill>
        </w:rPr>
        <w:t xml:space="preserve"> https://ggzy.yn.gov.cn/#/homePage</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kern w:val="0"/>
          <w:szCs w:val="21"/>
          <w:highlight w:val="none"/>
          <w14:textFill>
            <w14:solidFill>
              <w14:schemeClr w14:val="tx1"/>
            </w14:solidFill>
          </w14:textFill>
        </w:rPr>
        <w:t>。</w:t>
      </w:r>
    </w:p>
    <w:p w14:paraId="0CF0E56D">
      <w:pPr>
        <w:pStyle w:val="3"/>
        <w:numPr>
          <w:ilvl w:val="0"/>
          <w:numId w:val="0"/>
        </w:numPr>
        <w:tabs>
          <w:tab w:val="left" w:pos="432"/>
          <w:tab w:val="left" w:pos="1080"/>
        </w:tabs>
        <w:spacing w:before="0" w:after="0" w:line="240" w:lineRule="auto"/>
        <w:jc w:val="center"/>
        <w:rPr>
          <w:rFonts w:hint="eastAsia" w:ascii="宋体" w:hAnsi="宋体"/>
          <w:color w:val="000000" w:themeColor="text1"/>
          <w:kern w:val="0"/>
          <w:sz w:val="36"/>
          <w:szCs w:val="36"/>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br w:type="page"/>
      </w:r>
      <w:bookmarkStart w:id="288" w:name="_Toc262675372"/>
      <w:bookmarkStart w:id="289" w:name="_Toc272432087"/>
      <w:bookmarkStart w:id="290" w:name="_Toc81682061"/>
      <w:r>
        <w:rPr>
          <w:rFonts w:hint="eastAsia" w:ascii="宋体" w:hAnsi="宋体"/>
          <w:color w:val="000000" w:themeColor="text1"/>
          <w:kern w:val="0"/>
          <w:sz w:val="36"/>
          <w:szCs w:val="36"/>
          <w14:textFill>
            <w14:solidFill>
              <w14:schemeClr w14:val="tx1"/>
            </w14:solidFill>
          </w14:textFill>
        </w:rPr>
        <w:t>第三章  评标办法</w:t>
      </w:r>
    </w:p>
    <w:p w14:paraId="254E35EF">
      <w:pPr>
        <w:rPr>
          <w:rFonts w:hint="eastAsia" w:ascii="宋体" w:hAnsi="宋体"/>
          <w:color w:val="000000" w:themeColor="text1"/>
          <w14:textFill>
            <w14:solidFill>
              <w14:schemeClr w14:val="tx1"/>
            </w14:solidFill>
          </w14:textFill>
        </w:rPr>
      </w:pPr>
      <w:r>
        <w:rPr>
          <w:rFonts w:hint="eastAsia" w:ascii="宋体" w:hAnsi="宋体"/>
          <w:color w:val="000000" w:themeColor="text1"/>
          <w:kern w:val="0"/>
          <w:sz w:val="24"/>
          <w14:textFill>
            <w14:solidFill>
              <w14:schemeClr w14:val="tx1"/>
            </w14:solidFill>
          </w14:textFill>
        </w:rPr>
        <w:t>评标办法前附表</w:t>
      </w:r>
    </w:p>
    <w:tbl>
      <w:tblPr>
        <w:tblStyle w:val="23"/>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1863"/>
        <w:gridCol w:w="919"/>
        <w:gridCol w:w="1514"/>
        <w:gridCol w:w="4428"/>
        <w:gridCol w:w="24"/>
      </w:tblGrid>
      <w:tr w14:paraId="04995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476" w:hRule="exact"/>
          <w:jc w:val="center"/>
        </w:trPr>
        <w:tc>
          <w:tcPr>
            <w:tcW w:w="2919" w:type="dxa"/>
            <w:gridSpan w:val="2"/>
            <w:noWrap w:val="0"/>
            <w:vAlign w:val="center"/>
          </w:tcPr>
          <w:p w14:paraId="22817088">
            <w:pPr>
              <w:autoSpaceDE w:val="0"/>
              <w:autoSpaceDN w:val="0"/>
              <w:adjustRightInd w:val="0"/>
              <w:spacing w:line="280" w:lineRule="exact"/>
              <w:jc w:val="center"/>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条款号</w:t>
            </w:r>
          </w:p>
        </w:tc>
        <w:tc>
          <w:tcPr>
            <w:tcW w:w="2433" w:type="dxa"/>
            <w:gridSpan w:val="2"/>
            <w:noWrap w:val="0"/>
            <w:vAlign w:val="center"/>
          </w:tcPr>
          <w:p w14:paraId="03ED10DA">
            <w:pPr>
              <w:autoSpaceDE w:val="0"/>
              <w:autoSpaceDN w:val="0"/>
              <w:adjustRightInd w:val="0"/>
              <w:spacing w:line="280" w:lineRule="exact"/>
              <w:jc w:val="center"/>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评审因素</w:t>
            </w:r>
          </w:p>
        </w:tc>
        <w:tc>
          <w:tcPr>
            <w:tcW w:w="4428" w:type="dxa"/>
            <w:noWrap w:val="0"/>
            <w:vAlign w:val="center"/>
          </w:tcPr>
          <w:p w14:paraId="50014218">
            <w:pPr>
              <w:autoSpaceDE w:val="0"/>
              <w:autoSpaceDN w:val="0"/>
              <w:adjustRightInd w:val="0"/>
              <w:spacing w:line="280" w:lineRule="exact"/>
              <w:ind w:left="-311" w:leftChars="-148" w:firstLine="310" w:firstLineChars="148"/>
              <w:jc w:val="center"/>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评审标准</w:t>
            </w:r>
          </w:p>
        </w:tc>
      </w:tr>
      <w:tr w14:paraId="11C6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476" w:hRule="exact"/>
          <w:jc w:val="center"/>
        </w:trPr>
        <w:tc>
          <w:tcPr>
            <w:tcW w:w="1056" w:type="dxa"/>
            <w:vMerge w:val="restart"/>
            <w:noWrap w:val="0"/>
            <w:vAlign w:val="center"/>
          </w:tcPr>
          <w:p w14:paraId="7A7E4056">
            <w:pPr>
              <w:autoSpaceDE w:val="0"/>
              <w:autoSpaceDN w:val="0"/>
              <w:spacing w:line="360" w:lineRule="auto"/>
              <w:ind w:left="-294" w:leftChars="-140"/>
              <w:jc w:val="center"/>
              <w:rPr>
                <w:rFonts w:hint="eastAsia" w:ascii="宋体" w:hAnsi="宋体" w:cs="HiddenHorzOCR"/>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2.1.1</w:t>
            </w:r>
          </w:p>
        </w:tc>
        <w:tc>
          <w:tcPr>
            <w:tcW w:w="1863" w:type="dxa"/>
            <w:vMerge w:val="restart"/>
            <w:noWrap w:val="0"/>
            <w:vAlign w:val="center"/>
          </w:tcPr>
          <w:p w14:paraId="61C60F52">
            <w:pPr>
              <w:autoSpaceDE w:val="0"/>
              <w:autoSpaceDN w:val="0"/>
              <w:spacing w:line="360" w:lineRule="auto"/>
              <w:jc w:val="center"/>
              <w:rPr>
                <w:rFonts w:hint="eastAsia" w:ascii="宋体" w:hAnsi="宋体" w:cs="HiddenHorzOCR"/>
                <w:color w:val="000000" w:themeColor="text1"/>
                <w:spacing w:val="-4"/>
                <w:kern w:val="0"/>
                <w:szCs w:val="21"/>
                <w14:textFill>
                  <w14:solidFill>
                    <w14:schemeClr w14:val="tx1"/>
                  </w14:solidFill>
                </w14:textFill>
              </w:rPr>
            </w:pPr>
            <w:r>
              <w:rPr>
                <w:rFonts w:hint="eastAsia" w:ascii="宋体" w:hAnsi="宋体" w:cs="HiddenHorzOCR"/>
                <w:color w:val="000000" w:themeColor="text1"/>
                <w:spacing w:val="-4"/>
                <w:kern w:val="0"/>
                <w:szCs w:val="21"/>
                <w14:textFill>
                  <w14:solidFill>
                    <w14:schemeClr w14:val="tx1"/>
                  </w14:solidFill>
                </w14:textFill>
              </w:rPr>
              <w:t>形式评审标准</w:t>
            </w:r>
          </w:p>
        </w:tc>
        <w:tc>
          <w:tcPr>
            <w:tcW w:w="2433" w:type="dxa"/>
            <w:gridSpan w:val="2"/>
            <w:noWrap w:val="0"/>
            <w:vAlign w:val="center"/>
          </w:tcPr>
          <w:p w14:paraId="60262CED">
            <w:pPr>
              <w:autoSpaceDE w:val="0"/>
              <w:autoSpaceDN w:val="0"/>
              <w:spacing w:line="360" w:lineRule="auto"/>
              <w:jc w:val="center"/>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人名称</w:t>
            </w:r>
          </w:p>
        </w:tc>
        <w:tc>
          <w:tcPr>
            <w:tcW w:w="4428" w:type="dxa"/>
            <w:noWrap w:val="0"/>
            <w:vAlign w:val="center"/>
          </w:tcPr>
          <w:p w14:paraId="2B45DB51">
            <w:pPr>
              <w:autoSpaceDE w:val="0"/>
              <w:autoSpaceDN w:val="0"/>
              <w:spacing w:line="360" w:lineRule="auto"/>
              <w:ind w:right="-334" w:rightChars="-159"/>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与营业执照、资质证书、安全生产许可证一致</w:t>
            </w:r>
          </w:p>
        </w:tc>
      </w:tr>
      <w:tr w14:paraId="38CB9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1389" w:hRule="exact"/>
          <w:jc w:val="center"/>
        </w:trPr>
        <w:tc>
          <w:tcPr>
            <w:tcW w:w="1056" w:type="dxa"/>
            <w:vMerge w:val="continue"/>
            <w:noWrap w:val="0"/>
            <w:vAlign w:val="center"/>
          </w:tcPr>
          <w:p w14:paraId="541E0382">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306A3993">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523F5108">
            <w:pPr>
              <w:autoSpaceDE w:val="0"/>
              <w:autoSpaceDN w:val="0"/>
              <w:spacing w:line="360" w:lineRule="auto"/>
              <w:jc w:val="center"/>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文件</w:t>
            </w:r>
            <w:r>
              <w:rPr>
                <w:rFonts w:hint="eastAsia" w:ascii="宋体" w:hAnsi="宋体" w:cs="宋体"/>
                <w:color w:val="000000" w:themeColor="text1"/>
                <w:kern w:val="0"/>
                <w:szCs w:val="21"/>
                <w14:textFill>
                  <w14:solidFill>
                    <w14:schemeClr w14:val="tx1"/>
                  </w14:solidFill>
                </w14:textFill>
              </w:rPr>
              <w:t>签</w:t>
            </w:r>
            <w:r>
              <w:rPr>
                <w:rFonts w:hint="eastAsia" w:ascii="宋体" w:hAnsi="宋体" w:cs="HiddenHorzOCR"/>
                <w:color w:val="000000" w:themeColor="text1"/>
                <w:kern w:val="0"/>
                <w:szCs w:val="21"/>
                <w14:textFill>
                  <w14:solidFill>
                    <w14:schemeClr w14:val="tx1"/>
                  </w14:solidFill>
                </w14:textFill>
              </w:rPr>
              <w:t>字盖章</w:t>
            </w:r>
          </w:p>
        </w:tc>
        <w:tc>
          <w:tcPr>
            <w:tcW w:w="4428" w:type="dxa"/>
            <w:noWrap w:val="0"/>
            <w:vAlign w:val="center"/>
          </w:tcPr>
          <w:p w14:paraId="3D59CA6C">
            <w:pPr>
              <w:autoSpaceDE w:val="0"/>
              <w:autoSpaceDN w:val="0"/>
              <w:spacing w:line="360" w:lineRule="auto"/>
              <w:jc w:val="left"/>
              <w:rPr>
                <w:rFonts w:hint="eastAsia" w:ascii="宋体" w:hAnsi="宋体" w:eastAsia="宋体" w:cs="HiddenHorzOCR"/>
                <w:color w:val="000000" w:themeColor="text1"/>
                <w:kern w:val="0"/>
                <w:szCs w:val="21"/>
                <w:lang w:eastAsia="zh-CN"/>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网上提交的投标文件须在要求企业盖章处盖电子签章；要求法定代表人签字处进行法定代表人电子签名</w:t>
            </w:r>
            <w:r>
              <w:rPr>
                <w:rFonts w:hint="eastAsia" w:ascii="宋体" w:hAnsi="宋体" w:cs="HiddenHorzOCR"/>
                <w:color w:val="000000" w:themeColor="text1"/>
                <w:kern w:val="0"/>
                <w:szCs w:val="21"/>
                <w:lang w:val="en-US" w:eastAsia="zh-CN"/>
                <w14:textFill>
                  <w14:solidFill>
                    <w14:schemeClr w14:val="tx1"/>
                  </w14:solidFill>
                </w14:textFill>
              </w:rPr>
              <w:t>及</w:t>
            </w:r>
            <w:r>
              <w:rPr>
                <w:rFonts w:hint="eastAsia" w:ascii="宋体" w:hAnsi="宋体" w:cs="HiddenHorzOCR"/>
                <w:color w:val="000000" w:themeColor="text1"/>
                <w:kern w:val="0"/>
                <w:szCs w:val="21"/>
                <w14:textFill>
                  <w14:solidFill>
                    <w14:schemeClr w14:val="tx1"/>
                  </w14:solidFill>
                </w14:textFill>
              </w:rPr>
              <w:t>法定代表人电子印章。</w:t>
            </w:r>
          </w:p>
        </w:tc>
      </w:tr>
      <w:tr w14:paraId="4D58C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455" w:hRule="atLeast"/>
          <w:jc w:val="center"/>
        </w:trPr>
        <w:tc>
          <w:tcPr>
            <w:tcW w:w="1056" w:type="dxa"/>
            <w:vMerge w:val="continue"/>
            <w:noWrap w:val="0"/>
            <w:vAlign w:val="center"/>
          </w:tcPr>
          <w:p w14:paraId="0FB256C1">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0A456E3E">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1A0B8B9B">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准投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文件格式</w:t>
            </w:r>
          </w:p>
        </w:tc>
        <w:tc>
          <w:tcPr>
            <w:tcW w:w="4428" w:type="dxa"/>
            <w:noWrap w:val="0"/>
            <w:vAlign w:val="center"/>
          </w:tcPr>
          <w:p w14:paraId="08C1B512">
            <w:pPr>
              <w:autoSpaceDE w:val="0"/>
              <w:autoSpaceDN w:val="0"/>
              <w:spacing w:line="360" w:lineRule="auto"/>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w:t>
            </w:r>
            <w:r>
              <w:rPr>
                <w:rFonts w:hint="eastAsia" w:ascii="宋体" w:hAnsi="宋体" w:cs="HiddenHorzOCR"/>
                <w:color w:val="000000" w:themeColor="text1"/>
                <w:kern w:val="0"/>
                <w:szCs w:val="21"/>
                <w:lang w:val="en-US" w:eastAsia="zh-CN"/>
                <w14:textFill>
                  <w14:solidFill>
                    <w14:schemeClr w14:val="tx1"/>
                  </w14:solidFill>
                </w14:textFill>
              </w:rPr>
              <w:t>八</w:t>
            </w:r>
            <w:r>
              <w:rPr>
                <w:rFonts w:hint="eastAsia" w:ascii="宋体" w:hAnsi="宋体" w:cs="HiddenHorzOCR"/>
                <w:color w:val="000000" w:themeColor="text1"/>
                <w:kern w:val="0"/>
                <w:szCs w:val="21"/>
                <w14:textFill>
                  <w14:solidFill>
                    <w14:schemeClr w14:val="tx1"/>
                  </w14:solidFill>
                </w14:textFill>
              </w:rPr>
              <w:t>章“投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文件格式”的要求</w:t>
            </w:r>
          </w:p>
        </w:tc>
      </w:tr>
      <w:tr w14:paraId="7200C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continue"/>
            <w:noWrap w:val="0"/>
            <w:vAlign w:val="center"/>
          </w:tcPr>
          <w:p w14:paraId="2B9B04AD">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1DAD1828">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53F62B52">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报</w:t>
            </w:r>
            <w:r>
              <w:rPr>
                <w:rFonts w:hint="eastAsia" w:ascii="宋体" w:hAnsi="宋体" w:cs="HiddenHorzOCR"/>
                <w:color w:val="000000" w:themeColor="text1"/>
                <w:kern w:val="0"/>
                <w:szCs w:val="21"/>
                <w14:textFill>
                  <w14:solidFill>
                    <w14:schemeClr w14:val="tx1"/>
                  </w14:solidFill>
                </w14:textFill>
              </w:rPr>
              <w:t>价唯一</w:t>
            </w:r>
          </w:p>
        </w:tc>
        <w:tc>
          <w:tcPr>
            <w:tcW w:w="4428" w:type="dxa"/>
            <w:noWrap w:val="0"/>
            <w:vAlign w:val="center"/>
          </w:tcPr>
          <w:p w14:paraId="398180A3">
            <w:pPr>
              <w:autoSpaceDE w:val="0"/>
              <w:autoSpaceDN w:val="0"/>
              <w:spacing w:line="360" w:lineRule="auto"/>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只能有一个有效</w:t>
            </w:r>
            <w:r>
              <w:rPr>
                <w:rFonts w:hint="eastAsia" w:ascii="宋体" w:hAnsi="宋体" w:cs="宋体"/>
                <w:color w:val="000000" w:themeColor="text1"/>
                <w:kern w:val="0"/>
                <w:szCs w:val="21"/>
                <w14:textFill>
                  <w14:solidFill>
                    <w14:schemeClr w14:val="tx1"/>
                  </w14:solidFill>
                </w14:textFill>
              </w:rPr>
              <w:t>报</w:t>
            </w:r>
            <w:r>
              <w:rPr>
                <w:rFonts w:hint="eastAsia" w:ascii="宋体" w:hAnsi="宋体" w:cs="HiddenHorzOCR"/>
                <w:color w:val="000000" w:themeColor="text1"/>
                <w:kern w:val="0"/>
                <w:szCs w:val="21"/>
                <w14:textFill>
                  <w14:solidFill>
                    <w14:schemeClr w14:val="tx1"/>
                  </w14:solidFill>
                </w14:textFill>
              </w:rPr>
              <w:t>价</w:t>
            </w:r>
          </w:p>
        </w:tc>
      </w:tr>
      <w:tr w14:paraId="015A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restart"/>
            <w:noWrap w:val="0"/>
            <w:vAlign w:val="center"/>
          </w:tcPr>
          <w:p w14:paraId="7E9FB8A1">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2.1.2</w:t>
            </w:r>
          </w:p>
        </w:tc>
        <w:tc>
          <w:tcPr>
            <w:tcW w:w="1863" w:type="dxa"/>
            <w:vMerge w:val="restart"/>
            <w:noWrap w:val="0"/>
            <w:vAlign w:val="center"/>
          </w:tcPr>
          <w:p w14:paraId="21E7BA45">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资格评审标准</w:t>
            </w:r>
          </w:p>
        </w:tc>
        <w:tc>
          <w:tcPr>
            <w:tcW w:w="2433" w:type="dxa"/>
            <w:gridSpan w:val="2"/>
            <w:noWrap w:val="0"/>
            <w:vAlign w:val="center"/>
          </w:tcPr>
          <w:p w14:paraId="37B21C5D">
            <w:pPr>
              <w:autoSpaceDE w:val="0"/>
              <w:autoSpaceDN w:val="0"/>
              <w:spacing w:line="360" w:lineRule="auto"/>
              <w:jc w:val="center"/>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营业执</w:t>
            </w:r>
            <w:r>
              <w:rPr>
                <w:rFonts w:hint="eastAsia" w:ascii="宋体" w:hAnsi="宋体" w:cs="HiddenHorzOCR"/>
                <w:color w:val="000000" w:themeColor="text1"/>
                <w:kern w:val="0"/>
                <w:szCs w:val="21"/>
                <w14:textFill>
                  <w14:solidFill>
                    <w14:schemeClr w14:val="tx1"/>
                  </w14:solidFill>
                </w14:textFill>
              </w:rPr>
              <w:t>照</w:t>
            </w:r>
          </w:p>
        </w:tc>
        <w:tc>
          <w:tcPr>
            <w:tcW w:w="4428" w:type="dxa"/>
            <w:noWrap w:val="0"/>
            <w:vAlign w:val="center"/>
          </w:tcPr>
          <w:p w14:paraId="05179BDF">
            <w:pPr>
              <w:autoSpaceDE w:val="0"/>
              <w:autoSpaceDN w:val="0"/>
              <w:spacing w:line="360" w:lineRule="auto"/>
              <w:jc w:val="left"/>
              <w:rPr>
                <w:rFonts w:hint="eastAsia" w:ascii="宋体" w:hAnsi="宋体" w:cs="宋体"/>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具</w:t>
            </w:r>
            <w:r>
              <w:rPr>
                <w:rFonts w:hint="eastAsia" w:ascii="宋体" w:hAnsi="宋体" w:cs="宋体"/>
                <w:color w:val="000000" w:themeColor="text1"/>
                <w:kern w:val="0"/>
                <w:szCs w:val="21"/>
                <w14:textFill>
                  <w14:solidFill>
                    <w14:schemeClr w14:val="tx1"/>
                  </w14:solidFill>
                </w14:textFill>
              </w:rPr>
              <w:t>备</w:t>
            </w:r>
            <w:r>
              <w:rPr>
                <w:rFonts w:hint="eastAsia" w:ascii="宋体" w:hAnsi="宋体" w:cs="HiddenHorzOCR"/>
                <w:color w:val="000000" w:themeColor="text1"/>
                <w:kern w:val="0"/>
                <w:szCs w:val="21"/>
                <w14:textFill>
                  <w14:solidFill>
                    <w14:schemeClr w14:val="tx1"/>
                  </w14:solidFill>
                </w14:textFill>
              </w:rPr>
              <w:t>有效的</w:t>
            </w:r>
            <w:r>
              <w:rPr>
                <w:rFonts w:hint="eastAsia" w:ascii="宋体" w:hAnsi="宋体" w:cs="宋体"/>
                <w:color w:val="000000" w:themeColor="text1"/>
                <w:kern w:val="0"/>
                <w:szCs w:val="21"/>
                <w14:textFill>
                  <w14:solidFill>
                    <w14:schemeClr w14:val="tx1"/>
                  </w14:solidFill>
                </w14:textFill>
              </w:rPr>
              <w:t>营业执</w:t>
            </w:r>
            <w:r>
              <w:rPr>
                <w:rFonts w:hint="eastAsia" w:ascii="宋体" w:hAnsi="宋体" w:cs="HiddenHorzOCR"/>
                <w:color w:val="000000" w:themeColor="text1"/>
                <w:kern w:val="0"/>
                <w:szCs w:val="21"/>
                <w14:textFill>
                  <w14:solidFill>
                    <w14:schemeClr w14:val="tx1"/>
                  </w14:solidFill>
                </w14:textFill>
              </w:rPr>
              <w:t>照</w:t>
            </w:r>
          </w:p>
        </w:tc>
      </w:tr>
      <w:tr w14:paraId="71A7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continue"/>
            <w:noWrap w:val="0"/>
            <w:vAlign w:val="center"/>
          </w:tcPr>
          <w:p w14:paraId="1338CE4C">
            <w:pPr>
              <w:autoSpaceDE w:val="0"/>
              <w:autoSpaceDN w:val="0"/>
              <w:spacing w:line="360" w:lineRule="auto"/>
              <w:jc w:val="center"/>
              <w:rPr>
                <w:rFonts w:hint="eastAsia" w:ascii="宋体" w:hAnsi="宋体" w:cs="HiddenHorzOCR"/>
                <w:color w:val="000000" w:themeColor="text1"/>
                <w:kern w:val="0"/>
                <w:szCs w:val="21"/>
                <w14:textFill>
                  <w14:solidFill>
                    <w14:schemeClr w14:val="tx1"/>
                  </w14:solidFill>
                </w14:textFill>
              </w:rPr>
            </w:pPr>
          </w:p>
        </w:tc>
        <w:tc>
          <w:tcPr>
            <w:tcW w:w="1863" w:type="dxa"/>
            <w:vMerge w:val="continue"/>
            <w:noWrap w:val="0"/>
            <w:vAlign w:val="center"/>
          </w:tcPr>
          <w:p w14:paraId="404FDC51">
            <w:pPr>
              <w:autoSpaceDE w:val="0"/>
              <w:autoSpaceDN w:val="0"/>
              <w:spacing w:line="360" w:lineRule="auto"/>
              <w:jc w:val="center"/>
              <w:rPr>
                <w:rFonts w:hint="eastAsia" w:ascii="宋体" w:hAnsi="宋体" w:cs="HiddenHorzOCR"/>
                <w:color w:val="000000" w:themeColor="text1"/>
                <w:kern w:val="0"/>
                <w:szCs w:val="21"/>
                <w14:textFill>
                  <w14:solidFill>
                    <w14:schemeClr w14:val="tx1"/>
                  </w14:solidFill>
                </w14:textFill>
              </w:rPr>
            </w:pPr>
          </w:p>
        </w:tc>
        <w:tc>
          <w:tcPr>
            <w:tcW w:w="2433" w:type="dxa"/>
            <w:gridSpan w:val="2"/>
            <w:noWrap w:val="0"/>
            <w:vAlign w:val="center"/>
          </w:tcPr>
          <w:p w14:paraId="285F2D73">
            <w:pPr>
              <w:tabs>
                <w:tab w:val="left" w:pos="215"/>
                <w:tab w:val="center" w:pos="1168"/>
              </w:tabs>
              <w:autoSpaceDE w:val="0"/>
              <w:autoSpaceDN w:val="0"/>
              <w:spacing w:line="360" w:lineRule="auto"/>
              <w:jc w:val="left"/>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lang w:eastAsia="zh-CN"/>
                <w14:textFill>
                  <w14:solidFill>
                    <w14:schemeClr w14:val="tx1"/>
                  </w14:solidFill>
                </w14:textFill>
              </w:rPr>
              <w:tab/>
            </w:r>
            <w:r>
              <w:rPr>
                <w:rFonts w:hint="eastAsia" w:ascii="宋体" w:hAnsi="宋体" w:cs="HiddenHorzOCR"/>
                <w:color w:val="000000" w:themeColor="text1"/>
                <w:kern w:val="0"/>
                <w:szCs w:val="21"/>
                <w14:textFill>
                  <w14:solidFill>
                    <w14:schemeClr w14:val="tx1"/>
                  </w14:solidFill>
                </w14:textFill>
              </w:rPr>
              <w:t>安全生</w:t>
            </w:r>
            <w:r>
              <w:rPr>
                <w:rFonts w:hint="eastAsia" w:ascii="宋体" w:hAnsi="宋体" w:cs="宋体"/>
                <w:color w:val="000000" w:themeColor="text1"/>
                <w:kern w:val="0"/>
                <w:szCs w:val="21"/>
                <w14:textFill>
                  <w14:solidFill>
                    <w14:schemeClr w14:val="tx1"/>
                  </w14:solidFill>
                </w14:textFill>
              </w:rPr>
              <w:t>产许</w:t>
            </w:r>
            <w:r>
              <w:rPr>
                <w:rFonts w:hint="eastAsia" w:ascii="宋体" w:hAnsi="宋体" w:cs="HiddenHorzOCR"/>
                <w:color w:val="000000" w:themeColor="text1"/>
                <w:kern w:val="0"/>
                <w:szCs w:val="21"/>
                <w14:textFill>
                  <w14:solidFill>
                    <w14:schemeClr w14:val="tx1"/>
                  </w14:solidFill>
                </w14:textFill>
              </w:rPr>
              <w:t>可</w:t>
            </w:r>
            <w:r>
              <w:rPr>
                <w:rFonts w:hint="eastAsia" w:ascii="宋体" w:hAnsi="宋体" w:cs="宋体"/>
                <w:color w:val="000000" w:themeColor="text1"/>
                <w:kern w:val="0"/>
                <w:szCs w:val="21"/>
                <w14:textFill>
                  <w14:solidFill>
                    <w14:schemeClr w14:val="tx1"/>
                  </w14:solidFill>
                </w14:textFill>
              </w:rPr>
              <w:t>证</w:t>
            </w:r>
          </w:p>
        </w:tc>
        <w:tc>
          <w:tcPr>
            <w:tcW w:w="4428" w:type="dxa"/>
            <w:noWrap w:val="0"/>
            <w:vAlign w:val="center"/>
          </w:tcPr>
          <w:p w14:paraId="36381C66">
            <w:pPr>
              <w:autoSpaceDE w:val="0"/>
              <w:autoSpaceDN w:val="0"/>
              <w:spacing w:line="360" w:lineRule="auto"/>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具</w:t>
            </w:r>
            <w:r>
              <w:rPr>
                <w:rFonts w:hint="eastAsia" w:ascii="宋体" w:hAnsi="宋体" w:cs="宋体"/>
                <w:color w:val="000000" w:themeColor="text1"/>
                <w:kern w:val="0"/>
                <w:szCs w:val="21"/>
                <w14:textFill>
                  <w14:solidFill>
                    <w14:schemeClr w14:val="tx1"/>
                  </w14:solidFill>
                </w14:textFill>
              </w:rPr>
              <w:t>备</w:t>
            </w:r>
            <w:r>
              <w:rPr>
                <w:rFonts w:hint="eastAsia" w:ascii="宋体" w:hAnsi="宋体" w:cs="HiddenHorzOCR"/>
                <w:color w:val="000000" w:themeColor="text1"/>
                <w:kern w:val="0"/>
                <w:szCs w:val="21"/>
                <w14:textFill>
                  <w14:solidFill>
                    <w14:schemeClr w14:val="tx1"/>
                  </w14:solidFill>
                </w14:textFill>
              </w:rPr>
              <w:t>有效的安全生</w:t>
            </w:r>
            <w:r>
              <w:rPr>
                <w:rFonts w:hint="eastAsia" w:ascii="宋体" w:hAnsi="宋体" w:cs="宋体"/>
                <w:color w:val="000000" w:themeColor="text1"/>
                <w:kern w:val="0"/>
                <w:szCs w:val="21"/>
                <w14:textFill>
                  <w14:solidFill>
                    <w14:schemeClr w14:val="tx1"/>
                  </w14:solidFill>
                </w14:textFill>
              </w:rPr>
              <w:t>产许</w:t>
            </w:r>
            <w:r>
              <w:rPr>
                <w:rFonts w:hint="eastAsia" w:ascii="宋体" w:hAnsi="宋体" w:cs="HiddenHorzOCR"/>
                <w:color w:val="000000" w:themeColor="text1"/>
                <w:kern w:val="0"/>
                <w:szCs w:val="21"/>
                <w14:textFill>
                  <w14:solidFill>
                    <w14:schemeClr w14:val="tx1"/>
                  </w14:solidFill>
                </w14:textFill>
              </w:rPr>
              <w:t>可</w:t>
            </w:r>
            <w:r>
              <w:rPr>
                <w:rFonts w:hint="eastAsia" w:ascii="宋体" w:hAnsi="宋体" w:cs="宋体"/>
                <w:color w:val="000000" w:themeColor="text1"/>
                <w:kern w:val="0"/>
                <w:szCs w:val="21"/>
                <w14:textFill>
                  <w14:solidFill>
                    <w14:schemeClr w14:val="tx1"/>
                  </w14:solidFill>
                </w14:textFill>
              </w:rPr>
              <w:t>证</w:t>
            </w:r>
          </w:p>
        </w:tc>
      </w:tr>
      <w:tr w14:paraId="250D1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433" w:hRule="atLeast"/>
          <w:jc w:val="center"/>
        </w:trPr>
        <w:tc>
          <w:tcPr>
            <w:tcW w:w="1056" w:type="dxa"/>
            <w:vMerge w:val="continue"/>
            <w:noWrap w:val="0"/>
            <w:vAlign w:val="center"/>
          </w:tcPr>
          <w:p w14:paraId="1B01D955">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46EE5C86">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5C9A6AFB">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资质</w:t>
            </w:r>
            <w:r>
              <w:rPr>
                <w:rFonts w:hint="eastAsia" w:ascii="宋体" w:hAnsi="宋体" w:cs="HiddenHorzOCR"/>
                <w:color w:val="000000" w:themeColor="text1"/>
                <w:kern w:val="0"/>
                <w:szCs w:val="21"/>
                <w14:textFill>
                  <w14:solidFill>
                    <w14:schemeClr w14:val="tx1"/>
                  </w14:solidFill>
                </w14:textFill>
              </w:rPr>
              <w:t>等</w:t>
            </w:r>
            <w:r>
              <w:rPr>
                <w:rFonts w:hint="eastAsia" w:ascii="宋体" w:hAnsi="宋体" w:cs="宋体"/>
                <w:color w:val="000000" w:themeColor="text1"/>
                <w:kern w:val="0"/>
                <w:szCs w:val="21"/>
                <w14:textFill>
                  <w14:solidFill>
                    <w14:schemeClr w14:val="tx1"/>
                  </w14:solidFill>
                </w14:textFill>
              </w:rPr>
              <w:t>级</w:t>
            </w:r>
          </w:p>
        </w:tc>
        <w:tc>
          <w:tcPr>
            <w:tcW w:w="4428" w:type="dxa"/>
            <w:noWrap w:val="0"/>
            <w:vAlign w:val="center"/>
          </w:tcPr>
          <w:p w14:paraId="6F34F08A">
            <w:pPr>
              <w:autoSpaceDE w:val="0"/>
              <w:autoSpaceDN w:val="0"/>
              <w:spacing w:line="360" w:lineRule="auto"/>
              <w:jc w:val="left"/>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符合第2章“投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须</w:t>
            </w:r>
            <w:r>
              <w:rPr>
                <w:rFonts w:hint="eastAsia" w:ascii="宋体" w:hAnsi="宋体" w:cs="HiddenHorzOCR"/>
                <w:color w:val="000000" w:themeColor="text1"/>
                <w:kern w:val="0"/>
                <w:szCs w:val="21"/>
                <w14:textFill>
                  <w14:solidFill>
                    <w14:schemeClr w14:val="tx1"/>
                  </w14:solidFill>
                </w14:textFill>
              </w:rPr>
              <w:t>知”</w:t>
            </w:r>
            <w:r>
              <w:rPr>
                <w:rFonts w:hint="eastAsia" w:ascii="宋体" w:hAnsi="宋体" w:cs="宋体"/>
                <w:color w:val="000000" w:themeColor="text1"/>
                <w:kern w:val="0"/>
                <w:szCs w:val="21"/>
                <w14:textFill>
                  <w14:solidFill>
                    <w14:schemeClr w14:val="tx1"/>
                  </w14:solidFill>
                </w14:textFill>
              </w:rPr>
              <w:t>规</w:t>
            </w:r>
            <w:r>
              <w:rPr>
                <w:rFonts w:hint="eastAsia" w:ascii="宋体" w:hAnsi="宋体" w:cs="HiddenHorzOCR"/>
                <w:color w:val="000000" w:themeColor="text1"/>
                <w:kern w:val="0"/>
                <w:szCs w:val="21"/>
                <w14:textFill>
                  <w14:solidFill>
                    <w14:schemeClr w14:val="tx1"/>
                  </w14:solidFill>
                </w14:textFill>
              </w:rPr>
              <w:t>定</w:t>
            </w:r>
          </w:p>
        </w:tc>
      </w:tr>
      <w:tr w14:paraId="39ADD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06" w:hRule="atLeast"/>
          <w:jc w:val="center"/>
        </w:trPr>
        <w:tc>
          <w:tcPr>
            <w:tcW w:w="1056" w:type="dxa"/>
            <w:vMerge w:val="continue"/>
            <w:noWrap w:val="0"/>
            <w:vAlign w:val="center"/>
          </w:tcPr>
          <w:p w14:paraId="1EB7C5AF">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583EB267">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7E8E90C7">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项目负责人</w:t>
            </w:r>
          </w:p>
        </w:tc>
        <w:tc>
          <w:tcPr>
            <w:tcW w:w="4428" w:type="dxa"/>
            <w:noWrap w:val="0"/>
            <w:vAlign w:val="center"/>
          </w:tcPr>
          <w:p w14:paraId="63F21B17">
            <w:pPr>
              <w:autoSpaceDE w:val="0"/>
              <w:autoSpaceDN w:val="0"/>
              <w:spacing w:line="360" w:lineRule="auto"/>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符合第2章“投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须</w:t>
            </w:r>
            <w:r>
              <w:rPr>
                <w:rFonts w:hint="eastAsia" w:ascii="宋体" w:hAnsi="宋体" w:cs="HiddenHorzOCR"/>
                <w:color w:val="000000" w:themeColor="text1"/>
                <w:kern w:val="0"/>
                <w:szCs w:val="21"/>
                <w14:textFill>
                  <w14:solidFill>
                    <w14:schemeClr w14:val="tx1"/>
                  </w14:solidFill>
                </w14:textFill>
              </w:rPr>
              <w:t>知”第</w:t>
            </w:r>
            <w:r>
              <w:rPr>
                <w:rFonts w:ascii="宋体" w:hAnsi="宋体" w:cs="HiddenHorzOCR"/>
                <w:color w:val="000000" w:themeColor="text1"/>
                <w:kern w:val="0"/>
                <w:szCs w:val="21"/>
                <w14:textFill>
                  <w14:solidFill>
                    <w14:schemeClr w14:val="tx1"/>
                  </w14:solidFill>
                </w14:textFill>
              </w:rPr>
              <w:t xml:space="preserve">1.4.1 </w:t>
            </w:r>
            <w:r>
              <w:rPr>
                <w:rFonts w:hint="eastAsia" w:ascii="宋体" w:hAnsi="宋体" w:cs="宋体"/>
                <w:color w:val="000000" w:themeColor="text1"/>
                <w:kern w:val="0"/>
                <w:szCs w:val="21"/>
                <w14:textFill>
                  <w14:solidFill>
                    <w14:schemeClr w14:val="tx1"/>
                  </w14:solidFill>
                </w14:textFill>
              </w:rPr>
              <w:t>项规</w:t>
            </w:r>
            <w:r>
              <w:rPr>
                <w:rFonts w:hint="eastAsia" w:ascii="宋体" w:hAnsi="宋体" w:cs="HiddenHorzOCR"/>
                <w:color w:val="000000" w:themeColor="text1"/>
                <w:kern w:val="0"/>
                <w:szCs w:val="21"/>
                <w14:textFill>
                  <w14:solidFill>
                    <w14:schemeClr w14:val="tx1"/>
                  </w14:solidFill>
                </w14:textFill>
              </w:rPr>
              <w:t>定</w:t>
            </w:r>
          </w:p>
        </w:tc>
      </w:tr>
      <w:tr w14:paraId="21FD8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720" w:hRule="atLeast"/>
          <w:jc w:val="center"/>
        </w:trPr>
        <w:tc>
          <w:tcPr>
            <w:tcW w:w="1056" w:type="dxa"/>
            <w:vMerge w:val="continue"/>
            <w:noWrap w:val="0"/>
            <w:vAlign w:val="center"/>
          </w:tcPr>
          <w:p w14:paraId="1ABC9BBE">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264621EC">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6496C836">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财务</w:t>
            </w:r>
            <w:r>
              <w:rPr>
                <w:rFonts w:hint="eastAsia" w:ascii="宋体" w:hAnsi="宋体" w:cs="宋体"/>
                <w:color w:val="000000" w:themeColor="text1"/>
                <w:kern w:val="0"/>
                <w:szCs w:val="21"/>
                <w14:textFill>
                  <w14:solidFill>
                    <w14:schemeClr w14:val="tx1"/>
                  </w14:solidFill>
                </w14:textFill>
              </w:rPr>
              <w:t>要求</w:t>
            </w:r>
          </w:p>
        </w:tc>
        <w:tc>
          <w:tcPr>
            <w:tcW w:w="4428" w:type="dxa"/>
            <w:noWrap w:val="0"/>
            <w:vAlign w:val="center"/>
          </w:tcPr>
          <w:p w14:paraId="29844994">
            <w:pPr>
              <w:autoSpaceDE w:val="0"/>
              <w:autoSpaceDN w:val="0"/>
              <w:spacing w:line="360" w:lineRule="auto"/>
              <w:jc w:val="left"/>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符合第2章“投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须</w:t>
            </w:r>
            <w:r>
              <w:rPr>
                <w:rFonts w:hint="eastAsia" w:ascii="宋体" w:hAnsi="宋体" w:cs="HiddenHorzOCR"/>
                <w:color w:val="000000" w:themeColor="text1"/>
                <w:kern w:val="0"/>
                <w:szCs w:val="21"/>
                <w14:textFill>
                  <w14:solidFill>
                    <w14:schemeClr w14:val="tx1"/>
                  </w14:solidFill>
                </w14:textFill>
              </w:rPr>
              <w:t>知”第</w:t>
            </w:r>
            <w:r>
              <w:rPr>
                <w:rFonts w:ascii="宋体" w:hAnsi="宋体" w:cs="HiddenHorzOCR"/>
                <w:color w:val="000000" w:themeColor="text1"/>
                <w:kern w:val="0"/>
                <w:szCs w:val="21"/>
                <w14:textFill>
                  <w14:solidFill>
                    <w14:schemeClr w14:val="tx1"/>
                  </w14:solidFill>
                </w14:textFill>
              </w:rPr>
              <w:t xml:space="preserve">1.4.1 </w:t>
            </w:r>
            <w:r>
              <w:rPr>
                <w:rFonts w:hint="eastAsia" w:ascii="宋体" w:hAnsi="宋体" w:cs="宋体"/>
                <w:color w:val="000000" w:themeColor="text1"/>
                <w:kern w:val="0"/>
                <w:szCs w:val="21"/>
                <w14:textFill>
                  <w14:solidFill>
                    <w14:schemeClr w14:val="tx1"/>
                  </w14:solidFill>
                </w14:textFill>
              </w:rPr>
              <w:t>项规</w:t>
            </w:r>
            <w:r>
              <w:rPr>
                <w:rFonts w:hint="eastAsia" w:ascii="宋体" w:hAnsi="宋体" w:cs="HiddenHorzOCR"/>
                <w:color w:val="000000" w:themeColor="text1"/>
                <w:kern w:val="0"/>
                <w:szCs w:val="21"/>
                <w14:textFill>
                  <w14:solidFill>
                    <w14:schemeClr w14:val="tx1"/>
                  </w14:solidFill>
                </w14:textFill>
              </w:rPr>
              <w:t>定</w:t>
            </w:r>
          </w:p>
        </w:tc>
      </w:tr>
      <w:tr w14:paraId="4CB2E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continue"/>
            <w:noWrap w:val="0"/>
            <w:vAlign w:val="center"/>
          </w:tcPr>
          <w:p w14:paraId="71E60252">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4F3FE7D4">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533F7465">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其他实质性要求</w:t>
            </w:r>
          </w:p>
        </w:tc>
        <w:tc>
          <w:tcPr>
            <w:tcW w:w="4428" w:type="dxa"/>
            <w:noWrap w:val="0"/>
            <w:vAlign w:val="center"/>
          </w:tcPr>
          <w:p w14:paraId="02EC5233">
            <w:pPr>
              <w:autoSpaceDE w:val="0"/>
              <w:autoSpaceDN w:val="0"/>
              <w:spacing w:line="360" w:lineRule="auto"/>
              <w:jc w:val="left"/>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满足招标文件的其他实质性条款</w:t>
            </w:r>
          </w:p>
        </w:tc>
      </w:tr>
      <w:tr w14:paraId="33BA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restart"/>
            <w:noWrap w:val="0"/>
            <w:vAlign w:val="center"/>
          </w:tcPr>
          <w:p w14:paraId="04574985">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2.1.3</w:t>
            </w:r>
          </w:p>
        </w:tc>
        <w:tc>
          <w:tcPr>
            <w:tcW w:w="1863" w:type="dxa"/>
            <w:vMerge w:val="restart"/>
            <w:noWrap w:val="0"/>
            <w:vAlign w:val="center"/>
          </w:tcPr>
          <w:p w14:paraId="2BF3A976">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响应性评审标准</w:t>
            </w:r>
          </w:p>
        </w:tc>
        <w:tc>
          <w:tcPr>
            <w:tcW w:w="2433" w:type="dxa"/>
            <w:gridSpan w:val="2"/>
            <w:noWrap w:val="0"/>
            <w:vAlign w:val="center"/>
          </w:tcPr>
          <w:p w14:paraId="6936DB2B">
            <w:pPr>
              <w:autoSpaceDE w:val="0"/>
              <w:autoSpaceDN w:val="0"/>
              <w:spacing w:line="360" w:lineRule="auto"/>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范围</w:t>
            </w:r>
          </w:p>
        </w:tc>
        <w:tc>
          <w:tcPr>
            <w:tcW w:w="4428" w:type="dxa"/>
            <w:noWrap w:val="0"/>
            <w:vAlign w:val="center"/>
          </w:tcPr>
          <w:p w14:paraId="0B6CD63C">
            <w:pPr>
              <w:autoSpaceDE w:val="0"/>
              <w:autoSpaceDN w:val="0"/>
              <w:spacing w:line="360" w:lineRule="auto"/>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符合第2章“投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须</w:t>
            </w:r>
            <w:r>
              <w:rPr>
                <w:rFonts w:hint="eastAsia" w:ascii="宋体" w:hAnsi="宋体" w:cs="HiddenHorzOCR"/>
                <w:color w:val="000000" w:themeColor="text1"/>
                <w:kern w:val="0"/>
                <w:szCs w:val="21"/>
                <w14:textFill>
                  <w14:solidFill>
                    <w14:schemeClr w14:val="tx1"/>
                  </w14:solidFill>
                </w14:textFill>
              </w:rPr>
              <w:t>知”第</w:t>
            </w:r>
            <w:r>
              <w:rPr>
                <w:rFonts w:ascii="宋体" w:hAnsi="宋体" w:cs="HiddenHorzOCR"/>
                <w:color w:val="000000" w:themeColor="text1"/>
                <w:kern w:val="0"/>
                <w:szCs w:val="21"/>
                <w14:textFill>
                  <w14:solidFill>
                    <w14:schemeClr w14:val="tx1"/>
                  </w14:solidFill>
                </w14:textFill>
              </w:rPr>
              <w:t>1.</w:t>
            </w:r>
            <w:r>
              <w:rPr>
                <w:rFonts w:hint="eastAsia" w:ascii="宋体" w:hAnsi="宋体" w:cs="HiddenHorzOCR"/>
                <w:color w:val="000000" w:themeColor="text1"/>
                <w:kern w:val="0"/>
                <w:szCs w:val="21"/>
                <w14:textFill>
                  <w14:solidFill>
                    <w14:schemeClr w14:val="tx1"/>
                  </w14:solidFill>
                </w14:textFill>
              </w:rPr>
              <w:t>3</w:t>
            </w:r>
            <w:r>
              <w:rPr>
                <w:rFonts w:ascii="宋体" w:hAnsi="宋体" w:cs="HiddenHorzOCR"/>
                <w:color w:val="000000" w:themeColor="text1"/>
                <w:kern w:val="0"/>
                <w:szCs w:val="21"/>
                <w14:textFill>
                  <w14:solidFill>
                    <w14:schemeClr w14:val="tx1"/>
                  </w14:solidFill>
                </w14:textFill>
              </w:rPr>
              <w:t>.1</w:t>
            </w:r>
            <w:r>
              <w:rPr>
                <w:rFonts w:hint="eastAsia" w:ascii="宋体" w:hAnsi="宋体" w:cs="宋体"/>
                <w:color w:val="000000" w:themeColor="text1"/>
                <w:kern w:val="0"/>
                <w:szCs w:val="21"/>
                <w14:textFill>
                  <w14:solidFill>
                    <w14:schemeClr w14:val="tx1"/>
                  </w14:solidFill>
                </w14:textFill>
              </w:rPr>
              <w:t>项规</w:t>
            </w:r>
            <w:r>
              <w:rPr>
                <w:rFonts w:hint="eastAsia" w:ascii="宋体" w:hAnsi="宋体" w:cs="HiddenHorzOCR"/>
                <w:color w:val="000000" w:themeColor="text1"/>
                <w:kern w:val="0"/>
                <w:szCs w:val="21"/>
                <w14:textFill>
                  <w14:solidFill>
                    <w14:schemeClr w14:val="tx1"/>
                  </w14:solidFill>
                </w14:textFill>
              </w:rPr>
              <w:t>定</w:t>
            </w:r>
          </w:p>
        </w:tc>
      </w:tr>
      <w:tr w14:paraId="295B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continue"/>
            <w:noWrap w:val="0"/>
            <w:vAlign w:val="center"/>
          </w:tcPr>
          <w:p w14:paraId="0EE0075B">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391E6090">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48B97AD4">
            <w:pPr>
              <w:autoSpaceDE w:val="0"/>
              <w:autoSpaceDN w:val="0"/>
              <w:spacing w:line="360" w:lineRule="auto"/>
              <w:jc w:val="center"/>
              <w:rPr>
                <w:rFonts w:hint="eastAsia" w:ascii="宋体" w:hAnsi="宋体" w:cs="宋体"/>
                <w:color w:val="000000" w:themeColor="text1"/>
                <w:kern w:val="0"/>
                <w:szCs w:val="21"/>
                <w:lang w:eastAsia="zh-CN"/>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工 期</w:t>
            </w:r>
          </w:p>
        </w:tc>
        <w:tc>
          <w:tcPr>
            <w:tcW w:w="4428" w:type="dxa"/>
            <w:noWrap w:val="0"/>
            <w:vAlign w:val="center"/>
          </w:tcPr>
          <w:p w14:paraId="2434153B">
            <w:pPr>
              <w:autoSpaceDE w:val="0"/>
              <w:autoSpaceDN w:val="0"/>
              <w:spacing w:line="360" w:lineRule="auto"/>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符合第2章“投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须</w:t>
            </w:r>
            <w:r>
              <w:rPr>
                <w:rFonts w:hint="eastAsia" w:ascii="宋体" w:hAnsi="宋体" w:cs="HiddenHorzOCR"/>
                <w:color w:val="000000" w:themeColor="text1"/>
                <w:kern w:val="0"/>
                <w:szCs w:val="21"/>
                <w14:textFill>
                  <w14:solidFill>
                    <w14:schemeClr w14:val="tx1"/>
                  </w14:solidFill>
                </w14:textFill>
              </w:rPr>
              <w:t>知”第</w:t>
            </w:r>
            <w:r>
              <w:rPr>
                <w:rFonts w:ascii="宋体" w:hAnsi="宋体" w:cs="HiddenHorzOCR"/>
                <w:color w:val="000000" w:themeColor="text1"/>
                <w:kern w:val="0"/>
                <w:szCs w:val="21"/>
                <w14:textFill>
                  <w14:solidFill>
                    <w14:schemeClr w14:val="tx1"/>
                  </w14:solidFill>
                </w14:textFill>
              </w:rPr>
              <w:t>1.</w:t>
            </w:r>
            <w:r>
              <w:rPr>
                <w:rFonts w:hint="eastAsia" w:ascii="宋体" w:hAnsi="宋体" w:cs="HiddenHorzOCR"/>
                <w:color w:val="000000" w:themeColor="text1"/>
                <w:kern w:val="0"/>
                <w:szCs w:val="21"/>
                <w14:textFill>
                  <w14:solidFill>
                    <w14:schemeClr w14:val="tx1"/>
                  </w14:solidFill>
                </w14:textFill>
              </w:rPr>
              <w:t>3</w:t>
            </w:r>
            <w:r>
              <w:rPr>
                <w:rFonts w:ascii="宋体" w:hAnsi="宋体" w:cs="HiddenHorzOCR"/>
                <w:color w:val="000000" w:themeColor="text1"/>
                <w:kern w:val="0"/>
                <w:szCs w:val="21"/>
                <w14:textFill>
                  <w14:solidFill>
                    <w14:schemeClr w14:val="tx1"/>
                  </w14:solidFill>
                </w14:textFill>
              </w:rPr>
              <w:t>.</w:t>
            </w:r>
            <w:r>
              <w:rPr>
                <w:rFonts w:hint="eastAsia" w:ascii="宋体" w:hAnsi="宋体" w:cs="HiddenHorzOCR"/>
                <w:color w:val="000000" w:themeColor="text1"/>
                <w:kern w:val="0"/>
                <w:szCs w:val="21"/>
                <w14:textFill>
                  <w14:solidFill>
                    <w14:schemeClr w14:val="tx1"/>
                  </w14:solidFill>
                </w14:textFill>
              </w:rPr>
              <w:t xml:space="preserve">2 </w:t>
            </w:r>
            <w:r>
              <w:rPr>
                <w:rFonts w:hint="eastAsia" w:ascii="宋体" w:hAnsi="宋体" w:cs="宋体"/>
                <w:color w:val="000000" w:themeColor="text1"/>
                <w:kern w:val="0"/>
                <w:szCs w:val="21"/>
                <w14:textFill>
                  <w14:solidFill>
                    <w14:schemeClr w14:val="tx1"/>
                  </w14:solidFill>
                </w14:textFill>
              </w:rPr>
              <w:t>项规</w:t>
            </w:r>
            <w:r>
              <w:rPr>
                <w:rFonts w:hint="eastAsia" w:ascii="宋体" w:hAnsi="宋体" w:cs="HiddenHorzOCR"/>
                <w:color w:val="000000" w:themeColor="text1"/>
                <w:kern w:val="0"/>
                <w:szCs w:val="21"/>
                <w14:textFill>
                  <w14:solidFill>
                    <w14:schemeClr w14:val="tx1"/>
                  </w14:solidFill>
                </w14:textFill>
              </w:rPr>
              <w:t>定</w:t>
            </w:r>
          </w:p>
        </w:tc>
      </w:tr>
      <w:tr w14:paraId="7ECBF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continue"/>
            <w:noWrap w:val="0"/>
            <w:vAlign w:val="center"/>
          </w:tcPr>
          <w:p w14:paraId="34475F41">
            <w:pPr>
              <w:autoSpaceDE w:val="0"/>
              <w:autoSpaceDN w:val="0"/>
              <w:spacing w:line="360" w:lineRule="auto"/>
              <w:jc w:val="center"/>
              <w:rPr>
                <w:rFonts w:hint="eastAsia" w:ascii="宋体" w:hAnsi="宋体" w:cs="HiddenHorzOCR"/>
                <w:color w:val="000000" w:themeColor="text1"/>
                <w:kern w:val="0"/>
                <w:szCs w:val="21"/>
                <w14:textFill>
                  <w14:solidFill>
                    <w14:schemeClr w14:val="tx1"/>
                  </w14:solidFill>
                </w14:textFill>
              </w:rPr>
            </w:pPr>
          </w:p>
        </w:tc>
        <w:tc>
          <w:tcPr>
            <w:tcW w:w="1863" w:type="dxa"/>
            <w:vMerge w:val="continue"/>
            <w:noWrap w:val="0"/>
            <w:vAlign w:val="center"/>
          </w:tcPr>
          <w:p w14:paraId="32998636">
            <w:pPr>
              <w:autoSpaceDE w:val="0"/>
              <w:autoSpaceDN w:val="0"/>
              <w:spacing w:line="360" w:lineRule="auto"/>
              <w:jc w:val="center"/>
              <w:rPr>
                <w:rFonts w:hint="eastAsia" w:ascii="宋体" w:hAnsi="宋体" w:cs="HiddenHorzOCR"/>
                <w:color w:val="000000" w:themeColor="text1"/>
                <w:kern w:val="0"/>
                <w:szCs w:val="21"/>
                <w14:textFill>
                  <w14:solidFill>
                    <w14:schemeClr w14:val="tx1"/>
                  </w14:solidFill>
                </w14:textFill>
              </w:rPr>
            </w:pPr>
          </w:p>
        </w:tc>
        <w:tc>
          <w:tcPr>
            <w:tcW w:w="2433" w:type="dxa"/>
            <w:gridSpan w:val="2"/>
            <w:noWrap w:val="0"/>
            <w:vAlign w:val="center"/>
          </w:tcPr>
          <w:p w14:paraId="4741A193">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工程</w:t>
            </w:r>
            <w:r>
              <w:rPr>
                <w:rFonts w:hint="eastAsia" w:ascii="宋体" w:hAnsi="宋体" w:cs="宋体"/>
                <w:color w:val="000000" w:themeColor="text1"/>
                <w:kern w:val="0"/>
                <w:szCs w:val="21"/>
                <w14:textFill>
                  <w14:solidFill>
                    <w14:schemeClr w14:val="tx1"/>
                  </w14:solidFill>
                </w14:textFill>
              </w:rPr>
              <w:t>质</w:t>
            </w:r>
            <w:r>
              <w:rPr>
                <w:rFonts w:hint="eastAsia" w:ascii="宋体" w:hAnsi="宋体" w:cs="HiddenHorzOCR"/>
                <w:color w:val="000000" w:themeColor="text1"/>
                <w:kern w:val="0"/>
                <w:szCs w:val="21"/>
                <w14:textFill>
                  <w14:solidFill>
                    <w14:schemeClr w14:val="tx1"/>
                  </w14:solidFill>
                </w14:textFill>
              </w:rPr>
              <w:t>量</w:t>
            </w:r>
          </w:p>
        </w:tc>
        <w:tc>
          <w:tcPr>
            <w:tcW w:w="4428" w:type="dxa"/>
            <w:noWrap w:val="0"/>
            <w:vAlign w:val="center"/>
          </w:tcPr>
          <w:p w14:paraId="51EE49BF">
            <w:pPr>
              <w:autoSpaceDE w:val="0"/>
              <w:autoSpaceDN w:val="0"/>
              <w:spacing w:line="360" w:lineRule="auto"/>
              <w:jc w:val="left"/>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符合第2章“投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须</w:t>
            </w:r>
            <w:r>
              <w:rPr>
                <w:rFonts w:hint="eastAsia" w:ascii="宋体" w:hAnsi="宋体" w:cs="HiddenHorzOCR"/>
                <w:color w:val="000000" w:themeColor="text1"/>
                <w:kern w:val="0"/>
                <w:szCs w:val="21"/>
                <w14:textFill>
                  <w14:solidFill>
                    <w14:schemeClr w14:val="tx1"/>
                  </w14:solidFill>
                </w14:textFill>
              </w:rPr>
              <w:t>知”第</w:t>
            </w:r>
            <w:r>
              <w:rPr>
                <w:rFonts w:ascii="宋体" w:hAnsi="宋体" w:cs="HiddenHorzOCR"/>
                <w:color w:val="000000" w:themeColor="text1"/>
                <w:kern w:val="0"/>
                <w:szCs w:val="21"/>
                <w14:textFill>
                  <w14:solidFill>
                    <w14:schemeClr w14:val="tx1"/>
                  </w14:solidFill>
                </w14:textFill>
              </w:rPr>
              <w:t>1.</w:t>
            </w:r>
            <w:r>
              <w:rPr>
                <w:rFonts w:hint="eastAsia" w:ascii="宋体" w:hAnsi="宋体" w:cs="HiddenHorzOCR"/>
                <w:color w:val="000000" w:themeColor="text1"/>
                <w:kern w:val="0"/>
                <w:szCs w:val="21"/>
                <w14:textFill>
                  <w14:solidFill>
                    <w14:schemeClr w14:val="tx1"/>
                  </w14:solidFill>
                </w14:textFill>
              </w:rPr>
              <w:t>3</w:t>
            </w:r>
            <w:r>
              <w:rPr>
                <w:rFonts w:ascii="宋体" w:hAnsi="宋体" w:cs="HiddenHorzOCR"/>
                <w:color w:val="000000" w:themeColor="text1"/>
                <w:kern w:val="0"/>
                <w:szCs w:val="21"/>
                <w14:textFill>
                  <w14:solidFill>
                    <w14:schemeClr w14:val="tx1"/>
                  </w14:solidFill>
                </w14:textFill>
              </w:rPr>
              <w:t>.</w:t>
            </w:r>
            <w:r>
              <w:rPr>
                <w:rFonts w:hint="eastAsia" w:ascii="宋体" w:hAnsi="宋体" w:cs="HiddenHorzOCR"/>
                <w:color w:val="000000" w:themeColor="text1"/>
                <w:kern w:val="0"/>
                <w:szCs w:val="21"/>
                <w14:textFill>
                  <w14:solidFill>
                    <w14:schemeClr w14:val="tx1"/>
                  </w14:solidFill>
                </w14:textFill>
              </w:rPr>
              <w:t xml:space="preserve">3 </w:t>
            </w:r>
            <w:r>
              <w:rPr>
                <w:rFonts w:hint="eastAsia" w:ascii="宋体" w:hAnsi="宋体" w:cs="宋体"/>
                <w:color w:val="000000" w:themeColor="text1"/>
                <w:kern w:val="0"/>
                <w:szCs w:val="21"/>
                <w14:textFill>
                  <w14:solidFill>
                    <w14:schemeClr w14:val="tx1"/>
                  </w14:solidFill>
                </w14:textFill>
              </w:rPr>
              <w:t>项规</w:t>
            </w:r>
            <w:r>
              <w:rPr>
                <w:rFonts w:hint="eastAsia" w:ascii="宋体" w:hAnsi="宋体" w:cs="HiddenHorzOCR"/>
                <w:color w:val="000000" w:themeColor="text1"/>
                <w:kern w:val="0"/>
                <w:szCs w:val="21"/>
                <w14:textFill>
                  <w14:solidFill>
                    <w14:schemeClr w14:val="tx1"/>
                  </w14:solidFill>
                </w14:textFill>
              </w:rPr>
              <w:t>定</w:t>
            </w:r>
          </w:p>
        </w:tc>
      </w:tr>
      <w:tr w14:paraId="41ADF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continue"/>
            <w:noWrap w:val="0"/>
            <w:vAlign w:val="center"/>
          </w:tcPr>
          <w:p w14:paraId="767CF9B1">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4B93DF5C">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65521CF4">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有效期</w:t>
            </w:r>
          </w:p>
        </w:tc>
        <w:tc>
          <w:tcPr>
            <w:tcW w:w="4428" w:type="dxa"/>
            <w:noWrap w:val="0"/>
            <w:vAlign w:val="center"/>
          </w:tcPr>
          <w:p w14:paraId="3459DA06">
            <w:pPr>
              <w:autoSpaceDE w:val="0"/>
              <w:autoSpaceDN w:val="0"/>
              <w:spacing w:line="360" w:lineRule="auto"/>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符合第2章“投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须</w:t>
            </w:r>
            <w:r>
              <w:rPr>
                <w:rFonts w:hint="eastAsia" w:ascii="宋体" w:hAnsi="宋体" w:cs="HiddenHorzOCR"/>
                <w:color w:val="000000" w:themeColor="text1"/>
                <w:kern w:val="0"/>
                <w:szCs w:val="21"/>
                <w14:textFill>
                  <w14:solidFill>
                    <w14:schemeClr w14:val="tx1"/>
                  </w14:solidFill>
                </w14:textFill>
              </w:rPr>
              <w:t>知”第3</w:t>
            </w:r>
            <w:r>
              <w:rPr>
                <w:rFonts w:ascii="宋体" w:hAnsi="宋体" w:cs="HiddenHorzOCR"/>
                <w:color w:val="000000" w:themeColor="text1"/>
                <w:kern w:val="0"/>
                <w:szCs w:val="21"/>
                <w14:textFill>
                  <w14:solidFill>
                    <w14:schemeClr w14:val="tx1"/>
                  </w14:solidFill>
                </w14:textFill>
              </w:rPr>
              <w:t>.</w:t>
            </w:r>
            <w:r>
              <w:rPr>
                <w:rFonts w:hint="eastAsia" w:ascii="宋体" w:hAnsi="宋体" w:cs="HiddenHorzOCR"/>
                <w:color w:val="000000" w:themeColor="text1"/>
                <w:kern w:val="0"/>
                <w:szCs w:val="21"/>
                <w14:textFill>
                  <w14:solidFill>
                    <w14:schemeClr w14:val="tx1"/>
                  </w14:solidFill>
                </w14:textFill>
              </w:rPr>
              <w:t>3</w:t>
            </w:r>
            <w:r>
              <w:rPr>
                <w:rFonts w:ascii="宋体" w:hAnsi="宋体" w:cs="HiddenHorzOCR"/>
                <w:color w:val="000000" w:themeColor="text1"/>
                <w:kern w:val="0"/>
                <w:szCs w:val="21"/>
                <w14:textFill>
                  <w14:solidFill>
                    <w14:schemeClr w14:val="tx1"/>
                  </w14:solidFill>
                </w14:textFill>
              </w:rPr>
              <w:t>.1</w:t>
            </w:r>
            <w:r>
              <w:rPr>
                <w:rFonts w:hint="eastAsia" w:ascii="宋体" w:hAnsi="宋体" w:cs="宋体"/>
                <w:color w:val="000000" w:themeColor="text1"/>
                <w:kern w:val="0"/>
                <w:szCs w:val="21"/>
                <w14:textFill>
                  <w14:solidFill>
                    <w14:schemeClr w14:val="tx1"/>
                  </w14:solidFill>
                </w14:textFill>
              </w:rPr>
              <w:t>项规</w:t>
            </w:r>
            <w:r>
              <w:rPr>
                <w:rFonts w:hint="eastAsia" w:ascii="宋体" w:hAnsi="宋体" w:cs="HiddenHorzOCR"/>
                <w:color w:val="000000" w:themeColor="text1"/>
                <w:kern w:val="0"/>
                <w:szCs w:val="21"/>
                <w14:textFill>
                  <w14:solidFill>
                    <w14:schemeClr w14:val="tx1"/>
                  </w14:solidFill>
                </w14:textFill>
              </w:rPr>
              <w:t>定</w:t>
            </w:r>
          </w:p>
        </w:tc>
      </w:tr>
      <w:tr w14:paraId="3C6A5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continue"/>
            <w:noWrap w:val="0"/>
            <w:vAlign w:val="center"/>
          </w:tcPr>
          <w:p w14:paraId="008E3B61">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6EB54068">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2DE3FA49">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保</w:t>
            </w:r>
            <w:r>
              <w:rPr>
                <w:rFonts w:hint="eastAsia" w:ascii="宋体" w:hAnsi="宋体" w:cs="宋体"/>
                <w:color w:val="000000" w:themeColor="text1"/>
                <w:kern w:val="0"/>
                <w:szCs w:val="21"/>
                <w14:textFill>
                  <w14:solidFill>
                    <w14:schemeClr w14:val="tx1"/>
                  </w14:solidFill>
                </w14:textFill>
              </w:rPr>
              <w:t>证</w:t>
            </w:r>
            <w:r>
              <w:rPr>
                <w:rFonts w:hint="eastAsia" w:ascii="宋体" w:hAnsi="宋体" w:cs="HiddenHorzOCR"/>
                <w:color w:val="000000" w:themeColor="text1"/>
                <w:kern w:val="0"/>
                <w:szCs w:val="21"/>
                <w14:textFill>
                  <w14:solidFill>
                    <w14:schemeClr w14:val="tx1"/>
                  </w14:solidFill>
                </w14:textFill>
              </w:rPr>
              <w:t>金</w:t>
            </w:r>
          </w:p>
        </w:tc>
        <w:tc>
          <w:tcPr>
            <w:tcW w:w="4428" w:type="dxa"/>
            <w:noWrap w:val="0"/>
            <w:vAlign w:val="center"/>
          </w:tcPr>
          <w:p w14:paraId="74E7E367">
            <w:pPr>
              <w:autoSpaceDE w:val="0"/>
              <w:autoSpaceDN w:val="0"/>
              <w:spacing w:line="360" w:lineRule="auto"/>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符合第2章“投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须</w:t>
            </w:r>
            <w:r>
              <w:rPr>
                <w:rFonts w:hint="eastAsia" w:ascii="宋体" w:hAnsi="宋体" w:cs="HiddenHorzOCR"/>
                <w:color w:val="000000" w:themeColor="text1"/>
                <w:kern w:val="0"/>
                <w:szCs w:val="21"/>
                <w14:textFill>
                  <w14:solidFill>
                    <w14:schemeClr w14:val="tx1"/>
                  </w14:solidFill>
                </w14:textFill>
              </w:rPr>
              <w:t>知”第3</w:t>
            </w:r>
            <w:r>
              <w:rPr>
                <w:rFonts w:ascii="宋体" w:hAnsi="宋体" w:cs="HiddenHorzOCR"/>
                <w:color w:val="000000" w:themeColor="text1"/>
                <w:kern w:val="0"/>
                <w:szCs w:val="21"/>
                <w14:textFill>
                  <w14:solidFill>
                    <w14:schemeClr w14:val="tx1"/>
                  </w14:solidFill>
                </w14:textFill>
              </w:rPr>
              <w:t>.</w:t>
            </w:r>
            <w:r>
              <w:rPr>
                <w:rFonts w:hint="eastAsia" w:ascii="宋体" w:hAnsi="宋体" w:cs="HiddenHorzOCR"/>
                <w:color w:val="000000" w:themeColor="text1"/>
                <w:kern w:val="0"/>
                <w:szCs w:val="21"/>
                <w14:textFill>
                  <w14:solidFill>
                    <w14:schemeClr w14:val="tx1"/>
                  </w14:solidFill>
                </w14:textFill>
              </w:rPr>
              <w:t>4</w:t>
            </w:r>
            <w:r>
              <w:rPr>
                <w:rFonts w:ascii="宋体" w:hAnsi="宋体" w:cs="HiddenHorzOCR"/>
                <w:color w:val="000000" w:themeColor="text1"/>
                <w:kern w:val="0"/>
                <w:szCs w:val="21"/>
                <w14:textFill>
                  <w14:solidFill>
                    <w14:schemeClr w14:val="tx1"/>
                  </w14:solidFill>
                </w14:textFill>
              </w:rPr>
              <w:t>.1</w:t>
            </w:r>
            <w:r>
              <w:rPr>
                <w:rFonts w:hint="eastAsia" w:ascii="宋体" w:hAnsi="宋体" w:cs="宋体"/>
                <w:color w:val="000000" w:themeColor="text1"/>
                <w:kern w:val="0"/>
                <w:szCs w:val="21"/>
                <w14:textFill>
                  <w14:solidFill>
                    <w14:schemeClr w14:val="tx1"/>
                  </w14:solidFill>
                </w14:textFill>
              </w:rPr>
              <w:t>项规</w:t>
            </w:r>
            <w:r>
              <w:rPr>
                <w:rFonts w:hint="eastAsia" w:ascii="宋体" w:hAnsi="宋体" w:cs="HiddenHorzOCR"/>
                <w:color w:val="000000" w:themeColor="text1"/>
                <w:kern w:val="0"/>
                <w:szCs w:val="21"/>
                <w14:textFill>
                  <w14:solidFill>
                    <w14:schemeClr w14:val="tx1"/>
                  </w14:solidFill>
                </w14:textFill>
              </w:rPr>
              <w:t>定</w:t>
            </w:r>
          </w:p>
        </w:tc>
      </w:tr>
      <w:tr w14:paraId="07ED2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continue"/>
            <w:noWrap w:val="0"/>
            <w:vAlign w:val="center"/>
          </w:tcPr>
          <w:p w14:paraId="116A9B24">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5B543F8B">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080944BA">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已标价工程量清单</w:t>
            </w:r>
          </w:p>
        </w:tc>
        <w:tc>
          <w:tcPr>
            <w:tcW w:w="4428" w:type="dxa"/>
            <w:noWrap w:val="0"/>
            <w:vAlign w:val="center"/>
          </w:tcPr>
          <w:p w14:paraId="1210C808">
            <w:pPr>
              <w:autoSpaceDE w:val="0"/>
              <w:autoSpaceDN w:val="0"/>
              <w:spacing w:line="360" w:lineRule="auto"/>
              <w:jc w:val="left"/>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符合第5章“工程量清</w:t>
            </w:r>
            <w:r>
              <w:rPr>
                <w:rFonts w:hint="eastAsia" w:ascii="宋体" w:hAnsi="宋体" w:cs="宋体"/>
                <w:color w:val="000000" w:themeColor="text1"/>
                <w:kern w:val="0"/>
                <w:szCs w:val="21"/>
                <w14:textFill>
                  <w14:solidFill>
                    <w14:schemeClr w14:val="tx1"/>
                  </w14:solidFill>
                </w14:textFill>
              </w:rPr>
              <w:t>单</w:t>
            </w:r>
            <w:r>
              <w:rPr>
                <w:rFonts w:hint="eastAsia" w:ascii="宋体" w:hAnsi="宋体" w:cs="HiddenHorzOCR"/>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给</w:t>
            </w:r>
            <w:r>
              <w:rPr>
                <w:rFonts w:hint="eastAsia" w:ascii="宋体" w:hAnsi="宋体" w:cs="HiddenHorzOCR"/>
                <w:color w:val="000000" w:themeColor="text1"/>
                <w:kern w:val="0"/>
                <w:szCs w:val="21"/>
                <w14:textFill>
                  <w14:solidFill>
                    <w14:schemeClr w14:val="tx1"/>
                  </w14:solidFill>
                </w14:textFill>
              </w:rPr>
              <w:t>出的范</w:t>
            </w:r>
            <w:r>
              <w:rPr>
                <w:rFonts w:hint="eastAsia" w:ascii="宋体" w:hAnsi="宋体" w:cs="宋体"/>
                <w:color w:val="000000" w:themeColor="text1"/>
                <w:kern w:val="0"/>
                <w:szCs w:val="21"/>
                <w14:textFill>
                  <w14:solidFill>
                    <w14:schemeClr w14:val="tx1"/>
                  </w14:solidFill>
                </w14:textFill>
              </w:rPr>
              <w:t>围</w:t>
            </w:r>
            <w:r>
              <w:rPr>
                <w:rFonts w:hint="eastAsia" w:ascii="宋体" w:hAnsi="宋体" w:cs="HiddenHorzOCR"/>
                <w:color w:val="000000" w:themeColor="text1"/>
                <w:kern w:val="0"/>
                <w:szCs w:val="21"/>
                <w14:textFill>
                  <w14:solidFill>
                    <w14:schemeClr w14:val="tx1"/>
                  </w14:solidFill>
                </w14:textFill>
              </w:rPr>
              <w:t>及数量</w:t>
            </w:r>
          </w:p>
        </w:tc>
      </w:tr>
      <w:tr w14:paraId="476B3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4" w:type="dxa"/>
          <w:trHeight w:val="340" w:hRule="atLeast"/>
          <w:jc w:val="center"/>
        </w:trPr>
        <w:tc>
          <w:tcPr>
            <w:tcW w:w="1056" w:type="dxa"/>
            <w:vMerge w:val="continue"/>
            <w:noWrap w:val="0"/>
            <w:vAlign w:val="center"/>
          </w:tcPr>
          <w:p w14:paraId="1E288DFA">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1863" w:type="dxa"/>
            <w:vMerge w:val="continue"/>
            <w:noWrap w:val="0"/>
            <w:vAlign w:val="center"/>
          </w:tcPr>
          <w:p w14:paraId="1726DC9E">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p>
        </w:tc>
        <w:tc>
          <w:tcPr>
            <w:tcW w:w="2433" w:type="dxa"/>
            <w:gridSpan w:val="2"/>
            <w:noWrap w:val="0"/>
            <w:vAlign w:val="center"/>
          </w:tcPr>
          <w:p w14:paraId="2B6C88F8">
            <w:pPr>
              <w:autoSpaceDE w:val="0"/>
              <w:autoSpaceDN w:val="0"/>
              <w:spacing w:line="360" w:lineRule="auto"/>
              <w:jc w:val="center"/>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其它明确否决的投标条款</w:t>
            </w:r>
          </w:p>
        </w:tc>
        <w:tc>
          <w:tcPr>
            <w:tcW w:w="4428" w:type="dxa"/>
            <w:noWrap w:val="0"/>
            <w:vAlign w:val="center"/>
          </w:tcPr>
          <w:p w14:paraId="2260C72E">
            <w:pPr>
              <w:autoSpaceDE w:val="0"/>
              <w:autoSpaceDN w:val="0"/>
              <w:spacing w:line="360" w:lineRule="auto"/>
              <w:jc w:val="left"/>
              <w:rPr>
                <w:rFonts w:ascii="宋体" w:hAnsi="宋体" w:cs="HiddenHorzOCR"/>
                <w:b/>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符合法律法规规章及招标文件相关要求</w:t>
            </w:r>
          </w:p>
        </w:tc>
      </w:tr>
      <w:tr w14:paraId="507D5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19" w:type="dxa"/>
            <w:gridSpan w:val="2"/>
            <w:noWrap w:val="0"/>
            <w:vAlign w:val="center"/>
          </w:tcPr>
          <w:p w14:paraId="775237AA">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条款号</w:t>
            </w:r>
          </w:p>
        </w:tc>
        <w:tc>
          <w:tcPr>
            <w:tcW w:w="2433" w:type="dxa"/>
            <w:gridSpan w:val="2"/>
            <w:noWrap w:val="0"/>
            <w:vAlign w:val="center"/>
          </w:tcPr>
          <w:p w14:paraId="1585CA4C">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条款内容</w:t>
            </w:r>
          </w:p>
        </w:tc>
        <w:tc>
          <w:tcPr>
            <w:tcW w:w="4452" w:type="dxa"/>
            <w:gridSpan w:val="2"/>
            <w:noWrap w:val="0"/>
            <w:vAlign w:val="center"/>
          </w:tcPr>
          <w:p w14:paraId="7B4785C2">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编列内容</w:t>
            </w:r>
          </w:p>
        </w:tc>
      </w:tr>
      <w:tr w14:paraId="09033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19" w:type="dxa"/>
            <w:gridSpan w:val="2"/>
            <w:noWrap w:val="0"/>
            <w:vAlign w:val="center"/>
          </w:tcPr>
          <w:p w14:paraId="55B6FC61">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p>
          <w:p w14:paraId="2F1D12FB">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w:t>
            </w:r>
          </w:p>
          <w:p w14:paraId="70D5B017">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p>
        </w:tc>
        <w:tc>
          <w:tcPr>
            <w:tcW w:w="2433" w:type="dxa"/>
            <w:gridSpan w:val="2"/>
            <w:noWrap w:val="0"/>
            <w:vAlign w:val="center"/>
          </w:tcPr>
          <w:p w14:paraId="5AB97E6F">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分值构成</w:t>
            </w:r>
          </w:p>
          <w:p w14:paraId="3D350D10">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（总分100分）</w:t>
            </w:r>
          </w:p>
        </w:tc>
        <w:tc>
          <w:tcPr>
            <w:tcW w:w="4452" w:type="dxa"/>
            <w:gridSpan w:val="2"/>
            <w:noWrap w:val="0"/>
            <w:vAlign w:val="center"/>
          </w:tcPr>
          <w:p w14:paraId="2241C5A0">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w:t>
            </w:r>
            <w:r>
              <w:rPr>
                <w:rFonts w:hint="eastAsia" w:ascii="宋体" w:hAnsi="宋体" w:cs="宋体"/>
                <w:color w:val="000000" w:themeColor="text1"/>
                <w:lang w:val="en-US" w:eastAsia="zh-CN"/>
                <w14:textFill>
                  <w14:solidFill>
                    <w14:schemeClr w14:val="tx1"/>
                  </w14:solidFill>
                </w14:textFill>
              </w:rPr>
              <w:t>40</w:t>
            </w:r>
            <w:r>
              <w:rPr>
                <w:rFonts w:hint="eastAsia" w:ascii="宋体" w:hAnsi="宋体" w:cs="宋体"/>
                <w:color w:val="000000" w:themeColor="text1"/>
                <w14:textFill>
                  <w14:solidFill>
                    <w14:schemeClr w14:val="tx1"/>
                  </w14:solidFill>
                </w14:textFill>
              </w:rPr>
              <w:t>分</w:t>
            </w:r>
          </w:p>
          <w:p w14:paraId="787435A3">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技术部分</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60</w:t>
            </w:r>
            <w:r>
              <w:rPr>
                <w:rFonts w:hint="eastAsia" w:ascii="宋体" w:hAnsi="宋体" w:cs="宋体"/>
                <w:color w:val="000000" w:themeColor="text1"/>
                <w14:textFill>
                  <w14:solidFill>
                    <w14:schemeClr w14:val="tx1"/>
                  </w14:solidFill>
                </w14:textFill>
              </w:rPr>
              <w:t>分</w:t>
            </w:r>
          </w:p>
        </w:tc>
      </w:tr>
      <w:tr w14:paraId="7A943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2919" w:type="dxa"/>
            <w:gridSpan w:val="2"/>
            <w:noWrap w:val="0"/>
            <w:vAlign w:val="center"/>
          </w:tcPr>
          <w:p w14:paraId="76175237">
            <w:pPr>
              <w:autoSpaceDE w:val="0"/>
              <w:autoSpaceDN w:val="0"/>
              <w:adjustRightInd w:val="0"/>
              <w:spacing w:line="320" w:lineRule="exact"/>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lang w:val="en-US" w:eastAsia="zh-CN"/>
                <w14:textFill>
                  <w14:solidFill>
                    <w14:schemeClr w14:val="tx1"/>
                  </w14:solidFill>
                </w14:textFill>
              </w:rPr>
              <w:t>2</w:t>
            </w:r>
          </w:p>
        </w:tc>
        <w:tc>
          <w:tcPr>
            <w:tcW w:w="2433" w:type="dxa"/>
            <w:gridSpan w:val="2"/>
            <w:noWrap w:val="0"/>
            <w:vAlign w:val="center"/>
          </w:tcPr>
          <w:p w14:paraId="701CC7AF">
            <w:pPr>
              <w:autoSpaceDE w:val="0"/>
              <w:autoSpaceDN w:val="0"/>
              <w:adjustRightInd w:val="0"/>
              <w:jc w:val="center"/>
              <w:rPr>
                <w:rFonts w:hint="eastAsia" w:ascii="宋体" w:hAns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评标基准价</w:t>
            </w:r>
            <w:r>
              <w:rPr>
                <w:rFonts w:hint="eastAsia" w:ascii="宋体" w:hAnsi="宋体" w:cs="宋体"/>
                <w:color w:val="000000" w:themeColor="text1"/>
                <w:kern w:val="0"/>
                <w:szCs w:val="21"/>
                <w14:textFill>
                  <w14:solidFill>
                    <w14:schemeClr w14:val="tx1"/>
                  </w14:solidFill>
                </w14:textFill>
              </w:rPr>
              <w:t>计</w:t>
            </w:r>
            <w:r>
              <w:rPr>
                <w:rFonts w:hint="eastAsia" w:ascii="宋体" w:hAnsi="宋体" w:cs="HiddenHorzOCR"/>
                <w:color w:val="000000" w:themeColor="text1"/>
                <w:kern w:val="0"/>
                <w:szCs w:val="21"/>
                <w14:textFill>
                  <w14:solidFill>
                    <w14:schemeClr w14:val="tx1"/>
                  </w14:solidFill>
                </w14:textFill>
              </w:rPr>
              <w:t>算</w:t>
            </w:r>
          </w:p>
        </w:tc>
        <w:tc>
          <w:tcPr>
            <w:tcW w:w="4452" w:type="dxa"/>
            <w:gridSpan w:val="2"/>
            <w:noWrap w:val="0"/>
            <w:vAlign w:val="center"/>
          </w:tcPr>
          <w:p w14:paraId="53C0A3C0">
            <w:pPr>
              <w:autoSpaceDE w:val="0"/>
              <w:autoSpaceDN w:val="0"/>
              <w:adjustRightInd w:val="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当投标人个数≥5时，评标基准价为：</w:t>
            </w:r>
            <w:r>
              <w:rPr>
                <w:rFonts w:hint="eastAsia" w:ascii="宋体" w:hAnsi="宋体"/>
                <w:color w:val="000000" w:themeColor="text1"/>
                <w:szCs w:val="21"/>
                <w14:textFill>
                  <w14:solidFill>
                    <w14:schemeClr w14:val="tx1"/>
                  </w14:solidFill>
                </w14:textFill>
              </w:rPr>
              <w:t>所有投标人报价中去掉一个最高报价、去掉一个最低报价后的算术平均值；</w:t>
            </w:r>
          </w:p>
          <w:p w14:paraId="08F4C938">
            <w:pPr>
              <w:autoSpaceDE w:val="0"/>
              <w:autoSpaceDN w:val="0"/>
              <w:adjustRightInd w:val="0"/>
              <w:spacing w:line="36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（b）</w:t>
            </w:r>
            <w:r>
              <w:rPr>
                <w:rFonts w:hint="eastAsia" w:ascii="宋体" w:hAnsi="宋体"/>
                <w:b/>
                <w:color w:val="000000" w:themeColor="text1"/>
                <w:szCs w:val="21"/>
                <w14:textFill>
                  <w14:solidFill>
                    <w14:schemeClr w14:val="tx1"/>
                  </w14:solidFill>
                </w14:textFill>
              </w:rPr>
              <w:t>当投标人个数＜5时，评标基准价为：</w:t>
            </w:r>
            <w:r>
              <w:rPr>
                <w:rFonts w:hint="eastAsia" w:ascii="宋体" w:hAnsi="宋体"/>
                <w:color w:val="000000" w:themeColor="text1"/>
                <w:szCs w:val="21"/>
                <w14:textFill>
                  <w14:solidFill>
                    <w14:schemeClr w14:val="tx1"/>
                  </w14:solidFill>
                </w14:textFill>
              </w:rPr>
              <w:t>所有投标人的投标报价算术平均值；</w:t>
            </w:r>
          </w:p>
        </w:tc>
      </w:tr>
      <w:tr w14:paraId="0AD9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2919" w:type="dxa"/>
            <w:gridSpan w:val="2"/>
            <w:noWrap w:val="0"/>
            <w:vAlign w:val="center"/>
          </w:tcPr>
          <w:p w14:paraId="7F2BE7EC">
            <w:pPr>
              <w:autoSpaceDE w:val="0"/>
              <w:autoSpaceDN w:val="0"/>
              <w:adjustRightInd w:val="0"/>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2.2.4</w:t>
            </w:r>
          </w:p>
        </w:tc>
        <w:tc>
          <w:tcPr>
            <w:tcW w:w="2433" w:type="dxa"/>
            <w:gridSpan w:val="2"/>
            <w:noWrap w:val="0"/>
            <w:vAlign w:val="center"/>
          </w:tcPr>
          <w:p w14:paraId="5884A67E">
            <w:pPr>
              <w:autoSpaceDE w:val="0"/>
              <w:autoSpaceDN w:val="0"/>
              <w:adjustRightInd w:val="0"/>
              <w:jc w:val="center"/>
              <w:rPr>
                <w:rFonts w:hint="eastAsia" w:ascii="宋体" w:hAnsi="宋体" w:eastAsia="宋体" w:cs="HiddenHorzOCR"/>
                <w:color w:val="000000" w:themeColor="text1"/>
                <w:kern w:val="0"/>
                <w:sz w:val="21"/>
                <w:szCs w:val="21"/>
                <w:lang w:val="en-US" w:eastAsia="zh-CN" w:bidi="ar-SA"/>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评标办法</w:t>
            </w:r>
          </w:p>
        </w:tc>
        <w:tc>
          <w:tcPr>
            <w:tcW w:w="4452" w:type="dxa"/>
            <w:gridSpan w:val="2"/>
            <w:noWrap w:val="0"/>
            <w:vAlign w:val="center"/>
          </w:tcPr>
          <w:p w14:paraId="669C519D">
            <w:pPr>
              <w:autoSpaceDE w:val="0"/>
              <w:autoSpaceDN w:val="0"/>
              <w:adjustRightInd w:val="0"/>
              <w:spacing w:line="3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a、本次招标评标采用综合评分法，包括商务和技术两部分；</w:t>
            </w:r>
          </w:p>
          <w:p w14:paraId="57403199">
            <w:pPr>
              <w:autoSpaceDE w:val="0"/>
              <w:autoSpaceDN w:val="0"/>
              <w:adjustRightInd w:val="0"/>
              <w:spacing w:line="320" w:lineRule="exact"/>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b、本次招标采用招标控制价，投标总报价高于拦标价的否决其投标。</w:t>
            </w:r>
          </w:p>
        </w:tc>
      </w:tr>
      <w:tr w14:paraId="33C5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exact"/>
          <w:jc w:val="center"/>
        </w:trPr>
        <w:tc>
          <w:tcPr>
            <w:tcW w:w="2919" w:type="dxa"/>
            <w:gridSpan w:val="2"/>
            <w:noWrap w:val="0"/>
            <w:vAlign w:val="center"/>
          </w:tcPr>
          <w:p w14:paraId="72E4C31E">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条款号</w:t>
            </w:r>
          </w:p>
        </w:tc>
        <w:tc>
          <w:tcPr>
            <w:tcW w:w="2433" w:type="dxa"/>
            <w:gridSpan w:val="2"/>
            <w:noWrap w:val="0"/>
            <w:vAlign w:val="center"/>
          </w:tcPr>
          <w:p w14:paraId="05E92761">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评分因素</w:t>
            </w:r>
          </w:p>
        </w:tc>
        <w:tc>
          <w:tcPr>
            <w:tcW w:w="4452" w:type="dxa"/>
            <w:gridSpan w:val="2"/>
            <w:noWrap w:val="0"/>
            <w:vAlign w:val="center"/>
          </w:tcPr>
          <w:p w14:paraId="69A4E031">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评分标准</w:t>
            </w:r>
          </w:p>
        </w:tc>
      </w:tr>
      <w:tr w14:paraId="62CA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2919" w:type="dxa"/>
            <w:gridSpan w:val="2"/>
            <w:noWrap w:val="0"/>
            <w:vAlign w:val="center"/>
          </w:tcPr>
          <w:p w14:paraId="04A5963D">
            <w:pPr>
              <w:autoSpaceDE w:val="0"/>
              <w:autoSpaceDN w:val="0"/>
              <w:adjustRightInd w:val="0"/>
              <w:spacing w:line="320" w:lineRule="exact"/>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lang w:val="en-US" w:eastAsia="zh-CN"/>
                <w14:textFill>
                  <w14:solidFill>
                    <w14:schemeClr w14:val="tx1"/>
                  </w14:solidFill>
                </w14:textFill>
              </w:rPr>
              <w:t>5</w:t>
            </w:r>
          </w:p>
        </w:tc>
        <w:tc>
          <w:tcPr>
            <w:tcW w:w="919" w:type="dxa"/>
            <w:noWrap w:val="0"/>
            <w:vAlign w:val="center"/>
          </w:tcPr>
          <w:p w14:paraId="417DFF14">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投标报价评分标准</w:t>
            </w:r>
            <w:r>
              <w:rPr>
                <w:rFonts w:hint="eastAsia" w:ascii="宋体" w:hAnsi="宋体" w:cs="宋体"/>
                <w:color w:val="000000" w:themeColor="text1"/>
                <w:lang w:val="en-US" w:eastAsia="zh-CN"/>
                <w14:textFill>
                  <w14:solidFill>
                    <w14:schemeClr w14:val="tx1"/>
                  </w14:solidFill>
                </w14:textFill>
              </w:rPr>
              <w:t>A</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40</w:t>
            </w:r>
            <w:r>
              <w:rPr>
                <w:rFonts w:hint="eastAsia" w:ascii="宋体" w:hAnsi="宋体" w:cs="宋体"/>
                <w:color w:val="000000" w:themeColor="text1"/>
                <w14:textFill>
                  <w14:solidFill>
                    <w14:schemeClr w14:val="tx1"/>
                  </w14:solidFill>
                </w14:textFill>
              </w:rPr>
              <w:t>分）</w:t>
            </w:r>
          </w:p>
        </w:tc>
        <w:tc>
          <w:tcPr>
            <w:tcW w:w="1514" w:type="dxa"/>
            <w:noWrap w:val="0"/>
            <w:vAlign w:val="center"/>
          </w:tcPr>
          <w:p w14:paraId="2E97D7CF">
            <w:pPr>
              <w:autoSpaceDE w:val="0"/>
              <w:autoSpaceDN w:val="0"/>
              <w:adjustRightInd w:val="0"/>
              <w:spacing w:line="32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投标总报价</w:t>
            </w:r>
          </w:p>
        </w:tc>
        <w:tc>
          <w:tcPr>
            <w:tcW w:w="4452" w:type="dxa"/>
            <w:gridSpan w:val="2"/>
            <w:noWrap w:val="0"/>
            <w:vAlign w:val="center"/>
          </w:tcPr>
          <w:p w14:paraId="4B6D6629">
            <w:pPr>
              <w:spacing w:line="320" w:lineRule="exact"/>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满分</w:t>
            </w:r>
            <w:r>
              <w:rPr>
                <w:rFonts w:hint="eastAsia" w:ascii="宋体" w:hAnsi="宋体" w:cs="宋体"/>
                <w:color w:val="000000" w:themeColor="text1"/>
                <w:lang w:val="en-US" w:eastAsia="zh-CN"/>
                <w14:textFill>
                  <w14:solidFill>
                    <w14:schemeClr w14:val="tx1"/>
                  </w14:solidFill>
                </w14:textFill>
              </w:rPr>
              <w:t>40</w:t>
            </w:r>
            <w:r>
              <w:rPr>
                <w:rFonts w:hint="eastAsia" w:ascii="宋体" w:hAnsi="宋体" w:cs="宋体"/>
                <w:color w:val="000000" w:themeColor="text1"/>
                <w14:textFill>
                  <w14:solidFill>
                    <w14:schemeClr w14:val="tx1"/>
                  </w14:solidFill>
                </w14:textFill>
              </w:rPr>
              <w:t>分</w:t>
            </w:r>
          </w:p>
          <w:p w14:paraId="213C0A8D">
            <w:p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投标总报价说明：</w:t>
            </w:r>
          </w:p>
          <w:p w14:paraId="6AC9303F">
            <w:pPr>
              <w:spacing w:line="32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一、投标人的投标总报价指经评标委员会评审，满足初步评审要求的投标文件投标函中的文字报价（包括按招标文件要求进行算术修正后的报价，若评标过程中投标文件为无效标的，其投标总报价不参与计算，投标文件不参加评审）。</w:t>
            </w:r>
          </w:p>
          <w:p w14:paraId="14915B8A">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二、投标总报价得分计算公式：</w:t>
            </w:r>
          </w:p>
          <w:p w14:paraId="1573DB09">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w:t>
            </w:r>
            <w:r>
              <w:rPr>
                <w:rFonts w:hint="eastAsia" w:ascii="宋体" w:hAnsi="宋体" w:cs="宋体"/>
                <w:color w:val="000000" w:themeColor="text1"/>
                <w14:textFill>
                  <w14:solidFill>
                    <w14:schemeClr w14:val="tx1"/>
                  </w14:solidFill>
                </w14:textFill>
              </w:rPr>
              <w:t>投标</w:t>
            </w:r>
            <w:r>
              <w:rPr>
                <w:rFonts w:hint="eastAsia" w:ascii="宋体" w:hAnsi="宋体"/>
                <w:color w:val="000000" w:themeColor="text1"/>
                <w:szCs w:val="21"/>
                <w14:textFill>
                  <w14:solidFill>
                    <w14:schemeClr w14:val="tx1"/>
                  </w14:solidFill>
                </w14:textFill>
              </w:rPr>
              <w:t>报价等于</w:t>
            </w:r>
            <w:r>
              <w:rPr>
                <w:rFonts w:hint="eastAsia" w:ascii="宋体" w:hAnsi="宋体"/>
                <w:b/>
                <w:color w:val="000000" w:themeColor="text1"/>
                <w:szCs w:val="21"/>
                <w14:textFill>
                  <w14:solidFill>
                    <w14:schemeClr w14:val="tx1"/>
                  </w14:solidFill>
                </w14:textFill>
              </w:rPr>
              <w:t>评标指标价</w:t>
            </w:r>
            <w:r>
              <w:rPr>
                <w:rFonts w:hint="eastAsia" w:ascii="宋体" w:hAnsi="宋体"/>
                <w:color w:val="000000" w:themeColor="text1"/>
                <w:szCs w:val="21"/>
                <w14:textFill>
                  <w14:solidFill>
                    <w14:schemeClr w14:val="tx1"/>
                  </w14:solidFill>
                </w14:textFill>
              </w:rPr>
              <w:t>时得满分；投标报价与评标指标价相比每向上浮动1%扣0.</w:t>
            </w: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分或每向下浮动1%扣 0.</w:t>
            </w: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分，分值扣完为止。</w:t>
            </w:r>
          </w:p>
          <w:p w14:paraId="18206618">
            <w:pP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投标总报价得分由评标工作人员计算，由评委复核</w:t>
            </w:r>
            <w:r>
              <w:rPr>
                <w:rFonts w:hint="eastAsia" w:ascii="宋体" w:hAnsi="宋体" w:cs="宋体"/>
                <w:color w:val="000000" w:themeColor="text1"/>
                <w:lang w:eastAsia="zh-CN"/>
                <w14:textFill>
                  <w14:solidFill>
                    <w14:schemeClr w14:val="tx1"/>
                  </w14:solidFill>
                </w14:textFill>
              </w:rPr>
              <w:t>；</w:t>
            </w:r>
          </w:p>
        </w:tc>
      </w:tr>
      <w:tr w14:paraId="4A43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gridSpan w:val="2"/>
            <w:noWrap w:val="0"/>
            <w:vAlign w:val="center"/>
          </w:tcPr>
          <w:p w14:paraId="245C4277">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条款号</w:t>
            </w:r>
          </w:p>
        </w:tc>
        <w:tc>
          <w:tcPr>
            <w:tcW w:w="2433" w:type="dxa"/>
            <w:gridSpan w:val="2"/>
            <w:noWrap w:val="0"/>
            <w:vAlign w:val="center"/>
          </w:tcPr>
          <w:p w14:paraId="6694C2C9">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r>
              <w:rPr>
                <w:rFonts w:hint="eastAsia" w:ascii="宋体" w:hAnsi="宋体" w:cs="宋体"/>
                <w:color w:val="000000" w:themeColor="text1"/>
                <w14:textFill>
                  <w14:solidFill>
                    <w14:schemeClr w14:val="tx1"/>
                  </w14:solidFill>
                </w14:textFill>
              </w:rPr>
              <w:t>评分因素</w:t>
            </w:r>
          </w:p>
        </w:tc>
        <w:tc>
          <w:tcPr>
            <w:tcW w:w="4452" w:type="dxa"/>
            <w:gridSpan w:val="2"/>
            <w:noWrap w:val="0"/>
            <w:vAlign w:val="center"/>
          </w:tcPr>
          <w:p w14:paraId="79571F91">
            <w:pPr>
              <w:autoSpaceDE w:val="0"/>
              <w:autoSpaceDN w:val="0"/>
              <w:adjustRightInd w:val="0"/>
              <w:spacing w:line="320" w:lineRule="exact"/>
              <w:rPr>
                <w:rFonts w:ascii="宋体" w:hAnsi="宋体" w:cs="HiddenHorzOCR"/>
                <w:color w:val="000000" w:themeColor="text1"/>
                <w:kern w:val="0"/>
                <w:szCs w:val="21"/>
                <w14:textFill>
                  <w14:solidFill>
                    <w14:schemeClr w14:val="tx1"/>
                  </w14:solidFill>
                </w14:textFill>
              </w:rPr>
            </w:pPr>
            <w:r>
              <w:rPr>
                <w:rFonts w:hint="eastAsia" w:ascii="宋体" w:hAnsi="宋体" w:cs="宋体"/>
                <w:color w:val="000000" w:themeColor="text1"/>
                <w14:textFill>
                  <w14:solidFill>
                    <w14:schemeClr w14:val="tx1"/>
                  </w14:solidFill>
                </w14:textFill>
              </w:rPr>
              <w:t>评分标准</w:t>
            </w:r>
          </w:p>
        </w:tc>
      </w:tr>
      <w:tr w14:paraId="278A9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056" w:type="dxa"/>
            <w:vMerge w:val="restart"/>
            <w:noWrap w:val="0"/>
            <w:vAlign w:val="center"/>
          </w:tcPr>
          <w:p w14:paraId="28758F5D">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2.2.4(</w:t>
            </w:r>
            <w:r>
              <w:rPr>
                <w:rFonts w:hint="eastAsia" w:ascii="宋体" w:hAnsi="宋体" w:cs="HiddenHorzOCR"/>
                <w:color w:val="000000" w:themeColor="text1"/>
                <w:kern w:val="0"/>
                <w:szCs w:val="21"/>
                <w:lang w:val="en-US" w:eastAsia="zh-CN"/>
                <w14:textFill>
                  <w14:solidFill>
                    <w14:schemeClr w14:val="tx1"/>
                  </w14:solidFill>
                </w14:textFill>
              </w:rPr>
              <w:t>2</w:t>
            </w:r>
            <w:r>
              <w:rPr>
                <w:rFonts w:hint="eastAsia" w:ascii="宋体" w:hAnsi="宋体" w:cs="HiddenHorzOCR"/>
                <w:color w:val="000000" w:themeColor="text1"/>
                <w:kern w:val="0"/>
                <w:szCs w:val="21"/>
                <w14:textFill>
                  <w14:solidFill>
                    <w14:schemeClr w14:val="tx1"/>
                  </w14:solidFill>
                </w14:textFill>
              </w:rPr>
              <w:t>)</w:t>
            </w:r>
          </w:p>
        </w:tc>
        <w:tc>
          <w:tcPr>
            <w:tcW w:w="1863" w:type="dxa"/>
            <w:vMerge w:val="restart"/>
            <w:noWrap w:val="0"/>
            <w:vAlign w:val="center"/>
          </w:tcPr>
          <w:p w14:paraId="14E0FE95">
            <w:pPr>
              <w:autoSpaceDE w:val="0"/>
              <w:autoSpaceDN w:val="0"/>
              <w:adjustRightInd w:val="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技术部分B</w:t>
            </w:r>
            <w:r>
              <w:rPr>
                <w:rFonts w:hint="eastAsia" w:eastAsia="仿宋_GB2312"/>
                <w:bCs/>
                <w:color w:val="000000" w:themeColor="text1"/>
                <w:szCs w:val="21"/>
                <w14:textFill>
                  <w14:solidFill>
                    <w14:schemeClr w14:val="tx1"/>
                  </w14:solidFill>
                </w14:textFill>
              </w:rPr>
              <w:t>（</w:t>
            </w:r>
            <w:r>
              <w:rPr>
                <w:rFonts w:hint="eastAsia" w:eastAsia="仿宋_GB2312"/>
                <w:bCs/>
                <w:color w:val="000000" w:themeColor="text1"/>
                <w:szCs w:val="21"/>
                <w:lang w:val="en-US" w:eastAsia="zh-CN"/>
                <w14:textFill>
                  <w14:solidFill>
                    <w14:schemeClr w14:val="tx1"/>
                  </w14:solidFill>
                </w14:textFill>
              </w:rPr>
              <w:t>60</w:t>
            </w:r>
            <w:r>
              <w:rPr>
                <w:rFonts w:hint="eastAsia" w:eastAsia="仿宋_GB2312"/>
                <w:bCs/>
                <w:color w:val="000000" w:themeColor="text1"/>
                <w:szCs w:val="21"/>
                <w14:textFill>
                  <w14:solidFill>
                    <w14:schemeClr w14:val="tx1"/>
                  </w14:solidFill>
                </w14:textFill>
              </w:rPr>
              <w:t>分）</w:t>
            </w:r>
          </w:p>
        </w:tc>
        <w:tc>
          <w:tcPr>
            <w:tcW w:w="2433" w:type="dxa"/>
            <w:gridSpan w:val="2"/>
            <w:noWrap w:val="0"/>
            <w:vAlign w:val="center"/>
          </w:tcPr>
          <w:p w14:paraId="281B5A22">
            <w:pPr>
              <w:autoSpaceDE w:val="0"/>
              <w:autoSpaceDN w:val="0"/>
              <w:adjustRightInd w:val="0"/>
              <w:spacing w:line="260" w:lineRule="exact"/>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施工</w:t>
            </w:r>
            <w:r>
              <w:rPr>
                <w:rFonts w:hint="eastAsia" w:ascii="宋体" w:hAnsi="宋体" w:cs="宋体"/>
                <w:color w:val="000000" w:themeColor="text1"/>
                <w:lang w:val="en-US" w:eastAsia="zh-CN"/>
                <w14:textFill>
                  <w14:solidFill>
                    <w14:schemeClr w14:val="tx1"/>
                  </w14:solidFill>
                </w14:textFill>
              </w:rPr>
              <w:t>方案与技术措施</w:t>
            </w:r>
          </w:p>
          <w:p w14:paraId="23FAB3D6">
            <w:pPr>
              <w:autoSpaceDE w:val="0"/>
              <w:autoSpaceDN w:val="0"/>
              <w:adjustRightInd w:val="0"/>
              <w:spacing w:line="260" w:lineRule="exact"/>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15分</w:t>
            </w:r>
            <w:r>
              <w:rPr>
                <w:rFonts w:hint="eastAsia" w:ascii="宋体" w:hAnsi="宋体" w:cs="宋体"/>
                <w:color w:val="000000" w:themeColor="text1"/>
                <w:lang w:eastAsia="zh-CN"/>
                <w14:textFill>
                  <w14:solidFill>
                    <w14:schemeClr w14:val="tx1"/>
                  </w14:solidFill>
                </w14:textFill>
              </w:rPr>
              <w:t>）</w:t>
            </w:r>
          </w:p>
        </w:tc>
        <w:tc>
          <w:tcPr>
            <w:tcW w:w="4452" w:type="dxa"/>
            <w:gridSpan w:val="2"/>
            <w:noWrap w:val="0"/>
            <w:vAlign w:val="center"/>
          </w:tcPr>
          <w:p w14:paraId="107C29C6">
            <w:pPr>
              <w:autoSpaceDE w:val="0"/>
              <w:autoSpaceDN w:val="0"/>
              <w:adjustRightInd w:val="0"/>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满分</w:t>
            </w:r>
            <w:r>
              <w:rPr>
                <w:rFonts w:hint="eastAsia" w:ascii="宋体" w:hAnsi="宋体" w:cs="宋体"/>
                <w:color w:val="000000" w:themeColor="text1"/>
                <w:lang w:val="en-US" w:eastAsia="zh-CN"/>
                <w14:textFill>
                  <w14:solidFill>
                    <w14:schemeClr w14:val="tx1"/>
                  </w14:solidFill>
                </w14:textFill>
              </w:rPr>
              <w:t>15</w:t>
            </w:r>
            <w:r>
              <w:rPr>
                <w:rFonts w:hint="eastAsia" w:ascii="宋体" w:hAnsi="宋体" w:cs="宋体"/>
                <w:color w:val="000000" w:themeColor="text1"/>
                <w14:textFill>
                  <w14:solidFill>
                    <w14:schemeClr w14:val="tx1"/>
                  </w14:solidFill>
                </w14:textFill>
              </w:rPr>
              <w:t>分</w:t>
            </w:r>
          </w:p>
          <w:p w14:paraId="653A077B">
            <w:pPr>
              <w:autoSpaceDE w:val="0"/>
              <w:autoSpaceDN w:val="0"/>
              <w:adjustRightInd w:val="0"/>
              <w:spacing w:line="3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施工技术方案合理且能指导施工，施工措施具体且有针对性，施工部署全面, 施工主要工序阐述明细、全面、合理、主要工种施工方法得当，对招标项目的关键技术、工艺是明确、深入的表述，对施工重点、难点有合理、经济的解决方案和可行保证措施，工序搭配逻辑关系和关键线路清晰、合理，有针对工程实际。</w:t>
            </w:r>
          </w:p>
          <w:p w14:paraId="7EC01C40">
            <w:pPr>
              <w:autoSpaceDE w:val="0"/>
              <w:autoSpaceDN w:val="0"/>
              <w:adjustRightInd w:val="0"/>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1</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上述内容全面、完整、针对性强的得</w:t>
            </w:r>
            <w:r>
              <w:rPr>
                <w:rFonts w:hint="eastAsia" w:ascii="宋体" w:hAnsi="宋体" w:cs="宋体"/>
                <w:color w:val="000000" w:themeColor="text1"/>
                <w:lang w:val="en-US" w:eastAsia="zh-CN"/>
                <w14:textFill>
                  <w14:solidFill>
                    <w14:schemeClr w14:val="tx1"/>
                  </w14:solidFill>
                </w14:textFill>
              </w:rPr>
              <w:t>12-15</w:t>
            </w:r>
            <w:r>
              <w:rPr>
                <w:rFonts w:hint="eastAsia" w:ascii="宋体" w:hAnsi="宋体" w:cs="宋体"/>
                <w:color w:val="000000" w:themeColor="text1"/>
                <w14:textFill>
                  <w14:solidFill>
                    <w14:schemeClr w14:val="tx1"/>
                  </w14:solidFill>
                </w14:textFill>
              </w:rPr>
              <w:t>分；</w:t>
            </w:r>
          </w:p>
          <w:p w14:paraId="6CB0FC63">
            <w:pPr>
              <w:autoSpaceDE w:val="0"/>
              <w:autoSpaceDN w:val="0"/>
              <w:adjustRightInd w:val="0"/>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2</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上述内容全面、完整、但针对性一般的得</w:t>
            </w:r>
            <w:r>
              <w:rPr>
                <w:rFonts w:hint="eastAsia" w:ascii="宋体" w:hAnsi="宋体" w:cs="宋体"/>
                <w:color w:val="000000" w:themeColor="text1"/>
                <w:lang w:val="en-US" w:eastAsia="zh-CN"/>
                <w14:textFill>
                  <w14:solidFill>
                    <w14:schemeClr w14:val="tx1"/>
                  </w14:solidFill>
                </w14:textFill>
              </w:rPr>
              <w:t>8-11</w:t>
            </w:r>
            <w:r>
              <w:rPr>
                <w:rFonts w:hint="eastAsia" w:ascii="宋体" w:hAnsi="宋体" w:cs="宋体"/>
                <w:color w:val="000000" w:themeColor="text1"/>
                <w14:textFill>
                  <w14:solidFill>
                    <w14:schemeClr w14:val="tx1"/>
                  </w14:solidFill>
                </w14:textFill>
              </w:rPr>
              <w:t>分；</w:t>
            </w:r>
          </w:p>
          <w:p w14:paraId="27E19E18">
            <w:pPr>
              <w:autoSpaceDE w:val="0"/>
              <w:autoSpaceDN w:val="0"/>
              <w:adjustRightInd w:val="0"/>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3</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上述内容有漏洞且针对性一般的得</w:t>
            </w:r>
            <w:r>
              <w:rPr>
                <w:rFonts w:hint="eastAsia" w:ascii="宋体" w:hAnsi="宋体" w:cs="宋体"/>
                <w:color w:val="000000" w:themeColor="text1"/>
                <w:lang w:val="en-US" w:eastAsia="zh-CN"/>
                <w14:textFill>
                  <w14:solidFill>
                    <w14:schemeClr w14:val="tx1"/>
                  </w14:solidFill>
                </w14:textFill>
              </w:rPr>
              <w:t>1-7</w:t>
            </w:r>
            <w:r>
              <w:rPr>
                <w:rFonts w:hint="eastAsia" w:ascii="宋体" w:hAnsi="宋体" w:cs="宋体"/>
                <w:color w:val="000000" w:themeColor="text1"/>
                <w14:textFill>
                  <w14:solidFill>
                    <w14:schemeClr w14:val="tx1"/>
                  </w14:solidFill>
                </w14:textFill>
              </w:rPr>
              <w:t>分；</w:t>
            </w:r>
          </w:p>
          <w:p w14:paraId="39BA2A63">
            <w:pPr>
              <w:autoSpaceDE w:val="0"/>
              <w:autoSpaceDN w:val="0"/>
              <w:adjustRightInd w:val="0"/>
              <w:spacing w:line="320" w:lineRule="exact"/>
              <w:rPr>
                <w:rFonts w:hint="eastAsia"/>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4</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无上述内容或有明显错误不响应招标文件的，没有施工技术方案的不得分。</w:t>
            </w:r>
          </w:p>
        </w:tc>
      </w:tr>
      <w:tr w14:paraId="00B3E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1056" w:type="dxa"/>
            <w:vMerge w:val="continue"/>
            <w:noWrap w:val="0"/>
            <w:vAlign w:val="center"/>
          </w:tcPr>
          <w:p w14:paraId="4D75D90D">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p>
        </w:tc>
        <w:tc>
          <w:tcPr>
            <w:tcW w:w="1863" w:type="dxa"/>
            <w:vMerge w:val="continue"/>
            <w:noWrap w:val="0"/>
            <w:vAlign w:val="center"/>
          </w:tcPr>
          <w:p w14:paraId="04A05D04">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p>
        </w:tc>
        <w:tc>
          <w:tcPr>
            <w:tcW w:w="2433" w:type="dxa"/>
            <w:gridSpan w:val="2"/>
            <w:noWrap w:val="0"/>
            <w:vAlign w:val="center"/>
          </w:tcPr>
          <w:p w14:paraId="2069B3FA">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质量</w:t>
            </w:r>
            <w:r>
              <w:rPr>
                <w:rFonts w:hint="eastAsia" w:ascii="宋体" w:hAnsi="宋体" w:cs="宋体"/>
                <w:color w:val="000000" w:themeColor="text1"/>
                <w:lang w:val="en-US" w:eastAsia="zh-CN"/>
                <w14:textFill>
                  <w14:solidFill>
                    <w14:schemeClr w14:val="tx1"/>
                  </w14:solidFill>
                </w14:textFill>
              </w:rPr>
              <w:t>管理体系与</w:t>
            </w:r>
            <w:r>
              <w:rPr>
                <w:rFonts w:hint="eastAsia" w:ascii="宋体" w:hAnsi="宋体" w:cs="宋体"/>
                <w:color w:val="000000" w:themeColor="text1"/>
                <w14:textFill>
                  <w14:solidFill>
                    <w14:schemeClr w14:val="tx1"/>
                  </w14:solidFill>
                </w14:textFill>
              </w:rPr>
              <w:t>措施</w:t>
            </w:r>
          </w:p>
          <w:p w14:paraId="75B54E6D">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11分</w:t>
            </w:r>
            <w:r>
              <w:rPr>
                <w:rFonts w:hint="eastAsia" w:ascii="宋体" w:hAnsi="宋体" w:cs="宋体"/>
                <w:color w:val="000000" w:themeColor="text1"/>
                <w:lang w:eastAsia="zh-CN"/>
                <w14:textFill>
                  <w14:solidFill>
                    <w14:schemeClr w14:val="tx1"/>
                  </w14:solidFill>
                </w14:textFill>
              </w:rPr>
              <w:t>）</w:t>
            </w:r>
          </w:p>
        </w:tc>
        <w:tc>
          <w:tcPr>
            <w:tcW w:w="4452" w:type="dxa"/>
            <w:gridSpan w:val="2"/>
            <w:noWrap w:val="0"/>
            <w:vAlign w:val="center"/>
          </w:tcPr>
          <w:p w14:paraId="2699DA65">
            <w:p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满分</w:t>
            </w:r>
            <w:r>
              <w:rPr>
                <w:rFonts w:hint="eastAsia" w:ascii="宋体" w:hAnsi="宋体" w:cs="宋体"/>
                <w:color w:val="000000" w:themeColor="text1"/>
                <w:lang w:val="en-US" w:eastAsia="zh-CN"/>
                <w14:textFill>
                  <w14:solidFill>
                    <w14:schemeClr w14:val="tx1"/>
                  </w14:solidFill>
                </w14:textFill>
              </w:rPr>
              <w:t>11</w:t>
            </w:r>
            <w:r>
              <w:rPr>
                <w:rFonts w:hint="eastAsia" w:ascii="宋体" w:hAnsi="宋体" w:cs="宋体"/>
                <w:color w:val="000000" w:themeColor="text1"/>
                <w14:textFill>
                  <w14:solidFill>
                    <w14:schemeClr w14:val="tx1"/>
                  </w14:solidFill>
                </w14:textFill>
              </w:rPr>
              <w:t>分</w:t>
            </w:r>
          </w:p>
          <w:p w14:paraId="0AADAC96">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（1）质量承诺满足招标文件且有具体的违约责任承诺，对工程质量保证措施有阐述的得</w:t>
            </w:r>
            <w:r>
              <w:rPr>
                <w:rFonts w:hint="eastAsia" w:ascii="宋体" w:hAnsi="宋体" w:cs="宋体"/>
                <w:color w:val="000000" w:themeColor="text1"/>
                <w:lang w:val="en-US" w:eastAsia="zh-CN"/>
                <w14:textFill>
                  <w14:solidFill>
                    <w14:schemeClr w14:val="tx1"/>
                  </w14:solidFill>
                </w14:textFill>
              </w:rPr>
              <w:t>7-11</w:t>
            </w:r>
            <w:r>
              <w:rPr>
                <w:rFonts w:hint="eastAsia" w:ascii="宋体" w:hAnsi="宋体" w:cs="宋体"/>
                <w:color w:val="000000" w:themeColor="text1"/>
                <w14:textFill>
                  <w14:solidFill>
                    <w14:schemeClr w14:val="tx1"/>
                  </w14:solidFill>
                </w14:textFill>
              </w:rPr>
              <w:t>分。</w:t>
            </w:r>
          </w:p>
          <w:p w14:paraId="608DC9AE">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（2）质量承诺满足招标文件且有具体的违约责任承诺，质量保证措施基本达到要求但存在一些问题的得</w:t>
            </w:r>
            <w:r>
              <w:rPr>
                <w:rFonts w:hint="eastAsia" w:ascii="宋体" w:hAnsi="宋体" w:cs="宋体"/>
                <w:color w:val="000000" w:themeColor="text1"/>
                <w:lang w:val="en-US" w:eastAsia="zh-CN"/>
                <w14:textFill>
                  <w14:solidFill>
                    <w14:schemeClr w14:val="tx1"/>
                  </w14:solidFill>
                </w14:textFill>
              </w:rPr>
              <w:t>1-6</w:t>
            </w:r>
            <w:r>
              <w:rPr>
                <w:rFonts w:hint="eastAsia" w:ascii="宋体" w:hAnsi="宋体" w:cs="宋体"/>
                <w:color w:val="000000" w:themeColor="text1"/>
                <w14:textFill>
                  <w14:solidFill>
                    <w14:schemeClr w14:val="tx1"/>
                  </w14:solidFill>
                </w14:textFill>
              </w:rPr>
              <w:t>分；</w:t>
            </w:r>
          </w:p>
          <w:p w14:paraId="271E30A5">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（3）质量承诺满足招标文件，有违约责任承诺但不具体的不得分；</w:t>
            </w:r>
          </w:p>
        </w:tc>
      </w:tr>
      <w:tr w14:paraId="65AC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056" w:type="dxa"/>
            <w:vMerge w:val="continue"/>
            <w:noWrap w:val="0"/>
            <w:vAlign w:val="center"/>
          </w:tcPr>
          <w:p w14:paraId="5E5BECD4">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p>
        </w:tc>
        <w:tc>
          <w:tcPr>
            <w:tcW w:w="1863" w:type="dxa"/>
            <w:vMerge w:val="continue"/>
            <w:noWrap w:val="0"/>
            <w:vAlign w:val="center"/>
          </w:tcPr>
          <w:p w14:paraId="09C6CD3E">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p>
        </w:tc>
        <w:tc>
          <w:tcPr>
            <w:tcW w:w="2433" w:type="dxa"/>
            <w:gridSpan w:val="2"/>
            <w:noWrap w:val="0"/>
            <w:vAlign w:val="center"/>
          </w:tcPr>
          <w:p w14:paraId="64D02431">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安全</w:t>
            </w:r>
            <w:r>
              <w:rPr>
                <w:rFonts w:hint="eastAsia" w:ascii="宋体" w:hAnsi="宋体" w:cs="宋体"/>
                <w:color w:val="000000" w:themeColor="text1"/>
                <w:lang w:val="en-US" w:eastAsia="zh-CN"/>
                <w14:textFill>
                  <w14:solidFill>
                    <w14:schemeClr w14:val="tx1"/>
                  </w14:solidFill>
                </w14:textFill>
              </w:rPr>
              <w:t>管理体系与</w:t>
            </w:r>
            <w:r>
              <w:rPr>
                <w:rFonts w:hint="eastAsia" w:ascii="宋体" w:hAnsi="宋体" w:cs="宋体"/>
                <w:color w:val="000000" w:themeColor="text1"/>
                <w14:textFill>
                  <w14:solidFill>
                    <w14:schemeClr w14:val="tx1"/>
                  </w14:solidFill>
                </w14:textFill>
              </w:rPr>
              <w:t>措施</w:t>
            </w:r>
          </w:p>
          <w:p w14:paraId="74B5F274">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10分</w:t>
            </w:r>
            <w:r>
              <w:rPr>
                <w:rFonts w:hint="eastAsia" w:ascii="宋体" w:hAnsi="宋体" w:cs="宋体"/>
                <w:color w:val="000000" w:themeColor="text1"/>
                <w:lang w:eastAsia="zh-CN"/>
                <w14:textFill>
                  <w14:solidFill>
                    <w14:schemeClr w14:val="tx1"/>
                  </w14:solidFill>
                </w14:textFill>
              </w:rPr>
              <w:t>）</w:t>
            </w:r>
          </w:p>
        </w:tc>
        <w:tc>
          <w:tcPr>
            <w:tcW w:w="4452" w:type="dxa"/>
            <w:gridSpan w:val="2"/>
            <w:noWrap w:val="0"/>
            <w:vAlign w:val="center"/>
          </w:tcPr>
          <w:p w14:paraId="370D3145">
            <w:p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满分</w:t>
            </w:r>
            <w:r>
              <w:rPr>
                <w:rFonts w:hint="eastAsia" w:ascii="宋体" w:hAnsi="宋体" w:cs="宋体"/>
                <w:color w:val="000000" w:themeColor="text1"/>
                <w:lang w:val="en-US" w:eastAsia="zh-CN"/>
                <w14:textFill>
                  <w14:solidFill>
                    <w14:schemeClr w14:val="tx1"/>
                  </w14:solidFill>
                </w14:textFill>
              </w:rPr>
              <w:t>10</w:t>
            </w:r>
            <w:r>
              <w:rPr>
                <w:rFonts w:hint="eastAsia" w:ascii="宋体" w:hAnsi="宋体" w:cs="宋体"/>
                <w:color w:val="000000" w:themeColor="text1"/>
                <w14:textFill>
                  <w14:solidFill>
                    <w14:schemeClr w14:val="tx1"/>
                  </w14:solidFill>
                </w14:textFill>
              </w:rPr>
              <w:t>分</w:t>
            </w:r>
          </w:p>
          <w:p w14:paraId="2587170E">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（1）有具体、完整、可行的安全文明施工实施保证措施且合理、先进、针对性好的得</w:t>
            </w:r>
            <w:r>
              <w:rPr>
                <w:rFonts w:hint="eastAsia" w:ascii="宋体" w:hAnsi="宋体" w:cs="宋体"/>
                <w:color w:val="000000" w:themeColor="text1"/>
                <w:lang w:val="en-US" w:eastAsia="zh-CN"/>
                <w14:textFill>
                  <w14:solidFill>
                    <w14:schemeClr w14:val="tx1"/>
                  </w14:solidFill>
                </w14:textFill>
              </w:rPr>
              <w:t>6-10</w:t>
            </w:r>
            <w:r>
              <w:rPr>
                <w:rFonts w:hint="eastAsia" w:ascii="宋体" w:hAnsi="宋体" w:cs="宋体"/>
                <w:color w:val="000000" w:themeColor="text1"/>
                <w14:textFill>
                  <w14:solidFill>
                    <w14:schemeClr w14:val="tx1"/>
                  </w14:solidFill>
                </w14:textFill>
              </w:rPr>
              <w:t>分；</w:t>
            </w:r>
          </w:p>
          <w:p w14:paraId="3A9DE2BA">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（2）有具体、完整、可行的安全文明施工实施保证措施且合理但针对性一般的得</w:t>
            </w:r>
            <w:r>
              <w:rPr>
                <w:rFonts w:hint="eastAsia" w:ascii="宋体" w:hAnsi="宋体" w:cs="宋体"/>
                <w:color w:val="000000" w:themeColor="text1"/>
                <w:lang w:val="en-US" w:eastAsia="zh-CN"/>
                <w14:textFill>
                  <w14:solidFill>
                    <w14:schemeClr w14:val="tx1"/>
                  </w14:solidFill>
                </w14:textFill>
              </w:rPr>
              <w:t>1-5</w:t>
            </w:r>
            <w:r>
              <w:rPr>
                <w:rFonts w:hint="eastAsia" w:ascii="宋体" w:hAnsi="宋体" w:cs="宋体"/>
                <w:color w:val="000000" w:themeColor="text1"/>
                <w14:textFill>
                  <w14:solidFill>
                    <w14:schemeClr w14:val="tx1"/>
                  </w14:solidFill>
                </w14:textFill>
              </w:rPr>
              <w:t>分；</w:t>
            </w:r>
          </w:p>
          <w:p w14:paraId="4D7FB080">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（3）没有安全文明施工保证措施的不得分。</w:t>
            </w:r>
          </w:p>
        </w:tc>
      </w:tr>
      <w:tr w14:paraId="1AA7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jc w:val="center"/>
        </w:trPr>
        <w:tc>
          <w:tcPr>
            <w:tcW w:w="1056" w:type="dxa"/>
            <w:vMerge w:val="continue"/>
            <w:noWrap w:val="0"/>
            <w:vAlign w:val="center"/>
          </w:tcPr>
          <w:p w14:paraId="3E0D9752">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p>
        </w:tc>
        <w:tc>
          <w:tcPr>
            <w:tcW w:w="1863" w:type="dxa"/>
            <w:vMerge w:val="continue"/>
            <w:noWrap w:val="0"/>
            <w:vAlign w:val="center"/>
          </w:tcPr>
          <w:p w14:paraId="53CD709B">
            <w:pPr>
              <w:autoSpaceDE w:val="0"/>
              <w:autoSpaceDN w:val="0"/>
              <w:adjustRightInd w:val="0"/>
              <w:jc w:val="left"/>
              <w:rPr>
                <w:rFonts w:hint="eastAsia" w:ascii="宋体" w:hAnsi="宋体" w:cs="HiddenHorzOCR"/>
                <w:color w:val="000000" w:themeColor="text1"/>
                <w:kern w:val="0"/>
                <w:szCs w:val="21"/>
                <w14:textFill>
                  <w14:solidFill>
                    <w14:schemeClr w14:val="tx1"/>
                  </w14:solidFill>
                </w14:textFill>
              </w:rPr>
            </w:pPr>
          </w:p>
        </w:tc>
        <w:tc>
          <w:tcPr>
            <w:tcW w:w="2433" w:type="dxa"/>
            <w:gridSpan w:val="2"/>
            <w:noWrap w:val="0"/>
            <w:vAlign w:val="center"/>
          </w:tcPr>
          <w:p w14:paraId="6322D2AE">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工程进度计划与</w:t>
            </w:r>
            <w:r>
              <w:rPr>
                <w:rFonts w:hint="eastAsia" w:ascii="宋体" w:hAnsi="宋体" w:cs="宋体"/>
                <w:color w:val="000000" w:themeColor="text1"/>
                <w14:textFill>
                  <w14:solidFill>
                    <w14:schemeClr w14:val="tx1"/>
                  </w14:solidFill>
                </w14:textFill>
              </w:rPr>
              <w:t>措施</w:t>
            </w:r>
          </w:p>
          <w:p w14:paraId="6B9D7E2F">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9分</w:t>
            </w:r>
            <w:r>
              <w:rPr>
                <w:rFonts w:hint="eastAsia" w:ascii="宋体" w:hAnsi="宋体" w:cs="宋体"/>
                <w:color w:val="000000" w:themeColor="text1"/>
                <w:lang w:eastAsia="zh-CN"/>
                <w14:textFill>
                  <w14:solidFill>
                    <w14:schemeClr w14:val="tx1"/>
                  </w14:solidFill>
                </w14:textFill>
              </w:rPr>
              <w:t>）</w:t>
            </w:r>
          </w:p>
        </w:tc>
        <w:tc>
          <w:tcPr>
            <w:tcW w:w="4452" w:type="dxa"/>
            <w:gridSpan w:val="2"/>
            <w:noWrap w:val="0"/>
            <w:vAlign w:val="center"/>
          </w:tcPr>
          <w:p w14:paraId="09B0E91F">
            <w:p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满分</w:t>
            </w:r>
            <w:r>
              <w:rPr>
                <w:rFonts w:hint="eastAsia" w:ascii="宋体" w:hAnsi="宋体" w:cs="宋体"/>
                <w:color w:val="000000" w:themeColor="text1"/>
                <w:lang w:val="en-US" w:eastAsia="zh-CN"/>
                <w14:textFill>
                  <w14:solidFill>
                    <w14:schemeClr w14:val="tx1"/>
                  </w14:solidFill>
                </w14:textFill>
              </w:rPr>
              <w:t>9</w:t>
            </w:r>
            <w:r>
              <w:rPr>
                <w:rFonts w:hint="eastAsia" w:ascii="宋体" w:hAnsi="宋体" w:cs="宋体"/>
                <w:color w:val="000000" w:themeColor="text1"/>
                <w14:textFill>
                  <w14:solidFill>
                    <w14:schemeClr w14:val="tx1"/>
                  </w14:solidFill>
                </w14:textFill>
              </w:rPr>
              <w:t>分</w:t>
            </w:r>
          </w:p>
          <w:p w14:paraId="6C181790">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r>
              <w:rPr>
                <w:rFonts w:hint="eastAsia" w:ascii="宋体" w:hAnsi="宋体" w:eastAsia="宋体"/>
                <w:color w:val="000000" w:themeColor="text1"/>
                <w:kern w:val="0"/>
                <w:szCs w:val="21"/>
                <w14:textFill>
                  <w14:solidFill>
                    <w14:schemeClr w14:val="tx1"/>
                  </w14:solidFill>
                </w14:textFill>
              </w:rPr>
              <w:t>工期承诺满足招标文件要求，工期保证措施合理，有具体的违约责任承诺</w:t>
            </w:r>
            <w:r>
              <w:rPr>
                <w:rFonts w:hint="eastAsia" w:ascii="宋体" w:hAnsi="宋体"/>
                <w:color w:val="000000" w:themeColor="text1"/>
                <w:kern w:val="0"/>
                <w:szCs w:val="21"/>
                <w:lang w:val="en-US" w:eastAsia="zh-CN"/>
                <w14:textFill>
                  <w14:solidFill>
                    <w14:schemeClr w14:val="tx1"/>
                  </w14:solidFill>
                </w14:textFill>
              </w:rPr>
              <w:t>,</w:t>
            </w:r>
            <w:r>
              <w:rPr>
                <w:rFonts w:hint="eastAsia" w:ascii="宋体" w:hAnsi="宋体" w:eastAsia="宋体"/>
                <w:color w:val="000000" w:themeColor="text1"/>
                <w:kern w:val="0"/>
                <w:szCs w:val="21"/>
                <w14:textFill>
                  <w14:solidFill>
                    <w14:schemeClr w14:val="tx1"/>
                  </w14:solidFill>
                </w14:textFill>
              </w:rPr>
              <w:t>针对性强的得</w:t>
            </w:r>
            <w:r>
              <w:rPr>
                <w:rFonts w:hint="eastAsia" w:ascii="宋体" w:hAnsi="宋体"/>
                <w:color w:val="000000" w:themeColor="text1"/>
                <w:kern w:val="0"/>
                <w:szCs w:val="21"/>
                <w:lang w:val="en-US" w:eastAsia="zh-CN"/>
                <w14:textFill>
                  <w14:solidFill>
                    <w14:schemeClr w14:val="tx1"/>
                  </w14:solidFill>
                </w14:textFill>
              </w:rPr>
              <w:t>5-9</w:t>
            </w:r>
            <w:r>
              <w:rPr>
                <w:rFonts w:hint="eastAsia" w:ascii="宋体" w:hAnsi="宋体" w:cs="宋体"/>
                <w:color w:val="000000" w:themeColor="text1"/>
                <w14:textFill>
                  <w14:solidFill>
                    <w14:schemeClr w14:val="tx1"/>
                  </w14:solidFill>
                </w14:textFill>
              </w:rPr>
              <w:t>分；</w:t>
            </w:r>
          </w:p>
          <w:p w14:paraId="0EEC005B">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r>
              <w:rPr>
                <w:rFonts w:hint="eastAsia" w:ascii="宋体" w:hAnsi="宋体" w:eastAsia="宋体"/>
                <w:color w:val="000000" w:themeColor="text1"/>
                <w:kern w:val="0"/>
                <w:szCs w:val="21"/>
                <w14:textFill>
                  <w14:solidFill>
                    <w14:schemeClr w14:val="tx1"/>
                  </w14:solidFill>
                </w14:textFill>
              </w:rPr>
              <w:t>工期承诺满足招标文件要求，工期保证措施合理，有具体的违约责任承诺</w:t>
            </w:r>
            <w:r>
              <w:rPr>
                <w:rFonts w:hint="eastAsia" w:ascii="宋体" w:hAnsi="宋体"/>
                <w:color w:val="000000" w:themeColor="text1"/>
                <w:kern w:val="0"/>
                <w:szCs w:val="21"/>
                <w:lang w:val="en-US" w:eastAsia="zh-CN"/>
                <w14:textFill>
                  <w14:solidFill>
                    <w14:schemeClr w14:val="tx1"/>
                  </w14:solidFill>
                </w14:textFill>
              </w:rPr>
              <w:t>,</w:t>
            </w:r>
            <w:r>
              <w:rPr>
                <w:rFonts w:hint="eastAsia" w:ascii="宋体" w:hAnsi="宋体" w:eastAsia="宋体"/>
                <w:color w:val="000000" w:themeColor="text1"/>
                <w:kern w:val="0"/>
                <w:szCs w:val="21"/>
                <w14:textFill>
                  <w14:solidFill>
                    <w14:schemeClr w14:val="tx1"/>
                  </w14:solidFill>
                </w14:textFill>
              </w:rPr>
              <w:t>针对性</w:t>
            </w:r>
            <w:r>
              <w:rPr>
                <w:rFonts w:hint="eastAsia" w:ascii="宋体" w:hAnsi="宋体"/>
                <w:color w:val="000000" w:themeColor="text1"/>
                <w:kern w:val="0"/>
                <w:szCs w:val="21"/>
                <w:lang w:val="en-US" w:eastAsia="zh-CN"/>
                <w14:textFill>
                  <w14:solidFill>
                    <w14:schemeClr w14:val="tx1"/>
                  </w14:solidFill>
                </w14:textFill>
              </w:rPr>
              <w:t>一般</w:t>
            </w:r>
            <w:r>
              <w:rPr>
                <w:rFonts w:hint="eastAsia" w:ascii="宋体" w:hAnsi="宋体" w:eastAsia="宋体"/>
                <w:color w:val="000000" w:themeColor="text1"/>
                <w:kern w:val="0"/>
                <w:szCs w:val="21"/>
                <w14:textFill>
                  <w14:solidFill>
                    <w14:schemeClr w14:val="tx1"/>
                  </w14:solidFill>
                </w14:textFill>
              </w:rPr>
              <w:t>的得</w:t>
            </w:r>
            <w:r>
              <w:rPr>
                <w:rFonts w:hint="eastAsia" w:ascii="宋体" w:hAnsi="宋体"/>
                <w:color w:val="000000" w:themeColor="text1"/>
                <w:kern w:val="0"/>
                <w:szCs w:val="21"/>
                <w:lang w:val="en-US" w:eastAsia="zh-CN"/>
                <w14:textFill>
                  <w14:solidFill>
                    <w14:schemeClr w14:val="tx1"/>
                  </w14:solidFill>
                </w14:textFill>
              </w:rPr>
              <w:t>1-4</w:t>
            </w:r>
            <w:r>
              <w:rPr>
                <w:rFonts w:hint="eastAsia" w:ascii="宋体" w:hAnsi="宋体" w:cs="宋体"/>
                <w:color w:val="000000" w:themeColor="text1"/>
                <w14:textFill>
                  <w14:solidFill>
                    <w14:schemeClr w14:val="tx1"/>
                  </w14:solidFill>
                </w14:textFill>
              </w:rPr>
              <w:t>分；</w:t>
            </w:r>
          </w:p>
          <w:p w14:paraId="5A9A44EF">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r>
              <w:rPr>
                <w:rFonts w:hint="eastAsia" w:ascii="宋体" w:hAnsi="宋体" w:eastAsia="宋体"/>
                <w:color w:val="000000" w:themeColor="text1"/>
                <w:kern w:val="0"/>
                <w:szCs w:val="21"/>
                <w14:textFill>
                  <w14:solidFill>
                    <w14:schemeClr w14:val="tx1"/>
                  </w14:solidFill>
                </w14:textFill>
              </w:rPr>
              <w:t>工期承诺</w:t>
            </w:r>
            <w:r>
              <w:rPr>
                <w:rFonts w:hint="eastAsia" w:ascii="宋体" w:hAnsi="宋体"/>
                <w:color w:val="000000" w:themeColor="text1"/>
                <w:kern w:val="0"/>
                <w:szCs w:val="21"/>
                <w:lang w:val="en-US" w:eastAsia="zh-CN"/>
                <w14:textFill>
                  <w14:solidFill>
                    <w14:schemeClr w14:val="tx1"/>
                  </w14:solidFill>
                </w14:textFill>
              </w:rPr>
              <w:t>不</w:t>
            </w:r>
            <w:r>
              <w:rPr>
                <w:rFonts w:hint="eastAsia" w:ascii="宋体" w:hAnsi="宋体" w:eastAsia="宋体"/>
                <w:color w:val="000000" w:themeColor="text1"/>
                <w:kern w:val="0"/>
                <w:szCs w:val="21"/>
                <w14:textFill>
                  <w14:solidFill>
                    <w14:schemeClr w14:val="tx1"/>
                  </w14:solidFill>
                </w14:textFill>
              </w:rPr>
              <w:t>满足招标文件要求</w:t>
            </w:r>
            <w:r>
              <w:rPr>
                <w:rFonts w:hint="eastAsia" w:ascii="宋体" w:hAnsi="宋体"/>
                <w:color w:val="000000" w:themeColor="text1"/>
                <w:kern w:val="0"/>
                <w:szCs w:val="21"/>
                <w:lang w:val="en-US" w:eastAsia="zh-CN"/>
                <w14:textFill>
                  <w14:solidFill>
                    <w14:schemeClr w14:val="tx1"/>
                  </w14:solidFill>
                </w14:textFill>
              </w:rPr>
              <w:t>的</w:t>
            </w:r>
            <w:r>
              <w:rPr>
                <w:rFonts w:hint="eastAsia" w:ascii="宋体" w:hAnsi="宋体" w:cs="宋体"/>
                <w:color w:val="000000" w:themeColor="text1"/>
                <w14:textFill>
                  <w14:solidFill>
                    <w14:schemeClr w14:val="tx1"/>
                  </w14:solidFill>
                </w14:textFill>
              </w:rPr>
              <w:t>不得分。</w:t>
            </w:r>
          </w:p>
        </w:tc>
      </w:tr>
      <w:tr w14:paraId="49D3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3" w:hRule="atLeast"/>
          <w:jc w:val="center"/>
        </w:trPr>
        <w:tc>
          <w:tcPr>
            <w:tcW w:w="1056" w:type="dxa"/>
            <w:vMerge w:val="continue"/>
            <w:noWrap w:val="0"/>
            <w:vAlign w:val="center"/>
          </w:tcPr>
          <w:p w14:paraId="3E574782">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p>
        </w:tc>
        <w:tc>
          <w:tcPr>
            <w:tcW w:w="1863" w:type="dxa"/>
            <w:vMerge w:val="continue"/>
            <w:noWrap w:val="0"/>
            <w:vAlign w:val="center"/>
          </w:tcPr>
          <w:p w14:paraId="36A71DBD">
            <w:pPr>
              <w:autoSpaceDE w:val="0"/>
              <w:autoSpaceDN w:val="0"/>
              <w:adjustRightInd w:val="0"/>
              <w:jc w:val="left"/>
              <w:rPr>
                <w:rFonts w:hint="eastAsia" w:ascii="宋体" w:hAnsi="宋体" w:cs="宋体"/>
                <w:color w:val="000000" w:themeColor="text1"/>
                <w14:textFill>
                  <w14:solidFill>
                    <w14:schemeClr w14:val="tx1"/>
                  </w14:solidFill>
                </w14:textFill>
              </w:rPr>
            </w:pPr>
          </w:p>
        </w:tc>
        <w:tc>
          <w:tcPr>
            <w:tcW w:w="2433" w:type="dxa"/>
            <w:gridSpan w:val="2"/>
            <w:tcBorders>
              <w:bottom w:val="single" w:color="auto" w:sz="4" w:space="0"/>
            </w:tcBorders>
            <w:noWrap w:val="0"/>
            <w:vAlign w:val="center"/>
          </w:tcPr>
          <w:p w14:paraId="59999473">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施工机械</w:t>
            </w:r>
          </w:p>
          <w:p w14:paraId="2962633C">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5分</w:t>
            </w:r>
            <w:r>
              <w:rPr>
                <w:rFonts w:hint="eastAsia" w:ascii="宋体" w:hAnsi="宋体" w:cs="宋体"/>
                <w:color w:val="000000" w:themeColor="text1"/>
                <w:lang w:eastAsia="zh-CN"/>
                <w14:textFill>
                  <w14:solidFill>
                    <w14:schemeClr w14:val="tx1"/>
                  </w14:solidFill>
                </w14:textFill>
              </w:rPr>
              <w:t>）</w:t>
            </w:r>
          </w:p>
        </w:tc>
        <w:tc>
          <w:tcPr>
            <w:tcW w:w="4452" w:type="dxa"/>
            <w:gridSpan w:val="2"/>
            <w:tcBorders>
              <w:bottom w:val="single" w:color="auto" w:sz="4" w:space="0"/>
            </w:tcBorders>
            <w:noWrap w:val="0"/>
            <w:vAlign w:val="center"/>
          </w:tcPr>
          <w:p w14:paraId="42C172D4">
            <w:p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满分</w:t>
            </w:r>
            <w:r>
              <w:rPr>
                <w:rFonts w:hint="eastAsia" w:ascii="宋体" w:hAnsi="宋体" w:cs="宋体"/>
                <w:color w:val="000000" w:themeColor="text1"/>
                <w:lang w:val="en-US" w:eastAsia="zh-CN"/>
                <w14:textFill>
                  <w14:solidFill>
                    <w14:schemeClr w14:val="tx1"/>
                  </w14:solidFill>
                </w14:textFill>
              </w:rPr>
              <w:t>5</w:t>
            </w:r>
            <w:r>
              <w:rPr>
                <w:rFonts w:hint="eastAsia" w:ascii="宋体" w:hAnsi="宋体" w:cs="宋体"/>
                <w:color w:val="000000" w:themeColor="text1"/>
                <w14:textFill>
                  <w14:solidFill>
                    <w14:schemeClr w14:val="tx1"/>
                  </w14:solidFill>
                </w14:textFill>
              </w:rPr>
              <w:t>分</w:t>
            </w:r>
          </w:p>
          <w:p w14:paraId="739C0EFB">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（1）投入的施工机械能满足施工要求，且搭配适当的得</w:t>
            </w:r>
            <w:r>
              <w:rPr>
                <w:rFonts w:hint="eastAsia" w:ascii="宋体" w:hAnsi="宋体" w:cs="宋体"/>
                <w:color w:val="000000" w:themeColor="text1"/>
                <w:lang w:val="en-US" w:eastAsia="zh-CN"/>
                <w14:textFill>
                  <w14:solidFill>
                    <w14:schemeClr w14:val="tx1"/>
                  </w14:solidFill>
                </w14:textFill>
              </w:rPr>
              <w:t>3-5</w:t>
            </w:r>
            <w:r>
              <w:rPr>
                <w:rFonts w:hint="eastAsia" w:ascii="宋体" w:hAnsi="宋体" w:cs="宋体"/>
                <w:color w:val="000000" w:themeColor="text1"/>
                <w14:textFill>
                  <w14:solidFill>
                    <w14:schemeClr w14:val="tx1"/>
                  </w14:solidFill>
                </w14:textFill>
              </w:rPr>
              <w:t>分。</w:t>
            </w:r>
          </w:p>
          <w:p w14:paraId="28B25A6F">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（2）投入的施工机械基本能满足施工要求，但搭配不当的得</w:t>
            </w:r>
            <w:r>
              <w:rPr>
                <w:rFonts w:hint="eastAsia" w:ascii="宋体" w:hAnsi="宋体" w:cs="宋体"/>
                <w:color w:val="000000" w:themeColor="text1"/>
                <w:lang w:val="en-US" w:eastAsia="zh-CN"/>
                <w14:textFill>
                  <w14:solidFill>
                    <w14:schemeClr w14:val="tx1"/>
                  </w14:solidFill>
                </w14:textFill>
              </w:rPr>
              <w:t>1-2</w:t>
            </w:r>
            <w:r>
              <w:rPr>
                <w:rFonts w:hint="eastAsia" w:ascii="宋体" w:hAnsi="宋体" w:cs="宋体"/>
                <w:color w:val="000000" w:themeColor="text1"/>
                <w14:textFill>
                  <w14:solidFill>
                    <w14:schemeClr w14:val="tx1"/>
                  </w14:solidFill>
                </w14:textFill>
              </w:rPr>
              <w:t>分；</w:t>
            </w:r>
          </w:p>
          <w:p w14:paraId="2DDC663D">
            <w:pPr>
              <w:numPr>
                <w:ilvl w:val="0"/>
                <w:numId w:val="0"/>
              </w:numPr>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（3）投入的施工主要机械不能满足工程要求的不得分。</w:t>
            </w:r>
          </w:p>
        </w:tc>
      </w:tr>
      <w:tr w14:paraId="711D8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1056" w:type="dxa"/>
            <w:vMerge w:val="continue"/>
            <w:noWrap w:val="0"/>
            <w:vAlign w:val="center"/>
          </w:tcPr>
          <w:p w14:paraId="312A001F">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p>
        </w:tc>
        <w:tc>
          <w:tcPr>
            <w:tcW w:w="1863" w:type="dxa"/>
            <w:vMerge w:val="continue"/>
            <w:noWrap w:val="0"/>
            <w:vAlign w:val="center"/>
          </w:tcPr>
          <w:p w14:paraId="017A36C2">
            <w:pPr>
              <w:autoSpaceDE w:val="0"/>
              <w:autoSpaceDN w:val="0"/>
              <w:adjustRightInd w:val="0"/>
              <w:jc w:val="left"/>
              <w:rPr>
                <w:rFonts w:hint="eastAsia" w:ascii="宋体" w:hAnsi="宋体" w:cs="宋体"/>
                <w:color w:val="000000" w:themeColor="text1"/>
                <w14:textFill>
                  <w14:solidFill>
                    <w14:schemeClr w14:val="tx1"/>
                  </w14:solidFill>
                </w14:textFill>
              </w:rPr>
            </w:pPr>
          </w:p>
        </w:tc>
        <w:tc>
          <w:tcPr>
            <w:tcW w:w="2433" w:type="dxa"/>
            <w:gridSpan w:val="2"/>
            <w:noWrap w:val="0"/>
            <w:vAlign w:val="center"/>
          </w:tcPr>
          <w:p w14:paraId="002B9BD5">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项目管理人员配置</w:t>
            </w:r>
          </w:p>
          <w:p w14:paraId="4BE54800">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5分</w:t>
            </w:r>
            <w:r>
              <w:rPr>
                <w:rFonts w:hint="eastAsia" w:ascii="宋体" w:hAnsi="宋体" w:cs="宋体"/>
                <w:color w:val="000000" w:themeColor="text1"/>
                <w:lang w:eastAsia="zh-CN"/>
                <w14:textFill>
                  <w14:solidFill>
                    <w14:schemeClr w14:val="tx1"/>
                  </w14:solidFill>
                </w14:textFill>
              </w:rPr>
              <w:t>）</w:t>
            </w:r>
          </w:p>
        </w:tc>
        <w:tc>
          <w:tcPr>
            <w:tcW w:w="4452" w:type="dxa"/>
            <w:gridSpan w:val="2"/>
            <w:noWrap w:val="0"/>
            <w:vAlign w:val="center"/>
          </w:tcPr>
          <w:p w14:paraId="4C06778C">
            <w:pPr>
              <w:spacing w:line="3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满分</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分</w:t>
            </w:r>
          </w:p>
          <w:p w14:paraId="2AFCD27D">
            <w:pPr>
              <w:spacing w:line="3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（1）投标人拟定的项目</w:t>
            </w:r>
            <w:r>
              <w:rPr>
                <w:rFonts w:hint="eastAsia" w:ascii="宋体" w:hAnsi="宋体" w:cs="宋体"/>
                <w:color w:val="000000" w:themeColor="text1"/>
                <w:highlight w:val="none"/>
                <w:lang w:val="en-US" w:eastAsia="zh-CN"/>
                <w14:textFill>
                  <w14:solidFill>
                    <w14:schemeClr w14:val="tx1"/>
                  </w14:solidFill>
                </w14:textFill>
              </w:rPr>
              <w:t>负责人</w:t>
            </w:r>
            <w:r>
              <w:rPr>
                <w:rFonts w:hint="eastAsia" w:ascii="宋体" w:hAnsi="宋体" w:cs="宋体"/>
                <w:color w:val="000000" w:themeColor="text1"/>
                <w:highlight w:val="none"/>
                <w14:textFill>
                  <w14:solidFill>
                    <w14:schemeClr w14:val="tx1"/>
                  </w14:solidFill>
                </w14:textFill>
              </w:rPr>
              <w:t>符合招标文件规定</w:t>
            </w:r>
            <w:r>
              <w:rPr>
                <w:rFonts w:hint="eastAsia" w:ascii="宋体" w:hAnsi="宋体" w:cs="宋体"/>
                <w:color w:val="000000" w:themeColor="text1"/>
                <w:highlight w:val="none"/>
                <w:lang w:val="en-US" w:eastAsia="zh-CN"/>
                <w14:textFill>
                  <w14:solidFill>
                    <w14:schemeClr w14:val="tx1"/>
                  </w14:solidFill>
                </w14:textFill>
              </w:rPr>
              <w:t>项目负责人</w:t>
            </w:r>
            <w:r>
              <w:rPr>
                <w:rFonts w:hint="eastAsia" w:ascii="宋体" w:hAnsi="宋体" w:cs="宋体"/>
                <w:color w:val="000000" w:themeColor="text1"/>
                <w:highlight w:val="none"/>
                <w14:textFill>
                  <w14:solidFill>
                    <w14:schemeClr w14:val="tx1"/>
                  </w14:solidFill>
                </w14:textFill>
              </w:rPr>
              <w:t>的资格条件，</w:t>
            </w:r>
            <w:r>
              <w:rPr>
                <w:rFonts w:hint="eastAsia" w:ascii="宋体" w:hAnsi="宋体" w:cs="宋体"/>
                <w:color w:val="000000" w:themeColor="text1"/>
                <w:highlight w:val="none"/>
                <w:lang w:val="en-US" w:eastAsia="zh-CN"/>
                <w14:textFill>
                  <w14:solidFill>
                    <w14:schemeClr w14:val="tx1"/>
                  </w14:solidFill>
                </w14:textFill>
              </w:rPr>
              <w:t>项目负责人</w:t>
            </w:r>
            <w:r>
              <w:rPr>
                <w:rFonts w:hint="eastAsia" w:ascii="宋体" w:hAnsi="宋体" w:cs="宋体"/>
                <w:color w:val="000000" w:themeColor="text1"/>
                <w:highlight w:val="none"/>
                <w14:textFill>
                  <w14:solidFill>
                    <w14:schemeClr w14:val="tx1"/>
                  </w14:solidFill>
                </w14:textFill>
              </w:rPr>
              <w:t>资质证书</w:t>
            </w:r>
            <w:r>
              <w:rPr>
                <w:rFonts w:hint="eastAsia" w:ascii="宋体" w:hAnsi="宋体" w:cs="宋体"/>
                <w:color w:val="000000" w:themeColor="text1"/>
                <w:highlight w:val="none"/>
                <w:lang w:val="en-US" w:eastAsia="zh-CN"/>
                <w14:textFill>
                  <w14:solidFill>
                    <w14:schemeClr w14:val="tx1"/>
                  </w14:solidFill>
                </w14:textFill>
              </w:rPr>
              <w:t>和B证</w:t>
            </w:r>
            <w:r>
              <w:rPr>
                <w:rFonts w:hint="eastAsia" w:ascii="宋体" w:hAnsi="宋体" w:cs="宋体"/>
                <w:color w:val="000000" w:themeColor="text1"/>
                <w:highlight w:val="none"/>
                <w14:textFill>
                  <w14:solidFill>
                    <w14:schemeClr w14:val="tx1"/>
                  </w14:solidFill>
                </w14:textFill>
              </w:rPr>
              <w:t>年检合格，项目管理人员配置针对工程实际且合理，能满足工程管理需要</w:t>
            </w:r>
            <w:r>
              <w:rPr>
                <w:rFonts w:hint="eastAsia" w:ascii="宋体" w:hAnsi="宋体" w:cs="宋体"/>
                <w:color w:val="000000" w:themeColor="text1"/>
                <w:highlight w:val="none"/>
                <w:lang w:val="en-US" w:eastAsia="zh-CN"/>
                <w14:textFill>
                  <w14:solidFill>
                    <w14:schemeClr w14:val="tx1"/>
                  </w14:solidFill>
                </w14:textFill>
              </w:rPr>
              <w:t>且有针对性，</w:t>
            </w:r>
            <w:r>
              <w:rPr>
                <w:rFonts w:hint="eastAsia" w:ascii="宋体" w:hAnsi="宋体" w:cs="宋体"/>
                <w:color w:val="000000" w:themeColor="text1"/>
                <w:highlight w:val="none"/>
                <w14:textFill>
                  <w14:solidFill>
                    <w14:schemeClr w14:val="tx1"/>
                  </w14:solidFill>
                </w14:textFill>
              </w:rPr>
              <w:t>项目管理人员持证上岗得</w:t>
            </w:r>
            <w:r>
              <w:rPr>
                <w:rFonts w:hint="eastAsia" w:ascii="宋体" w:hAnsi="宋体" w:cs="宋体"/>
                <w:color w:val="000000" w:themeColor="text1"/>
                <w:highlight w:val="none"/>
                <w:lang w:val="en-US" w:eastAsia="zh-CN"/>
                <w14:textFill>
                  <w14:solidFill>
                    <w14:schemeClr w14:val="tx1"/>
                  </w14:solidFill>
                </w14:textFill>
              </w:rPr>
              <w:t>3-5</w:t>
            </w:r>
            <w:r>
              <w:rPr>
                <w:rFonts w:hint="eastAsia" w:ascii="宋体" w:hAnsi="宋体" w:cs="宋体"/>
                <w:color w:val="000000" w:themeColor="text1"/>
                <w:highlight w:val="none"/>
                <w14:textFill>
                  <w14:solidFill>
                    <w14:schemeClr w14:val="tx1"/>
                  </w14:solidFill>
                </w14:textFill>
              </w:rPr>
              <w:t>分；</w:t>
            </w:r>
          </w:p>
          <w:p w14:paraId="69E00896">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（2）投标人拟定的项目</w:t>
            </w:r>
            <w:r>
              <w:rPr>
                <w:rFonts w:hint="eastAsia" w:ascii="宋体" w:hAnsi="宋体" w:cs="宋体"/>
                <w:color w:val="000000" w:themeColor="text1"/>
                <w:highlight w:val="none"/>
                <w:lang w:val="en-US" w:eastAsia="zh-CN"/>
                <w14:textFill>
                  <w14:solidFill>
                    <w14:schemeClr w14:val="tx1"/>
                  </w14:solidFill>
                </w14:textFill>
              </w:rPr>
              <w:t>负责人</w:t>
            </w:r>
            <w:r>
              <w:rPr>
                <w:rFonts w:hint="eastAsia" w:ascii="宋体" w:hAnsi="宋体" w:cs="宋体"/>
                <w:color w:val="000000" w:themeColor="text1"/>
                <w:highlight w:val="none"/>
                <w14:textFill>
                  <w14:solidFill>
                    <w14:schemeClr w14:val="tx1"/>
                  </w14:solidFill>
                </w14:textFill>
              </w:rPr>
              <w:t>符合招标文件规定的资格条件；项目</w:t>
            </w:r>
            <w:r>
              <w:rPr>
                <w:rFonts w:hint="eastAsia" w:ascii="宋体" w:hAnsi="宋体" w:cs="宋体"/>
                <w:color w:val="000000" w:themeColor="text1"/>
                <w:highlight w:val="none"/>
                <w:lang w:val="en-US" w:eastAsia="zh-CN"/>
                <w14:textFill>
                  <w14:solidFill>
                    <w14:schemeClr w14:val="tx1"/>
                  </w14:solidFill>
                </w14:textFill>
              </w:rPr>
              <w:t>负责人</w:t>
            </w:r>
            <w:r>
              <w:rPr>
                <w:rFonts w:hint="eastAsia" w:ascii="宋体" w:hAnsi="宋体" w:cs="宋体"/>
                <w:color w:val="000000" w:themeColor="text1"/>
                <w:highlight w:val="none"/>
                <w14:textFill>
                  <w14:solidFill>
                    <w14:schemeClr w14:val="tx1"/>
                  </w14:solidFill>
                </w14:textFill>
              </w:rPr>
              <w:t>资质证书和B证年检合格。项目管理人员配置合理，能满足工程管理需要，但专业配置针对性一般，项目主要管理人员持证上岗</w:t>
            </w:r>
            <w:r>
              <w:rPr>
                <w:rFonts w:hint="eastAsia" w:ascii="宋体" w:hAnsi="宋体" w:cs="宋体"/>
                <w:color w:val="000000" w:themeColor="text1"/>
                <w:highlight w:val="none"/>
                <w:lang w:eastAsia="zh-CN"/>
                <w14:textFill>
                  <w14:solidFill>
                    <w14:schemeClr w14:val="tx1"/>
                  </w14:solidFill>
                </w14:textFill>
              </w:rPr>
              <w:t>得</w:t>
            </w:r>
            <w:r>
              <w:rPr>
                <w:rFonts w:hint="eastAsia" w:ascii="宋体" w:hAnsi="宋体" w:cs="宋体"/>
                <w:color w:val="000000" w:themeColor="text1"/>
                <w:highlight w:val="none"/>
                <w:lang w:val="en-US" w:eastAsia="zh-CN"/>
                <w14:textFill>
                  <w14:solidFill>
                    <w14:schemeClr w14:val="tx1"/>
                  </w14:solidFill>
                </w14:textFill>
              </w:rPr>
              <w:t>1</w:t>
            </w:r>
            <w:r>
              <w:rPr>
                <w:rFonts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分；</w:t>
            </w:r>
          </w:p>
          <w:p w14:paraId="654FC11E">
            <w:pPr>
              <w:spacing w:line="320" w:lineRule="exact"/>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（3）投标人拟定的项目</w:t>
            </w:r>
            <w:r>
              <w:rPr>
                <w:rFonts w:hint="eastAsia" w:ascii="宋体" w:hAnsi="宋体" w:cs="宋体"/>
                <w:color w:val="000000" w:themeColor="text1"/>
                <w:highlight w:val="none"/>
                <w:lang w:val="en-US" w:eastAsia="zh-CN"/>
                <w14:textFill>
                  <w14:solidFill>
                    <w14:schemeClr w14:val="tx1"/>
                  </w14:solidFill>
                </w14:textFill>
              </w:rPr>
              <w:t>负责人</w:t>
            </w:r>
            <w:r>
              <w:rPr>
                <w:rFonts w:hint="eastAsia" w:ascii="宋体" w:hAnsi="宋体" w:cs="宋体"/>
                <w:color w:val="000000" w:themeColor="text1"/>
                <w:highlight w:val="none"/>
                <w14:textFill>
                  <w14:solidFill>
                    <w14:schemeClr w14:val="tx1"/>
                  </w14:solidFill>
                </w14:textFill>
              </w:rPr>
              <w:t>不符合招标文件规定项目</w:t>
            </w:r>
            <w:r>
              <w:rPr>
                <w:rFonts w:hint="eastAsia" w:ascii="宋体" w:hAnsi="宋体" w:cs="宋体"/>
                <w:color w:val="000000" w:themeColor="text1"/>
                <w:highlight w:val="none"/>
                <w:lang w:val="en-US" w:eastAsia="zh-CN"/>
                <w14:textFill>
                  <w14:solidFill>
                    <w14:schemeClr w14:val="tx1"/>
                  </w14:solidFill>
                </w14:textFill>
              </w:rPr>
              <w:t>负责人</w:t>
            </w:r>
            <w:r>
              <w:rPr>
                <w:rFonts w:hint="eastAsia" w:ascii="宋体" w:hAnsi="宋体" w:cs="宋体"/>
                <w:color w:val="000000" w:themeColor="text1"/>
                <w:highlight w:val="none"/>
                <w14:textFill>
                  <w14:solidFill>
                    <w14:schemeClr w14:val="tx1"/>
                  </w14:solidFill>
                </w14:textFill>
              </w:rPr>
              <w:t>资格条件、</w:t>
            </w:r>
            <w:r>
              <w:rPr>
                <w:rFonts w:hint="eastAsia" w:ascii="宋体" w:hAnsi="宋体" w:cs="宋体"/>
                <w:color w:val="000000" w:themeColor="text1"/>
                <w:highlight w:val="none"/>
                <w:lang w:val="en-US" w:eastAsia="zh-CN"/>
                <w14:textFill>
                  <w14:solidFill>
                    <w14:schemeClr w14:val="tx1"/>
                  </w14:solidFill>
                </w14:textFill>
              </w:rPr>
              <w:t>项</w:t>
            </w:r>
            <w:r>
              <w:rPr>
                <w:rFonts w:hint="eastAsia" w:ascii="宋体" w:hAnsi="宋体" w:cs="宋体"/>
                <w:color w:val="000000" w:themeColor="text1"/>
                <w:highlight w:val="none"/>
                <w14:textFill>
                  <w14:solidFill>
                    <w14:schemeClr w14:val="tx1"/>
                  </w14:solidFill>
                </w14:textFill>
              </w:rPr>
              <w:t>目管理人员资质证书年检不合格的不得分。</w:t>
            </w:r>
          </w:p>
        </w:tc>
      </w:tr>
      <w:tr w14:paraId="55CD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056" w:type="dxa"/>
            <w:vMerge w:val="continue"/>
            <w:noWrap w:val="0"/>
            <w:vAlign w:val="center"/>
          </w:tcPr>
          <w:p w14:paraId="64424FB0">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p>
        </w:tc>
        <w:tc>
          <w:tcPr>
            <w:tcW w:w="1863" w:type="dxa"/>
            <w:vMerge w:val="continue"/>
            <w:noWrap w:val="0"/>
            <w:vAlign w:val="center"/>
          </w:tcPr>
          <w:p w14:paraId="29F1BDC2">
            <w:pPr>
              <w:autoSpaceDE w:val="0"/>
              <w:autoSpaceDN w:val="0"/>
              <w:adjustRightInd w:val="0"/>
              <w:jc w:val="center"/>
              <w:rPr>
                <w:rFonts w:hint="eastAsia" w:ascii="宋体" w:hAnsi="宋体" w:cs="HiddenHorzOCR"/>
                <w:color w:val="000000" w:themeColor="text1"/>
                <w:kern w:val="0"/>
                <w:szCs w:val="21"/>
                <w14:textFill>
                  <w14:solidFill>
                    <w14:schemeClr w14:val="tx1"/>
                  </w14:solidFill>
                </w14:textFill>
              </w:rPr>
            </w:pPr>
          </w:p>
        </w:tc>
        <w:tc>
          <w:tcPr>
            <w:tcW w:w="2433" w:type="dxa"/>
            <w:gridSpan w:val="2"/>
            <w:tcBorders>
              <w:bottom w:val="single" w:color="auto" w:sz="4" w:space="0"/>
            </w:tcBorders>
            <w:noWrap w:val="0"/>
            <w:vAlign w:val="center"/>
          </w:tcPr>
          <w:p w14:paraId="4519B1B0">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施工总平面图</w:t>
            </w:r>
          </w:p>
          <w:p w14:paraId="78B2A153">
            <w:pPr>
              <w:autoSpaceDE w:val="0"/>
              <w:autoSpaceDN w:val="0"/>
              <w:adjustRightInd w:val="0"/>
              <w:spacing w:line="260" w:lineRule="exact"/>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5分</w:t>
            </w:r>
            <w:r>
              <w:rPr>
                <w:rFonts w:hint="eastAsia" w:ascii="宋体" w:hAnsi="宋体" w:cs="宋体"/>
                <w:color w:val="000000" w:themeColor="text1"/>
                <w:lang w:eastAsia="zh-CN"/>
                <w14:textFill>
                  <w14:solidFill>
                    <w14:schemeClr w14:val="tx1"/>
                  </w14:solidFill>
                </w14:textFill>
              </w:rPr>
              <w:t>）</w:t>
            </w:r>
          </w:p>
        </w:tc>
        <w:tc>
          <w:tcPr>
            <w:tcW w:w="4452" w:type="dxa"/>
            <w:gridSpan w:val="2"/>
            <w:noWrap w:val="0"/>
            <w:vAlign w:val="center"/>
          </w:tcPr>
          <w:p w14:paraId="646B62AB">
            <w:pPr>
              <w:spacing w:line="32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满分</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分</w:t>
            </w:r>
          </w:p>
          <w:p w14:paraId="25B97B49">
            <w:pPr>
              <w:numPr>
                <w:ilvl w:val="0"/>
                <w:numId w:val="0"/>
              </w:numPr>
              <w:autoSpaceDE w:val="0"/>
              <w:autoSpaceDN w:val="0"/>
              <w:adjustRightInd w:val="0"/>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第一档：</w:t>
            </w:r>
            <w:r>
              <w:rPr>
                <w:rFonts w:hint="eastAsia" w:asciiTheme="minorEastAsia" w:hAnsiTheme="minorEastAsia" w:eastAsiaTheme="minorEastAsia" w:cstheme="minorEastAsia"/>
              </w:rPr>
              <w:t>施工总平面图布置合理，图示标识准确，且针对工程实际</w:t>
            </w:r>
            <w:r>
              <w:rPr>
                <w:rFonts w:hint="eastAsia" w:ascii="宋体" w:hAnsi="宋体" w:cs="宋体"/>
                <w:color w:val="000000" w:themeColor="text1"/>
                <w14:textFill>
                  <w14:solidFill>
                    <w14:schemeClr w14:val="tx1"/>
                  </w14:solidFill>
                </w14:textFill>
              </w:rPr>
              <w:t xml:space="preserve">的得 </w:t>
            </w:r>
            <w:r>
              <w:rPr>
                <w:rFonts w:hint="eastAsia" w:ascii="宋体" w:hAnsi="宋体" w:cs="宋体"/>
                <w:color w:val="000000" w:themeColor="text1"/>
                <w:lang w:val="en-US" w:eastAsia="zh-CN"/>
                <w14:textFill>
                  <w14:solidFill>
                    <w14:schemeClr w14:val="tx1"/>
                  </w14:solidFill>
                </w14:textFill>
              </w:rPr>
              <w:t>3</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5</w:t>
            </w:r>
            <w:r>
              <w:rPr>
                <w:rFonts w:hint="eastAsia" w:ascii="宋体" w:hAnsi="宋体" w:cs="宋体"/>
                <w:color w:val="000000" w:themeColor="text1"/>
                <w14:textFill>
                  <w14:solidFill>
                    <w14:schemeClr w14:val="tx1"/>
                  </w14:solidFill>
                </w14:textFill>
              </w:rPr>
              <w:t xml:space="preserve"> 分；</w:t>
            </w:r>
          </w:p>
          <w:p w14:paraId="7E7FB062">
            <w:pPr>
              <w:numPr>
                <w:ilvl w:val="0"/>
                <w:numId w:val="0"/>
              </w:numPr>
              <w:autoSpaceDE w:val="0"/>
              <w:autoSpaceDN w:val="0"/>
              <w:adjustRightInd w:val="0"/>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第二档：施工总平面图布置基本合理，图示标识不够清楚、准确，缺乏针对性的得 </w:t>
            </w:r>
            <w:r>
              <w:rPr>
                <w:rFonts w:hint="eastAsia" w:ascii="宋体" w:hAnsi="宋体" w:cs="宋体"/>
                <w:color w:val="000000" w:themeColor="text1"/>
                <w:lang w:val="en-US" w:eastAsia="zh-CN"/>
                <w14:textFill>
                  <w14:solidFill>
                    <w14:schemeClr w14:val="tx1"/>
                  </w14:solidFill>
                </w14:textFill>
              </w:rPr>
              <w:t>1-2</w:t>
            </w:r>
            <w:r>
              <w:rPr>
                <w:rFonts w:hint="eastAsia" w:ascii="宋体" w:hAnsi="宋体" w:cs="宋体"/>
                <w:color w:val="000000" w:themeColor="text1"/>
                <w14:textFill>
                  <w14:solidFill>
                    <w14:schemeClr w14:val="tx1"/>
                  </w14:solidFill>
                </w14:textFill>
              </w:rPr>
              <w:t xml:space="preserve"> 分；</w:t>
            </w:r>
          </w:p>
          <w:p w14:paraId="569D2AC7">
            <w:pPr>
              <w:numPr>
                <w:ilvl w:val="0"/>
                <w:numId w:val="0"/>
              </w:numPr>
              <w:autoSpaceDE w:val="0"/>
              <w:autoSpaceDN w:val="0"/>
              <w:adjustRightInd w:val="0"/>
              <w:spacing w:line="3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第</w:t>
            </w:r>
            <w:r>
              <w:rPr>
                <w:rFonts w:hint="eastAsia" w:ascii="宋体" w:hAnsi="宋体" w:cs="宋体"/>
                <w:color w:val="000000" w:themeColor="text1"/>
                <w:lang w:val="en-US" w:eastAsia="zh-CN"/>
                <w14:textFill>
                  <w14:solidFill>
                    <w14:schemeClr w14:val="tx1"/>
                  </w14:solidFill>
                </w14:textFill>
              </w:rPr>
              <w:t>三</w:t>
            </w:r>
            <w:r>
              <w:rPr>
                <w:rFonts w:hint="eastAsia" w:ascii="宋体" w:hAnsi="宋体" w:cs="宋体"/>
                <w:color w:val="000000" w:themeColor="text1"/>
                <w14:textFill>
                  <w14:solidFill>
                    <w14:schemeClr w14:val="tx1"/>
                  </w14:solidFill>
                </w14:textFill>
              </w:rPr>
              <w:t>档：施工总平面图有重大失误或无施工平面图的得 0 分。</w:t>
            </w:r>
          </w:p>
        </w:tc>
      </w:tr>
    </w:tbl>
    <w:p w14:paraId="0DDDC58F">
      <w:pPr>
        <w:rPr>
          <w:rFonts w:ascii="宋体" w:hAnsi="宋体"/>
          <w:color w:val="000000" w:themeColor="text1"/>
          <w14:textFill>
            <w14:solidFill>
              <w14:schemeClr w14:val="tx1"/>
            </w14:solidFill>
          </w14:textFill>
        </w:rPr>
      </w:pPr>
    </w:p>
    <w:p w14:paraId="585655AF">
      <w:pPr>
        <w:rPr>
          <w:rFonts w:ascii="宋体" w:hAnsi="宋体"/>
          <w:color w:val="000000" w:themeColor="text1"/>
          <w14:textFill>
            <w14:solidFill>
              <w14:schemeClr w14:val="tx1"/>
            </w14:solidFill>
          </w14:textFill>
        </w:rPr>
      </w:pPr>
      <w:r>
        <w:rPr>
          <w:rFonts w:hint="eastAsia" w:ascii="宋体" w:hAnsi="宋体"/>
          <w:b/>
          <w:bCs/>
          <w:color w:val="000000" w:themeColor="text1"/>
          <w:kern w:val="0"/>
          <w:sz w:val="32"/>
          <w:szCs w:val="32"/>
          <w14:textFill>
            <w14:solidFill>
              <w14:schemeClr w14:val="tx1"/>
            </w14:solidFill>
          </w14:textFill>
        </w:rPr>
        <w:t>1．评标方法</w:t>
      </w:r>
    </w:p>
    <w:p w14:paraId="128F9903">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Times New Roman"/>
          <w:color w:val="000000" w:themeColor="text1"/>
          <w14:textFill>
            <w14:solidFill>
              <w14:schemeClr w14:val="tx1"/>
            </w14:solidFill>
          </w14:textFill>
        </w:rPr>
      </w:pPr>
      <w:r>
        <w:rPr>
          <w:rFonts w:hint="eastAsia" w:ascii="宋体" w:hAnsi="宋体" w:cs="HiddenHorzOCR"/>
          <w:color w:val="000000" w:themeColor="text1"/>
          <w:kern w:val="0"/>
          <w:szCs w:val="21"/>
          <w14:textFill>
            <w14:solidFill>
              <w14:schemeClr w14:val="tx1"/>
            </w14:solidFill>
          </w14:textFill>
        </w:rPr>
        <w:t>本次</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采用</w:t>
      </w:r>
      <w:r>
        <w:rPr>
          <w:rFonts w:hint="eastAsia" w:ascii="宋体" w:hAnsi="宋体" w:cs="宋体"/>
          <w:color w:val="000000" w:themeColor="text1"/>
          <w:kern w:val="0"/>
          <w:szCs w:val="21"/>
          <w:lang w:eastAsia="zh-CN"/>
          <w14:textFill>
            <w14:solidFill>
              <w14:schemeClr w14:val="tx1"/>
            </w14:solidFill>
          </w14:textFill>
        </w:rPr>
        <w:t>综合评分法</w:t>
      </w:r>
      <w:r>
        <w:rPr>
          <w:rFonts w:hint="eastAsia" w:ascii="宋体" w:hAnsi="宋体" w:cs="HiddenHorzOCR"/>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委</w:t>
      </w:r>
      <w:r>
        <w:rPr>
          <w:rFonts w:hint="eastAsia" w:ascii="宋体" w:hAnsi="宋体" w:cs="宋体"/>
          <w:color w:val="000000" w:themeColor="text1"/>
          <w:kern w:val="0"/>
          <w:szCs w:val="21"/>
          <w14:textFill>
            <w14:solidFill>
              <w14:schemeClr w14:val="tx1"/>
            </w14:solidFill>
          </w14:textFill>
        </w:rPr>
        <w:t>员</w:t>
      </w:r>
      <w:r>
        <w:rPr>
          <w:rFonts w:hint="eastAsia" w:ascii="宋体" w:hAnsi="宋体" w:cs="HiddenHorzOCR"/>
          <w:color w:val="000000" w:themeColor="text1"/>
          <w:kern w:val="0"/>
          <w:szCs w:val="21"/>
          <w14:textFill>
            <w14:solidFill>
              <w14:schemeClr w14:val="tx1"/>
            </w14:solidFill>
          </w14:textFill>
        </w:rPr>
        <w:t>会</w:t>
      </w:r>
      <w:r>
        <w:rPr>
          <w:rFonts w:hint="eastAsia" w:ascii="宋体" w:hAnsi="宋体" w:cs="宋体"/>
          <w:color w:val="000000" w:themeColor="text1"/>
          <w:kern w:val="0"/>
          <w:szCs w:val="21"/>
          <w14:textFill>
            <w14:solidFill>
              <w14:schemeClr w14:val="tx1"/>
            </w14:solidFill>
          </w14:textFill>
        </w:rPr>
        <w:t>对满</w:t>
      </w:r>
      <w:r>
        <w:rPr>
          <w:rFonts w:hint="eastAsia" w:ascii="宋体" w:hAnsi="宋体" w:cs="HiddenHorzOCR"/>
          <w:color w:val="000000" w:themeColor="text1"/>
          <w:kern w:val="0"/>
          <w:szCs w:val="21"/>
          <w14:textFill>
            <w14:solidFill>
              <w14:schemeClr w14:val="tx1"/>
            </w14:solidFill>
          </w14:textFill>
        </w:rPr>
        <w:t>足招</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文件</w:t>
      </w:r>
      <w:r>
        <w:rPr>
          <w:rFonts w:hint="eastAsia" w:ascii="宋体" w:hAnsi="宋体" w:cs="宋体"/>
          <w:color w:val="000000" w:themeColor="text1"/>
          <w:kern w:val="0"/>
          <w:szCs w:val="21"/>
          <w14:textFill>
            <w14:solidFill>
              <w14:schemeClr w14:val="tx1"/>
            </w14:solidFill>
          </w14:textFill>
        </w:rPr>
        <w:t>实质</w:t>
      </w:r>
      <w:r>
        <w:rPr>
          <w:rFonts w:hint="eastAsia" w:ascii="宋体" w:hAnsi="宋体" w:cs="HiddenHorzOCR"/>
          <w:color w:val="000000" w:themeColor="text1"/>
          <w:kern w:val="0"/>
          <w:szCs w:val="21"/>
          <w14:textFill>
            <w14:solidFill>
              <w14:schemeClr w14:val="tx1"/>
            </w14:solidFill>
          </w14:textFill>
        </w:rPr>
        <w:t>性要求的投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文件，按照本章第</w:t>
      </w:r>
      <w:r>
        <w:rPr>
          <w:rFonts w:ascii="宋体" w:hAnsi="宋体" w:cs="HiddenHorzOCR"/>
          <w:color w:val="000000" w:themeColor="text1"/>
          <w:kern w:val="0"/>
          <w:szCs w:val="21"/>
          <w14:textFill>
            <w14:solidFill>
              <w14:schemeClr w14:val="tx1"/>
            </w14:solidFill>
          </w14:textFill>
        </w:rPr>
        <w:t xml:space="preserve">2.2 </w:t>
      </w:r>
      <w:r>
        <w:rPr>
          <w:rFonts w:hint="eastAsia" w:ascii="宋体" w:hAnsi="宋体" w:cs="HiddenHorzOCR"/>
          <w:color w:val="000000" w:themeColor="text1"/>
          <w:kern w:val="0"/>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w:t>
      </w:r>
      <w:r>
        <w:rPr>
          <w:rFonts w:hint="eastAsia" w:ascii="宋体" w:hAnsi="宋体" w:cs="HiddenHorzOCR"/>
          <w:color w:val="000000" w:themeColor="text1"/>
          <w:kern w:val="0"/>
          <w:szCs w:val="21"/>
          <w14:textFill>
            <w14:solidFill>
              <w14:schemeClr w14:val="tx1"/>
            </w14:solidFill>
          </w14:textFill>
        </w:rPr>
        <w:t>定的</w:t>
      </w:r>
      <w:r>
        <w:rPr>
          <w:rFonts w:hint="eastAsia" w:ascii="宋体" w:hAnsi="宋体" w:cs="宋体"/>
          <w:color w:val="000000" w:themeColor="text1"/>
          <w:kern w:val="0"/>
          <w:szCs w:val="21"/>
          <w14:textFill>
            <w14:solidFill>
              <w14:schemeClr w14:val="tx1"/>
            </w14:solidFill>
          </w14:textFill>
        </w:rPr>
        <w:t>评</w:t>
      </w:r>
      <w:r>
        <w:rPr>
          <w:rFonts w:hint="eastAsia" w:ascii="宋体" w:hAnsi="宋体" w:cs="HiddenHorzOCR"/>
          <w:color w:val="000000" w:themeColor="text1"/>
          <w:kern w:val="0"/>
          <w:szCs w:val="21"/>
          <w14:textFill>
            <w14:solidFill>
              <w14:schemeClr w14:val="tx1"/>
            </w14:solidFill>
          </w14:textFill>
        </w:rPr>
        <w:t>分</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准</w:t>
      </w:r>
      <w:r>
        <w:rPr>
          <w:rFonts w:hint="eastAsia" w:ascii="宋体" w:hAnsi="宋体" w:cs="宋体"/>
          <w:color w:val="000000" w:themeColor="text1"/>
          <w:kern w:val="0"/>
          <w:szCs w:val="21"/>
          <w14:textFill>
            <w14:solidFill>
              <w14:schemeClr w14:val="tx1"/>
            </w14:solidFill>
          </w14:textFill>
        </w:rPr>
        <w:t>进</w:t>
      </w:r>
      <w:r>
        <w:rPr>
          <w:rFonts w:hint="eastAsia" w:ascii="宋体" w:hAnsi="宋体" w:cs="HiddenHorzOCR"/>
          <w:color w:val="000000" w:themeColor="text1"/>
          <w:kern w:val="0"/>
          <w:szCs w:val="21"/>
          <w14:textFill>
            <w14:solidFill>
              <w14:schemeClr w14:val="tx1"/>
            </w14:solidFill>
          </w14:textFill>
        </w:rPr>
        <w:t>行打分，并按得分由高到低</w:t>
      </w:r>
      <w:r>
        <w:rPr>
          <w:rFonts w:hint="eastAsia" w:ascii="宋体" w:hAnsi="宋体" w:cs="宋体"/>
          <w:color w:val="000000" w:themeColor="text1"/>
          <w:kern w:val="0"/>
          <w:szCs w:val="21"/>
          <w14:textFill>
            <w14:solidFill>
              <w14:schemeClr w14:val="tx1"/>
            </w14:solidFill>
          </w14:textFill>
        </w:rPr>
        <w:t>顺</w:t>
      </w:r>
      <w:r>
        <w:rPr>
          <w:rFonts w:hint="eastAsia" w:ascii="宋体" w:hAnsi="宋体" w:cs="HiddenHorzOCR"/>
          <w:color w:val="000000" w:themeColor="text1"/>
          <w:kern w:val="0"/>
          <w:szCs w:val="21"/>
          <w14:textFill>
            <w14:solidFill>
              <w14:schemeClr w14:val="tx1"/>
            </w14:solidFill>
          </w14:textFill>
        </w:rPr>
        <w:t>序推荐中</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候</w:t>
      </w:r>
      <w:r>
        <w:rPr>
          <w:rFonts w:hint="eastAsia" w:ascii="宋体" w:hAnsi="宋体" w:cs="宋体"/>
          <w:color w:val="000000" w:themeColor="text1"/>
          <w:kern w:val="0"/>
          <w:szCs w:val="21"/>
          <w14:textFill>
            <w14:solidFill>
              <w14:schemeClr w14:val="tx1"/>
            </w14:solidFill>
          </w14:textFill>
        </w:rPr>
        <w:t>选</w:t>
      </w:r>
      <w:r>
        <w:rPr>
          <w:rFonts w:hint="eastAsia" w:ascii="宋体" w:hAnsi="宋体" w:cs="HiddenHorzOCR"/>
          <w:color w:val="000000" w:themeColor="text1"/>
          <w:kern w:val="0"/>
          <w:szCs w:val="21"/>
          <w14:textFill>
            <w14:solidFill>
              <w14:schemeClr w14:val="tx1"/>
            </w14:solidFill>
          </w14:textFill>
        </w:rPr>
        <w:t>人，或根据招</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人授</w:t>
      </w:r>
      <w:r>
        <w:rPr>
          <w:rFonts w:hint="eastAsia" w:ascii="宋体" w:hAnsi="宋体" w:cs="宋体"/>
          <w:color w:val="000000" w:themeColor="text1"/>
          <w:kern w:val="0"/>
          <w:szCs w:val="21"/>
          <w14:textFill>
            <w14:solidFill>
              <w14:schemeClr w14:val="tx1"/>
            </w14:solidFill>
          </w14:textFill>
        </w:rPr>
        <w:t>权</w:t>
      </w:r>
      <w:r>
        <w:rPr>
          <w:rFonts w:hint="eastAsia" w:ascii="宋体" w:hAnsi="宋体" w:cs="HiddenHorzOCR"/>
          <w:color w:val="000000" w:themeColor="text1"/>
          <w:kern w:val="0"/>
          <w:szCs w:val="21"/>
          <w14:textFill>
            <w14:solidFill>
              <w14:schemeClr w14:val="tx1"/>
            </w14:solidFill>
          </w14:textFill>
        </w:rPr>
        <w:t>直接确定中</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人，但投</w:t>
      </w:r>
      <w:r>
        <w:rPr>
          <w:rFonts w:hint="eastAsia" w:ascii="宋体" w:hAnsi="宋体" w:cs="宋体"/>
          <w:color w:val="000000" w:themeColor="text1"/>
          <w:kern w:val="0"/>
          <w:szCs w:val="21"/>
          <w14:textFill>
            <w14:solidFill>
              <w14:schemeClr w14:val="tx1"/>
            </w14:solidFill>
          </w14:textFill>
        </w:rPr>
        <w:t>标报</w:t>
      </w:r>
      <w:r>
        <w:rPr>
          <w:rFonts w:hint="eastAsia" w:ascii="宋体" w:hAnsi="宋体" w:cs="HiddenHorzOCR"/>
          <w:color w:val="000000" w:themeColor="text1"/>
          <w:kern w:val="0"/>
          <w:szCs w:val="21"/>
          <w14:textFill>
            <w14:solidFill>
              <w14:schemeClr w14:val="tx1"/>
            </w14:solidFill>
          </w14:textFill>
        </w:rPr>
        <w:t>价低于其成本的除外。</w:t>
      </w:r>
      <w:r>
        <w:rPr>
          <w:rFonts w:hint="eastAsia" w:ascii="宋体" w:hAnsi="宋体" w:cs="宋体"/>
          <w:color w:val="000000" w:themeColor="text1"/>
          <w:kern w:val="0"/>
          <w:szCs w:val="21"/>
          <w14:textFill>
            <w14:solidFill>
              <w14:schemeClr w14:val="tx1"/>
            </w14:solidFill>
          </w14:textFill>
        </w:rPr>
        <w:t>综</w:t>
      </w:r>
      <w:r>
        <w:rPr>
          <w:rFonts w:hint="eastAsia" w:ascii="宋体" w:hAnsi="宋体" w:cs="HiddenHorzOCR"/>
          <w:color w:val="000000" w:themeColor="text1"/>
          <w:kern w:val="0"/>
          <w:szCs w:val="21"/>
          <w14:textFill>
            <w14:solidFill>
              <w14:schemeClr w14:val="tx1"/>
            </w14:solidFill>
          </w14:textFill>
        </w:rPr>
        <w:t>合</w:t>
      </w:r>
      <w:r>
        <w:rPr>
          <w:rFonts w:hint="eastAsia" w:ascii="宋体" w:hAnsi="宋体" w:cs="宋体"/>
          <w:color w:val="000000" w:themeColor="text1"/>
          <w:kern w:val="0"/>
          <w:szCs w:val="21"/>
          <w14:textFill>
            <w14:solidFill>
              <w14:schemeClr w14:val="tx1"/>
            </w14:solidFill>
          </w14:textFill>
        </w:rPr>
        <w:t>评</w:t>
      </w:r>
      <w:r>
        <w:rPr>
          <w:rFonts w:hint="eastAsia" w:ascii="宋体" w:hAnsi="宋体" w:cs="HiddenHorzOCR"/>
          <w:color w:val="000000" w:themeColor="text1"/>
          <w:kern w:val="0"/>
          <w:szCs w:val="21"/>
          <w14:textFill>
            <w14:solidFill>
              <w14:schemeClr w14:val="tx1"/>
            </w14:solidFill>
          </w14:textFill>
        </w:rPr>
        <w:t>分相等</w:t>
      </w:r>
      <w:r>
        <w:rPr>
          <w:rFonts w:hint="eastAsia" w:ascii="宋体" w:hAnsi="宋体" w:cs="宋体"/>
          <w:color w:val="000000" w:themeColor="text1"/>
          <w:kern w:val="0"/>
          <w:szCs w:val="21"/>
          <w14:textFill>
            <w14:solidFill>
              <w14:schemeClr w14:val="tx1"/>
            </w14:solidFill>
          </w14:textFill>
        </w:rPr>
        <w:t>时</w:t>
      </w:r>
      <w:r>
        <w:rPr>
          <w:rFonts w:hint="eastAsia" w:ascii="宋体" w:hAnsi="宋体" w:cs="HiddenHorzOCR"/>
          <w:color w:val="000000" w:themeColor="text1"/>
          <w:kern w:val="0"/>
          <w:szCs w:val="21"/>
          <w14:textFill>
            <w14:solidFill>
              <w14:schemeClr w14:val="tx1"/>
            </w14:solidFill>
          </w14:textFill>
        </w:rPr>
        <w:t>，以投</w:t>
      </w:r>
      <w:r>
        <w:rPr>
          <w:rFonts w:hint="eastAsia" w:ascii="宋体" w:hAnsi="宋体" w:cs="宋体"/>
          <w:color w:val="000000" w:themeColor="text1"/>
          <w:kern w:val="0"/>
          <w:szCs w:val="21"/>
          <w14:textFill>
            <w14:solidFill>
              <w14:schemeClr w14:val="tx1"/>
            </w14:solidFill>
          </w14:textFill>
        </w:rPr>
        <w:t>标报</w:t>
      </w:r>
      <w:r>
        <w:rPr>
          <w:rFonts w:hint="eastAsia" w:ascii="宋体" w:hAnsi="宋体" w:cs="HiddenHorzOCR"/>
          <w:color w:val="000000" w:themeColor="text1"/>
          <w:kern w:val="0"/>
          <w:szCs w:val="21"/>
          <w14:textFill>
            <w14:solidFill>
              <w14:schemeClr w14:val="tx1"/>
            </w14:solidFill>
          </w14:textFill>
        </w:rPr>
        <w:t>价低的</w:t>
      </w:r>
      <w:r>
        <w:rPr>
          <w:rFonts w:hint="eastAsia" w:ascii="宋体" w:hAnsi="宋体" w:cs="宋体"/>
          <w:color w:val="000000" w:themeColor="text1"/>
          <w:kern w:val="0"/>
          <w:szCs w:val="21"/>
          <w14:textFill>
            <w14:solidFill>
              <w14:schemeClr w14:val="tx1"/>
            </w14:solidFill>
          </w14:textFill>
        </w:rPr>
        <w:t>优</w:t>
      </w:r>
      <w:r>
        <w:rPr>
          <w:rFonts w:hint="eastAsia" w:ascii="宋体" w:hAnsi="宋体" w:cs="HiddenHorzOCR"/>
          <w:color w:val="000000" w:themeColor="text1"/>
          <w:kern w:val="0"/>
          <w:szCs w:val="21"/>
          <w14:textFill>
            <w14:solidFill>
              <w14:schemeClr w14:val="tx1"/>
            </w14:solidFill>
          </w14:textFill>
        </w:rPr>
        <w:t>先</w:t>
      </w:r>
      <w:r>
        <w:rPr>
          <w:rFonts w:ascii="宋体" w:hAnsi="宋体" w:cs="HiddenHorzOCR"/>
          <w:color w:val="000000" w:themeColor="text1"/>
          <w:kern w:val="0"/>
          <w:szCs w:val="21"/>
          <w14:textFill>
            <w14:solidFill>
              <w14:schemeClr w14:val="tx1"/>
            </w14:solidFill>
          </w14:textFill>
        </w:rPr>
        <w:t>:</w:t>
      </w: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标报</w:t>
      </w:r>
      <w:r>
        <w:rPr>
          <w:rFonts w:hint="eastAsia" w:ascii="宋体" w:hAnsi="宋体" w:cs="HiddenHorzOCR"/>
          <w:color w:val="000000" w:themeColor="text1"/>
          <w:kern w:val="0"/>
          <w:szCs w:val="21"/>
          <w14:textFill>
            <w14:solidFill>
              <w14:schemeClr w14:val="tx1"/>
            </w14:solidFill>
          </w14:textFill>
        </w:rPr>
        <w:t>价也相等的，由招</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人自行确定。</w:t>
      </w:r>
    </w:p>
    <w:p w14:paraId="7C952F08">
      <w:pPr>
        <w:keepNext w:val="0"/>
        <w:keepLines w:val="0"/>
        <w:pageBreakBefore w:val="0"/>
        <w:widowControl w:val="0"/>
        <w:kinsoku/>
        <w:wordWrap/>
        <w:overflowPunct/>
        <w:topLinePunct w:val="0"/>
        <w:bidi w:val="0"/>
        <w:snapToGrid/>
        <w:spacing w:line="360" w:lineRule="auto"/>
        <w:textAlignment w:val="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 </w:t>
      </w:r>
      <w:r>
        <w:rPr>
          <w:rFonts w:hint="eastAsia" w:ascii="宋体" w:hAnsi="宋体"/>
          <w:color w:val="000000" w:themeColor="text1"/>
          <w14:textFill>
            <w14:solidFill>
              <w14:schemeClr w14:val="tx1"/>
            </w14:solidFill>
          </w14:textFill>
        </w:rPr>
        <w:t>评审标准</w:t>
      </w:r>
    </w:p>
    <w:p w14:paraId="33E28C54">
      <w:pPr>
        <w:keepNext w:val="0"/>
        <w:keepLines w:val="0"/>
        <w:pageBreakBefore w:val="0"/>
        <w:widowControl w:val="0"/>
        <w:kinsoku/>
        <w:wordWrap/>
        <w:overflowPunct/>
        <w:topLinePunct w:val="0"/>
        <w:bidi w:val="0"/>
        <w:snapToGrid/>
        <w:spacing w:line="360" w:lineRule="auto"/>
        <w:textAlignment w:val="auto"/>
        <w:rPr>
          <w:rFonts w:ascii="宋体" w:hAnsi="宋体"/>
          <w:color w:val="000000" w:themeColor="text1"/>
          <w:kern w:val="0"/>
          <w14:textFill>
            <w14:solidFill>
              <w14:schemeClr w14:val="tx1"/>
            </w14:solidFill>
          </w14:textFill>
        </w:rPr>
      </w:pPr>
      <w:r>
        <w:rPr>
          <w:rFonts w:ascii="宋体" w:hAnsi="宋体"/>
          <w:color w:val="000000" w:themeColor="text1"/>
          <w:kern w:val="0"/>
          <w14:textFill>
            <w14:solidFill>
              <w14:schemeClr w14:val="tx1"/>
            </w14:solidFill>
          </w14:textFill>
        </w:rPr>
        <w:t xml:space="preserve">2.1 </w:t>
      </w:r>
      <w:r>
        <w:rPr>
          <w:rFonts w:hint="eastAsia" w:ascii="宋体" w:hAnsi="宋体"/>
          <w:color w:val="000000" w:themeColor="text1"/>
          <w:kern w:val="0"/>
          <w14:textFill>
            <w14:solidFill>
              <w14:schemeClr w14:val="tx1"/>
            </w14:solidFill>
          </w14:textFill>
        </w:rPr>
        <w:t>初步评审标准</w:t>
      </w:r>
    </w:p>
    <w:p w14:paraId="5102B899">
      <w:pPr>
        <w:keepNext w:val="0"/>
        <w:keepLines w:val="0"/>
        <w:pageBreakBefore w:val="0"/>
        <w:widowControl w:val="0"/>
        <w:kinsoku/>
        <w:wordWrap/>
        <w:overflowPunct/>
        <w:topLinePunct w:val="0"/>
        <w:bidi w:val="0"/>
        <w:snapToGrid/>
        <w:spacing w:line="360" w:lineRule="auto"/>
        <w:textAlignment w:val="auto"/>
        <w:rPr>
          <w:rFonts w:hint="eastAsia" w:ascii="宋体" w:hAnsi="宋体" w:cs="HiddenHorzOCR"/>
          <w:color w:val="000000" w:themeColor="text1"/>
          <w:kern w:val="0"/>
          <w:szCs w:val="21"/>
          <w14:textFill>
            <w14:solidFill>
              <w14:schemeClr w14:val="tx1"/>
            </w14:solidFill>
          </w14:textFill>
        </w:rPr>
      </w:pPr>
      <w:r>
        <w:rPr>
          <w:rFonts w:ascii="宋体" w:hAnsi="宋体"/>
          <w:color w:val="000000" w:themeColor="text1"/>
          <w14:textFill>
            <w14:solidFill>
              <w14:schemeClr w14:val="tx1"/>
            </w14:solidFill>
          </w14:textFill>
        </w:rPr>
        <w:t xml:space="preserve">2.1.1 </w:t>
      </w:r>
      <w:r>
        <w:rPr>
          <w:rFonts w:hint="eastAsia" w:ascii="宋体" w:hAnsi="宋体" w:cs="HiddenHorzOCR"/>
          <w:color w:val="000000" w:themeColor="text1"/>
          <w:kern w:val="0"/>
          <w:szCs w:val="21"/>
          <w14:textFill>
            <w14:solidFill>
              <w14:schemeClr w14:val="tx1"/>
            </w14:solidFill>
          </w14:textFill>
        </w:rPr>
        <w:t>形式</w:t>
      </w:r>
      <w:r>
        <w:rPr>
          <w:rFonts w:hint="eastAsia" w:ascii="宋体" w:hAnsi="宋体" w:cs="宋体"/>
          <w:color w:val="000000" w:themeColor="text1"/>
          <w:kern w:val="0"/>
          <w:szCs w:val="21"/>
          <w14:textFill>
            <w14:solidFill>
              <w14:schemeClr w14:val="tx1"/>
            </w14:solidFill>
          </w14:textFill>
        </w:rPr>
        <w:t>评审标</w:t>
      </w:r>
      <w:r>
        <w:rPr>
          <w:rFonts w:hint="eastAsia" w:ascii="宋体" w:hAnsi="宋体" w:cs="HiddenHorzOCR"/>
          <w:color w:val="000000" w:themeColor="text1"/>
          <w:kern w:val="0"/>
          <w:szCs w:val="21"/>
          <w14:textFill>
            <w14:solidFill>
              <w14:schemeClr w14:val="tx1"/>
            </w14:solidFill>
          </w14:textFill>
        </w:rPr>
        <w:t>准：</w:t>
      </w:r>
      <w:r>
        <w:rPr>
          <w:rFonts w:ascii="宋体" w:hAnsi="宋体" w:cs="HiddenHorzOCR"/>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见评标办</w:t>
      </w:r>
      <w:r>
        <w:rPr>
          <w:rFonts w:hint="eastAsia" w:ascii="宋体" w:hAnsi="宋体" w:cs="HiddenHorzOCR"/>
          <w:color w:val="000000" w:themeColor="text1"/>
          <w:kern w:val="0"/>
          <w:szCs w:val="21"/>
          <w14:textFill>
            <w14:solidFill>
              <w14:schemeClr w14:val="tx1"/>
            </w14:solidFill>
          </w14:textFill>
        </w:rPr>
        <w:t>法前附表。</w:t>
      </w:r>
    </w:p>
    <w:p w14:paraId="5A419CB1">
      <w:pPr>
        <w:keepNext w:val="0"/>
        <w:keepLines w:val="0"/>
        <w:pageBreakBefore w:val="0"/>
        <w:widowControl w:val="0"/>
        <w:kinsoku/>
        <w:wordWrap/>
        <w:overflowPunct/>
        <w:topLinePunct w:val="0"/>
        <w:bidi w:val="0"/>
        <w:snapToGrid/>
        <w:spacing w:line="360" w:lineRule="auto"/>
        <w:textAlignment w:val="auto"/>
        <w:rPr>
          <w:rFonts w:hint="eastAsia" w:ascii="宋体" w:hAnsi="宋体" w:cs="HiddenHorzOCR"/>
          <w:color w:val="000000" w:themeColor="text1"/>
          <w:kern w:val="0"/>
          <w:szCs w:val="21"/>
          <w14:textFill>
            <w14:solidFill>
              <w14:schemeClr w14:val="tx1"/>
            </w14:solidFill>
          </w14:textFill>
        </w:rPr>
      </w:pPr>
      <w:r>
        <w:rPr>
          <w:rFonts w:ascii="宋体" w:hAnsi="宋体"/>
          <w:color w:val="000000" w:themeColor="text1"/>
          <w14:textFill>
            <w14:solidFill>
              <w14:schemeClr w14:val="tx1"/>
            </w14:solidFill>
          </w14:textFill>
        </w:rPr>
        <w:t xml:space="preserve">2.1.2 </w:t>
      </w:r>
      <w:r>
        <w:rPr>
          <w:rFonts w:hint="eastAsia" w:ascii="宋体" w:hAnsi="宋体" w:cs="宋体"/>
          <w:color w:val="000000" w:themeColor="text1"/>
          <w:kern w:val="0"/>
          <w:szCs w:val="21"/>
          <w14:textFill>
            <w14:solidFill>
              <w14:schemeClr w14:val="tx1"/>
            </w14:solidFill>
          </w14:textFill>
        </w:rPr>
        <w:t>资</w:t>
      </w:r>
      <w:r>
        <w:rPr>
          <w:rFonts w:hint="eastAsia" w:ascii="宋体" w:hAnsi="宋体" w:cs="HiddenHorzOCR"/>
          <w:color w:val="000000" w:themeColor="text1"/>
          <w:kern w:val="0"/>
          <w:szCs w:val="21"/>
          <w14:textFill>
            <w14:solidFill>
              <w14:schemeClr w14:val="tx1"/>
            </w14:solidFill>
          </w14:textFill>
        </w:rPr>
        <w:t>格</w:t>
      </w:r>
      <w:r>
        <w:rPr>
          <w:rFonts w:hint="eastAsia" w:ascii="宋体" w:hAnsi="宋体" w:cs="宋体"/>
          <w:color w:val="000000" w:themeColor="text1"/>
          <w:kern w:val="0"/>
          <w:szCs w:val="21"/>
          <w14:textFill>
            <w14:solidFill>
              <w14:schemeClr w14:val="tx1"/>
            </w14:solidFill>
          </w14:textFill>
        </w:rPr>
        <w:t>评审标</w:t>
      </w:r>
      <w:r>
        <w:rPr>
          <w:rFonts w:hint="eastAsia" w:ascii="宋体" w:hAnsi="宋体" w:cs="HiddenHorzOCR"/>
          <w:color w:val="000000" w:themeColor="text1"/>
          <w:kern w:val="0"/>
          <w:szCs w:val="21"/>
          <w14:textFill>
            <w14:solidFill>
              <w14:schemeClr w14:val="tx1"/>
            </w14:solidFill>
          </w14:textFill>
        </w:rPr>
        <w:t>准：</w:t>
      </w:r>
      <w:r>
        <w:rPr>
          <w:rFonts w:ascii="宋体" w:hAnsi="宋体" w:cs="HiddenHorzOCR"/>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见</w:t>
      </w:r>
      <w:r>
        <w:rPr>
          <w:rFonts w:hint="eastAsia" w:ascii="宋体" w:hAnsi="宋体" w:cs="宋体"/>
          <w:color w:val="000000" w:themeColor="text1"/>
          <w:kern w:val="0"/>
          <w:szCs w:val="21"/>
          <w:lang w:eastAsia="zh-CN"/>
          <w14:textFill>
            <w14:solidFill>
              <w14:schemeClr w14:val="tx1"/>
            </w14:solidFill>
          </w14:textFill>
        </w:rPr>
        <w:t>招标文件</w:t>
      </w:r>
      <w:r>
        <w:rPr>
          <w:rFonts w:hint="eastAsia" w:ascii="宋体" w:hAnsi="宋体" w:cs="HiddenHorzOCR"/>
          <w:color w:val="000000" w:themeColor="text1"/>
          <w:kern w:val="0"/>
          <w:szCs w:val="21"/>
          <w14:textFill>
            <w14:solidFill>
              <w14:schemeClr w14:val="tx1"/>
            </w14:solidFill>
          </w14:textFill>
        </w:rPr>
        <w:t>文件第三章</w:t>
      </w:r>
      <w:r>
        <w:rPr>
          <w:rFonts w:ascii="宋体" w:hAnsi="宋体" w:cs="HiddenHorzOCR"/>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资</w:t>
      </w:r>
      <w:r>
        <w:rPr>
          <w:rFonts w:hint="eastAsia" w:ascii="宋体" w:hAnsi="宋体" w:cs="HiddenHorzOCR"/>
          <w:color w:val="000000" w:themeColor="text1"/>
          <w:kern w:val="0"/>
          <w:szCs w:val="21"/>
          <w14:textFill>
            <w14:solidFill>
              <w14:schemeClr w14:val="tx1"/>
            </w14:solidFill>
          </w14:textFill>
        </w:rPr>
        <w:t>格</w:t>
      </w:r>
      <w:r>
        <w:rPr>
          <w:rFonts w:hint="eastAsia" w:ascii="宋体" w:hAnsi="宋体" w:cs="宋体"/>
          <w:color w:val="000000" w:themeColor="text1"/>
          <w:kern w:val="0"/>
          <w:szCs w:val="21"/>
          <w14:textFill>
            <w14:solidFill>
              <w14:schemeClr w14:val="tx1"/>
            </w14:solidFill>
          </w14:textFill>
        </w:rPr>
        <w:t>审查办</w:t>
      </w:r>
      <w:r>
        <w:rPr>
          <w:rFonts w:hint="eastAsia" w:ascii="宋体" w:hAnsi="宋体" w:cs="HiddenHorzOCR"/>
          <w:color w:val="000000" w:themeColor="text1"/>
          <w:kern w:val="0"/>
          <w:szCs w:val="21"/>
          <w14:textFill>
            <w14:solidFill>
              <w14:schemeClr w14:val="tx1"/>
            </w14:solidFill>
          </w14:textFill>
        </w:rPr>
        <w:t>法</w:t>
      </w:r>
      <w:r>
        <w:rPr>
          <w:rFonts w:ascii="宋体" w:hAnsi="宋体" w:cs="HiddenHorzOCR"/>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详细审查标</w:t>
      </w:r>
      <w:r>
        <w:rPr>
          <w:rFonts w:hint="eastAsia" w:ascii="宋体" w:hAnsi="宋体" w:cs="HiddenHorzOCR"/>
          <w:color w:val="000000" w:themeColor="text1"/>
          <w:kern w:val="0"/>
          <w:szCs w:val="21"/>
          <w14:textFill>
            <w14:solidFill>
              <w14:schemeClr w14:val="tx1"/>
            </w14:solidFill>
          </w14:textFill>
        </w:rPr>
        <w:t>准</w:t>
      </w:r>
    </w:p>
    <w:p w14:paraId="164F33A6">
      <w:pPr>
        <w:keepNext w:val="0"/>
        <w:keepLines w:val="0"/>
        <w:pageBreakBefore w:val="0"/>
        <w:widowControl w:val="0"/>
        <w:kinsoku/>
        <w:wordWrap/>
        <w:overflowPunct/>
        <w:topLinePunct w:val="0"/>
        <w:bidi w:val="0"/>
        <w:snapToGrid/>
        <w:spacing w:line="360" w:lineRule="auto"/>
        <w:textAlignment w:val="auto"/>
        <w:rPr>
          <w:rFonts w:ascii="宋体" w:hAnsi="宋体" w:cs="HiddenHorzOCR"/>
          <w:color w:val="000000" w:themeColor="text1"/>
          <w:kern w:val="0"/>
          <w:szCs w:val="21"/>
          <w14:textFill>
            <w14:solidFill>
              <w14:schemeClr w14:val="tx1"/>
            </w14:solidFill>
          </w14:textFill>
        </w:rPr>
      </w:pPr>
      <w:r>
        <w:rPr>
          <w:rFonts w:ascii="宋体" w:hAnsi="宋体"/>
          <w:color w:val="000000" w:themeColor="text1"/>
          <w14:textFill>
            <w14:solidFill>
              <w14:schemeClr w14:val="tx1"/>
            </w14:solidFill>
          </w14:textFill>
        </w:rPr>
        <w:t>2.1.3</w:t>
      </w:r>
      <w:r>
        <w:rPr>
          <w:rFonts w:ascii="宋体" w:hAnsi="宋体" w:cs="HiddenHorzOCR"/>
          <w:color w:val="000000" w:themeColor="text1"/>
          <w:kern w:val="0"/>
          <w:szCs w:val="21"/>
          <w14:textFill>
            <w14:solidFill>
              <w14:schemeClr w14:val="tx1"/>
            </w14:solidFill>
          </w14:textFill>
        </w:rPr>
        <w:t xml:space="preserve"> </w:t>
      </w:r>
      <w:r>
        <w:rPr>
          <w:rFonts w:hint="eastAsia" w:ascii="宋体" w:hAnsi="宋体" w:cs="HiddenHorzOCR"/>
          <w:color w:val="000000" w:themeColor="text1"/>
          <w:kern w:val="0"/>
          <w:szCs w:val="21"/>
          <w14:textFill>
            <w14:solidFill>
              <w14:schemeClr w14:val="tx1"/>
            </w14:solidFill>
          </w14:textFill>
        </w:rPr>
        <w:t>响</w:t>
      </w:r>
      <w:r>
        <w:rPr>
          <w:rFonts w:hint="eastAsia" w:ascii="宋体" w:hAnsi="宋体" w:cs="宋体"/>
          <w:color w:val="000000" w:themeColor="text1"/>
          <w:kern w:val="0"/>
          <w:szCs w:val="21"/>
          <w14:textFill>
            <w14:solidFill>
              <w14:schemeClr w14:val="tx1"/>
            </w14:solidFill>
          </w14:textFill>
        </w:rPr>
        <w:t>应</w:t>
      </w:r>
      <w:r>
        <w:rPr>
          <w:rFonts w:hint="eastAsia" w:ascii="宋体" w:hAnsi="宋体" w:cs="HiddenHorzOCR"/>
          <w:color w:val="000000" w:themeColor="text1"/>
          <w:kern w:val="0"/>
          <w:szCs w:val="21"/>
          <w14:textFill>
            <w14:solidFill>
              <w14:schemeClr w14:val="tx1"/>
            </w14:solidFill>
          </w14:textFill>
        </w:rPr>
        <w:t>性</w:t>
      </w:r>
      <w:r>
        <w:rPr>
          <w:rFonts w:hint="eastAsia" w:ascii="宋体" w:hAnsi="宋体" w:cs="宋体"/>
          <w:color w:val="000000" w:themeColor="text1"/>
          <w:kern w:val="0"/>
          <w:szCs w:val="21"/>
          <w14:textFill>
            <w14:solidFill>
              <w14:schemeClr w14:val="tx1"/>
            </w14:solidFill>
          </w14:textFill>
        </w:rPr>
        <w:t>评审标</w:t>
      </w:r>
      <w:r>
        <w:rPr>
          <w:rFonts w:hint="eastAsia" w:ascii="宋体" w:hAnsi="宋体" w:cs="HiddenHorzOCR"/>
          <w:color w:val="000000" w:themeColor="text1"/>
          <w:kern w:val="0"/>
          <w:szCs w:val="21"/>
          <w14:textFill>
            <w14:solidFill>
              <w14:schemeClr w14:val="tx1"/>
            </w14:solidFill>
          </w14:textFill>
        </w:rPr>
        <w:t>准:</w:t>
      </w:r>
      <w:r>
        <w:rPr>
          <w:rFonts w:ascii="宋体" w:hAnsi="宋体" w:cs="HiddenHorzOCR"/>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见评标办</w:t>
      </w:r>
      <w:r>
        <w:rPr>
          <w:rFonts w:hint="eastAsia" w:ascii="宋体" w:hAnsi="宋体" w:cs="HiddenHorzOCR"/>
          <w:color w:val="000000" w:themeColor="text1"/>
          <w:kern w:val="0"/>
          <w:szCs w:val="21"/>
          <w14:textFill>
            <w14:solidFill>
              <w14:schemeClr w14:val="tx1"/>
            </w14:solidFill>
          </w14:textFill>
        </w:rPr>
        <w:t>法前附表。</w:t>
      </w:r>
    </w:p>
    <w:p w14:paraId="01CF1504">
      <w:pPr>
        <w:keepNext w:val="0"/>
        <w:keepLines w:val="0"/>
        <w:pageBreakBefore w:val="0"/>
        <w:widowControl w:val="0"/>
        <w:kinsoku/>
        <w:wordWrap/>
        <w:overflowPunct/>
        <w:topLinePunct w:val="0"/>
        <w:bidi w:val="0"/>
        <w:snapToGrid/>
        <w:spacing w:line="360" w:lineRule="auto"/>
        <w:textAlignment w:val="auto"/>
        <w:rPr>
          <w:rFonts w:ascii="宋体" w:hAnsi="宋体"/>
          <w:color w:val="000000" w:themeColor="text1"/>
          <w:kern w:val="0"/>
          <w14:textFill>
            <w14:solidFill>
              <w14:schemeClr w14:val="tx1"/>
            </w14:solidFill>
          </w14:textFill>
        </w:rPr>
      </w:pPr>
      <w:r>
        <w:rPr>
          <w:rFonts w:hint="eastAsia" w:ascii="宋体" w:hAnsi="宋体"/>
          <w:color w:val="000000" w:themeColor="text1"/>
          <w:kern w:val="0"/>
          <w14:textFill>
            <w14:solidFill>
              <w14:schemeClr w14:val="tx1"/>
            </w14:solidFill>
          </w14:textFill>
        </w:rPr>
        <w:t>2.2 分值构成与评分标准</w:t>
      </w:r>
    </w:p>
    <w:p w14:paraId="4AA2E6F6">
      <w:pPr>
        <w:keepNext w:val="0"/>
        <w:keepLines w:val="0"/>
        <w:pageBreakBefore w:val="0"/>
        <w:widowControl w:val="0"/>
        <w:kinsoku/>
        <w:wordWrap/>
        <w:overflowPunct/>
        <w:topLinePunct w:val="0"/>
        <w:bidi w:val="0"/>
        <w:snapToGrid/>
        <w:spacing w:line="360" w:lineRule="auto"/>
        <w:textAlignment w:val="auto"/>
        <w:rPr>
          <w:rFonts w:hint="eastAsia"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2.2.1</w:t>
      </w:r>
      <w:r>
        <w:rPr>
          <w:rFonts w:hint="eastAsia" w:ascii="宋体" w:hAnsi="宋体" w:cs="HiddenHorzOCR"/>
          <w:color w:val="000000" w:themeColor="text1"/>
          <w:kern w:val="0"/>
          <w:szCs w:val="21"/>
          <w14:textFill>
            <w14:solidFill>
              <w14:schemeClr w14:val="tx1"/>
            </w14:solidFill>
          </w14:textFill>
        </w:rPr>
        <w:t xml:space="preserve"> </w:t>
      </w:r>
      <w:r>
        <w:rPr>
          <w:rFonts w:hint="eastAsia" w:ascii="宋体" w:hAnsi="宋体"/>
          <w:color w:val="000000" w:themeColor="text1"/>
          <w14:textFill>
            <w14:solidFill>
              <w14:schemeClr w14:val="tx1"/>
            </w14:solidFill>
          </w14:textFill>
        </w:rPr>
        <w:t>分值构成</w:t>
      </w:r>
    </w:p>
    <w:p w14:paraId="37B4BB89">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(1)</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lang w:val="en-US" w:eastAsia="zh-CN"/>
          <w14:textFill>
            <w14:solidFill>
              <w14:schemeClr w14:val="tx1"/>
            </w14:solidFill>
          </w14:textFill>
        </w:rPr>
        <w:t>技术部分</w:t>
      </w:r>
      <w:r>
        <w:rPr>
          <w:rFonts w:hint="eastAsia" w:ascii="宋体" w:hAnsi="宋体" w:cs="宋体"/>
          <w:color w:val="000000" w:themeColor="text1"/>
          <w14:textFill>
            <w14:solidFill>
              <w14:schemeClr w14:val="tx1"/>
            </w14:solidFill>
          </w14:textFill>
        </w:rPr>
        <w:t>评分标准：见评标办法前附表；</w:t>
      </w:r>
    </w:p>
    <w:p w14:paraId="199260B8">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2</w:t>
      </w:r>
      <w:r>
        <w:rPr>
          <w:rFonts w:hint="eastAsia" w:ascii="宋体" w:hAnsi="宋体" w:cs="宋体"/>
          <w:color w:val="000000" w:themeColor="text1"/>
          <w14:textFill>
            <w14:solidFill>
              <w14:schemeClr w14:val="tx1"/>
            </w14:solidFill>
          </w14:textFill>
        </w:rPr>
        <w:t>) 投标报价及合理性评分标准: 见评标办法前附表；</w:t>
      </w:r>
    </w:p>
    <w:p w14:paraId="2CE1EA25">
      <w:pPr>
        <w:keepNext w:val="0"/>
        <w:keepLines w:val="0"/>
        <w:pageBreakBefore w:val="0"/>
        <w:widowControl w:val="0"/>
        <w:kinsoku/>
        <w:wordWrap/>
        <w:overflowPunct/>
        <w:topLinePunct w:val="0"/>
        <w:bidi w:val="0"/>
        <w:snapToGrid/>
        <w:spacing w:line="360" w:lineRule="auto"/>
        <w:textAlignment w:val="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14:textFill>
            <w14:solidFill>
              <w14:schemeClr w14:val="tx1"/>
            </w14:solidFill>
          </w14:textFill>
        </w:rPr>
        <w:t xml:space="preserve">2.2.2 </w:t>
      </w:r>
      <w:r>
        <w:rPr>
          <w:rFonts w:hint="eastAsia" w:ascii="宋体" w:hAnsi="宋体"/>
          <w:color w:val="000000" w:themeColor="text1"/>
          <w14:textFill>
            <w14:solidFill>
              <w14:schemeClr w14:val="tx1"/>
            </w14:solidFill>
          </w14:textFill>
        </w:rPr>
        <w:t>采用有效报价的平均数确定评标基准价</w:t>
      </w:r>
    </w:p>
    <w:p w14:paraId="1111A726">
      <w:pPr>
        <w:rPr>
          <w:rFonts w:hint="eastAsia" w:hAnsi="宋体"/>
          <w:color w:val="000000" w:themeColor="text1"/>
          <w:szCs w:val="21"/>
          <w14:textFill>
            <w14:solidFill>
              <w14:schemeClr w14:val="tx1"/>
            </w14:solidFill>
          </w14:textFill>
        </w:rPr>
      </w:pPr>
      <w:r>
        <w:rPr>
          <w:rFonts w:hint="eastAsia" w:hAnsi="宋体"/>
          <w:bCs/>
          <w:i/>
          <w:color w:val="000000" w:themeColor="text1"/>
          <w:spacing w:val="30"/>
          <w14:textFill>
            <w14:solidFill>
              <w14:schemeClr w14:val="tx1"/>
            </w14:solidFill>
          </w14:textFill>
        </w:rPr>
        <w:t xml:space="preserve">S= </w:t>
      </w:r>
      <w:r>
        <w:rPr>
          <w:rFonts w:hint="eastAsia" w:hAnsi="宋体"/>
          <w:bCs/>
          <w:i/>
          <w:color w:val="000000" w:themeColor="text1"/>
          <w:spacing w:val="30"/>
          <w:u w:val="single"/>
          <w14:textFill>
            <w14:solidFill>
              <w14:schemeClr w14:val="tx1"/>
            </w14:solidFill>
          </w14:textFill>
        </w:rPr>
        <w:t xml:space="preserve"> </w:t>
      </w:r>
      <w:r>
        <w:rPr>
          <w:rFonts w:hint="eastAsia" w:hAnsi="宋体"/>
          <w:color w:val="000000" w:themeColor="text1"/>
          <w:spacing w:val="24"/>
          <w:u w:val="single"/>
          <w14:textFill>
            <w14:solidFill>
              <w14:schemeClr w14:val="tx1"/>
            </w14:solidFill>
          </w14:textFill>
        </w:rPr>
        <w:t>a</w:t>
      </w:r>
      <w:r>
        <w:rPr>
          <w:rFonts w:hint="eastAsia" w:hAnsi="宋体"/>
          <w:color w:val="000000" w:themeColor="text1"/>
          <w:spacing w:val="24"/>
          <w:u w:val="single"/>
          <w:vertAlign w:val="subscript"/>
          <w14:textFill>
            <w14:solidFill>
              <w14:schemeClr w14:val="tx1"/>
            </w14:solidFill>
          </w14:textFill>
        </w:rPr>
        <w:t>1</w:t>
      </w:r>
      <w:r>
        <w:rPr>
          <w:rFonts w:hint="eastAsia" w:hAnsi="宋体"/>
          <w:color w:val="000000" w:themeColor="text1"/>
          <w:spacing w:val="24"/>
          <w:u w:val="single"/>
          <w14:textFill>
            <w14:solidFill>
              <w14:schemeClr w14:val="tx1"/>
            </w14:solidFill>
          </w14:textFill>
        </w:rPr>
        <w:t>+a</w:t>
      </w:r>
      <w:r>
        <w:rPr>
          <w:rFonts w:hint="eastAsia" w:hAnsi="宋体"/>
          <w:color w:val="000000" w:themeColor="text1"/>
          <w:spacing w:val="24"/>
          <w:u w:val="single"/>
          <w:vertAlign w:val="subscript"/>
          <w14:textFill>
            <w14:solidFill>
              <w14:schemeClr w14:val="tx1"/>
            </w14:solidFill>
          </w14:textFill>
        </w:rPr>
        <w:t>2</w:t>
      </w:r>
      <w:r>
        <w:rPr>
          <w:rFonts w:hint="eastAsia" w:hAnsi="宋体"/>
          <w:color w:val="000000" w:themeColor="text1"/>
          <w:spacing w:val="24"/>
          <w:u w:val="single"/>
          <w14:textFill>
            <w14:solidFill>
              <w14:schemeClr w14:val="tx1"/>
            </w14:solidFill>
          </w14:textFill>
        </w:rPr>
        <w:t xml:space="preserve">+ </w:t>
      </w:r>
      <w:r>
        <w:rPr>
          <w:rFonts w:hAnsi="宋体"/>
          <w:color w:val="000000" w:themeColor="text1"/>
          <w:spacing w:val="24"/>
          <w:u w:val="single"/>
          <w14:textFill>
            <w14:solidFill>
              <w14:schemeClr w14:val="tx1"/>
            </w14:solidFill>
          </w14:textFill>
        </w:rPr>
        <w:t>…</w:t>
      </w:r>
      <w:r>
        <w:rPr>
          <w:rFonts w:hint="eastAsia" w:hAnsi="宋体"/>
          <w:color w:val="000000" w:themeColor="text1"/>
          <w:spacing w:val="24"/>
          <w:u w:val="single"/>
          <w14:textFill>
            <w14:solidFill>
              <w14:schemeClr w14:val="tx1"/>
            </w14:solidFill>
          </w14:textFill>
        </w:rPr>
        <w:t xml:space="preserve"> +a</w:t>
      </w:r>
      <w:r>
        <w:rPr>
          <w:rFonts w:hint="eastAsia" w:hAnsi="宋体"/>
          <w:color w:val="000000" w:themeColor="text1"/>
          <w:spacing w:val="24"/>
          <w:u w:val="single"/>
          <w:vertAlign w:val="subscript"/>
          <w14:textFill>
            <w14:solidFill>
              <w14:schemeClr w14:val="tx1"/>
            </w14:solidFill>
          </w14:textFill>
        </w:rPr>
        <w:t>n</w:t>
      </w:r>
      <w:r>
        <w:rPr>
          <w:rFonts w:hint="eastAsia" w:hAnsi="宋体"/>
          <w:color w:val="000000" w:themeColor="text1"/>
          <w:spacing w:val="24"/>
          <w:u w:val="single"/>
          <w14:textFill>
            <w14:solidFill>
              <w14:schemeClr w14:val="tx1"/>
            </w14:solidFill>
          </w14:textFill>
        </w:rPr>
        <w:t>-M-N</w:t>
      </w:r>
      <w:r>
        <w:rPr>
          <w:rFonts w:hint="eastAsia"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       （n≥5</w:t>
      </w:r>
      <w:r>
        <w:rPr>
          <w:rFonts w:hAnsi="宋体"/>
          <w:color w:val="000000" w:themeColor="text1"/>
          <w:szCs w:val="21"/>
          <w14:textFill>
            <w14:solidFill>
              <w14:schemeClr w14:val="tx1"/>
            </w14:solidFill>
          </w14:textFill>
        </w:rPr>
        <w:t>）</w:t>
      </w:r>
    </w:p>
    <w:p w14:paraId="53346116">
      <w:pP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n-2</w:t>
      </w:r>
    </w:p>
    <w:p w14:paraId="3E31CAA8">
      <w:pPr>
        <w:rPr>
          <w:rFonts w:hint="eastAsia" w:hAnsi="宋体"/>
          <w:color w:val="000000" w:themeColor="text1"/>
          <w:szCs w:val="21"/>
          <w14:textFill>
            <w14:solidFill>
              <w14:schemeClr w14:val="tx1"/>
            </w14:solidFill>
          </w14:textFill>
        </w:rPr>
      </w:pPr>
      <w:r>
        <w:rPr>
          <w:rFonts w:hint="eastAsia" w:hAnsi="宋体"/>
          <w:bCs/>
          <w:i/>
          <w:color w:val="000000" w:themeColor="text1"/>
          <w:spacing w:val="30"/>
          <w14:textFill>
            <w14:solidFill>
              <w14:schemeClr w14:val="tx1"/>
            </w14:solidFill>
          </w14:textFill>
        </w:rPr>
        <w:t xml:space="preserve">S= </w:t>
      </w:r>
      <w:r>
        <w:rPr>
          <w:rFonts w:hint="eastAsia" w:hAnsi="宋体"/>
          <w:bCs/>
          <w:i/>
          <w:color w:val="000000" w:themeColor="text1"/>
          <w:spacing w:val="30"/>
          <w:u w:val="single"/>
          <w14:textFill>
            <w14:solidFill>
              <w14:schemeClr w14:val="tx1"/>
            </w14:solidFill>
          </w14:textFill>
        </w:rPr>
        <w:t xml:space="preserve"> </w:t>
      </w:r>
      <w:r>
        <w:rPr>
          <w:rFonts w:hint="eastAsia" w:hAnsi="宋体"/>
          <w:color w:val="000000" w:themeColor="text1"/>
          <w:spacing w:val="24"/>
          <w:u w:val="single"/>
          <w14:textFill>
            <w14:solidFill>
              <w14:schemeClr w14:val="tx1"/>
            </w14:solidFill>
          </w14:textFill>
        </w:rPr>
        <w:t>a</w:t>
      </w:r>
      <w:r>
        <w:rPr>
          <w:rFonts w:hint="eastAsia" w:hAnsi="宋体"/>
          <w:color w:val="000000" w:themeColor="text1"/>
          <w:spacing w:val="24"/>
          <w:u w:val="single"/>
          <w:vertAlign w:val="subscript"/>
          <w14:textFill>
            <w14:solidFill>
              <w14:schemeClr w14:val="tx1"/>
            </w14:solidFill>
          </w14:textFill>
        </w:rPr>
        <w:t>1</w:t>
      </w:r>
      <w:r>
        <w:rPr>
          <w:rFonts w:hint="eastAsia" w:hAnsi="宋体"/>
          <w:color w:val="000000" w:themeColor="text1"/>
          <w:spacing w:val="24"/>
          <w:u w:val="single"/>
          <w14:textFill>
            <w14:solidFill>
              <w14:schemeClr w14:val="tx1"/>
            </w14:solidFill>
          </w14:textFill>
        </w:rPr>
        <w:t>+a</w:t>
      </w:r>
      <w:r>
        <w:rPr>
          <w:rFonts w:hint="eastAsia" w:hAnsi="宋体"/>
          <w:color w:val="000000" w:themeColor="text1"/>
          <w:spacing w:val="24"/>
          <w:u w:val="single"/>
          <w:vertAlign w:val="subscript"/>
          <w14:textFill>
            <w14:solidFill>
              <w14:schemeClr w14:val="tx1"/>
            </w14:solidFill>
          </w14:textFill>
        </w:rPr>
        <w:t>2</w:t>
      </w:r>
      <w:r>
        <w:rPr>
          <w:rFonts w:hint="eastAsia" w:hAnsi="宋体"/>
          <w:color w:val="000000" w:themeColor="text1"/>
          <w:spacing w:val="24"/>
          <w:u w:val="single"/>
          <w14:textFill>
            <w14:solidFill>
              <w14:schemeClr w14:val="tx1"/>
            </w14:solidFill>
          </w14:textFill>
        </w:rPr>
        <w:t xml:space="preserve">+ </w:t>
      </w:r>
      <w:r>
        <w:rPr>
          <w:rFonts w:hAnsi="宋体"/>
          <w:color w:val="000000" w:themeColor="text1"/>
          <w:spacing w:val="24"/>
          <w:u w:val="single"/>
          <w14:textFill>
            <w14:solidFill>
              <w14:schemeClr w14:val="tx1"/>
            </w14:solidFill>
          </w14:textFill>
        </w:rPr>
        <w:t>…</w:t>
      </w:r>
      <w:r>
        <w:rPr>
          <w:rFonts w:hint="eastAsia" w:hAnsi="宋体"/>
          <w:color w:val="000000" w:themeColor="text1"/>
          <w:spacing w:val="24"/>
          <w:u w:val="single"/>
          <w14:textFill>
            <w14:solidFill>
              <w14:schemeClr w14:val="tx1"/>
            </w14:solidFill>
          </w14:textFill>
        </w:rPr>
        <w:t xml:space="preserve"> +a</w:t>
      </w:r>
      <w:r>
        <w:rPr>
          <w:rFonts w:hint="eastAsia" w:hAnsi="宋体"/>
          <w:color w:val="000000" w:themeColor="text1"/>
          <w:spacing w:val="24"/>
          <w:u w:val="single"/>
          <w:vertAlign w:val="subscript"/>
          <w14:textFill>
            <w14:solidFill>
              <w14:schemeClr w14:val="tx1"/>
            </w14:solidFill>
          </w14:textFill>
        </w:rPr>
        <w:t>n</w:t>
      </w:r>
      <w:r>
        <w:rPr>
          <w:rFonts w:hint="eastAsia" w:hAnsi="宋体"/>
          <w:color w:val="000000" w:themeColor="text1"/>
          <w:spacing w:val="24"/>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       （n≤4</w:t>
      </w:r>
      <w:r>
        <w:rPr>
          <w:rFonts w:hAnsi="宋体"/>
          <w:color w:val="000000" w:themeColor="text1"/>
          <w:szCs w:val="21"/>
          <w14:textFill>
            <w14:solidFill>
              <w14:schemeClr w14:val="tx1"/>
            </w14:solidFill>
          </w14:textFill>
        </w:rPr>
        <w:t>）</w:t>
      </w:r>
    </w:p>
    <w:p w14:paraId="69E7BBBA">
      <w:pPr>
        <w:rPr>
          <w:rFonts w:hint="eastAsia" w:hAnsi="宋体"/>
          <w:color w:val="000000" w:themeColor="text1"/>
          <w:szCs w:val="21"/>
          <w14:textFill>
            <w14:solidFill>
              <w14:schemeClr w14:val="tx1"/>
            </w14:solidFill>
          </w14:textFill>
        </w:rPr>
      </w:pPr>
      <w:r>
        <w:rPr>
          <w:rFonts w:hint="eastAsia" w:hAnsi="宋体"/>
          <w:color w:val="000000" w:themeColor="text1"/>
          <w14:textFill>
            <w14:solidFill>
              <w14:schemeClr w14:val="tx1"/>
            </w14:solidFill>
          </w14:textFill>
        </w:rPr>
        <w:t>n</w:t>
      </w:r>
    </w:p>
    <w:p w14:paraId="2D44F1CF">
      <w:pP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式中： S——评标基准价；</w:t>
      </w:r>
    </w:p>
    <w:p w14:paraId="51C131FD">
      <w:pP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       </w:t>
      </w:r>
      <w:r>
        <w:rPr>
          <w:rFonts w:hint="eastAsia" w:hAnsi="宋体"/>
          <w:color w:val="000000" w:themeColor="text1"/>
          <w:spacing w:val="24"/>
          <w:szCs w:val="21"/>
          <w14:textFill>
            <w14:solidFill>
              <w14:schemeClr w14:val="tx1"/>
            </w14:solidFill>
          </w14:textFill>
        </w:rPr>
        <w:t>a</w:t>
      </w:r>
      <w:r>
        <w:rPr>
          <w:rFonts w:hint="eastAsia" w:hAnsi="宋体"/>
          <w:color w:val="000000" w:themeColor="text1"/>
          <w:spacing w:val="24"/>
          <w:szCs w:val="21"/>
          <w:vertAlign w:val="subscript"/>
          <w14:textFill>
            <w14:solidFill>
              <w14:schemeClr w14:val="tx1"/>
            </w14:solidFill>
          </w14:textFill>
        </w:rPr>
        <w:t>i</w:t>
      </w:r>
      <w:r>
        <w:rPr>
          <w:rFonts w:hint="eastAsia" w:hAnsi="宋体"/>
          <w:color w:val="000000" w:themeColor="text1"/>
          <w:szCs w:val="21"/>
          <w14:textFill>
            <w14:solidFill>
              <w14:schemeClr w14:val="tx1"/>
            </w14:solidFill>
          </w14:textFill>
        </w:rPr>
        <w:t>——投标人的有效报价（i=1,2，</w:t>
      </w:r>
      <w:r>
        <w:rPr>
          <w:rFonts w:hAnsi="宋体"/>
          <w:color w:val="000000" w:themeColor="text1"/>
          <w:szCs w:val="21"/>
          <w14:textFill>
            <w14:solidFill>
              <w14:schemeClr w14:val="tx1"/>
            </w14:solidFill>
          </w14:textFill>
        </w:rPr>
        <w:t>…</w:t>
      </w:r>
      <w:r>
        <w:rPr>
          <w:rFonts w:hint="eastAsia" w:hAnsi="宋体"/>
          <w:color w:val="000000" w:themeColor="text1"/>
          <w:szCs w:val="21"/>
          <w14:textFill>
            <w14:solidFill>
              <w14:schemeClr w14:val="tx1"/>
            </w14:solidFill>
          </w14:textFill>
        </w:rPr>
        <w:t>,n</w:t>
      </w:r>
      <w:r>
        <w:rPr>
          <w:rFonts w:hAnsi="宋体"/>
          <w:color w:val="000000" w:themeColor="text1"/>
          <w:szCs w:val="21"/>
          <w14:textFill>
            <w14:solidFill>
              <w14:schemeClr w14:val="tx1"/>
            </w14:solidFill>
          </w14:textFill>
        </w:rPr>
        <w:t>）</w:t>
      </w:r>
      <w:r>
        <w:rPr>
          <w:rFonts w:hint="eastAsia" w:hAnsi="宋体"/>
          <w:color w:val="000000" w:themeColor="text1"/>
          <w:szCs w:val="21"/>
          <w14:textFill>
            <w14:solidFill>
              <w14:schemeClr w14:val="tx1"/>
            </w14:solidFill>
          </w14:textFill>
        </w:rPr>
        <w:t>；</w:t>
      </w:r>
    </w:p>
    <w:p w14:paraId="31EE9326">
      <w:pP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       n——有效报价的投标人个数；</w:t>
      </w:r>
    </w:p>
    <w:p w14:paraId="4148BC53">
      <w:pP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       M——最高的投标人有效报价；</w:t>
      </w:r>
    </w:p>
    <w:p w14:paraId="062FADF2">
      <w:pP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       N——最低的投标人有效报价；</w:t>
      </w:r>
    </w:p>
    <w:p w14:paraId="21AAE159">
      <w:pPr>
        <w:keepNext w:val="0"/>
        <w:keepLines w:val="0"/>
        <w:pageBreakBefore w:val="0"/>
        <w:widowControl w:val="0"/>
        <w:kinsoku/>
        <w:wordWrap/>
        <w:overflowPunct/>
        <w:topLinePunct w:val="0"/>
        <w:autoSpaceDE/>
        <w:autoSpaceDN/>
        <w:bidi w:val="0"/>
        <w:spacing w:line="360" w:lineRule="auto"/>
        <w:textAlignment w:val="auto"/>
        <w:rPr>
          <w:rFonts w:hint="eastAsia" w:hAnsi="宋体"/>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 xml:space="preserve">2.2.3 </w:t>
      </w:r>
      <w:r>
        <w:rPr>
          <w:rFonts w:hint="eastAsia" w:hAnsi="宋体"/>
          <w:color w:val="000000" w:themeColor="text1"/>
          <w:szCs w:val="21"/>
          <w14:textFill>
            <w14:solidFill>
              <w14:schemeClr w14:val="tx1"/>
            </w14:solidFill>
          </w14:textFill>
        </w:rPr>
        <w:t>投标报价的偏差率计算方法:</w:t>
      </w:r>
    </w:p>
    <w:p w14:paraId="7291C0AC">
      <w:pPr>
        <w:keepNext w:val="0"/>
        <w:keepLines w:val="0"/>
        <w:pageBreakBefore w:val="0"/>
        <w:widowControl w:val="0"/>
        <w:kinsoku/>
        <w:wordWrap/>
        <w:overflowPunct/>
        <w:topLinePunct w:val="0"/>
        <w:autoSpaceDE/>
        <w:autoSpaceDN/>
        <w:bidi w:val="0"/>
        <w:spacing w:line="360" w:lineRule="auto"/>
        <w:textAlignment w:val="auto"/>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偏差率= </w:t>
      </w:r>
      <w:r>
        <w:rPr>
          <w:rFonts w:hint="eastAsia" w:hAnsi="宋体"/>
          <w:color w:val="000000" w:themeColor="text1"/>
          <w:szCs w:val="21"/>
          <w:u w:val="single"/>
          <w14:textFill>
            <w14:solidFill>
              <w14:schemeClr w14:val="tx1"/>
            </w14:solidFill>
          </w14:textFill>
        </w:rPr>
        <w:t>(投标人报价-评标基准价)</w:t>
      </w:r>
      <w:r>
        <w:rPr>
          <w:rFonts w:hint="eastAsia" w:hAnsi="宋体"/>
          <w:color w:val="000000" w:themeColor="text1"/>
          <w:szCs w:val="21"/>
          <w14:textFill>
            <w14:solidFill>
              <w14:schemeClr w14:val="tx1"/>
            </w14:solidFill>
          </w14:textFill>
        </w:rPr>
        <w:t xml:space="preserve"> ×100%</w:t>
      </w:r>
    </w:p>
    <w:p w14:paraId="1872D313">
      <w:pPr>
        <w:keepNext w:val="0"/>
        <w:keepLines w:val="0"/>
        <w:pageBreakBefore w:val="0"/>
        <w:widowControl w:val="0"/>
        <w:kinsoku/>
        <w:wordWrap/>
        <w:overflowPunct/>
        <w:topLinePunct w:val="0"/>
        <w:autoSpaceDE/>
        <w:autoSpaceDN/>
        <w:bidi w:val="0"/>
        <w:spacing w:line="360" w:lineRule="auto"/>
        <w:textAlignment w:val="auto"/>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               评标基准价</w:t>
      </w:r>
    </w:p>
    <w:p w14:paraId="3B214CA6">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kern w:val="0"/>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2.2.4</w:t>
      </w:r>
      <w:r>
        <w:rPr>
          <w:rFonts w:hint="eastAsia" w:ascii="宋体" w:hAnsi="宋体"/>
          <w:color w:val="000000" w:themeColor="text1"/>
          <w:szCs w:val="21"/>
          <w14:textFill>
            <w14:solidFill>
              <w14:schemeClr w14:val="tx1"/>
            </w14:solidFill>
          </w14:textFill>
        </w:rPr>
        <w:t>评分标准:</w:t>
      </w:r>
      <w:r>
        <w:rPr>
          <w:rFonts w:hint="eastAsia" w:ascii="宋体" w:hAnsi="宋体" w:cs="宋体"/>
          <w:color w:val="000000" w:themeColor="text1"/>
          <w:kern w:val="0"/>
          <w:szCs w:val="21"/>
          <w14:textFill>
            <w14:solidFill>
              <w14:schemeClr w14:val="tx1"/>
            </w14:solidFill>
          </w14:textFill>
        </w:rPr>
        <w:t>见评标办</w:t>
      </w:r>
      <w:r>
        <w:rPr>
          <w:rFonts w:hint="eastAsia" w:ascii="宋体" w:hAnsi="宋体" w:cs="HiddenHorzOCR"/>
          <w:color w:val="000000" w:themeColor="text1"/>
          <w:kern w:val="0"/>
          <w:szCs w:val="21"/>
          <w14:textFill>
            <w14:solidFill>
              <w14:schemeClr w14:val="tx1"/>
            </w14:solidFill>
          </w14:textFill>
        </w:rPr>
        <w:t>法前附表。</w:t>
      </w:r>
    </w:p>
    <w:p w14:paraId="4D9804C2">
      <w:pPr>
        <w:keepNext w:val="0"/>
        <w:keepLines w:val="0"/>
        <w:pageBreakBefore w:val="0"/>
        <w:widowControl w:val="0"/>
        <w:kinsoku/>
        <w:wordWrap/>
        <w:overflowPunct/>
        <w:topLinePunct w:val="0"/>
        <w:autoSpaceDE/>
        <w:autoSpaceDN/>
        <w:bidi w:val="0"/>
        <w:spacing w:line="360" w:lineRule="auto"/>
        <w:textAlignment w:val="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 </w:t>
      </w:r>
      <w:r>
        <w:rPr>
          <w:rFonts w:hint="eastAsia" w:ascii="宋体" w:hAnsi="宋体" w:cs="宋体"/>
          <w:color w:val="000000" w:themeColor="text1"/>
          <w14:textFill>
            <w14:solidFill>
              <w14:schemeClr w14:val="tx1"/>
            </w14:solidFill>
          </w14:textFill>
        </w:rPr>
        <w:t>评标</w:t>
      </w:r>
      <w:r>
        <w:rPr>
          <w:rFonts w:hint="eastAsia" w:ascii="宋体" w:hAnsi="宋体"/>
          <w:color w:val="000000" w:themeColor="text1"/>
          <w14:textFill>
            <w14:solidFill>
              <w14:schemeClr w14:val="tx1"/>
            </w14:solidFill>
          </w14:textFill>
        </w:rPr>
        <w:t>程序</w:t>
      </w:r>
    </w:p>
    <w:p w14:paraId="3A7A5ADE">
      <w:pPr>
        <w:keepNext w:val="0"/>
        <w:keepLines w:val="0"/>
        <w:pageBreakBefore w:val="0"/>
        <w:widowControl w:val="0"/>
        <w:kinsoku/>
        <w:wordWrap/>
        <w:overflowPunct/>
        <w:topLinePunct w:val="0"/>
        <w:autoSpaceDE/>
        <w:autoSpaceDN/>
        <w:bidi w:val="0"/>
        <w:spacing w:line="360" w:lineRule="auto"/>
        <w:textAlignment w:val="auto"/>
        <w:rPr>
          <w:rFonts w:ascii="宋体" w:hAnsi="宋体"/>
          <w:color w:val="000000" w:themeColor="text1"/>
          <w:kern w:val="0"/>
          <w14:textFill>
            <w14:solidFill>
              <w14:schemeClr w14:val="tx1"/>
            </w14:solidFill>
          </w14:textFill>
        </w:rPr>
      </w:pPr>
      <w:r>
        <w:rPr>
          <w:rFonts w:ascii="宋体" w:hAnsi="宋体"/>
          <w:color w:val="000000" w:themeColor="text1"/>
          <w:kern w:val="0"/>
          <w14:textFill>
            <w14:solidFill>
              <w14:schemeClr w14:val="tx1"/>
            </w14:solidFill>
          </w14:textFill>
        </w:rPr>
        <w:t>3.1</w:t>
      </w:r>
      <w:r>
        <w:rPr>
          <w:rFonts w:hint="eastAsia" w:ascii="宋体" w:hAnsi="宋体"/>
          <w:color w:val="000000" w:themeColor="text1"/>
          <w:kern w:val="0"/>
          <w14:textFill>
            <w14:solidFill>
              <w14:schemeClr w14:val="tx1"/>
            </w14:solidFill>
          </w14:textFill>
        </w:rPr>
        <w:t xml:space="preserve"> 初步评审</w:t>
      </w:r>
    </w:p>
    <w:p w14:paraId="70625925">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s="HiddenHorzOCR"/>
          <w:color w:val="000000" w:themeColor="text1"/>
          <w:kern w:val="0"/>
          <w:szCs w:val="21"/>
          <w14:textFill>
            <w14:solidFill>
              <w14:schemeClr w14:val="tx1"/>
            </w14:solidFill>
          </w14:textFill>
        </w:rPr>
      </w:pPr>
      <w:r>
        <w:rPr>
          <w:rFonts w:ascii="宋体" w:hAnsi="宋体"/>
          <w:b/>
          <w:color w:val="000000" w:themeColor="text1"/>
          <w14:textFill>
            <w14:solidFill>
              <w14:schemeClr w14:val="tx1"/>
            </w14:solidFill>
          </w14:textFill>
        </w:rPr>
        <w:t>3.1.1</w:t>
      </w:r>
      <w:r>
        <w:rPr>
          <w:rFonts w:ascii="宋体" w:hAnsi="宋体" w:cs="HiddenHorzOCR"/>
          <w:b/>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委</w:t>
      </w:r>
      <w:r>
        <w:rPr>
          <w:rFonts w:hint="eastAsia" w:ascii="宋体" w:hAnsi="宋体" w:cs="宋体"/>
          <w:color w:val="000000" w:themeColor="text1"/>
          <w:kern w:val="0"/>
          <w:szCs w:val="21"/>
          <w14:textFill>
            <w14:solidFill>
              <w14:schemeClr w14:val="tx1"/>
            </w14:solidFill>
          </w14:textFill>
        </w:rPr>
        <w:t>员</w:t>
      </w:r>
      <w:r>
        <w:rPr>
          <w:rFonts w:hint="eastAsia" w:ascii="宋体" w:hAnsi="宋体" w:cs="HiddenHorzOCR"/>
          <w:color w:val="000000" w:themeColor="text1"/>
          <w:kern w:val="0"/>
          <w:szCs w:val="21"/>
          <w14:textFill>
            <w14:solidFill>
              <w14:schemeClr w14:val="tx1"/>
            </w14:solidFill>
          </w14:textFill>
        </w:rPr>
        <w:t>会依据本章第</w:t>
      </w:r>
      <w:r>
        <w:rPr>
          <w:rFonts w:ascii="宋体" w:hAnsi="宋体" w:cs="HiddenHorzOCR"/>
          <w:color w:val="000000" w:themeColor="text1"/>
          <w:kern w:val="0"/>
          <w:szCs w:val="21"/>
          <w14:textFill>
            <w14:solidFill>
              <w14:schemeClr w14:val="tx1"/>
            </w14:solidFill>
          </w14:textFill>
        </w:rPr>
        <w:t>2.1.1</w:t>
      </w:r>
      <w:r>
        <w:rPr>
          <w:rFonts w:hint="eastAsia" w:ascii="宋体" w:hAnsi="宋体" w:cs="宋体"/>
          <w:color w:val="000000" w:themeColor="text1"/>
          <w:kern w:val="0"/>
          <w:szCs w:val="21"/>
          <w14:textFill>
            <w14:solidFill>
              <w14:schemeClr w14:val="tx1"/>
            </w14:solidFill>
          </w14:textFill>
        </w:rPr>
        <w:t>项</w:t>
      </w:r>
      <w:r>
        <w:rPr>
          <w:rFonts w:hint="eastAsia" w:ascii="宋体" w:hAnsi="宋体" w:cs="HiddenHorzOCR"/>
          <w:color w:val="000000" w:themeColor="text1"/>
          <w:kern w:val="0"/>
          <w:szCs w:val="21"/>
          <w14:textFill>
            <w14:solidFill>
              <w14:schemeClr w14:val="tx1"/>
            </w14:solidFill>
          </w14:textFill>
        </w:rPr>
        <w:t>、第</w:t>
      </w:r>
      <w:r>
        <w:rPr>
          <w:rFonts w:ascii="宋体" w:hAnsi="宋体" w:cs="HiddenHorzOCR"/>
          <w:color w:val="000000" w:themeColor="text1"/>
          <w:kern w:val="0"/>
          <w:szCs w:val="21"/>
          <w14:textFill>
            <w14:solidFill>
              <w14:schemeClr w14:val="tx1"/>
            </w14:solidFill>
          </w14:textFill>
        </w:rPr>
        <w:t>2.1.3</w:t>
      </w:r>
      <w:r>
        <w:rPr>
          <w:rFonts w:hint="eastAsia" w:ascii="宋体" w:hAnsi="宋体" w:cs="宋体"/>
          <w:color w:val="000000" w:themeColor="text1"/>
          <w:kern w:val="0"/>
          <w:szCs w:val="21"/>
          <w14:textFill>
            <w14:solidFill>
              <w14:schemeClr w14:val="tx1"/>
            </w14:solidFill>
          </w14:textFill>
        </w:rPr>
        <w:t>项规</w:t>
      </w:r>
      <w:r>
        <w:rPr>
          <w:rFonts w:hint="eastAsia" w:ascii="宋体" w:hAnsi="宋体" w:cs="HiddenHorzOCR"/>
          <w:color w:val="000000" w:themeColor="text1"/>
          <w:kern w:val="0"/>
          <w:szCs w:val="21"/>
          <w14:textFill>
            <w14:solidFill>
              <w14:schemeClr w14:val="tx1"/>
            </w14:solidFill>
          </w14:textFill>
        </w:rPr>
        <w:t>定的</w:t>
      </w:r>
      <w:r>
        <w:rPr>
          <w:rFonts w:hint="eastAsia" w:ascii="宋体" w:hAnsi="宋体" w:cs="宋体"/>
          <w:color w:val="000000" w:themeColor="text1"/>
          <w:kern w:val="0"/>
          <w:szCs w:val="21"/>
          <w14:textFill>
            <w14:solidFill>
              <w14:schemeClr w14:val="tx1"/>
            </w14:solidFill>
          </w14:textFill>
        </w:rPr>
        <w:t>评审标</w:t>
      </w:r>
      <w:r>
        <w:rPr>
          <w:rFonts w:hint="eastAsia" w:ascii="宋体" w:hAnsi="宋体" w:cs="HiddenHorzOCR"/>
          <w:color w:val="000000" w:themeColor="text1"/>
          <w:kern w:val="0"/>
          <w:szCs w:val="21"/>
          <w14:textFill>
            <w14:solidFill>
              <w14:schemeClr w14:val="tx1"/>
            </w14:solidFill>
          </w14:textFill>
        </w:rPr>
        <w:t>准</w:t>
      </w:r>
      <w:r>
        <w:rPr>
          <w:rFonts w:hint="eastAsia" w:ascii="宋体" w:hAnsi="宋体" w:cs="宋体"/>
          <w:color w:val="000000" w:themeColor="text1"/>
          <w:kern w:val="0"/>
          <w:szCs w:val="21"/>
          <w14:textFill>
            <w14:solidFill>
              <w14:schemeClr w14:val="tx1"/>
            </w14:solidFill>
          </w14:textFill>
        </w:rPr>
        <w:t>对</w:t>
      </w: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文件</w:t>
      </w:r>
      <w:r>
        <w:rPr>
          <w:rFonts w:hint="eastAsia" w:ascii="宋体" w:hAnsi="宋体" w:cs="宋体"/>
          <w:color w:val="000000" w:themeColor="text1"/>
          <w:kern w:val="0"/>
          <w:szCs w:val="21"/>
          <w14:textFill>
            <w14:solidFill>
              <w14:schemeClr w14:val="tx1"/>
            </w14:solidFill>
          </w14:textFill>
        </w:rPr>
        <w:t>进</w:t>
      </w:r>
      <w:r>
        <w:rPr>
          <w:rFonts w:hint="eastAsia" w:ascii="宋体" w:hAnsi="宋体" w:cs="HiddenHorzOCR"/>
          <w:color w:val="000000" w:themeColor="text1"/>
          <w:kern w:val="0"/>
          <w:szCs w:val="21"/>
          <w14:textFill>
            <w14:solidFill>
              <w14:schemeClr w14:val="tx1"/>
            </w14:solidFill>
          </w14:textFill>
        </w:rPr>
        <w:t>行初</w:t>
      </w:r>
      <w:r>
        <w:rPr>
          <w:rFonts w:hint="eastAsia" w:ascii="宋体" w:hAnsi="宋体" w:cs="宋体"/>
          <w:color w:val="000000" w:themeColor="text1"/>
          <w:kern w:val="0"/>
          <w:szCs w:val="21"/>
          <w14:textFill>
            <w14:solidFill>
              <w14:schemeClr w14:val="tx1"/>
            </w14:solidFill>
          </w14:textFill>
        </w:rPr>
        <w:t>步评审</w:t>
      </w:r>
      <w:r>
        <w:rPr>
          <w:rFonts w:hint="eastAsia" w:ascii="宋体" w:hAnsi="宋体" w:cs="HiddenHorzOCR"/>
          <w:color w:val="000000" w:themeColor="text1"/>
          <w:kern w:val="0"/>
          <w:szCs w:val="21"/>
          <w14:textFill>
            <w14:solidFill>
              <w14:schemeClr w14:val="tx1"/>
            </w14:solidFill>
          </w14:textFill>
        </w:rPr>
        <w:t>。有一</w:t>
      </w:r>
      <w:r>
        <w:rPr>
          <w:rFonts w:hint="eastAsia" w:ascii="宋体" w:hAnsi="宋体" w:cs="宋体"/>
          <w:color w:val="000000" w:themeColor="text1"/>
          <w:kern w:val="0"/>
          <w:szCs w:val="21"/>
          <w14:textFill>
            <w14:solidFill>
              <w14:schemeClr w14:val="tx1"/>
            </w14:solidFill>
          </w14:textFill>
        </w:rPr>
        <w:t>项</w:t>
      </w:r>
      <w:r>
        <w:rPr>
          <w:rFonts w:hint="eastAsia" w:ascii="宋体" w:hAnsi="宋体" w:cs="HiddenHorzOCR"/>
          <w:color w:val="000000" w:themeColor="text1"/>
          <w:kern w:val="0"/>
          <w:szCs w:val="21"/>
          <w14:textFill>
            <w14:solidFill>
              <w14:schemeClr w14:val="tx1"/>
            </w14:solidFill>
          </w14:textFill>
        </w:rPr>
        <w:t>不符合</w:t>
      </w:r>
      <w:r>
        <w:rPr>
          <w:rFonts w:hint="eastAsia" w:ascii="宋体" w:hAnsi="宋体" w:cs="宋体"/>
          <w:color w:val="000000" w:themeColor="text1"/>
          <w:kern w:val="0"/>
          <w:szCs w:val="21"/>
          <w14:textFill>
            <w14:solidFill>
              <w14:schemeClr w14:val="tx1"/>
            </w14:solidFill>
          </w14:textFill>
        </w:rPr>
        <w:t>评审标</w:t>
      </w:r>
      <w:r>
        <w:rPr>
          <w:rFonts w:hint="eastAsia" w:ascii="宋体" w:hAnsi="宋体" w:cs="HiddenHorzOCR"/>
          <w:color w:val="000000" w:themeColor="text1"/>
          <w:kern w:val="0"/>
          <w:szCs w:val="21"/>
          <w14:textFill>
            <w14:solidFill>
              <w14:schemeClr w14:val="tx1"/>
            </w14:solidFill>
          </w14:textFill>
        </w:rPr>
        <w:t>准的，作</w:t>
      </w:r>
      <w:r>
        <w:rPr>
          <w:rFonts w:hint="eastAsia" w:ascii="宋体" w:hAnsi="宋体" w:cs="宋体"/>
          <w:color w:val="000000" w:themeColor="text1"/>
          <w:kern w:val="0"/>
          <w:szCs w:val="21"/>
          <w14:textFill>
            <w14:solidFill>
              <w14:schemeClr w14:val="tx1"/>
            </w14:solidFill>
          </w14:textFill>
        </w:rPr>
        <w:t>否决其投标处</w:t>
      </w:r>
      <w:r>
        <w:rPr>
          <w:rFonts w:hint="eastAsia" w:ascii="宋体" w:hAnsi="宋体" w:cs="HiddenHorzOCR"/>
          <w:color w:val="000000" w:themeColor="text1"/>
          <w:kern w:val="0"/>
          <w:szCs w:val="21"/>
          <w14:textFill>
            <w14:solidFill>
              <w14:schemeClr w14:val="tx1"/>
            </w14:solidFill>
          </w14:textFill>
        </w:rPr>
        <w:t>理。当投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资格条件发</w:t>
      </w:r>
      <w:r>
        <w:rPr>
          <w:rFonts w:hint="eastAsia" w:ascii="宋体" w:hAnsi="宋体" w:cs="HiddenHorzOCR"/>
          <w:color w:val="000000" w:themeColor="text1"/>
          <w:kern w:val="0"/>
          <w:szCs w:val="21"/>
          <w14:textFill>
            <w14:solidFill>
              <w14:schemeClr w14:val="tx1"/>
            </w14:solidFill>
          </w14:textFill>
        </w:rPr>
        <w:t>生重大</w:t>
      </w:r>
      <w:r>
        <w:rPr>
          <w:rFonts w:hint="eastAsia" w:ascii="宋体" w:hAnsi="宋体" w:cs="宋体"/>
          <w:color w:val="000000" w:themeColor="text1"/>
          <w:kern w:val="0"/>
          <w:szCs w:val="21"/>
          <w14:textFill>
            <w14:solidFill>
              <w14:schemeClr w14:val="tx1"/>
            </w14:solidFill>
          </w14:textFill>
        </w:rPr>
        <w:t>变</w:t>
      </w:r>
      <w:r>
        <w:rPr>
          <w:rFonts w:hint="eastAsia" w:ascii="宋体" w:hAnsi="宋体" w:cs="HiddenHorzOCR"/>
          <w:color w:val="000000" w:themeColor="text1"/>
          <w:kern w:val="0"/>
          <w:szCs w:val="21"/>
          <w14:textFill>
            <w14:solidFill>
              <w14:schemeClr w14:val="tx1"/>
            </w14:solidFill>
          </w14:textFill>
        </w:rPr>
        <w:t>化</w:t>
      </w:r>
      <w:r>
        <w:rPr>
          <w:rFonts w:hint="eastAsia" w:ascii="宋体" w:hAnsi="宋体" w:cs="宋体"/>
          <w:color w:val="000000" w:themeColor="text1"/>
          <w:kern w:val="0"/>
          <w:szCs w:val="21"/>
          <w14:textFill>
            <w14:solidFill>
              <w14:schemeClr w14:val="tx1"/>
            </w14:solidFill>
          </w14:textFill>
        </w:rPr>
        <w:t>时</w:t>
      </w:r>
      <w:r>
        <w:rPr>
          <w:rFonts w:hint="eastAsia" w:ascii="宋体" w:hAnsi="宋体" w:cs="HiddenHorzOCR"/>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委</w:t>
      </w:r>
      <w:r>
        <w:rPr>
          <w:rFonts w:hint="eastAsia" w:ascii="宋体" w:hAnsi="宋体" w:cs="宋体"/>
          <w:color w:val="000000" w:themeColor="text1"/>
          <w:kern w:val="0"/>
          <w:szCs w:val="21"/>
          <w14:textFill>
            <w14:solidFill>
              <w14:schemeClr w14:val="tx1"/>
            </w14:solidFill>
          </w14:textFill>
        </w:rPr>
        <w:t>员</w:t>
      </w:r>
      <w:r>
        <w:rPr>
          <w:rFonts w:hint="eastAsia" w:ascii="宋体" w:hAnsi="宋体" w:cs="HiddenHorzOCR"/>
          <w:color w:val="000000" w:themeColor="text1"/>
          <w:kern w:val="0"/>
          <w:szCs w:val="21"/>
          <w14:textFill>
            <w14:solidFill>
              <w14:schemeClr w14:val="tx1"/>
            </w14:solidFill>
          </w14:textFill>
        </w:rPr>
        <w:t>会依据本章第</w:t>
      </w:r>
      <w:r>
        <w:rPr>
          <w:rFonts w:ascii="宋体" w:hAnsi="宋体" w:cs="HiddenHorzOCR"/>
          <w:color w:val="000000" w:themeColor="text1"/>
          <w:kern w:val="0"/>
          <w:szCs w:val="21"/>
          <w14:textFill>
            <w14:solidFill>
              <w14:schemeClr w14:val="tx1"/>
            </w14:solidFill>
          </w14:textFill>
        </w:rPr>
        <w:t>2.1.2</w:t>
      </w:r>
      <w:r>
        <w:rPr>
          <w:rFonts w:hint="eastAsia" w:ascii="宋体" w:hAnsi="宋体" w:cs="宋体"/>
          <w:color w:val="000000" w:themeColor="text1"/>
          <w:kern w:val="0"/>
          <w:szCs w:val="21"/>
          <w14:textFill>
            <w14:solidFill>
              <w14:schemeClr w14:val="tx1"/>
            </w14:solidFill>
          </w14:textFill>
        </w:rPr>
        <w:t>项规</w:t>
      </w:r>
      <w:r>
        <w:rPr>
          <w:rFonts w:hint="eastAsia" w:ascii="宋体" w:hAnsi="宋体" w:cs="HiddenHorzOCR"/>
          <w:color w:val="000000" w:themeColor="text1"/>
          <w:kern w:val="0"/>
          <w:szCs w:val="21"/>
          <w14:textFill>
            <w14:solidFill>
              <w14:schemeClr w14:val="tx1"/>
            </w14:solidFill>
          </w14:textFill>
        </w:rPr>
        <w:t>定的</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准</w:t>
      </w:r>
      <w:r>
        <w:rPr>
          <w:rFonts w:hint="eastAsia" w:ascii="宋体" w:hAnsi="宋体" w:cs="宋体"/>
          <w:color w:val="000000" w:themeColor="text1"/>
          <w:kern w:val="0"/>
          <w:szCs w:val="21"/>
          <w14:textFill>
            <w14:solidFill>
              <w14:schemeClr w14:val="tx1"/>
            </w14:solidFill>
          </w14:textFill>
        </w:rPr>
        <w:t>对</w:t>
      </w:r>
      <w:r>
        <w:rPr>
          <w:rFonts w:hint="eastAsia" w:ascii="宋体" w:hAnsi="宋体" w:cs="HiddenHorzOCR"/>
          <w:color w:val="000000" w:themeColor="text1"/>
          <w:kern w:val="0"/>
          <w:szCs w:val="21"/>
          <w14:textFill>
            <w14:solidFill>
              <w14:schemeClr w14:val="tx1"/>
            </w14:solidFill>
          </w14:textFill>
        </w:rPr>
        <w:t>其更新</w:t>
      </w:r>
      <w:r>
        <w:rPr>
          <w:rFonts w:hint="eastAsia" w:ascii="宋体" w:hAnsi="宋体" w:cs="宋体"/>
          <w:color w:val="000000" w:themeColor="text1"/>
          <w:kern w:val="0"/>
          <w:szCs w:val="21"/>
          <w14:textFill>
            <w14:solidFill>
              <w14:schemeClr w14:val="tx1"/>
            </w14:solidFill>
          </w14:textFill>
        </w:rPr>
        <w:t>资</w:t>
      </w:r>
      <w:r>
        <w:rPr>
          <w:rFonts w:hint="eastAsia" w:ascii="宋体" w:hAnsi="宋体" w:cs="HiddenHorzOCR"/>
          <w:color w:val="000000" w:themeColor="text1"/>
          <w:kern w:val="0"/>
          <w:szCs w:val="21"/>
          <w14:textFill>
            <w14:solidFill>
              <w14:schemeClr w14:val="tx1"/>
            </w14:solidFill>
          </w14:textFill>
        </w:rPr>
        <w:t>料</w:t>
      </w:r>
      <w:r>
        <w:rPr>
          <w:rFonts w:hint="eastAsia" w:ascii="宋体" w:hAnsi="宋体" w:cs="宋体"/>
          <w:color w:val="000000" w:themeColor="text1"/>
          <w:kern w:val="0"/>
          <w:szCs w:val="21"/>
          <w14:textFill>
            <w14:solidFill>
              <w14:schemeClr w14:val="tx1"/>
            </w14:solidFill>
          </w14:textFill>
        </w:rPr>
        <w:t>进</w:t>
      </w:r>
      <w:r>
        <w:rPr>
          <w:rFonts w:hint="eastAsia" w:ascii="宋体" w:hAnsi="宋体" w:cs="HiddenHorzOCR"/>
          <w:color w:val="000000" w:themeColor="text1"/>
          <w:kern w:val="0"/>
          <w:szCs w:val="21"/>
          <w14:textFill>
            <w14:solidFill>
              <w14:schemeClr w14:val="tx1"/>
            </w14:solidFill>
          </w14:textFill>
        </w:rPr>
        <w:t>行</w:t>
      </w:r>
      <w:r>
        <w:rPr>
          <w:rFonts w:hint="eastAsia" w:ascii="宋体" w:hAnsi="宋体" w:cs="宋体"/>
          <w:color w:val="000000" w:themeColor="text1"/>
          <w:kern w:val="0"/>
          <w:szCs w:val="21"/>
          <w14:textFill>
            <w14:solidFill>
              <w14:schemeClr w14:val="tx1"/>
            </w14:solidFill>
          </w14:textFill>
        </w:rPr>
        <w:t>评审</w:t>
      </w:r>
      <w:r>
        <w:rPr>
          <w:rFonts w:hint="eastAsia" w:ascii="宋体" w:hAnsi="宋体" w:cs="HiddenHorzOCR"/>
          <w:color w:val="000000" w:themeColor="text1"/>
          <w:kern w:val="0"/>
          <w:szCs w:val="21"/>
          <w14:textFill>
            <w14:solidFill>
              <w14:schemeClr w14:val="tx1"/>
            </w14:solidFill>
          </w14:textFill>
        </w:rPr>
        <w:t>。</w:t>
      </w:r>
    </w:p>
    <w:p w14:paraId="7EDA8CB5">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kern w:val="0"/>
          <w:szCs w:val="21"/>
          <w14:textFill>
            <w14:solidFill>
              <w14:schemeClr w14:val="tx1"/>
            </w14:solidFill>
          </w14:textFill>
        </w:rPr>
      </w:pPr>
      <w:r>
        <w:rPr>
          <w:rFonts w:ascii="宋体" w:hAnsi="宋体"/>
          <w:b/>
          <w:color w:val="000000" w:themeColor="text1"/>
          <w14:textFill>
            <w14:solidFill>
              <w14:schemeClr w14:val="tx1"/>
            </w14:solidFill>
          </w14:textFill>
        </w:rPr>
        <w:t>3.1.2</w:t>
      </w:r>
      <w:r>
        <w:rPr>
          <w:rFonts w:ascii="宋体" w:hAnsi="宋体" w:cs="HiddenHorzOCR"/>
          <w:color w:val="000000" w:themeColor="text1"/>
          <w:kern w:val="0"/>
          <w:szCs w:val="21"/>
          <w14:textFill>
            <w14:solidFill>
              <w14:schemeClr w14:val="tx1"/>
            </w14:solidFill>
          </w14:textFill>
        </w:rPr>
        <w:t xml:space="preserve"> </w:t>
      </w: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人有以下情形之一的，其投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作</w:t>
      </w:r>
      <w:r>
        <w:rPr>
          <w:rFonts w:hint="eastAsia" w:ascii="宋体" w:hAnsi="宋体" w:cs="宋体"/>
          <w:color w:val="000000" w:themeColor="text1"/>
          <w:kern w:val="0"/>
          <w:szCs w:val="21"/>
          <w14:textFill>
            <w14:solidFill>
              <w14:schemeClr w14:val="tx1"/>
            </w14:solidFill>
          </w14:textFill>
        </w:rPr>
        <w:t>否决其投标处</w:t>
      </w:r>
      <w:r>
        <w:rPr>
          <w:rFonts w:hint="eastAsia" w:ascii="宋体" w:hAnsi="宋体" w:cs="HiddenHorzOCR"/>
          <w:color w:val="000000" w:themeColor="text1"/>
          <w:kern w:val="0"/>
          <w:szCs w:val="21"/>
          <w14:textFill>
            <w14:solidFill>
              <w14:schemeClr w14:val="tx1"/>
            </w14:solidFill>
          </w14:textFill>
        </w:rPr>
        <w:t>理</w:t>
      </w:r>
      <w:r>
        <w:rPr>
          <w:rFonts w:ascii="宋体" w:hAnsi="宋体" w:cs="HiddenHorzOCR"/>
          <w:color w:val="000000" w:themeColor="text1"/>
          <w:kern w:val="0"/>
          <w:szCs w:val="21"/>
          <w14:textFill>
            <w14:solidFill>
              <w14:schemeClr w14:val="tx1"/>
            </w14:solidFill>
          </w14:textFill>
        </w:rPr>
        <w:t>:</w:t>
      </w:r>
    </w:p>
    <w:p w14:paraId="274DC766">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（1）串通投标或弄虚作假或有其他违法行为的；</w:t>
      </w:r>
    </w:p>
    <w:p w14:paraId="6981366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（2）不按评标委员会要求澄清、说明或补正的。</w:t>
      </w:r>
    </w:p>
    <w:p w14:paraId="5E4F3FEE">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kern w:val="0"/>
          <w:szCs w:val="21"/>
          <w14:textFill>
            <w14:solidFill>
              <w14:schemeClr w14:val="tx1"/>
            </w14:solidFill>
          </w14:textFill>
        </w:rPr>
      </w:pPr>
      <w:r>
        <w:rPr>
          <w:rFonts w:ascii="宋体" w:hAnsi="宋体"/>
          <w:b/>
          <w:color w:val="000000" w:themeColor="text1"/>
          <w14:textFill>
            <w14:solidFill>
              <w14:schemeClr w14:val="tx1"/>
            </w14:solidFill>
          </w14:textFill>
        </w:rPr>
        <w:t>3.1.3</w:t>
      </w:r>
      <w:r>
        <w:rPr>
          <w:rFonts w:ascii="宋体" w:hAnsi="宋体" w:cs="HiddenHorzOCR"/>
          <w:b/>
          <w:color w:val="000000" w:themeColor="text1"/>
          <w:kern w:val="0"/>
          <w:szCs w:val="21"/>
          <w14:textFill>
            <w14:solidFill>
              <w14:schemeClr w14:val="tx1"/>
            </w14:solidFill>
          </w14:textFill>
        </w:rPr>
        <w:t xml:space="preserve"> </w:t>
      </w: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标报</w:t>
      </w:r>
      <w:r>
        <w:rPr>
          <w:rFonts w:hint="eastAsia" w:ascii="宋体" w:hAnsi="宋体" w:cs="HiddenHorzOCR"/>
          <w:color w:val="000000" w:themeColor="text1"/>
          <w:kern w:val="0"/>
          <w:szCs w:val="21"/>
          <w14:textFill>
            <w14:solidFill>
              <w14:schemeClr w14:val="tx1"/>
            </w14:solidFill>
          </w14:textFill>
        </w:rPr>
        <w:t>价有算</w:t>
      </w:r>
      <w:r>
        <w:rPr>
          <w:rFonts w:hint="eastAsia" w:ascii="宋体" w:hAnsi="宋体" w:cs="宋体"/>
          <w:color w:val="000000" w:themeColor="text1"/>
          <w:kern w:val="0"/>
          <w:szCs w:val="21"/>
          <w14:textFill>
            <w14:solidFill>
              <w14:schemeClr w14:val="tx1"/>
            </w14:solidFill>
          </w14:textFill>
        </w:rPr>
        <w:t>术错误</w:t>
      </w:r>
      <w:r>
        <w:rPr>
          <w:rFonts w:hint="eastAsia" w:ascii="宋体" w:hAnsi="宋体" w:cs="HiddenHorzOCR"/>
          <w:color w:val="000000" w:themeColor="text1"/>
          <w:kern w:val="0"/>
          <w:szCs w:val="21"/>
          <w14:textFill>
            <w14:solidFill>
              <w14:schemeClr w14:val="tx1"/>
            </w14:solidFill>
          </w14:textFill>
        </w:rPr>
        <w:t>的，</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委</w:t>
      </w:r>
      <w:r>
        <w:rPr>
          <w:rFonts w:hint="eastAsia" w:ascii="宋体" w:hAnsi="宋体" w:cs="宋体"/>
          <w:color w:val="000000" w:themeColor="text1"/>
          <w:kern w:val="0"/>
          <w:szCs w:val="21"/>
          <w14:textFill>
            <w14:solidFill>
              <w14:schemeClr w14:val="tx1"/>
            </w14:solidFill>
          </w14:textFill>
        </w:rPr>
        <w:t>员</w:t>
      </w:r>
      <w:r>
        <w:rPr>
          <w:rFonts w:hint="eastAsia" w:ascii="宋体" w:hAnsi="宋体" w:cs="HiddenHorzOCR"/>
          <w:color w:val="000000" w:themeColor="text1"/>
          <w:kern w:val="0"/>
          <w:szCs w:val="21"/>
          <w14:textFill>
            <w14:solidFill>
              <w14:schemeClr w14:val="tx1"/>
            </w14:solidFill>
          </w14:textFill>
        </w:rPr>
        <w:t>会按以下原</w:t>
      </w:r>
      <w:r>
        <w:rPr>
          <w:rFonts w:hint="eastAsia" w:ascii="宋体" w:hAnsi="宋体" w:cs="宋体"/>
          <w:color w:val="000000" w:themeColor="text1"/>
          <w:kern w:val="0"/>
          <w:szCs w:val="21"/>
          <w14:textFill>
            <w14:solidFill>
              <w14:schemeClr w14:val="tx1"/>
            </w14:solidFill>
          </w14:textFill>
        </w:rPr>
        <w:t>则对</w:t>
      </w: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标报</w:t>
      </w:r>
      <w:r>
        <w:rPr>
          <w:rFonts w:hint="eastAsia" w:ascii="宋体" w:hAnsi="宋体" w:cs="HiddenHorzOCR"/>
          <w:color w:val="000000" w:themeColor="text1"/>
          <w:kern w:val="0"/>
          <w:szCs w:val="21"/>
          <w14:textFill>
            <w14:solidFill>
              <w14:schemeClr w14:val="tx1"/>
            </w14:solidFill>
          </w14:textFill>
        </w:rPr>
        <w:t>价</w:t>
      </w:r>
      <w:r>
        <w:rPr>
          <w:rFonts w:hint="eastAsia" w:ascii="宋体" w:hAnsi="宋体" w:cs="宋体"/>
          <w:color w:val="000000" w:themeColor="text1"/>
          <w:kern w:val="0"/>
          <w:szCs w:val="21"/>
          <w14:textFill>
            <w14:solidFill>
              <w14:schemeClr w14:val="tx1"/>
            </w14:solidFill>
          </w14:textFill>
        </w:rPr>
        <w:t>进</w:t>
      </w:r>
      <w:r>
        <w:rPr>
          <w:rFonts w:hint="eastAsia" w:ascii="宋体" w:hAnsi="宋体" w:cs="HiddenHorzOCR"/>
          <w:color w:val="000000" w:themeColor="text1"/>
          <w:kern w:val="0"/>
          <w:szCs w:val="21"/>
          <w14:textFill>
            <w14:solidFill>
              <w14:schemeClr w14:val="tx1"/>
            </w14:solidFill>
          </w14:textFill>
        </w:rPr>
        <w:t>行修正，修正的价格</w:t>
      </w:r>
      <w:r>
        <w:rPr>
          <w:rFonts w:hint="eastAsia" w:ascii="宋体" w:hAnsi="宋体" w:cs="宋体"/>
          <w:color w:val="000000" w:themeColor="text1"/>
          <w:kern w:val="0"/>
          <w:szCs w:val="21"/>
          <w14:textFill>
            <w14:solidFill>
              <w14:schemeClr w14:val="tx1"/>
            </w14:solidFill>
          </w14:textFill>
        </w:rPr>
        <w:t>经</w:t>
      </w: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w:t>
      </w:r>
      <w:r>
        <w:rPr>
          <w:rFonts w:hint="eastAsia" w:ascii="宋体" w:hAnsi="宋体" w:cs="宋体"/>
          <w:color w:val="000000" w:themeColor="text1"/>
          <w:kern w:val="0"/>
          <w:szCs w:val="21"/>
          <w14:textFill>
            <w14:solidFill>
              <w14:schemeClr w14:val="tx1"/>
            </w14:solidFill>
          </w14:textFill>
        </w:rPr>
        <w:t>书</w:t>
      </w:r>
      <w:r>
        <w:rPr>
          <w:rFonts w:hint="eastAsia" w:ascii="宋体" w:hAnsi="宋体" w:cs="HiddenHorzOCR"/>
          <w:color w:val="000000" w:themeColor="text1"/>
          <w:kern w:val="0"/>
          <w:szCs w:val="21"/>
          <w14:textFill>
            <w14:solidFill>
              <w14:schemeClr w14:val="tx1"/>
            </w14:solidFill>
          </w14:textFill>
        </w:rPr>
        <w:t>面确</w:t>
      </w:r>
      <w:r>
        <w:rPr>
          <w:rFonts w:hint="eastAsia" w:ascii="宋体" w:hAnsi="宋体" w:cs="宋体"/>
          <w:color w:val="000000" w:themeColor="text1"/>
          <w:kern w:val="0"/>
          <w:szCs w:val="21"/>
          <w14:textFill>
            <w14:solidFill>
              <w14:schemeClr w14:val="tx1"/>
            </w14:solidFill>
          </w14:textFill>
        </w:rPr>
        <w:t>认</w:t>
      </w:r>
      <w:r>
        <w:rPr>
          <w:rFonts w:hint="eastAsia" w:ascii="宋体" w:hAnsi="宋体" w:cs="HiddenHorzOCR"/>
          <w:color w:val="000000" w:themeColor="text1"/>
          <w:kern w:val="0"/>
          <w:szCs w:val="21"/>
          <w14:textFill>
            <w14:solidFill>
              <w14:schemeClr w14:val="tx1"/>
            </w14:solidFill>
          </w14:textFill>
        </w:rPr>
        <w:t>后具有</w:t>
      </w:r>
      <w:r>
        <w:rPr>
          <w:rFonts w:hint="eastAsia" w:ascii="宋体" w:hAnsi="宋体" w:cs="宋体"/>
          <w:color w:val="000000" w:themeColor="text1"/>
          <w:kern w:val="0"/>
          <w:szCs w:val="21"/>
          <w14:textFill>
            <w14:solidFill>
              <w14:schemeClr w14:val="tx1"/>
            </w14:solidFill>
          </w14:textFill>
        </w:rPr>
        <w:t>约</w:t>
      </w:r>
      <w:r>
        <w:rPr>
          <w:rFonts w:hint="eastAsia" w:ascii="宋体" w:hAnsi="宋体" w:cs="HiddenHorzOCR"/>
          <w:color w:val="000000" w:themeColor="text1"/>
          <w:kern w:val="0"/>
          <w:szCs w:val="21"/>
          <w14:textFill>
            <w14:solidFill>
              <w14:schemeClr w14:val="tx1"/>
            </w14:solidFill>
          </w14:textFill>
        </w:rPr>
        <w:t>束力。投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人不接受修正价格的，其投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作</w:t>
      </w:r>
      <w:r>
        <w:rPr>
          <w:rFonts w:hint="eastAsia" w:ascii="宋体" w:hAnsi="宋体" w:cs="宋体"/>
          <w:color w:val="000000" w:themeColor="text1"/>
          <w:kern w:val="0"/>
          <w:szCs w:val="21"/>
          <w14:textFill>
            <w14:solidFill>
              <w14:schemeClr w14:val="tx1"/>
            </w14:solidFill>
          </w14:textFill>
        </w:rPr>
        <w:t>否决其投标处</w:t>
      </w:r>
      <w:r>
        <w:rPr>
          <w:rFonts w:hint="eastAsia" w:ascii="宋体" w:hAnsi="宋体" w:cs="HiddenHorzOCR"/>
          <w:color w:val="000000" w:themeColor="text1"/>
          <w:kern w:val="0"/>
          <w:szCs w:val="21"/>
          <w14:textFill>
            <w14:solidFill>
              <w14:schemeClr w14:val="tx1"/>
            </w14:solidFill>
          </w14:textFill>
        </w:rPr>
        <w:t>理。</w:t>
      </w:r>
    </w:p>
    <w:p w14:paraId="129956A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s="HiddenHorzOCR"/>
          <w:color w:val="000000" w:themeColor="text1"/>
          <w:kern w:val="0"/>
          <w:szCs w:val="21"/>
          <w14:textFill>
            <w14:solidFill>
              <w14:schemeClr w14:val="tx1"/>
            </w14:solidFill>
          </w14:textFill>
        </w:rPr>
      </w:pPr>
      <w:r>
        <w:rPr>
          <w:rFonts w:ascii="宋体" w:hAnsi="宋体" w:cs="HiddenHorzOCR"/>
          <w:color w:val="000000" w:themeColor="text1"/>
          <w:kern w:val="0"/>
          <w:szCs w:val="21"/>
          <w14:textFill>
            <w14:solidFill>
              <w14:schemeClr w14:val="tx1"/>
            </w14:solidFill>
          </w14:textFill>
        </w:rPr>
        <w:t>(1)</w:t>
      </w:r>
      <w:r>
        <w:rPr>
          <w:rFonts w:hint="eastAsia" w:ascii="宋体" w:hAnsi="宋体" w:cs="HiddenHorzOCR"/>
          <w:color w:val="000000" w:themeColor="text1"/>
          <w:kern w:val="0"/>
          <w:szCs w:val="21"/>
          <w14:textFill>
            <w14:solidFill>
              <w14:schemeClr w14:val="tx1"/>
            </w14:solidFill>
          </w14:textFill>
        </w:rPr>
        <w:t xml:space="preserve"> 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文件中的大写金</w:t>
      </w:r>
      <w:r>
        <w:rPr>
          <w:rFonts w:hint="eastAsia" w:ascii="宋体" w:hAnsi="宋体" w:cs="宋体"/>
          <w:color w:val="000000" w:themeColor="text1"/>
          <w:kern w:val="0"/>
          <w:szCs w:val="21"/>
          <w14:textFill>
            <w14:solidFill>
              <w14:schemeClr w14:val="tx1"/>
            </w14:solidFill>
          </w14:textFill>
        </w:rPr>
        <w:t>额</w:t>
      </w:r>
      <w:r>
        <w:rPr>
          <w:rFonts w:hint="eastAsia" w:ascii="宋体" w:hAnsi="宋体" w:cs="HiddenHorzOCR"/>
          <w:color w:val="000000" w:themeColor="text1"/>
          <w:kern w:val="0"/>
          <w:szCs w:val="21"/>
          <w14:textFill>
            <w14:solidFill>
              <w14:schemeClr w14:val="tx1"/>
            </w14:solidFill>
          </w14:textFill>
        </w:rPr>
        <w:t>与小写金</w:t>
      </w:r>
      <w:r>
        <w:rPr>
          <w:rFonts w:hint="eastAsia" w:ascii="宋体" w:hAnsi="宋体" w:cs="宋体"/>
          <w:color w:val="000000" w:themeColor="text1"/>
          <w:kern w:val="0"/>
          <w:szCs w:val="21"/>
          <w14:textFill>
            <w14:solidFill>
              <w14:schemeClr w14:val="tx1"/>
            </w14:solidFill>
          </w14:textFill>
        </w:rPr>
        <w:t>额</w:t>
      </w:r>
      <w:r>
        <w:rPr>
          <w:rFonts w:hint="eastAsia" w:ascii="宋体" w:hAnsi="宋体" w:cs="HiddenHorzOCR"/>
          <w:color w:val="000000" w:themeColor="text1"/>
          <w:kern w:val="0"/>
          <w:szCs w:val="21"/>
          <w14:textFill>
            <w14:solidFill>
              <w14:schemeClr w14:val="tx1"/>
            </w14:solidFill>
          </w14:textFill>
        </w:rPr>
        <w:t>不一致的，以大写金</w:t>
      </w:r>
      <w:r>
        <w:rPr>
          <w:rFonts w:hint="eastAsia" w:ascii="宋体" w:hAnsi="宋体" w:cs="宋体"/>
          <w:color w:val="000000" w:themeColor="text1"/>
          <w:kern w:val="0"/>
          <w:szCs w:val="21"/>
          <w14:textFill>
            <w14:solidFill>
              <w14:schemeClr w14:val="tx1"/>
            </w14:solidFill>
          </w14:textFill>
        </w:rPr>
        <w:t>额为</w:t>
      </w:r>
      <w:r>
        <w:rPr>
          <w:rFonts w:hint="eastAsia" w:ascii="宋体" w:hAnsi="宋体" w:cs="HiddenHorzOCR"/>
          <w:color w:val="000000" w:themeColor="text1"/>
          <w:kern w:val="0"/>
          <w:szCs w:val="21"/>
          <w14:textFill>
            <w14:solidFill>
              <w14:schemeClr w14:val="tx1"/>
            </w14:solidFill>
          </w14:textFill>
        </w:rPr>
        <w:t>准；</w:t>
      </w:r>
    </w:p>
    <w:p w14:paraId="7673E932">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kern w:val="0"/>
          <w:szCs w:val="21"/>
          <w14:textFill>
            <w14:solidFill>
              <w14:schemeClr w14:val="tx1"/>
            </w14:solidFill>
          </w14:textFill>
        </w:rPr>
      </w:pPr>
      <w:r>
        <w:rPr>
          <w:rFonts w:ascii="宋体" w:hAnsi="宋体" w:cs="HiddenHorzOCR"/>
          <w:color w:val="000000" w:themeColor="text1"/>
          <w:kern w:val="0"/>
          <w:szCs w:val="21"/>
          <w14:textFill>
            <w14:solidFill>
              <w14:schemeClr w14:val="tx1"/>
            </w14:solidFill>
          </w14:textFill>
        </w:rPr>
        <w:t xml:space="preserve">(2) </w:t>
      </w:r>
      <w:r>
        <w:rPr>
          <w:rFonts w:hint="eastAsia" w:ascii="宋体" w:hAnsi="宋体" w:cs="宋体"/>
          <w:color w:val="000000" w:themeColor="text1"/>
          <w:kern w:val="0"/>
          <w:szCs w:val="21"/>
          <w14:textFill>
            <w14:solidFill>
              <w14:schemeClr w14:val="tx1"/>
            </w14:solidFill>
          </w14:textFill>
        </w:rPr>
        <w:t>总</w:t>
      </w:r>
      <w:r>
        <w:rPr>
          <w:rFonts w:hint="eastAsia" w:ascii="宋体" w:hAnsi="宋体" w:cs="HiddenHorzOCR"/>
          <w:color w:val="000000" w:themeColor="text1"/>
          <w:kern w:val="0"/>
          <w:szCs w:val="21"/>
          <w14:textFill>
            <w14:solidFill>
              <w14:schemeClr w14:val="tx1"/>
            </w14:solidFill>
          </w14:textFill>
        </w:rPr>
        <w:t>价金</w:t>
      </w:r>
      <w:r>
        <w:rPr>
          <w:rFonts w:hint="eastAsia" w:ascii="宋体" w:hAnsi="宋体" w:cs="宋体"/>
          <w:color w:val="000000" w:themeColor="text1"/>
          <w:kern w:val="0"/>
          <w:szCs w:val="21"/>
          <w14:textFill>
            <w14:solidFill>
              <w14:schemeClr w14:val="tx1"/>
            </w14:solidFill>
          </w14:textFill>
        </w:rPr>
        <w:t>额</w:t>
      </w:r>
      <w:r>
        <w:rPr>
          <w:rFonts w:hint="eastAsia" w:ascii="宋体" w:hAnsi="宋体" w:cs="HiddenHorzOCR"/>
          <w:color w:val="000000" w:themeColor="text1"/>
          <w:kern w:val="0"/>
          <w:szCs w:val="21"/>
          <w14:textFill>
            <w14:solidFill>
              <w14:schemeClr w14:val="tx1"/>
            </w14:solidFill>
          </w14:textFill>
        </w:rPr>
        <w:t>与依据</w:t>
      </w:r>
      <w:r>
        <w:rPr>
          <w:rFonts w:hint="eastAsia" w:ascii="宋体" w:hAnsi="宋体" w:cs="宋体"/>
          <w:color w:val="000000" w:themeColor="text1"/>
          <w:kern w:val="0"/>
          <w:szCs w:val="21"/>
          <w14:textFill>
            <w14:solidFill>
              <w14:schemeClr w14:val="tx1"/>
            </w14:solidFill>
          </w14:textFill>
        </w:rPr>
        <w:t>单</w:t>
      </w:r>
      <w:r>
        <w:rPr>
          <w:rFonts w:hint="eastAsia" w:ascii="宋体" w:hAnsi="宋体" w:cs="HiddenHorzOCR"/>
          <w:color w:val="000000" w:themeColor="text1"/>
          <w:kern w:val="0"/>
          <w:szCs w:val="21"/>
          <w14:textFill>
            <w14:solidFill>
              <w14:schemeClr w14:val="tx1"/>
            </w14:solidFill>
          </w14:textFill>
        </w:rPr>
        <w:t>价</w:t>
      </w:r>
      <w:r>
        <w:rPr>
          <w:rFonts w:hint="eastAsia" w:ascii="宋体" w:hAnsi="宋体" w:cs="宋体"/>
          <w:color w:val="000000" w:themeColor="text1"/>
          <w:kern w:val="0"/>
          <w:szCs w:val="21"/>
          <w14:textFill>
            <w14:solidFill>
              <w14:schemeClr w14:val="tx1"/>
            </w14:solidFill>
          </w14:textFill>
        </w:rPr>
        <w:t>计</w:t>
      </w:r>
      <w:r>
        <w:rPr>
          <w:rFonts w:hint="eastAsia" w:ascii="宋体" w:hAnsi="宋体" w:cs="HiddenHorzOCR"/>
          <w:color w:val="000000" w:themeColor="text1"/>
          <w:kern w:val="0"/>
          <w:szCs w:val="21"/>
          <w14:textFill>
            <w14:solidFill>
              <w14:schemeClr w14:val="tx1"/>
            </w14:solidFill>
          </w14:textFill>
        </w:rPr>
        <w:t>算出的</w:t>
      </w:r>
      <w:r>
        <w:rPr>
          <w:rFonts w:hint="eastAsia" w:ascii="宋体" w:hAnsi="宋体" w:cs="宋体"/>
          <w:color w:val="000000" w:themeColor="text1"/>
          <w:kern w:val="0"/>
          <w:szCs w:val="21"/>
          <w14:textFill>
            <w14:solidFill>
              <w14:schemeClr w14:val="tx1"/>
            </w14:solidFill>
          </w14:textFill>
        </w:rPr>
        <w:t>结</w:t>
      </w:r>
      <w:r>
        <w:rPr>
          <w:rFonts w:hint="eastAsia" w:ascii="宋体" w:hAnsi="宋体" w:cs="HiddenHorzOCR"/>
          <w:color w:val="000000" w:themeColor="text1"/>
          <w:kern w:val="0"/>
          <w:szCs w:val="21"/>
          <w14:textFill>
            <w14:solidFill>
              <w14:schemeClr w14:val="tx1"/>
            </w14:solidFill>
          </w14:textFill>
        </w:rPr>
        <w:t>果不一致的，以</w:t>
      </w:r>
      <w:r>
        <w:rPr>
          <w:rFonts w:hint="eastAsia" w:ascii="宋体" w:hAnsi="宋体" w:cs="宋体"/>
          <w:color w:val="000000" w:themeColor="text1"/>
          <w:kern w:val="0"/>
          <w:szCs w:val="21"/>
          <w14:textFill>
            <w14:solidFill>
              <w14:schemeClr w14:val="tx1"/>
            </w14:solidFill>
          </w14:textFill>
        </w:rPr>
        <w:t>单</w:t>
      </w:r>
      <w:r>
        <w:rPr>
          <w:rFonts w:hint="eastAsia" w:ascii="宋体" w:hAnsi="宋体" w:cs="HiddenHorzOCR"/>
          <w:color w:val="000000" w:themeColor="text1"/>
          <w:kern w:val="0"/>
          <w:szCs w:val="21"/>
          <w14:textFill>
            <w14:solidFill>
              <w14:schemeClr w14:val="tx1"/>
            </w14:solidFill>
          </w14:textFill>
        </w:rPr>
        <w:t>价金</w:t>
      </w:r>
      <w:r>
        <w:rPr>
          <w:rFonts w:hint="eastAsia" w:ascii="宋体" w:hAnsi="宋体" w:cs="宋体"/>
          <w:color w:val="000000" w:themeColor="text1"/>
          <w:kern w:val="0"/>
          <w:szCs w:val="21"/>
          <w14:textFill>
            <w14:solidFill>
              <w14:schemeClr w14:val="tx1"/>
            </w14:solidFill>
          </w14:textFill>
        </w:rPr>
        <w:t>额为</w:t>
      </w:r>
      <w:r>
        <w:rPr>
          <w:rFonts w:hint="eastAsia" w:ascii="宋体" w:hAnsi="宋体" w:cs="HiddenHorzOCR"/>
          <w:color w:val="000000" w:themeColor="text1"/>
          <w:kern w:val="0"/>
          <w:szCs w:val="21"/>
          <w14:textFill>
            <w14:solidFill>
              <w14:schemeClr w14:val="tx1"/>
            </w14:solidFill>
          </w14:textFill>
        </w:rPr>
        <w:t>准修正</w:t>
      </w:r>
      <w:r>
        <w:rPr>
          <w:rFonts w:hint="eastAsia" w:ascii="宋体" w:hAnsi="宋体" w:cs="宋体"/>
          <w:color w:val="000000" w:themeColor="text1"/>
          <w:kern w:val="0"/>
          <w:szCs w:val="21"/>
          <w14:textFill>
            <w14:solidFill>
              <w14:schemeClr w14:val="tx1"/>
            </w14:solidFill>
          </w14:textFill>
        </w:rPr>
        <w:t>总</w:t>
      </w:r>
      <w:r>
        <w:rPr>
          <w:rFonts w:hint="eastAsia" w:ascii="宋体" w:hAnsi="宋体" w:cs="HiddenHorzOCR"/>
          <w:color w:val="000000" w:themeColor="text1"/>
          <w:kern w:val="0"/>
          <w:szCs w:val="21"/>
          <w14:textFill>
            <w14:solidFill>
              <w14:schemeClr w14:val="tx1"/>
            </w14:solidFill>
          </w14:textFill>
        </w:rPr>
        <w:t>价，但</w:t>
      </w:r>
      <w:r>
        <w:rPr>
          <w:rFonts w:hint="eastAsia" w:ascii="宋体" w:hAnsi="宋体" w:cs="宋体"/>
          <w:color w:val="000000" w:themeColor="text1"/>
          <w:kern w:val="0"/>
          <w:szCs w:val="21"/>
          <w14:textFill>
            <w14:solidFill>
              <w14:schemeClr w14:val="tx1"/>
            </w14:solidFill>
          </w14:textFill>
        </w:rPr>
        <w:t>单</w:t>
      </w:r>
      <w:r>
        <w:rPr>
          <w:rFonts w:hint="eastAsia" w:ascii="宋体" w:hAnsi="宋体" w:cs="HiddenHorzOCR"/>
          <w:color w:val="000000" w:themeColor="text1"/>
          <w:kern w:val="0"/>
          <w:szCs w:val="21"/>
          <w14:textFill>
            <w14:solidFill>
              <w14:schemeClr w14:val="tx1"/>
            </w14:solidFill>
          </w14:textFill>
        </w:rPr>
        <w:t>价金</w:t>
      </w:r>
      <w:r>
        <w:rPr>
          <w:rFonts w:hint="eastAsia" w:ascii="宋体" w:hAnsi="宋体" w:cs="宋体"/>
          <w:color w:val="000000" w:themeColor="text1"/>
          <w:kern w:val="0"/>
          <w:szCs w:val="21"/>
          <w14:textFill>
            <w14:solidFill>
              <w14:schemeClr w14:val="tx1"/>
            </w14:solidFill>
          </w14:textFill>
        </w:rPr>
        <w:t>额</w:t>
      </w:r>
      <w:r>
        <w:rPr>
          <w:rFonts w:hint="eastAsia" w:ascii="宋体" w:hAnsi="宋体" w:cs="HiddenHorzOCR"/>
          <w:color w:val="000000" w:themeColor="text1"/>
          <w:kern w:val="0"/>
          <w:szCs w:val="21"/>
          <w14:textFill>
            <w14:solidFill>
              <w14:schemeClr w14:val="tx1"/>
            </w14:solidFill>
          </w14:textFill>
        </w:rPr>
        <w:t>小数点有明</w:t>
      </w:r>
      <w:r>
        <w:rPr>
          <w:rFonts w:hint="eastAsia" w:ascii="宋体" w:hAnsi="宋体" w:cs="宋体"/>
          <w:color w:val="000000" w:themeColor="text1"/>
          <w:kern w:val="0"/>
          <w:szCs w:val="21"/>
          <w14:textFill>
            <w14:solidFill>
              <w14:schemeClr w14:val="tx1"/>
            </w14:solidFill>
          </w14:textFill>
        </w:rPr>
        <w:t>显错误</w:t>
      </w:r>
      <w:r>
        <w:rPr>
          <w:rFonts w:hint="eastAsia" w:ascii="宋体" w:hAnsi="宋体" w:cs="HiddenHorzOCR"/>
          <w:color w:val="000000" w:themeColor="text1"/>
          <w:kern w:val="0"/>
          <w:szCs w:val="21"/>
          <w14:textFill>
            <w14:solidFill>
              <w14:schemeClr w14:val="tx1"/>
            </w14:solidFill>
          </w14:textFill>
        </w:rPr>
        <w:t>的除外。</w:t>
      </w:r>
    </w:p>
    <w:p w14:paraId="1AB5EBC9">
      <w:pPr>
        <w:keepNext w:val="0"/>
        <w:keepLines w:val="0"/>
        <w:pageBreakBefore w:val="0"/>
        <w:widowControl w:val="0"/>
        <w:kinsoku/>
        <w:wordWrap/>
        <w:overflowPunct/>
        <w:topLinePunct w:val="0"/>
        <w:autoSpaceDE/>
        <w:autoSpaceDN/>
        <w:bidi w:val="0"/>
        <w:spacing w:line="360" w:lineRule="auto"/>
        <w:textAlignment w:val="auto"/>
        <w:rPr>
          <w:rFonts w:ascii="宋体" w:hAnsi="宋体"/>
          <w:color w:val="000000" w:themeColor="text1"/>
          <w:kern w:val="0"/>
          <w14:textFill>
            <w14:solidFill>
              <w14:schemeClr w14:val="tx1"/>
            </w14:solidFill>
          </w14:textFill>
        </w:rPr>
      </w:pPr>
      <w:r>
        <w:rPr>
          <w:rFonts w:ascii="宋体" w:hAnsi="宋体"/>
          <w:color w:val="000000" w:themeColor="text1"/>
          <w:kern w:val="0"/>
          <w14:textFill>
            <w14:solidFill>
              <w14:schemeClr w14:val="tx1"/>
            </w14:solidFill>
          </w14:textFill>
        </w:rPr>
        <w:t xml:space="preserve">3.2 </w:t>
      </w:r>
      <w:r>
        <w:rPr>
          <w:rFonts w:hint="eastAsia" w:ascii="宋体" w:hAnsi="宋体"/>
          <w:color w:val="000000" w:themeColor="text1"/>
          <w:kern w:val="0"/>
          <w14:textFill>
            <w14:solidFill>
              <w14:schemeClr w14:val="tx1"/>
            </w14:solidFill>
          </w14:textFill>
        </w:rPr>
        <w:t>详细评审</w:t>
      </w:r>
    </w:p>
    <w:p w14:paraId="3D5B01CA">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kern w:val="0"/>
          <w:szCs w:val="21"/>
          <w14:textFill>
            <w14:solidFill>
              <w14:schemeClr w14:val="tx1"/>
            </w14:solidFill>
          </w14:textFill>
        </w:rPr>
      </w:pPr>
      <w:r>
        <w:rPr>
          <w:rFonts w:ascii="宋体" w:hAnsi="宋体"/>
          <w:b/>
          <w:color w:val="000000" w:themeColor="text1"/>
          <w14:textFill>
            <w14:solidFill>
              <w14:schemeClr w14:val="tx1"/>
            </w14:solidFill>
          </w14:textFill>
        </w:rPr>
        <w:t>3.2.1</w:t>
      </w:r>
      <w:r>
        <w:rPr>
          <w:rFonts w:ascii="宋体" w:hAnsi="宋体" w:cs="HiddenHorzOCR"/>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委</w:t>
      </w:r>
      <w:r>
        <w:rPr>
          <w:rFonts w:hint="eastAsia" w:ascii="宋体" w:hAnsi="宋体" w:cs="宋体"/>
          <w:color w:val="000000" w:themeColor="text1"/>
          <w:kern w:val="0"/>
          <w:szCs w:val="21"/>
          <w14:textFill>
            <w14:solidFill>
              <w14:schemeClr w14:val="tx1"/>
            </w14:solidFill>
          </w14:textFill>
        </w:rPr>
        <w:t>员</w:t>
      </w:r>
      <w:r>
        <w:rPr>
          <w:rFonts w:hint="eastAsia" w:ascii="宋体" w:hAnsi="宋体" w:cs="HiddenHorzOCR"/>
          <w:color w:val="000000" w:themeColor="text1"/>
          <w:kern w:val="0"/>
          <w:szCs w:val="21"/>
          <w14:textFill>
            <w14:solidFill>
              <w14:schemeClr w14:val="tx1"/>
            </w14:solidFill>
          </w14:textFill>
        </w:rPr>
        <w:t>会按本章第</w:t>
      </w:r>
      <w:r>
        <w:rPr>
          <w:rFonts w:ascii="宋体" w:hAnsi="宋体" w:cs="HiddenHorzOCR"/>
          <w:color w:val="000000" w:themeColor="text1"/>
          <w:kern w:val="0"/>
          <w:szCs w:val="21"/>
          <w14:textFill>
            <w14:solidFill>
              <w14:schemeClr w14:val="tx1"/>
            </w14:solidFill>
          </w14:textFill>
        </w:rPr>
        <w:t>2.2</w:t>
      </w:r>
      <w:r>
        <w:rPr>
          <w:rFonts w:hint="eastAsia" w:ascii="宋体" w:hAnsi="宋体" w:cs="HiddenHorzOCR"/>
          <w:color w:val="000000" w:themeColor="text1"/>
          <w:kern w:val="0"/>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w:t>
      </w:r>
      <w:r>
        <w:rPr>
          <w:rFonts w:hint="eastAsia" w:ascii="宋体" w:hAnsi="宋体" w:cs="HiddenHorzOCR"/>
          <w:color w:val="000000" w:themeColor="text1"/>
          <w:kern w:val="0"/>
          <w:szCs w:val="21"/>
          <w14:textFill>
            <w14:solidFill>
              <w14:schemeClr w14:val="tx1"/>
            </w14:solidFill>
          </w14:textFill>
        </w:rPr>
        <w:t>定的量化因素分</w:t>
      </w:r>
      <w:r>
        <w:rPr>
          <w:rFonts w:hint="eastAsia" w:ascii="宋体" w:hAnsi="宋体" w:cs="宋体"/>
          <w:color w:val="000000" w:themeColor="text1"/>
          <w:kern w:val="0"/>
          <w:szCs w:val="21"/>
          <w14:textFill>
            <w14:solidFill>
              <w14:schemeClr w14:val="tx1"/>
            </w14:solidFill>
          </w14:textFill>
        </w:rPr>
        <w:t>值进</w:t>
      </w:r>
      <w:r>
        <w:rPr>
          <w:rFonts w:hint="eastAsia" w:ascii="宋体" w:hAnsi="宋体" w:cs="HiddenHorzOCR"/>
          <w:color w:val="000000" w:themeColor="text1"/>
          <w:kern w:val="0"/>
          <w:szCs w:val="21"/>
          <w14:textFill>
            <w14:solidFill>
              <w14:schemeClr w14:val="tx1"/>
            </w14:solidFill>
          </w14:textFill>
        </w:rPr>
        <w:t>行打分,并</w:t>
      </w:r>
      <w:r>
        <w:rPr>
          <w:rFonts w:hint="eastAsia" w:ascii="宋体" w:hAnsi="宋体" w:cs="宋体"/>
          <w:color w:val="000000" w:themeColor="text1"/>
          <w:kern w:val="0"/>
          <w:szCs w:val="21"/>
          <w14:textFill>
            <w14:solidFill>
              <w14:schemeClr w14:val="tx1"/>
            </w14:solidFill>
          </w14:textFill>
        </w:rPr>
        <w:t>计</w:t>
      </w:r>
      <w:r>
        <w:rPr>
          <w:rFonts w:hint="eastAsia" w:ascii="宋体" w:hAnsi="宋体" w:cs="HiddenHorzOCR"/>
          <w:color w:val="000000" w:themeColor="text1"/>
          <w:kern w:val="0"/>
          <w:szCs w:val="21"/>
          <w14:textFill>
            <w14:solidFill>
              <w14:schemeClr w14:val="tx1"/>
            </w14:solidFill>
          </w14:textFill>
        </w:rPr>
        <w:t>算出</w:t>
      </w:r>
      <w:r>
        <w:rPr>
          <w:rFonts w:hint="eastAsia" w:ascii="宋体" w:hAnsi="宋体" w:cs="宋体"/>
          <w:color w:val="000000" w:themeColor="text1"/>
          <w:kern w:val="0"/>
          <w:szCs w:val="21"/>
          <w14:textFill>
            <w14:solidFill>
              <w14:schemeClr w14:val="tx1"/>
            </w14:solidFill>
          </w14:textFill>
        </w:rPr>
        <w:t>综</w:t>
      </w:r>
      <w:r>
        <w:rPr>
          <w:rFonts w:hint="eastAsia" w:ascii="宋体" w:hAnsi="宋体" w:cs="HiddenHorzOCR"/>
          <w:color w:val="000000" w:themeColor="text1"/>
          <w:kern w:val="0"/>
          <w:szCs w:val="21"/>
          <w14:textFill>
            <w14:solidFill>
              <w14:schemeClr w14:val="tx1"/>
            </w14:solidFill>
          </w14:textFill>
        </w:rPr>
        <w:t>合</w:t>
      </w:r>
      <w:r>
        <w:rPr>
          <w:rFonts w:hint="eastAsia" w:ascii="宋体" w:hAnsi="宋体" w:cs="宋体"/>
          <w:color w:val="000000" w:themeColor="text1"/>
          <w:kern w:val="0"/>
          <w:szCs w:val="21"/>
          <w14:textFill>
            <w14:solidFill>
              <w14:schemeClr w14:val="tx1"/>
            </w14:solidFill>
          </w14:textFill>
        </w:rPr>
        <w:t>评</w:t>
      </w:r>
      <w:r>
        <w:rPr>
          <w:rFonts w:hint="eastAsia" w:ascii="宋体" w:hAnsi="宋体" w:cs="HiddenHorzOCR"/>
          <w:color w:val="000000" w:themeColor="text1"/>
          <w:kern w:val="0"/>
          <w:szCs w:val="21"/>
          <w14:textFill>
            <w14:solidFill>
              <w14:schemeClr w14:val="tx1"/>
            </w14:solidFill>
          </w14:textFill>
        </w:rPr>
        <w:t>估得分。</w:t>
      </w:r>
    </w:p>
    <w:p w14:paraId="6EF4942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1</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 xml:space="preserve"> 按本章第</w:t>
      </w:r>
      <w:r>
        <w:rPr>
          <w:rFonts w:ascii="宋体" w:hAnsi="宋体"/>
          <w:color w:val="000000" w:themeColor="text1"/>
          <w14:textFill>
            <w14:solidFill>
              <w14:schemeClr w14:val="tx1"/>
            </w14:solidFill>
          </w14:textFill>
        </w:rPr>
        <w:t xml:space="preserve">2.2.4 (1) </w:t>
      </w:r>
      <w:r>
        <w:rPr>
          <w:rFonts w:hint="eastAsia" w:ascii="宋体" w:hAnsi="宋体"/>
          <w:color w:val="000000" w:themeColor="text1"/>
          <w14:textFill>
            <w14:solidFill>
              <w14:schemeClr w14:val="tx1"/>
            </w14:solidFill>
          </w14:textFill>
        </w:rPr>
        <w:t>目规定的评审因素和分值对施工组织设计评分标准计算出得分</w:t>
      </w:r>
      <w:r>
        <w:rPr>
          <w:rFonts w:ascii="宋体" w:hAnsi="宋体"/>
          <w:color w:val="000000" w:themeColor="text1"/>
          <w14:textFill>
            <w14:solidFill>
              <w14:schemeClr w14:val="tx1"/>
            </w14:solidFill>
          </w14:textFill>
        </w:rPr>
        <w:t>A</w:t>
      </w:r>
      <w:r>
        <w:rPr>
          <w:rFonts w:hint="eastAsia" w:ascii="宋体" w:hAnsi="宋体"/>
          <w:color w:val="000000" w:themeColor="text1"/>
          <w14:textFill>
            <w14:solidFill>
              <w14:schemeClr w14:val="tx1"/>
            </w14:solidFill>
          </w14:textFill>
        </w:rPr>
        <w:t>;</w:t>
      </w:r>
    </w:p>
    <w:p w14:paraId="699DC73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s="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w:t>
      </w:r>
      <w:r>
        <w:rPr>
          <w:rFonts w:hint="eastAsia" w:ascii="宋体" w:hAnsi="宋体"/>
          <w:color w:val="000000" w:themeColor="text1"/>
          <w:lang w:val="en-US" w:eastAsia="zh-CN"/>
          <w14:textFill>
            <w14:solidFill>
              <w14:schemeClr w14:val="tx1"/>
            </w14:solidFill>
          </w14:textFill>
        </w:rPr>
        <w:t>2</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 xml:space="preserve"> 按本章第</w:t>
      </w:r>
      <w:r>
        <w:rPr>
          <w:rFonts w:ascii="宋体" w:hAnsi="宋体"/>
          <w:color w:val="000000" w:themeColor="text1"/>
          <w14:textFill>
            <w14:solidFill>
              <w14:schemeClr w14:val="tx1"/>
            </w14:solidFill>
          </w14:textFill>
        </w:rPr>
        <w:t>2.2.4 (</w:t>
      </w:r>
      <w:r>
        <w:rPr>
          <w:rFonts w:hint="eastAsia" w:ascii="宋体" w:hAnsi="宋体"/>
          <w:color w:val="000000" w:themeColor="text1"/>
          <w:lang w:val="en-US" w:eastAsia="zh-CN"/>
          <w14:textFill>
            <w14:solidFill>
              <w14:schemeClr w14:val="tx1"/>
            </w14:solidFill>
          </w14:textFill>
        </w:rPr>
        <w:t>2</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目规定的评审因素和分值对</w:t>
      </w:r>
      <w:r>
        <w:rPr>
          <w:rFonts w:hint="eastAsia" w:ascii="宋体" w:hAnsi="宋体" w:cs="宋体"/>
          <w:color w:val="000000" w:themeColor="text1"/>
          <w14:textFill>
            <w14:solidFill>
              <w14:schemeClr w14:val="tx1"/>
            </w14:solidFill>
          </w14:textFill>
        </w:rPr>
        <w:t>投标报价及合理性评分标准</w:t>
      </w:r>
      <w:r>
        <w:rPr>
          <w:rFonts w:hint="eastAsia" w:ascii="宋体" w:hAnsi="宋体"/>
          <w:color w:val="000000" w:themeColor="text1"/>
          <w14:textFill>
            <w14:solidFill>
              <w14:schemeClr w14:val="tx1"/>
            </w14:solidFill>
          </w14:textFill>
        </w:rPr>
        <w:t>算出得分</w:t>
      </w:r>
      <w:r>
        <w:rPr>
          <w:rFonts w:hint="eastAsia" w:ascii="宋体" w:hAnsi="宋体"/>
          <w:color w:val="000000" w:themeColor="text1"/>
          <w:lang w:val="en-US" w:eastAsia="zh-CN"/>
          <w14:textFill>
            <w14:solidFill>
              <w14:schemeClr w14:val="tx1"/>
            </w14:solidFill>
          </w14:textFill>
        </w:rPr>
        <w:t>B</w:t>
      </w:r>
      <w:r>
        <w:rPr>
          <w:rFonts w:hint="eastAsia" w:ascii="宋体" w:hAnsi="宋体"/>
          <w:color w:val="000000" w:themeColor="text1"/>
          <w14:textFill>
            <w14:solidFill>
              <w14:schemeClr w14:val="tx1"/>
            </w14:solidFill>
          </w14:textFill>
        </w:rPr>
        <w:t>;</w:t>
      </w:r>
    </w:p>
    <w:p w14:paraId="7DDEE525">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kern w:val="0"/>
          <w:szCs w:val="21"/>
          <w14:textFill>
            <w14:solidFill>
              <w14:schemeClr w14:val="tx1"/>
            </w14:solidFill>
          </w14:textFill>
        </w:rPr>
      </w:pPr>
      <w:r>
        <w:rPr>
          <w:rFonts w:ascii="宋体" w:hAnsi="宋体"/>
          <w:b/>
          <w:color w:val="000000" w:themeColor="text1"/>
          <w14:textFill>
            <w14:solidFill>
              <w14:schemeClr w14:val="tx1"/>
            </w14:solidFill>
          </w14:textFill>
        </w:rPr>
        <w:t>3.2.2</w:t>
      </w:r>
      <w:r>
        <w:rPr>
          <w:rFonts w:ascii="宋体" w:hAnsi="宋体"/>
          <w:color w:val="000000" w:themeColor="text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评</w:t>
      </w:r>
      <w:r>
        <w:rPr>
          <w:rFonts w:hint="eastAsia" w:ascii="宋体" w:hAnsi="宋体" w:cs="HiddenHorzOCR"/>
          <w:color w:val="000000" w:themeColor="text1"/>
          <w:kern w:val="0"/>
          <w:szCs w:val="21"/>
          <w14:textFill>
            <w14:solidFill>
              <w14:schemeClr w14:val="tx1"/>
            </w14:solidFill>
          </w14:textFill>
        </w:rPr>
        <w:t>分分</w:t>
      </w:r>
      <w:r>
        <w:rPr>
          <w:rFonts w:hint="eastAsia" w:ascii="宋体" w:hAnsi="宋体" w:cs="宋体"/>
          <w:color w:val="000000" w:themeColor="text1"/>
          <w:kern w:val="0"/>
          <w:szCs w:val="21"/>
          <w14:textFill>
            <w14:solidFill>
              <w14:schemeClr w14:val="tx1"/>
            </w14:solidFill>
          </w14:textFill>
        </w:rPr>
        <w:t>值计</w:t>
      </w:r>
      <w:r>
        <w:rPr>
          <w:rFonts w:hint="eastAsia" w:ascii="宋体" w:hAnsi="宋体" w:cs="HiddenHorzOCR"/>
          <w:color w:val="000000" w:themeColor="text1"/>
          <w:kern w:val="0"/>
          <w:szCs w:val="21"/>
          <w14:textFill>
            <w14:solidFill>
              <w14:schemeClr w14:val="tx1"/>
            </w14:solidFill>
          </w14:textFill>
        </w:rPr>
        <w:t>算保留小数点后两位，小数点后第三位“四舍五入”。</w:t>
      </w:r>
    </w:p>
    <w:p w14:paraId="29CDE922">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kern w:val="0"/>
          <w:szCs w:val="21"/>
          <w14:textFill>
            <w14:solidFill>
              <w14:schemeClr w14:val="tx1"/>
            </w14:solidFill>
          </w14:textFill>
        </w:rPr>
      </w:pPr>
      <w:r>
        <w:rPr>
          <w:rFonts w:ascii="宋体" w:hAnsi="宋体"/>
          <w:b/>
          <w:color w:val="000000" w:themeColor="text1"/>
          <w14:textFill>
            <w14:solidFill>
              <w14:schemeClr w14:val="tx1"/>
            </w14:solidFill>
          </w14:textFill>
        </w:rPr>
        <w:t>3.2.3</w:t>
      </w:r>
      <w:r>
        <w:rPr>
          <w:rFonts w:ascii="宋体" w:hAnsi="宋体" w:cs="HiddenHorzOCR"/>
          <w:color w:val="000000" w:themeColor="text1"/>
          <w:kern w:val="0"/>
          <w:szCs w:val="21"/>
          <w14:textFill>
            <w14:solidFill>
              <w14:schemeClr w14:val="tx1"/>
            </w14:solidFill>
          </w14:textFill>
        </w:rPr>
        <w:t xml:space="preserve"> </w:t>
      </w: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人得分</w:t>
      </w:r>
      <w:r>
        <w:rPr>
          <w:rFonts w:ascii="宋体" w:hAnsi="宋体" w:cs="HiddenHorzOCR"/>
          <w:color w:val="000000" w:themeColor="text1"/>
          <w:kern w:val="0"/>
          <w:szCs w:val="21"/>
          <w14:textFill>
            <w14:solidFill>
              <w14:schemeClr w14:val="tx1"/>
            </w14:solidFill>
          </w14:textFill>
        </w:rPr>
        <w:t>=A+B。</w:t>
      </w:r>
    </w:p>
    <w:p w14:paraId="7BFDCB84">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kern w:val="0"/>
          <w:szCs w:val="21"/>
          <w14:textFill>
            <w14:solidFill>
              <w14:schemeClr w14:val="tx1"/>
            </w14:solidFill>
          </w14:textFill>
        </w:rPr>
      </w:pPr>
      <w:r>
        <w:rPr>
          <w:rFonts w:ascii="宋体" w:hAnsi="宋体"/>
          <w:b/>
          <w:color w:val="000000" w:themeColor="text1"/>
          <w14:textFill>
            <w14:solidFill>
              <w14:schemeClr w14:val="tx1"/>
            </w14:solidFill>
          </w14:textFill>
        </w:rPr>
        <w:t>3.2.4</w:t>
      </w:r>
      <w:r>
        <w:rPr>
          <w:rFonts w:hint="eastAsia" w:ascii="宋体" w:hAnsi="宋体" w:cs="HiddenHorzOCR"/>
          <w:color w:val="000000" w:themeColor="text1"/>
          <w:kern w:val="0"/>
          <w:szCs w:val="21"/>
          <w14:textFill>
            <w14:solidFill>
              <w14:schemeClr w14:val="tx1"/>
            </w14:solidFill>
          </w14:textFill>
        </w:rPr>
        <w:t xml:space="preserve"> </w:t>
      </w:r>
      <w:r>
        <w:rPr>
          <w:rFonts w:hint="eastAsia" w:ascii="宋体" w:hAnsi="宋体" w:cs="宋体"/>
          <w:color w:val="000000" w:themeColor="text1"/>
          <w:spacing w:val="-2"/>
          <w:kern w:val="0"/>
          <w:szCs w:val="21"/>
          <w14:textFill>
            <w14:solidFill>
              <w14:schemeClr w14:val="tx1"/>
            </w14:solidFill>
          </w14:textFill>
        </w:rPr>
        <w:t>评标</w:t>
      </w:r>
      <w:r>
        <w:rPr>
          <w:rFonts w:hint="eastAsia" w:ascii="宋体" w:hAnsi="宋体" w:cs="HiddenHorzOCR"/>
          <w:color w:val="000000" w:themeColor="text1"/>
          <w:spacing w:val="-2"/>
          <w:kern w:val="0"/>
          <w:szCs w:val="21"/>
          <w14:textFill>
            <w14:solidFill>
              <w14:schemeClr w14:val="tx1"/>
            </w14:solidFill>
          </w14:textFill>
        </w:rPr>
        <w:t>委</w:t>
      </w:r>
      <w:r>
        <w:rPr>
          <w:rFonts w:hint="eastAsia" w:ascii="宋体" w:hAnsi="宋体" w:cs="宋体"/>
          <w:color w:val="000000" w:themeColor="text1"/>
          <w:spacing w:val="-2"/>
          <w:kern w:val="0"/>
          <w:szCs w:val="21"/>
          <w14:textFill>
            <w14:solidFill>
              <w14:schemeClr w14:val="tx1"/>
            </w14:solidFill>
          </w14:textFill>
        </w:rPr>
        <w:t>员</w:t>
      </w:r>
      <w:r>
        <w:rPr>
          <w:rFonts w:hint="eastAsia" w:ascii="宋体" w:hAnsi="宋体" w:cs="HiddenHorzOCR"/>
          <w:color w:val="000000" w:themeColor="text1"/>
          <w:spacing w:val="-2"/>
          <w:kern w:val="0"/>
          <w:szCs w:val="21"/>
          <w14:textFill>
            <w14:solidFill>
              <w14:schemeClr w14:val="tx1"/>
            </w14:solidFill>
          </w14:textFill>
        </w:rPr>
        <w:t>会</w:t>
      </w:r>
      <w:r>
        <w:rPr>
          <w:rFonts w:hint="eastAsia" w:ascii="宋体" w:hAnsi="宋体" w:cs="宋体"/>
          <w:color w:val="000000" w:themeColor="text1"/>
          <w:spacing w:val="-2"/>
          <w:kern w:val="0"/>
          <w:szCs w:val="21"/>
          <w14:textFill>
            <w14:solidFill>
              <w14:schemeClr w14:val="tx1"/>
            </w14:solidFill>
          </w14:textFill>
        </w:rPr>
        <w:t>发现</w:t>
      </w:r>
      <w:r>
        <w:rPr>
          <w:rFonts w:hint="eastAsia" w:ascii="宋体" w:hAnsi="宋体" w:cs="HiddenHorzOCR"/>
          <w:color w:val="000000" w:themeColor="text1"/>
          <w:spacing w:val="-2"/>
          <w:kern w:val="0"/>
          <w:szCs w:val="21"/>
          <w14:textFill>
            <w14:solidFill>
              <w14:schemeClr w14:val="tx1"/>
            </w14:solidFill>
          </w14:textFill>
        </w:rPr>
        <w:t>投</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人的</w:t>
      </w:r>
      <w:r>
        <w:rPr>
          <w:rFonts w:hint="eastAsia" w:ascii="宋体" w:hAnsi="宋体" w:cs="宋体"/>
          <w:color w:val="000000" w:themeColor="text1"/>
          <w:spacing w:val="-2"/>
          <w:kern w:val="0"/>
          <w:szCs w:val="21"/>
          <w14:textFill>
            <w14:solidFill>
              <w14:schemeClr w14:val="tx1"/>
            </w14:solidFill>
          </w14:textFill>
        </w:rPr>
        <w:t>报</w:t>
      </w:r>
      <w:r>
        <w:rPr>
          <w:rFonts w:hint="eastAsia" w:ascii="宋体" w:hAnsi="宋体" w:cs="HiddenHorzOCR"/>
          <w:color w:val="000000" w:themeColor="text1"/>
          <w:spacing w:val="-2"/>
          <w:kern w:val="0"/>
          <w:szCs w:val="21"/>
          <w14:textFill>
            <w14:solidFill>
              <w14:schemeClr w14:val="tx1"/>
            </w14:solidFill>
          </w14:textFill>
        </w:rPr>
        <w:t>价明</w:t>
      </w:r>
      <w:r>
        <w:rPr>
          <w:rFonts w:hint="eastAsia" w:ascii="宋体" w:hAnsi="宋体" w:cs="宋体"/>
          <w:color w:val="000000" w:themeColor="text1"/>
          <w:spacing w:val="-2"/>
          <w:kern w:val="0"/>
          <w:szCs w:val="21"/>
          <w14:textFill>
            <w14:solidFill>
              <w14:schemeClr w14:val="tx1"/>
            </w14:solidFill>
          </w14:textFill>
        </w:rPr>
        <w:t>显</w:t>
      </w:r>
      <w:r>
        <w:rPr>
          <w:rFonts w:hint="eastAsia" w:ascii="宋体" w:hAnsi="宋体" w:cs="HiddenHorzOCR"/>
          <w:color w:val="000000" w:themeColor="text1"/>
          <w:spacing w:val="-2"/>
          <w:kern w:val="0"/>
          <w:szCs w:val="21"/>
          <w14:textFill>
            <w14:solidFill>
              <w14:schemeClr w14:val="tx1"/>
            </w14:solidFill>
          </w14:textFill>
        </w:rPr>
        <w:t>低于其他投</w:t>
      </w:r>
      <w:r>
        <w:rPr>
          <w:rFonts w:hint="eastAsia" w:ascii="宋体" w:hAnsi="宋体" w:cs="宋体"/>
          <w:color w:val="000000" w:themeColor="text1"/>
          <w:spacing w:val="-2"/>
          <w:kern w:val="0"/>
          <w:szCs w:val="21"/>
          <w14:textFill>
            <w14:solidFill>
              <w14:schemeClr w14:val="tx1"/>
            </w14:solidFill>
          </w14:textFill>
        </w:rPr>
        <w:t>标报</w:t>
      </w:r>
      <w:r>
        <w:rPr>
          <w:rFonts w:hint="eastAsia" w:ascii="宋体" w:hAnsi="宋体" w:cs="HiddenHorzOCR"/>
          <w:color w:val="000000" w:themeColor="text1"/>
          <w:spacing w:val="-2"/>
          <w:kern w:val="0"/>
          <w:szCs w:val="21"/>
          <w14:textFill>
            <w14:solidFill>
              <w14:schemeClr w14:val="tx1"/>
            </w14:solidFill>
          </w14:textFill>
        </w:rPr>
        <w:t>价，或者在</w:t>
      </w:r>
      <w:r>
        <w:rPr>
          <w:rFonts w:hint="eastAsia" w:ascii="宋体" w:hAnsi="宋体" w:cs="宋体"/>
          <w:color w:val="000000" w:themeColor="text1"/>
          <w:spacing w:val="-2"/>
          <w:kern w:val="0"/>
          <w:szCs w:val="21"/>
          <w14:textFill>
            <w14:solidFill>
              <w14:schemeClr w14:val="tx1"/>
            </w14:solidFill>
          </w14:textFill>
        </w:rPr>
        <w:t>设</w:t>
      </w:r>
      <w:r>
        <w:rPr>
          <w:rFonts w:hint="eastAsia" w:ascii="宋体" w:hAnsi="宋体" w:cs="HiddenHorzOCR"/>
          <w:color w:val="000000" w:themeColor="text1"/>
          <w:spacing w:val="-2"/>
          <w:kern w:val="0"/>
          <w:szCs w:val="21"/>
          <w14:textFill>
            <w14:solidFill>
              <w14:schemeClr w14:val="tx1"/>
            </w14:solidFill>
          </w14:textFill>
        </w:rPr>
        <w:t>有</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底</w:t>
      </w:r>
      <w:r>
        <w:rPr>
          <w:rFonts w:hint="eastAsia" w:ascii="宋体" w:hAnsi="宋体" w:cs="宋体"/>
          <w:color w:val="000000" w:themeColor="text1"/>
          <w:spacing w:val="-2"/>
          <w:kern w:val="0"/>
          <w:szCs w:val="21"/>
          <w14:textFill>
            <w14:solidFill>
              <w14:schemeClr w14:val="tx1"/>
            </w14:solidFill>
          </w14:textFill>
        </w:rPr>
        <w:t>时</w:t>
      </w:r>
      <w:r>
        <w:rPr>
          <w:rFonts w:hint="eastAsia" w:ascii="宋体" w:hAnsi="宋体" w:cs="HiddenHorzOCR"/>
          <w:color w:val="000000" w:themeColor="text1"/>
          <w:spacing w:val="-2"/>
          <w:kern w:val="0"/>
          <w:szCs w:val="21"/>
          <w14:textFill>
            <w14:solidFill>
              <w14:schemeClr w14:val="tx1"/>
            </w14:solidFill>
          </w14:textFill>
        </w:rPr>
        <w:t>明</w:t>
      </w:r>
      <w:r>
        <w:rPr>
          <w:rFonts w:hint="eastAsia" w:ascii="宋体" w:hAnsi="宋体" w:cs="宋体"/>
          <w:color w:val="000000" w:themeColor="text1"/>
          <w:spacing w:val="-2"/>
          <w:kern w:val="0"/>
          <w:szCs w:val="21"/>
          <w14:textFill>
            <w14:solidFill>
              <w14:schemeClr w14:val="tx1"/>
            </w14:solidFill>
          </w14:textFill>
        </w:rPr>
        <w:t>显</w:t>
      </w:r>
      <w:r>
        <w:rPr>
          <w:rFonts w:hint="eastAsia" w:ascii="宋体" w:hAnsi="宋体" w:cs="HiddenHorzOCR"/>
          <w:color w:val="000000" w:themeColor="text1"/>
          <w:spacing w:val="-2"/>
          <w:kern w:val="0"/>
          <w:szCs w:val="21"/>
          <w14:textFill>
            <w14:solidFill>
              <w14:schemeClr w14:val="tx1"/>
            </w14:solidFill>
          </w14:textFill>
        </w:rPr>
        <w:t>低于</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底，使得其投</w:t>
      </w:r>
      <w:r>
        <w:rPr>
          <w:rFonts w:hint="eastAsia" w:ascii="宋体" w:hAnsi="宋体" w:cs="宋体"/>
          <w:color w:val="000000" w:themeColor="text1"/>
          <w:spacing w:val="-2"/>
          <w:kern w:val="0"/>
          <w:szCs w:val="21"/>
          <w14:textFill>
            <w14:solidFill>
              <w14:schemeClr w14:val="tx1"/>
            </w14:solidFill>
          </w14:textFill>
        </w:rPr>
        <w:t>标报</w:t>
      </w:r>
      <w:r>
        <w:rPr>
          <w:rFonts w:hint="eastAsia" w:ascii="宋体" w:hAnsi="宋体" w:cs="HiddenHorzOCR"/>
          <w:color w:val="000000" w:themeColor="text1"/>
          <w:spacing w:val="-2"/>
          <w:kern w:val="0"/>
          <w:szCs w:val="21"/>
          <w14:textFill>
            <w14:solidFill>
              <w14:schemeClr w14:val="tx1"/>
            </w14:solidFill>
          </w14:textFill>
        </w:rPr>
        <w:t>价可能低于其个</w:t>
      </w:r>
      <w:r>
        <w:rPr>
          <w:rFonts w:hint="eastAsia" w:ascii="宋体" w:hAnsi="宋体" w:cs="宋体"/>
          <w:color w:val="000000" w:themeColor="text1"/>
          <w:spacing w:val="-2"/>
          <w:kern w:val="0"/>
          <w:szCs w:val="21"/>
          <w14:textFill>
            <w14:solidFill>
              <w14:schemeClr w14:val="tx1"/>
            </w14:solidFill>
          </w14:textFill>
        </w:rPr>
        <w:t>别</w:t>
      </w:r>
      <w:r>
        <w:rPr>
          <w:rFonts w:hint="eastAsia" w:ascii="宋体" w:hAnsi="宋体" w:cs="HiddenHorzOCR"/>
          <w:color w:val="000000" w:themeColor="text1"/>
          <w:spacing w:val="-2"/>
          <w:kern w:val="0"/>
          <w:szCs w:val="21"/>
          <w14:textFill>
            <w14:solidFill>
              <w14:schemeClr w14:val="tx1"/>
            </w14:solidFill>
          </w14:textFill>
        </w:rPr>
        <w:t>成本的，</w:t>
      </w:r>
      <w:r>
        <w:rPr>
          <w:rFonts w:hint="eastAsia" w:ascii="宋体" w:hAnsi="宋体" w:cs="宋体"/>
          <w:color w:val="000000" w:themeColor="text1"/>
          <w:spacing w:val="-2"/>
          <w:kern w:val="0"/>
          <w:szCs w:val="21"/>
          <w14:textFill>
            <w14:solidFill>
              <w14:schemeClr w14:val="tx1"/>
            </w14:solidFill>
          </w14:textFill>
        </w:rPr>
        <w:t>应</w:t>
      </w:r>
      <w:r>
        <w:rPr>
          <w:rFonts w:hint="eastAsia" w:ascii="宋体" w:hAnsi="宋体" w:cs="HiddenHorzOCR"/>
          <w:color w:val="000000" w:themeColor="text1"/>
          <w:spacing w:val="-2"/>
          <w:kern w:val="0"/>
          <w:szCs w:val="21"/>
          <w14:textFill>
            <w14:solidFill>
              <w14:schemeClr w14:val="tx1"/>
            </w14:solidFill>
          </w14:textFill>
        </w:rPr>
        <w:t>当要求</w:t>
      </w:r>
      <w:r>
        <w:rPr>
          <w:rFonts w:hint="eastAsia" w:ascii="宋体" w:hAnsi="宋体" w:cs="宋体"/>
          <w:color w:val="000000" w:themeColor="text1"/>
          <w:spacing w:val="-2"/>
          <w:kern w:val="0"/>
          <w:szCs w:val="21"/>
          <w14:textFill>
            <w14:solidFill>
              <w14:schemeClr w14:val="tx1"/>
            </w14:solidFill>
          </w14:textFill>
        </w:rPr>
        <w:t>该</w:t>
      </w:r>
      <w:r>
        <w:rPr>
          <w:rFonts w:hint="eastAsia" w:ascii="宋体" w:hAnsi="宋体" w:cs="HiddenHorzOCR"/>
          <w:color w:val="000000" w:themeColor="text1"/>
          <w:spacing w:val="-2"/>
          <w:kern w:val="0"/>
          <w:szCs w:val="21"/>
          <w14:textFill>
            <w14:solidFill>
              <w14:schemeClr w14:val="tx1"/>
            </w14:solidFill>
          </w14:textFill>
        </w:rPr>
        <w:t>投</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人作出</w:t>
      </w:r>
      <w:r>
        <w:rPr>
          <w:rFonts w:hint="eastAsia" w:ascii="宋体" w:hAnsi="宋体" w:cs="宋体"/>
          <w:color w:val="000000" w:themeColor="text1"/>
          <w:spacing w:val="-2"/>
          <w:kern w:val="0"/>
          <w:szCs w:val="21"/>
          <w14:textFill>
            <w14:solidFill>
              <w14:schemeClr w14:val="tx1"/>
            </w14:solidFill>
          </w14:textFill>
        </w:rPr>
        <w:t>书</w:t>
      </w:r>
      <w:r>
        <w:rPr>
          <w:rFonts w:hint="eastAsia" w:ascii="宋体" w:hAnsi="宋体" w:cs="HiddenHorzOCR"/>
          <w:color w:val="000000" w:themeColor="text1"/>
          <w:spacing w:val="-2"/>
          <w:kern w:val="0"/>
          <w:szCs w:val="21"/>
          <w14:textFill>
            <w14:solidFill>
              <w14:schemeClr w14:val="tx1"/>
            </w14:solidFill>
          </w14:textFill>
        </w:rPr>
        <w:t>面</w:t>
      </w:r>
      <w:r>
        <w:rPr>
          <w:rFonts w:hint="eastAsia" w:ascii="宋体" w:hAnsi="宋体" w:cs="宋体"/>
          <w:color w:val="000000" w:themeColor="text1"/>
          <w:spacing w:val="-2"/>
          <w:kern w:val="0"/>
          <w:szCs w:val="21"/>
          <w14:textFill>
            <w14:solidFill>
              <w14:schemeClr w14:val="tx1"/>
            </w14:solidFill>
          </w14:textFill>
        </w:rPr>
        <w:t>说</w:t>
      </w:r>
      <w:r>
        <w:rPr>
          <w:rFonts w:hint="eastAsia" w:ascii="宋体" w:hAnsi="宋体" w:cs="HiddenHorzOCR"/>
          <w:color w:val="000000" w:themeColor="text1"/>
          <w:spacing w:val="-2"/>
          <w:kern w:val="0"/>
          <w:szCs w:val="21"/>
          <w14:textFill>
            <w14:solidFill>
              <w14:schemeClr w14:val="tx1"/>
            </w14:solidFill>
          </w14:textFill>
        </w:rPr>
        <w:t>明并提供</w:t>
      </w:r>
      <w:r>
        <w:rPr>
          <w:rFonts w:hint="eastAsia" w:ascii="宋体" w:hAnsi="宋体" w:cs="HiddenHorzOCR"/>
          <w:color w:val="000000" w:themeColor="text1"/>
          <w:kern w:val="0"/>
          <w:szCs w:val="21"/>
          <w14:textFill>
            <w14:solidFill>
              <w14:schemeClr w14:val="tx1"/>
            </w14:solidFill>
          </w14:textFill>
        </w:rPr>
        <w:t>相</w:t>
      </w:r>
      <w:r>
        <w:rPr>
          <w:rFonts w:hint="eastAsia" w:ascii="宋体" w:hAnsi="宋体" w:cs="宋体"/>
          <w:color w:val="000000" w:themeColor="text1"/>
          <w:kern w:val="0"/>
          <w:szCs w:val="21"/>
          <w14:textFill>
            <w14:solidFill>
              <w14:schemeClr w14:val="tx1"/>
            </w14:solidFill>
          </w14:textFill>
        </w:rPr>
        <w:t>应</w:t>
      </w:r>
      <w:r>
        <w:rPr>
          <w:rFonts w:hint="eastAsia" w:ascii="宋体" w:hAnsi="宋体" w:cs="HiddenHorzOCR"/>
          <w:color w:val="000000" w:themeColor="text1"/>
          <w:kern w:val="0"/>
          <w:szCs w:val="21"/>
          <w14:textFill>
            <w14:solidFill>
              <w14:schemeClr w14:val="tx1"/>
            </w14:solidFill>
          </w14:textFill>
        </w:rPr>
        <w:t>的</w:t>
      </w:r>
      <w:r>
        <w:rPr>
          <w:rFonts w:hint="eastAsia" w:ascii="宋体" w:hAnsi="宋体" w:cs="宋体"/>
          <w:color w:val="000000" w:themeColor="text1"/>
          <w:kern w:val="0"/>
          <w:szCs w:val="21"/>
          <w14:textFill>
            <w14:solidFill>
              <w14:schemeClr w14:val="tx1"/>
            </w14:solidFill>
          </w14:textFill>
        </w:rPr>
        <w:t>证</w:t>
      </w:r>
      <w:r>
        <w:rPr>
          <w:rFonts w:hint="eastAsia" w:ascii="宋体" w:hAnsi="宋体" w:cs="HiddenHorzOCR"/>
          <w:color w:val="000000" w:themeColor="text1"/>
          <w:kern w:val="0"/>
          <w:szCs w:val="21"/>
          <w14:textFill>
            <w14:solidFill>
              <w14:schemeClr w14:val="tx1"/>
            </w14:solidFill>
          </w14:textFill>
        </w:rPr>
        <w:t>明材料。投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人不能合理</w:t>
      </w:r>
      <w:r>
        <w:rPr>
          <w:rFonts w:hint="eastAsia" w:ascii="宋体" w:hAnsi="宋体" w:cs="宋体"/>
          <w:color w:val="000000" w:themeColor="text1"/>
          <w:kern w:val="0"/>
          <w:szCs w:val="21"/>
          <w14:textFill>
            <w14:solidFill>
              <w14:schemeClr w14:val="tx1"/>
            </w14:solidFill>
          </w14:textFill>
        </w:rPr>
        <w:t>说</w:t>
      </w:r>
      <w:r>
        <w:rPr>
          <w:rFonts w:hint="eastAsia" w:ascii="宋体" w:hAnsi="宋体" w:cs="HiddenHorzOCR"/>
          <w:color w:val="000000" w:themeColor="text1"/>
          <w:kern w:val="0"/>
          <w:szCs w:val="21"/>
          <w14:textFill>
            <w14:solidFill>
              <w14:schemeClr w14:val="tx1"/>
            </w14:solidFill>
          </w14:textFill>
        </w:rPr>
        <w:t>明或者不能提供相</w:t>
      </w:r>
      <w:r>
        <w:rPr>
          <w:rFonts w:hint="eastAsia" w:ascii="宋体" w:hAnsi="宋体" w:cs="宋体"/>
          <w:color w:val="000000" w:themeColor="text1"/>
          <w:kern w:val="0"/>
          <w:szCs w:val="21"/>
          <w14:textFill>
            <w14:solidFill>
              <w14:schemeClr w14:val="tx1"/>
            </w14:solidFill>
          </w14:textFill>
        </w:rPr>
        <w:t>应证</w:t>
      </w:r>
      <w:r>
        <w:rPr>
          <w:rFonts w:hint="eastAsia" w:ascii="宋体" w:hAnsi="宋体" w:cs="HiddenHorzOCR"/>
          <w:color w:val="000000" w:themeColor="text1"/>
          <w:kern w:val="0"/>
          <w:szCs w:val="21"/>
          <w14:textFill>
            <w14:solidFill>
              <w14:schemeClr w14:val="tx1"/>
            </w14:solidFill>
          </w14:textFill>
        </w:rPr>
        <w:t>明材料的，由</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委</w:t>
      </w:r>
      <w:r>
        <w:rPr>
          <w:rFonts w:hint="eastAsia" w:ascii="宋体" w:hAnsi="宋体" w:cs="宋体"/>
          <w:color w:val="000000" w:themeColor="text1"/>
          <w:kern w:val="0"/>
          <w:szCs w:val="21"/>
          <w14:textFill>
            <w14:solidFill>
              <w14:schemeClr w14:val="tx1"/>
            </w14:solidFill>
          </w14:textFill>
        </w:rPr>
        <w:t>员</w:t>
      </w:r>
      <w:r>
        <w:rPr>
          <w:rFonts w:hint="eastAsia" w:ascii="宋体" w:hAnsi="宋体" w:cs="HiddenHorzOCR"/>
          <w:color w:val="000000" w:themeColor="text1"/>
          <w:kern w:val="0"/>
          <w:szCs w:val="21"/>
          <w14:textFill>
            <w14:solidFill>
              <w14:schemeClr w14:val="tx1"/>
            </w14:solidFill>
          </w14:textFill>
        </w:rPr>
        <w:t>会</w:t>
      </w:r>
      <w:r>
        <w:rPr>
          <w:rFonts w:hint="eastAsia" w:ascii="宋体" w:hAnsi="宋体" w:cs="宋体"/>
          <w:color w:val="000000" w:themeColor="text1"/>
          <w:kern w:val="0"/>
          <w:szCs w:val="21"/>
          <w14:textFill>
            <w14:solidFill>
              <w14:schemeClr w14:val="tx1"/>
            </w14:solidFill>
          </w14:textFill>
        </w:rPr>
        <w:t>认</w:t>
      </w:r>
      <w:r>
        <w:rPr>
          <w:rFonts w:hint="eastAsia" w:ascii="宋体" w:hAnsi="宋体" w:cs="HiddenHorzOCR"/>
          <w:color w:val="000000" w:themeColor="text1"/>
          <w:kern w:val="0"/>
          <w:szCs w:val="21"/>
          <w14:textFill>
            <w14:solidFill>
              <w14:schemeClr w14:val="tx1"/>
            </w14:solidFill>
          </w14:textFill>
        </w:rPr>
        <w:t>定</w:t>
      </w:r>
      <w:r>
        <w:rPr>
          <w:rFonts w:hint="eastAsia" w:ascii="宋体" w:hAnsi="宋体" w:cs="宋体"/>
          <w:color w:val="000000" w:themeColor="text1"/>
          <w:kern w:val="0"/>
          <w:szCs w:val="21"/>
          <w14:textFill>
            <w14:solidFill>
              <w14:schemeClr w14:val="tx1"/>
            </w14:solidFill>
          </w14:textFill>
        </w:rPr>
        <w:t>该</w:t>
      </w:r>
      <w:r>
        <w:rPr>
          <w:rFonts w:hint="eastAsia" w:ascii="宋体" w:hAnsi="宋体" w:cs="HiddenHorzOCR"/>
          <w:color w:val="000000" w:themeColor="text1"/>
          <w:kern w:val="0"/>
          <w:szCs w:val="21"/>
          <w14:textFill>
            <w14:solidFill>
              <w14:schemeClr w14:val="tx1"/>
            </w14:solidFill>
          </w14:textFill>
        </w:rPr>
        <w:t>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人以低于成本</w:t>
      </w:r>
      <w:r>
        <w:rPr>
          <w:rFonts w:hint="eastAsia" w:ascii="宋体" w:hAnsi="宋体" w:cs="宋体"/>
          <w:color w:val="000000" w:themeColor="text1"/>
          <w:kern w:val="0"/>
          <w:szCs w:val="21"/>
          <w14:textFill>
            <w14:solidFill>
              <w14:schemeClr w14:val="tx1"/>
            </w14:solidFill>
          </w14:textFill>
        </w:rPr>
        <w:t>报</w:t>
      </w:r>
      <w:r>
        <w:rPr>
          <w:rFonts w:hint="eastAsia" w:ascii="宋体" w:hAnsi="宋体" w:cs="HiddenHorzOCR"/>
          <w:color w:val="000000" w:themeColor="text1"/>
          <w:kern w:val="0"/>
          <w:szCs w:val="21"/>
          <w14:textFill>
            <w14:solidFill>
              <w14:schemeClr w14:val="tx1"/>
            </w14:solidFill>
          </w14:textFill>
        </w:rPr>
        <w:t>价</w:t>
      </w:r>
      <w:r>
        <w:rPr>
          <w:rFonts w:hint="eastAsia" w:ascii="宋体" w:hAnsi="宋体" w:cs="宋体"/>
          <w:color w:val="000000" w:themeColor="text1"/>
          <w:kern w:val="0"/>
          <w:szCs w:val="21"/>
          <w14:textFill>
            <w14:solidFill>
              <w14:schemeClr w14:val="tx1"/>
            </w14:solidFill>
          </w14:textFill>
        </w:rPr>
        <w:t>竞标</w:t>
      </w:r>
      <w:r>
        <w:rPr>
          <w:rFonts w:hint="eastAsia" w:ascii="宋体" w:hAnsi="宋体" w:cs="HiddenHorzOCR"/>
          <w:color w:val="000000" w:themeColor="text1"/>
          <w:kern w:val="0"/>
          <w:szCs w:val="21"/>
          <w14:textFill>
            <w14:solidFill>
              <w14:schemeClr w14:val="tx1"/>
            </w14:solidFill>
          </w14:textFill>
        </w:rPr>
        <w:t>，其投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作</w:t>
      </w:r>
      <w:r>
        <w:rPr>
          <w:rFonts w:hint="eastAsia" w:ascii="宋体" w:hAnsi="宋体" w:cs="宋体"/>
          <w:color w:val="000000" w:themeColor="text1"/>
          <w:kern w:val="0"/>
          <w:szCs w:val="21"/>
          <w14:textFill>
            <w14:solidFill>
              <w14:schemeClr w14:val="tx1"/>
            </w14:solidFill>
          </w14:textFill>
        </w:rPr>
        <w:t>否决其投标处</w:t>
      </w:r>
      <w:r>
        <w:rPr>
          <w:rFonts w:hint="eastAsia" w:ascii="宋体" w:hAnsi="宋体" w:cs="HiddenHorzOCR"/>
          <w:color w:val="000000" w:themeColor="text1"/>
          <w:kern w:val="0"/>
          <w:szCs w:val="21"/>
          <w14:textFill>
            <w14:solidFill>
              <w14:schemeClr w14:val="tx1"/>
            </w14:solidFill>
          </w14:textFill>
        </w:rPr>
        <w:t>理。</w:t>
      </w:r>
    </w:p>
    <w:p w14:paraId="4AB83169">
      <w:pPr>
        <w:keepNext w:val="0"/>
        <w:keepLines w:val="0"/>
        <w:pageBreakBefore w:val="0"/>
        <w:widowControl w:val="0"/>
        <w:kinsoku/>
        <w:wordWrap/>
        <w:overflowPunct/>
        <w:topLinePunct w:val="0"/>
        <w:autoSpaceDE/>
        <w:autoSpaceDN/>
        <w:bidi w:val="0"/>
        <w:spacing w:line="360" w:lineRule="auto"/>
        <w:textAlignment w:val="auto"/>
        <w:rPr>
          <w:rFonts w:ascii="宋体" w:hAnsi="宋体"/>
          <w:color w:val="000000" w:themeColor="text1"/>
          <w:kern w:val="0"/>
          <w14:textFill>
            <w14:solidFill>
              <w14:schemeClr w14:val="tx1"/>
            </w14:solidFill>
          </w14:textFill>
        </w:rPr>
      </w:pPr>
      <w:r>
        <w:rPr>
          <w:rFonts w:ascii="宋体" w:hAnsi="宋体"/>
          <w:color w:val="000000" w:themeColor="text1"/>
          <w:kern w:val="0"/>
          <w14:textFill>
            <w14:solidFill>
              <w14:schemeClr w14:val="tx1"/>
            </w14:solidFill>
          </w14:textFill>
        </w:rPr>
        <w:t xml:space="preserve">3.3 </w:t>
      </w:r>
      <w:r>
        <w:rPr>
          <w:rFonts w:hint="eastAsia" w:ascii="宋体" w:hAnsi="宋体"/>
          <w:color w:val="000000" w:themeColor="text1"/>
          <w:kern w:val="0"/>
          <w14:textFill>
            <w14:solidFill>
              <w14:schemeClr w14:val="tx1"/>
            </w14:solidFill>
          </w14:textFill>
        </w:rPr>
        <w:t>投标文件的澄清和补正</w:t>
      </w:r>
    </w:p>
    <w:p w14:paraId="7BAB84C4">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spacing w:val="-2"/>
          <w:kern w:val="0"/>
          <w:szCs w:val="21"/>
          <w14:textFill>
            <w14:solidFill>
              <w14:schemeClr w14:val="tx1"/>
            </w14:solidFill>
          </w14:textFill>
        </w:rPr>
      </w:pPr>
      <w:r>
        <w:rPr>
          <w:rFonts w:ascii="宋体" w:hAnsi="宋体"/>
          <w:b/>
          <w:color w:val="000000" w:themeColor="text1"/>
          <w14:textFill>
            <w14:solidFill>
              <w14:schemeClr w14:val="tx1"/>
            </w14:solidFill>
          </w14:textFill>
        </w:rPr>
        <w:t xml:space="preserve">3.3.1 </w:t>
      </w:r>
      <w:r>
        <w:rPr>
          <w:rFonts w:hint="eastAsia" w:ascii="宋体" w:hAnsi="宋体" w:cs="HiddenHorzOCR"/>
          <w:color w:val="000000" w:themeColor="text1"/>
          <w:spacing w:val="-2"/>
          <w:kern w:val="0"/>
          <w:szCs w:val="21"/>
          <w14:textFill>
            <w14:solidFill>
              <w14:schemeClr w14:val="tx1"/>
            </w14:solidFill>
          </w14:textFill>
        </w:rPr>
        <w:t>在</w:t>
      </w:r>
      <w:r>
        <w:rPr>
          <w:rFonts w:hint="eastAsia" w:ascii="宋体" w:hAnsi="宋体" w:cs="宋体"/>
          <w:color w:val="000000" w:themeColor="text1"/>
          <w:spacing w:val="-2"/>
          <w:kern w:val="0"/>
          <w:szCs w:val="21"/>
          <w14:textFill>
            <w14:solidFill>
              <w14:schemeClr w14:val="tx1"/>
            </w14:solidFill>
          </w14:textFill>
        </w:rPr>
        <w:t>评标过</w:t>
      </w:r>
      <w:r>
        <w:rPr>
          <w:rFonts w:hint="eastAsia" w:ascii="宋体" w:hAnsi="宋体" w:cs="HiddenHorzOCR"/>
          <w:color w:val="000000" w:themeColor="text1"/>
          <w:spacing w:val="-2"/>
          <w:kern w:val="0"/>
          <w:szCs w:val="21"/>
          <w14:textFill>
            <w14:solidFill>
              <w14:schemeClr w14:val="tx1"/>
            </w14:solidFill>
          </w14:textFill>
        </w:rPr>
        <w:t>程中，</w:t>
      </w:r>
      <w:r>
        <w:rPr>
          <w:rFonts w:hint="eastAsia" w:ascii="宋体" w:hAnsi="宋体" w:cs="宋体"/>
          <w:color w:val="000000" w:themeColor="text1"/>
          <w:spacing w:val="-2"/>
          <w:kern w:val="0"/>
          <w:szCs w:val="21"/>
          <w14:textFill>
            <w14:solidFill>
              <w14:schemeClr w14:val="tx1"/>
            </w14:solidFill>
          </w14:textFill>
        </w:rPr>
        <w:t>评标</w:t>
      </w:r>
      <w:r>
        <w:rPr>
          <w:rFonts w:hint="eastAsia" w:ascii="宋体" w:hAnsi="宋体" w:cs="HiddenHorzOCR"/>
          <w:color w:val="000000" w:themeColor="text1"/>
          <w:spacing w:val="-2"/>
          <w:kern w:val="0"/>
          <w:szCs w:val="21"/>
          <w14:textFill>
            <w14:solidFill>
              <w14:schemeClr w14:val="tx1"/>
            </w14:solidFill>
          </w14:textFill>
        </w:rPr>
        <w:t>委</w:t>
      </w:r>
      <w:r>
        <w:rPr>
          <w:rFonts w:hint="eastAsia" w:ascii="宋体" w:hAnsi="宋体" w:cs="宋体"/>
          <w:color w:val="000000" w:themeColor="text1"/>
          <w:spacing w:val="-2"/>
          <w:kern w:val="0"/>
          <w:szCs w:val="21"/>
          <w14:textFill>
            <w14:solidFill>
              <w14:schemeClr w14:val="tx1"/>
            </w14:solidFill>
          </w14:textFill>
        </w:rPr>
        <w:t>员</w:t>
      </w:r>
      <w:r>
        <w:rPr>
          <w:rFonts w:hint="eastAsia" w:ascii="宋体" w:hAnsi="宋体" w:cs="HiddenHorzOCR"/>
          <w:color w:val="000000" w:themeColor="text1"/>
          <w:spacing w:val="-2"/>
          <w:kern w:val="0"/>
          <w:szCs w:val="21"/>
          <w14:textFill>
            <w14:solidFill>
              <w14:schemeClr w14:val="tx1"/>
            </w14:solidFill>
          </w14:textFill>
        </w:rPr>
        <w:t>会可以</w:t>
      </w:r>
      <w:r>
        <w:rPr>
          <w:rFonts w:hint="eastAsia" w:ascii="宋体" w:hAnsi="宋体" w:cs="宋体"/>
          <w:color w:val="000000" w:themeColor="text1"/>
          <w:spacing w:val="-2"/>
          <w:kern w:val="0"/>
          <w:szCs w:val="21"/>
          <w14:textFill>
            <w14:solidFill>
              <w14:schemeClr w14:val="tx1"/>
            </w14:solidFill>
          </w14:textFill>
        </w:rPr>
        <w:t>书</w:t>
      </w:r>
      <w:r>
        <w:rPr>
          <w:rFonts w:hint="eastAsia" w:ascii="宋体" w:hAnsi="宋体" w:cs="HiddenHorzOCR"/>
          <w:color w:val="000000" w:themeColor="text1"/>
          <w:spacing w:val="-2"/>
          <w:kern w:val="0"/>
          <w:szCs w:val="21"/>
          <w14:textFill>
            <w14:solidFill>
              <w14:schemeClr w14:val="tx1"/>
            </w14:solidFill>
          </w14:textFill>
        </w:rPr>
        <w:t>面形式要求投</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人</w:t>
      </w:r>
      <w:r>
        <w:rPr>
          <w:rFonts w:hint="eastAsia" w:ascii="宋体" w:hAnsi="宋体" w:cs="宋体"/>
          <w:color w:val="000000" w:themeColor="text1"/>
          <w:spacing w:val="-2"/>
          <w:kern w:val="0"/>
          <w:szCs w:val="21"/>
          <w14:textFill>
            <w14:solidFill>
              <w14:schemeClr w14:val="tx1"/>
            </w14:solidFill>
          </w14:textFill>
        </w:rPr>
        <w:t>对</w:t>
      </w:r>
      <w:r>
        <w:rPr>
          <w:rFonts w:hint="eastAsia" w:ascii="宋体" w:hAnsi="宋体" w:cs="HiddenHorzOCR"/>
          <w:color w:val="000000" w:themeColor="text1"/>
          <w:spacing w:val="-2"/>
          <w:kern w:val="0"/>
          <w:szCs w:val="21"/>
          <w14:textFill>
            <w14:solidFill>
              <w14:schemeClr w14:val="tx1"/>
            </w14:solidFill>
          </w14:textFill>
        </w:rPr>
        <w:t>所提交投</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文件中不明确</w:t>
      </w:r>
      <w:r>
        <w:rPr>
          <w:rFonts w:hint="eastAsia" w:ascii="宋体" w:hAnsi="宋体" w:cs="HiddenHorzOCR"/>
          <w:color w:val="000000" w:themeColor="text1"/>
          <w:kern w:val="0"/>
          <w:szCs w:val="21"/>
          <w14:textFill>
            <w14:solidFill>
              <w14:schemeClr w14:val="tx1"/>
            </w14:solidFill>
          </w14:textFill>
        </w:rPr>
        <w:t>的内容</w:t>
      </w:r>
      <w:r>
        <w:rPr>
          <w:rFonts w:hint="eastAsia" w:ascii="宋体" w:hAnsi="宋体" w:cs="宋体"/>
          <w:color w:val="000000" w:themeColor="text1"/>
          <w:kern w:val="0"/>
          <w:szCs w:val="21"/>
          <w14:textFill>
            <w14:solidFill>
              <w14:schemeClr w14:val="tx1"/>
            </w14:solidFill>
          </w14:textFill>
        </w:rPr>
        <w:t>进</w:t>
      </w:r>
      <w:r>
        <w:rPr>
          <w:rFonts w:hint="eastAsia" w:ascii="宋体" w:hAnsi="宋体" w:cs="HiddenHorzOCR"/>
          <w:color w:val="000000" w:themeColor="text1"/>
          <w:kern w:val="0"/>
          <w:szCs w:val="21"/>
          <w14:textFill>
            <w14:solidFill>
              <w14:schemeClr w14:val="tx1"/>
            </w14:solidFill>
          </w14:textFill>
        </w:rPr>
        <w:t>行</w:t>
      </w:r>
      <w:r>
        <w:rPr>
          <w:rFonts w:hint="eastAsia" w:ascii="宋体" w:hAnsi="宋体" w:cs="宋体"/>
          <w:color w:val="000000" w:themeColor="text1"/>
          <w:kern w:val="0"/>
          <w:szCs w:val="21"/>
          <w14:textFill>
            <w14:solidFill>
              <w14:schemeClr w14:val="tx1"/>
            </w14:solidFill>
          </w14:textFill>
        </w:rPr>
        <w:t>书</w:t>
      </w:r>
      <w:r>
        <w:rPr>
          <w:rFonts w:hint="eastAsia" w:ascii="宋体" w:hAnsi="宋体" w:cs="HiddenHorzOCR"/>
          <w:color w:val="000000" w:themeColor="text1"/>
          <w:kern w:val="0"/>
          <w:szCs w:val="21"/>
          <w14:textFill>
            <w14:solidFill>
              <w14:schemeClr w14:val="tx1"/>
            </w14:solidFill>
          </w14:textFill>
        </w:rPr>
        <w:t>面澄清或</w:t>
      </w:r>
      <w:r>
        <w:rPr>
          <w:rFonts w:hint="eastAsia" w:ascii="宋体" w:hAnsi="宋体" w:cs="宋体"/>
          <w:color w:val="000000" w:themeColor="text1"/>
          <w:kern w:val="0"/>
          <w:szCs w:val="21"/>
          <w14:textFill>
            <w14:solidFill>
              <w14:schemeClr w14:val="tx1"/>
            </w14:solidFill>
          </w14:textFill>
        </w:rPr>
        <w:t>说</w:t>
      </w:r>
      <w:r>
        <w:rPr>
          <w:rFonts w:hint="eastAsia" w:ascii="宋体" w:hAnsi="宋体" w:cs="HiddenHorzOCR"/>
          <w:color w:val="000000" w:themeColor="text1"/>
          <w:kern w:val="0"/>
          <w:szCs w:val="21"/>
          <w14:textFill>
            <w14:solidFill>
              <w14:schemeClr w14:val="tx1"/>
            </w14:solidFill>
          </w14:textFill>
        </w:rPr>
        <w:t>明，或者</w:t>
      </w:r>
      <w:r>
        <w:rPr>
          <w:rFonts w:hint="eastAsia" w:ascii="宋体" w:hAnsi="宋体" w:cs="宋体"/>
          <w:color w:val="000000" w:themeColor="text1"/>
          <w:kern w:val="0"/>
          <w:szCs w:val="21"/>
          <w14:textFill>
            <w14:solidFill>
              <w14:schemeClr w14:val="tx1"/>
            </w14:solidFill>
          </w14:textFill>
        </w:rPr>
        <w:t>对细</w:t>
      </w:r>
      <w:r>
        <w:rPr>
          <w:rFonts w:hint="eastAsia" w:ascii="宋体" w:hAnsi="宋体" w:cs="HiddenHorzOCR"/>
          <w:color w:val="000000" w:themeColor="text1"/>
          <w:kern w:val="0"/>
          <w:szCs w:val="21"/>
          <w14:textFill>
            <w14:solidFill>
              <w14:schemeClr w14:val="tx1"/>
            </w14:solidFill>
          </w14:textFill>
        </w:rPr>
        <w:t>微偏差</w:t>
      </w:r>
      <w:r>
        <w:rPr>
          <w:rFonts w:hint="eastAsia" w:ascii="宋体" w:hAnsi="宋体" w:cs="宋体"/>
          <w:color w:val="000000" w:themeColor="text1"/>
          <w:kern w:val="0"/>
          <w:szCs w:val="21"/>
          <w14:textFill>
            <w14:solidFill>
              <w14:schemeClr w14:val="tx1"/>
            </w14:solidFill>
          </w14:textFill>
        </w:rPr>
        <w:t>进</w:t>
      </w:r>
      <w:r>
        <w:rPr>
          <w:rFonts w:hint="eastAsia" w:ascii="宋体" w:hAnsi="宋体" w:cs="HiddenHorzOCR"/>
          <w:color w:val="000000" w:themeColor="text1"/>
          <w:kern w:val="0"/>
          <w:szCs w:val="21"/>
          <w14:textFill>
            <w14:solidFill>
              <w14:schemeClr w14:val="tx1"/>
            </w14:solidFill>
          </w14:textFill>
        </w:rPr>
        <w:t>行</w:t>
      </w:r>
      <w:r>
        <w:rPr>
          <w:rFonts w:hint="eastAsia" w:ascii="宋体" w:hAnsi="宋体" w:cs="宋体"/>
          <w:color w:val="000000" w:themeColor="text1"/>
          <w:kern w:val="0"/>
          <w:szCs w:val="21"/>
          <w14:textFill>
            <w14:solidFill>
              <w14:schemeClr w14:val="tx1"/>
            </w14:solidFill>
          </w14:textFill>
        </w:rPr>
        <w:t>补</w:t>
      </w:r>
      <w:r>
        <w:rPr>
          <w:rFonts w:hint="eastAsia" w:ascii="宋体" w:hAnsi="宋体" w:cs="HiddenHorzOCR"/>
          <w:color w:val="000000" w:themeColor="text1"/>
          <w:kern w:val="0"/>
          <w:szCs w:val="21"/>
          <w14:textFill>
            <w14:solidFill>
              <w14:schemeClr w14:val="tx1"/>
            </w14:solidFill>
          </w14:textFill>
        </w:rPr>
        <w:t>正</w:t>
      </w:r>
      <w:r>
        <w:rPr>
          <w:rFonts w:ascii="宋体" w:hAnsi="宋体" w:cs="HiddenHorzOCR"/>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委</w:t>
      </w:r>
      <w:r>
        <w:rPr>
          <w:rFonts w:hint="eastAsia" w:ascii="宋体" w:hAnsi="宋体" w:cs="宋体"/>
          <w:color w:val="000000" w:themeColor="text1"/>
          <w:kern w:val="0"/>
          <w:szCs w:val="21"/>
          <w14:textFill>
            <w14:solidFill>
              <w14:schemeClr w14:val="tx1"/>
            </w14:solidFill>
          </w14:textFill>
        </w:rPr>
        <w:t>员</w:t>
      </w:r>
      <w:r>
        <w:rPr>
          <w:rFonts w:hint="eastAsia" w:ascii="宋体" w:hAnsi="宋体" w:cs="HiddenHorzOCR"/>
          <w:color w:val="000000" w:themeColor="text1"/>
          <w:kern w:val="0"/>
          <w:szCs w:val="21"/>
          <w14:textFill>
            <w14:solidFill>
              <w14:schemeClr w14:val="tx1"/>
            </w14:solidFill>
          </w14:textFill>
        </w:rPr>
        <w:t>会不接受投</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人主</w:t>
      </w:r>
      <w:r>
        <w:rPr>
          <w:rFonts w:hint="eastAsia" w:ascii="宋体" w:hAnsi="宋体" w:cs="宋体"/>
          <w:color w:val="000000" w:themeColor="text1"/>
          <w:kern w:val="0"/>
          <w:szCs w:val="21"/>
          <w14:textFill>
            <w14:solidFill>
              <w14:schemeClr w14:val="tx1"/>
            </w14:solidFill>
          </w14:textFill>
        </w:rPr>
        <w:t>动</w:t>
      </w:r>
      <w:r>
        <w:rPr>
          <w:rFonts w:hint="eastAsia" w:ascii="宋体" w:hAnsi="宋体" w:cs="HiddenHorzOCR"/>
          <w:color w:val="000000" w:themeColor="text1"/>
          <w:kern w:val="0"/>
          <w:szCs w:val="21"/>
          <w14:textFill>
            <w14:solidFill>
              <w14:schemeClr w14:val="tx1"/>
            </w14:solidFill>
          </w14:textFill>
        </w:rPr>
        <w:t>提出的澄清、</w:t>
      </w:r>
      <w:r>
        <w:rPr>
          <w:rFonts w:hint="eastAsia" w:ascii="宋体" w:hAnsi="宋体" w:cs="宋体"/>
          <w:color w:val="000000" w:themeColor="text1"/>
          <w:kern w:val="0"/>
          <w:szCs w:val="21"/>
          <w14:textFill>
            <w14:solidFill>
              <w14:schemeClr w14:val="tx1"/>
            </w14:solidFill>
          </w14:textFill>
        </w:rPr>
        <w:t>说</w:t>
      </w:r>
      <w:r>
        <w:rPr>
          <w:rFonts w:hint="eastAsia" w:ascii="宋体" w:hAnsi="宋体" w:cs="HiddenHorzOCR"/>
          <w:color w:val="000000" w:themeColor="text1"/>
          <w:kern w:val="0"/>
          <w:szCs w:val="21"/>
          <w14:textFill>
            <w14:solidFill>
              <w14:schemeClr w14:val="tx1"/>
            </w14:solidFill>
          </w14:textFill>
        </w:rPr>
        <w:t>明或</w:t>
      </w:r>
      <w:r>
        <w:rPr>
          <w:rFonts w:hint="eastAsia" w:ascii="宋体" w:hAnsi="宋体" w:cs="宋体"/>
          <w:color w:val="000000" w:themeColor="text1"/>
          <w:kern w:val="0"/>
          <w:szCs w:val="21"/>
          <w14:textFill>
            <w14:solidFill>
              <w14:schemeClr w14:val="tx1"/>
            </w14:solidFill>
          </w14:textFill>
        </w:rPr>
        <w:t>补</w:t>
      </w:r>
      <w:r>
        <w:rPr>
          <w:rFonts w:hint="eastAsia" w:ascii="宋体" w:hAnsi="宋体" w:cs="HiddenHorzOCR"/>
          <w:color w:val="000000" w:themeColor="text1"/>
          <w:kern w:val="0"/>
          <w:szCs w:val="21"/>
          <w14:textFill>
            <w14:solidFill>
              <w14:schemeClr w14:val="tx1"/>
            </w14:solidFill>
          </w14:textFill>
        </w:rPr>
        <w:t>正。</w:t>
      </w:r>
    </w:p>
    <w:p w14:paraId="1CF0C5BB">
      <w:pPr>
        <w:keepNext w:val="0"/>
        <w:keepLines w:val="0"/>
        <w:pageBreakBefore w:val="0"/>
        <w:widowControl w:val="0"/>
        <w:kinsoku/>
        <w:wordWrap/>
        <w:overflowPunct/>
        <w:topLinePunct w:val="0"/>
        <w:autoSpaceDE/>
        <w:autoSpaceDN/>
        <w:bidi w:val="0"/>
        <w:spacing w:line="360" w:lineRule="auto"/>
        <w:textAlignment w:val="auto"/>
        <w:rPr>
          <w:rFonts w:ascii="宋体" w:hAnsi="宋体" w:cs="HiddenHorzOCR"/>
          <w:color w:val="000000" w:themeColor="text1"/>
          <w:spacing w:val="-2"/>
          <w:kern w:val="0"/>
          <w:szCs w:val="21"/>
          <w14:textFill>
            <w14:solidFill>
              <w14:schemeClr w14:val="tx1"/>
            </w14:solidFill>
          </w14:textFill>
        </w:rPr>
      </w:pPr>
      <w:r>
        <w:rPr>
          <w:rFonts w:ascii="宋体" w:hAnsi="宋体"/>
          <w:b/>
          <w:color w:val="000000" w:themeColor="text1"/>
          <w14:textFill>
            <w14:solidFill>
              <w14:schemeClr w14:val="tx1"/>
            </w14:solidFill>
          </w14:textFill>
        </w:rPr>
        <w:t>3.3.2</w:t>
      </w:r>
      <w:r>
        <w:rPr>
          <w:rFonts w:hint="eastAsia" w:ascii="宋体" w:hAnsi="宋体"/>
          <w:b/>
          <w:color w:val="000000" w:themeColor="text1"/>
          <w14:textFill>
            <w14:solidFill>
              <w14:schemeClr w14:val="tx1"/>
            </w14:solidFill>
          </w14:textFill>
        </w:rPr>
        <w:t xml:space="preserve"> </w:t>
      </w:r>
      <w:r>
        <w:rPr>
          <w:rFonts w:hint="eastAsia" w:ascii="宋体" w:hAnsi="宋体" w:cs="HiddenHorzOCR"/>
          <w:color w:val="000000" w:themeColor="text1"/>
          <w:spacing w:val="-2"/>
          <w:kern w:val="0"/>
          <w:szCs w:val="21"/>
          <w14:textFill>
            <w14:solidFill>
              <w14:schemeClr w14:val="tx1"/>
            </w14:solidFill>
          </w14:textFill>
        </w:rPr>
        <w:t>澄清、</w:t>
      </w:r>
      <w:r>
        <w:rPr>
          <w:rFonts w:hint="eastAsia" w:ascii="宋体" w:hAnsi="宋体" w:cs="宋体"/>
          <w:color w:val="000000" w:themeColor="text1"/>
          <w:spacing w:val="-2"/>
          <w:kern w:val="0"/>
          <w:szCs w:val="21"/>
          <w14:textFill>
            <w14:solidFill>
              <w14:schemeClr w14:val="tx1"/>
            </w14:solidFill>
          </w14:textFill>
        </w:rPr>
        <w:t>说</w:t>
      </w:r>
      <w:r>
        <w:rPr>
          <w:rFonts w:hint="eastAsia" w:ascii="宋体" w:hAnsi="宋体" w:cs="HiddenHorzOCR"/>
          <w:color w:val="000000" w:themeColor="text1"/>
          <w:spacing w:val="-2"/>
          <w:kern w:val="0"/>
          <w:szCs w:val="21"/>
          <w14:textFill>
            <w14:solidFill>
              <w14:schemeClr w14:val="tx1"/>
            </w14:solidFill>
          </w14:textFill>
        </w:rPr>
        <w:t>明和</w:t>
      </w:r>
      <w:r>
        <w:rPr>
          <w:rFonts w:hint="eastAsia" w:ascii="宋体" w:hAnsi="宋体" w:cs="宋体"/>
          <w:color w:val="000000" w:themeColor="text1"/>
          <w:spacing w:val="-2"/>
          <w:kern w:val="0"/>
          <w:szCs w:val="21"/>
          <w14:textFill>
            <w14:solidFill>
              <w14:schemeClr w14:val="tx1"/>
            </w14:solidFill>
          </w14:textFill>
        </w:rPr>
        <w:t>补</w:t>
      </w:r>
      <w:r>
        <w:rPr>
          <w:rFonts w:hint="eastAsia" w:ascii="宋体" w:hAnsi="宋体" w:cs="HiddenHorzOCR"/>
          <w:color w:val="000000" w:themeColor="text1"/>
          <w:spacing w:val="-2"/>
          <w:kern w:val="0"/>
          <w:szCs w:val="21"/>
          <w14:textFill>
            <w14:solidFill>
              <w14:schemeClr w14:val="tx1"/>
            </w14:solidFill>
          </w14:textFill>
        </w:rPr>
        <w:t>正不得改</w:t>
      </w:r>
      <w:r>
        <w:rPr>
          <w:rFonts w:hint="eastAsia" w:ascii="宋体" w:hAnsi="宋体" w:cs="宋体"/>
          <w:color w:val="000000" w:themeColor="text1"/>
          <w:spacing w:val="-2"/>
          <w:kern w:val="0"/>
          <w:szCs w:val="21"/>
          <w14:textFill>
            <w14:solidFill>
              <w14:schemeClr w14:val="tx1"/>
            </w14:solidFill>
          </w14:textFill>
        </w:rPr>
        <w:t>变</w:t>
      </w:r>
      <w:r>
        <w:rPr>
          <w:rFonts w:hint="eastAsia" w:ascii="宋体" w:hAnsi="宋体" w:cs="HiddenHorzOCR"/>
          <w:color w:val="000000" w:themeColor="text1"/>
          <w:spacing w:val="-2"/>
          <w:kern w:val="0"/>
          <w:szCs w:val="21"/>
          <w14:textFill>
            <w14:solidFill>
              <w14:schemeClr w14:val="tx1"/>
            </w14:solidFill>
          </w14:textFill>
        </w:rPr>
        <w:t>投</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文件的</w:t>
      </w:r>
      <w:r>
        <w:rPr>
          <w:rFonts w:hint="eastAsia" w:ascii="宋体" w:hAnsi="宋体" w:cs="宋体"/>
          <w:color w:val="000000" w:themeColor="text1"/>
          <w:spacing w:val="-2"/>
          <w:kern w:val="0"/>
          <w:szCs w:val="21"/>
          <w14:textFill>
            <w14:solidFill>
              <w14:schemeClr w14:val="tx1"/>
            </w14:solidFill>
          </w14:textFill>
        </w:rPr>
        <w:t>实质</w:t>
      </w:r>
      <w:r>
        <w:rPr>
          <w:rFonts w:hint="eastAsia" w:ascii="宋体" w:hAnsi="宋体" w:cs="HiddenHorzOCR"/>
          <w:color w:val="000000" w:themeColor="text1"/>
          <w:spacing w:val="-2"/>
          <w:kern w:val="0"/>
          <w:szCs w:val="21"/>
          <w14:textFill>
            <w14:solidFill>
              <w14:schemeClr w14:val="tx1"/>
            </w14:solidFill>
          </w14:textFill>
        </w:rPr>
        <w:t>性内容</w:t>
      </w:r>
      <w:r>
        <w:rPr>
          <w:rFonts w:ascii="宋体" w:hAnsi="宋体" w:cs="HiddenHorzOCR"/>
          <w:color w:val="000000" w:themeColor="text1"/>
          <w:spacing w:val="-2"/>
          <w:kern w:val="0"/>
          <w:szCs w:val="21"/>
          <w14:textFill>
            <w14:solidFill>
              <w14:schemeClr w14:val="tx1"/>
            </w14:solidFill>
          </w14:textFill>
        </w:rPr>
        <w:t>(</w:t>
      </w:r>
      <w:r>
        <w:rPr>
          <w:rFonts w:hint="eastAsia" w:ascii="宋体" w:hAnsi="宋体" w:cs="HiddenHorzOCR"/>
          <w:color w:val="000000" w:themeColor="text1"/>
          <w:spacing w:val="-2"/>
          <w:kern w:val="0"/>
          <w:szCs w:val="21"/>
          <w14:textFill>
            <w14:solidFill>
              <w14:schemeClr w14:val="tx1"/>
            </w14:solidFill>
          </w14:textFill>
        </w:rPr>
        <w:t>算</w:t>
      </w:r>
      <w:r>
        <w:rPr>
          <w:rFonts w:hint="eastAsia" w:ascii="宋体" w:hAnsi="宋体" w:cs="宋体"/>
          <w:color w:val="000000" w:themeColor="text1"/>
          <w:spacing w:val="-2"/>
          <w:kern w:val="0"/>
          <w:szCs w:val="21"/>
          <w14:textFill>
            <w14:solidFill>
              <w14:schemeClr w14:val="tx1"/>
            </w14:solidFill>
          </w14:textFill>
        </w:rPr>
        <w:t>术</w:t>
      </w:r>
      <w:r>
        <w:rPr>
          <w:rFonts w:hint="eastAsia" w:ascii="宋体" w:hAnsi="宋体" w:cs="HiddenHorzOCR"/>
          <w:color w:val="000000" w:themeColor="text1"/>
          <w:spacing w:val="-2"/>
          <w:kern w:val="0"/>
          <w:szCs w:val="21"/>
          <w14:textFill>
            <w14:solidFill>
              <w14:schemeClr w14:val="tx1"/>
            </w14:solidFill>
          </w14:textFill>
        </w:rPr>
        <w:t>性</w:t>
      </w:r>
      <w:r>
        <w:rPr>
          <w:rFonts w:hint="eastAsia" w:ascii="宋体" w:hAnsi="宋体" w:cs="宋体"/>
          <w:color w:val="000000" w:themeColor="text1"/>
          <w:spacing w:val="-2"/>
          <w:kern w:val="0"/>
          <w:szCs w:val="21"/>
          <w14:textFill>
            <w14:solidFill>
              <w14:schemeClr w14:val="tx1"/>
            </w14:solidFill>
          </w14:textFill>
        </w:rPr>
        <w:t>错误</w:t>
      </w:r>
      <w:r>
        <w:rPr>
          <w:rFonts w:hint="eastAsia" w:ascii="宋体" w:hAnsi="宋体" w:cs="HiddenHorzOCR"/>
          <w:color w:val="000000" w:themeColor="text1"/>
          <w:spacing w:val="-2"/>
          <w:kern w:val="0"/>
          <w:szCs w:val="21"/>
          <w14:textFill>
            <w14:solidFill>
              <w14:schemeClr w14:val="tx1"/>
            </w14:solidFill>
          </w14:textFill>
        </w:rPr>
        <w:t>修正的除外</w:t>
      </w:r>
      <w:r>
        <w:rPr>
          <w:rFonts w:ascii="宋体" w:hAnsi="宋体" w:cs="HiddenHorzOCR"/>
          <w:color w:val="000000" w:themeColor="text1"/>
          <w:spacing w:val="-2"/>
          <w:kern w:val="0"/>
          <w:szCs w:val="21"/>
          <w14:textFill>
            <w14:solidFill>
              <w14:schemeClr w14:val="tx1"/>
            </w14:solidFill>
          </w14:textFill>
        </w:rPr>
        <w:t>)</w:t>
      </w:r>
      <w:r>
        <w:rPr>
          <w:rFonts w:hint="eastAsia" w:ascii="宋体" w:hAnsi="宋体" w:cs="HiddenHorzOCR"/>
          <w:color w:val="000000" w:themeColor="text1"/>
          <w:spacing w:val="-2"/>
          <w:kern w:val="0"/>
          <w:szCs w:val="21"/>
          <w14:textFill>
            <w14:solidFill>
              <w14:schemeClr w14:val="tx1"/>
            </w14:solidFill>
          </w14:textFill>
        </w:rPr>
        <w:t>。投</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人的</w:t>
      </w:r>
      <w:r>
        <w:rPr>
          <w:rFonts w:hint="eastAsia" w:ascii="宋体" w:hAnsi="宋体" w:cs="宋体"/>
          <w:color w:val="000000" w:themeColor="text1"/>
          <w:spacing w:val="-2"/>
          <w:kern w:val="0"/>
          <w:szCs w:val="21"/>
          <w14:textFill>
            <w14:solidFill>
              <w14:schemeClr w14:val="tx1"/>
            </w14:solidFill>
          </w14:textFill>
        </w:rPr>
        <w:t>书</w:t>
      </w:r>
      <w:r>
        <w:rPr>
          <w:rFonts w:hint="eastAsia" w:ascii="宋体" w:hAnsi="宋体" w:cs="HiddenHorzOCR"/>
          <w:color w:val="000000" w:themeColor="text1"/>
          <w:spacing w:val="-2"/>
          <w:kern w:val="0"/>
          <w:szCs w:val="21"/>
          <w14:textFill>
            <w14:solidFill>
              <w14:schemeClr w14:val="tx1"/>
            </w14:solidFill>
          </w14:textFill>
        </w:rPr>
        <w:t>面澄清、</w:t>
      </w:r>
      <w:r>
        <w:rPr>
          <w:rFonts w:hint="eastAsia" w:ascii="宋体" w:hAnsi="宋体" w:cs="宋体"/>
          <w:color w:val="000000" w:themeColor="text1"/>
          <w:spacing w:val="-2"/>
          <w:kern w:val="0"/>
          <w:szCs w:val="21"/>
          <w14:textFill>
            <w14:solidFill>
              <w14:schemeClr w14:val="tx1"/>
            </w14:solidFill>
          </w14:textFill>
        </w:rPr>
        <w:t>说</w:t>
      </w:r>
      <w:r>
        <w:rPr>
          <w:rFonts w:hint="eastAsia" w:ascii="宋体" w:hAnsi="宋体" w:cs="HiddenHorzOCR"/>
          <w:color w:val="000000" w:themeColor="text1"/>
          <w:spacing w:val="-2"/>
          <w:kern w:val="0"/>
          <w:szCs w:val="21"/>
          <w14:textFill>
            <w14:solidFill>
              <w14:schemeClr w14:val="tx1"/>
            </w14:solidFill>
          </w14:textFill>
        </w:rPr>
        <w:t>明和</w:t>
      </w:r>
      <w:r>
        <w:rPr>
          <w:rFonts w:hint="eastAsia" w:ascii="宋体" w:hAnsi="宋体" w:cs="宋体"/>
          <w:color w:val="000000" w:themeColor="text1"/>
          <w:spacing w:val="-2"/>
          <w:kern w:val="0"/>
          <w:szCs w:val="21"/>
          <w14:textFill>
            <w14:solidFill>
              <w14:schemeClr w14:val="tx1"/>
            </w14:solidFill>
          </w14:textFill>
        </w:rPr>
        <w:t>补</w:t>
      </w:r>
      <w:r>
        <w:rPr>
          <w:rFonts w:hint="eastAsia" w:ascii="宋体" w:hAnsi="宋体" w:cs="HiddenHorzOCR"/>
          <w:color w:val="000000" w:themeColor="text1"/>
          <w:spacing w:val="-2"/>
          <w:kern w:val="0"/>
          <w:szCs w:val="21"/>
          <w14:textFill>
            <w14:solidFill>
              <w14:schemeClr w14:val="tx1"/>
            </w14:solidFill>
          </w14:textFill>
        </w:rPr>
        <w:t>正属于投</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文件的</w:t>
      </w:r>
      <w:r>
        <w:rPr>
          <w:rFonts w:hint="eastAsia" w:ascii="宋体" w:hAnsi="宋体" w:cs="宋体"/>
          <w:color w:val="000000" w:themeColor="text1"/>
          <w:spacing w:val="-2"/>
          <w:kern w:val="0"/>
          <w:szCs w:val="21"/>
          <w14:textFill>
            <w14:solidFill>
              <w14:schemeClr w14:val="tx1"/>
            </w14:solidFill>
          </w14:textFill>
        </w:rPr>
        <w:t>组</w:t>
      </w:r>
      <w:r>
        <w:rPr>
          <w:rFonts w:hint="eastAsia" w:ascii="宋体" w:hAnsi="宋体" w:cs="HiddenHorzOCR"/>
          <w:color w:val="000000" w:themeColor="text1"/>
          <w:spacing w:val="-2"/>
          <w:kern w:val="0"/>
          <w:szCs w:val="21"/>
          <w14:textFill>
            <w14:solidFill>
              <w14:schemeClr w14:val="tx1"/>
            </w14:solidFill>
          </w14:textFill>
        </w:rPr>
        <w:t>成部分。</w:t>
      </w:r>
    </w:p>
    <w:p w14:paraId="44B76AD4">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s="HiddenHorzOCR"/>
          <w:color w:val="000000" w:themeColor="text1"/>
          <w:kern w:val="0"/>
          <w:szCs w:val="21"/>
          <w14:textFill>
            <w14:solidFill>
              <w14:schemeClr w14:val="tx1"/>
            </w14:solidFill>
          </w14:textFill>
        </w:rPr>
      </w:pPr>
      <w:r>
        <w:rPr>
          <w:rFonts w:ascii="宋体" w:hAnsi="宋体"/>
          <w:b/>
          <w:color w:val="000000" w:themeColor="text1"/>
          <w14:textFill>
            <w14:solidFill>
              <w14:schemeClr w14:val="tx1"/>
            </w14:solidFill>
          </w14:textFill>
        </w:rPr>
        <w:t>3.3.3</w:t>
      </w:r>
      <w:r>
        <w:rPr>
          <w:rFonts w:ascii="宋体" w:hAnsi="宋体"/>
          <w:color w:val="000000" w:themeColor="text1"/>
          <w14:textFill>
            <w14:solidFill>
              <w14:schemeClr w14:val="tx1"/>
            </w14:solidFill>
          </w14:textFill>
        </w:rPr>
        <w:t xml:space="preserve"> </w:t>
      </w:r>
      <w:r>
        <w:rPr>
          <w:rFonts w:hint="eastAsia" w:ascii="宋体" w:hAnsi="宋体" w:cs="宋体"/>
          <w:color w:val="000000" w:themeColor="text1"/>
          <w:spacing w:val="-2"/>
          <w:kern w:val="0"/>
          <w:szCs w:val="21"/>
          <w14:textFill>
            <w14:solidFill>
              <w14:schemeClr w14:val="tx1"/>
            </w14:solidFill>
          </w14:textFill>
        </w:rPr>
        <w:t>评标</w:t>
      </w:r>
      <w:r>
        <w:rPr>
          <w:rFonts w:hint="eastAsia" w:ascii="宋体" w:hAnsi="宋体" w:cs="HiddenHorzOCR"/>
          <w:color w:val="000000" w:themeColor="text1"/>
          <w:spacing w:val="-2"/>
          <w:kern w:val="0"/>
          <w:szCs w:val="21"/>
          <w14:textFill>
            <w14:solidFill>
              <w14:schemeClr w14:val="tx1"/>
            </w14:solidFill>
          </w14:textFill>
        </w:rPr>
        <w:t>委</w:t>
      </w:r>
      <w:r>
        <w:rPr>
          <w:rFonts w:hint="eastAsia" w:ascii="宋体" w:hAnsi="宋体" w:cs="宋体"/>
          <w:color w:val="000000" w:themeColor="text1"/>
          <w:spacing w:val="-2"/>
          <w:kern w:val="0"/>
          <w:szCs w:val="21"/>
          <w14:textFill>
            <w14:solidFill>
              <w14:schemeClr w14:val="tx1"/>
            </w14:solidFill>
          </w14:textFill>
        </w:rPr>
        <w:t>员</w:t>
      </w:r>
      <w:r>
        <w:rPr>
          <w:rFonts w:hint="eastAsia" w:ascii="宋体" w:hAnsi="宋体" w:cs="HiddenHorzOCR"/>
          <w:color w:val="000000" w:themeColor="text1"/>
          <w:spacing w:val="-2"/>
          <w:kern w:val="0"/>
          <w:szCs w:val="21"/>
          <w14:textFill>
            <w14:solidFill>
              <w14:schemeClr w14:val="tx1"/>
            </w14:solidFill>
          </w14:textFill>
        </w:rPr>
        <w:t>会</w:t>
      </w:r>
      <w:r>
        <w:rPr>
          <w:rFonts w:hint="eastAsia" w:ascii="宋体" w:hAnsi="宋体" w:cs="宋体"/>
          <w:color w:val="000000" w:themeColor="text1"/>
          <w:spacing w:val="-2"/>
          <w:kern w:val="0"/>
          <w:szCs w:val="21"/>
          <w14:textFill>
            <w14:solidFill>
              <w14:schemeClr w14:val="tx1"/>
            </w14:solidFill>
          </w14:textFill>
        </w:rPr>
        <w:t>对</w:t>
      </w:r>
      <w:r>
        <w:rPr>
          <w:rFonts w:hint="eastAsia" w:ascii="宋体" w:hAnsi="宋体" w:cs="HiddenHorzOCR"/>
          <w:color w:val="000000" w:themeColor="text1"/>
          <w:spacing w:val="-2"/>
          <w:kern w:val="0"/>
          <w:szCs w:val="21"/>
          <w14:textFill>
            <w14:solidFill>
              <w14:schemeClr w14:val="tx1"/>
            </w14:solidFill>
          </w14:textFill>
        </w:rPr>
        <w:t>投</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人提交的澄清、</w:t>
      </w:r>
      <w:r>
        <w:rPr>
          <w:rFonts w:hint="eastAsia" w:ascii="宋体" w:hAnsi="宋体" w:cs="宋体"/>
          <w:color w:val="000000" w:themeColor="text1"/>
          <w:spacing w:val="-2"/>
          <w:kern w:val="0"/>
          <w:szCs w:val="21"/>
          <w14:textFill>
            <w14:solidFill>
              <w14:schemeClr w14:val="tx1"/>
            </w14:solidFill>
          </w14:textFill>
        </w:rPr>
        <w:t>说</w:t>
      </w:r>
      <w:r>
        <w:rPr>
          <w:rFonts w:hint="eastAsia" w:ascii="宋体" w:hAnsi="宋体" w:cs="HiddenHorzOCR"/>
          <w:color w:val="000000" w:themeColor="text1"/>
          <w:spacing w:val="-2"/>
          <w:kern w:val="0"/>
          <w:szCs w:val="21"/>
          <w14:textFill>
            <w14:solidFill>
              <w14:schemeClr w14:val="tx1"/>
            </w14:solidFill>
          </w14:textFill>
        </w:rPr>
        <w:t>明或</w:t>
      </w:r>
      <w:r>
        <w:rPr>
          <w:rFonts w:hint="eastAsia" w:ascii="宋体" w:hAnsi="宋体" w:cs="宋体"/>
          <w:color w:val="000000" w:themeColor="text1"/>
          <w:spacing w:val="-2"/>
          <w:kern w:val="0"/>
          <w:szCs w:val="21"/>
          <w14:textFill>
            <w14:solidFill>
              <w14:schemeClr w14:val="tx1"/>
            </w14:solidFill>
          </w14:textFill>
        </w:rPr>
        <w:t>补</w:t>
      </w:r>
      <w:r>
        <w:rPr>
          <w:rFonts w:hint="eastAsia" w:ascii="宋体" w:hAnsi="宋体" w:cs="HiddenHorzOCR"/>
          <w:color w:val="000000" w:themeColor="text1"/>
          <w:spacing w:val="-2"/>
          <w:kern w:val="0"/>
          <w:szCs w:val="21"/>
          <w14:textFill>
            <w14:solidFill>
              <w14:schemeClr w14:val="tx1"/>
            </w14:solidFill>
          </w14:textFill>
        </w:rPr>
        <w:t>正有疑</w:t>
      </w:r>
      <w:r>
        <w:rPr>
          <w:rFonts w:hint="eastAsia" w:ascii="宋体" w:hAnsi="宋体" w:cs="宋体"/>
          <w:color w:val="000000" w:themeColor="text1"/>
          <w:spacing w:val="-2"/>
          <w:kern w:val="0"/>
          <w:szCs w:val="21"/>
          <w14:textFill>
            <w14:solidFill>
              <w14:schemeClr w14:val="tx1"/>
            </w14:solidFill>
          </w14:textFill>
        </w:rPr>
        <w:t>问</w:t>
      </w:r>
      <w:r>
        <w:rPr>
          <w:rFonts w:hint="eastAsia" w:ascii="宋体" w:hAnsi="宋体" w:cs="HiddenHorzOCR"/>
          <w:color w:val="000000" w:themeColor="text1"/>
          <w:spacing w:val="-2"/>
          <w:kern w:val="0"/>
          <w:szCs w:val="21"/>
          <w14:textFill>
            <w14:solidFill>
              <w14:schemeClr w14:val="tx1"/>
            </w14:solidFill>
          </w14:textFill>
        </w:rPr>
        <w:t>的，可以要求投</w:t>
      </w:r>
      <w:r>
        <w:rPr>
          <w:rFonts w:hint="eastAsia" w:ascii="宋体" w:hAnsi="宋体" w:cs="宋体"/>
          <w:color w:val="000000" w:themeColor="text1"/>
          <w:spacing w:val="-2"/>
          <w:kern w:val="0"/>
          <w:szCs w:val="21"/>
          <w14:textFill>
            <w14:solidFill>
              <w14:schemeClr w14:val="tx1"/>
            </w14:solidFill>
          </w14:textFill>
        </w:rPr>
        <w:t>标</w:t>
      </w:r>
      <w:r>
        <w:rPr>
          <w:rFonts w:hint="eastAsia" w:ascii="宋体" w:hAnsi="宋体" w:cs="HiddenHorzOCR"/>
          <w:color w:val="000000" w:themeColor="text1"/>
          <w:spacing w:val="-2"/>
          <w:kern w:val="0"/>
          <w:szCs w:val="21"/>
          <w14:textFill>
            <w14:solidFill>
              <w14:schemeClr w14:val="tx1"/>
            </w14:solidFill>
          </w14:textFill>
        </w:rPr>
        <w:t>人</w:t>
      </w:r>
      <w:r>
        <w:rPr>
          <w:rFonts w:hint="eastAsia" w:ascii="宋体" w:hAnsi="宋体" w:cs="宋体"/>
          <w:color w:val="000000" w:themeColor="text1"/>
          <w:spacing w:val="-2"/>
          <w:kern w:val="0"/>
          <w:szCs w:val="21"/>
          <w14:textFill>
            <w14:solidFill>
              <w14:schemeClr w14:val="tx1"/>
            </w14:solidFill>
          </w14:textFill>
        </w:rPr>
        <w:t>进</w:t>
      </w:r>
      <w:r>
        <w:rPr>
          <w:rFonts w:hint="eastAsia" w:ascii="宋体" w:hAnsi="宋体" w:cs="HiddenHorzOCR"/>
          <w:color w:val="000000" w:themeColor="text1"/>
          <w:spacing w:val="-2"/>
          <w:kern w:val="0"/>
          <w:szCs w:val="21"/>
          <w14:textFill>
            <w14:solidFill>
              <w14:schemeClr w14:val="tx1"/>
            </w14:solidFill>
          </w14:textFill>
        </w:rPr>
        <w:t>一</w:t>
      </w:r>
      <w:r>
        <w:rPr>
          <w:rFonts w:hint="eastAsia" w:ascii="宋体" w:hAnsi="宋体" w:cs="宋体"/>
          <w:color w:val="000000" w:themeColor="text1"/>
          <w:spacing w:val="-2"/>
          <w:kern w:val="0"/>
          <w:szCs w:val="21"/>
          <w14:textFill>
            <w14:solidFill>
              <w14:schemeClr w14:val="tx1"/>
            </w14:solidFill>
          </w14:textFill>
        </w:rPr>
        <w:t>步澄清、说明或补正，直至满足评标委员会的要求。</w:t>
      </w:r>
    </w:p>
    <w:p w14:paraId="5477B29B">
      <w:pPr>
        <w:keepNext w:val="0"/>
        <w:keepLines w:val="0"/>
        <w:pageBreakBefore w:val="0"/>
        <w:widowControl w:val="0"/>
        <w:kinsoku/>
        <w:wordWrap/>
        <w:overflowPunct/>
        <w:topLinePunct w:val="0"/>
        <w:autoSpaceDE/>
        <w:autoSpaceDN/>
        <w:bidi w:val="0"/>
        <w:spacing w:line="360" w:lineRule="auto"/>
        <w:textAlignment w:val="auto"/>
        <w:rPr>
          <w:rFonts w:ascii="宋体" w:hAnsi="宋体"/>
          <w:color w:val="000000" w:themeColor="text1"/>
          <w:kern w:val="0"/>
          <w14:textFill>
            <w14:solidFill>
              <w14:schemeClr w14:val="tx1"/>
            </w14:solidFill>
          </w14:textFill>
        </w:rPr>
      </w:pPr>
      <w:r>
        <w:rPr>
          <w:rFonts w:ascii="宋体" w:hAnsi="宋体"/>
          <w:color w:val="000000" w:themeColor="text1"/>
          <w:kern w:val="0"/>
          <w14:textFill>
            <w14:solidFill>
              <w14:schemeClr w14:val="tx1"/>
            </w14:solidFill>
          </w14:textFill>
        </w:rPr>
        <w:t>3.4</w:t>
      </w:r>
      <w:r>
        <w:rPr>
          <w:rFonts w:hint="eastAsia" w:ascii="宋体" w:hAnsi="宋体"/>
          <w:color w:val="000000" w:themeColor="text1"/>
          <w:kern w:val="0"/>
          <w14:textFill>
            <w14:solidFill>
              <w14:schemeClr w14:val="tx1"/>
            </w14:solidFill>
          </w14:textFill>
        </w:rPr>
        <w:t xml:space="preserve"> 评标结果</w:t>
      </w:r>
    </w:p>
    <w:p w14:paraId="12C7504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b/>
          <w:color w:val="000000" w:themeColor="text1"/>
          <w:szCs w:val="21"/>
          <w14:textFill>
            <w14:solidFill>
              <w14:schemeClr w14:val="tx1"/>
            </w14:solidFill>
          </w14:textFill>
        </w:rPr>
      </w:pPr>
      <w:r>
        <w:rPr>
          <w:rFonts w:ascii="宋体" w:hAnsi="宋体"/>
          <w:b/>
          <w:color w:val="000000" w:themeColor="text1"/>
          <w14:textFill>
            <w14:solidFill>
              <w14:schemeClr w14:val="tx1"/>
            </w14:solidFill>
          </w14:textFill>
        </w:rPr>
        <w:t>3.4.1</w:t>
      </w:r>
      <w:r>
        <w:rPr>
          <w:rFonts w:hint="eastAsia" w:ascii="宋体" w:hAnsi="宋体"/>
          <w:b/>
          <w:color w:val="000000" w:themeColor="text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打分的原则</w:t>
      </w:r>
    </w:p>
    <w:p w14:paraId="7E7600D8">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评委按照本招标规定的评分原则，采取记名打分，评分时应注意以下规定：</w:t>
      </w:r>
    </w:p>
    <w:p w14:paraId="798AF40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⑴ 评委采用专用的评分表，按照评分标准打分。</w:t>
      </w:r>
    </w:p>
    <w:p w14:paraId="672C6B99">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⑵ 评委应独立打分，不得互相商议。</w:t>
      </w:r>
    </w:p>
    <w:p w14:paraId="38D6B69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⑶ 打分为有记名打分，在填写打分时有下列情况之一者作废，应另换新的评分表。</w:t>
      </w:r>
    </w:p>
    <w:p w14:paraId="4D5A739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a、评委未签字；</w:t>
      </w:r>
    </w:p>
    <w:p w14:paraId="2C3D8FD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b、小项分值超过小项标准分；</w:t>
      </w:r>
    </w:p>
    <w:p w14:paraId="6CA5AA79">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c、小项分值之和超过分项标准分；</w:t>
      </w:r>
    </w:p>
    <w:p w14:paraId="323A8764">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d、分项之和超过总分标准分；</w:t>
      </w:r>
    </w:p>
    <w:p w14:paraId="2A29538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e、有涂改、字迹不清、漏项的。</w:t>
      </w:r>
    </w:p>
    <w:p w14:paraId="50010A9F">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⑷ 评委打分应在监察员监督下进行，评委打分表应复核正确后，方可进行统计计算。</w:t>
      </w:r>
    </w:p>
    <w:p w14:paraId="3E00BC52">
      <w:pPr>
        <w:keepNext w:val="0"/>
        <w:keepLines w:val="0"/>
        <w:pageBreakBefore w:val="0"/>
        <w:widowControl w:val="0"/>
        <w:kinsoku/>
        <w:wordWrap/>
        <w:overflowPunct/>
        <w:topLinePunct w:val="0"/>
        <w:autoSpaceDE/>
        <w:autoSpaceDN/>
        <w:bidi w:val="0"/>
        <w:spacing w:line="360" w:lineRule="auto"/>
        <w:textAlignment w:val="auto"/>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t>3.4.</w:t>
      </w:r>
      <w:r>
        <w:rPr>
          <w:rFonts w:hint="eastAsia" w:ascii="宋体" w:hAnsi="宋体"/>
          <w:b/>
          <w:color w:val="000000" w:themeColor="text1"/>
          <w14:textFill>
            <w14:solidFill>
              <w14:schemeClr w14:val="tx1"/>
            </w14:solidFill>
          </w14:textFill>
        </w:rPr>
        <w:t xml:space="preserve">2 </w:t>
      </w:r>
      <w:r>
        <w:rPr>
          <w:rFonts w:hint="eastAsia" w:ascii="宋体" w:hAnsi="宋体"/>
          <w:color w:val="000000" w:themeColor="text1"/>
          <w14:textFill>
            <w14:solidFill>
              <w14:schemeClr w14:val="tx1"/>
            </w14:solidFill>
          </w14:textFill>
        </w:rPr>
        <w:t>评标委员会依据本章第2.2条评分标准进行评分，</w:t>
      </w:r>
      <w:r>
        <w:rPr>
          <w:rFonts w:hint="eastAsia" w:ascii="宋体" w:hAnsi="宋体"/>
          <w:color w:val="000000" w:themeColor="text1"/>
          <w:szCs w:val="21"/>
          <w14:textFill>
            <w14:solidFill>
              <w14:schemeClr w14:val="tx1"/>
            </w14:solidFill>
          </w14:textFill>
        </w:rPr>
        <w:t>经综合评议后，各投标单位的得分为</w:t>
      </w:r>
      <w:r>
        <w:rPr>
          <w:rFonts w:hint="eastAsia" w:ascii="宋体" w:hAnsi="宋体"/>
          <w:color w:val="000000" w:themeColor="text1"/>
          <w:lang w:eastAsia="zh-CN"/>
          <w14:textFill>
            <w14:solidFill>
              <w14:schemeClr w14:val="tx1"/>
            </w14:solidFill>
          </w14:textFill>
        </w:rPr>
        <w:t>评标委员会全体成员的评分计算出平均得分</w:t>
      </w:r>
      <w:r>
        <w:rPr>
          <w:rFonts w:hint="eastAsia" w:ascii="宋体" w:hAnsi="宋体"/>
          <w:color w:val="000000" w:themeColor="text1"/>
          <w14:textFill>
            <w14:solidFill>
              <w14:schemeClr w14:val="tx1"/>
            </w14:solidFill>
          </w14:textFill>
        </w:rPr>
        <w:t>，根据得分由高到低的顺序推荐3名中标候选人，并标明推荐顺序；若出现分值相同情况，则以投标报价低的优先，投标报价也相同时，由评标委员会委员无记名投票确定。</w:t>
      </w:r>
      <w:r>
        <w:rPr>
          <w:rFonts w:hint="eastAsia" w:ascii="宋体" w:hAnsi="宋体"/>
          <w:color w:val="000000" w:themeColor="text1"/>
          <w:szCs w:val="21"/>
          <w14:textFill>
            <w14:solidFill>
              <w14:schemeClr w14:val="tx1"/>
            </w14:solidFill>
          </w14:textFill>
        </w:rPr>
        <w:t>评标结果将于评标结束3日内在</w:t>
      </w:r>
      <w:r>
        <w:rPr>
          <w:rFonts w:hint="eastAsia" w:ascii="宋体" w:hAnsi="宋体" w:cs="Arial"/>
          <w:color w:val="000000" w:themeColor="text1"/>
          <w:kern w:val="0"/>
          <w:szCs w:val="21"/>
          <w14:textFill>
            <w14:solidFill>
              <w14:schemeClr w14:val="tx1"/>
            </w14:solidFill>
          </w14:textFill>
        </w:rPr>
        <w:t>《</w:t>
      </w:r>
      <w:r>
        <w:rPr>
          <w:rFonts w:ascii="宋体" w:hAnsi="宋体"/>
          <w:color w:val="000000" w:themeColor="text1"/>
          <w:szCs w:val="21"/>
          <w14:textFill>
            <w14:solidFill>
              <w14:schemeClr w14:val="tx1"/>
            </w14:solidFill>
          </w14:textFill>
        </w:rPr>
        <w:t>云南省公共资源交易信息平台</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 xml:space="preserve"> https://ggzy.yn.gov.cn/#/homePage</w:t>
      </w:r>
      <w:r>
        <w:rPr>
          <w:rFonts w:hint="eastAsia" w:ascii="宋体" w:hAnsi="宋体"/>
          <w:color w:val="000000" w:themeColor="text1"/>
          <w:szCs w:val="21"/>
          <w14:textFill>
            <w14:solidFill>
              <w14:schemeClr w14:val="tx1"/>
            </w14:solidFill>
          </w14:textFill>
        </w:rPr>
        <w:t>）上公示, 公示有效期3天。</w:t>
      </w:r>
    </w:p>
    <w:p w14:paraId="40A17A4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cs="HiddenHorzOCR"/>
          <w:color w:val="000000" w:themeColor="text1"/>
          <w:kern w:val="0"/>
          <w:szCs w:val="21"/>
          <w14:textFill>
            <w14:solidFill>
              <w14:schemeClr w14:val="tx1"/>
            </w14:solidFill>
          </w14:textFill>
        </w:rPr>
      </w:pPr>
      <w:r>
        <w:rPr>
          <w:rFonts w:ascii="宋体" w:hAnsi="宋体"/>
          <w:b/>
          <w:color w:val="000000" w:themeColor="text1"/>
          <w14:textFill>
            <w14:solidFill>
              <w14:schemeClr w14:val="tx1"/>
            </w14:solidFill>
          </w14:textFill>
        </w:rPr>
        <w:t>3.4.</w:t>
      </w:r>
      <w:r>
        <w:rPr>
          <w:rFonts w:hint="eastAsia" w:ascii="宋体" w:hAnsi="宋体"/>
          <w:b/>
          <w:color w:val="000000" w:themeColor="text1"/>
          <w14:textFill>
            <w14:solidFill>
              <w14:schemeClr w14:val="tx1"/>
            </w14:solidFill>
          </w14:textFill>
        </w:rPr>
        <w:t xml:space="preserve">3 </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委</w:t>
      </w:r>
      <w:r>
        <w:rPr>
          <w:rFonts w:hint="eastAsia" w:ascii="宋体" w:hAnsi="宋体" w:cs="宋体"/>
          <w:color w:val="000000" w:themeColor="text1"/>
          <w:kern w:val="0"/>
          <w:szCs w:val="21"/>
          <w14:textFill>
            <w14:solidFill>
              <w14:schemeClr w14:val="tx1"/>
            </w14:solidFill>
          </w14:textFill>
        </w:rPr>
        <w:t>员</w:t>
      </w:r>
      <w:r>
        <w:rPr>
          <w:rFonts w:hint="eastAsia" w:ascii="宋体" w:hAnsi="宋体" w:cs="HiddenHorzOCR"/>
          <w:color w:val="000000" w:themeColor="text1"/>
          <w:kern w:val="0"/>
          <w:szCs w:val="21"/>
          <w14:textFill>
            <w14:solidFill>
              <w14:schemeClr w14:val="tx1"/>
            </w14:solidFill>
          </w14:textFill>
        </w:rPr>
        <w:t>会完成</w:t>
      </w:r>
      <w:r>
        <w:rPr>
          <w:rFonts w:hint="eastAsia" w:ascii="宋体" w:hAnsi="宋体" w:cs="宋体"/>
          <w:color w:val="000000" w:themeColor="text1"/>
          <w:kern w:val="0"/>
          <w:szCs w:val="21"/>
          <w14:textFill>
            <w14:solidFill>
              <w14:schemeClr w14:val="tx1"/>
            </w14:solidFill>
          </w14:textFill>
        </w:rPr>
        <w:t>评标</w:t>
      </w:r>
      <w:r>
        <w:rPr>
          <w:rFonts w:hint="eastAsia" w:ascii="宋体" w:hAnsi="宋体" w:cs="HiddenHorzOCR"/>
          <w:color w:val="000000" w:themeColor="text1"/>
          <w:kern w:val="0"/>
          <w:szCs w:val="21"/>
          <w14:textFill>
            <w14:solidFill>
              <w14:schemeClr w14:val="tx1"/>
            </w14:solidFill>
          </w14:textFill>
        </w:rPr>
        <w:t>后，</w:t>
      </w:r>
      <w:r>
        <w:rPr>
          <w:rFonts w:hint="eastAsia" w:ascii="宋体" w:hAnsi="宋体" w:cs="宋体"/>
          <w:color w:val="000000" w:themeColor="text1"/>
          <w:kern w:val="0"/>
          <w:szCs w:val="21"/>
          <w14:textFill>
            <w14:solidFill>
              <w14:schemeClr w14:val="tx1"/>
            </w14:solidFill>
          </w14:textFill>
        </w:rPr>
        <w:t>应</w:t>
      </w:r>
      <w:r>
        <w:rPr>
          <w:rFonts w:hint="eastAsia" w:ascii="宋体" w:hAnsi="宋体" w:cs="HiddenHorzOCR"/>
          <w:color w:val="000000" w:themeColor="text1"/>
          <w:kern w:val="0"/>
          <w:szCs w:val="21"/>
          <w14:textFill>
            <w14:solidFill>
              <w14:schemeClr w14:val="tx1"/>
            </w14:solidFill>
          </w14:textFill>
        </w:rPr>
        <w:t>当向招</w:t>
      </w:r>
      <w:r>
        <w:rPr>
          <w:rFonts w:hint="eastAsia" w:ascii="宋体" w:hAnsi="宋体" w:cs="宋体"/>
          <w:color w:val="000000" w:themeColor="text1"/>
          <w:kern w:val="0"/>
          <w:szCs w:val="21"/>
          <w14:textFill>
            <w14:solidFill>
              <w14:schemeClr w14:val="tx1"/>
            </w14:solidFill>
          </w14:textFill>
        </w:rPr>
        <w:t>标</w:t>
      </w:r>
      <w:r>
        <w:rPr>
          <w:rFonts w:hint="eastAsia" w:ascii="宋体" w:hAnsi="宋体" w:cs="HiddenHorzOCR"/>
          <w:color w:val="000000" w:themeColor="text1"/>
          <w:kern w:val="0"/>
          <w:szCs w:val="21"/>
          <w14:textFill>
            <w14:solidFill>
              <w14:schemeClr w14:val="tx1"/>
            </w14:solidFill>
          </w14:textFill>
        </w:rPr>
        <w:t>人提交</w:t>
      </w:r>
      <w:r>
        <w:rPr>
          <w:rFonts w:hint="eastAsia" w:ascii="宋体" w:hAnsi="宋体" w:cs="宋体"/>
          <w:color w:val="000000" w:themeColor="text1"/>
          <w:kern w:val="0"/>
          <w:szCs w:val="21"/>
          <w14:textFill>
            <w14:solidFill>
              <w14:schemeClr w14:val="tx1"/>
            </w14:solidFill>
          </w14:textFill>
        </w:rPr>
        <w:t>书</w:t>
      </w:r>
      <w:r>
        <w:rPr>
          <w:rFonts w:hint="eastAsia" w:ascii="宋体" w:hAnsi="宋体" w:cs="HiddenHorzOCR"/>
          <w:color w:val="000000" w:themeColor="text1"/>
          <w:kern w:val="0"/>
          <w:szCs w:val="21"/>
          <w14:textFill>
            <w14:solidFill>
              <w14:schemeClr w14:val="tx1"/>
            </w14:solidFill>
          </w14:textFill>
        </w:rPr>
        <w:t>面</w:t>
      </w:r>
      <w:r>
        <w:rPr>
          <w:rFonts w:hint="eastAsia" w:ascii="宋体" w:hAnsi="宋体" w:cs="宋体"/>
          <w:color w:val="000000" w:themeColor="text1"/>
          <w:kern w:val="0"/>
          <w:szCs w:val="21"/>
          <w14:textFill>
            <w14:solidFill>
              <w14:schemeClr w14:val="tx1"/>
            </w14:solidFill>
          </w14:textFill>
        </w:rPr>
        <w:t>评标报</w:t>
      </w:r>
      <w:r>
        <w:rPr>
          <w:rFonts w:hint="eastAsia" w:ascii="宋体" w:hAnsi="宋体" w:cs="HiddenHorzOCR"/>
          <w:color w:val="000000" w:themeColor="text1"/>
          <w:kern w:val="0"/>
          <w:szCs w:val="21"/>
          <w14:textFill>
            <w14:solidFill>
              <w14:schemeClr w14:val="tx1"/>
            </w14:solidFill>
          </w14:textFill>
        </w:rPr>
        <w:t>告。</w:t>
      </w:r>
    </w:p>
    <w:p w14:paraId="4E65304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1"/>
        <w:rPr>
          <w:rFonts w:hint="eastAsia" w:ascii="宋体" w:hAnsi="宋体" w:eastAsia="宋体" w:cs="宋体"/>
          <w:color w:val="000000" w:themeColor="text1"/>
          <w:kern w:val="0"/>
          <w:sz w:val="28"/>
          <w:highlight w:val="none"/>
          <w14:textFill>
            <w14:solidFill>
              <w14:schemeClr w14:val="tx1"/>
            </w14:solidFill>
          </w14:textFill>
        </w:rPr>
      </w:pPr>
      <w:bookmarkStart w:id="291" w:name="_Toc229408492"/>
    </w:p>
    <w:p w14:paraId="5F725A8B">
      <w:pPr>
        <w:adjustRightInd w:val="0"/>
        <w:snapToGrid w:val="0"/>
        <w:spacing w:line="360" w:lineRule="auto"/>
        <w:jc w:val="left"/>
        <w:outlineLvl w:val="1"/>
        <w:rPr>
          <w:rFonts w:hint="eastAsia" w:ascii="宋体" w:hAnsi="宋体" w:eastAsia="宋体" w:cs="宋体"/>
          <w:color w:val="000000" w:themeColor="text1"/>
          <w:kern w:val="0"/>
          <w:sz w:val="28"/>
          <w:highlight w:val="none"/>
          <w14:textFill>
            <w14:solidFill>
              <w14:schemeClr w14:val="tx1"/>
            </w14:solidFill>
          </w14:textFill>
        </w:rPr>
      </w:pPr>
    </w:p>
    <w:p w14:paraId="1DE883F2">
      <w:pPr>
        <w:rPr>
          <w:rFonts w:hint="eastAsia" w:ascii="宋体" w:hAnsi="宋体"/>
          <w:color w:val="000000" w:themeColor="text1"/>
          <w14:textFill>
            <w14:solidFill>
              <w14:schemeClr w14:val="tx1"/>
            </w14:solidFill>
          </w14:textFill>
        </w:rPr>
      </w:pPr>
      <w:r>
        <w:rPr>
          <w:rFonts w:ascii="宋体" w:hAnsi="宋体"/>
          <w:b/>
          <w:bCs/>
          <w:color w:val="000000" w:themeColor="text1"/>
          <w:sz w:val="28"/>
          <w:szCs w:val="28"/>
          <w14:textFill>
            <w14:solidFill>
              <w14:schemeClr w14:val="tx1"/>
            </w14:solidFill>
          </w14:textFill>
        </w:rPr>
        <w:br w:type="page"/>
      </w:r>
      <w:r>
        <w:rPr>
          <w:rFonts w:ascii="宋体" w:hAnsi="宋体"/>
          <w:b/>
          <w:bCs/>
          <w:color w:val="000000" w:themeColor="text1"/>
          <w:sz w:val="28"/>
          <w:szCs w:val="28"/>
          <w14:textFill>
            <w14:solidFill>
              <w14:schemeClr w14:val="tx1"/>
            </w14:solidFill>
          </w14:textFill>
        </w:rPr>
        <w:t>附</w:t>
      </w:r>
      <w:r>
        <w:rPr>
          <w:rFonts w:hint="eastAsia" w:ascii="宋体" w:hAnsi="宋体"/>
          <w:b/>
          <w:bCs/>
          <w:color w:val="000000" w:themeColor="text1"/>
          <w:sz w:val="28"/>
          <w:szCs w:val="28"/>
          <w14:textFill>
            <w14:solidFill>
              <w14:schemeClr w14:val="tx1"/>
            </w14:solidFill>
          </w14:textFill>
        </w:rPr>
        <w:t>件一</w:t>
      </w:r>
      <w:r>
        <w:rPr>
          <w:rFonts w:ascii="宋体" w:hAnsi="宋体"/>
          <w:b/>
          <w:bCs/>
          <w:color w:val="000000" w:themeColor="text1"/>
          <w:sz w:val="28"/>
          <w:szCs w:val="28"/>
          <w14:textFill>
            <w14:solidFill>
              <w14:schemeClr w14:val="tx1"/>
            </w14:solidFill>
          </w14:textFill>
        </w:rPr>
        <w:t>：</w:t>
      </w:r>
      <w:bookmarkEnd w:id="291"/>
      <w:r>
        <w:rPr>
          <w:rFonts w:hint="eastAsia" w:ascii="宋体" w:hAnsi="宋体"/>
          <w:b/>
          <w:bCs/>
          <w:color w:val="000000" w:themeColor="text1"/>
          <w:sz w:val="28"/>
          <w:szCs w:val="28"/>
          <w14:textFill>
            <w14:solidFill>
              <w14:schemeClr w14:val="tx1"/>
            </w14:solidFill>
          </w14:textFill>
        </w:rPr>
        <w:t xml:space="preserve"> </w:t>
      </w:r>
    </w:p>
    <w:p w14:paraId="030A7F2D">
      <w:pPr>
        <w:spacing w:line="440" w:lineRule="exact"/>
        <w:jc w:val="center"/>
        <w:rPr>
          <w:rFonts w:ascii="宋体" w:hAnsi="宋体"/>
          <w:color w:val="000000" w:themeColor="text1"/>
          <w:szCs w:val="21"/>
          <w14:textFill>
            <w14:solidFill>
              <w14:schemeClr w14:val="tx1"/>
            </w14:solidFill>
          </w14:textFill>
        </w:rPr>
      </w:pPr>
    </w:p>
    <w:p w14:paraId="2FBEE686">
      <w:pPr>
        <w:spacing w:line="400" w:lineRule="exact"/>
        <w:jc w:val="cente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 xml:space="preserve">投 标 文 件 澄 清 </w:t>
      </w:r>
      <w:r>
        <w:rPr>
          <w:rFonts w:ascii="宋体" w:hAnsi="宋体"/>
          <w:b/>
          <w:color w:val="000000" w:themeColor="text1"/>
          <w:sz w:val="36"/>
          <w:szCs w:val="36"/>
          <w14:textFill>
            <w14:solidFill>
              <w14:schemeClr w14:val="tx1"/>
            </w14:solidFill>
          </w14:textFill>
        </w:rPr>
        <w:t>通</w:t>
      </w:r>
      <w:r>
        <w:rPr>
          <w:rFonts w:hint="eastAsia" w:ascii="宋体" w:hAnsi="宋体"/>
          <w:b/>
          <w:color w:val="000000" w:themeColor="text1"/>
          <w:sz w:val="36"/>
          <w:szCs w:val="36"/>
          <w14:textFill>
            <w14:solidFill>
              <w14:schemeClr w14:val="tx1"/>
            </w14:solidFill>
          </w14:textFill>
        </w:rPr>
        <w:t xml:space="preserve"> </w:t>
      </w:r>
      <w:r>
        <w:rPr>
          <w:rFonts w:ascii="宋体" w:hAnsi="宋体"/>
          <w:b/>
          <w:color w:val="000000" w:themeColor="text1"/>
          <w:sz w:val="36"/>
          <w:szCs w:val="36"/>
          <w14:textFill>
            <w14:solidFill>
              <w14:schemeClr w14:val="tx1"/>
            </w14:solidFill>
          </w14:textFill>
        </w:rPr>
        <w:t>知</w:t>
      </w:r>
    </w:p>
    <w:p w14:paraId="4B1D9923">
      <w:pPr>
        <w:spacing w:line="44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编号：</w:t>
      </w:r>
    </w:p>
    <w:p w14:paraId="5CF17DBD">
      <w:pPr>
        <w:spacing w:line="440" w:lineRule="exact"/>
        <w:rPr>
          <w:rFonts w:ascii="宋体" w:hAnsi="宋体"/>
          <w:color w:val="000000" w:themeColor="text1"/>
          <w:szCs w:val="21"/>
          <w14:textFill>
            <w14:solidFill>
              <w14:schemeClr w14:val="tx1"/>
            </w14:solidFill>
          </w14:textFill>
        </w:rPr>
      </w:pPr>
    </w:p>
    <w:p w14:paraId="06219513">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投标人名称</w:t>
      </w:r>
      <w:r>
        <w:rPr>
          <w:rFonts w:ascii="宋体" w:hAnsi="宋体"/>
          <w:color w:val="000000" w:themeColor="text1"/>
          <w:szCs w:val="21"/>
          <w14:textFill>
            <w14:solidFill>
              <w14:schemeClr w14:val="tx1"/>
            </w14:solidFill>
          </w14:textFill>
        </w:rPr>
        <w:t>）：</w:t>
      </w:r>
    </w:p>
    <w:p w14:paraId="7121AF4A">
      <w:pPr>
        <w:spacing w:line="440" w:lineRule="exact"/>
        <w:rPr>
          <w:rFonts w:ascii="宋体" w:hAnsi="宋体"/>
          <w:color w:val="000000" w:themeColor="text1"/>
          <w:szCs w:val="21"/>
          <w14:textFill>
            <w14:solidFill>
              <w14:schemeClr w14:val="tx1"/>
            </w14:solidFill>
          </w14:textFill>
        </w:rPr>
      </w:pPr>
    </w:p>
    <w:p w14:paraId="33999CCE">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标段名称）</w:t>
      </w:r>
      <w:r>
        <w:rPr>
          <w:rFonts w:ascii="宋体" w:hAnsi="宋体"/>
          <w:color w:val="000000" w:themeColor="text1"/>
          <w:szCs w:val="21"/>
          <w14:textFill>
            <w14:solidFill>
              <w14:schemeClr w14:val="tx1"/>
            </w14:solidFill>
          </w14:textFill>
        </w:rPr>
        <w:t>评标委员会对你方的投标文件进行了仔细的审查，现需你方对下列问题以书面形式予以澄清：</w:t>
      </w:r>
    </w:p>
    <w:p w14:paraId="5BDBB77E">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795B4444">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1.</w:t>
      </w:r>
    </w:p>
    <w:p w14:paraId="63928BD9">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2.</w:t>
      </w:r>
    </w:p>
    <w:p w14:paraId="258D996F">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   </w:t>
      </w:r>
    </w:p>
    <w:p w14:paraId="2735A691">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77A14DDD">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请将上述问题的澄清</w:t>
      </w:r>
      <w:r>
        <w:rPr>
          <w:rFonts w:hint="eastAsia" w:ascii="宋体" w:hAnsi="宋体"/>
          <w:color w:val="000000" w:themeColor="text1"/>
          <w:szCs w:val="21"/>
          <w14:textFill>
            <w14:solidFill>
              <w14:schemeClr w14:val="tx1"/>
            </w14:solidFill>
          </w14:textFill>
        </w:rPr>
        <w:t>函</w:t>
      </w:r>
      <w:r>
        <w:rPr>
          <w:rFonts w:ascii="宋体" w:hAnsi="宋体"/>
          <w:color w:val="000000" w:themeColor="text1"/>
          <w:szCs w:val="21"/>
          <w14:textFill>
            <w14:solidFill>
              <w14:schemeClr w14:val="tx1"/>
            </w14:solidFill>
          </w14:textFill>
        </w:rPr>
        <w:t>于</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时前递交至</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（详细地址）</w:t>
      </w:r>
      <w:r>
        <w:rPr>
          <w:rFonts w:hint="eastAsia" w:ascii="宋体" w:hAnsi="宋体"/>
          <w:color w:val="000000" w:themeColor="text1"/>
          <w:szCs w:val="21"/>
          <w14:textFill>
            <w14:solidFill>
              <w14:schemeClr w14:val="tx1"/>
            </w14:solidFill>
          </w14:textFill>
        </w:rPr>
        <w:t>或传真至</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传真号码</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采用传真方式的，应在</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时前将原件递交至</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（详细</w:t>
      </w:r>
      <w:r>
        <w:rPr>
          <w:rFonts w:hint="eastAsia" w:ascii="宋体" w:hAnsi="宋体"/>
          <w:color w:val="000000" w:themeColor="text1"/>
          <w:szCs w:val="21"/>
          <w14:textFill>
            <w14:solidFill>
              <w14:schemeClr w14:val="tx1"/>
            </w14:solidFill>
          </w14:textFill>
        </w:rPr>
        <w:t>地址）。</w:t>
      </w:r>
    </w:p>
    <w:p w14:paraId="4DA0101E">
      <w:pPr>
        <w:spacing w:line="440" w:lineRule="exact"/>
        <w:rPr>
          <w:rFonts w:ascii="宋体" w:hAnsi="宋体"/>
          <w:color w:val="000000" w:themeColor="text1"/>
          <w:szCs w:val="21"/>
          <w14:textFill>
            <w14:solidFill>
              <w14:schemeClr w14:val="tx1"/>
            </w14:solidFill>
          </w14:textFill>
        </w:rPr>
      </w:pPr>
    </w:p>
    <w:p w14:paraId="667A1154">
      <w:pPr>
        <w:spacing w:line="440" w:lineRule="exact"/>
        <w:rPr>
          <w:rFonts w:hint="eastAsia" w:ascii="宋体" w:hAnsi="宋体"/>
          <w:color w:val="000000" w:themeColor="text1"/>
          <w:szCs w:val="21"/>
          <w14:textFill>
            <w14:solidFill>
              <w14:schemeClr w14:val="tx1"/>
            </w14:solidFill>
          </w14:textFill>
        </w:rPr>
      </w:pPr>
    </w:p>
    <w:p w14:paraId="5DE47876">
      <w:pPr>
        <w:spacing w:line="440" w:lineRule="exact"/>
        <w:rPr>
          <w:rFonts w:hint="eastAsia" w:ascii="宋体" w:hAnsi="宋体"/>
          <w:color w:val="000000" w:themeColor="text1"/>
          <w:szCs w:val="21"/>
          <w14:textFill>
            <w14:solidFill>
              <w14:schemeClr w14:val="tx1"/>
            </w14:solidFill>
          </w14:textFill>
        </w:rPr>
      </w:pPr>
    </w:p>
    <w:p w14:paraId="5610AFB1">
      <w:pPr>
        <w:spacing w:line="440" w:lineRule="exact"/>
        <w:rPr>
          <w:rFonts w:hint="eastAsia" w:ascii="宋体" w:hAnsi="宋体"/>
          <w:color w:val="000000" w:themeColor="text1"/>
          <w:szCs w:val="21"/>
          <w14:textFill>
            <w14:solidFill>
              <w14:schemeClr w14:val="tx1"/>
            </w14:solidFill>
          </w14:textFill>
        </w:rPr>
      </w:pPr>
    </w:p>
    <w:p w14:paraId="39998B39">
      <w:pPr>
        <w:spacing w:line="440" w:lineRule="exact"/>
        <w:jc w:val="righ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评标委员会负责人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签字</w:t>
      </w:r>
      <w:r>
        <w:rPr>
          <w:rFonts w:ascii="宋体" w:hAnsi="宋体"/>
          <w:color w:val="000000" w:themeColor="text1"/>
          <w:szCs w:val="21"/>
          <w14:textFill>
            <w14:solidFill>
              <w14:schemeClr w14:val="tx1"/>
            </w14:solidFill>
          </w14:textFill>
        </w:rPr>
        <w:t>）</w:t>
      </w:r>
    </w:p>
    <w:p w14:paraId="21B015FB">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14:paraId="7A8BCA35">
      <w:pPr>
        <w:spacing w:line="440" w:lineRule="exact"/>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年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月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426B5033">
      <w:pPr>
        <w:spacing w:line="400" w:lineRule="exact"/>
        <w:rPr>
          <w:rFonts w:ascii="宋体" w:hAnsi="宋体"/>
          <w:color w:val="000000" w:themeColor="text1"/>
          <w14:textFill>
            <w14:solidFill>
              <w14:schemeClr w14:val="tx1"/>
            </w14:solidFill>
          </w14:textFill>
        </w:rPr>
      </w:pPr>
    </w:p>
    <w:p w14:paraId="6A75230D">
      <w:pPr>
        <w:spacing w:line="400" w:lineRule="exact"/>
        <w:rPr>
          <w:rFonts w:hint="eastAsia" w:ascii="宋体" w:hAnsi="宋体"/>
          <w:color w:val="000000" w:themeColor="text1"/>
          <w14:textFill>
            <w14:solidFill>
              <w14:schemeClr w14:val="tx1"/>
            </w14:solidFill>
          </w14:textFill>
        </w:rPr>
      </w:pPr>
    </w:p>
    <w:p w14:paraId="2AA3F463">
      <w:pPr>
        <w:spacing w:line="400" w:lineRule="exact"/>
        <w:rPr>
          <w:rFonts w:hint="eastAsia" w:ascii="宋体" w:hAnsi="宋体"/>
          <w:color w:val="000000" w:themeColor="text1"/>
          <w14:textFill>
            <w14:solidFill>
              <w14:schemeClr w14:val="tx1"/>
            </w14:solidFill>
          </w14:textFill>
        </w:rPr>
      </w:pPr>
    </w:p>
    <w:p w14:paraId="78E3B53A">
      <w:pPr>
        <w:spacing w:line="400" w:lineRule="exact"/>
        <w:rPr>
          <w:rFonts w:hint="eastAsia" w:ascii="宋体" w:hAnsi="宋体"/>
          <w:color w:val="000000" w:themeColor="text1"/>
          <w14:textFill>
            <w14:solidFill>
              <w14:schemeClr w14:val="tx1"/>
            </w14:solidFill>
          </w14:textFill>
        </w:rPr>
      </w:pPr>
    </w:p>
    <w:p w14:paraId="2E1DB627">
      <w:pPr>
        <w:rPr>
          <w:rFonts w:hint="eastAsia" w:ascii="宋体" w:hAnsi="宋体"/>
          <w:color w:val="000000" w:themeColor="text1"/>
          <w:sz w:val="28"/>
          <w:szCs w:val="28"/>
          <w14:textFill>
            <w14:solidFill>
              <w14:schemeClr w14:val="tx1"/>
            </w14:solidFill>
          </w14:textFill>
        </w:rPr>
      </w:pPr>
      <w:bookmarkStart w:id="292" w:name="_Toc229408493"/>
      <w:r>
        <w:rPr>
          <w:rFonts w:ascii="宋体" w:hAnsi="宋体"/>
          <w:color w:val="000000" w:themeColor="text1"/>
          <w:sz w:val="28"/>
          <w:szCs w:val="28"/>
          <w14:textFill>
            <w14:solidFill>
              <w14:schemeClr w14:val="tx1"/>
            </w14:solidFill>
          </w14:textFill>
        </w:rPr>
        <w:br w:type="page"/>
      </w:r>
      <w:r>
        <w:rPr>
          <w:rFonts w:hint="eastAsia" w:ascii="宋体" w:hAnsi="宋体"/>
          <w:color w:val="000000" w:themeColor="text1"/>
          <w:sz w:val="28"/>
          <w:szCs w:val="28"/>
          <w14:textFill>
            <w14:solidFill>
              <w14:schemeClr w14:val="tx1"/>
            </w14:solidFill>
          </w14:textFill>
        </w:rPr>
        <w:t>附件二：</w:t>
      </w:r>
      <w:bookmarkEnd w:id="292"/>
      <w:r>
        <w:rPr>
          <w:rFonts w:hint="eastAsia" w:ascii="宋体" w:hAnsi="宋体"/>
          <w:color w:val="000000" w:themeColor="text1"/>
          <w:sz w:val="28"/>
          <w:szCs w:val="28"/>
          <w14:textFill>
            <w14:solidFill>
              <w14:schemeClr w14:val="tx1"/>
            </w14:solidFill>
          </w14:textFill>
        </w:rPr>
        <w:t xml:space="preserve"> </w:t>
      </w:r>
    </w:p>
    <w:p w14:paraId="1C77FA4D">
      <w:pPr>
        <w:spacing w:line="400" w:lineRule="exact"/>
        <w:jc w:val="center"/>
        <w:rPr>
          <w:rFonts w:hint="eastAsia" w:ascii="宋体" w:hAnsi="宋体"/>
          <w:color w:val="000000" w:themeColor="text1"/>
          <w:sz w:val="28"/>
          <w:szCs w:val="28"/>
          <w14:textFill>
            <w14:solidFill>
              <w14:schemeClr w14:val="tx1"/>
            </w14:solidFill>
          </w14:textFill>
        </w:rPr>
      </w:pPr>
    </w:p>
    <w:p w14:paraId="0AFC95C9">
      <w:pPr>
        <w:spacing w:line="400" w:lineRule="exact"/>
        <w:jc w:val="cente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投 标 文 件 澄 清 函</w:t>
      </w:r>
    </w:p>
    <w:p w14:paraId="63532F6B">
      <w:pPr>
        <w:spacing w:line="400" w:lineRule="exact"/>
        <w:ind w:firstLine="3465" w:firstLineChars="165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编号： </w:t>
      </w:r>
    </w:p>
    <w:p w14:paraId="3A52E1CF">
      <w:pPr>
        <w:spacing w:line="400" w:lineRule="exact"/>
        <w:ind w:firstLine="3465" w:firstLineChars="1650"/>
        <w:rPr>
          <w:rFonts w:hint="eastAsia" w:ascii="宋体" w:hAnsi="宋体"/>
          <w:color w:val="000000" w:themeColor="text1"/>
          <w14:textFill>
            <w14:solidFill>
              <w14:schemeClr w14:val="tx1"/>
            </w14:solidFill>
          </w14:textFill>
        </w:rPr>
      </w:pPr>
    </w:p>
    <w:p w14:paraId="53982EBD">
      <w:pPr>
        <w:spacing w:line="400" w:lineRule="exact"/>
        <w:rPr>
          <w:rFonts w:ascii="宋体" w:hAnsi="宋体"/>
          <w:color w:val="000000" w:themeColor="text1"/>
          <w:szCs w:val="21"/>
          <w14:textFill>
            <w14:solidFill>
              <w14:schemeClr w14:val="tx1"/>
            </w14:solidFill>
          </w14:textFill>
        </w:rPr>
      </w:pPr>
    </w:p>
    <w:p w14:paraId="5B2D6595">
      <w:pPr>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标段名称）</w:t>
      </w:r>
      <w:r>
        <w:rPr>
          <w:rFonts w:ascii="宋体" w:hAnsi="宋体"/>
          <w:color w:val="000000" w:themeColor="text1"/>
          <w:szCs w:val="21"/>
          <w14:textFill>
            <w14:solidFill>
              <w14:schemeClr w14:val="tx1"/>
            </w14:solidFill>
          </w14:textFill>
        </w:rPr>
        <w:t>评标委员会：</w:t>
      </w:r>
    </w:p>
    <w:p w14:paraId="1A44F79B">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w:t>
      </w:r>
      <w:r>
        <w:rPr>
          <w:rFonts w:ascii="宋体" w:hAnsi="宋体"/>
          <w:color w:val="000000" w:themeColor="text1"/>
          <w:szCs w:val="21"/>
          <w14:textFill>
            <w14:solidFill>
              <w14:schemeClr w14:val="tx1"/>
            </w14:solidFill>
          </w14:textFill>
        </w:rPr>
        <w:t>通知（编号：</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）已收悉，现</w:t>
      </w:r>
      <w:r>
        <w:rPr>
          <w:rFonts w:hint="eastAsia" w:ascii="宋体" w:hAnsi="宋体"/>
          <w:color w:val="000000" w:themeColor="text1"/>
          <w:szCs w:val="21"/>
          <w14:textFill>
            <w14:solidFill>
              <w14:schemeClr w14:val="tx1"/>
            </w14:solidFill>
          </w14:textFill>
        </w:rPr>
        <w:t>就有关问题</w:t>
      </w:r>
      <w:r>
        <w:rPr>
          <w:rFonts w:ascii="宋体" w:hAnsi="宋体"/>
          <w:color w:val="000000" w:themeColor="text1"/>
          <w:szCs w:val="21"/>
          <w14:textFill>
            <w14:solidFill>
              <w14:schemeClr w14:val="tx1"/>
            </w14:solidFill>
          </w14:textFill>
        </w:rPr>
        <w:t>澄清如下：</w:t>
      </w:r>
    </w:p>
    <w:p w14:paraId="337AFCC9">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1.</w:t>
      </w:r>
    </w:p>
    <w:p w14:paraId="7FE703C6">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2.</w:t>
      </w:r>
    </w:p>
    <w:p w14:paraId="741B2A9B">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p>
    <w:p w14:paraId="66EFFCCE">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5CEB6AFD">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p>
    <w:p w14:paraId="7CE310F4">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p>
    <w:p w14:paraId="4DD37CF4">
      <w:pPr>
        <w:spacing w:line="440" w:lineRule="exact"/>
        <w:rPr>
          <w:rFonts w:ascii="宋体" w:hAnsi="宋体"/>
          <w:color w:val="000000" w:themeColor="text1"/>
          <w:szCs w:val="21"/>
          <w14:textFill>
            <w14:solidFill>
              <w14:schemeClr w14:val="tx1"/>
            </w14:solidFill>
          </w14:textFill>
        </w:rPr>
      </w:pPr>
    </w:p>
    <w:p w14:paraId="00EBAC56">
      <w:pPr>
        <w:spacing w:line="440" w:lineRule="exact"/>
        <w:rPr>
          <w:rFonts w:ascii="宋体" w:hAnsi="宋体"/>
          <w:color w:val="000000" w:themeColor="text1"/>
          <w:szCs w:val="21"/>
          <w14:textFill>
            <w14:solidFill>
              <w14:schemeClr w14:val="tx1"/>
            </w14:solidFill>
          </w14:textFill>
        </w:rPr>
      </w:pPr>
    </w:p>
    <w:p w14:paraId="1DB42B41">
      <w:pPr>
        <w:spacing w:line="440" w:lineRule="exact"/>
        <w:rPr>
          <w:rFonts w:ascii="宋体" w:hAnsi="宋体"/>
          <w:color w:val="000000" w:themeColor="text1"/>
          <w:szCs w:val="21"/>
          <w14:textFill>
            <w14:solidFill>
              <w14:schemeClr w14:val="tx1"/>
            </w14:solidFill>
          </w14:textFill>
        </w:rPr>
      </w:pPr>
    </w:p>
    <w:p w14:paraId="0D8336EA">
      <w:pPr>
        <w:spacing w:line="440" w:lineRule="exact"/>
        <w:rPr>
          <w:rFonts w:ascii="宋体" w:hAnsi="宋体"/>
          <w:color w:val="000000" w:themeColor="text1"/>
          <w:szCs w:val="21"/>
          <w14:textFill>
            <w14:solidFill>
              <w14:schemeClr w14:val="tx1"/>
            </w14:solidFill>
          </w14:textFill>
        </w:rPr>
      </w:pPr>
    </w:p>
    <w:p w14:paraId="61C4433B">
      <w:pPr>
        <w:spacing w:line="440" w:lineRule="exact"/>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投标人：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（盖单位章）</w:t>
      </w:r>
    </w:p>
    <w:p w14:paraId="7001A55A">
      <w:pPr>
        <w:spacing w:line="440" w:lineRule="exact"/>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4AABEC86">
      <w:pPr>
        <w:spacing w:line="440" w:lineRule="exact"/>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法定代表人或其</w:t>
      </w:r>
      <w:r>
        <w:rPr>
          <w:rFonts w:hint="eastAsia" w:ascii="宋体" w:hAnsi="宋体"/>
          <w:color w:val="000000" w:themeColor="text1"/>
          <w:szCs w:val="21"/>
          <w14:textFill>
            <w14:solidFill>
              <w14:schemeClr w14:val="tx1"/>
            </w14:solidFill>
          </w14:textFill>
        </w:rPr>
        <w:t>委托</w:t>
      </w:r>
      <w:r>
        <w:rPr>
          <w:rFonts w:ascii="宋体" w:hAnsi="宋体"/>
          <w:color w:val="000000" w:themeColor="text1"/>
          <w:szCs w:val="21"/>
          <w14:textFill>
            <w14:solidFill>
              <w14:schemeClr w14:val="tx1"/>
            </w14:solidFill>
          </w14:textFill>
        </w:rPr>
        <w:t>代理人：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（签字）</w:t>
      </w:r>
    </w:p>
    <w:p w14:paraId="0AF63E5F">
      <w:pPr>
        <w:spacing w:line="440" w:lineRule="exact"/>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2ED3A091">
      <w:pPr>
        <w:spacing w:line="440" w:lineRule="exact"/>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56E9258B">
      <w:pPr>
        <w:spacing w:line="400" w:lineRule="exact"/>
        <w:rPr>
          <w:rFonts w:hint="eastAsia" w:ascii="宋体" w:hAnsi="宋体"/>
          <w:color w:val="000000" w:themeColor="text1"/>
          <w14:textFill>
            <w14:solidFill>
              <w14:schemeClr w14:val="tx1"/>
            </w14:solidFill>
          </w14:textFill>
        </w:rPr>
      </w:pPr>
    </w:p>
    <w:p w14:paraId="4AFB8D4D">
      <w:pPr>
        <w:spacing w:line="400" w:lineRule="exact"/>
        <w:rPr>
          <w:rFonts w:hint="eastAsia" w:ascii="宋体" w:hAnsi="宋体"/>
          <w:color w:val="000000" w:themeColor="text1"/>
          <w14:textFill>
            <w14:solidFill>
              <w14:schemeClr w14:val="tx1"/>
            </w14:solidFill>
          </w14:textFill>
        </w:rPr>
      </w:pPr>
    </w:p>
    <w:p w14:paraId="0FE7F20E">
      <w:pPr>
        <w:spacing w:line="400" w:lineRule="exact"/>
        <w:rPr>
          <w:rFonts w:hint="eastAsia" w:ascii="宋体" w:hAnsi="宋体"/>
          <w:color w:val="000000" w:themeColor="text1"/>
          <w14:textFill>
            <w14:solidFill>
              <w14:schemeClr w14:val="tx1"/>
            </w14:solidFill>
          </w14:textFill>
        </w:rPr>
      </w:pPr>
    </w:p>
    <w:p w14:paraId="12EEA2FD">
      <w:pPr>
        <w:spacing w:line="400" w:lineRule="exact"/>
        <w:rPr>
          <w:rFonts w:hint="eastAsia" w:ascii="宋体" w:hAnsi="宋体"/>
          <w:color w:val="000000" w:themeColor="text1"/>
          <w14:textFill>
            <w14:solidFill>
              <w14:schemeClr w14:val="tx1"/>
            </w14:solidFill>
          </w14:textFill>
        </w:rPr>
      </w:pPr>
    </w:p>
    <w:p w14:paraId="0183A4A6">
      <w:pPr>
        <w:spacing w:line="400" w:lineRule="exact"/>
        <w:rPr>
          <w:rFonts w:hint="eastAsia" w:ascii="宋体" w:hAnsi="宋体"/>
          <w:color w:val="000000" w:themeColor="text1"/>
          <w14:textFill>
            <w14:solidFill>
              <w14:schemeClr w14:val="tx1"/>
            </w14:solidFill>
          </w14:textFill>
        </w:rPr>
      </w:pPr>
    </w:p>
    <w:p w14:paraId="44E09AAF">
      <w:pPr>
        <w:spacing w:line="400" w:lineRule="exact"/>
        <w:ind w:firstLine="420" w:firstLineChars="200"/>
        <w:rPr>
          <w:rFonts w:hint="eastAsia" w:ascii="宋体" w:hAnsi="宋体"/>
          <w:color w:val="000000" w:themeColor="text1"/>
          <w14:textFill>
            <w14:solidFill>
              <w14:schemeClr w14:val="tx1"/>
            </w14:solidFill>
          </w14:textFill>
        </w:rPr>
      </w:pPr>
    </w:p>
    <w:p w14:paraId="76812CBC">
      <w:pPr>
        <w:spacing w:line="400" w:lineRule="exact"/>
        <w:rPr>
          <w:rFonts w:hint="eastAsia" w:ascii="宋体" w:hAnsi="宋体"/>
          <w:color w:val="000000" w:themeColor="text1"/>
          <w14:textFill>
            <w14:solidFill>
              <w14:schemeClr w14:val="tx1"/>
            </w14:solidFill>
          </w14:textFill>
        </w:rPr>
      </w:pPr>
    </w:p>
    <w:p w14:paraId="0F815592">
      <w:pPr>
        <w:spacing w:line="400" w:lineRule="exact"/>
        <w:rPr>
          <w:rFonts w:hint="eastAsia" w:ascii="宋体" w:hAnsi="宋体"/>
          <w:color w:val="000000" w:themeColor="text1"/>
          <w14:textFill>
            <w14:solidFill>
              <w14:schemeClr w14:val="tx1"/>
            </w14:solidFill>
          </w14:textFill>
        </w:rPr>
      </w:pPr>
    </w:p>
    <w:p w14:paraId="0EA0B625">
      <w:pPr>
        <w:spacing w:line="400" w:lineRule="exact"/>
        <w:rPr>
          <w:rFonts w:hint="eastAsia" w:ascii="宋体" w:hAnsi="宋体"/>
          <w:color w:val="000000" w:themeColor="text1"/>
          <w14:textFill>
            <w14:solidFill>
              <w14:schemeClr w14:val="tx1"/>
            </w14:solidFill>
          </w14:textFill>
        </w:rPr>
      </w:pPr>
    </w:p>
    <w:p w14:paraId="1B7CA207">
      <w:pPr>
        <w:pStyle w:val="2"/>
        <w:numPr>
          <w:ilvl w:val="0"/>
          <w:numId w:val="2"/>
        </w:num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36"/>
          <w:szCs w:val="36"/>
          <w:highlight w:val="none"/>
          <w14:textFill>
            <w14:solidFill>
              <w14:schemeClr w14:val="tx1"/>
            </w14:solidFill>
          </w14:textFill>
        </w:rPr>
        <w:t>合同条款及格式</w:t>
      </w:r>
      <w:bookmarkEnd w:id="288"/>
      <w:bookmarkEnd w:id="289"/>
      <w:bookmarkEnd w:id="290"/>
      <w:bookmarkStart w:id="293" w:name="_Toc110397923"/>
      <w:bookmarkStart w:id="294" w:name="_Toc200817301"/>
      <w:bookmarkStart w:id="295" w:name="_Toc200169519"/>
      <w:bookmarkStart w:id="296" w:name="_Toc193185306"/>
      <w:bookmarkStart w:id="297" w:name="_Toc212892550"/>
      <w:bookmarkStart w:id="298" w:name="_Toc114018789"/>
      <w:bookmarkStart w:id="299" w:name="_Toc114018882"/>
      <w:bookmarkStart w:id="300" w:name="_Toc98813323"/>
      <w:bookmarkStart w:id="301" w:name="_Toc199322152"/>
    </w:p>
    <w:p w14:paraId="5DDA5C86">
      <w:pPr>
        <w:pStyle w:val="2"/>
        <w:numPr>
          <w:ilvl w:val="0"/>
          <w:numId w:val="0"/>
        </w:numPr>
        <w:spacing w:line="240" w:lineRule="auto"/>
        <w:ind w:firstLine="1687" w:firstLineChars="70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本合同格式仅为</w:t>
      </w:r>
      <w:r>
        <w:rPr>
          <w:rFonts w:hint="eastAsia" w:ascii="宋体" w:hAnsi="宋体"/>
          <w:b/>
          <w:color w:val="000000" w:themeColor="text1"/>
          <w:sz w:val="24"/>
          <w:szCs w:val="24"/>
          <w:highlight w:val="none"/>
          <w:lang w:val="en-US" w:eastAsia="zh-CN"/>
          <w14:textFill>
            <w14:solidFill>
              <w14:schemeClr w14:val="tx1"/>
            </w14:solidFill>
          </w14:textFill>
        </w:rPr>
        <w:t>参考</w:t>
      </w:r>
      <w:r>
        <w:rPr>
          <w:rFonts w:hint="eastAsia" w:ascii="宋体" w:hAnsi="宋体"/>
          <w:b/>
          <w:color w:val="000000" w:themeColor="text1"/>
          <w:sz w:val="24"/>
          <w:szCs w:val="24"/>
          <w:highlight w:val="none"/>
          <w14:textFill>
            <w14:solidFill>
              <w14:schemeClr w14:val="tx1"/>
            </w14:solidFill>
          </w14:textFill>
        </w:rPr>
        <w:t>合同范本，最终以实际签订为准</w:t>
      </w:r>
      <w:r>
        <w:rPr>
          <w:rFonts w:hint="eastAsia" w:ascii="宋体" w:hAnsi="宋体"/>
          <w:b/>
          <w:color w:val="000000" w:themeColor="text1"/>
          <w:sz w:val="24"/>
          <w:szCs w:val="24"/>
          <w:highlight w:val="none"/>
          <w:lang w:val="en-US" w:eastAsia="zh-CN"/>
          <w14:textFill>
            <w14:solidFill>
              <w14:schemeClr w14:val="tx1"/>
            </w14:solidFill>
          </w14:textFill>
        </w:rPr>
        <w:t>)</w:t>
      </w:r>
    </w:p>
    <w:p w14:paraId="7CD29237">
      <w:pPr>
        <w:autoSpaceDE w:val="0"/>
        <w:autoSpaceDN w:val="0"/>
        <w:adjustRightInd w:val="0"/>
        <w:jc w:val="center"/>
        <w:outlineLvl w:val="1"/>
        <w:rPr>
          <w:rFonts w:hint="eastAsia" w:asciiTheme="minorEastAsia" w:hAnsiTheme="minorEastAsia" w:eastAsiaTheme="minorEastAsia" w:cstheme="minorEastAsia"/>
          <w:b/>
          <w:color w:val="auto"/>
          <w:kern w:val="0"/>
          <w:sz w:val="28"/>
        </w:rPr>
      </w:pPr>
      <w:bookmarkStart w:id="302" w:name="_Toc14090779"/>
      <w:bookmarkStart w:id="303" w:name="_Toc265954879"/>
      <w:bookmarkStart w:id="304" w:name="_Toc265653824"/>
      <w:bookmarkStart w:id="305" w:name="_Toc18641"/>
      <w:bookmarkStart w:id="306" w:name="_Toc265954580"/>
      <w:bookmarkStart w:id="307" w:name="_Toc372193365"/>
      <w:r>
        <w:rPr>
          <w:rFonts w:hint="eastAsia" w:asciiTheme="minorEastAsia" w:hAnsiTheme="minorEastAsia" w:eastAsiaTheme="minorEastAsia" w:cstheme="minorEastAsia"/>
          <w:b/>
          <w:color w:val="auto"/>
          <w:kern w:val="0"/>
          <w:sz w:val="28"/>
        </w:rPr>
        <w:t>第一节  合 同 协 议 书</w:t>
      </w:r>
      <w:bookmarkEnd w:id="302"/>
    </w:p>
    <w:p w14:paraId="1BA546C8">
      <w:pPr>
        <w:pStyle w:val="7"/>
        <w:spacing w:before="223" w:line="240" w:lineRule="auto"/>
        <w:ind w:left="1"/>
        <w:rPr>
          <w:rFonts w:hint="eastAsia" w:asciiTheme="minorEastAsia" w:hAnsiTheme="minorEastAsia" w:eastAsiaTheme="minorEastAsia" w:cstheme="minorEastAsia"/>
          <w:b w:val="0"/>
          <w:bCs w:val="0"/>
          <w:color w:val="auto"/>
          <w:spacing w:val="6"/>
          <w:sz w:val="21"/>
          <w:szCs w:val="21"/>
          <w:highlight w:val="none"/>
          <w:u w:val="single"/>
          <w:lang w:val="en-US" w:eastAsia="zh-CN"/>
        </w:rPr>
      </w:pPr>
      <w:r>
        <w:rPr>
          <w:rFonts w:hint="eastAsia" w:asciiTheme="minorEastAsia" w:hAnsiTheme="minorEastAsia" w:eastAsiaTheme="minorEastAsia" w:cstheme="minorEastAsia"/>
          <w:b w:val="0"/>
          <w:bCs w:val="0"/>
          <w:color w:val="auto"/>
          <w:spacing w:val="6"/>
          <w:sz w:val="21"/>
          <w:szCs w:val="21"/>
          <w:highlight w:val="none"/>
        </w:rPr>
        <w:t>发包人：</w:t>
      </w:r>
      <w:r>
        <w:rPr>
          <w:rFonts w:hint="eastAsia" w:asciiTheme="minorEastAsia" w:hAnsiTheme="minorEastAsia" w:eastAsiaTheme="minorEastAsia" w:cstheme="minorEastAsia"/>
          <w:b w:val="0"/>
          <w:bCs w:val="0"/>
          <w:color w:val="auto"/>
          <w:spacing w:val="6"/>
          <w:sz w:val="21"/>
          <w:szCs w:val="21"/>
          <w:highlight w:val="none"/>
          <w:u w:val="single"/>
          <w:lang w:eastAsia="zh-CN"/>
        </w:rPr>
        <w:t>会泽县迤车镇人民政府</w:t>
      </w:r>
      <w:r>
        <w:rPr>
          <w:rFonts w:hint="eastAsia" w:asciiTheme="minorEastAsia" w:hAnsiTheme="minorEastAsia" w:eastAsiaTheme="minorEastAsia" w:cstheme="minorEastAsia"/>
          <w:b w:val="0"/>
          <w:bCs w:val="0"/>
          <w:color w:val="auto"/>
          <w:spacing w:val="6"/>
          <w:sz w:val="21"/>
          <w:szCs w:val="21"/>
          <w:highlight w:val="none"/>
          <w:u w:val="single"/>
        </w:rPr>
        <w:br w:type="textWrapping"/>
      </w:r>
      <w:r>
        <w:rPr>
          <w:rFonts w:hint="eastAsia" w:asciiTheme="minorEastAsia" w:hAnsiTheme="minorEastAsia" w:eastAsiaTheme="minorEastAsia" w:cstheme="minorEastAsia"/>
          <w:b w:val="0"/>
          <w:bCs w:val="0"/>
          <w:color w:val="auto"/>
          <w:spacing w:val="6"/>
          <w:sz w:val="21"/>
          <w:szCs w:val="21"/>
          <w:highlight w:val="none"/>
        </w:rPr>
        <w:t>承包人：</w:t>
      </w:r>
      <w:r>
        <w:rPr>
          <w:rFonts w:hint="eastAsia" w:asciiTheme="minorEastAsia" w:hAnsiTheme="minorEastAsia" w:eastAsiaTheme="minorEastAsia" w:cstheme="minorEastAsia"/>
          <w:b w:val="0"/>
          <w:bCs w:val="0"/>
          <w:color w:val="auto"/>
          <w:spacing w:val="6"/>
          <w:sz w:val="21"/>
          <w:szCs w:val="21"/>
          <w:highlight w:val="none"/>
          <w:u w:val="single"/>
          <w:lang w:val="en-US" w:eastAsia="zh-CN"/>
        </w:rPr>
        <w:t xml:space="preserve">                           </w:t>
      </w:r>
    </w:p>
    <w:p w14:paraId="2AEDE6CF">
      <w:pPr>
        <w:pStyle w:val="7"/>
        <w:spacing w:before="223" w:line="240" w:lineRule="auto"/>
        <w:ind w:firstLine="222" w:firstLineChars="10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 xml:space="preserve">依照《中华人民共和国民法典》《中华人民共和国建筑法》《中华人民共和国招标投标法》及相关法律、行政法规，遵循平等、自愿、公平和诚信原则，合同双方就 </w:t>
      </w:r>
      <w:r>
        <w:rPr>
          <w:rFonts w:hint="eastAsia" w:asciiTheme="minorEastAsia" w:hAnsiTheme="minorEastAsia" w:eastAsiaTheme="minorEastAsia" w:cstheme="minorEastAsia"/>
          <w:b w:val="0"/>
          <w:bCs w:val="0"/>
          <w:color w:val="auto"/>
          <w:spacing w:val="6"/>
          <w:sz w:val="21"/>
          <w:szCs w:val="21"/>
          <w:highlight w:val="none"/>
          <w:lang w:eastAsia="zh-CN"/>
        </w:rPr>
        <w:t>迤车镇石桥、店子、坪子片区牛栏江低热河谷农业产业基地基础配套设施建设项目</w:t>
      </w:r>
      <w:r>
        <w:rPr>
          <w:rFonts w:hint="eastAsia" w:asciiTheme="minorEastAsia" w:hAnsiTheme="minorEastAsia" w:eastAsiaTheme="minorEastAsia" w:cstheme="minorEastAsia"/>
          <w:b w:val="0"/>
          <w:bCs w:val="0"/>
          <w:color w:val="auto"/>
          <w:spacing w:val="6"/>
          <w:sz w:val="21"/>
          <w:szCs w:val="21"/>
          <w:highlight w:val="none"/>
        </w:rPr>
        <w:t xml:space="preserve"> 施工事宜经协商一致，订立本合同。</w:t>
      </w:r>
    </w:p>
    <w:p w14:paraId="5BDA9B4B">
      <w:pPr>
        <w:pStyle w:val="7"/>
        <w:spacing w:before="223" w:line="240" w:lineRule="auto"/>
        <w:ind w:left="1"/>
        <w:rPr>
          <w:rFonts w:hint="eastAsia" w:asciiTheme="minorEastAsia" w:hAnsiTheme="minorEastAsia" w:eastAsiaTheme="minorEastAsia" w:cstheme="minorEastAsia"/>
          <w:b w:val="0"/>
          <w:bCs w:val="0"/>
          <w:color w:val="auto"/>
          <w:spacing w:val="6"/>
          <w:sz w:val="21"/>
          <w:szCs w:val="21"/>
          <w:highlight w:val="none"/>
          <w:u w:val="none"/>
          <w:lang w:val="en-US" w:eastAsia="zh-CN"/>
        </w:rPr>
      </w:pPr>
      <w:r>
        <w:rPr>
          <w:rFonts w:hint="eastAsia" w:asciiTheme="minorEastAsia" w:hAnsiTheme="minorEastAsia" w:eastAsiaTheme="minorEastAsia" w:cstheme="minorEastAsia"/>
          <w:b w:val="0"/>
          <w:bCs w:val="0"/>
          <w:color w:val="auto"/>
          <w:spacing w:val="6"/>
          <w:sz w:val="21"/>
          <w:szCs w:val="21"/>
          <w:highlight w:val="none"/>
          <w:lang w:val="en-US" w:eastAsia="zh-CN"/>
        </w:rPr>
        <w:t>一、</w:t>
      </w:r>
      <w:r>
        <w:rPr>
          <w:rFonts w:hint="eastAsia" w:asciiTheme="minorEastAsia" w:hAnsiTheme="minorEastAsia" w:eastAsiaTheme="minorEastAsia" w:cstheme="minorEastAsia"/>
          <w:b w:val="0"/>
          <w:bCs w:val="0"/>
          <w:color w:val="auto"/>
          <w:spacing w:val="6"/>
          <w:sz w:val="21"/>
          <w:szCs w:val="21"/>
          <w:highlight w:val="none"/>
        </w:rPr>
        <w:t>工程概况</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工程名称：</w:t>
      </w:r>
      <w:r>
        <w:rPr>
          <w:rFonts w:hint="eastAsia" w:asciiTheme="minorEastAsia" w:hAnsiTheme="minorEastAsia" w:eastAsiaTheme="minorEastAsia" w:cstheme="minorEastAsia"/>
          <w:b w:val="0"/>
          <w:bCs w:val="0"/>
          <w:color w:val="auto"/>
          <w:spacing w:val="6"/>
          <w:sz w:val="21"/>
          <w:szCs w:val="21"/>
          <w:highlight w:val="none"/>
          <w:u w:val="none"/>
          <w:lang w:eastAsia="zh-CN"/>
        </w:rPr>
        <w:t>迤车镇石桥、店子、坪子片区牛栏江低热河谷农业产业基地基础配套设施建设项目</w:t>
      </w:r>
      <w:r>
        <w:rPr>
          <w:rFonts w:hint="eastAsia" w:asciiTheme="minorEastAsia" w:hAnsiTheme="minorEastAsia" w:eastAsiaTheme="minorEastAsia" w:cstheme="minorEastAsia"/>
          <w:b w:val="0"/>
          <w:bCs w:val="0"/>
          <w:color w:val="auto"/>
          <w:spacing w:val="6"/>
          <w:sz w:val="21"/>
          <w:szCs w:val="21"/>
          <w:highlight w:val="none"/>
          <w:u w:val="none"/>
        </w:rPr>
        <w:br w:type="textWrapping"/>
      </w:r>
      <w:r>
        <w:rPr>
          <w:rFonts w:hint="eastAsia" w:asciiTheme="minorEastAsia" w:hAnsiTheme="minorEastAsia" w:eastAsiaTheme="minorEastAsia" w:cstheme="minorEastAsia"/>
          <w:b w:val="0"/>
          <w:bCs w:val="0"/>
          <w:color w:val="auto"/>
          <w:spacing w:val="6"/>
          <w:sz w:val="21"/>
          <w:szCs w:val="21"/>
          <w:highlight w:val="none"/>
        </w:rPr>
        <w:t>工程建设批准单位、文号：</w:t>
      </w:r>
      <w:r>
        <w:rPr>
          <w:rFonts w:hint="eastAsia" w:asciiTheme="minorEastAsia" w:hAnsiTheme="minorEastAsia" w:eastAsiaTheme="minorEastAsia" w:cstheme="minorEastAsia"/>
          <w:b w:val="0"/>
          <w:bCs w:val="0"/>
          <w:color w:val="auto"/>
          <w:spacing w:val="6"/>
          <w:sz w:val="21"/>
          <w:szCs w:val="21"/>
          <w:highlight w:val="none"/>
          <w:u w:val="none"/>
          <w:lang w:val="en-US" w:eastAsia="zh-CN"/>
        </w:rPr>
        <w:t>会政复〔2026〕170 号</w:t>
      </w:r>
    </w:p>
    <w:p w14:paraId="3D0C60A9">
      <w:pPr>
        <w:pStyle w:val="7"/>
        <w:spacing w:line="240" w:lineRule="auto"/>
        <w:ind w:left="0"/>
        <w:rPr>
          <w:rFonts w:hint="default" w:asciiTheme="minorEastAsia" w:hAnsiTheme="minorEastAsia" w:eastAsiaTheme="minorEastAsia" w:cstheme="minorEastAsia"/>
          <w:b w:val="0"/>
          <w:bCs w:val="0"/>
          <w:color w:val="auto"/>
          <w:spacing w:val="6"/>
          <w:sz w:val="21"/>
          <w:szCs w:val="21"/>
          <w:highlight w:val="none"/>
          <w:lang w:val="en-US"/>
        </w:rPr>
      </w:pPr>
      <w:r>
        <w:rPr>
          <w:rFonts w:hint="eastAsia" w:asciiTheme="minorEastAsia" w:hAnsiTheme="minorEastAsia" w:eastAsiaTheme="minorEastAsia" w:cstheme="minorEastAsia"/>
          <w:b w:val="0"/>
          <w:bCs w:val="0"/>
          <w:color w:val="auto"/>
          <w:spacing w:val="6"/>
          <w:sz w:val="21"/>
          <w:szCs w:val="21"/>
          <w:highlight w:val="none"/>
        </w:rPr>
        <w:t>项目概况：</w:t>
      </w:r>
      <w:r>
        <w:rPr>
          <w:rFonts w:hint="eastAsia" w:asciiTheme="minorEastAsia" w:hAnsiTheme="minorEastAsia" w:eastAsiaTheme="minorEastAsia" w:cstheme="minorEastAsia"/>
          <w:b w:val="0"/>
          <w:bCs w:val="0"/>
          <w:color w:val="auto"/>
          <w:spacing w:val="6"/>
          <w:sz w:val="21"/>
          <w:szCs w:val="21"/>
          <w:highlight w:val="none"/>
          <w:lang w:val="en-US" w:eastAsia="zh-CN"/>
        </w:rPr>
        <w:t>详见工程量清单</w:t>
      </w:r>
    </w:p>
    <w:p w14:paraId="434757A2">
      <w:pPr>
        <w:pStyle w:val="7"/>
        <w:spacing w:line="240" w:lineRule="auto"/>
        <w:ind w:left="0"/>
        <w:rPr>
          <w:rFonts w:hint="eastAsia" w:asciiTheme="minorEastAsia" w:hAnsiTheme="minorEastAsia" w:eastAsiaTheme="minorEastAsia" w:cstheme="minorEastAsia"/>
          <w:b w:val="0"/>
          <w:bCs w:val="0"/>
          <w:color w:val="auto"/>
          <w:spacing w:val="6"/>
          <w:sz w:val="21"/>
          <w:szCs w:val="21"/>
          <w:highlight w:val="none"/>
          <w:u w:val="none"/>
          <w:lang w:val="en-US" w:eastAsia="zh-CN"/>
        </w:rPr>
      </w:pPr>
      <w:r>
        <w:rPr>
          <w:rFonts w:hint="eastAsia" w:asciiTheme="minorEastAsia" w:hAnsiTheme="minorEastAsia" w:eastAsiaTheme="minorEastAsia" w:cstheme="minorEastAsia"/>
          <w:b w:val="0"/>
          <w:bCs w:val="0"/>
          <w:color w:val="auto"/>
          <w:spacing w:val="6"/>
          <w:sz w:val="21"/>
          <w:szCs w:val="21"/>
          <w:highlight w:val="none"/>
        </w:rPr>
        <w:t>建设地点：</w:t>
      </w:r>
      <w:r>
        <w:rPr>
          <w:rFonts w:hint="eastAsia" w:asciiTheme="minorEastAsia" w:hAnsiTheme="minorEastAsia" w:eastAsiaTheme="minorEastAsia" w:cstheme="minorEastAsia"/>
          <w:b w:val="0"/>
          <w:bCs w:val="0"/>
          <w:color w:val="auto"/>
          <w:spacing w:val="6"/>
          <w:sz w:val="21"/>
          <w:szCs w:val="21"/>
          <w:highlight w:val="none"/>
          <w:u w:val="none"/>
          <w:lang w:eastAsia="zh-CN"/>
        </w:rPr>
        <w:t>会泽县迤车镇石桥、店子、坪子村</w:t>
      </w:r>
    </w:p>
    <w:p w14:paraId="7A5F5419">
      <w:pPr>
        <w:pStyle w:val="7"/>
        <w:spacing w:line="240" w:lineRule="auto"/>
        <w:ind w:left="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lang w:val="en-US" w:eastAsia="zh-CN"/>
        </w:rPr>
        <w:t>二、</w:t>
      </w:r>
      <w:r>
        <w:rPr>
          <w:rFonts w:hint="eastAsia" w:asciiTheme="minorEastAsia" w:hAnsiTheme="minorEastAsia" w:eastAsiaTheme="minorEastAsia" w:cstheme="minorEastAsia"/>
          <w:b w:val="0"/>
          <w:bCs w:val="0"/>
          <w:color w:val="auto"/>
          <w:spacing w:val="6"/>
          <w:sz w:val="21"/>
          <w:szCs w:val="21"/>
          <w:highlight w:val="none"/>
        </w:rPr>
        <w:t>工程承包范围</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包括但不限于以下内容：</w:t>
      </w:r>
    </w:p>
    <w:p w14:paraId="6AC56809">
      <w:pPr>
        <w:pStyle w:val="7"/>
        <w:spacing w:line="240" w:lineRule="auto"/>
        <w:ind w:left="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工程量清单、图纸范围内全部工程、安装工程、管网工程、附属工程；施工所需人工、材料、机械、运输、安全文明施工、环保、检测、验收、移交、保修等全部内容； 完成竣工验收、移交、竣工资料归档及缺陷修复。</w:t>
      </w:r>
    </w:p>
    <w:p w14:paraId="4F70F124">
      <w:pPr>
        <w:pStyle w:val="7"/>
        <w:spacing w:line="240" w:lineRule="auto"/>
        <w:ind w:left="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注：发包人在项目实施过程中可根据项目具体情况保留对以上招标范围调整的权利，中标人需配合发包人工作。</w:t>
      </w:r>
    </w:p>
    <w:p w14:paraId="12FACED9">
      <w:pPr>
        <w:pStyle w:val="7"/>
        <w:numPr>
          <w:ilvl w:val="0"/>
          <w:numId w:val="3"/>
        </w:numPr>
        <w:spacing w:line="240" w:lineRule="auto"/>
        <w:ind w:left="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工期</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计划工期：</w:t>
      </w:r>
      <w:r>
        <w:rPr>
          <w:rFonts w:hint="eastAsia" w:asciiTheme="minorEastAsia" w:hAnsiTheme="minorEastAsia" w:eastAsiaTheme="minorEastAsia" w:cstheme="minorEastAsia"/>
          <w:b w:val="0"/>
          <w:bCs w:val="0"/>
          <w:color w:val="auto"/>
          <w:spacing w:val="6"/>
          <w:sz w:val="21"/>
          <w:szCs w:val="21"/>
          <w:highlight w:val="none"/>
          <w:lang w:val="en-US" w:eastAsia="zh-CN"/>
        </w:rPr>
        <w:t>180日历天</w:t>
      </w:r>
    </w:p>
    <w:p w14:paraId="2E990B7C">
      <w:pPr>
        <w:pStyle w:val="7"/>
        <w:numPr>
          <w:ilvl w:val="0"/>
          <w:numId w:val="0"/>
        </w:numPr>
        <w:spacing w:line="240" w:lineRule="auto"/>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施工计划开工日期：</w:t>
      </w:r>
      <w:r>
        <w:rPr>
          <w:rFonts w:hint="eastAsia" w:asciiTheme="minorEastAsia" w:hAnsiTheme="minorEastAsia" w:eastAsiaTheme="minorEastAsia" w:cstheme="minorEastAsia"/>
          <w:b w:val="0"/>
          <w:bCs w:val="0"/>
          <w:color w:val="auto"/>
          <w:spacing w:val="6"/>
          <w:sz w:val="21"/>
          <w:szCs w:val="21"/>
          <w:highlight w:val="none"/>
          <w:u w:val="single"/>
          <w:lang w:val="en-US" w:eastAsia="zh-CN"/>
        </w:rPr>
        <w:t xml:space="preserve">                     </w:t>
      </w:r>
      <w:r>
        <w:rPr>
          <w:rFonts w:hint="eastAsia" w:asciiTheme="minorEastAsia" w:hAnsiTheme="minorEastAsia" w:eastAsiaTheme="minorEastAsia" w:cstheme="minorEastAsia"/>
          <w:b w:val="0"/>
          <w:bCs w:val="0"/>
          <w:color w:val="auto"/>
          <w:spacing w:val="6"/>
          <w:sz w:val="21"/>
          <w:szCs w:val="21"/>
          <w:highlight w:val="none"/>
        </w:rPr>
        <w:t xml:space="preserve">                                                  </w:t>
      </w:r>
    </w:p>
    <w:p w14:paraId="23860E7D">
      <w:pPr>
        <w:pStyle w:val="7"/>
        <w:spacing w:line="240" w:lineRule="auto"/>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工程计划竣工日期：</w:t>
      </w:r>
      <w:r>
        <w:rPr>
          <w:rFonts w:hint="eastAsia" w:asciiTheme="minorEastAsia" w:hAnsiTheme="minorEastAsia" w:eastAsiaTheme="minorEastAsia" w:cstheme="minorEastAsia"/>
          <w:b w:val="0"/>
          <w:bCs w:val="0"/>
          <w:color w:val="auto"/>
          <w:spacing w:val="6"/>
          <w:sz w:val="21"/>
          <w:szCs w:val="21"/>
          <w:highlight w:val="none"/>
          <w:u w:val="single"/>
          <w:lang w:val="en-US" w:eastAsia="zh-CN"/>
        </w:rPr>
        <w:t xml:space="preserve">                             </w:t>
      </w:r>
      <w:r>
        <w:rPr>
          <w:rFonts w:hint="eastAsia" w:asciiTheme="minorEastAsia" w:hAnsiTheme="minorEastAsia" w:eastAsiaTheme="minorEastAsia" w:cstheme="minorEastAsia"/>
          <w:b w:val="0"/>
          <w:bCs w:val="0"/>
          <w:color w:val="auto"/>
          <w:spacing w:val="6"/>
          <w:sz w:val="21"/>
          <w:szCs w:val="21"/>
          <w:highlight w:val="none"/>
        </w:rPr>
        <w:t xml:space="preserve">                                                    </w:t>
      </w:r>
    </w:p>
    <w:p w14:paraId="406BF86A">
      <w:pPr>
        <w:keepNext w:val="0"/>
        <w:keepLines w:val="0"/>
        <w:pageBreakBefore w:val="0"/>
        <w:numPr>
          <w:ilvl w:val="0"/>
          <w:numId w:val="0"/>
        </w:numPr>
        <w:kinsoku/>
        <w:wordWrap/>
        <w:overflowPunct/>
        <w:topLinePunct w:val="0"/>
        <w:autoSpaceDE/>
        <w:autoSpaceDN/>
        <w:bidi w:val="0"/>
        <w:adjustRightInd w:val="0"/>
        <w:snapToGrid w:val="0"/>
        <w:spacing w:line="240" w:lineRule="auto"/>
        <w:ind w:left="0"/>
        <w:textAlignment w:val="auto"/>
        <w:outlineLvl w:val="1"/>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四、工程质量标准</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质量标准：</w:t>
      </w:r>
      <w:r>
        <w:rPr>
          <w:rFonts w:hint="eastAsia" w:asciiTheme="minorEastAsia" w:hAnsiTheme="minorEastAsia" w:eastAsiaTheme="minorEastAsia" w:cstheme="minorEastAsia"/>
          <w:color w:val="000000" w:themeColor="text1"/>
          <w:sz w:val="21"/>
          <w:szCs w:val="21"/>
          <w14:textFill>
            <w14:solidFill>
              <w14:schemeClr w14:val="tx1"/>
            </w14:solidFill>
          </w14:textFill>
        </w:rPr>
        <w:t>按国家、行业及地方相关施工标准及规范要求，一次性验收合格</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08CC1FCB">
      <w:pPr>
        <w:pStyle w:val="7"/>
        <w:spacing w:line="240" w:lineRule="auto"/>
        <w:ind w:left="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五、合同金额</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签约合同价（含税）为：人民币（大写）__________（¥__________元）。</w:t>
      </w:r>
    </w:p>
    <w:p w14:paraId="49118AF6">
      <w:pPr>
        <w:pStyle w:val="7"/>
        <w:spacing w:line="360" w:lineRule="auto"/>
        <w:ind w:left="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六、组成合同的文件</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1．本合同协议书</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2．中标通知书</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3．本合同专用条款</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4．本合同通用条款</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5．投标文件</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6．招标文件</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7．标准、规范及有关技术文件</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8．图纸</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9．已标价工程量清单</w:t>
      </w:r>
    </w:p>
    <w:p w14:paraId="4460BAD8">
      <w:pPr>
        <w:pStyle w:val="7"/>
        <w:spacing w:line="360" w:lineRule="auto"/>
        <w:ind w:left="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七、定义与解释</w:t>
      </w:r>
      <w:r>
        <w:rPr>
          <w:rFonts w:hint="eastAsia" w:asciiTheme="minorEastAsia" w:hAnsiTheme="minorEastAsia" w:eastAsiaTheme="minorEastAsia" w:cstheme="minorEastAsia"/>
          <w:b w:val="0"/>
          <w:bCs w:val="0"/>
          <w:color w:val="auto"/>
          <w:spacing w:val="6"/>
          <w:sz w:val="21"/>
          <w:szCs w:val="21"/>
          <w:highlight w:val="none"/>
        </w:rPr>
        <w:br w:type="textWrapping"/>
      </w:r>
      <w:r>
        <w:rPr>
          <w:rFonts w:hint="eastAsia" w:asciiTheme="minorEastAsia" w:hAnsiTheme="minorEastAsia" w:eastAsiaTheme="minorEastAsia" w:cstheme="minorEastAsia"/>
          <w:b w:val="0"/>
          <w:bCs w:val="0"/>
          <w:color w:val="auto"/>
          <w:spacing w:val="6"/>
          <w:sz w:val="21"/>
          <w:szCs w:val="21"/>
          <w:highlight w:val="none"/>
        </w:rPr>
        <w:t>本协议书中有关词语含义与本合同第二部分《通用条款》中分别赋予它们的定义相同。</w:t>
      </w:r>
    </w:p>
    <w:p w14:paraId="408B39B0">
      <w:pPr>
        <w:pStyle w:val="7"/>
        <w:spacing w:line="360" w:lineRule="auto"/>
        <w:ind w:left="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八、承包人向发包人承诺按照合同约定进行施工、竣工并在质量保修期内承担工程质量保修责任。</w:t>
      </w:r>
    </w:p>
    <w:p w14:paraId="18EF9413">
      <w:pPr>
        <w:pStyle w:val="7"/>
        <w:spacing w:line="360" w:lineRule="auto"/>
        <w:ind w:left="0"/>
        <w:rPr>
          <w:rFonts w:hint="eastAsia" w:asciiTheme="minorEastAsia" w:hAnsiTheme="minorEastAsia" w:eastAsiaTheme="minorEastAsia" w:cstheme="minorEastAsia"/>
          <w:b w:val="0"/>
          <w:bCs w:val="0"/>
          <w:color w:val="auto"/>
          <w:spacing w:val="6"/>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九、发包人向承包人承诺按照合同约定的期限和方式支付合同价款及其他应当支付的款项。</w:t>
      </w:r>
    </w:p>
    <w:p w14:paraId="2E1EEAEB">
      <w:pPr>
        <w:pStyle w:val="7"/>
        <w:spacing w:line="360" w:lineRule="auto"/>
        <w:ind w:left="0"/>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pacing w:val="6"/>
          <w:sz w:val="21"/>
          <w:szCs w:val="21"/>
          <w:highlight w:val="none"/>
        </w:rPr>
        <w:t>十、补充协议</w:t>
      </w:r>
    </w:p>
    <w:p w14:paraId="28AEF184">
      <w:pPr>
        <w:pStyle w:val="7"/>
        <w:spacing w:line="360" w:lineRule="auto"/>
        <w:ind w:left="0"/>
        <w:rPr>
          <w:rFonts w:hint="eastAsia" w:asciiTheme="minorEastAsia" w:hAnsiTheme="minorEastAsia" w:eastAsiaTheme="minorEastAsia" w:cstheme="minorEastAsia"/>
          <w:b w:val="0"/>
          <w:bCs w:val="0"/>
          <w:color w:val="auto"/>
          <w:spacing w:val="9"/>
          <w:sz w:val="21"/>
          <w:szCs w:val="21"/>
          <w:highlight w:val="none"/>
        </w:rPr>
      </w:pPr>
      <w:r>
        <w:rPr>
          <w:rFonts w:hint="eastAsia" w:asciiTheme="minorEastAsia" w:hAnsiTheme="minorEastAsia" w:eastAsiaTheme="minorEastAsia" w:cstheme="minorEastAsia"/>
          <w:b w:val="0"/>
          <w:bCs w:val="0"/>
          <w:color w:val="auto"/>
          <w:spacing w:val="9"/>
          <w:sz w:val="21"/>
          <w:szCs w:val="21"/>
          <w:highlight w:val="none"/>
        </w:rPr>
        <w:t>合同未尽事宜，合同当事人另行签订补充协议，补充协议是合同的组成部分。</w:t>
      </w:r>
    </w:p>
    <w:p w14:paraId="5B351989">
      <w:pPr>
        <w:pStyle w:val="7"/>
        <w:spacing w:line="360" w:lineRule="auto"/>
        <w:ind w:left="0"/>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pacing w:val="7"/>
          <w:sz w:val="21"/>
          <w:szCs w:val="21"/>
          <w:highlight w:val="none"/>
        </w:rPr>
        <w:t>十一、合同份数</w:t>
      </w:r>
    </w:p>
    <w:p w14:paraId="5BBAD6FF">
      <w:pPr>
        <w:pStyle w:val="7"/>
        <w:spacing w:line="360" w:lineRule="auto"/>
        <w:ind w:left="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pacing w:val="8"/>
          <w:sz w:val="21"/>
          <w:szCs w:val="21"/>
          <w:highlight w:val="none"/>
        </w:rPr>
        <w:t>本合同一式</w:t>
      </w:r>
      <w:r>
        <w:rPr>
          <w:rFonts w:hint="eastAsia" w:asciiTheme="minorEastAsia" w:hAnsiTheme="minorEastAsia" w:eastAsiaTheme="minorEastAsia" w:cstheme="minorEastAsia"/>
          <w:b w:val="0"/>
          <w:bCs w:val="0"/>
          <w:color w:val="auto"/>
          <w:spacing w:val="8"/>
          <w:sz w:val="21"/>
          <w:szCs w:val="21"/>
          <w:highlight w:val="none"/>
          <w:u w:val="single" w:color="auto"/>
        </w:rPr>
        <w:t xml:space="preserve">    </w:t>
      </w:r>
      <w:r>
        <w:rPr>
          <w:rFonts w:hint="eastAsia" w:asciiTheme="minorEastAsia" w:hAnsiTheme="minorEastAsia" w:eastAsiaTheme="minorEastAsia" w:cstheme="minorEastAsia"/>
          <w:b w:val="0"/>
          <w:bCs w:val="0"/>
          <w:color w:val="auto"/>
          <w:spacing w:val="-92"/>
          <w:sz w:val="21"/>
          <w:szCs w:val="21"/>
          <w:highlight w:val="none"/>
        </w:rPr>
        <w:t xml:space="preserve"> </w:t>
      </w:r>
      <w:r>
        <w:rPr>
          <w:rFonts w:hint="eastAsia" w:asciiTheme="minorEastAsia" w:hAnsiTheme="minorEastAsia" w:eastAsiaTheme="minorEastAsia" w:cstheme="minorEastAsia"/>
          <w:b w:val="0"/>
          <w:bCs w:val="0"/>
          <w:color w:val="auto"/>
          <w:spacing w:val="8"/>
          <w:sz w:val="21"/>
          <w:szCs w:val="21"/>
          <w:highlight w:val="none"/>
        </w:rPr>
        <w:t>份，均具有同等法律效力，发包人执</w:t>
      </w:r>
      <w:r>
        <w:rPr>
          <w:rFonts w:hint="eastAsia" w:asciiTheme="minorEastAsia" w:hAnsiTheme="minorEastAsia" w:eastAsiaTheme="minorEastAsia" w:cstheme="minorEastAsia"/>
          <w:b w:val="0"/>
          <w:bCs w:val="0"/>
          <w:color w:val="auto"/>
          <w:spacing w:val="-98"/>
          <w:sz w:val="21"/>
          <w:szCs w:val="21"/>
          <w:highlight w:val="none"/>
        </w:rPr>
        <w:t xml:space="preserve"> </w:t>
      </w:r>
      <w:r>
        <w:rPr>
          <w:rFonts w:hint="eastAsia" w:asciiTheme="minorEastAsia" w:hAnsiTheme="minorEastAsia" w:eastAsiaTheme="minorEastAsia" w:cstheme="minorEastAsia"/>
          <w:b w:val="0"/>
          <w:bCs w:val="0"/>
          <w:color w:val="auto"/>
          <w:spacing w:val="5"/>
          <w:sz w:val="21"/>
          <w:szCs w:val="21"/>
          <w:highlight w:val="none"/>
          <w:u w:val="single" w:color="auto"/>
        </w:rPr>
        <w:t xml:space="preserve">    </w:t>
      </w:r>
      <w:r>
        <w:rPr>
          <w:rFonts w:hint="eastAsia" w:asciiTheme="minorEastAsia" w:hAnsiTheme="minorEastAsia" w:eastAsiaTheme="minorEastAsia" w:cstheme="minorEastAsia"/>
          <w:b w:val="0"/>
          <w:bCs w:val="0"/>
          <w:color w:val="auto"/>
          <w:spacing w:val="-91"/>
          <w:sz w:val="21"/>
          <w:szCs w:val="21"/>
          <w:highlight w:val="none"/>
        </w:rPr>
        <w:t xml:space="preserve"> </w:t>
      </w:r>
      <w:r>
        <w:rPr>
          <w:rFonts w:hint="eastAsia" w:asciiTheme="minorEastAsia" w:hAnsiTheme="minorEastAsia" w:eastAsiaTheme="minorEastAsia" w:cstheme="minorEastAsia"/>
          <w:b w:val="0"/>
          <w:bCs w:val="0"/>
          <w:color w:val="auto"/>
          <w:spacing w:val="8"/>
          <w:sz w:val="21"/>
          <w:szCs w:val="21"/>
          <w:highlight w:val="none"/>
        </w:rPr>
        <w:t>份，</w:t>
      </w:r>
      <w:r>
        <w:rPr>
          <w:rFonts w:hint="eastAsia" w:asciiTheme="minorEastAsia" w:hAnsiTheme="minorEastAsia" w:eastAsiaTheme="minorEastAsia" w:cstheme="minorEastAsia"/>
          <w:b w:val="0"/>
          <w:bCs w:val="0"/>
          <w:color w:val="auto"/>
          <w:spacing w:val="7"/>
          <w:sz w:val="21"/>
          <w:szCs w:val="21"/>
          <w:highlight w:val="none"/>
        </w:rPr>
        <w:t>承包人执</w:t>
      </w:r>
      <w:r>
        <w:rPr>
          <w:rFonts w:hint="eastAsia" w:asciiTheme="minorEastAsia" w:hAnsiTheme="minorEastAsia" w:eastAsiaTheme="minorEastAsia" w:cstheme="minorEastAsia"/>
          <w:b w:val="0"/>
          <w:bCs w:val="0"/>
          <w:color w:val="auto"/>
          <w:spacing w:val="-98"/>
          <w:sz w:val="21"/>
          <w:szCs w:val="21"/>
          <w:highlight w:val="none"/>
        </w:rPr>
        <w:t xml:space="preserve"> </w:t>
      </w:r>
      <w:r>
        <w:rPr>
          <w:rFonts w:hint="eastAsia" w:asciiTheme="minorEastAsia" w:hAnsiTheme="minorEastAsia" w:eastAsiaTheme="minorEastAsia" w:cstheme="minorEastAsia"/>
          <w:b w:val="0"/>
          <w:bCs w:val="0"/>
          <w:color w:val="auto"/>
          <w:spacing w:val="5"/>
          <w:sz w:val="21"/>
          <w:szCs w:val="21"/>
          <w:highlight w:val="none"/>
          <w:u w:val="single" w:color="auto"/>
        </w:rPr>
        <w:t xml:space="preserve">    </w:t>
      </w:r>
      <w:r>
        <w:rPr>
          <w:rFonts w:hint="eastAsia" w:asciiTheme="minorEastAsia" w:hAnsiTheme="minorEastAsia" w:eastAsiaTheme="minorEastAsia" w:cstheme="minorEastAsia"/>
          <w:b w:val="0"/>
          <w:bCs w:val="0"/>
          <w:color w:val="auto"/>
          <w:spacing w:val="-92"/>
          <w:sz w:val="21"/>
          <w:szCs w:val="21"/>
          <w:highlight w:val="none"/>
        </w:rPr>
        <w:t xml:space="preserve"> </w:t>
      </w:r>
      <w:r>
        <w:rPr>
          <w:rFonts w:hint="eastAsia" w:asciiTheme="minorEastAsia" w:hAnsiTheme="minorEastAsia" w:eastAsiaTheme="minorEastAsia" w:cstheme="minorEastAsia"/>
          <w:b w:val="0"/>
          <w:bCs w:val="0"/>
          <w:color w:val="auto"/>
          <w:spacing w:val="7"/>
          <w:sz w:val="21"/>
          <w:szCs w:val="21"/>
          <w:highlight w:val="none"/>
        </w:rPr>
        <w:t>份。</w:t>
      </w:r>
    </w:p>
    <w:p w14:paraId="2FB60C59">
      <w:pPr>
        <w:pStyle w:val="7"/>
        <w:spacing w:line="360" w:lineRule="auto"/>
        <w:ind w:left="0"/>
        <w:rPr>
          <w:rFonts w:hint="eastAsia" w:asciiTheme="minorEastAsia" w:hAnsiTheme="minorEastAsia" w:eastAsiaTheme="minorEastAsia" w:cstheme="minorEastAsia"/>
          <w:b w:val="0"/>
          <w:bCs w:val="0"/>
          <w:color w:val="auto"/>
          <w:spacing w:val="8"/>
          <w:sz w:val="21"/>
          <w:szCs w:val="21"/>
          <w:highlight w:val="none"/>
        </w:rPr>
      </w:pPr>
    </w:p>
    <w:p w14:paraId="3D765F58">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pPr>
    </w:p>
    <w:p w14:paraId="45CE6464">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pPr>
      <w:r>
        <w:rPr>
          <w:rFonts w:hint="eastAsia" w:asciiTheme="minorEastAsia" w:hAnsiTheme="minorEastAsia" w:eastAsiaTheme="minorEastAsia" w:cstheme="minorEastAsia"/>
          <w:b w:val="0"/>
          <w:bCs w:val="0"/>
          <w:color w:val="auto"/>
          <w:spacing w:val="8"/>
          <w:sz w:val="21"/>
          <w:szCs w:val="21"/>
          <w:highlight w:val="none"/>
        </w:rPr>
        <w:t>发包人：（公章）                             承包人：（公章）</w:t>
      </w:r>
    </w:p>
    <w:p w14:paraId="0AC87ABE">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pPr>
      <w:r>
        <w:rPr>
          <w:rFonts w:hint="eastAsia" w:asciiTheme="minorEastAsia" w:hAnsiTheme="minorEastAsia" w:eastAsiaTheme="minorEastAsia" w:cstheme="minorEastAsia"/>
          <w:b w:val="0"/>
          <w:bCs w:val="0"/>
          <w:color w:val="auto"/>
          <w:spacing w:val="8"/>
          <w:sz w:val="21"/>
          <w:szCs w:val="21"/>
          <w:highlight w:val="none"/>
        </w:rPr>
        <w:t>法定代表人或其授权代表：（签字）            法定代表人或其授权代表：（签字）</w:t>
      </w:r>
    </w:p>
    <w:p w14:paraId="2CFB8D5E">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pPr>
      <w:r>
        <w:rPr>
          <w:rFonts w:hint="eastAsia" w:asciiTheme="minorEastAsia" w:hAnsiTheme="minorEastAsia" w:eastAsiaTheme="minorEastAsia" w:cstheme="minorEastAsia"/>
          <w:b w:val="0"/>
          <w:bCs w:val="0"/>
          <w:color w:val="auto"/>
          <w:spacing w:val="8"/>
          <w:sz w:val="21"/>
          <w:szCs w:val="21"/>
          <w:highlight w:val="none"/>
        </w:rPr>
        <w:t>统一社会信用代码：                          统一社会信用代码：</w:t>
      </w:r>
    </w:p>
    <w:p w14:paraId="1EE2C362">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pPr>
      <w:r>
        <w:rPr>
          <w:rFonts w:hint="eastAsia" w:asciiTheme="minorEastAsia" w:hAnsiTheme="minorEastAsia" w:eastAsiaTheme="minorEastAsia" w:cstheme="minorEastAsia"/>
          <w:b w:val="0"/>
          <w:bCs w:val="0"/>
          <w:color w:val="auto"/>
          <w:spacing w:val="8"/>
          <w:sz w:val="21"/>
          <w:szCs w:val="21"/>
          <w:highlight w:val="none"/>
        </w:rPr>
        <w:t>地    址 ：                                 地   址：</w:t>
      </w:r>
    </w:p>
    <w:p w14:paraId="1EA6DE02">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pPr>
      <w:r>
        <w:rPr>
          <w:rFonts w:hint="eastAsia" w:asciiTheme="minorEastAsia" w:hAnsiTheme="minorEastAsia" w:eastAsiaTheme="minorEastAsia" w:cstheme="minorEastAsia"/>
          <w:b w:val="0"/>
          <w:bCs w:val="0"/>
          <w:color w:val="auto"/>
          <w:spacing w:val="8"/>
          <w:sz w:val="21"/>
          <w:szCs w:val="21"/>
          <w:highlight w:val="none"/>
        </w:rPr>
        <w:t>邮政编码：                                  邮政编码：</w:t>
      </w:r>
    </w:p>
    <w:p w14:paraId="6E469393">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pPr>
      <w:r>
        <w:rPr>
          <w:rFonts w:hint="eastAsia" w:asciiTheme="minorEastAsia" w:hAnsiTheme="minorEastAsia" w:eastAsiaTheme="minorEastAsia" w:cstheme="minorEastAsia"/>
          <w:b w:val="0"/>
          <w:bCs w:val="0"/>
          <w:color w:val="auto"/>
          <w:spacing w:val="8"/>
          <w:sz w:val="21"/>
          <w:szCs w:val="21"/>
          <w:highlight w:val="none"/>
        </w:rPr>
        <w:t>电    话 ：                                 电    话：</w:t>
      </w:r>
    </w:p>
    <w:p w14:paraId="2F2C6B9B">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pPr>
      <w:r>
        <w:rPr>
          <w:rFonts w:hint="eastAsia" w:asciiTheme="minorEastAsia" w:hAnsiTheme="minorEastAsia" w:eastAsiaTheme="minorEastAsia" w:cstheme="minorEastAsia"/>
          <w:b w:val="0"/>
          <w:bCs w:val="0"/>
          <w:color w:val="auto"/>
          <w:spacing w:val="8"/>
          <w:sz w:val="21"/>
          <w:szCs w:val="21"/>
          <w:highlight w:val="none"/>
        </w:rPr>
        <w:t>开户银行：                                  开户银行：</w:t>
      </w:r>
    </w:p>
    <w:p w14:paraId="2BC5621F">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pPr>
      <w:r>
        <w:rPr>
          <w:rFonts w:hint="eastAsia" w:asciiTheme="minorEastAsia" w:hAnsiTheme="minorEastAsia" w:eastAsiaTheme="minorEastAsia" w:cstheme="minorEastAsia"/>
          <w:b w:val="0"/>
          <w:bCs w:val="0"/>
          <w:color w:val="auto"/>
          <w:spacing w:val="8"/>
          <w:sz w:val="21"/>
          <w:szCs w:val="21"/>
          <w:highlight w:val="none"/>
        </w:rPr>
        <w:t>账    号 ：                                 账    号：</w:t>
      </w:r>
    </w:p>
    <w:p w14:paraId="70BB9D36">
      <w:pPr>
        <w:pStyle w:val="7"/>
        <w:spacing w:line="240" w:lineRule="auto"/>
        <w:ind w:left="0"/>
        <w:rPr>
          <w:rFonts w:hint="eastAsia" w:asciiTheme="minorEastAsia" w:hAnsiTheme="minorEastAsia" w:eastAsiaTheme="minorEastAsia" w:cstheme="minorEastAsia"/>
          <w:b w:val="0"/>
          <w:bCs w:val="0"/>
          <w:color w:val="auto"/>
          <w:spacing w:val="8"/>
          <w:sz w:val="21"/>
          <w:szCs w:val="21"/>
          <w:highlight w:val="none"/>
        </w:rPr>
        <w:sectPr>
          <w:footerReference r:id="rId4" w:type="default"/>
          <w:pgSz w:w="11906" w:h="16839"/>
          <w:pgMar w:top="1440" w:right="1083" w:bottom="1440" w:left="1083" w:header="0" w:footer="680" w:gutter="0"/>
          <w:pgNumType w:fmt="decimal" w:start="1"/>
          <w:cols w:space="0" w:num="1"/>
          <w:rtlGutter w:val="0"/>
          <w:docGrid w:linePitch="0" w:charSpace="0"/>
        </w:sectPr>
      </w:pPr>
      <w:r>
        <w:rPr>
          <w:rFonts w:hint="eastAsia" w:asciiTheme="minorEastAsia" w:hAnsiTheme="minorEastAsia" w:eastAsiaTheme="minorEastAsia" w:cstheme="minorEastAsia"/>
          <w:b w:val="0"/>
          <w:bCs w:val="0"/>
          <w:color w:val="auto"/>
          <w:spacing w:val="8"/>
          <w:sz w:val="21"/>
          <w:szCs w:val="21"/>
          <w:highlight w:val="none"/>
        </w:rPr>
        <w:t>合同订立时间：   年   月   日              合同订立时间：   年   月   日</w:t>
      </w:r>
    </w:p>
    <w:p w14:paraId="4A4D35FC">
      <w:pPr>
        <w:autoSpaceDE w:val="0"/>
        <w:autoSpaceDN w:val="0"/>
        <w:adjustRightInd w:val="0"/>
        <w:ind w:firstLine="3373" w:firstLineChars="1400"/>
        <w:jc w:val="both"/>
        <w:outlineLvl w:val="1"/>
        <w:rPr>
          <w:rFonts w:hint="eastAsia" w:asciiTheme="minorEastAsia" w:hAnsiTheme="minorEastAsia" w:eastAsiaTheme="minorEastAsia" w:cstheme="minorEastAsia"/>
          <w:b/>
          <w:color w:val="auto"/>
          <w:kern w:val="0"/>
          <w:sz w:val="24"/>
          <w:szCs w:val="24"/>
        </w:rPr>
      </w:pPr>
      <w:bookmarkStart w:id="308" w:name="_Toc14090780"/>
      <w:r>
        <w:rPr>
          <w:rFonts w:hint="eastAsia" w:asciiTheme="minorEastAsia" w:hAnsiTheme="minorEastAsia" w:eastAsiaTheme="minorEastAsia" w:cstheme="minorEastAsia"/>
          <w:b/>
          <w:color w:val="auto"/>
          <w:kern w:val="0"/>
          <w:sz w:val="24"/>
          <w:szCs w:val="24"/>
        </w:rPr>
        <w:t>第二节 通用合同条款</w:t>
      </w:r>
      <w:bookmarkEnd w:id="303"/>
      <w:bookmarkEnd w:id="304"/>
      <w:bookmarkEnd w:id="305"/>
      <w:bookmarkEnd w:id="306"/>
      <w:bookmarkEnd w:id="307"/>
      <w:bookmarkEnd w:id="308"/>
    </w:p>
    <w:p w14:paraId="2EDA8D85">
      <w:pPr>
        <w:rPr>
          <w:rFonts w:hint="eastAsia" w:asciiTheme="minorEastAsia" w:hAnsiTheme="minorEastAsia" w:eastAsiaTheme="minorEastAsia" w:cstheme="minorEastAsia"/>
          <w:b/>
          <w:color w:val="auto"/>
          <w:sz w:val="21"/>
          <w:szCs w:val="21"/>
        </w:rPr>
      </w:pPr>
      <w:bookmarkStart w:id="309" w:name="_Toc265954880"/>
      <w:bookmarkStart w:id="310" w:name="_Toc265653825"/>
      <w:bookmarkStart w:id="311" w:name="_Toc265954581"/>
      <w:bookmarkStart w:id="312" w:name="_Toc199321943"/>
      <w:bookmarkStart w:id="313" w:name="_Toc229450758"/>
    </w:p>
    <w:p w14:paraId="05C9A66B">
      <w:pP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1.一般约定</w:t>
      </w:r>
      <w:bookmarkEnd w:id="309"/>
      <w:bookmarkEnd w:id="310"/>
      <w:bookmarkEnd w:id="311"/>
      <w:bookmarkEnd w:id="312"/>
      <w:bookmarkEnd w:id="313"/>
    </w:p>
    <w:p w14:paraId="3BAB5BAF">
      <w:pPr>
        <w:rPr>
          <w:rFonts w:hint="eastAsia" w:asciiTheme="minorEastAsia" w:hAnsiTheme="minorEastAsia" w:eastAsiaTheme="minorEastAsia" w:cstheme="minorEastAsia"/>
          <w:b/>
          <w:color w:val="auto"/>
          <w:sz w:val="21"/>
          <w:szCs w:val="21"/>
        </w:rPr>
      </w:pPr>
      <w:bookmarkStart w:id="314" w:name="_Toc265954881"/>
      <w:bookmarkStart w:id="315" w:name="_Toc229450759"/>
      <w:bookmarkStart w:id="316" w:name="_Toc18937"/>
      <w:bookmarkStart w:id="317" w:name="_Toc265954582"/>
      <w:bookmarkStart w:id="318" w:name="_Toc199321944"/>
      <w:bookmarkStart w:id="319" w:name="_Toc265653826"/>
      <w:r>
        <w:rPr>
          <w:rFonts w:hint="eastAsia" w:asciiTheme="minorEastAsia" w:hAnsiTheme="minorEastAsia" w:eastAsiaTheme="minorEastAsia" w:cstheme="minorEastAsia"/>
          <w:b/>
          <w:color w:val="auto"/>
          <w:sz w:val="21"/>
          <w:szCs w:val="21"/>
        </w:rPr>
        <w:t>1.1 词语定义</w:t>
      </w:r>
      <w:bookmarkEnd w:id="314"/>
      <w:bookmarkEnd w:id="315"/>
      <w:bookmarkEnd w:id="316"/>
      <w:bookmarkEnd w:id="317"/>
      <w:bookmarkEnd w:id="318"/>
      <w:bookmarkEnd w:id="319"/>
    </w:p>
    <w:p w14:paraId="3D85990D">
      <w:pPr>
        <w:autoSpaceDE w:val="0"/>
        <w:autoSpaceDN w:val="0"/>
        <w:adjustRightInd w:val="0"/>
        <w:ind w:firstLine="316"/>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通用合同条款、专用合同条款中的下列词语应具有本款所赋予的含义。</w:t>
      </w:r>
    </w:p>
    <w:p w14:paraId="7FA58246">
      <w:pPr>
        <w:rPr>
          <w:rFonts w:hint="eastAsia" w:asciiTheme="minorEastAsia" w:hAnsiTheme="minorEastAsia" w:eastAsiaTheme="minorEastAsia" w:cstheme="minorEastAsia"/>
          <w:b/>
          <w:color w:val="auto"/>
          <w:sz w:val="21"/>
          <w:szCs w:val="21"/>
        </w:rPr>
      </w:pPr>
      <w:bookmarkStart w:id="320" w:name="_Toc199321945"/>
      <w:bookmarkStart w:id="321" w:name="_Toc491246689"/>
      <w:bookmarkStart w:id="322" w:name="_Toc229450760"/>
      <w:bookmarkStart w:id="323" w:name="_Toc488678361"/>
      <w:r>
        <w:rPr>
          <w:rFonts w:hint="eastAsia" w:asciiTheme="minorEastAsia" w:hAnsiTheme="minorEastAsia" w:eastAsiaTheme="minorEastAsia" w:cstheme="minorEastAsia"/>
          <w:b/>
          <w:color w:val="auto"/>
          <w:sz w:val="21"/>
          <w:szCs w:val="21"/>
        </w:rPr>
        <w:t>1.1.1 合同</w:t>
      </w:r>
      <w:bookmarkEnd w:id="320"/>
      <w:bookmarkEnd w:id="321"/>
      <w:bookmarkEnd w:id="322"/>
      <w:bookmarkEnd w:id="323"/>
    </w:p>
    <w:p w14:paraId="6D56E008">
      <w:pPr>
        <w:pStyle w:val="8"/>
        <w:widowControl/>
        <w:ind w:firstLine="630" w:firstLineChars="3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1.1.1.1 合同文件(或称合同):指合同协议书、中标通知书、投标函及投标函附录、专用合同条款、通用合同条款、技术标准和要求、图纸、己标价工程量清单，以及其他合同文件。</w:t>
      </w:r>
    </w:p>
    <w:p w14:paraId="44509C90">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1.1.1.2 合同协议书：指第1.5款所指的合同协议书。</w:t>
      </w:r>
    </w:p>
    <w:p w14:paraId="1815131A">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1.1.1.3 中标通知书：指发包人通知承包人中标的函件。</w:t>
      </w:r>
    </w:p>
    <w:p w14:paraId="12E70A17">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1.1.1.4 投标函：指构成合同文件组成部分的由承包人填写并签署的投标函。</w:t>
      </w:r>
    </w:p>
    <w:p w14:paraId="70F50C6F">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1.1.1.5 投标函附录：指附在投标函后构成合同文件的投标函附录。</w:t>
      </w:r>
    </w:p>
    <w:p w14:paraId="2E3DCCAD">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1.1.1.6 技术标准和要求：指构成合同文件组成部分的名为技术标准和要求的文件（合同技术条款）的，包括合同双方当事人约定对其所作的修改或补充。</w:t>
      </w:r>
    </w:p>
    <w:p w14:paraId="4EA2E348">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49188911">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1.1.1.8 己标价工程量清单： 指构成合同文件组成部分的由承包人按照规定的格式和要求填写并标明价格的工程量清单。</w:t>
      </w:r>
    </w:p>
    <w:p w14:paraId="08A75DBA">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1.1.1.9 其他合同文件:指经合同双方当事人确认构成合同文件的其他文件。</w:t>
      </w:r>
    </w:p>
    <w:p w14:paraId="461DCC6E">
      <w:pPr>
        <w:rPr>
          <w:rFonts w:hint="eastAsia" w:asciiTheme="minorEastAsia" w:hAnsiTheme="minorEastAsia" w:eastAsiaTheme="minorEastAsia" w:cstheme="minorEastAsia"/>
          <w:b/>
          <w:color w:val="auto"/>
          <w:sz w:val="21"/>
          <w:szCs w:val="21"/>
        </w:rPr>
      </w:pPr>
      <w:bookmarkStart w:id="324" w:name="_Toc199321946"/>
      <w:r>
        <w:rPr>
          <w:rFonts w:hint="eastAsia" w:asciiTheme="minorEastAsia" w:hAnsiTheme="minorEastAsia" w:eastAsiaTheme="minorEastAsia" w:cstheme="minorEastAsia"/>
          <w:b/>
          <w:color w:val="auto"/>
          <w:sz w:val="21"/>
          <w:szCs w:val="21"/>
        </w:rPr>
        <w:t>1.1.2 合同当事人和人员</w:t>
      </w:r>
      <w:bookmarkEnd w:id="324"/>
    </w:p>
    <w:p w14:paraId="2D48BCE5">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1.1.2.1 合同当事人:指发包人和(或)承包人。</w:t>
      </w:r>
    </w:p>
    <w:p w14:paraId="0EFB5D62">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1.1.2.2 发包人：指专用合同条款中指明并与承包人在合同协议书中签字的当事人。</w:t>
      </w:r>
    </w:p>
    <w:p w14:paraId="1BF78BD6">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1.1.2.3 承包人:指专用合同条款中指明并与发包人在合同协议书中签字的当事人。</w:t>
      </w:r>
    </w:p>
    <w:p w14:paraId="2904FEA8">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1.1.2.4 承包人项目经理：指承包人派驻施主场地的全权负责人。</w:t>
      </w:r>
    </w:p>
    <w:p w14:paraId="4DF58450">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1.1.2.5 分包人: 指专用合同条款中指明的，从承包人处分包合同中某一部分工程，并与其签订分包合同的分包人。</w:t>
      </w:r>
    </w:p>
    <w:p w14:paraId="1DDF81DB">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1.1.2.6 监理人:指在专用合同条款中指明的，受发包人委托对合同履行实施管理的法人或其他组织。</w:t>
      </w:r>
    </w:p>
    <w:p w14:paraId="2406D9EC">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1.1.2.7 总监理工程师(总监):指由监理人委派常驻施工场地对合同履行实施管理的全权负责人。</w:t>
      </w:r>
    </w:p>
    <w:p w14:paraId="563C7126">
      <w:pPr>
        <w:rPr>
          <w:rFonts w:hint="eastAsia" w:asciiTheme="minorEastAsia" w:hAnsiTheme="minorEastAsia" w:eastAsiaTheme="minorEastAsia" w:cstheme="minorEastAsia"/>
          <w:b/>
          <w:color w:val="auto"/>
          <w:sz w:val="21"/>
          <w:szCs w:val="21"/>
        </w:rPr>
      </w:pPr>
      <w:bookmarkStart w:id="325" w:name="_Toc199321947"/>
      <w:r>
        <w:rPr>
          <w:rFonts w:hint="eastAsia" w:asciiTheme="minorEastAsia" w:hAnsiTheme="minorEastAsia" w:eastAsiaTheme="minorEastAsia" w:cstheme="minorEastAsia"/>
          <w:b/>
          <w:color w:val="auto"/>
          <w:sz w:val="21"/>
          <w:szCs w:val="21"/>
        </w:rPr>
        <w:t>1.1.3工程和设备</w:t>
      </w:r>
      <w:bookmarkEnd w:id="325"/>
    </w:p>
    <w:p w14:paraId="5152EA7D">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1.1.3.1 工程:指永久工程和(或)临时工程。</w:t>
      </w:r>
    </w:p>
    <w:p w14:paraId="43CDA50A">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1.1.3.2 永久工程：指发包人为建设本合同工程永久征用的场地。</w:t>
      </w:r>
    </w:p>
    <w:p w14:paraId="52B1C0C8">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1.1.3.3 临时工程：指发包人为建设本合同工程临时征用，承包人在完工后须按合同要求退还的场地。</w:t>
      </w:r>
    </w:p>
    <w:p w14:paraId="410E63CE">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1.1.3.4单位工程：指专用合同条款中指明特定范围的永久工程。</w:t>
      </w:r>
    </w:p>
    <w:p w14:paraId="23272AF8">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1.1.3.5工程设备：指构成或计划构成永久工程-部分的机电设备、金属结构设备、仪器装置及其他类似的设备和装置。</w:t>
      </w:r>
    </w:p>
    <w:p w14:paraId="6F6A3E68">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1.1.3.6 施工设备：指为完成合同约定的各项工作所需的设备、器具和其他物品，不包括临时工程和材料。</w:t>
      </w:r>
    </w:p>
    <w:p w14:paraId="0BE5F91C">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1.1.3.7 临时设施：指为完成合同约定的各项工作所服务的临时性生产和生活设施。</w:t>
      </w:r>
    </w:p>
    <w:p w14:paraId="3938519B">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1.1.3.8 承包人设备：指承包人自带的施工设备。</w:t>
      </w:r>
    </w:p>
    <w:p w14:paraId="2136EE6F">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1.1.3.9 施工场地(或称工地、现场)：指用于合同工程施工的场所，以及在合同中指定作为施工场地组成部分的其他场所，包括永久占地和临时占地。</w:t>
      </w:r>
    </w:p>
    <w:p w14:paraId="5D2EE4F9">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1.1.3.10 永久占地：指专用合同条款中指明为实施合同工程需永久占用的土地。</w:t>
      </w:r>
    </w:p>
    <w:p w14:paraId="7F5D6752">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1.1.3.11 临时占地：指专用合同条款中指明为实施合同工程需临时占用的土地。</w:t>
      </w:r>
    </w:p>
    <w:p w14:paraId="72B54DD3">
      <w:pPr>
        <w:widowControl/>
        <w:autoSpaceDE w:val="0"/>
        <w:autoSpaceDN w:val="0"/>
        <w:adjustRightInd w:val="0"/>
        <w:ind w:firstLine="310" w:firstLineChars="147"/>
        <w:jc w:val="left"/>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b/>
          <w:color w:val="auto"/>
          <w:kern w:val="0"/>
          <w:sz w:val="21"/>
          <w:szCs w:val="21"/>
        </w:rPr>
        <w:t>1.1.4 日期</w:t>
      </w:r>
    </w:p>
    <w:p w14:paraId="1376150A">
      <w:pPr>
        <w:widowControl/>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1.1.4.1 开工通知：指监理人按第11.1款通知承包人开工的函件。</w:t>
      </w:r>
    </w:p>
    <w:p w14:paraId="4E5E95F6">
      <w:pPr>
        <w:widowControl/>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1.1.4.2 开工日期：指监理人按第11.1 款发出的开工通知中写明的开工日期。</w:t>
      </w:r>
    </w:p>
    <w:p w14:paraId="76D4EDD3">
      <w:pPr>
        <w:widowControl/>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1.1.4.3 工期：指承包人在投标函中承诺的完成合同工程所需的期限，包括按第11.3款、第11.4 款和第11.6 款约定所作的变更。</w:t>
      </w:r>
    </w:p>
    <w:p w14:paraId="360C7F26">
      <w:pPr>
        <w:widowControl/>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1.1.4.4 竣工日期： 即合同工程完工日期，指第1.1.4.3目约定工期届满时的日期。实际完工日期以合同工程完工证书中写明的日期为准。</w:t>
      </w:r>
    </w:p>
    <w:p w14:paraId="5513EB63">
      <w:pPr>
        <w:widowControl/>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1.1.4.5 缺陷责任期：即工程质量保修期，指履行第19.2款约定的缺陷责任的期限，包括根据第19.3款约定所作的延长，具体期限由专用合同条款约定。</w:t>
      </w:r>
    </w:p>
    <w:p w14:paraId="6B7A488B">
      <w:pPr>
        <w:widowControl/>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1.1.4.6 基准日期：指投标截止时间前28 天的日期。</w:t>
      </w:r>
    </w:p>
    <w:p w14:paraId="3BD191E6">
      <w:pPr>
        <w:widowControl/>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1.1.4.7 天：除特别指明外，指日历天。合同中按天计算时间的，开始当天不计入，从次日开始计算。期限最后一天的截止时间为当天24:00。</w:t>
      </w:r>
    </w:p>
    <w:p w14:paraId="5C510710">
      <w:pPr>
        <w:widowControl/>
        <w:autoSpaceDE w:val="0"/>
        <w:autoSpaceDN w:val="0"/>
        <w:adjustRightInd w:val="0"/>
        <w:ind w:firstLine="207" w:firstLineChars="98"/>
        <w:jc w:val="left"/>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b/>
          <w:color w:val="auto"/>
          <w:kern w:val="0"/>
          <w:sz w:val="21"/>
          <w:szCs w:val="21"/>
        </w:rPr>
        <w:t>1.1.5 合同价格和费用</w:t>
      </w:r>
    </w:p>
    <w:p w14:paraId="66A69C6B">
      <w:pPr>
        <w:pStyle w:val="8"/>
        <w:ind w:firstLine="420" w:firstLineChars="200"/>
        <w:rPr>
          <w:rFonts w:hint="eastAsia" w:asciiTheme="minorEastAsia" w:hAnsiTheme="minorEastAsia" w:eastAsiaTheme="minorEastAsia" w:cstheme="minorEastAsia"/>
          <w:color w:val="auto"/>
          <w:sz w:val="21"/>
          <w:szCs w:val="21"/>
        </w:rPr>
      </w:pPr>
      <w:bookmarkStart w:id="326" w:name="_Toc199321948"/>
      <w:r>
        <w:rPr>
          <w:rFonts w:hint="eastAsia" w:asciiTheme="minorEastAsia" w:hAnsiTheme="minorEastAsia" w:eastAsiaTheme="minorEastAsia" w:cstheme="minorEastAsia"/>
          <w:color w:val="auto"/>
          <w:sz w:val="21"/>
          <w:szCs w:val="21"/>
        </w:rPr>
        <w:t>1.1.5.1 签约合同价：指签定合同时合同协议书中写明的，包括了暂列金额、暂估价</w:t>
      </w:r>
      <w:bookmarkEnd w:id="326"/>
      <w:r>
        <w:rPr>
          <w:rFonts w:hint="eastAsia" w:asciiTheme="minorEastAsia" w:hAnsiTheme="minorEastAsia" w:eastAsiaTheme="minorEastAsia" w:cstheme="minorEastAsia"/>
          <w:color w:val="auto"/>
          <w:sz w:val="21"/>
          <w:szCs w:val="21"/>
        </w:rPr>
        <w:t>的合同总金额。</w:t>
      </w:r>
    </w:p>
    <w:p w14:paraId="71357830">
      <w:pPr>
        <w:pStyle w:val="8"/>
        <w:ind w:firstLine="420" w:firstLineChars="200"/>
        <w:rPr>
          <w:rFonts w:hint="eastAsia" w:asciiTheme="minorEastAsia" w:hAnsiTheme="minorEastAsia" w:eastAsiaTheme="minorEastAsia" w:cstheme="minorEastAsia"/>
          <w:color w:val="auto"/>
          <w:sz w:val="21"/>
          <w:szCs w:val="21"/>
        </w:rPr>
      </w:pPr>
      <w:bookmarkStart w:id="327" w:name="_Toc199321949"/>
      <w:r>
        <w:rPr>
          <w:rFonts w:hint="eastAsia" w:asciiTheme="minorEastAsia" w:hAnsiTheme="minorEastAsia" w:eastAsiaTheme="minorEastAsia" w:cstheme="minorEastAsia"/>
          <w:color w:val="auto"/>
          <w:sz w:val="21"/>
          <w:szCs w:val="21"/>
        </w:rPr>
        <w:t>1.1.5.2 合同价格：指承包人按合同约定完成了包括缺陷责任期内的全部承包工作</w:t>
      </w:r>
      <w:bookmarkEnd w:id="327"/>
      <w:r>
        <w:rPr>
          <w:rFonts w:hint="eastAsia" w:asciiTheme="minorEastAsia" w:hAnsiTheme="minorEastAsia" w:eastAsiaTheme="minorEastAsia" w:cstheme="minorEastAsia"/>
          <w:color w:val="auto"/>
          <w:sz w:val="21"/>
          <w:szCs w:val="21"/>
        </w:rPr>
        <w:t>后，发包人应付给承包人的金额，包括在履行合同过程中按合同约定进行的变更和调整。</w:t>
      </w:r>
    </w:p>
    <w:p w14:paraId="10754B99">
      <w:pPr>
        <w:pStyle w:val="8"/>
        <w:ind w:firstLine="420" w:firstLineChars="200"/>
        <w:rPr>
          <w:rFonts w:hint="eastAsia" w:asciiTheme="minorEastAsia" w:hAnsiTheme="minorEastAsia" w:eastAsiaTheme="minorEastAsia" w:cstheme="minorEastAsia"/>
          <w:color w:val="auto"/>
          <w:sz w:val="21"/>
          <w:szCs w:val="21"/>
        </w:rPr>
      </w:pPr>
      <w:bookmarkStart w:id="328" w:name="_Toc199321950"/>
      <w:r>
        <w:rPr>
          <w:rFonts w:hint="eastAsia" w:asciiTheme="minorEastAsia" w:hAnsiTheme="minorEastAsia" w:eastAsiaTheme="minorEastAsia" w:cstheme="minorEastAsia"/>
          <w:color w:val="auto"/>
          <w:sz w:val="21"/>
          <w:szCs w:val="21"/>
        </w:rPr>
        <w:t>1.1.5.3 费用：指为履行合同所发生的或将要发生的所有合理开支，包括管理费和应</w:t>
      </w:r>
      <w:bookmarkEnd w:id="328"/>
      <w:r>
        <w:rPr>
          <w:rFonts w:hint="eastAsia" w:asciiTheme="minorEastAsia" w:hAnsiTheme="minorEastAsia" w:eastAsiaTheme="minorEastAsia" w:cstheme="minorEastAsia"/>
          <w:color w:val="auto"/>
          <w:sz w:val="21"/>
          <w:szCs w:val="21"/>
        </w:rPr>
        <w:t>分摊的其他费用，但不包括利润：</w:t>
      </w:r>
    </w:p>
    <w:p w14:paraId="1864F114">
      <w:pPr>
        <w:pStyle w:val="8"/>
        <w:ind w:firstLine="420" w:firstLineChars="200"/>
        <w:rPr>
          <w:rFonts w:hint="eastAsia" w:asciiTheme="minorEastAsia" w:hAnsiTheme="minorEastAsia" w:eastAsiaTheme="minorEastAsia" w:cstheme="minorEastAsia"/>
          <w:color w:val="auto"/>
          <w:sz w:val="21"/>
          <w:szCs w:val="21"/>
        </w:rPr>
      </w:pPr>
      <w:bookmarkStart w:id="329" w:name="_Toc199321951"/>
      <w:r>
        <w:rPr>
          <w:rFonts w:hint="eastAsia" w:asciiTheme="minorEastAsia" w:hAnsiTheme="minorEastAsia" w:eastAsiaTheme="minorEastAsia" w:cstheme="minorEastAsia"/>
          <w:color w:val="auto"/>
          <w:sz w:val="21"/>
          <w:szCs w:val="21"/>
        </w:rPr>
        <w:t>1.1.5.4 暂列金额：指己标价工程量清单中所列的暂列金额，用于在签订协议书时尚未确定或不可预见变更的施工及其所需材料、工程设备、服务等的金额，包括以计日工方式</w:t>
      </w:r>
      <w:bookmarkEnd w:id="329"/>
      <w:r>
        <w:rPr>
          <w:rFonts w:hint="eastAsia" w:asciiTheme="minorEastAsia" w:hAnsiTheme="minorEastAsia" w:eastAsiaTheme="minorEastAsia" w:cstheme="minorEastAsia"/>
          <w:color w:val="auto"/>
          <w:sz w:val="21"/>
          <w:szCs w:val="21"/>
        </w:rPr>
        <w:t>支付的金额。</w:t>
      </w:r>
    </w:p>
    <w:p w14:paraId="02A419FD">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1.1.5.5 暂估价：指发包人在工程量清单中给定的用于支付必然发生但暂时不能确定价格的材料、设备以及专业工程的金额。</w:t>
      </w:r>
    </w:p>
    <w:p w14:paraId="6575ECA0">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1.1.5.6 计日工:指对零星工作采取的一种计价方式，按合同中的计日工子目及其单价计价付款。</w:t>
      </w:r>
    </w:p>
    <w:p w14:paraId="6DFF162D">
      <w:pPr>
        <w:ind w:firstLine="420" w:firstLineChars="200"/>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1.1.5.7 质量保证金(或称保留金):指按第17.4.1项约定用于保证在缺陷责任期内履行缺陷修复义务的金额。</w:t>
      </w:r>
    </w:p>
    <w:p w14:paraId="2434DDC8">
      <w:pPr>
        <w:pStyle w:val="8"/>
        <w:ind w:firstLine="422" w:firstLineChars="200"/>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1.1.6 其他</w:t>
      </w:r>
    </w:p>
    <w:p w14:paraId="6F67FFF0">
      <w:pPr>
        <w:pStyle w:val="8"/>
        <w:ind w:firstLine="420" w:firstLineChars="200"/>
        <w:rPr>
          <w:rFonts w:hint="eastAsia" w:asciiTheme="minorEastAsia" w:hAnsiTheme="minorEastAsia" w:eastAsiaTheme="minorEastAsia" w:cstheme="minorEastAsia"/>
          <w:color w:val="auto"/>
          <w:sz w:val="21"/>
          <w:szCs w:val="21"/>
        </w:rPr>
      </w:pPr>
      <w:bookmarkStart w:id="330" w:name="_Toc490385302"/>
      <w:bookmarkStart w:id="331" w:name="_Toc491246690"/>
      <w:bookmarkStart w:id="332" w:name="_Toc488678362"/>
      <w:r>
        <w:rPr>
          <w:rFonts w:hint="eastAsia" w:asciiTheme="minorEastAsia" w:hAnsiTheme="minorEastAsia" w:eastAsiaTheme="minorEastAsia" w:cstheme="minorEastAsia"/>
          <w:color w:val="auto"/>
          <w:sz w:val="21"/>
          <w:szCs w:val="21"/>
        </w:rPr>
        <w:t>1.1.6.1 书面形式:指合同文件、信函飞电报、传真等可以有形地表现所载内容的形式。</w:t>
      </w:r>
      <w:bookmarkEnd w:id="330"/>
      <w:bookmarkEnd w:id="331"/>
      <w:bookmarkEnd w:id="332"/>
    </w:p>
    <w:p w14:paraId="6C992C1E">
      <w:pPr>
        <w:rPr>
          <w:rFonts w:hint="eastAsia" w:asciiTheme="minorEastAsia" w:hAnsiTheme="minorEastAsia" w:eastAsiaTheme="minorEastAsia" w:cstheme="minorEastAsia"/>
          <w:b/>
          <w:color w:val="auto"/>
          <w:sz w:val="21"/>
          <w:szCs w:val="21"/>
        </w:rPr>
      </w:pPr>
      <w:bookmarkStart w:id="333" w:name="_Toc265653827"/>
      <w:bookmarkStart w:id="334" w:name="_Toc265954882"/>
      <w:bookmarkStart w:id="335" w:name="_Toc265954583"/>
      <w:bookmarkStart w:id="336" w:name="_Toc199321952"/>
      <w:bookmarkStart w:id="337" w:name="_Toc1532"/>
      <w:bookmarkStart w:id="338" w:name="_Toc229450761"/>
      <w:r>
        <w:rPr>
          <w:rFonts w:hint="eastAsia" w:asciiTheme="minorEastAsia" w:hAnsiTheme="minorEastAsia" w:eastAsiaTheme="minorEastAsia" w:cstheme="minorEastAsia"/>
          <w:b/>
          <w:color w:val="auto"/>
          <w:sz w:val="21"/>
          <w:szCs w:val="21"/>
        </w:rPr>
        <w:t>1.2 语言文字</w:t>
      </w:r>
      <w:bookmarkEnd w:id="333"/>
      <w:bookmarkEnd w:id="334"/>
      <w:bookmarkEnd w:id="335"/>
      <w:bookmarkEnd w:id="336"/>
      <w:bookmarkEnd w:id="337"/>
      <w:bookmarkEnd w:id="338"/>
    </w:p>
    <w:p w14:paraId="2C2E8736">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除专用术语外，合同使用的语言文字为中文。必要时专用术语应附有中文注释。</w:t>
      </w:r>
    </w:p>
    <w:p w14:paraId="6F6960CE">
      <w:pPr>
        <w:rPr>
          <w:rFonts w:hint="eastAsia" w:asciiTheme="minorEastAsia" w:hAnsiTheme="minorEastAsia" w:eastAsiaTheme="minorEastAsia" w:cstheme="minorEastAsia"/>
          <w:b/>
          <w:color w:val="auto"/>
          <w:sz w:val="21"/>
          <w:szCs w:val="21"/>
        </w:rPr>
      </w:pPr>
      <w:bookmarkStart w:id="339" w:name="_Toc199321953"/>
      <w:bookmarkStart w:id="340" w:name="_Toc229450762"/>
      <w:bookmarkStart w:id="341" w:name="_Toc265954883"/>
      <w:bookmarkStart w:id="342" w:name="_Toc265653828"/>
      <w:bookmarkStart w:id="343" w:name="_Toc13613"/>
      <w:bookmarkStart w:id="344" w:name="_Toc265954584"/>
      <w:r>
        <w:rPr>
          <w:rFonts w:hint="eastAsia" w:asciiTheme="minorEastAsia" w:hAnsiTheme="minorEastAsia" w:eastAsiaTheme="minorEastAsia" w:cstheme="minorEastAsia"/>
          <w:b/>
          <w:color w:val="auto"/>
          <w:sz w:val="21"/>
          <w:szCs w:val="21"/>
        </w:rPr>
        <w:t>1.3 法律</w:t>
      </w:r>
      <w:bookmarkEnd w:id="339"/>
      <w:bookmarkEnd w:id="340"/>
      <w:bookmarkEnd w:id="341"/>
      <w:bookmarkEnd w:id="342"/>
      <w:bookmarkEnd w:id="343"/>
      <w:bookmarkEnd w:id="344"/>
    </w:p>
    <w:p w14:paraId="77308EDD">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适用于合同的法律包括中华人民共和国法律、行政法规、部门规章，以及工程所在地的地方法规、自治条例、单行条例和地方政府规章。</w:t>
      </w:r>
    </w:p>
    <w:p w14:paraId="4D97A394">
      <w:pPr>
        <w:rPr>
          <w:rFonts w:hint="eastAsia" w:asciiTheme="minorEastAsia" w:hAnsiTheme="minorEastAsia" w:eastAsiaTheme="minorEastAsia" w:cstheme="minorEastAsia"/>
          <w:b/>
          <w:color w:val="auto"/>
          <w:sz w:val="21"/>
          <w:szCs w:val="21"/>
        </w:rPr>
      </w:pPr>
      <w:bookmarkStart w:id="345" w:name="_Toc22749"/>
      <w:bookmarkStart w:id="346" w:name="_Toc265653829"/>
      <w:bookmarkStart w:id="347" w:name="_Toc199321954"/>
      <w:bookmarkStart w:id="348" w:name="_Toc265954585"/>
      <w:bookmarkStart w:id="349" w:name="_Toc265954884"/>
      <w:bookmarkStart w:id="350" w:name="_Toc229450763"/>
      <w:r>
        <w:rPr>
          <w:rFonts w:hint="eastAsia" w:asciiTheme="minorEastAsia" w:hAnsiTheme="minorEastAsia" w:eastAsiaTheme="minorEastAsia" w:cstheme="minorEastAsia"/>
          <w:b/>
          <w:color w:val="auto"/>
          <w:sz w:val="21"/>
          <w:szCs w:val="21"/>
        </w:rPr>
        <w:t>1.4 合同文件的优先顺序</w:t>
      </w:r>
      <w:bookmarkEnd w:id="345"/>
      <w:bookmarkEnd w:id="346"/>
      <w:bookmarkEnd w:id="347"/>
      <w:bookmarkEnd w:id="348"/>
      <w:bookmarkEnd w:id="349"/>
      <w:bookmarkEnd w:id="350"/>
    </w:p>
    <w:p w14:paraId="6EC4813F">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组成合同的各项文件应互相解释，互为说明。除专用合同条款另有约定外，解释合同文件的优先顺序如下：</w:t>
      </w:r>
    </w:p>
    <w:p w14:paraId="0D4E477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合同协议书；</w:t>
      </w:r>
    </w:p>
    <w:p w14:paraId="4FDD961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中标通知书；</w:t>
      </w:r>
    </w:p>
    <w:p w14:paraId="108B2D8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投标函及投标函附录；</w:t>
      </w:r>
    </w:p>
    <w:p w14:paraId="78B2AEC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专用合同条款；</w:t>
      </w:r>
    </w:p>
    <w:p w14:paraId="4CCFB8E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通用合同条款；</w:t>
      </w:r>
    </w:p>
    <w:p w14:paraId="5912240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 技术标准和要求；</w:t>
      </w:r>
    </w:p>
    <w:p w14:paraId="2EBDB31A">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(7) 图纸；</w:t>
      </w:r>
    </w:p>
    <w:p w14:paraId="4DF4D7F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(8) 己标价工程量清单；</w:t>
      </w:r>
    </w:p>
    <w:p w14:paraId="3967C11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 其他合同文件。</w:t>
      </w:r>
    </w:p>
    <w:p w14:paraId="79C79BB1">
      <w:pPr>
        <w:rPr>
          <w:rFonts w:hint="eastAsia" w:asciiTheme="minorEastAsia" w:hAnsiTheme="minorEastAsia" w:eastAsiaTheme="minorEastAsia" w:cstheme="minorEastAsia"/>
          <w:b/>
          <w:color w:val="auto"/>
          <w:sz w:val="21"/>
          <w:szCs w:val="21"/>
        </w:rPr>
      </w:pPr>
      <w:bookmarkStart w:id="351" w:name="_Toc265954586"/>
      <w:bookmarkStart w:id="352" w:name="_Toc229450764"/>
      <w:bookmarkStart w:id="353" w:name="_Toc2357"/>
      <w:bookmarkStart w:id="354" w:name="_Toc199321955"/>
      <w:bookmarkStart w:id="355" w:name="_Toc265653830"/>
      <w:bookmarkStart w:id="356" w:name="_Toc265954885"/>
      <w:r>
        <w:rPr>
          <w:rFonts w:hint="eastAsia" w:asciiTheme="minorEastAsia" w:hAnsiTheme="minorEastAsia" w:eastAsiaTheme="minorEastAsia" w:cstheme="minorEastAsia"/>
          <w:b/>
          <w:color w:val="auto"/>
          <w:sz w:val="21"/>
          <w:szCs w:val="21"/>
        </w:rPr>
        <w:t>1.5 合同协议书</w:t>
      </w:r>
      <w:bookmarkEnd w:id="351"/>
      <w:bookmarkEnd w:id="352"/>
      <w:bookmarkEnd w:id="353"/>
      <w:bookmarkEnd w:id="354"/>
      <w:bookmarkEnd w:id="355"/>
      <w:bookmarkEnd w:id="356"/>
    </w:p>
    <w:p w14:paraId="2DD22F15">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承包人按中标通知书规定的时间与发包人签订合同协议书。除法律另有规定或合同另有约定外，发包人和承包人的法定代表人或其委托代理人在合同协议书上签字井盖单位章后，合同生效。</w:t>
      </w:r>
    </w:p>
    <w:p w14:paraId="08C7EC47">
      <w:pPr>
        <w:rPr>
          <w:rFonts w:hint="eastAsia" w:asciiTheme="minorEastAsia" w:hAnsiTheme="minorEastAsia" w:eastAsiaTheme="minorEastAsia" w:cstheme="minorEastAsia"/>
          <w:b/>
          <w:color w:val="auto"/>
          <w:sz w:val="21"/>
          <w:szCs w:val="21"/>
        </w:rPr>
      </w:pPr>
      <w:bookmarkStart w:id="357" w:name="_Toc265954886"/>
      <w:bookmarkStart w:id="358" w:name="_Toc229450765"/>
      <w:bookmarkStart w:id="359" w:name="_Toc199321956"/>
      <w:bookmarkStart w:id="360" w:name="_Toc22624"/>
      <w:bookmarkStart w:id="361" w:name="_Toc265653831"/>
      <w:bookmarkStart w:id="362" w:name="_Toc265954587"/>
      <w:r>
        <w:rPr>
          <w:rFonts w:hint="eastAsia" w:asciiTheme="minorEastAsia" w:hAnsiTheme="minorEastAsia" w:eastAsiaTheme="minorEastAsia" w:cstheme="minorEastAsia"/>
          <w:b/>
          <w:color w:val="auto"/>
          <w:sz w:val="21"/>
          <w:szCs w:val="21"/>
        </w:rPr>
        <w:t>1.6 图纸和承包人文件</w:t>
      </w:r>
      <w:bookmarkEnd w:id="357"/>
      <w:bookmarkEnd w:id="358"/>
      <w:bookmarkEnd w:id="359"/>
      <w:bookmarkEnd w:id="360"/>
      <w:bookmarkEnd w:id="361"/>
      <w:bookmarkEnd w:id="362"/>
    </w:p>
    <w:p w14:paraId="3A151BAD">
      <w:pPr>
        <w:pStyle w:val="8"/>
        <w:widowControl/>
        <w:ind w:firstLine="420" w:firstLineChars="200"/>
        <w:jc w:val="left"/>
        <w:rPr>
          <w:rFonts w:hint="eastAsia" w:asciiTheme="minorEastAsia" w:hAnsiTheme="minorEastAsia" w:eastAsiaTheme="minorEastAsia" w:cstheme="minorEastAsia"/>
          <w:color w:val="auto"/>
          <w:sz w:val="21"/>
          <w:szCs w:val="21"/>
        </w:rPr>
      </w:pPr>
      <w:bookmarkStart w:id="363" w:name="_Toc488678368"/>
      <w:bookmarkStart w:id="364" w:name="_Toc491246696"/>
      <w:bookmarkStart w:id="365" w:name="_Toc199321957"/>
      <w:r>
        <w:rPr>
          <w:rFonts w:hint="eastAsia" w:asciiTheme="minorEastAsia" w:hAnsiTheme="minorEastAsia" w:eastAsiaTheme="minorEastAsia" w:cstheme="minorEastAsia"/>
          <w:color w:val="auto"/>
          <w:sz w:val="21"/>
          <w:szCs w:val="21"/>
        </w:rPr>
        <w:t>1.6.1 图纸的提供</w:t>
      </w:r>
      <w:bookmarkEnd w:id="363"/>
      <w:bookmarkEnd w:id="364"/>
      <w:bookmarkEnd w:id="365"/>
    </w:p>
    <w:p w14:paraId="3277F90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发包人应按技术标准和要求（合同技术条款）约定的期限和数量将施工图纸以及其它图纸（包括配套说明和有关资料）提供给承包人。由于发包人未按时提供图纸造成工期延误的，按第11.3款的约定办理。</w:t>
      </w:r>
    </w:p>
    <w:p w14:paraId="6D57A32D">
      <w:pPr>
        <w:pStyle w:val="8"/>
        <w:widowControl/>
        <w:ind w:firstLine="420" w:firstLineChars="200"/>
        <w:jc w:val="left"/>
        <w:rPr>
          <w:rFonts w:hint="eastAsia" w:asciiTheme="minorEastAsia" w:hAnsiTheme="minorEastAsia" w:eastAsiaTheme="minorEastAsia" w:cstheme="minorEastAsia"/>
          <w:color w:val="auto"/>
          <w:sz w:val="21"/>
          <w:szCs w:val="21"/>
        </w:rPr>
      </w:pPr>
      <w:bookmarkStart w:id="366" w:name="_Toc199321958"/>
      <w:bookmarkStart w:id="367" w:name="_Toc488678369"/>
      <w:bookmarkStart w:id="368" w:name="_Toc491246697"/>
      <w:r>
        <w:rPr>
          <w:rFonts w:hint="eastAsia" w:asciiTheme="minorEastAsia" w:hAnsiTheme="minorEastAsia" w:eastAsiaTheme="minorEastAsia" w:cstheme="minorEastAsia"/>
          <w:color w:val="auto"/>
          <w:sz w:val="21"/>
          <w:szCs w:val="21"/>
        </w:rPr>
        <w:t>1.6.2 承包人提供的文件</w:t>
      </w:r>
      <w:bookmarkEnd w:id="366"/>
      <w:bookmarkEnd w:id="367"/>
      <w:bookmarkEnd w:id="368"/>
    </w:p>
    <w:p w14:paraId="6ECD54A3">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承包人提供的文件应按技术标准和要求（合同技术条款）约定的期限和数量提供给监理人。监理人应按技术标准和要求（合同技术条款）约定的期限批复承包人。</w:t>
      </w:r>
    </w:p>
    <w:p w14:paraId="2C1B2761">
      <w:pPr>
        <w:pStyle w:val="8"/>
        <w:widowControl/>
        <w:ind w:firstLine="420" w:firstLineChars="200"/>
        <w:jc w:val="left"/>
        <w:rPr>
          <w:rFonts w:hint="eastAsia" w:asciiTheme="minorEastAsia" w:hAnsiTheme="minorEastAsia" w:eastAsiaTheme="minorEastAsia" w:cstheme="minorEastAsia"/>
          <w:color w:val="auto"/>
          <w:sz w:val="21"/>
          <w:szCs w:val="21"/>
        </w:rPr>
      </w:pPr>
      <w:bookmarkStart w:id="369" w:name="_Toc491246698"/>
      <w:bookmarkStart w:id="370" w:name="_Toc488678370"/>
      <w:bookmarkStart w:id="371" w:name="_Toc199321959"/>
      <w:r>
        <w:rPr>
          <w:rFonts w:hint="eastAsia" w:asciiTheme="minorEastAsia" w:hAnsiTheme="minorEastAsia" w:eastAsiaTheme="minorEastAsia" w:cstheme="minorEastAsia"/>
          <w:color w:val="auto"/>
          <w:sz w:val="21"/>
          <w:szCs w:val="21"/>
        </w:rPr>
        <w:t>1.6.3 图纸的修改</w:t>
      </w:r>
      <w:bookmarkEnd w:id="369"/>
      <w:bookmarkEnd w:id="370"/>
      <w:bookmarkEnd w:id="371"/>
    </w:p>
    <w:p w14:paraId="6D48A9B3">
      <w:pPr>
        <w:pStyle w:val="8"/>
        <w:widowControl/>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411D43AF">
      <w:pPr>
        <w:pStyle w:val="8"/>
        <w:widowControl/>
        <w:ind w:firstLine="420" w:firstLineChars="200"/>
        <w:jc w:val="left"/>
        <w:rPr>
          <w:rFonts w:hint="eastAsia" w:asciiTheme="minorEastAsia" w:hAnsiTheme="minorEastAsia" w:eastAsiaTheme="minorEastAsia" w:cstheme="minorEastAsia"/>
          <w:color w:val="auto"/>
          <w:sz w:val="21"/>
          <w:szCs w:val="21"/>
        </w:rPr>
      </w:pPr>
      <w:bookmarkStart w:id="372" w:name="_Toc199321960"/>
      <w:bookmarkStart w:id="373" w:name="_Toc488678371"/>
      <w:bookmarkStart w:id="374" w:name="_Toc491246699"/>
      <w:r>
        <w:rPr>
          <w:rFonts w:hint="eastAsia" w:asciiTheme="minorEastAsia" w:hAnsiTheme="minorEastAsia" w:eastAsiaTheme="minorEastAsia" w:cstheme="minorEastAsia"/>
          <w:color w:val="auto"/>
          <w:sz w:val="21"/>
          <w:szCs w:val="21"/>
        </w:rPr>
        <w:t>1.6.4 图纸的错误</w:t>
      </w:r>
      <w:bookmarkEnd w:id="372"/>
      <w:bookmarkEnd w:id="373"/>
      <w:bookmarkEnd w:id="374"/>
    </w:p>
    <w:p w14:paraId="05DF3120">
      <w:pPr>
        <w:widowControl/>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承包人发现发包人提供的图纸存在明显错误或疏忽，应及时通知监理人。</w:t>
      </w:r>
    </w:p>
    <w:p w14:paraId="1A1D4C1C">
      <w:pPr>
        <w:pStyle w:val="8"/>
        <w:widowControl/>
        <w:ind w:firstLine="420" w:firstLineChars="200"/>
        <w:jc w:val="left"/>
        <w:rPr>
          <w:rFonts w:hint="eastAsia" w:asciiTheme="minorEastAsia" w:hAnsiTheme="minorEastAsia" w:eastAsiaTheme="minorEastAsia" w:cstheme="minorEastAsia"/>
          <w:color w:val="auto"/>
          <w:sz w:val="21"/>
          <w:szCs w:val="21"/>
        </w:rPr>
      </w:pPr>
      <w:bookmarkStart w:id="375" w:name="_Toc491246700"/>
      <w:bookmarkStart w:id="376" w:name="_Toc488678372"/>
      <w:bookmarkStart w:id="377" w:name="_Toc199321961"/>
      <w:r>
        <w:rPr>
          <w:rFonts w:hint="eastAsia" w:asciiTheme="minorEastAsia" w:hAnsiTheme="minorEastAsia" w:eastAsiaTheme="minorEastAsia" w:cstheme="minorEastAsia"/>
          <w:color w:val="auto"/>
          <w:sz w:val="21"/>
          <w:szCs w:val="21"/>
        </w:rPr>
        <w:t>1.6.5 图纸和承包人文件的保管</w:t>
      </w:r>
      <w:bookmarkEnd w:id="375"/>
      <w:bookmarkEnd w:id="376"/>
      <w:bookmarkEnd w:id="377"/>
    </w:p>
    <w:p w14:paraId="59A2D8B4">
      <w:pPr>
        <w:widowControl/>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监理人和承包人均应在施工场地各保存一套完整的包含第1.6.1项、第1.6.2项、第1.6.3项约定内容的图纸和承包人文件。</w:t>
      </w:r>
    </w:p>
    <w:p w14:paraId="157C37A1">
      <w:pPr>
        <w:rPr>
          <w:rFonts w:hint="eastAsia" w:asciiTheme="minorEastAsia" w:hAnsiTheme="minorEastAsia" w:eastAsiaTheme="minorEastAsia" w:cstheme="minorEastAsia"/>
          <w:b/>
          <w:color w:val="auto"/>
          <w:sz w:val="21"/>
          <w:szCs w:val="21"/>
        </w:rPr>
      </w:pPr>
      <w:bookmarkStart w:id="378" w:name="_Toc199321962"/>
      <w:bookmarkStart w:id="379" w:name="_Toc229450766"/>
      <w:bookmarkStart w:id="380" w:name="_Toc265954887"/>
      <w:bookmarkStart w:id="381" w:name="_Toc265653832"/>
      <w:bookmarkStart w:id="382" w:name="_Toc29431"/>
      <w:bookmarkStart w:id="383" w:name="_Toc265954588"/>
      <w:r>
        <w:rPr>
          <w:rFonts w:hint="eastAsia" w:asciiTheme="minorEastAsia" w:hAnsiTheme="minorEastAsia" w:eastAsiaTheme="minorEastAsia" w:cstheme="minorEastAsia"/>
          <w:b/>
          <w:color w:val="auto"/>
          <w:sz w:val="21"/>
          <w:szCs w:val="21"/>
        </w:rPr>
        <w:t>1.7 联络</w:t>
      </w:r>
      <w:bookmarkEnd w:id="378"/>
      <w:bookmarkEnd w:id="379"/>
      <w:bookmarkEnd w:id="380"/>
      <w:bookmarkEnd w:id="381"/>
      <w:bookmarkEnd w:id="382"/>
      <w:bookmarkEnd w:id="383"/>
    </w:p>
    <w:p w14:paraId="1268D767">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1.7.1 与合同有关的通知、批准、证明、证书、指示、要求、请求、同意、意见、确定和决定等，均应采用书面形式。</w:t>
      </w:r>
    </w:p>
    <w:p w14:paraId="276D6962">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1.7.2 第1.7.1项中的通知、批准、证明、证书、指示、要求、请求、同意、意见、确定和决定等来往函件，均应在合同约定的期限内送达指定地点和接收人，并办理签收手续。</w:t>
      </w:r>
    </w:p>
    <w:p w14:paraId="101ACBA5">
      <w:pPr>
        <w:pStyle w:val="8"/>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来往函件的送达期限在技术标准和要求（合同技术条款）中约定，送达地点在专用合同条款中约定。</w:t>
      </w:r>
    </w:p>
    <w:p w14:paraId="1FB13D49">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1.7.3 来往函件均应按合同约定的期限及时发出和答复，不得无故扣压和拖延，亦不得拒收。否则，由此造成的后果由责任方负责。</w:t>
      </w:r>
    </w:p>
    <w:p w14:paraId="7969A877">
      <w:pPr>
        <w:rPr>
          <w:rFonts w:hint="eastAsia" w:asciiTheme="minorEastAsia" w:hAnsiTheme="minorEastAsia" w:eastAsiaTheme="minorEastAsia" w:cstheme="minorEastAsia"/>
          <w:b/>
          <w:color w:val="auto"/>
          <w:sz w:val="21"/>
          <w:szCs w:val="21"/>
        </w:rPr>
      </w:pPr>
      <w:bookmarkStart w:id="384" w:name="_Toc265954888"/>
      <w:bookmarkStart w:id="385" w:name="_Toc199321963"/>
      <w:bookmarkStart w:id="386" w:name="_Toc265653833"/>
      <w:bookmarkStart w:id="387" w:name="_Toc20697"/>
      <w:bookmarkStart w:id="388" w:name="_Toc265954589"/>
      <w:bookmarkStart w:id="389" w:name="_Toc229450767"/>
      <w:r>
        <w:rPr>
          <w:rFonts w:hint="eastAsia" w:asciiTheme="minorEastAsia" w:hAnsiTheme="minorEastAsia" w:eastAsiaTheme="minorEastAsia" w:cstheme="minorEastAsia"/>
          <w:b/>
          <w:color w:val="auto"/>
          <w:sz w:val="21"/>
          <w:szCs w:val="21"/>
        </w:rPr>
        <w:t>1.8 转让</w:t>
      </w:r>
      <w:bookmarkEnd w:id="384"/>
      <w:bookmarkEnd w:id="385"/>
      <w:bookmarkEnd w:id="386"/>
      <w:bookmarkEnd w:id="387"/>
      <w:bookmarkEnd w:id="388"/>
      <w:bookmarkEnd w:id="389"/>
    </w:p>
    <w:p w14:paraId="0D871A75">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除合同另有约定外，未经对方当事人同意，一方当事人不得将合同权利全部或部分转让给第三人，也不得全部或部分转移合同义务。</w:t>
      </w:r>
    </w:p>
    <w:p w14:paraId="244D3ACA">
      <w:pPr>
        <w:rPr>
          <w:rFonts w:hint="eastAsia" w:asciiTheme="minorEastAsia" w:hAnsiTheme="minorEastAsia" w:eastAsiaTheme="minorEastAsia" w:cstheme="minorEastAsia"/>
          <w:b/>
          <w:color w:val="auto"/>
          <w:sz w:val="21"/>
          <w:szCs w:val="21"/>
        </w:rPr>
      </w:pPr>
      <w:bookmarkStart w:id="390" w:name="_Toc199321964"/>
      <w:bookmarkStart w:id="391" w:name="_Toc229450768"/>
      <w:bookmarkStart w:id="392" w:name="_Toc7282"/>
      <w:bookmarkStart w:id="393" w:name="_Toc265653834"/>
      <w:bookmarkStart w:id="394" w:name="_Toc265954889"/>
      <w:bookmarkStart w:id="395" w:name="_Toc265954590"/>
      <w:r>
        <w:rPr>
          <w:rFonts w:hint="eastAsia" w:asciiTheme="minorEastAsia" w:hAnsiTheme="minorEastAsia" w:eastAsiaTheme="minorEastAsia" w:cstheme="minorEastAsia"/>
          <w:b/>
          <w:color w:val="auto"/>
          <w:sz w:val="21"/>
          <w:szCs w:val="21"/>
        </w:rPr>
        <w:t>1.9 严禁</w:t>
      </w:r>
      <w:bookmarkEnd w:id="390"/>
      <w:r>
        <w:rPr>
          <w:rFonts w:hint="eastAsia" w:asciiTheme="minorEastAsia" w:hAnsiTheme="minorEastAsia" w:eastAsiaTheme="minorEastAsia" w:cstheme="minorEastAsia"/>
          <w:b/>
          <w:color w:val="auto"/>
          <w:sz w:val="21"/>
          <w:szCs w:val="21"/>
        </w:rPr>
        <w:t>贿赂</w:t>
      </w:r>
      <w:bookmarkEnd w:id="391"/>
      <w:bookmarkEnd w:id="392"/>
      <w:bookmarkEnd w:id="393"/>
      <w:bookmarkEnd w:id="394"/>
      <w:bookmarkEnd w:id="395"/>
    </w:p>
    <w:p w14:paraId="2DA1A86B">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合同双方当事人不得以贿赂或变相贿赂的方式，谋取不当利益或损害对方权益。因贿赂造成对方损失的，行为人应赔偿损失，并承担相应的法律责任。</w:t>
      </w:r>
    </w:p>
    <w:p w14:paraId="2D7E86CA">
      <w:pPr>
        <w:rPr>
          <w:rFonts w:hint="eastAsia" w:asciiTheme="minorEastAsia" w:hAnsiTheme="minorEastAsia" w:eastAsiaTheme="minorEastAsia" w:cstheme="minorEastAsia"/>
          <w:b/>
          <w:color w:val="auto"/>
          <w:sz w:val="21"/>
          <w:szCs w:val="21"/>
        </w:rPr>
      </w:pPr>
      <w:bookmarkStart w:id="396" w:name="_Toc265954890"/>
      <w:bookmarkStart w:id="397" w:name="_Toc32602"/>
      <w:bookmarkStart w:id="398" w:name="_Toc265954591"/>
      <w:bookmarkStart w:id="399" w:name="_Toc229450769"/>
      <w:bookmarkStart w:id="400" w:name="_Toc265653835"/>
      <w:bookmarkStart w:id="401" w:name="_Toc199321965"/>
      <w:r>
        <w:rPr>
          <w:rFonts w:hint="eastAsia" w:asciiTheme="minorEastAsia" w:hAnsiTheme="minorEastAsia" w:eastAsiaTheme="minorEastAsia" w:cstheme="minorEastAsia"/>
          <w:b/>
          <w:color w:val="auto"/>
          <w:sz w:val="21"/>
          <w:szCs w:val="21"/>
        </w:rPr>
        <w:t>1.10 化石、文物</w:t>
      </w:r>
      <w:bookmarkEnd w:id="396"/>
      <w:bookmarkEnd w:id="397"/>
      <w:bookmarkEnd w:id="398"/>
      <w:bookmarkEnd w:id="399"/>
      <w:bookmarkEnd w:id="400"/>
      <w:bookmarkEnd w:id="401"/>
    </w:p>
    <w:p w14:paraId="7155D89C">
      <w:pPr>
        <w:pStyle w:val="8"/>
        <w:ind w:firstLine="420" w:firstLineChars="200"/>
        <w:rPr>
          <w:rFonts w:hint="eastAsia" w:asciiTheme="minorEastAsia" w:hAnsiTheme="minorEastAsia" w:eastAsiaTheme="minorEastAsia" w:cstheme="minorEastAsia"/>
          <w:b/>
          <w:color w:val="auto"/>
          <w:sz w:val="21"/>
          <w:szCs w:val="21"/>
        </w:rPr>
      </w:pPr>
      <w:bookmarkStart w:id="402" w:name="_Toc199321966"/>
      <w:r>
        <w:rPr>
          <w:rFonts w:hint="eastAsia" w:asciiTheme="minorEastAsia" w:hAnsiTheme="minorEastAsia" w:eastAsiaTheme="minorEastAsia" w:cstheme="minorEastAsia"/>
          <w:color w:val="auto"/>
          <w:sz w:val="21"/>
          <w:szCs w:val="21"/>
        </w:rPr>
        <w:t>1.10.1 在施工场地发掘的所有文物、古迹以及具有地质研究或考古价值的其他遗迹、化石、钱币或物品属于国家所有。一旦发现上述文物，承包人应采取有效合理的保护措施，</w:t>
      </w:r>
      <w:bookmarkEnd w:id="402"/>
      <w:r>
        <w:rPr>
          <w:rFonts w:hint="eastAsia" w:asciiTheme="minorEastAsia" w:hAnsiTheme="minorEastAsia" w:eastAsiaTheme="minorEastAsia" w:cstheme="minorEastAsia"/>
          <w:color w:val="auto"/>
          <w:sz w:val="21"/>
          <w:szCs w:val="21"/>
        </w:rPr>
        <w:t>止任何人员移动或损坏上述物品，并立即报告当地文物行政部门，同时通知监理人。发包人、监理人和承包人应按文物行政部门要求采取妥善保护措施，由此导致费用增加和(或)工期延误由发包人承担。</w:t>
      </w:r>
    </w:p>
    <w:p w14:paraId="05D0B879">
      <w:pPr>
        <w:pStyle w:val="8"/>
        <w:ind w:firstLine="412" w:firstLineChars="200"/>
        <w:rPr>
          <w:rFonts w:hint="eastAsia" w:asciiTheme="minorEastAsia" w:hAnsiTheme="minorEastAsia" w:eastAsiaTheme="minorEastAsia" w:cstheme="minorEastAsia"/>
          <w:b/>
          <w:color w:val="auto"/>
          <w:sz w:val="21"/>
          <w:szCs w:val="21"/>
        </w:rPr>
      </w:pPr>
      <w:bookmarkStart w:id="403" w:name="_Toc199321967"/>
      <w:r>
        <w:rPr>
          <w:rFonts w:hint="eastAsia" w:asciiTheme="minorEastAsia" w:hAnsiTheme="minorEastAsia" w:eastAsiaTheme="minorEastAsia" w:cstheme="minorEastAsia"/>
          <w:color w:val="auto"/>
          <w:spacing w:val="-2"/>
          <w:sz w:val="21"/>
          <w:szCs w:val="21"/>
        </w:rPr>
        <w:t>1.10.2 承包人发现文物后不及时报告或隐瞒不报，致使文物丢失或损坏的，应赔偿损失，并承担相应的法律责任。</w:t>
      </w:r>
      <w:bookmarkEnd w:id="403"/>
    </w:p>
    <w:p w14:paraId="15C035AE">
      <w:pPr>
        <w:rPr>
          <w:rFonts w:hint="eastAsia" w:asciiTheme="minorEastAsia" w:hAnsiTheme="minorEastAsia" w:eastAsiaTheme="minorEastAsia" w:cstheme="minorEastAsia"/>
          <w:b/>
          <w:color w:val="auto"/>
          <w:sz w:val="21"/>
          <w:szCs w:val="21"/>
        </w:rPr>
      </w:pPr>
      <w:bookmarkStart w:id="404" w:name="_Toc199321968"/>
      <w:bookmarkStart w:id="405" w:name="_Toc265954592"/>
      <w:bookmarkStart w:id="406" w:name="_Toc265653836"/>
      <w:bookmarkStart w:id="407" w:name="_Toc25911"/>
      <w:bookmarkStart w:id="408" w:name="_Toc265954891"/>
      <w:bookmarkStart w:id="409" w:name="_Toc229450770"/>
      <w:r>
        <w:rPr>
          <w:rFonts w:hint="eastAsia" w:asciiTheme="minorEastAsia" w:hAnsiTheme="minorEastAsia" w:eastAsiaTheme="minorEastAsia" w:cstheme="minorEastAsia"/>
          <w:b/>
          <w:color w:val="auto"/>
          <w:sz w:val="21"/>
          <w:szCs w:val="21"/>
        </w:rPr>
        <w:t>1.11 专利技术</w:t>
      </w:r>
      <w:bookmarkEnd w:id="404"/>
      <w:bookmarkEnd w:id="405"/>
      <w:bookmarkEnd w:id="406"/>
      <w:bookmarkEnd w:id="407"/>
      <w:bookmarkEnd w:id="408"/>
      <w:bookmarkEnd w:id="409"/>
    </w:p>
    <w:p w14:paraId="5CAA0AD9">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1.11.1 承包人在使用任何材料、承包人设备、工程设备或采用施工工艺时，因侵犯专利权或其他知识产权所引起的责任，由承包人承担，但由于遵照发包人提供的设计或技术标和要求引起的除外。</w:t>
      </w:r>
    </w:p>
    <w:p w14:paraId="0F9C28AD">
      <w:pPr>
        <w:pStyle w:val="8"/>
        <w:ind w:left="420" w:left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z w:val="21"/>
          <w:szCs w:val="21"/>
        </w:rPr>
        <w:t>1.11.2 承包人在投标文件中采用专利技术的，专利技术的使用费包含在投标报价内。</w:t>
      </w:r>
      <w:r>
        <w:rPr>
          <w:rFonts w:hint="eastAsia" w:asciiTheme="minorEastAsia" w:hAnsiTheme="minorEastAsia" w:eastAsiaTheme="minorEastAsia" w:cstheme="minorEastAsia"/>
          <w:color w:val="auto"/>
          <w:spacing w:val="-2"/>
          <w:sz w:val="21"/>
          <w:szCs w:val="21"/>
        </w:rPr>
        <w:t>1.11.3 承包人的技术秘密和声明需要保密的资料和信息，发包人和监理人不得为合同</w:t>
      </w:r>
    </w:p>
    <w:p w14:paraId="0A46FDB0">
      <w:pPr>
        <w:pStyle w:val="8"/>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以外的目的泄露给他人。</w:t>
      </w:r>
    </w:p>
    <w:p w14:paraId="4BB76E6F">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1.11.4 合同实施过程中，发包人要求承包人采用专利技术的，发包人应办理和相应的使用手续，承包人应按发包人约定的条件使用，并承担使用专利技术的相关试验工作，所需费用由发包人承担。</w:t>
      </w:r>
    </w:p>
    <w:p w14:paraId="2AE971E7">
      <w:pPr>
        <w:rPr>
          <w:rFonts w:hint="eastAsia" w:asciiTheme="minorEastAsia" w:hAnsiTheme="minorEastAsia" w:eastAsiaTheme="minorEastAsia" w:cstheme="minorEastAsia"/>
          <w:b/>
          <w:color w:val="auto"/>
          <w:sz w:val="21"/>
          <w:szCs w:val="21"/>
        </w:rPr>
      </w:pPr>
      <w:bookmarkStart w:id="410" w:name="_Toc265954892"/>
      <w:bookmarkStart w:id="411" w:name="_Toc10452"/>
      <w:bookmarkStart w:id="412" w:name="_Toc265954593"/>
      <w:bookmarkStart w:id="413" w:name="_Toc229450771"/>
      <w:bookmarkStart w:id="414" w:name="_Toc199321969"/>
      <w:bookmarkStart w:id="415" w:name="_Toc265653837"/>
      <w:r>
        <w:rPr>
          <w:rFonts w:hint="eastAsia" w:asciiTheme="minorEastAsia" w:hAnsiTheme="minorEastAsia" w:eastAsiaTheme="minorEastAsia" w:cstheme="minorEastAsia"/>
          <w:b/>
          <w:color w:val="auto"/>
          <w:sz w:val="21"/>
          <w:szCs w:val="21"/>
        </w:rPr>
        <w:t>1.12 图纸和文件的保密</w:t>
      </w:r>
      <w:bookmarkEnd w:id="410"/>
      <w:bookmarkEnd w:id="411"/>
      <w:bookmarkEnd w:id="412"/>
      <w:bookmarkEnd w:id="413"/>
      <w:bookmarkEnd w:id="414"/>
      <w:bookmarkEnd w:id="415"/>
    </w:p>
    <w:p w14:paraId="4BB6CC0B">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1.12.1 发包人提供的图纸和文件，未经发包人同意，承包人不得为合同以外的目的泄露给他人或公开发表与引用。</w:t>
      </w:r>
    </w:p>
    <w:p w14:paraId="448F018D">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1.12.2 承包人提供的文件，未经承包人同意，发包人和监理人不得为合同以外的目的泄露给他人或公开发表与引用。</w:t>
      </w:r>
    </w:p>
    <w:p w14:paraId="129AEA78">
      <w:pPr>
        <w:rPr>
          <w:rFonts w:hint="eastAsia" w:asciiTheme="minorEastAsia" w:hAnsiTheme="minorEastAsia" w:eastAsiaTheme="minorEastAsia" w:cstheme="minorEastAsia"/>
          <w:b/>
          <w:color w:val="auto"/>
          <w:sz w:val="21"/>
          <w:szCs w:val="21"/>
        </w:rPr>
      </w:pPr>
      <w:bookmarkStart w:id="416" w:name="_Toc265653838"/>
      <w:bookmarkStart w:id="417" w:name="_Toc23439"/>
      <w:bookmarkStart w:id="418" w:name="_Toc265954594"/>
      <w:bookmarkStart w:id="419" w:name="_Toc265954893"/>
      <w:bookmarkStart w:id="420" w:name="_Toc229450772"/>
      <w:r>
        <w:rPr>
          <w:rFonts w:hint="eastAsia" w:asciiTheme="minorEastAsia" w:hAnsiTheme="minorEastAsia" w:eastAsiaTheme="minorEastAsia" w:cstheme="minorEastAsia"/>
          <w:b/>
          <w:color w:val="auto"/>
          <w:sz w:val="21"/>
          <w:szCs w:val="21"/>
        </w:rPr>
        <w:t>2. 发包人义务</w:t>
      </w:r>
      <w:bookmarkEnd w:id="416"/>
      <w:bookmarkEnd w:id="417"/>
      <w:bookmarkEnd w:id="418"/>
      <w:bookmarkEnd w:id="419"/>
      <w:bookmarkEnd w:id="420"/>
    </w:p>
    <w:p w14:paraId="60C2005F">
      <w:pPr>
        <w:rPr>
          <w:rFonts w:hint="eastAsia" w:asciiTheme="minorEastAsia" w:hAnsiTheme="minorEastAsia" w:eastAsiaTheme="minorEastAsia" w:cstheme="minorEastAsia"/>
          <w:b/>
          <w:color w:val="auto"/>
          <w:sz w:val="21"/>
          <w:szCs w:val="21"/>
        </w:rPr>
      </w:pPr>
      <w:bookmarkStart w:id="421" w:name="_Toc229450773"/>
      <w:bookmarkStart w:id="422" w:name="_Toc265954894"/>
      <w:bookmarkStart w:id="423" w:name="_Toc265954595"/>
      <w:bookmarkStart w:id="424" w:name="_Toc29471"/>
      <w:bookmarkStart w:id="425" w:name="_Toc265653839"/>
      <w:r>
        <w:rPr>
          <w:rFonts w:hint="eastAsia" w:asciiTheme="minorEastAsia" w:hAnsiTheme="minorEastAsia" w:eastAsiaTheme="minorEastAsia" w:cstheme="minorEastAsia"/>
          <w:b/>
          <w:color w:val="auto"/>
          <w:sz w:val="21"/>
          <w:szCs w:val="21"/>
        </w:rPr>
        <w:t>2.1 遵守法律</w:t>
      </w:r>
      <w:bookmarkEnd w:id="421"/>
      <w:bookmarkEnd w:id="422"/>
      <w:bookmarkEnd w:id="423"/>
      <w:bookmarkEnd w:id="424"/>
      <w:bookmarkEnd w:id="425"/>
    </w:p>
    <w:p w14:paraId="1C9253B3">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发包人在履行合同过程中应遵守法律，并保证承包人免于承担因发包人违反法律而引起的任何责任。</w:t>
      </w:r>
    </w:p>
    <w:p w14:paraId="5C8682EA">
      <w:pPr>
        <w:rPr>
          <w:rFonts w:hint="eastAsia" w:asciiTheme="minorEastAsia" w:hAnsiTheme="minorEastAsia" w:eastAsiaTheme="minorEastAsia" w:cstheme="minorEastAsia"/>
          <w:b/>
          <w:color w:val="auto"/>
          <w:sz w:val="21"/>
          <w:szCs w:val="21"/>
        </w:rPr>
      </w:pPr>
      <w:bookmarkStart w:id="426" w:name="_Toc265954895"/>
      <w:bookmarkStart w:id="427" w:name="_Toc25561"/>
      <w:bookmarkStart w:id="428" w:name="_Toc229450774"/>
      <w:bookmarkStart w:id="429" w:name="_Toc265653840"/>
      <w:bookmarkStart w:id="430" w:name="_Toc265954596"/>
      <w:r>
        <w:rPr>
          <w:rFonts w:hint="eastAsia" w:asciiTheme="minorEastAsia" w:hAnsiTheme="minorEastAsia" w:eastAsiaTheme="minorEastAsia" w:cstheme="minorEastAsia"/>
          <w:b/>
          <w:color w:val="auto"/>
          <w:sz w:val="21"/>
          <w:szCs w:val="21"/>
        </w:rPr>
        <w:t>2.2 发出开工通知</w:t>
      </w:r>
      <w:bookmarkEnd w:id="426"/>
      <w:bookmarkEnd w:id="427"/>
      <w:bookmarkEnd w:id="428"/>
      <w:bookmarkEnd w:id="429"/>
      <w:bookmarkEnd w:id="430"/>
    </w:p>
    <w:p w14:paraId="5365863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发包人应委托监理人按第11.1款的约定向承包人发出开工通知。</w:t>
      </w:r>
    </w:p>
    <w:p w14:paraId="0A662F7B">
      <w:pPr>
        <w:rPr>
          <w:rFonts w:hint="eastAsia" w:asciiTheme="minorEastAsia" w:hAnsiTheme="minorEastAsia" w:eastAsiaTheme="minorEastAsia" w:cstheme="minorEastAsia"/>
          <w:b/>
          <w:color w:val="auto"/>
          <w:sz w:val="21"/>
          <w:szCs w:val="21"/>
        </w:rPr>
      </w:pPr>
      <w:bookmarkStart w:id="431" w:name="_Toc265954597"/>
      <w:bookmarkStart w:id="432" w:name="_Toc22364"/>
      <w:bookmarkStart w:id="433" w:name="_Toc265653841"/>
      <w:bookmarkStart w:id="434" w:name="_Toc265954896"/>
      <w:bookmarkStart w:id="435" w:name="_Toc229450775"/>
      <w:r>
        <w:rPr>
          <w:rFonts w:hint="eastAsia" w:asciiTheme="minorEastAsia" w:hAnsiTheme="minorEastAsia" w:eastAsiaTheme="minorEastAsia" w:cstheme="minorEastAsia"/>
          <w:b/>
          <w:color w:val="auto"/>
          <w:sz w:val="21"/>
          <w:szCs w:val="21"/>
        </w:rPr>
        <w:t>2.3 提供施工场地</w:t>
      </w:r>
      <w:bookmarkEnd w:id="431"/>
      <w:bookmarkEnd w:id="432"/>
      <w:bookmarkEnd w:id="433"/>
      <w:bookmarkEnd w:id="434"/>
      <w:bookmarkEnd w:id="435"/>
    </w:p>
    <w:p w14:paraId="2F9D59FA">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2.3.1 发包人应在合同双方签订合同协议书后的14天内，将本合同工程的施工场地范围图提交给承包人。发包人提供的施工场地范围图应标明场地范围内永久占地与临时占地范围和界限，以及指明提供给承包人用于施工场地布置和范围和界限及其有关资料。</w:t>
      </w:r>
    </w:p>
    <w:p w14:paraId="0F1EABF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2.3.2 发包人提供的施工用地范围在专用合同条款中约定。</w:t>
      </w:r>
    </w:p>
    <w:p w14:paraId="2CFE3C2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2.3.3 除专用合同条款另有约定外，发包人应按技术标准和要求（合同技术条款）的约定，向承包人提供施工场地内的工程地质图纸和报告，以及地下障碍图纸等施工场地有关资料，并保证资料的真实、准确、完整。</w:t>
      </w:r>
    </w:p>
    <w:p w14:paraId="4881F036">
      <w:pPr>
        <w:rPr>
          <w:rFonts w:hint="eastAsia" w:asciiTheme="minorEastAsia" w:hAnsiTheme="minorEastAsia" w:eastAsiaTheme="minorEastAsia" w:cstheme="minorEastAsia"/>
          <w:b/>
          <w:color w:val="auto"/>
          <w:sz w:val="21"/>
          <w:szCs w:val="21"/>
        </w:rPr>
      </w:pPr>
      <w:bookmarkStart w:id="436" w:name="_Toc265653842"/>
      <w:bookmarkStart w:id="437" w:name="_Toc265954598"/>
      <w:bookmarkStart w:id="438" w:name="_Toc10224"/>
      <w:bookmarkStart w:id="439" w:name="_Toc265954897"/>
      <w:bookmarkStart w:id="440" w:name="_Toc229450776"/>
      <w:r>
        <w:rPr>
          <w:rFonts w:hint="eastAsia" w:asciiTheme="minorEastAsia" w:hAnsiTheme="minorEastAsia" w:eastAsiaTheme="minorEastAsia" w:cstheme="minorEastAsia"/>
          <w:b/>
          <w:color w:val="auto"/>
          <w:sz w:val="21"/>
          <w:szCs w:val="21"/>
        </w:rPr>
        <w:t>2.4 协助承包人办理证件和批件</w:t>
      </w:r>
      <w:bookmarkEnd w:id="436"/>
      <w:bookmarkEnd w:id="437"/>
      <w:bookmarkEnd w:id="438"/>
      <w:bookmarkEnd w:id="439"/>
      <w:bookmarkEnd w:id="440"/>
    </w:p>
    <w:p w14:paraId="10266F4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发包人应协助承包人办理法律规定的有关施工证件和批件。</w:t>
      </w:r>
    </w:p>
    <w:p w14:paraId="4E84529D">
      <w:pPr>
        <w:rPr>
          <w:rFonts w:hint="eastAsia" w:asciiTheme="minorEastAsia" w:hAnsiTheme="minorEastAsia" w:eastAsiaTheme="minorEastAsia" w:cstheme="minorEastAsia"/>
          <w:b/>
          <w:color w:val="auto"/>
          <w:sz w:val="21"/>
          <w:szCs w:val="21"/>
        </w:rPr>
      </w:pPr>
      <w:bookmarkStart w:id="441" w:name="_Toc265954599"/>
      <w:bookmarkStart w:id="442" w:name="_Toc265653843"/>
      <w:bookmarkStart w:id="443" w:name="_Toc229450777"/>
      <w:bookmarkStart w:id="444" w:name="_Toc265954898"/>
      <w:bookmarkStart w:id="445" w:name="_Toc78"/>
      <w:r>
        <w:rPr>
          <w:rFonts w:hint="eastAsia" w:asciiTheme="minorEastAsia" w:hAnsiTheme="minorEastAsia" w:eastAsiaTheme="minorEastAsia" w:cstheme="minorEastAsia"/>
          <w:b/>
          <w:color w:val="auto"/>
          <w:sz w:val="21"/>
          <w:szCs w:val="21"/>
        </w:rPr>
        <w:t>2.5 组织设计交底</w:t>
      </w:r>
      <w:bookmarkEnd w:id="441"/>
      <w:bookmarkEnd w:id="442"/>
      <w:bookmarkEnd w:id="443"/>
      <w:bookmarkEnd w:id="444"/>
      <w:bookmarkEnd w:id="445"/>
    </w:p>
    <w:p w14:paraId="0F08094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发包人应根据合同进度计划，组织设计单位向承包人进行设计交底。</w:t>
      </w:r>
    </w:p>
    <w:p w14:paraId="04536FC0">
      <w:pPr>
        <w:rPr>
          <w:rFonts w:hint="eastAsia" w:asciiTheme="minorEastAsia" w:hAnsiTheme="minorEastAsia" w:eastAsiaTheme="minorEastAsia" w:cstheme="minorEastAsia"/>
          <w:b/>
          <w:color w:val="auto"/>
          <w:sz w:val="21"/>
          <w:szCs w:val="21"/>
        </w:rPr>
      </w:pPr>
      <w:bookmarkStart w:id="446" w:name="_Toc30353"/>
      <w:bookmarkStart w:id="447" w:name="_Toc265954600"/>
      <w:bookmarkStart w:id="448" w:name="_Toc229450778"/>
      <w:bookmarkStart w:id="449" w:name="_Toc265954899"/>
      <w:bookmarkStart w:id="450" w:name="_Toc265653844"/>
      <w:r>
        <w:rPr>
          <w:rFonts w:hint="eastAsia" w:asciiTheme="minorEastAsia" w:hAnsiTheme="minorEastAsia" w:eastAsiaTheme="minorEastAsia" w:cstheme="minorEastAsia"/>
          <w:b/>
          <w:color w:val="auto"/>
          <w:sz w:val="21"/>
          <w:szCs w:val="21"/>
        </w:rPr>
        <w:t>2.6 支付合同价款</w:t>
      </w:r>
      <w:bookmarkEnd w:id="446"/>
      <w:bookmarkEnd w:id="447"/>
      <w:bookmarkEnd w:id="448"/>
      <w:bookmarkEnd w:id="449"/>
      <w:bookmarkEnd w:id="450"/>
    </w:p>
    <w:p w14:paraId="7A2154D1">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发包人应按合同约定向承包人及时支付合同价款。</w:t>
      </w:r>
    </w:p>
    <w:p w14:paraId="7C7DFFAD">
      <w:pPr>
        <w:rPr>
          <w:rFonts w:hint="eastAsia" w:asciiTheme="minorEastAsia" w:hAnsiTheme="minorEastAsia" w:eastAsiaTheme="minorEastAsia" w:cstheme="minorEastAsia"/>
          <w:b/>
          <w:color w:val="auto"/>
          <w:sz w:val="21"/>
          <w:szCs w:val="21"/>
        </w:rPr>
      </w:pPr>
      <w:bookmarkStart w:id="451" w:name="_Toc229450779"/>
      <w:bookmarkStart w:id="452" w:name="_Toc265954900"/>
      <w:bookmarkStart w:id="453" w:name="_Toc265954601"/>
      <w:bookmarkStart w:id="454" w:name="_Toc265653845"/>
      <w:bookmarkStart w:id="455" w:name="_Toc15520"/>
      <w:r>
        <w:rPr>
          <w:rFonts w:hint="eastAsia" w:asciiTheme="minorEastAsia" w:hAnsiTheme="minorEastAsia" w:eastAsiaTheme="minorEastAsia" w:cstheme="minorEastAsia"/>
          <w:b/>
          <w:color w:val="auto"/>
          <w:sz w:val="21"/>
          <w:szCs w:val="21"/>
        </w:rPr>
        <w:t>2.7 组织竣工验收</w:t>
      </w:r>
      <w:bookmarkEnd w:id="451"/>
      <w:r>
        <w:rPr>
          <w:rFonts w:hint="eastAsia" w:asciiTheme="minorEastAsia" w:hAnsiTheme="minorEastAsia" w:eastAsiaTheme="minorEastAsia" w:cstheme="minorEastAsia"/>
          <w:b/>
          <w:color w:val="auto"/>
          <w:sz w:val="21"/>
          <w:szCs w:val="21"/>
        </w:rPr>
        <w:t>（组织法人验收）</w:t>
      </w:r>
      <w:bookmarkEnd w:id="452"/>
      <w:bookmarkEnd w:id="453"/>
      <w:bookmarkEnd w:id="454"/>
      <w:bookmarkEnd w:id="455"/>
    </w:p>
    <w:p w14:paraId="3B70A1D7">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发包人应按合同约定及时组织法人验收。</w:t>
      </w:r>
    </w:p>
    <w:p w14:paraId="71137D20">
      <w:pPr>
        <w:rPr>
          <w:rFonts w:hint="eastAsia" w:asciiTheme="minorEastAsia" w:hAnsiTheme="minorEastAsia" w:eastAsiaTheme="minorEastAsia" w:cstheme="minorEastAsia"/>
          <w:b/>
          <w:color w:val="auto"/>
          <w:sz w:val="21"/>
          <w:szCs w:val="21"/>
        </w:rPr>
      </w:pPr>
      <w:bookmarkStart w:id="456" w:name="_Toc265954602"/>
      <w:bookmarkStart w:id="457" w:name="_Toc15129"/>
      <w:bookmarkStart w:id="458" w:name="_Toc265653846"/>
      <w:bookmarkStart w:id="459" w:name="_Toc229450780"/>
      <w:bookmarkStart w:id="460" w:name="_Toc265954901"/>
      <w:r>
        <w:rPr>
          <w:rFonts w:hint="eastAsia" w:asciiTheme="minorEastAsia" w:hAnsiTheme="minorEastAsia" w:eastAsiaTheme="minorEastAsia" w:cstheme="minorEastAsia"/>
          <w:b/>
          <w:color w:val="auto"/>
          <w:sz w:val="21"/>
          <w:szCs w:val="21"/>
        </w:rPr>
        <w:t>2.8 其他义务</w:t>
      </w:r>
      <w:bookmarkEnd w:id="456"/>
      <w:bookmarkEnd w:id="457"/>
      <w:bookmarkEnd w:id="458"/>
      <w:bookmarkEnd w:id="459"/>
      <w:bookmarkEnd w:id="460"/>
    </w:p>
    <w:p w14:paraId="70DCF82E">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其他义务在专用合同条款中补充约定。</w:t>
      </w:r>
    </w:p>
    <w:p w14:paraId="2270BDE8">
      <w:pPr>
        <w:rPr>
          <w:rFonts w:hint="eastAsia" w:asciiTheme="minorEastAsia" w:hAnsiTheme="minorEastAsia" w:eastAsiaTheme="minorEastAsia" w:cstheme="minorEastAsia"/>
          <w:b/>
          <w:color w:val="auto"/>
          <w:sz w:val="21"/>
          <w:szCs w:val="21"/>
        </w:rPr>
      </w:pPr>
      <w:bookmarkStart w:id="461" w:name="_Toc199321970"/>
      <w:bookmarkStart w:id="462" w:name="_Toc11313"/>
      <w:bookmarkStart w:id="463" w:name="_Toc229450781"/>
      <w:bookmarkStart w:id="464" w:name="_Toc265954902"/>
      <w:bookmarkStart w:id="465" w:name="_Toc265954603"/>
      <w:bookmarkStart w:id="466" w:name="_Toc265653847"/>
      <w:r>
        <w:rPr>
          <w:rFonts w:hint="eastAsia" w:asciiTheme="minorEastAsia" w:hAnsiTheme="minorEastAsia" w:eastAsiaTheme="minorEastAsia" w:cstheme="minorEastAsia"/>
          <w:b/>
          <w:color w:val="auto"/>
          <w:sz w:val="21"/>
          <w:szCs w:val="21"/>
        </w:rPr>
        <w:t>3. 监理人</w:t>
      </w:r>
      <w:bookmarkEnd w:id="461"/>
      <w:bookmarkEnd w:id="462"/>
      <w:bookmarkEnd w:id="463"/>
      <w:bookmarkEnd w:id="464"/>
      <w:bookmarkEnd w:id="465"/>
      <w:bookmarkEnd w:id="466"/>
    </w:p>
    <w:p w14:paraId="4E2E8FB1">
      <w:pPr>
        <w:rPr>
          <w:rFonts w:hint="eastAsia" w:asciiTheme="minorEastAsia" w:hAnsiTheme="minorEastAsia" w:eastAsiaTheme="minorEastAsia" w:cstheme="minorEastAsia"/>
          <w:b/>
          <w:color w:val="auto"/>
          <w:sz w:val="21"/>
          <w:szCs w:val="21"/>
        </w:rPr>
      </w:pPr>
      <w:bookmarkStart w:id="467" w:name="_Toc199321971"/>
      <w:bookmarkStart w:id="468" w:name="_Toc265954604"/>
      <w:bookmarkStart w:id="469" w:name="_Toc265653848"/>
      <w:bookmarkStart w:id="470" w:name="_Toc265954903"/>
      <w:bookmarkStart w:id="471" w:name="_Toc14356"/>
      <w:bookmarkStart w:id="472" w:name="_Toc229450782"/>
      <w:r>
        <w:rPr>
          <w:rFonts w:hint="eastAsia" w:asciiTheme="minorEastAsia" w:hAnsiTheme="minorEastAsia" w:eastAsiaTheme="minorEastAsia" w:cstheme="minorEastAsia"/>
          <w:b/>
          <w:color w:val="auto"/>
          <w:sz w:val="21"/>
          <w:szCs w:val="21"/>
        </w:rPr>
        <w:t>3.1 监理人的职责和权力</w:t>
      </w:r>
      <w:bookmarkEnd w:id="467"/>
      <w:bookmarkEnd w:id="468"/>
      <w:bookmarkEnd w:id="469"/>
      <w:bookmarkEnd w:id="470"/>
      <w:bookmarkEnd w:id="471"/>
      <w:bookmarkEnd w:id="472"/>
    </w:p>
    <w:p w14:paraId="2139B7BD">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3.1.1 监理人受发包人委托，享有合同约定的权力。监理人的权力范围在专用合同条件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69DA4D4E">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3.1.2 监理人发出的任何指示应视为已得到发包人的批准，但监理人无权免除或变更合同约定的发包人和承包人的权利、义务和责任。</w:t>
      </w:r>
    </w:p>
    <w:p w14:paraId="6EC955B9">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3.1.3 合同约定应由承包人承担的义务和责任，不因监理人对承包人提交文件的审查或批准，对工程、材料和设备的检查和检验，以及为实施监理作出的指示等职务行为而减轻或解除。</w:t>
      </w:r>
    </w:p>
    <w:p w14:paraId="544EDE35">
      <w:pPr>
        <w:rPr>
          <w:rFonts w:hint="eastAsia" w:asciiTheme="minorEastAsia" w:hAnsiTheme="minorEastAsia" w:eastAsiaTheme="minorEastAsia" w:cstheme="minorEastAsia"/>
          <w:b/>
          <w:color w:val="auto"/>
          <w:sz w:val="21"/>
          <w:szCs w:val="21"/>
        </w:rPr>
      </w:pPr>
      <w:bookmarkStart w:id="473" w:name="_Toc265653849"/>
      <w:bookmarkStart w:id="474" w:name="_Toc265954904"/>
      <w:bookmarkStart w:id="475" w:name="_Toc229450783"/>
      <w:bookmarkStart w:id="476" w:name="_Toc199321972"/>
      <w:bookmarkStart w:id="477" w:name="_Toc265954605"/>
      <w:bookmarkStart w:id="478" w:name="_Toc18646"/>
      <w:r>
        <w:rPr>
          <w:rFonts w:hint="eastAsia" w:asciiTheme="minorEastAsia" w:hAnsiTheme="minorEastAsia" w:eastAsiaTheme="minorEastAsia" w:cstheme="minorEastAsia"/>
          <w:b/>
          <w:color w:val="auto"/>
          <w:sz w:val="21"/>
          <w:szCs w:val="21"/>
        </w:rPr>
        <w:t>3.2 总监理工程师</w:t>
      </w:r>
      <w:bookmarkEnd w:id="473"/>
      <w:bookmarkEnd w:id="474"/>
      <w:bookmarkEnd w:id="475"/>
      <w:bookmarkEnd w:id="476"/>
      <w:bookmarkEnd w:id="477"/>
      <w:bookmarkEnd w:id="478"/>
    </w:p>
    <w:p w14:paraId="6F72393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发包人应在发出开工通知前将总监理工程师的任命通知承包人。总监理工程师更换时，应在调离14天前通知承包人。总监理工程师短期离开施工场地的，应委派代表代行其职责，并通知承包人。</w:t>
      </w:r>
    </w:p>
    <w:p w14:paraId="1E55CDA7">
      <w:pPr>
        <w:rPr>
          <w:rFonts w:hint="eastAsia" w:asciiTheme="minorEastAsia" w:hAnsiTheme="minorEastAsia" w:eastAsiaTheme="minorEastAsia" w:cstheme="minorEastAsia"/>
          <w:b/>
          <w:color w:val="auto"/>
          <w:sz w:val="21"/>
          <w:szCs w:val="21"/>
        </w:rPr>
      </w:pPr>
      <w:bookmarkStart w:id="479" w:name="_Toc265653850"/>
      <w:bookmarkStart w:id="480" w:name="_Toc265954905"/>
      <w:bookmarkStart w:id="481" w:name="_Toc17275"/>
      <w:bookmarkStart w:id="482" w:name="_Toc265954606"/>
      <w:bookmarkStart w:id="483" w:name="_Toc199321973"/>
      <w:bookmarkStart w:id="484" w:name="_Toc229450784"/>
      <w:r>
        <w:rPr>
          <w:rFonts w:hint="eastAsia" w:asciiTheme="minorEastAsia" w:hAnsiTheme="minorEastAsia" w:eastAsiaTheme="minorEastAsia" w:cstheme="minorEastAsia"/>
          <w:b/>
          <w:color w:val="auto"/>
          <w:sz w:val="21"/>
          <w:szCs w:val="21"/>
        </w:rPr>
        <w:t>3.3 监理人员</w:t>
      </w:r>
      <w:bookmarkEnd w:id="479"/>
      <w:bookmarkEnd w:id="480"/>
      <w:bookmarkEnd w:id="481"/>
      <w:bookmarkEnd w:id="482"/>
      <w:bookmarkEnd w:id="483"/>
      <w:bookmarkEnd w:id="484"/>
    </w:p>
    <w:p w14:paraId="6E53248B">
      <w:pPr>
        <w:pStyle w:val="8"/>
        <w:ind w:firstLine="420" w:firstLineChars="200"/>
        <w:rPr>
          <w:rFonts w:hint="eastAsia" w:asciiTheme="minorEastAsia" w:hAnsiTheme="minorEastAsia" w:eastAsiaTheme="minorEastAsia" w:cstheme="minorEastAsia"/>
          <w:color w:val="auto"/>
          <w:sz w:val="21"/>
          <w:szCs w:val="21"/>
        </w:rPr>
      </w:pPr>
      <w:bookmarkStart w:id="485" w:name="_Toc199321974"/>
      <w:r>
        <w:rPr>
          <w:rFonts w:hint="eastAsia" w:asciiTheme="minorEastAsia" w:hAnsiTheme="minorEastAsia" w:eastAsiaTheme="minorEastAsia" w:cstheme="minorEastAsia"/>
          <w:color w:val="auto"/>
          <w:sz w:val="21"/>
          <w:szCs w:val="21"/>
        </w:rPr>
        <w:t>3.3.1 总监理工程师可以授权其他监理人员负责执行其指派的一项或多项监理工作。总</w:t>
      </w:r>
      <w:bookmarkEnd w:id="485"/>
      <w:r>
        <w:rPr>
          <w:rFonts w:hint="eastAsia" w:asciiTheme="minorEastAsia" w:hAnsiTheme="minorEastAsia" w:eastAsiaTheme="minorEastAsia" w:cstheme="minorEastAsia"/>
          <w:color w:val="auto"/>
          <w:sz w:val="21"/>
          <w:szCs w:val="21"/>
        </w:rPr>
        <w:t>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2C750E21">
      <w:pPr>
        <w:pStyle w:val="8"/>
        <w:ind w:firstLine="420" w:firstLineChars="200"/>
        <w:rPr>
          <w:rFonts w:hint="eastAsia" w:asciiTheme="minorEastAsia" w:hAnsiTheme="minorEastAsia" w:eastAsiaTheme="minorEastAsia" w:cstheme="minorEastAsia"/>
          <w:color w:val="auto"/>
          <w:sz w:val="21"/>
          <w:szCs w:val="21"/>
        </w:rPr>
      </w:pPr>
      <w:bookmarkStart w:id="486" w:name="_Toc199321975"/>
      <w:r>
        <w:rPr>
          <w:rFonts w:hint="eastAsia" w:asciiTheme="minorEastAsia" w:hAnsiTheme="minorEastAsia" w:eastAsiaTheme="minorEastAsia" w:cstheme="minorEastAsia"/>
          <w:color w:val="auto"/>
          <w:sz w:val="21"/>
          <w:szCs w:val="21"/>
        </w:rPr>
        <w:t>3.3.2 监理人员对承包人的任何工作、工程或其采用的材料和工程设备未在约定的或合</w:t>
      </w:r>
      <w:bookmarkEnd w:id="486"/>
      <w:r>
        <w:rPr>
          <w:rFonts w:hint="eastAsia" w:asciiTheme="minorEastAsia" w:hAnsiTheme="minorEastAsia" w:eastAsiaTheme="minorEastAsia" w:cstheme="minorEastAsia"/>
          <w:color w:val="auto"/>
          <w:sz w:val="21"/>
          <w:szCs w:val="21"/>
        </w:rPr>
        <w:t>理的期限内提出否定意见的，视为己获批准，但不影响监理人在以后拒绝该项工作、工程、材料或工程设备的权利。</w:t>
      </w:r>
    </w:p>
    <w:p w14:paraId="66005405">
      <w:pPr>
        <w:pStyle w:val="8"/>
        <w:ind w:firstLine="420" w:firstLineChars="200"/>
        <w:rPr>
          <w:rFonts w:hint="eastAsia" w:asciiTheme="minorEastAsia" w:hAnsiTheme="minorEastAsia" w:eastAsiaTheme="minorEastAsia" w:cstheme="minorEastAsia"/>
          <w:color w:val="auto"/>
          <w:sz w:val="21"/>
          <w:szCs w:val="21"/>
        </w:rPr>
      </w:pPr>
      <w:bookmarkStart w:id="487" w:name="_Toc199321976"/>
      <w:r>
        <w:rPr>
          <w:rFonts w:hint="eastAsia" w:asciiTheme="minorEastAsia" w:hAnsiTheme="minorEastAsia" w:eastAsiaTheme="minorEastAsia" w:cstheme="minorEastAsia"/>
          <w:color w:val="auto"/>
          <w:sz w:val="21"/>
          <w:szCs w:val="21"/>
        </w:rPr>
        <w:t>3.3.3 承包人对总监理工程师授权的监理人员发出的指示有疑问的，可向总监理工程师</w:t>
      </w:r>
      <w:bookmarkEnd w:id="487"/>
      <w:r>
        <w:rPr>
          <w:rFonts w:hint="eastAsia" w:asciiTheme="minorEastAsia" w:hAnsiTheme="minorEastAsia" w:eastAsiaTheme="minorEastAsia" w:cstheme="minorEastAsia"/>
          <w:color w:val="auto"/>
          <w:sz w:val="21"/>
          <w:szCs w:val="21"/>
        </w:rPr>
        <w:t>提出书面异议，总监理工程师应在48小时内对该指示予以确认、更改或撤销。</w:t>
      </w:r>
    </w:p>
    <w:p w14:paraId="7DFB9EF6">
      <w:pPr>
        <w:pStyle w:val="8"/>
        <w:ind w:firstLine="420" w:firstLineChars="200"/>
        <w:rPr>
          <w:rFonts w:hint="eastAsia" w:asciiTheme="minorEastAsia" w:hAnsiTheme="minorEastAsia" w:eastAsiaTheme="minorEastAsia" w:cstheme="minorEastAsia"/>
          <w:color w:val="auto"/>
          <w:sz w:val="21"/>
          <w:szCs w:val="21"/>
        </w:rPr>
      </w:pPr>
      <w:bookmarkStart w:id="488" w:name="_Toc199321977"/>
      <w:r>
        <w:rPr>
          <w:rFonts w:hint="eastAsia" w:asciiTheme="minorEastAsia" w:hAnsiTheme="minorEastAsia" w:eastAsiaTheme="minorEastAsia" w:cstheme="minorEastAsia"/>
          <w:color w:val="auto"/>
          <w:sz w:val="21"/>
          <w:szCs w:val="21"/>
        </w:rPr>
        <w:t>3.3.4</w:t>
      </w: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color w:val="auto"/>
          <w:sz w:val="21"/>
          <w:szCs w:val="21"/>
        </w:rPr>
        <w:t>除专用合同条款另有约定外，总监理工程师不应将第3.5款约定应由总监理工程</w:t>
      </w:r>
      <w:bookmarkEnd w:id="488"/>
      <w:r>
        <w:rPr>
          <w:rFonts w:hint="eastAsia" w:asciiTheme="minorEastAsia" w:hAnsiTheme="minorEastAsia" w:eastAsiaTheme="minorEastAsia" w:cstheme="minorEastAsia"/>
          <w:color w:val="auto"/>
          <w:sz w:val="21"/>
          <w:szCs w:val="21"/>
        </w:rPr>
        <w:t>师作出确定的权力授权或委托给其他监理人员。</w:t>
      </w:r>
    </w:p>
    <w:p w14:paraId="08D06569">
      <w:pPr>
        <w:rPr>
          <w:rFonts w:hint="eastAsia" w:asciiTheme="minorEastAsia" w:hAnsiTheme="minorEastAsia" w:eastAsiaTheme="minorEastAsia" w:cstheme="minorEastAsia"/>
          <w:b/>
          <w:color w:val="auto"/>
          <w:sz w:val="21"/>
          <w:szCs w:val="21"/>
        </w:rPr>
      </w:pPr>
      <w:bookmarkStart w:id="489" w:name="_Toc11840"/>
      <w:bookmarkStart w:id="490" w:name="_Toc229450785"/>
      <w:bookmarkStart w:id="491" w:name="_Toc265653851"/>
      <w:bookmarkStart w:id="492" w:name="_Toc265954607"/>
      <w:bookmarkStart w:id="493" w:name="_Toc265954906"/>
      <w:bookmarkStart w:id="494" w:name="_Toc199321978"/>
      <w:r>
        <w:rPr>
          <w:rFonts w:hint="eastAsia" w:asciiTheme="minorEastAsia" w:hAnsiTheme="minorEastAsia" w:eastAsiaTheme="minorEastAsia" w:cstheme="minorEastAsia"/>
          <w:b/>
          <w:color w:val="auto"/>
          <w:sz w:val="21"/>
          <w:szCs w:val="21"/>
        </w:rPr>
        <w:t>3.4 监理人的指示</w:t>
      </w:r>
      <w:bookmarkEnd w:id="489"/>
      <w:bookmarkEnd w:id="490"/>
      <w:bookmarkEnd w:id="491"/>
      <w:bookmarkEnd w:id="492"/>
      <w:bookmarkEnd w:id="493"/>
      <w:bookmarkEnd w:id="494"/>
    </w:p>
    <w:p w14:paraId="6F9071B2">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3.4.1 监理人应按第3.1 款的约定向承包人发出指示，监理人的指示应盖有监理人授权的施工场地机构章，并由总监理工程师或总监理工程师按第3.3.1项约定授权的监理人员签字。</w:t>
      </w:r>
    </w:p>
    <w:p w14:paraId="1D63BAC0">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3.4.2 承包人收到监理人按第3.4.1项作出的指示后应遵照执行。指示构成变更的，应按第15条处理。</w:t>
      </w:r>
    </w:p>
    <w:p w14:paraId="054074EE">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0EF87225">
      <w:pPr>
        <w:pStyle w:val="8"/>
        <w:ind w:firstLine="412" w:firstLineChars="200"/>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pacing w:val="-2"/>
          <w:sz w:val="21"/>
          <w:szCs w:val="21"/>
        </w:rPr>
        <w:t>3.4.4</w:t>
      </w:r>
      <w:r>
        <w:rPr>
          <w:rFonts w:hint="eastAsia" w:asciiTheme="minorEastAsia" w:hAnsiTheme="minorEastAsia" w:eastAsiaTheme="minorEastAsia" w:cstheme="minorEastAsia"/>
          <w:b/>
          <w:color w:val="auto"/>
          <w:spacing w:val="-2"/>
          <w:sz w:val="21"/>
          <w:szCs w:val="21"/>
        </w:rPr>
        <w:t xml:space="preserve"> </w:t>
      </w:r>
      <w:r>
        <w:rPr>
          <w:rFonts w:hint="eastAsia" w:asciiTheme="minorEastAsia" w:hAnsiTheme="minorEastAsia" w:eastAsiaTheme="minorEastAsia" w:cstheme="minorEastAsia"/>
          <w:color w:val="auto"/>
          <w:spacing w:val="-2"/>
          <w:sz w:val="21"/>
          <w:szCs w:val="21"/>
        </w:rPr>
        <w:t>除合同另有约定外,承包人只从总监理工程师或按第3.3.1项被授权的监理人员处取得指示。</w:t>
      </w:r>
    </w:p>
    <w:p w14:paraId="7AC15E97">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3.4.5</w:t>
      </w: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color w:val="auto"/>
          <w:sz w:val="21"/>
          <w:szCs w:val="21"/>
        </w:rPr>
        <w:t>由于监理人未能按合同约定发出指示、指示延误或指示错误而导致承包人费用增加和(或)工期延误的，由发包人承担赔偿责任。</w:t>
      </w:r>
    </w:p>
    <w:p w14:paraId="3FC5F74B">
      <w:pPr>
        <w:rPr>
          <w:rFonts w:hint="eastAsia" w:asciiTheme="minorEastAsia" w:hAnsiTheme="minorEastAsia" w:eastAsiaTheme="minorEastAsia" w:cstheme="minorEastAsia"/>
          <w:b/>
          <w:color w:val="auto"/>
          <w:sz w:val="21"/>
          <w:szCs w:val="21"/>
        </w:rPr>
      </w:pPr>
      <w:bookmarkStart w:id="495" w:name="_Toc265653852"/>
      <w:bookmarkStart w:id="496" w:name="_Toc31112"/>
      <w:bookmarkStart w:id="497" w:name="_Toc199321979"/>
      <w:bookmarkStart w:id="498" w:name="_Toc265954608"/>
      <w:bookmarkStart w:id="499" w:name="_Toc265954907"/>
      <w:bookmarkStart w:id="500" w:name="_Toc229450786"/>
      <w:r>
        <w:rPr>
          <w:rFonts w:hint="eastAsia" w:asciiTheme="minorEastAsia" w:hAnsiTheme="minorEastAsia" w:eastAsiaTheme="minorEastAsia" w:cstheme="minorEastAsia"/>
          <w:b/>
          <w:color w:val="auto"/>
          <w:sz w:val="21"/>
          <w:szCs w:val="21"/>
        </w:rPr>
        <w:t>3.5 商定或确定</w:t>
      </w:r>
      <w:bookmarkEnd w:id="495"/>
      <w:bookmarkEnd w:id="496"/>
      <w:bookmarkEnd w:id="497"/>
      <w:bookmarkEnd w:id="498"/>
      <w:bookmarkEnd w:id="499"/>
      <w:bookmarkEnd w:id="500"/>
    </w:p>
    <w:p w14:paraId="124D8898">
      <w:pPr>
        <w:pStyle w:val="8"/>
        <w:ind w:firstLine="420" w:firstLineChars="200"/>
        <w:rPr>
          <w:rFonts w:hint="eastAsia" w:asciiTheme="minorEastAsia" w:hAnsiTheme="minorEastAsia" w:eastAsiaTheme="minorEastAsia" w:cstheme="minorEastAsia"/>
          <w:color w:val="auto"/>
          <w:sz w:val="21"/>
          <w:szCs w:val="21"/>
        </w:rPr>
      </w:pPr>
      <w:bookmarkStart w:id="501" w:name="_Toc199321980"/>
      <w:r>
        <w:rPr>
          <w:rFonts w:hint="eastAsia" w:asciiTheme="minorEastAsia" w:hAnsiTheme="minorEastAsia" w:eastAsiaTheme="minorEastAsia" w:cstheme="minorEastAsia"/>
          <w:color w:val="auto"/>
          <w:sz w:val="21"/>
          <w:szCs w:val="21"/>
        </w:rPr>
        <w:t>3.5.1 合同约定总监理工程师应按照本款对任何事项进行商定或确定时，总监理工程师</w:t>
      </w:r>
      <w:bookmarkEnd w:id="501"/>
      <w:r>
        <w:rPr>
          <w:rFonts w:hint="eastAsia" w:asciiTheme="minorEastAsia" w:hAnsiTheme="minorEastAsia" w:eastAsiaTheme="minorEastAsia" w:cstheme="minorEastAsia"/>
          <w:color w:val="auto"/>
          <w:sz w:val="21"/>
          <w:szCs w:val="21"/>
        </w:rPr>
        <w:t>应与合同当事人协商，尽量达成一致。不能达成一致的，总监理工程师应认真研究后审慎确定。</w:t>
      </w:r>
    </w:p>
    <w:p w14:paraId="01ED4FE2">
      <w:pPr>
        <w:pStyle w:val="8"/>
        <w:ind w:firstLine="420" w:firstLineChars="200"/>
        <w:rPr>
          <w:rFonts w:hint="eastAsia" w:asciiTheme="minorEastAsia" w:hAnsiTheme="minorEastAsia" w:eastAsiaTheme="minorEastAsia" w:cstheme="minorEastAsia"/>
          <w:color w:val="auto"/>
          <w:sz w:val="21"/>
          <w:szCs w:val="21"/>
        </w:rPr>
      </w:pPr>
      <w:bookmarkStart w:id="502" w:name="_Toc199321981"/>
      <w:r>
        <w:rPr>
          <w:rFonts w:hint="eastAsia" w:asciiTheme="minorEastAsia" w:hAnsiTheme="minorEastAsia" w:eastAsiaTheme="minorEastAsia" w:cstheme="minorEastAsia"/>
          <w:color w:val="auto"/>
          <w:sz w:val="21"/>
          <w:szCs w:val="21"/>
        </w:rPr>
        <w:t>3.5.2 总监理工程师应将商定或确定的事项通知合同当事人，并附详细依据。对总监理</w:t>
      </w:r>
      <w:bookmarkEnd w:id="502"/>
      <w:r>
        <w:rPr>
          <w:rFonts w:hint="eastAsia" w:asciiTheme="minorEastAsia" w:hAnsiTheme="minorEastAsia" w:eastAsiaTheme="minorEastAsia" w:cstheme="minorEastAsia"/>
          <w:color w:val="auto"/>
          <w:sz w:val="21"/>
          <w:szCs w:val="21"/>
        </w:rPr>
        <w:t>工程师的确定有异议的，构成争议，按照第24 条的约定处理。在争议解决前，双方应暂按总监理工程师的确定执行，按照第24 条的约定对总监理工程师的确定作出修改的，按修改后的结果执行。</w:t>
      </w:r>
    </w:p>
    <w:p w14:paraId="2307933B">
      <w:pPr>
        <w:rPr>
          <w:rFonts w:hint="eastAsia" w:asciiTheme="minorEastAsia" w:hAnsiTheme="minorEastAsia" w:eastAsiaTheme="minorEastAsia" w:cstheme="minorEastAsia"/>
          <w:b/>
          <w:color w:val="auto"/>
          <w:sz w:val="21"/>
          <w:szCs w:val="21"/>
        </w:rPr>
      </w:pPr>
      <w:bookmarkStart w:id="503" w:name="_Toc265653853"/>
      <w:bookmarkStart w:id="504" w:name="_Toc199321982"/>
      <w:bookmarkStart w:id="505" w:name="_Toc265954609"/>
      <w:bookmarkStart w:id="506" w:name="_Toc25051"/>
      <w:bookmarkStart w:id="507" w:name="_Toc265954908"/>
      <w:bookmarkStart w:id="508" w:name="_Toc229450787"/>
      <w:r>
        <w:rPr>
          <w:rFonts w:hint="eastAsia" w:asciiTheme="minorEastAsia" w:hAnsiTheme="minorEastAsia" w:eastAsiaTheme="minorEastAsia" w:cstheme="minorEastAsia"/>
          <w:b/>
          <w:color w:val="auto"/>
          <w:sz w:val="21"/>
          <w:szCs w:val="21"/>
        </w:rPr>
        <w:t>4. 承包人</w:t>
      </w:r>
      <w:bookmarkEnd w:id="503"/>
      <w:bookmarkEnd w:id="504"/>
      <w:bookmarkEnd w:id="505"/>
      <w:bookmarkEnd w:id="506"/>
      <w:bookmarkEnd w:id="507"/>
      <w:bookmarkEnd w:id="508"/>
    </w:p>
    <w:p w14:paraId="7DACF93C">
      <w:pPr>
        <w:rPr>
          <w:rFonts w:hint="eastAsia" w:asciiTheme="minorEastAsia" w:hAnsiTheme="minorEastAsia" w:eastAsiaTheme="minorEastAsia" w:cstheme="minorEastAsia"/>
          <w:b/>
          <w:color w:val="auto"/>
          <w:sz w:val="21"/>
          <w:szCs w:val="21"/>
        </w:rPr>
      </w:pPr>
      <w:bookmarkStart w:id="509" w:name="_Toc265653854"/>
      <w:bookmarkStart w:id="510" w:name="_Toc229450788"/>
      <w:bookmarkStart w:id="511" w:name="_Toc265954909"/>
      <w:bookmarkStart w:id="512" w:name="_Toc17293"/>
      <w:bookmarkStart w:id="513" w:name="_Toc199321983"/>
      <w:bookmarkStart w:id="514" w:name="_Toc265954610"/>
      <w:r>
        <w:rPr>
          <w:rFonts w:hint="eastAsia" w:asciiTheme="minorEastAsia" w:hAnsiTheme="minorEastAsia" w:eastAsiaTheme="minorEastAsia" w:cstheme="minorEastAsia"/>
          <w:b/>
          <w:color w:val="auto"/>
          <w:sz w:val="21"/>
          <w:szCs w:val="21"/>
        </w:rPr>
        <w:t>4.1 承包人的一般义务</w:t>
      </w:r>
      <w:bookmarkEnd w:id="509"/>
      <w:bookmarkEnd w:id="510"/>
      <w:bookmarkEnd w:id="511"/>
      <w:bookmarkEnd w:id="512"/>
      <w:bookmarkEnd w:id="513"/>
      <w:bookmarkEnd w:id="514"/>
    </w:p>
    <w:p w14:paraId="5B80AA39">
      <w:pPr>
        <w:pStyle w:val="8"/>
        <w:ind w:firstLine="422" w:firstLineChars="200"/>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4.1.1遵守法律</w:t>
      </w:r>
    </w:p>
    <w:p w14:paraId="7E55DEB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承包人在履行合同过程中应遵守法律，并保证发包人免于承担因承包人违反法律而引起的任何责任。</w:t>
      </w:r>
    </w:p>
    <w:p w14:paraId="09471309">
      <w:pPr>
        <w:pStyle w:val="8"/>
        <w:ind w:firstLine="422" w:firstLineChars="200"/>
        <w:rPr>
          <w:rFonts w:hint="eastAsia" w:asciiTheme="minorEastAsia" w:hAnsiTheme="minorEastAsia" w:eastAsiaTheme="minorEastAsia" w:cstheme="minorEastAsia"/>
          <w:b/>
          <w:color w:val="auto"/>
          <w:sz w:val="21"/>
          <w:szCs w:val="21"/>
        </w:rPr>
      </w:pPr>
      <w:bookmarkStart w:id="515" w:name="_Toc199321984"/>
      <w:r>
        <w:rPr>
          <w:rFonts w:hint="eastAsia" w:asciiTheme="minorEastAsia" w:hAnsiTheme="minorEastAsia" w:eastAsiaTheme="minorEastAsia" w:cstheme="minorEastAsia"/>
          <w:b/>
          <w:color w:val="auto"/>
          <w:sz w:val="21"/>
          <w:szCs w:val="21"/>
        </w:rPr>
        <w:t>4.1.2 依法纳税</w:t>
      </w:r>
      <w:bookmarkEnd w:id="515"/>
    </w:p>
    <w:p w14:paraId="6BD6EBA6">
      <w:pPr>
        <w:autoSpaceDE w:val="0"/>
        <w:autoSpaceDN w:val="0"/>
        <w:adjustRightInd w:val="0"/>
        <w:ind w:firstLine="31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承包人应按有关法律规定纳税，应缴纳的税金包括在合同价格内。</w:t>
      </w:r>
    </w:p>
    <w:p w14:paraId="5E5154A4">
      <w:pPr>
        <w:pStyle w:val="8"/>
        <w:ind w:firstLine="422" w:firstLineChars="200"/>
        <w:rPr>
          <w:rFonts w:hint="eastAsia" w:asciiTheme="minorEastAsia" w:hAnsiTheme="minorEastAsia" w:eastAsiaTheme="minorEastAsia" w:cstheme="minorEastAsia"/>
          <w:b/>
          <w:color w:val="auto"/>
          <w:sz w:val="21"/>
          <w:szCs w:val="21"/>
        </w:rPr>
      </w:pPr>
      <w:bookmarkStart w:id="516" w:name="_Toc199321985"/>
      <w:r>
        <w:rPr>
          <w:rFonts w:hint="eastAsia" w:asciiTheme="minorEastAsia" w:hAnsiTheme="minorEastAsia" w:eastAsiaTheme="minorEastAsia" w:cstheme="minorEastAsia"/>
          <w:b/>
          <w:color w:val="auto"/>
          <w:sz w:val="21"/>
          <w:szCs w:val="21"/>
        </w:rPr>
        <w:t>4.1.3 完成各项承包工作</w:t>
      </w:r>
      <w:bookmarkEnd w:id="516"/>
    </w:p>
    <w:p w14:paraId="3951B097">
      <w:pPr>
        <w:autoSpaceDE w:val="0"/>
        <w:autoSpaceDN w:val="0"/>
        <w:adjustRightInd w:val="0"/>
        <w:ind w:firstLine="413" w:firstLineChars="197"/>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按合同约定以及监理人根据第3.4款作出的指示，实施、完成全部工程，并修补工程中的任何缺陷。除5.2款、第6.2款另有约定外，承包人应提供为完成合同工作所需的劳务、材料、施工设备、工程设备和其它物品，并按合同约定负责临时设施的设计、建造、运行、维护、管理和拆除。</w:t>
      </w:r>
    </w:p>
    <w:p w14:paraId="19C673E9">
      <w:pPr>
        <w:pStyle w:val="8"/>
        <w:widowControl/>
        <w:ind w:firstLine="422" w:firstLineChars="200"/>
        <w:jc w:val="left"/>
        <w:rPr>
          <w:rFonts w:hint="eastAsia" w:asciiTheme="minorEastAsia" w:hAnsiTheme="minorEastAsia" w:eastAsiaTheme="minorEastAsia" w:cstheme="minorEastAsia"/>
          <w:b/>
          <w:color w:val="auto"/>
          <w:sz w:val="21"/>
          <w:szCs w:val="21"/>
        </w:rPr>
      </w:pPr>
      <w:bookmarkStart w:id="517" w:name="_Toc199321986"/>
      <w:bookmarkStart w:id="518" w:name="_Toc491246724"/>
      <w:bookmarkStart w:id="519" w:name="_Toc488678396"/>
      <w:r>
        <w:rPr>
          <w:rFonts w:hint="eastAsia" w:asciiTheme="minorEastAsia" w:hAnsiTheme="minorEastAsia" w:eastAsiaTheme="minorEastAsia" w:cstheme="minorEastAsia"/>
          <w:b/>
          <w:color w:val="auto"/>
          <w:sz w:val="21"/>
          <w:szCs w:val="21"/>
        </w:rPr>
        <w:t>4.1.4 对施工作业和施工方法的完备性负责</w:t>
      </w:r>
      <w:bookmarkEnd w:id="517"/>
      <w:bookmarkEnd w:id="518"/>
      <w:bookmarkEnd w:id="519"/>
    </w:p>
    <w:p w14:paraId="7F574795">
      <w:pPr>
        <w:widowControl/>
        <w:autoSpaceDE w:val="0"/>
        <w:autoSpaceDN w:val="0"/>
        <w:adjustRightInd w:val="0"/>
        <w:ind w:firstLine="308" w:firstLineChars="147"/>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承包人应按合同约定的工作内容和施工进度要求，编制施工组织设计和施工措施计划，并对所有施工作业和施工方法的完备性和安全可靠性负责。</w:t>
      </w:r>
    </w:p>
    <w:p w14:paraId="0F356E73">
      <w:pPr>
        <w:pStyle w:val="8"/>
        <w:widowControl/>
        <w:ind w:firstLine="422" w:firstLineChars="200"/>
        <w:jc w:val="left"/>
        <w:rPr>
          <w:rFonts w:hint="eastAsia" w:asciiTheme="minorEastAsia" w:hAnsiTheme="minorEastAsia" w:eastAsiaTheme="minorEastAsia" w:cstheme="minorEastAsia"/>
          <w:b/>
          <w:color w:val="auto"/>
          <w:sz w:val="21"/>
          <w:szCs w:val="21"/>
        </w:rPr>
      </w:pPr>
      <w:bookmarkStart w:id="520" w:name="_Toc488678397"/>
      <w:bookmarkStart w:id="521" w:name="_Toc199321987"/>
      <w:bookmarkStart w:id="522" w:name="_Toc491246725"/>
      <w:r>
        <w:rPr>
          <w:rFonts w:hint="eastAsia" w:asciiTheme="minorEastAsia" w:hAnsiTheme="minorEastAsia" w:eastAsiaTheme="minorEastAsia" w:cstheme="minorEastAsia"/>
          <w:b/>
          <w:color w:val="auto"/>
          <w:sz w:val="21"/>
          <w:szCs w:val="21"/>
        </w:rPr>
        <w:t>4.1.5 保证工程施工和人员的安全</w:t>
      </w:r>
      <w:bookmarkEnd w:id="520"/>
      <w:bookmarkEnd w:id="521"/>
      <w:bookmarkEnd w:id="522"/>
    </w:p>
    <w:p w14:paraId="70E40D91">
      <w:pPr>
        <w:widowControl/>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承包人应按第9.2 款约定采取施工安全措施，确保工程及其人员、材料、设备和设施的安全，防止因工程施工造成的人身伤害和财产损失。</w:t>
      </w:r>
    </w:p>
    <w:p w14:paraId="2C0BFC3E">
      <w:pPr>
        <w:pStyle w:val="8"/>
        <w:widowControl/>
        <w:ind w:firstLine="422" w:firstLineChars="200"/>
        <w:jc w:val="left"/>
        <w:rPr>
          <w:rFonts w:hint="eastAsia" w:asciiTheme="minorEastAsia" w:hAnsiTheme="minorEastAsia" w:eastAsiaTheme="minorEastAsia" w:cstheme="minorEastAsia"/>
          <w:b/>
          <w:color w:val="auto"/>
          <w:sz w:val="21"/>
          <w:szCs w:val="21"/>
        </w:rPr>
      </w:pPr>
      <w:bookmarkStart w:id="523" w:name="_Toc199321988"/>
      <w:bookmarkStart w:id="524" w:name="_Toc491246726"/>
      <w:bookmarkStart w:id="525" w:name="_Toc488678398"/>
      <w:r>
        <w:rPr>
          <w:rFonts w:hint="eastAsia" w:asciiTheme="minorEastAsia" w:hAnsiTheme="minorEastAsia" w:eastAsiaTheme="minorEastAsia" w:cstheme="minorEastAsia"/>
          <w:b/>
          <w:color w:val="auto"/>
          <w:sz w:val="21"/>
          <w:szCs w:val="21"/>
        </w:rPr>
        <w:t>4.1.6 负责施工场地及其周边环境与生态的保护工作</w:t>
      </w:r>
      <w:bookmarkEnd w:id="523"/>
      <w:bookmarkEnd w:id="524"/>
      <w:bookmarkEnd w:id="525"/>
    </w:p>
    <w:p w14:paraId="2FD734EB">
      <w:pPr>
        <w:widowControl/>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承包人应按照第9.4款约定负责施工场地及其周边环境与生态的保护工作。</w:t>
      </w:r>
    </w:p>
    <w:p w14:paraId="20D824BD">
      <w:pPr>
        <w:pStyle w:val="8"/>
        <w:widowControl/>
        <w:ind w:firstLine="422" w:firstLineChars="200"/>
        <w:jc w:val="left"/>
        <w:rPr>
          <w:rFonts w:hint="eastAsia" w:asciiTheme="minorEastAsia" w:hAnsiTheme="minorEastAsia" w:eastAsiaTheme="minorEastAsia" w:cstheme="minorEastAsia"/>
          <w:b/>
          <w:color w:val="auto"/>
          <w:sz w:val="21"/>
          <w:szCs w:val="21"/>
        </w:rPr>
      </w:pPr>
      <w:bookmarkStart w:id="526" w:name="_Toc199321989"/>
      <w:bookmarkStart w:id="527" w:name="_Toc488678399"/>
      <w:bookmarkStart w:id="528" w:name="_Toc491246727"/>
      <w:r>
        <w:rPr>
          <w:rFonts w:hint="eastAsia" w:asciiTheme="minorEastAsia" w:hAnsiTheme="minorEastAsia" w:eastAsiaTheme="minorEastAsia" w:cstheme="minorEastAsia"/>
          <w:b/>
          <w:color w:val="auto"/>
          <w:sz w:val="21"/>
          <w:szCs w:val="21"/>
        </w:rPr>
        <w:t>4.1.7 避免施工对公众与他人的利益造成损害</w:t>
      </w:r>
      <w:bookmarkEnd w:id="526"/>
      <w:bookmarkEnd w:id="527"/>
      <w:bookmarkEnd w:id="528"/>
    </w:p>
    <w:p w14:paraId="11C0EF67">
      <w:pPr>
        <w:widowControl/>
        <w:autoSpaceDE w:val="0"/>
        <w:autoSpaceDN w:val="0"/>
        <w:adjustRightInd w:val="0"/>
        <w:ind w:firstLine="420" w:firstLineChars="200"/>
        <w:jc w:val="left"/>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color w:val="auto"/>
          <w:kern w:val="0"/>
          <w:sz w:val="21"/>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1A8CD0D">
      <w:pPr>
        <w:pStyle w:val="8"/>
        <w:widowControl/>
        <w:ind w:firstLine="422" w:firstLineChars="200"/>
        <w:jc w:val="left"/>
        <w:rPr>
          <w:rFonts w:hint="eastAsia" w:asciiTheme="minorEastAsia" w:hAnsiTheme="minorEastAsia" w:eastAsiaTheme="minorEastAsia" w:cstheme="minorEastAsia"/>
          <w:b/>
          <w:color w:val="auto"/>
          <w:sz w:val="21"/>
          <w:szCs w:val="21"/>
        </w:rPr>
      </w:pPr>
      <w:bookmarkStart w:id="529" w:name="_Toc491246728"/>
      <w:bookmarkStart w:id="530" w:name="_Toc199321990"/>
      <w:bookmarkStart w:id="531" w:name="_Toc488678400"/>
      <w:r>
        <w:rPr>
          <w:rFonts w:hint="eastAsia" w:asciiTheme="minorEastAsia" w:hAnsiTheme="minorEastAsia" w:eastAsiaTheme="minorEastAsia" w:cstheme="minorEastAsia"/>
          <w:b/>
          <w:color w:val="auto"/>
          <w:sz w:val="21"/>
          <w:szCs w:val="21"/>
        </w:rPr>
        <w:t>4.1.8 为他人提供方便</w:t>
      </w:r>
      <w:bookmarkEnd w:id="529"/>
      <w:bookmarkEnd w:id="530"/>
      <w:bookmarkEnd w:id="531"/>
    </w:p>
    <w:p w14:paraId="19C9F68A">
      <w:pPr>
        <w:widowControl/>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承包人应按监理人的指示为他人在施工场地或附近实施与工程有关的其他各项工作提供可能的条件。除合同另有约定外，提供有关条件的内容和可能发生的费用，由监理人按第</w:t>
      </w:r>
      <w:bookmarkStart w:id="532" w:name="_Toc199321991"/>
      <w:r>
        <w:rPr>
          <w:rFonts w:hint="eastAsia" w:asciiTheme="minorEastAsia" w:hAnsiTheme="minorEastAsia" w:eastAsiaTheme="minorEastAsia" w:cstheme="minorEastAsia"/>
          <w:color w:val="auto"/>
          <w:kern w:val="0"/>
          <w:sz w:val="21"/>
          <w:szCs w:val="21"/>
        </w:rPr>
        <w:t>3.5 款商定或确定</w:t>
      </w:r>
      <w:bookmarkEnd w:id="532"/>
      <w:r>
        <w:rPr>
          <w:rFonts w:hint="eastAsia" w:asciiTheme="minorEastAsia" w:hAnsiTheme="minorEastAsia" w:eastAsiaTheme="minorEastAsia" w:cstheme="minorEastAsia"/>
          <w:color w:val="auto"/>
          <w:kern w:val="0"/>
          <w:sz w:val="21"/>
          <w:szCs w:val="21"/>
        </w:rPr>
        <w:t>。</w:t>
      </w:r>
    </w:p>
    <w:p w14:paraId="1588654B">
      <w:pPr>
        <w:pStyle w:val="8"/>
        <w:widowControl/>
        <w:ind w:firstLine="422" w:firstLineChars="200"/>
        <w:jc w:val="left"/>
        <w:rPr>
          <w:rFonts w:hint="eastAsia" w:asciiTheme="minorEastAsia" w:hAnsiTheme="minorEastAsia" w:eastAsiaTheme="minorEastAsia" w:cstheme="minorEastAsia"/>
          <w:b/>
          <w:color w:val="auto"/>
          <w:sz w:val="21"/>
          <w:szCs w:val="21"/>
        </w:rPr>
      </w:pPr>
      <w:bookmarkStart w:id="533" w:name="_Toc199321992"/>
      <w:bookmarkStart w:id="534" w:name="_Toc488678401"/>
      <w:bookmarkStart w:id="535" w:name="_Toc491246729"/>
      <w:r>
        <w:rPr>
          <w:rFonts w:hint="eastAsia" w:asciiTheme="minorEastAsia" w:hAnsiTheme="minorEastAsia" w:eastAsiaTheme="minorEastAsia" w:cstheme="minorEastAsia"/>
          <w:b/>
          <w:color w:val="auto"/>
          <w:sz w:val="21"/>
          <w:szCs w:val="21"/>
        </w:rPr>
        <w:t>4.1.9 工程的维护和照管</w:t>
      </w:r>
      <w:bookmarkEnd w:id="533"/>
      <w:bookmarkEnd w:id="534"/>
      <w:bookmarkEnd w:id="535"/>
    </w:p>
    <w:p w14:paraId="6176C4D7">
      <w:pPr>
        <w:widowControl/>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796B2C7E">
      <w:pPr>
        <w:pStyle w:val="8"/>
        <w:widowControl/>
        <w:ind w:firstLine="422" w:firstLineChars="200"/>
        <w:jc w:val="left"/>
        <w:rPr>
          <w:rFonts w:hint="eastAsia" w:asciiTheme="minorEastAsia" w:hAnsiTheme="minorEastAsia" w:eastAsiaTheme="minorEastAsia" w:cstheme="minorEastAsia"/>
          <w:b/>
          <w:color w:val="auto"/>
          <w:sz w:val="21"/>
          <w:szCs w:val="21"/>
        </w:rPr>
      </w:pPr>
      <w:bookmarkStart w:id="536" w:name="_Toc491246730"/>
      <w:bookmarkStart w:id="537" w:name="_Toc488678402"/>
      <w:bookmarkStart w:id="538" w:name="_Toc199321993"/>
      <w:r>
        <w:rPr>
          <w:rFonts w:hint="eastAsia" w:asciiTheme="minorEastAsia" w:hAnsiTheme="minorEastAsia" w:eastAsiaTheme="minorEastAsia" w:cstheme="minorEastAsia"/>
          <w:b/>
          <w:color w:val="auto"/>
          <w:sz w:val="21"/>
          <w:szCs w:val="21"/>
        </w:rPr>
        <w:t>4.1.10 其他义务</w:t>
      </w:r>
      <w:bookmarkEnd w:id="536"/>
      <w:bookmarkEnd w:id="537"/>
      <w:bookmarkEnd w:id="538"/>
    </w:p>
    <w:p w14:paraId="6DDC1AC3">
      <w:pPr>
        <w:widowControl/>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其它义务在专用合同条款中补充约定。</w:t>
      </w:r>
    </w:p>
    <w:p w14:paraId="41F48433">
      <w:pPr>
        <w:rPr>
          <w:rFonts w:hint="eastAsia" w:asciiTheme="minorEastAsia" w:hAnsiTheme="minorEastAsia" w:eastAsiaTheme="minorEastAsia" w:cstheme="minorEastAsia"/>
          <w:b/>
          <w:color w:val="auto"/>
          <w:sz w:val="21"/>
          <w:szCs w:val="21"/>
        </w:rPr>
      </w:pPr>
      <w:bookmarkStart w:id="539" w:name="_Toc229450790"/>
      <w:bookmarkStart w:id="540" w:name="_Toc199321995"/>
      <w:bookmarkStart w:id="541" w:name="_Toc265653856"/>
      <w:bookmarkStart w:id="542" w:name="_Toc14905"/>
      <w:bookmarkStart w:id="543" w:name="_Toc265954911"/>
      <w:bookmarkStart w:id="544" w:name="_Toc265954612"/>
      <w:r>
        <w:rPr>
          <w:rFonts w:hint="eastAsia" w:asciiTheme="minorEastAsia" w:hAnsiTheme="minorEastAsia" w:eastAsiaTheme="minorEastAsia" w:cstheme="minorEastAsia"/>
          <w:b/>
          <w:color w:val="auto"/>
          <w:sz w:val="21"/>
          <w:szCs w:val="21"/>
        </w:rPr>
        <w:t>4.</w:t>
      </w:r>
      <w:r>
        <w:rPr>
          <w:rFonts w:hint="eastAsia" w:asciiTheme="minorEastAsia" w:hAnsiTheme="minorEastAsia" w:eastAsiaTheme="minorEastAsia" w:cstheme="minorEastAsia"/>
          <w:b/>
          <w:color w:val="auto"/>
          <w:sz w:val="21"/>
          <w:szCs w:val="21"/>
          <w:lang w:val="en-US" w:eastAsia="zh-CN"/>
        </w:rPr>
        <w:t>2</w:t>
      </w:r>
      <w:r>
        <w:rPr>
          <w:rFonts w:hint="eastAsia" w:asciiTheme="minorEastAsia" w:hAnsiTheme="minorEastAsia" w:eastAsiaTheme="minorEastAsia" w:cstheme="minorEastAsia"/>
          <w:b/>
          <w:color w:val="auto"/>
          <w:sz w:val="21"/>
          <w:szCs w:val="21"/>
        </w:rPr>
        <w:t xml:space="preserve"> 分包</w:t>
      </w:r>
      <w:bookmarkEnd w:id="539"/>
      <w:bookmarkEnd w:id="540"/>
      <w:bookmarkEnd w:id="541"/>
      <w:bookmarkEnd w:id="542"/>
      <w:bookmarkEnd w:id="543"/>
      <w:bookmarkEnd w:id="544"/>
    </w:p>
    <w:p w14:paraId="4E9C7758">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.1 承包人不得将其承包的全部工程转包给第三人，或将其承包的全部工程肢解后以分包的名义转包给第三人。</w:t>
      </w:r>
    </w:p>
    <w:p w14:paraId="60FEC9E6">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.2 承包人不得将工程主体、关键性工作分包给第三人。除专用合同条款另有约定外，未经发包人同意，承包人不得将工程的其他部分或工作分包给第三人。</w:t>
      </w:r>
    </w:p>
    <w:p w14:paraId="55D08448">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.3</w:t>
      </w: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color w:val="auto"/>
          <w:sz w:val="21"/>
          <w:szCs w:val="21"/>
        </w:rPr>
        <w:t>分包人的资格能力应与其分包工程的标准和规模相适应。</w:t>
      </w:r>
    </w:p>
    <w:p w14:paraId="0B0FF016">
      <w:pPr>
        <w:pStyle w:val="8"/>
        <w:ind w:left="420" w:left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color w:val="auto"/>
          <w:sz w:val="21"/>
          <w:szCs w:val="21"/>
        </w:rPr>
        <w:t>按投标函附录约定分包工程的，承包人应向发包人和监理人提交分包合同副本。</w:t>
      </w:r>
    </w:p>
    <w:p w14:paraId="6449541E">
      <w:pPr>
        <w:pStyle w:val="8"/>
        <w:ind w:left="420" w:left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.5 承包人应与分包人就分包工程向发包人承担连带责任。</w:t>
      </w:r>
    </w:p>
    <w:p w14:paraId="3B39E224">
      <w:pPr>
        <w:pStyle w:val="8"/>
        <w:ind w:left="420" w:left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.6 分包分为工程分包和劳务作业分包。工程分包应遵循合同约定或者经发包人书面认可。禁止承包人将本合同进行违法分包。分包人应具备与分包工程规模和标准相适应的资质和业绩，在人力、设备、资金等方面具有承担分包工程施工的能力。分包人应自行完成所承包的任务。</w:t>
      </w:r>
    </w:p>
    <w:p w14:paraId="011BFBF1">
      <w:pPr>
        <w:pStyle w:val="8"/>
        <w:ind w:left="420" w:left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028D1114">
      <w:pPr>
        <w:pStyle w:val="8"/>
        <w:ind w:left="420" w:leftChars="200" w:firstLine="315" w:firstLineChars="15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由指定分包人造成的与其分包工作有关的一切索赔、诉讼和损失赔偿由分包人直接对发包人负责，承包人不对此承担责任。</w:t>
      </w:r>
    </w:p>
    <w:p w14:paraId="77E989E6">
      <w:pPr>
        <w:pStyle w:val="8"/>
        <w:ind w:left="420" w:left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424D892D">
      <w:pPr>
        <w:pStyle w:val="8"/>
        <w:ind w:left="420" w:left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.9 除第4.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.7项规定的指定分包外，承包人对其分包项目的实施以及分包人的行为向发包人负全部责任。承包人应对分包外项目的工程进度、质量、安全、计量和验收等实施监督和管理。</w:t>
      </w:r>
    </w:p>
    <w:p w14:paraId="48EF825C">
      <w:pPr>
        <w:pStyle w:val="8"/>
        <w:ind w:left="420" w:left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.10分包人应按专用合同条款的约定设立项目管理机构组织管理分包工程的施工活动。</w:t>
      </w:r>
    </w:p>
    <w:p w14:paraId="3C7D441E">
      <w:pPr>
        <w:rPr>
          <w:rFonts w:hint="eastAsia" w:asciiTheme="minorEastAsia" w:hAnsiTheme="minorEastAsia" w:eastAsiaTheme="minorEastAsia" w:cstheme="minorEastAsia"/>
          <w:b/>
          <w:color w:val="auto"/>
          <w:sz w:val="21"/>
          <w:szCs w:val="21"/>
        </w:rPr>
      </w:pPr>
      <w:bookmarkStart w:id="545" w:name="_Toc19481"/>
      <w:bookmarkStart w:id="546" w:name="_Toc199321996"/>
      <w:bookmarkStart w:id="547" w:name="_Toc229450791"/>
      <w:bookmarkStart w:id="548" w:name="_Toc265954613"/>
      <w:bookmarkStart w:id="549" w:name="_Toc265954912"/>
      <w:bookmarkStart w:id="550" w:name="_Toc265653857"/>
      <w:r>
        <w:rPr>
          <w:rFonts w:hint="eastAsia" w:asciiTheme="minorEastAsia" w:hAnsiTheme="minorEastAsia" w:eastAsiaTheme="minorEastAsia" w:cstheme="minorEastAsia"/>
          <w:b/>
          <w:color w:val="auto"/>
          <w:sz w:val="21"/>
          <w:szCs w:val="21"/>
        </w:rPr>
        <w:t>4.</w:t>
      </w:r>
      <w:r>
        <w:rPr>
          <w:rFonts w:hint="eastAsia" w:asciiTheme="minorEastAsia" w:hAnsiTheme="minorEastAsia" w:eastAsiaTheme="minorEastAsia" w:cstheme="minorEastAsia"/>
          <w:b/>
          <w:color w:val="auto"/>
          <w:sz w:val="21"/>
          <w:szCs w:val="21"/>
          <w:lang w:val="en-US" w:eastAsia="zh-CN"/>
        </w:rPr>
        <w:t>3</w:t>
      </w:r>
      <w:r>
        <w:rPr>
          <w:rFonts w:hint="eastAsia" w:asciiTheme="minorEastAsia" w:hAnsiTheme="minorEastAsia" w:eastAsiaTheme="minorEastAsia" w:cstheme="minorEastAsia"/>
          <w:b/>
          <w:color w:val="auto"/>
          <w:sz w:val="21"/>
          <w:szCs w:val="21"/>
        </w:rPr>
        <w:t>联合体</w:t>
      </w:r>
      <w:bookmarkEnd w:id="545"/>
      <w:bookmarkEnd w:id="546"/>
      <w:bookmarkEnd w:id="547"/>
      <w:bookmarkEnd w:id="548"/>
      <w:bookmarkEnd w:id="549"/>
      <w:bookmarkEnd w:id="550"/>
    </w:p>
    <w:p w14:paraId="75E722CD">
      <w:pPr>
        <w:rPr>
          <w:rFonts w:hint="default" w:asciiTheme="minorEastAsia" w:hAnsiTheme="minorEastAsia" w:eastAsiaTheme="minorEastAsia" w:cstheme="minorEastAsia"/>
          <w:color w:val="auto"/>
          <w:sz w:val="21"/>
          <w:szCs w:val="21"/>
          <w:lang w:val="en-US" w:eastAsia="zh-CN"/>
        </w:rPr>
      </w:pPr>
      <w:bookmarkStart w:id="551" w:name="_Toc265954913"/>
      <w:bookmarkStart w:id="552" w:name="_Toc229450792"/>
      <w:bookmarkStart w:id="553" w:name="_Toc265653858"/>
      <w:bookmarkStart w:id="554" w:name="_Toc26399"/>
      <w:bookmarkStart w:id="555" w:name="_Toc265954614"/>
      <w:bookmarkStart w:id="556" w:name="_Toc199322000"/>
      <w:r>
        <w:rPr>
          <w:rFonts w:hint="eastAsia" w:asciiTheme="minorEastAsia" w:hAnsiTheme="minorEastAsia" w:eastAsiaTheme="minorEastAsia" w:cstheme="minorEastAsia"/>
          <w:color w:val="auto"/>
          <w:sz w:val="21"/>
          <w:szCs w:val="21"/>
          <w:lang w:val="en-US" w:eastAsia="zh-CN"/>
        </w:rPr>
        <w:t>本项目不接受联合体投标</w:t>
      </w:r>
    </w:p>
    <w:p w14:paraId="559F18D1">
      <w:pP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4.</w:t>
      </w:r>
      <w:r>
        <w:rPr>
          <w:rFonts w:hint="eastAsia" w:asciiTheme="minorEastAsia" w:hAnsiTheme="minorEastAsia" w:eastAsiaTheme="minorEastAsia" w:cstheme="minorEastAsia"/>
          <w:b/>
          <w:color w:val="auto"/>
          <w:sz w:val="21"/>
          <w:szCs w:val="21"/>
          <w:lang w:val="en-US" w:eastAsia="zh-CN"/>
        </w:rPr>
        <w:t>4</w:t>
      </w:r>
      <w:r>
        <w:rPr>
          <w:rFonts w:hint="eastAsia" w:asciiTheme="minorEastAsia" w:hAnsiTheme="minorEastAsia" w:eastAsiaTheme="minorEastAsia" w:cstheme="minorEastAsia"/>
          <w:b/>
          <w:color w:val="auto"/>
          <w:sz w:val="21"/>
          <w:szCs w:val="21"/>
        </w:rPr>
        <w:t xml:space="preserve"> 承包人项目经理</w:t>
      </w:r>
      <w:bookmarkEnd w:id="551"/>
      <w:bookmarkEnd w:id="552"/>
      <w:bookmarkEnd w:id="553"/>
      <w:bookmarkEnd w:id="554"/>
      <w:bookmarkEnd w:id="555"/>
      <w:bookmarkEnd w:id="556"/>
    </w:p>
    <w:p w14:paraId="3A8B250D">
      <w:pPr>
        <w:pStyle w:val="8"/>
        <w:ind w:firstLine="420" w:firstLineChars="200"/>
        <w:rPr>
          <w:rFonts w:hint="eastAsia" w:asciiTheme="minorEastAsia" w:hAnsiTheme="minorEastAsia" w:eastAsiaTheme="minorEastAsia" w:cstheme="minorEastAsia"/>
          <w:color w:val="auto"/>
          <w:sz w:val="21"/>
          <w:szCs w:val="21"/>
        </w:rPr>
      </w:pPr>
      <w:bookmarkStart w:id="557" w:name="_Toc199322001"/>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rPr>
        <w:t>.1 承包人应按合同约定指派项目经理，并在约定的期限内到职。承包人更换项目经</w:t>
      </w:r>
      <w:bookmarkEnd w:id="557"/>
      <w:r>
        <w:rPr>
          <w:rFonts w:hint="eastAsia" w:asciiTheme="minorEastAsia" w:hAnsiTheme="minorEastAsia" w:eastAsiaTheme="minorEastAsia" w:cstheme="minorEastAsia"/>
          <w:color w:val="auto"/>
          <w:sz w:val="21"/>
          <w:szCs w:val="21"/>
        </w:rPr>
        <w:t>理应事先征得发包人同意，并应在更换14天前通知发包人和监理人。承包人项目经理短期离开施工场地，应事先征得监理人同意，并委派代表代行其职责。</w:t>
      </w:r>
    </w:p>
    <w:p w14:paraId="43670A85">
      <w:pPr>
        <w:pStyle w:val="8"/>
        <w:ind w:firstLine="420" w:firstLineChars="200"/>
        <w:rPr>
          <w:rFonts w:hint="eastAsia" w:asciiTheme="minorEastAsia" w:hAnsiTheme="minorEastAsia" w:eastAsiaTheme="minorEastAsia" w:cstheme="minorEastAsia"/>
          <w:color w:val="auto"/>
          <w:sz w:val="21"/>
          <w:szCs w:val="21"/>
        </w:rPr>
      </w:pPr>
      <w:bookmarkStart w:id="558" w:name="_Toc199322002"/>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rPr>
        <w:t>.2 承包人项目经理应按合同约定以及监理人接第3.4款作出的指示，负责组织合同</w:t>
      </w:r>
      <w:bookmarkEnd w:id="558"/>
      <w:r>
        <w:rPr>
          <w:rFonts w:hint="eastAsia" w:asciiTheme="minorEastAsia" w:hAnsiTheme="minorEastAsia" w:eastAsiaTheme="minorEastAsia" w:cstheme="minorEastAsia"/>
          <w:color w:val="auto"/>
          <w:sz w:val="21"/>
          <w:szCs w:val="21"/>
        </w:rPr>
        <w:t>工程的实施。在情况紧急且无法与监理人取得联系时，可采取保证工程和人员生命财产安全的紧急措施，并在采取措施后24小时内向监理人提交书面报告。</w:t>
      </w:r>
    </w:p>
    <w:p w14:paraId="7CF95827">
      <w:pPr>
        <w:pStyle w:val="8"/>
        <w:ind w:firstLine="420" w:firstLineChars="200"/>
        <w:rPr>
          <w:rFonts w:hint="eastAsia" w:asciiTheme="minorEastAsia" w:hAnsiTheme="minorEastAsia" w:eastAsiaTheme="minorEastAsia" w:cstheme="minorEastAsia"/>
          <w:color w:val="auto"/>
          <w:sz w:val="21"/>
          <w:szCs w:val="21"/>
        </w:rPr>
      </w:pPr>
      <w:bookmarkStart w:id="559" w:name="_Toc199322003"/>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rPr>
        <w:t>.3 承包人为履行合同发出的一切函件均应盖有承包人授权的施工场地管理机构章，</w:t>
      </w:r>
      <w:bookmarkEnd w:id="559"/>
      <w:r>
        <w:rPr>
          <w:rFonts w:hint="eastAsia" w:asciiTheme="minorEastAsia" w:hAnsiTheme="minorEastAsia" w:eastAsiaTheme="minorEastAsia" w:cstheme="minorEastAsia"/>
          <w:color w:val="auto"/>
          <w:sz w:val="21"/>
          <w:szCs w:val="21"/>
        </w:rPr>
        <w:t>并由承包人项目经理或其授权代表签字。</w:t>
      </w:r>
    </w:p>
    <w:p w14:paraId="13EA34C6">
      <w:pPr>
        <w:pStyle w:val="8"/>
        <w:ind w:firstLine="420" w:firstLineChars="200"/>
        <w:rPr>
          <w:rFonts w:hint="eastAsia" w:asciiTheme="minorEastAsia" w:hAnsiTheme="minorEastAsia" w:eastAsiaTheme="minorEastAsia" w:cstheme="minorEastAsia"/>
          <w:color w:val="auto"/>
          <w:sz w:val="21"/>
          <w:szCs w:val="21"/>
        </w:rPr>
      </w:pPr>
      <w:bookmarkStart w:id="560" w:name="_Toc199322004"/>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rPr>
        <w:t>.4 承包人项目经理可以授权其下属人员履行其某项职责，但事先应将这些人员的姓</w:t>
      </w:r>
      <w:bookmarkEnd w:id="560"/>
      <w:r>
        <w:rPr>
          <w:rFonts w:hint="eastAsia" w:asciiTheme="minorEastAsia" w:hAnsiTheme="minorEastAsia" w:eastAsiaTheme="minorEastAsia" w:cstheme="minorEastAsia"/>
          <w:color w:val="auto"/>
          <w:sz w:val="21"/>
          <w:szCs w:val="21"/>
        </w:rPr>
        <w:t>名和授权范围通知监理人。</w:t>
      </w:r>
    </w:p>
    <w:p w14:paraId="111A5BE9">
      <w:pPr>
        <w:rPr>
          <w:rFonts w:hint="eastAsia" w:asciiTheme="minorEastAsia" w:hAnsiTheme="minorEastAsia" w:eastAsiaTheme="minorEastAsia" w:cstheme="minorEastAsia"/>
          <w:b/>
          <w:color w:val="auto"/>
          <w:sz w:val="21"/>
          <w:szCs w:val="21"/>
        </w:rPr>
      </w:pPr>
      <w:bookmarkStart w:id="561" w:name="_Toc23432"/>
      <w:bookmarkStart w:id="562" w:name="_Toc265954914"/>
      <w:bookmarkStart w:id="563" w:name="_Toc265653859"/>
      <w:bookmarkStart w:id="564" w:name="_Toc229450793"/>
      <w:bookmarkStart w:id="565" w:name="_Toc199322005"/>
      <w:bookmarkStart w:id="566" w:name="_Toc265954615"/>
      <w:r>
        <w:rPr>
          <w:rFonts w:hint="eastAsia" w:asciiTheme="minorEastAsia" w:hAnsiTheme="minorEastAsia" w:eastAsiaTheme="minorEastAsia" w:cstheme="minorEastAsia"/>
          <w:b/>
          <w:color w:val="auto"/>
          <w:sz w:val="21"/>
          <w:szCs w:val="21"/>
        </w:rPr>
        <w:t>4.</w:t>
      </w:r>
      <w:r>
        <w:rPr>
          <w:rFonts w:hint="eastAsia" w:asciiTheme="minorEastAsia" w:hAnsiTheme="minorEastAsia" w:eastAsiaTheme="minorEastAsia" w:cstheme="minorEastAsia"/>
          <w:b/>
          <w:color w:val="auto"/>
          <w:sz w:val="21"/>
          <w:szCs w:val="21"/>
          <w:lang w:val="en-US" w:eastAsia="zh-CN"/>
        </w:rPr>
        <w:t>5</w:t>
      </w:r>
      <w:r>
        <w:rPr>
          <w:rFonts w:hint="eastAsia" w:asciiTheme="minorEastAsia" w:hAnsiTheme="minorEastAsia" w:eastAsiaTheme="minorEastAsia" w:cstheme="minorEastAsia"/>
          <w:b/>
          <w:color w:val="auto"/>
          <w:sz w:val="21"/>
          <w:szCs w:val="21"/>
        </w:rPr>
        <w:t xml:space="preserve"> 承包人人员的管理</w:t>
      </w:r>
      <w:bookmarkEnd w:id="561"/>
      <w:bookmarkEnd w:id="562"/>
      <w:bookmarkEnd w:id="563"/>
      <w:bookmarkEnd w:id="564"/>
      <w:bookmarkEnd w:id="565"/>
      <w:bookmarkEnd w:id="566"/>
    </w:p>
    <w:p w14:paraId="048A134D">
      <w:pPr>
        <w:pStyle w:val="8"/>
        <w:ind w:firstLine="396" w:firstLineChars="200"/>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rPr>
        <w:t>4.</w:t>
      </w:r>
      <w:r>
        <w:rPr>
          <w:rFonts w:hint="eastAsia" w:asciiTheme="minorEastAsia" w:hAnsiTheme="minorEastAsia" w:eastAsiaTheme="minorEastAsia" w:cstheme="minorEastAsia"/>
          <w:color w:val="auto"/>
          <w:spacing w:val="-6"/>
          <w:sz w:val="21"/>
          <w:szCs w:val="21"/>
          <w:lang w:val="en-US" w:eastAsia="zh-CN"/>
        </w:rPr>
        <w:t>5</w:t>
      </w:r>
      <w:r>
        <w:rPr>
          <w:rFonts w:hint="eastAsia" w:asciiTheme="minorEastAsia" w:hAnsiTheme="minorEastAsia" w:eastAsiaTheme="minorEastAsia" w:cstheme="minorEastAsia"/>
          <w:color w:val="auto"/>
          <w:spacing w:val="-6"/>
          <w:sz w:val="21"/>
          <w:szCs w:val="21"/>
        </w:rPr>
        <w:t>.1</w:t>
      </w:r>
      <w:r>
        <w:rPr>
          <w:rFonts w:hint="eastAsia" w:asciiTheme="minorEastAsia" w:hAnsiTheme="minorEastAsia" w:eastAsiaTheme="minorEastAsia" w:cstheme="minorEastAsia"/>
          <w:b/>
          <w:color w:val="auto"/>
          <w:spacing w:val="-6"/>
          <w:sz w:val="21"/>
          <w:szCs w:val="21"/>
        </w:rPr>
        <w:t xml:space="preserve"> </w:t>
      </w:r>
      <w:r>
        <w:rPr>
          <w:rFonts w:hint="eastAsia" w:asciiTheme="minorEastAsia" w:hAnsiTheme="minorEastAsia" w:eastAsiaTheme="minorEastAsia" w:cstheme="minorEastAsia"/>
          <w:color w:val="auto"/>
          <w:spacing w:val="-6"/>
          <w:sz w:val="21"/>
          <w:szCs w:val="21"/>
        </w:rPr>
        <w:t>承包人应在接到开工通知后10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08C9FFF3">
      <w:pPr>
        <w:pStyle w:val="8"/>
        <w:ind w:firstLine="404" w:firstLineChars="200"/>
        <w:rPr>
          <w:rFonts w:hint="eastAsia" w:asciiTheme="minorEastAsia" w:hAnsiTheme="minorEastAsia" w:eastAsiaTheme="minorEastAsia" w:cstheme="minorEastAsia"/>
          <w:color w:val="auto"/>
          <w:spacing w:val="-4"/>
          <w:sz w:val="21"/>
          <w:szCs w:val="21"/>
        </w:rPr>
      </w:pPr>
      <w:r>
        <w:rPr>
          <w:rFonts w:hint="eastAsia" w:asciiTheme="minorEastAsia" w:hAnsiTheme="minorEastAsia" w:eastAsiaTheme="minorEastAsia" w:cstheme="minorEastAsia"/>
          <w:color w:val="auto"/>
          <w:spacing w:val="-4"/>
          <w:sz w:val="21"/>
          <w:szCs w:val="21"/>
        </w:rPr>
        <w:t>4.</w:t>
      </w:r>
      <w:r>
        <w:rPr>
          <w:rFonts w:hint="eastAsia" w:asciiTheme="minorEastAsia" w:hAnsiTheme="minorEastAsia" w:eastAsiaTheme="minorEastAsia" w:cstheme="minorEastAsia"/>
          <w:color w:val="auto"/>
          <w:spacing w:val="-4"/>
          <w:sz w:val="21"/>
          <w:szCs w:val="21"/>
          <w:lang w:val="en-US" w:eastAsia="zh-CN"/>
        </w:rPr>
        <w:t>5</w:t>
      </w:r>
      <w:r>
        <w:rPr>
          <w:rFonts w:hint="eastAsia" w:asciiTheme="minorEastAsia" w:hAnsiTheme="minorEastAsia" w:eastAsiaTheme="minorEastAsia" w:cstheme="minorEastAsia"/>
          <w:color w:val="auto"/>
          <w:spacing w:val="-4"/>
          <w:sz w:val="21"/>
          <w:szCs w:val="21"/>
        </w:rPr>
        <w:t>.2 为完成合同约定的各项工作，承包人应向施工场地派遣或雇佣足够数量的下列人员:</w:t>
      </w:r>
    </w:p>
    <w:p w14:paraId="318A7EAF">
      <w:pPr>
        <w:autoSpaceDE w:val="0"/>
        <w:autoSpaceDN w:val="0"/>
        <w:adjustRightInd w:val="0"/>
        <w:ind w:firstLine="831" w:firstLineChars="396"/>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具有相应资格的专业技工和合格的普工；</w:t>
      </w:r>
    </w:p>
    <w:p w14:paraId="40CD65AA">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具有相应施工经验的技术人员；</w:t>
      </w:r>
    </w:p>
    <w:p w14:paraId="02A11FAD">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具有相应岗位资格的各级管理人员。</w:t>
      </w:r>
    </w:p>
    <w:p w14:paraId="70E1844C">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.3 承包人安排在施工场地的主要管理人员和技术骨干应相对稳定。承包人更换主要管理人员和技术骨干时，应取得监理人的同意。</w:t>
      </w:r>
    </w:p>
    <w:p w14:paraId="0DEC120B">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.4 特殊岗位的工作人员均应持有相应的资格证明，监理人有权随时检查。监理人认为有必要时，可进行现场考核。</w:t>
      </w:r>
    </w:p>
    <w:p w14:paraId="7D071C79">
      <w:pPr>
        <w:rPr>
          <w:rFonts w:hint="eastAsia" w:asciiTheme="minorEastAsia" w:hAnsiTheme="minorEastAsia" w:eastAsiaTheme="minorEastAsia" w:cstheme="minorEastAsia"/>
          <w:b/>
          <w:color w:val="auto"/>
          <w:sz w:val="21"/>
          <w:szCs w:val="21"/>
        </w:rPr>
      </w:pPr>
      <w:bookmarkStart w:id="567" w:name="_Toc265653860"/>
      <w:bookmarkStart w:id="568" w:name="_Toc229450794"/>
      <w:bookmarkStart w:id="569" w:name="_Toc265954616"/>
      <w:bookmarkStart w:id="570" w:name="_Toc265954915"/>
      <w:bookmarkStart w:id="571" w:name="_Toc18317"/>
      <w:bookmarkStart w:id="572" w:name="_Toc199322006"/>
      <w:r>
        <w:rPr>
          <w:rFonts w:hint="eastAsia" w:asciiTheme="minorEastAsia" w:hAnsiTheme="minorEastAsia" w:eastAsiaTheme="minorEastAsia" w:cstheme="minorEastAsia"/>
          <w:b/>
          <w:color w:val="auto"/>
          <w:sz w:val="21"/>
          <w:szCs w:val="21"/>
        </w:rPr>
        <w:t>4.</w:t>
      </w:r>
      <w:r>
        <w:rPr>
          <w:rFonts w:hint="eastAsia" w:asciiTheme="minorEastAsia" w:hAnsiTheme="minorEastAsia" w:eastAsiaTheme="minorEastAsia" w:cstheme="minorEastAsia"/>
          <w:b/>
          <w:color w:val="auto"/>
          <w:sz w:val="21"/>
          <w:szCs w:val="21"/>
          <w:lang w:val="en-US" w:eastAsia="zh-CN"/>
        </w:rPr>
        <w:t>6</w:t>
      </w:r>
      <w:r>
        <w:rPr>
          <w:rFonts w:hint="eastAsia" w:asciiTheme="minorEastAsia" w:hAnsiTheme="minorEastAsia" w:eastAsiaTheme="minorEastAsia" w:cstheme="minorEastAsia"/>
          <w:b/>
          <w:color w:val="auto"/>
          <w:sz w:val="21"/>
          <w:szCs w:val="21"/>
        </w:rPr>
        <w:t xml:space="preserve"> 撤换承包人项目经理和其他人员</w:t>
      </w:r>
      <w:bookmarkEnd w:id="567"/>
      <w:bookmarkEnd w:id="568"/>
      <w:bookmarkEnd w:id="569"/>
      <w:bookmarkEnd w:id="570"/>
      <w:bookmarkEnd w:id="571"/>
      <w:bookmarkEnd w:id="572"/>
    </w:p>
    <w:p w14:paraId="0DB9C1B6">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承包人应对其项目经理和其他人员进行有效管理.监理人要求撤换不能胜任本职工作、行为不端或玩忽职守的承包人项目经理和其他人员的，承包人应予以撤换。</w:t>
      </w:r>
    </w:p>
    <w:p w14:paraId="6609891D">
      <w:pPr>
        <w:rPr>
          <w:rFonts w:hint="eastAsia" w:asciiTheme="minorEastAsia" w:hAnsiTheme="minorEastAsia" w:eastAsiaTheme="minorEastAsia" w:cstheme="minorEastAsia"/>
          <w:b/>
          <w:color w:val="auto"/>
          <w:sz w:val="21"/>
          <w:szCs w:val="21"/>
        </w:rPr>
      </w:pPr>
      <w:bookmarkStart w:id="573" w:name="_Toc265954916"/>
      <w:bookmarkStart w:id="574" w:name="_Toc265653861"/>
      <w:bookmarkStart w:id="575" w:name="_Toc199322007"/>
      <w:bookmarkStart w:id="576" w:name="_Toc6830"/>
      <w:bookmarkStart w:id="577" w:name="_Toc229450795"/>
      <w:bookmarkStart w:id="578" w:name="_Toc265954617"/>
      <w:r>
        <w:rPr>
          <w:rFonts w:hint="eastAsia" w:asciiTheme="minorEastAsia" w:hAnsiTheme="minorEastAsia" w:eastAsiaTheme="minorEastAsia" w:cstheme="minorEastAsia"/>
          <w:b/>
          <w:color w:val="auto"/>
          <w:sz w:val="21"/>
          <w:szCs w:val="21"/>
        </w:rPr>
        <w:t>4.</w:t>
      </w:r>
      <w:r>
        <w:rPr>
          <w:rFonts w:hint="eastAsia" w:asciiTheme="minorEastAsia" w:hAnsiTheme="minorEastAsia" w:eastAsiaTheme="minorEastAsia" w:cstheme="minorEastAsia"/>
          <w:b/>
          <w:color w:val="auto"/>
          <w:sz w:val="21"/>
          <w:szCs w:val="21"/>
          <w:lang w:val="en-US" w:eastAsia="zh-CN"/>
        </w:rPr>
        <w:t>7</w:t>
      </w:r>
      <w:r>
        <w:rPr>
          <w:rFonts w:hint="eastAsia" w:asciiTheme="minorEastAsia" w:hAnsiTheme="minorEastAsia" w:eastAsiaTheme="minorEastAsia" w:cstheme="minorEastAsia"/>
          <w:b/>
          <w:color w:val="auto"/>
          <w:sz w:val="21"/>
          <w:szCs w:val="21"/>
        </w:rPr>
        <w:t xml:space="preserve"> 保障承包人人员的合法权益</w:t>
      </w:r>
      <w:bookmarkEnd w:id="573"/>
      <w:bookmarkEnd w:id="574"/>
      <w:bookmarkEnd w:id="575"/>
      <w:bookmarkEnd w:id="576"/>
      <w:bookmarkEnd w:id="577"/>
      <w:bookmarkEnd w:id="578"/>
    </w:p>
    <w:p w14:paraId="5FBA1130">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color w:val="auto"/>
          <w:sz w:val="21"/>
          <w:szCs w:val="21"/>
        </w:rPr>
        <w:t>承包人应与其雇佣的人员签订劳动合同，并按时发放工资。</w:t>
      </w:r>
    </w:p>
    <w:p w14:paraId="529DA04F">
      <w:pPr>
        <w:pStyle w:val="8"/>
        <w:ind w:firstLine="404" w:firstLineChars="200"/>
        <w:rPr>
          <w:rFonts w:hint="eastAsia" w:asciiTheme="minorEastAsia" w:hAnsiTheme="minorEastAsia" w:eastAsiaTheme="minorEastAsia" w:cstheme="minorEastAsia"/>
          <w:color w:val="auto"/>
          <w:spacing w:val="-4"/>
          <w:sz w:val="21"/>
          <w:szCs w:val="21"/>
        </w:rPr>
      </w:pPr>
      <w:r>
        <w:rPr>
          <w:rFonts w:hint="eastAsia" w:asciiTheme="minorEastAsia" w:hAnsiTheme="minorEastAsia" w:eastAsiaTheme="minorEastAsia" w:cstheme="minorEastAsia"/>
          <w:color w:val="auto"/>
          <w:spacing w:val="-4"/>
          <w:sz w:val="21"/>
          <w:szCs w:val="21"/>
        </w:rPr>
        <w:t>4.</w:t>
      </w:r>
      <w:r>
        <w:rPr>
          <w:rFonts w:hint="eastAsia" w:asciiTheme="minorEastAsia" w:hAnsiTheme="minorEastAsia" w:eastAsiaTheme="minorEastAsia" w:cstheme="minorEastAsia"/>
          <w:color w:val="auto"/>
          <w:spacing w:val="-4"/>
          <w:sz w:val="21"/>
          <w:szCs w:val="21"/>
          <w:lang w:val="en-US" w:eastAsia="zh-CN"/>
        </w:rPr>
        <w:t>7</w:t>
      </w:r>
      <w:r>
        <w:rPr>
          <w:rFonts w:hint="eastAsia" w:asciiTheme="minorEastAsia" w:hAnsiTheme="minorEastAsia" w:eastAsiaTheme="minorEastAsia" w:cstheme="minorEastAsia"/>
          <w:color w:val="auto"/>
          <w:spacing w:val="-4"/>
          <w:sz w:val="21"/>
          <w:szCs w:val="21"/>
        </w:rPr>
        <w:t>.2 承包人应按劳动法的规定安排工作时间，保证其雇佣人员享有休息和休假的权利。</w:t>
      </w:r>
      <w:r>
        <w:rPr>
          <w:rFonts w:hint="eastAsia" w:asciiTheme="minorEastAsia" w:hAnsiTheme="minorEastAsia" w:eastAsiaTheme="minorEastAsia" w:cstheme="minorEastAsia"/>
          <w:color w:val="auto"/>
          <w:spacing w:val="-2"/>
          <w:sz w:val="21"/>
          <w:szCs w:val="21"/>
        </w:rPr>
        <w:t>因工程施工的特殊需要占用体假日或延长工作时间的，应不超过法律规定的限度，并按法律规定给予补休或付酬.</w:t>
      </w:r>
    </w:p>
    <w:p w14:paraId="6A91B63E">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.3 承包人应为其雇佣人员提供必要的食宿条件，以及符合环境保护和卫生要求的生活环境，在远离城镇的施工场地，还应配备必要的伤病防治和急救的医务人员与医疗设施。</w:t>
      </w:r>
    </w:p>
    <w:p w14:paraId="7F1BC482">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color w:val="auto"/>
          <w:sz w:val="21"/>
          <w:szCs w:val="21"/>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73B0B41B">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.5 承包人应按有关法律规定和合同约定，为其雇佣人员办理保险。</w:t>
      </w:r>
    </w:p>
    <w:p w14:paraId="7B343570">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rPr>
        <w:t>.6 承包人应负责处理其雇佣人员因工伤亡事故的善后事宣。</w:t>
      </w:r>
    </w:p>
    <w:p w14:paraId="6A835F65">
      <w:pPr>
        <w:rPr>
          <w:rFonts w:hint="eastAsia" w:asciiTheme="minorEastAsia" w:hAnsiTheme="minorEastAsia" w:eastAsiaTheme="minorEastAsia" w:cstheme="minorEastAsia"/>
          <w:b/>
          <w:color w:val="auto"/>
          <w:sz w:val="21"/>
          <w:szCs w:val="21"/>
        </w:rPr>
      </w:pPr>
      <w:bookmarkStart w:id="579" w:name="_Toc17132"/>
      <w:bookmarkStart w:id="580" w:name="_Toc265653862"/>
      <w:bookmarkStart w:id="581" w:name="_Toc229450796"/>
      <w:bookmarkStart w:id="582" w:name="_Toc265954917"/>
      <w:bookmarkStart w:id="583" w:name="_Toc199322008"/>
      <w:bookmarkStart w:id="584" w:name="_Toc265954618"/>
      <w:r>
        <w:rPr>
          <w:rFonts w:hint="eastAsia" w:asciiTheme="minorEastAsia" w:hAnsiTheme="minorEastAsia" w:eastAsiaTheme="minorEastAsia" w:cstheme="minorEastAsia"/>
          <w:b/>
          <w:color w:val="auto"/>
          <w:sz w:val="21"/>
          <w:szCs w:val="21"/>
        </w:rPr>
        <w:t>4.</w:t>
      </w:r>
      <w:r>
        <w:rPr>
          <w:rFonts w:hint="eastAsia" w:asciiTheme="minorEastAsia" w:hAnsiTheme="minorEastAsia" w:eastAsiaTheme="minorEastAsia" w:cstheme="minorEastAsia"/>
          <w:b/>
          <w:color w:val="auto"/>
          <w:sz w:val="21"/>
          <w:szCs w:val="21"/>
          <w:lang w:val="en-US" w:eastAsia="zh-CN"/>
        </w:rPr>
        <w:t>8</w:t>
      </w:r>
      <w:r>
        <w:rPr>
          <w:rFonts w:hint="eastAsia" w:asciiTheme="minorEastAsia" w:hAnsiTheme="minorEastAsia" w:eastAsiaTheme="minorEastAsia" w:cstheme="minorEastAsia"/>
          <w:b/>
          <w:color w:val="auto"/>
          <w:sz w:val="21"/>
          <w:szCs w:val="21"/>
        </w:rPr>
        <w:t xml:space="preserve"> 工程价款应专款专用</w:t>
      </w:r>
      <w:bookmarkEnd w:id="579"/>
      <w:bookmarkEnd w:id="580"/>
      <w:bookmarkEnd w:id="581"/>
      <w:bookmarkEnd w:id="582"/>
      <w:bookmarkEnd w:id="583"/>
      <w:bookmarkEnd w:id="584"/>
    </w:p>
    <w:p w14:paraId="122C8322">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发包人按合同约定支付给承包人的各项价款应专用于合同工程。</w:t>
      </w:r>
    </w:p>
    <w:p w14:paraId="048B5736">
      <w:pPr>
        <w:rPr>
          <w:rFonts w:hint="eastAsia" w:asciiTheme="minorEastAsia" w:hAnsiTheme="minorEastAsia" w:eastAsiaTheme="minorEastAsia" w:cstheme="minorEastAsia"/>
          <w:b/>
          <w:color w:val="auto"/>
          <w:sz w:val="21"/>
          <w:szCs w:val="21"/>
        </w:rPr>
      </w:pPr>
      <w:bookmarkStart w:id="585" w:name="_Toc265653863"/>
      <w:bookmarkStart w:id="586" w:name="_Toc199322009"/>
      <w:bookmarkStart w:id="587" w:name="_Toc229450797"/>
      <w:bookmarkStart w:id="588" w:name="_Toc265954918"/>
      <w:bookmarkStart w:id="589" w:name="_Toc265954619"/>
      <w:bookmarkStart w:id="590" w:name="_Toc28612"/>
      <w:r>
        <w:rPr>
          <w:rFonts w:hint="eastAsia" w:asciiTheme="minorEastAsia" w:hAnsiTheme="minorEastAsia" w:eastAsiaTheme="minorEastAsia" w:cstheme="minorEastAsia"/>
          <w:b/>
          <w:color w:val="auto"/>
          <w:sz w:val="21"/>
          <w:szCs w:val="21"/>
        </w:rPr>
        <w:t>4.</w:t>
      </w:r>
      <w:r>
        <w:rPr>
          <w:rFonts w:hint="eastAsia" w:asciiTheme="minorEastAsia" w:hAnsiTheme="minorEastAsia" w:eastAsiaTheme="minorEastAsia" w:cstheme="minorEastAsia"/>
          <w:b/>
          <w:color w:val="auto"/>
          <w:sz w:val="21"/>
          <w:szCs w:val="21"/>
          <w:lang w:val="en-US" w:eastAsia="zh-CN"/>
        </w:rPr>
        <w:t>9</w:t>
      </w:r>
      <w:r>
        <w:rPr>
          <w:rFonts w:hint="eastAsia" w:asciiTheme="minorEastAsia" w:hAnsiTheme="minorEastAsia" w:eastAsiaTheme="minorEastAsia" w:cstheme="minorEastAsia"/>
          <w:b/>
          <w:color w:val="auto"/>
          <w:sz w:val="21"/>
          <w:szCs w:val="21"/>
        </w:rPr>
        <w:t xml:space="preserve"> 承包人现场查勘</w:t>
      </w:r>
      <w:bookmarkEnd w:id="585"/>
      <w:bookmarkEnd w:id="586"/>
      <w:bookmarkEnd w:id="587"/>
      <w:bookmarkEnd w:id="588"/>
      <w:bookmarkEnd w:id="589"/>
      <w:bookmarkEnd w:id="590"/>
    </w:p>
    <w:p w14:paraId="0D945713">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9</w:t>
      </w:r>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color w:val="auto"/>
          <w:sz w:val="21"/>
          <w:szCs w:val="21"/>
        </w:rPr>
        <w:t>发包人应将其持有的现场地质勘探资料、水文气象资料提供给承包人，并对其准确性负责。但承包人应对其阅读上述有关资料后所作出的解释和推断负责。</w:t>
      </w:r>
    </w:p>
    <w:p w14:paraId="133E596A">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r>
        <w:rPr>
          <w:rFonts w:hint="eastAsia" w:asciiTheme="minorEastAsia" w:hAnsiTheme="minorEastAsia" w:eastAsiaTheme="minorEastAsia" w:cstheme="minorEastAsia"/>
          <w:color w:val="auto"/>
          <w:sz w:val="21"/>
          <w:szCs w:val="21"/>
          <w:lang w:val="en-US" w:eastAsia="zh-CN"/>
        </w:rPr>
        <w:t>9</w:t>
      </w:r>
      <w:r>
        <w:rPr>
          <w:rFonts w:hint="eastAsia" w:asciiTheme="minorEastAsia" w:hAnsiTheme="minorEastAsia" w:eastAsiaTheme="minorEastAsia" w:cstheme="minorEastAsia"/>
          <w:color w:val="auto"/>
          <w:sz w:val="21"/>
          <w:szCs w:val="21"/>
        </w:rPr>
        <w:t>.2</w:t>
      </w: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color w:val="auto"/>
          <w:sz w:val="21"/>
          <w:szCs w:val="21"/>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127E41F1">
      <w:pPr>
        <w:rPr>
          <w:rFonts w:hint="eastAsia" w:asciiTheme="minorEastAsia" w:hAnsiTheme="minorEastAsia" w:eastAsiaTheme="minorEastAsia" w:cstheme="minorEastAsia"/>
          <w:b/>
          <w:color w:val="auto"/>
          <w:sz w:val="21"/>
          <w:szCs w:val="21"/>
        </w:rPr>
      </w:pPr>
      <w:bookmarkStart w:id="591" w:name="_Toc265954620"/>
      <w:bookmarkStart w:id="592" w:name="_Toc199322010"/>
      <w:bookmarkStart w:id="593" w:name="_Toc265954919"/>
      <w:bookmarkStart w:id="594" w:name="_Toc265653864"/>
      <w:bookmarkStart w:id="595" w:name="_Toc6458"/>
      <w:bookmarkStart w:id="596" w:name="_Toc229450798"/>
      <w:r>
        <w:rPr>
          <w:rFonts w:hint="eastAsia" w:asciiTheme="minorEastAsia" w:hAnsiTheme="minorEastAsia" w:eastAsiaTheme="minorEastAsia" w:cstheme="minorEastAsia"/>
          <w:b/>
          <w:color w:val="auto"/>
          <w:sz w:val="21"/>
          <w:szCs w:val="21"/>
        </w:rPr>
        <w:t>4.</w:t>
      </w:r>
      <w:r>
        <w:rPr>
          <w:rFonts w:hint="eastAsia" w:asciiTheme="minorEastAsia" w:hAnsiTheme="minorEastAsia" w:eastAsiaTheme="minorEastAsia" w:cstheme="minorEastAsia"/>
          <w:b/>
          <w:color w:val="auto"/>
          <w:sz w:val="21"/>
          <w:szCs w:val="21"/>
          <w:lang w:val="en-US" w:eastAsia="zh-CN"/>
        </w:rPr>
        <w:t>10</w:t>
      </w:r>
      <w:r>
        <w:rPr>
          <w:rFonts w:hint="eastAsia" w:asciiTheme="minorEastAsia" w:hAnsiTheme="minorEastAsia" w:eastAsiaTheme="minorEastAsia" w:cstheme="minorEastAsia"/>
          <w:b/>
          <w:color w:val="auto"/>
          <w:sz w:val="21"/>
          <w:szCs w:val="21"/>
        </w:rPr>
        <w:t>不利物质条件</w:t>
      </w:r>
      <w:bookmarkEnd w:id="591"/>
      <w:bookmarkEnd w:id="592"/>
      <w:bookmarkEnd w:id="593"/>
      <w:bookmarkEnd w:id="594"/>
      <w:bookmarkEnd w:id="595"/>
      <w:bookmarkEnd w:id="596"/>
    </w:p>
    <w:p w14:paraId="440AFE1D">
      <w:pPr>
        <w:pStyle w:val="8"/>
        <w:ind w:firstLine="404"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4.1</w:t>
      </w:r>
      <w:r>
        <w:rPr>
          <w:rFonts w:hint="eastAsia" w:asciiTheme="minorEastAsia" w:hAnsiTheme="minorEastAsia" w:eastAsiaTheme="minorEastAsia" w:cstheme="minorEastAsia"/>
          <w:color w:val="auto"/>
          <w:spacing w:val="-4"/>
          <w:sz w:val="21"/>
          <w:szCs w:val="21"/>
          <w:lang w:val="en-US" w:eastAsia="zh-CN"/>
        </w:rPr>
        <w:t>0</w:t>
      </w:r>
      <w:r>
        <w:rPr>
          <w:rFonts w:hint="eastAsia" w:asciiTheme="minorEastAsia" w:hAnsiTheme="minorEastAsia" w:eastAsiaTheme="minorEastAsia" w:cstheme="minorEastAsia"/>
          <w:color w:val="auto"/>
          <w:spacing w:val="-4"/>
          <w:sz w:val="21"/>
          <w:szCs w:val="21"/>
        </w:rPr>
        <w:t>.1除专用合同条款另有约定外，不利物质条件是指在施工中遭遇不可预见的外界障碍或自然条件造成施工受阻。</w:t>
      </w:r>
    </w:p>
    <w:p w14:paraId="49E3EED0">
      <w:pPr>
        <w:pStyle w:val="8"/>
        <w:ind w:firstLine="404"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4"/>
          <w:sz w:val="21"/>
          <w:szCs w:val="21"/>
        </w:rPr>
        <w:t>4.1</w:t>
      </w:r>
      <w:r>
        <w:rPr>
          <w:rFonts w:hint="eastAsia" w:asciiTheme="minorEastAsia" w:hAnsiTheme="minorEastAsia" w:eastAsiaTheme="minorEastAsia" w:cstheme="minorEastAsia"/>
          <w:color w:val="auto"/>
          <w:spacing w:val="-4"/>
          <w:sz w:val="21"/>
          <w:szCs w:val="21"/>
          <w:lang w:val="en-US" w:eastAsia="zh-CN"/>
        </w:rPr>
        <w:t>0</w:t>
      </w:r>
      <w:r>
        <w:rPr>
          <w:rFonts w:hint="eastAsia" w:asciiTheme="minorEastAsia" w:hAnsiTheme="minorEastAsia" w:eastAsiaTheme="minorEastAsia" w:cstheme="minorEastAsia"/>
          <w:color w:val="auto"/>
          <w:spacing w:val="-4"/>
          <w:sz w:val="21"/>
          <w:szCs w:val="21"/>
        </w:rPr>
        <w:t>.2 承包人遇到不利物质条件时，应采取适应不利物质条件的合理措施继续施工，并</w:t>
      </w:r>
      <w:r>
        <w:rPr>
          <w:rFonts w:hint="eastAsia" w:asciiTheme="minorEastAsia" w:hAnsiTheme="minorEastAsia" w:eastAsiaTheme="minorEastAsia" w:cstheme="minorEastAsia"/>
          <w:color w:val="auto"/>
          <w:sz w:val="21"/>
          <w:szCs w:val="21"/>
        </w:rPr>
        <w:t>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3CAA2560">
      <w:pPr>
        <w:rPr>
          <w:rFonts w:hint="eastAsia" w:asciiTheme="minorEastAsia" w:hAnsiTheme="minorEastAsia" w:eastAsiaTheme="minorEastAsia" w:cstheme="minorEastAsia"/>
          <w:b/>
          <w:color w:val="auto"/>
          <w:sz w:val="21"/>
          <w:szCs w:val="21"/>
        </w:rPr>
      </w:pPr>
      <w:bookmarkStart w:id="597" w:name="_Toc265653865"/>
      <w:bookmarkStart w:id="598" w:name="_Toc229450799"/>
      <w:bookmarkStart w:id="599" w:name="_Toc265954920"/>
      <w:bookmarkStart w:id="600" w:name="_Toc199322011"/>
      <w:bookmarkStart w:id="601" w:name="_Toc265954621"/>
      <w:bookmarkStart w:id="602" w:name="_Toc27339"/>
      <w:r>
        <w:rPr>
          <w:rFonts w:hint="eastAsia" w:asciiTheme="minorEastAsia" w:hAnsiTheme="minorEastAsia" w:eastAsiaTheme="minorEastAsia" w:cstheme="minorEastAsia"/>
          <w:b/>
          <w:color w:val="auto"/>
          <w:sz w:val="21"/>
          <w:szCs w:val="21"/>
        </w:rPr>
        <w:t>5. 材料和工程设备</w:t>
      </w:r>
      <w:bookmarkEnd w:id="597"/>
      <w:bookmarkEnd w:id="598"/>
      <w:bookmarkEnd w:id="599"/>
      <w:bookmarkEnd w:id="600"/>
      <w:bookmarkEnd w:id="601"/>
      <w:bookmarkEnd w:id="602"/>
    </w:p>
    <w:p w14:paraId="38107F64">
      <w:pPr>
        <w:rPr>
          <w:rFonts w:hint="eastAsia" w:asciiTheme="minorEastAsia" w:hAnsiTheme="minorEastAsia" w:eastAsiaTheme="minorEastAsia" w:cstheme="minorEastAsia"/>
          <w:b/>
          <w:color w:val="auto"/>
          <w:sz w:val="21"/>
          <w:szCs w:val="21"/>
        </w:rPr>
      </w:pPr>
      <w:bookmarkStart w:id="603" w:name="_Toc199322012"/>
      <w:bookmarkStart w:id="604" w:name="_Toc12910"/>
      <w:bookmarkStart w:id="605" w:name="_Toc265653866"/>
      <w:bookmarkStart w:id="606" w:name="_Toc229450800"/>
      <w:bookmarkStart w:id="607" w:name="_Toc265954921"/>
      <w:bookmarkStart w:id="608" w:name="_Toc265954622"/>
      <w:r>
        <w:rPr>
          <w:rFonts w:hint="eastAsia" w:asciiTheme="minorEastAsia" w:hAnsiTheme="minorEastAsia" w:eastAsiaTheme="minorEastAsia" w:cstheme="minorEastAsia"/>
          <w:b/>
          <w:color w:val="auto"/>
          <w:sz w:val="21"/>
          <w:szCs w:val="21"/>
        </w:rPr>
        <w:t>5.1 承包人提供的材料和工程设备</w:t>
      </w:r>
      <w:bookmarkEnd w:id="603"/>
      <w:bookmarkEnd w:id="604"/>
      <w:bookmarkEnd w:id="605"/>
      <w:bookmarkEnd w:id="606"/>
      <w:bookmarkEnd w:id="607"/>
      <w:bookmarkEnd w:id="608"/>
    </w:p>
    <w:p w14:paraId="5F2D0A68">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5.1.1 除第5.2款约定由发包人提供的材料和工程设备外，承包人负责采购、运输和保管完成本合同工作所需的材料和工程设备。承包人应对其采购的材料和工程设备负责。</w:t>
      </w:r>
    </w:p>
    <w:p w14:paraId="45C8B33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3DBC1E53">
      <w:pPr>
        <w:autoSpaceDE w:val="0"/>
        <w:autoSpaceDN w:val="0"/>
        <w:adjustRightInd w:val="0"/>
        <w:ind w:firstLine="411" w:firstLineChars="196"/>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5.1.3</w:t>
      </w:r>
      <w:r>
        <w:rPr>
          <w:rFonts w:hint="eastAsia" w:asciiTheme="minorEastAsia" w:hAnsiTheme="minorEastAsia" w:eastAsiaTheme="minorEastAsia" w:cstheme="minorEastAsia"/>
          <w:b/>
          <w:color w:val="auto"/>
          <w:kern w:val="0"/>
          <w:sz w:val="21"/>
          <w:szCs w:val="21"/>
        </w:rPr>
        <w:t xml:space="preserve"> </w:t>
      </w:r>
      <w:r>
        <w:rPr>
          <w:rFonts w:hint="eastAsia" w:asciiTheme="minorEastAsia" w:hAnsiTheme="minorEastAsia" w:eastAsiaTheme="minorEastAsia" w:cstheme="minorEastAsia"/>
          <w:color w:val="auto"/>
          <w:kern w:val="0"/>
          <w:sz w:val="21"/>
          <w:szCs w:val="21"/>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404F9988">
      <w:pPr>
        <w:rPr>
          <w:rFonts w:hint="eastAsia" w:asciiTheme="minorEastAsia" w:hAnsiTheme="minorEastAsia" w:eastAsiaTheme="minorEastAsia" w:cstheme="minorEastAsia"/>
          <w:b/>
          <w:color w:val="auto"/>
          <w:sz w:val="21"/>
          <w:szCs w:val="21"/>
        </w:rPr>
      </w:pPr>
      <w:bookmarkStart w:id="609" w:name="_Toc265954922"/>
      <w:bookmarkStart w:id="610" w:name="_Toc265653867"/>
      <w:bookmarkStart w:id="611" w:name="_Toc199322013"/>
      <w:bookmarkStart w:id="612" w:name="_Toc29686"/>
      <w:bookmarkStart w:id="613" w:name="_Toc265954623"/>
      <w:bookmarkStart w:id="614" w:name="_Toc229450801"/>
      <w:r>
        <w:rPr>
          <w:rFonts w:hint="eastAsia" w:asciiTheme="minorEastAsia" w:hAnsiTheme="minorEastAsia" w:eastAsiaTheme="minorEastAsia" w:cstheme="minorEastAsia"/>
          <w:b/>
          <w:color w:val="auto"/>
          <w:sz w:val="21"/>
          <w:szCs w:val="21"/>
        </w:rPr>
        <w:t>5.2 发包人提供的材料和工程设备</w:t>
      </w:r>
      <w:bookmarkEnd w:id="609"/>
      <w:bookmarkEnd w:id="610"/>
      <w:bookmarkEnd w:id="611"/>
      <w:bookmarkEnd w:id="612"/>
      <w:bookmarkEnd w:id="613"/>
      <w:bookmarkEnd w:id="614"/>
    </w:p>
    <w:p w14:paraId="56A05594">
      <w:pPr>
        <w:autoSpaceDE w:val="0"/>
        <w:autoSpaceDN w:val="0"/>
        <w:adjustRightInd w:val="0"/>
        <w:ind w:firstLine="404" w:firstLineChars="20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5.2.1 发包人提供的材料和工程设备，应在专用合同条款中写明材料和工程设备的名称、规格、数量、价格、交货方式、交货地点和计划交货日期等。</w:t>
      </w:r>
    </w:p>
    <w:p w14:paraId="61E7E809">
      <w:pPr>
        <w:autoSpaceDE w:val="0"/>
        <w:autoSpaceDN w:val="0"/>
        <w:adjustRightInd w:val="0"/>
        <w:ind w:firstLine="411" w:firstLineChars="196"/>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5.2.2</w:t>
      </w:r>
      <w:r>
        <w:rPr>
          <w:rFonts w:hint="eastAsia" w:asciiTheme="minorEastAsia" w:hAnsiTheme="minorEastAsia" w:eastAsiaTheme="minorEastAsia" w:cstheme="minorEastAsia"/>
          <w:b/>
          <w:color w:val="auto"/>
          <w:kern w:val="0"/>
          <w:sz w:val="21"/>
          <w:szCs w:val="21"/>
        </w:rPr>
        <w:t xml:space="preserve"> </w:t>
      </w:r>
      <w:r>
        <w:rPr>
          <w:rFonts w:hint="eastAsia" w:asciiTheme="minorEastAsia" w:hAnsiTheme="minorEastAsia" w:eastAsiaTheme="minorEastAsia" w:cstheme="minorEastAsia"/>
          <w:color w:val="auto"/>
          <w:kern w:val="0"/>
          <w:sz w:val="21"/>
          <w:szCs w:val="21"/>
        </w:rPr>
        <w:t>承包人应根据合同进度计划的安排，向监理人报送要求发包人交货的日期计划。发包人应按照监理人与合同双方当事人商定的交货日期，向承包人提交材料和工程设备。</w:t>
      </w:r>
    </w:p>
    <w:p w14:paraId="59493E65">
      <w:pPr>
        <w:autoSpaceDE w:val="0"/>
        <w:autoSpaceDN w:val="0"/>
        <w:adjustRightInd w:val="0"/>
        <w:ind w:firstLine="411" w:firstLineChars="196"/>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5.2.3 发包人应在材料和工程设备到货7天前通知承包人，承包人应会同监理人在约定的时间内，赴交货地点共同进行验收。发包人提供的材料和工程设备运至交货地点验收后，由承包人负责接收、卸货、运输和保管。</w:t>
      </w:r>
    </w:p>
    <w:p w14:paraId="189992EE">
      <w:pPr>
        <w:autoSpaceDE w:val="0"/>
        <w:autoSpaceDN w:val="0"/>
        <w:adjustRightInd w:val="0"/>
        <w:ind w:firstLine="304" w:firstLineChars="145"/>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5.2.4 发包人要求向承包人提前交货的，承包人不得拒绝，但发包人应承担承包人由此增加的费用。</w:t>
      </w:r>
    </w:p>
    <w:p w14:paraId="658F827B">
      <w:pPr>
        <w:autoSpaceDE w:val="0"/>
        <w:autoSpaceDN w:val="0"/>
        <w:adjustRightInd w:val="0"/>
        <w:ind w:firstLine="308" w:firstLineChars="147"/>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5.2.5 承包人要求更改交货日期或地点的，应事先报请监理人批准。由于承包人要求更改交货时间或地点所增加的费用和(或)工期延误由承包人承担。</w:t>
      </w:r>
    </w:p>
    <w:p w14:paraId="2C05DE12">
      <w:pPr>
        <w:autoSpaceDE w:val="0"/>
        <w:autoSpaceDN w:val="0"/>
        <w:adjustRightInd w:val="0"/>
        <w:ind w:firstLine="308" w:firstLineChars="147"/>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546952F5">
      <w:pPr>
        <w:rPr>
          <w:rFonts w:hint="eastAsia" w:asciiTheme="minorEastAsia" w:hAnsiTheme="minorEastAsia" w:eastAsiaTheme="minorEastAsia" w:cstheme="minorEastAsia"/>
          <w:b/>
          <w:color w:val="auto"/>
          <w:sz w:val="21"/>
          <w:szCs w:val="21"/>
        </w:rPr>
      </w:pPr>
      <w:bookmarkStart w:id="615" w:name="_Toc265954624"/>
      <w:bookmarkStart w:id="616" w:name="_Toc265954923"/>
      <w:bookmarkStart w:id="617" w:name="_Toc265653868"/>
      <w:bookmarkStart w:id="618" w:name="_Toc199322014"/>
      <w:bookmarkStart w:id="619" w:name="_Toc229450802"/>
      <w:bookmarkStart w:id="620" w:name="_Toc15798"/>
      <w:r>
        <w:rPr>
          <w:rFonts w:hint="eastAsia" w:asciiTheme="minorEastAsia" w:hAnsiTheme="minorEastAsia" w:eastAsiaTheme="minorEastAsia" w:cstheme="minorEastAsia"/>
          <w:b/>
          <w:color w:val="auto"/>
          <w:sz w:val="21"/>
          <w:szCs w:val="21"/>
        </w:rPr>
        <w:t>5.3 材料和工程设备专用于合同工程</w:t>
      </w:r>
      <w:bookmarkEnd w:id="615"/>
      <w:bookmarkEnd w:id="616"/>
      <w:bookmarkEnd w:id="617"/>
      <w:bookmarkEnd w:id="618"/>
      <w:bookmarkEnd w:id="619"/>
      <w:bookmarkEnd w:id="620"/>
    </w:p>
    <w:p w14:paraId="177B7C22">
      <w:pPr>
        <w:pStyle w:val="8"/>
        <w:ind w:firstLine="420" w:firstLineChars="200"/>
        <w:rPr>
          <w:rFonts w:hint="eastAsia" w:asciiTheme="minorEastAsia" w:hAnsiTheme="minorEastAsia" w:eastAsiaTheme="minorEastAsia" w:cstheme="minorEastAsia"/>
          <w:color w:val="auto"/>
          <w:sz w:val="21"/>
          <w:szCs w:val="21"/>
        </w:rPr>
      </w:pPr>
      <w:bookmarkStart w:id="621" w:name="_Toc199322015"/>
      <w:r>
        <w:rPr>
          <w:rFonts w:hint="eastAsia" w:asciiTheme="minorEastAsia" w:hAnsiTheme="minorEastAsia" w:eastAsiaTheme="minorEastAsia" w:cstheme="minorEastAsia"/>
          <w:color w:val="auto"/>
          <w:sz w:val="21"/>
          <w:szCs w:val="21"/>
        </w:rPr>
        <w:t>5.3.1 运入施工场地的材料、工程设备，包括备品备件、安装专用工器具与随机资料，</w:t>
      </w:r>
      <w:bookmarkEnd w:id="621"/>
      <w:r>
        <w:rPr>
          <w:rFonts w:hint="eastAsia" w:asciiTheme="minorEastAsia" w:hAnsiTheme="minorEastAsia" w:eastAsiaTheme="minorEastAsia" w:cstheme="minorEastAsia"/>
          <w:color w:val="auto"/>
          <w:sz w:val="21"/>
          <w:szCs w:val="21"/>
        </w:rPr>
        <w:t>必须专用于合同工程，未经监理人同意，承包人不得运出施工场地或挪作他用。</w:t>
      </w:r>
    </w:p>
    <w:p w14:paraId="09FE834F">
      <w:pPr>
        <w:pStyle w:val="8"/>
        <w:ind w:firstLine="420" w:firstLineChars="200"/>
        <w:rPr>
          <w:rFonts w:hint="eastAsia" w:asciiTheme="minorEastAsia" w:hAnsiTheme="minorEastAsia" w:eastAsiaTheme="minorEastAsia" w:cstheme="minorEastAsia"/>
          <w:color w:val="auto"/>
          <w:sz w:val="21"/>
          <w:szCs w:val="21"/>
        </w:rPr>
      </w:pPr>
      <w:bookmarkStart w:id="622" w:name="_Toc199322016"/>
      <w:r>
        <w:rPr>
          <w:rFonts w:hint="eastAsia" w:asciiTheme="minorEastAsia" w:hAnsiTheme="minorEastAsia" w:eastAsiaTheme="minorEastAsia" w:cstheme="minorEastAsia"/>
          <w:color w:val="auto"/>
          <w:sz w:val="21"/>
          <w:szCs w:val="21"/>
        </w:rPr>
        <w:t>5.3.2 随同工程设备运入施工场地的备品备件、专用工器具与随机资料，应由承包人会</w:t>
      </w:r>
      <w:bookmarkEnd w:id="622"/>
      <w:r>
        <w:rPr>
          <w:rFonts w:hint="eastAsia" w:asciiTheme="minorEastAsia" w:hAnsiTheme="minorEastAsia" w:eastAsiaTheme="minorEastAsia" w:cstheme="minorEastAsia"/>
          <w:color w:val="auto"/>
          <w:sz w:val="21"/>
          <w:szCs w:val="21"/>
        </w:rPr>
        <w:t>同监理人按供货人的装箱单清点后共同封存，未经监理人同意不得启用.承包人因合同工作需要使用上述物品时，应向监理人提出申请。</w:t>
      </w:r>
    </w:p>
    <w:p w14:paraId="6A7E55DE">
      <w:pPr>
        <w:rPr>
          <w:rFonts w:hint="eastAsia" w:asciiTheme="minorEastAsia" w:hAnsiTheme="minorEastAsia" w:eastAsiaTheme="minorEastAsia" w:cstheme="minorEastAsia"/>
          <w:b/>
          <w:color w:val="auto"/>
          <w:sz w:val="21"/>
          <w:szCs w:val="21"/>
        </w:rPr>
      </w:pPr>
      <w:bookmarkStart w:id="623" w:name="_Toc265954924"/>
      <w:bookmarkStart w:id="624" w:name="_Toc199322017"/>
      <w:bookmarkStart w:id="625" w:name="_Toc265653869"/>
      <w:bookmarkStart w:id="626" w:name="_Toc28249"/>
      <w:bookmarkStart w:id="627" w:name="_Toc265954625"/>
      <w:bookmarkStart w:id="628" w:name="_Toc229450803"/>
      <w:r>
        <w:rPr>
          <w:rFonts w:hint="eastAsia" w:asciiTheme="minorEastAsia" w:hAnsiTheme="minorEastAsia" w:eastAsiaTheme="minorEastAsia" w:cstheme="minorEastAsia"/>
          <w:b/>
          <w:color w:val="auto"/>
          <w:sz w:val="21"/>
          <w:szCs w:val="21"/>
        </w:rPr>
        <w:t>5.4 禁止使用不合格的材料和工程设备</w:t>
      </w:r>
      <w:bookmarkEnd w:id="623"/>
      <w:bookmarkEnd w:id="624"/>
      <w:bookmarkEnd w:id="625"/>
      <w:bookmarkEnd w:id="626"/>
      <w:bookmarkEnd w:id="627"/>
      <w:bookmarkEnd w:id="628"/>
    </w:p>
    <w:p w14:paraId="0AEFAC3A">
      <w:pPr>
        <w:pStyle w:val="8"/>
        <w:ind w:firstLine="420" w:firstLineChars="200"/>
        <w:rPr>
          <w:rFonts w:hint="eastAsia" w:asciiTheme="minorEastAsia" w:hAnsiTheme="minorEastAsia" w:eastAsiaTheme="minorEastAsia" w:cstheme="minorEastAsia"/>
          <w:color w:val="auto"/>
          <w:sz w:val="21"/>
          <w:szCs w:val="21"/>
        </w:rPr>
      </w:pPr>
      <w:bookmarkStart w:id="629" w:name="_Toc199322018"/>
      <w:r>
        <w:rPr>
          <w:rFonts w:hint="eastAsia" w:asciiTheme="minorEastAsia" w:hAnsiTheme="minorEastAsia" w:eastAsiaTheme="minorEastAsia" w:cstheme="minorEastAsia"/>
          <w:color w:val="auto"/>
          <w:sz w:val="21"/>
          <w:szCs w:val="21"/>
        </w:rPr>
        <w:t>5.4.1 监理人有权拒绝承包人提供的不合格材料或工程设备，并要求承包人立即进行更</w:t>
      </w:r>
      <w:bookmarkEnd w:id="629"/>
    </w:p>
    <w:p w14:paraId="26160C37">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换。监理人应在更换后再次进行检查和检验，由此增加的费用和(或)工期延误由承包人承</w:t>
      </w:r>
    </w:p>
    <w:p w14:paraId="44D22308">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担。</w:t>
      </w:r>
    </w:p>
    <w:p w14:paraId="3A58E02B">
      <w:pPr>
        <w:pStyle w:val="8"/>
        <w:ind w:firstLine="420" w:firstLineChars="200"/>
        <w:rPr>
          <w:rFonts w:hint="eastAsia" w:asciiTheme="minorEastAsia" w:hAnsiTheme="minorEastAsia" w:eastAsiaTheme="minorEastAsia" w:cstheme="minorEastAsia"/>
          <w:color w:val="auto"/>
          <w:sz w:val="21"/>
          <w:szCs w:val="21"/>
        </w:rPr>
      </w:pPr>
      <w:bookmarkStart w:id="630" w:name="_Toc199322019"/>
      <w:r>
        <w:rPr>
          <w:rFonts w:hint="eastAsia" w:asciiTheme="minorEastAsia" w:hAnsiTheme="minorEastAsia" w:eastAsiaTheme="minorEastAsia" w:cstheme="minorEastAsia"/>
          <w:color w:val="auto"/>
          <w:sz w:val="21"/>
          <w:szCs w:val="21"/>
        </w:rPr>
        <w:t>5.4.2 监理人发现承包人使用了不合格的材料和工程设备，应即时发出指示要求承包人</w:t>
      </w:r>
      <w:bookmarkEnd w:id="630"/>
      <w:r>
        <w:rPr>
          <w:rFonts w:hint="eastAsia" w:asciiTheme="minorEastAsia" w:hAnsiTheme="minorEastAsia" w:eastAsiaTheme="minorEastAsia" w:cstheme="minorEastAsia"/>
          <w:color w:val="auto"/>
          <w:sz w:val="21"/>
          <w:szCs w:val="21"/>
        </w:rPr>
        <w:t>立即改正，并禁止在工程中继续使用不合格的材料和工程设备。</w:t>
      </w:r>
    </w:p>
    <w:p w14:paraId="2758599D">
      <w:pPr>
        <w:pStyle w:val="8"/>
        <w:ind w:firstLine="420" w:firstLineChars="200"/>
        <w:rPr>
          <w:rFonts w:hint="eastAsia" w:asciiTheme="minorEastAsia" w:hAnsiTheme="minorEastAsia" w:eastAsiaTheme="minorEastAsia" w:cstheme="minorEastAsia"/>
          <w:color w:val="auto"/>
          <w:sz w:val="21"/>
          <w:szCs w:val="21"/>
        </w:rPr>
      </w:pPr>
      <w:bookmarkStart w:id="631" w:name="_Toc199322020"/>
      <w:r>
        <w:rPr>
          <w:rFonts w:hint="eastAsia" w:asciiTheme="minorEastAsia" w:hAnsiTheme="minorEastAsia" w:eastAsiaTheme="minorEastAsia" w:cstheme="minorEastAsia"/>
          <w:color w:val="auto"/>
          <w:sz w:val="21"/>
          <w:szCs w:val="21"/>
        </w:rPr>
        <w:t>5.4.3 发包人提供的材料或工程设备不符合合同要求的，承包人有权拒绝，并可要求发</w:t>
      </w:r>
      <w:bookmarkEnd w:id="631"/>
      <w:r>
        <w:rPr>
          <w:rFonts w:hint="eastAsia" w:asciiTheme="minorEastAsia" w:hAnsiTheme="minorEastAsia" w:eastAsiaTheme="minorEastAsia" w:cstheme="minorEastAsia"/>
          <w:color w:val="auto"/>
          <w:sz w:val="21"/>
          <w:szCs w:val="21"/>
        </w:rPr>
        <w:t>包人更换，由此增加的费用和(或)工期延误由发包人承担。</w:t>
      </w:r>
    </w:p>
    <w:p w14:paraId="595BC02F">
      <w:pPr>
        <w:rPr>
          <w:rFonts w:hint="eastAsia" w:asciiTheme="minorEastAsia" w:hAnsiTheme="minorEastAsia" w:eastAsiaTheme="minorEastAsia" w:cstheme="minorEastAsia"/>
          <w:b/>
          <w:color w:val="auto"/>
          <w:sz w:val="21"/>
          <w:szCs w:val="21"/>
        </w:rPr>
      </w:pPr>
      <w:bookmarkStart w:id="632" w:name="_Toc265954626"/>
      <w:bookmarkStart w:id="633" w:name="_Toc265653870"/>
      <w:bookmarkStart w:id="634" w:name="_Toc18422"/>
      <w:bookmarkStart w:id="635" w:name="_Toc265954925"/>
      <w:bookmarkStart w:id="636" w:name="_Toc199322021"/>
      <w:bookmarkStart w:id="637" w:name="_Toc229450804"/>
      <w:r>
        <w:rPr>
          <w:rFonts w:hint="eastAsia" w:asciiTheme="minorEastAsia" w:hAnsiTheme="minorEastAsia" w:eastAsiaTheme="minorEastAsia" w:cstheme="minorEastAsia"/>
          <w:b/>
          <w:color w:val="auto"/>
          <w:sz w:val="21"/>
          <w:szCs w:val="21"/>
        </w:rPr>
        <w:t>6. 施工设备和临时设施</w:t>
      </w:r>
      <w:bookmarkEnd w:id="632"/>
      <w:bookmarkEnd w:id="633"/>
      <w:bookmarkEnd w:id="634"/>
      <w:bookmarkEnd w:id="635"/>
      <w:bookmarkEnd w:id="636"/>
      <w:bookmarkEnd w:id="637"/>
    </w:p>
    <w:p w14:paraId="01F782B4">
      <w:pPr>
        <w:rPr>
          <w:rFonts w:hint="eastAsia" w:asciiTheme="minorEastAsia" w:hAnsiTheme="minorEastAsia" w:eastAsiaTheme="minorEastAsia" w:cstheme="minorEastAsia"/>
          <w:b/>
          <w:color w:val="auto"/>
          <w:sz w:val="21"/>
          <w:szCs w:val="21"/>
        </w:rPr>
      </w:pPr>
      <w:bookmarkStart w:id="638" w:name="_Toc265954627"/>
      <w:bookmarkStart w:id="639" w:name="_Toc229450805"/>
      <w:bookmarkStart w:id="640" w:name="_Toc30977"/>
      <w:bookmarkStart w:id="641" w:name="_Toc265954926"/>
      <w:bookmarkStart w:id="642" w:name="_Toc265653871"/>
      <w:r>
        <w:rPr>
          <w:rFonts w:hint="eastAsia" w:asciiTheme="minorEastAsia" w:hAnsiTheme="minorEastAsia" w:eastAsiaTheme="minorEastAsia" w:cstheme="minorEastAsia"/>
          <w:b/>
          <w:color w:val="auto"/>
          <w:sz w:val="21"/>
          <w:szCs w:val="21"/>
        </w:rPr>
        <w:t>6.1 承包人提供的施工设备和临时设施</w:t>
      </w:r>
      <w:bookmarkEnd w:id="638"/>
      <w:bookmarkEnd w:id="639"/>
      <w:bookmarkEnd w:id="640"/>
      <w:bookmarkEnd w:id="641"/>
      <w:bookmarkEnd w:id="642"/>
    </w:p>
    <w:p w14:paraId="379ABD17">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6.1.1 承包人应按合同进度计划的要求，及时配置施工设备和修建临时设施。进入施工场地的承包人设备需经监理人核查后才能投入使用。承包人更换合同约定的承包人设备的，应报监理人批准。</w:t>
      </w:r>
    </w:p>
    <w:p w14:paraId="2C59EA65">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6.1.2 除专用合同条款另有约定外，承包人应自行承担修建临时设施的费用，需要临时占地的，应由承包人办理投标人手续并承担相应费用。</w:t>
      </w:r>
    </w:p>
    <w:p w14:paraId="16FECF9B">
      <w:pPr>
        <w:rPr>
          <w:rFonts w:hint="eastAsia" w:asciiTheme="minorEastAsia" w:hAnsiTheme="minorEastAsia" w:eastAsiaTheme="minorEastAsia" w:cstheme="minorEastAsia"/>
          <w:b/>
          <w:color w:val="auto"/>
          <w:sz w:val="21"/>
          <w:szCs w:val="21"/>
        </w:rPr>
      </w:pPr>
      <w:bookmarkStart w:id="643" w:name="_Toc265954927"/>
      <w:bookmarkStart w:id="644" w:name="_Toc27376"/>
      <w:bookmarkStart w:id="645" w:name="_Toc265954628"/>
      <w:bookmarkStart w:id="646" w:name="_Toc229450806"/>
      <w:bookmarkStart w:id="647" w:name="_Toc265653872"/>
      <w:r>
        <w:rPr>
          <w:rFonts w:hint="eastAsia" w:asciiTheme="minorEastAsia" w:hAnsiTheme="minorEastAsia" w:eastAsiaTheme="minorEastAsia" w:cstheme="minorEastAsia"/>
          <w:b/>
          <w:color w:val="auto"/>
          <w:sz w:val="21"/>
          <w:szCs w:val="21"/>
        </w:rPr>
        <w:t>6.2 发包人提供的施工设备和临时设施</w:t>
      </w:r>
      <w:bookmarkEnd w:id="643"/>
      <w:bookmarkEnd w:id="644"/>
      <w:bookmarkEnd w:id="645"/>
      <w:bookmarkEnd w:id="646"/>
      <w:bookmarkEnd w:id="647"/>
    </w:p>
    <w:p w14:paraId="4CDBAAA0">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发包人提供的施工设备或临时设施在专用合同条款中约定。</w:t>
      </w:r>
    </w:p>
    <w:p w14:paraId="1B207DAA">
      <w:pPr>
        <w:rPr>
          <w:rFonts w:hint="eastAsia" w:asciiTheme="minorEastAsia" w:hAnsiTheme="minorEastAsia" w:eastAsiaTheme="minorEastAsia" w:cstheme="minorEastAsia"/>
          <w:b/>
          <w:color w:val="auto"/>
          <w:sz w:val="21"/>
          <w:szCs w:val="21"/>
        </w:rPr>
      </w:pPr>
      <w:bookmarkStart w:id="648" w:name="_Toc265954928"/>
      <w:bookmarkStart w:id="649" w:name="_Toc265954629"/>
      <w:bookmarkStart w:id="650" w:name="_Toc229450807"/>
      <w:bookmarkStart w:id="651" w:name="_Toc2531"/>
      <w:bookmarkStart w:id="652" w:name="_Toc265653873"/>
      <w:r>
        <w:rPr>
          <w:rFonts w:hint="eastAsia" w:asciiTheme="minorEastAsia" w:hAnsiTheme="minorEastAsia" w:eastAsiaTheme="minorEastAsia" w:cstheme="minorEastAsia"/>
          <w:b/>
          <w:color w:val="auto"/>
          <w:sz w:val="21"/>
          <w:szCs w:val="21"/>
        </w:rPr>
        <w:t>6.3 要求承包人增加或更换施工设备</w:t>
      </w:r>
      <w:bookmarkEnd w:id="648"/>
      <w:bookmarkEnd w:id="649"/>
      <w:bookmarkEnd w:id="650"/>
      <w:bookmarkEnd w:id="651"/>
      <w:bookmarkEnd w:id="652"/>
    </w:p>
    <w:p w14:paraId="78C0F9B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承包人使用的施工设备不能满足合同进度计划和(或)质量要求时，监理人有权要求承包人增加或更换施工设备，承包人应及时增加或更换，由此增加的费用和(或)工期延误由承包人承担。</w:t>
      </w:r>
    </w:p>
    <w:p w14:paraId="4DC9B9D2">
      <w:pPr>
        <w:rPr>
          <w:rFonts w:hint="eastAsia" w:asciiTheme="minorEastAsia" w:hAnsiTheme="minorEastAsia" w:eastAsiaTheme="minorEastAsia" w:cstheme="minorEastAsia"/>
          <w:b/>
          <w:color w:val="auto"/>
          <w:sz w:val="21"/>
          <w:szCs w:val="21"/>
        </w:rPr>
      </w:pPr>
      <w:bookmarkStart w:id="653" w:name="_Toc265954929"/>
      <w:bookmarkStart w:id="654" w:name="_Toc763"/>
      <w:bookmarkStart w:id="655" w:name="_Toc265954630"/>
      <w:bookmarkStart w:id="656" w:name="_Toc265653874"/>
      <w:bookmarkStart w:id="657" w:name="_Toc229450808"/>
      <w:r>
        <w:rPr>
          <w:rFonts w:hint="eastAsia" w:asciiTheme="minorEastAsia" w:hAnsiTheme="minorEastAsia" w:eastAsiaTheme="minorEastAsia" w:cstheme="minorEastAsia"/>
          <w:b/>
          <w:color w:val="auto"/>
          <w:sz w:val="21"/>
          <w:szCs w:val="21"/>
        </w:rPr>
        <w:t>6.4 施工设备和临时设施专用于合同工程</w:t>
      </w:r>
      <w:bookmarkEnd w:id="653"/>
      <w:bookmarkEnd w:id="654"/>
      <w:bookmarkEnd w:id="655"/>
      <w:bookmarkEnd w:id="656"/>
      <w:bookmarkEnd w:id="657"/>
    </w:p>
    <w:p w14:paraId="2E9365F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6.4.1 除合同另有约定外，运入施工场地的所有施工设备以及在施工场地建设的临时设施应专用于合同工程。未经监理人同意，不得将上述施工设备和临时设施中的任何部分运出施工场地或挪作他用。</w:t>
      </w:r>
    </w:p>
    <w:p w14:paraId="4DE5589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6.4.2 经监理人同意，承包人可根据合同进度计划撤走闲置的施工设备。</w:t>
      </w:r>
    </w:p>
    <w:p w14:paraId="540CFA84">
      <w:pPr>
        <w:rPr>
          <w:rFonts w:hint="eastAsia" w:asciiTheme="minorEastAsia" w:hAnsiTheme="minorEastAsia" w:eastAsiaTheme="minorEastAsia" w:cstheme="minorEastAsia"/>
          <w:b/>
          <w:color w:val="auto"/>
          <w:sz w:val="21"/>
          <w:szCs w:val="21"/>
        </w:rPr>
      </w:pPr>
      <w:bookmarkStart w:id="658" w:name="_Toc199322022"/>
      <w:bookmarkStart w:id="659" w:name="_Toc265653875"/>
      <w:bookmarkStart w:id="660" w:name="_Toc229450809"/>
      <w:bookmarkStart w:id="661" w:name="_Toc265954930"/>
      <w:bookmarkStart w:id="662" w:name="_Toc14668"/>
      <w:bookmarkStart w:id="663" w:name="_Toc265954631"/>
      <w:r>
        <w:rPr>
          <w:rFonts w:hint="eastAsia" w:asciiTheme="minorEastAsia" w:hAnsiTheme="minorEastAsia" w:eastAsiaTheme="minorEastAsia" w:cstheme="minorEastAsia"/>
          <w:b/>
          <w:color w:val="auto"/>
          <w:sz w:val="21"/>
          <w:szCs w:val="21"/>
        </w:rPr>
        <w:t>7. 交通运输</w:t>
      </w:r>
      <w:bookmarkEnd w:id="658"/>
      <w:bookmarkEnd w:id="659"/>
      <w:bookmarkEnd w:id="660"/>
      <w:bookmarkEnd w:id="661"/>
      <w:bookmarkEnd w:id="662"/>
      <w:bookmarkEnd w:id="663"/>
    </w:p>
    <w:p w14:paraId="4E7E3C44">
      <w:pPr>
        <w:rPr>
          <w:rFonts w:hint="eastAsia" w:asciiTheme="minorEastAsia" w:hAnsiTheme="minorEastAsia" w:eastAsiaTheme="minorEastAsia" w:cstheme="minorEastAsia"/>
          <w:b/>
          <w:color w:val="auto"/>
          <w:sz w:val="21"/>
          <w:szCs w:val="21"/>
        </w:rPr>
      </w:pPr>
      <w:bookmarkStart w:id="664" w:name="_Toc1853"/>
      <w:bookmarkStart w:id="665" w:name="_Toc265954632"/>
      <w:bookmarkStart w:id="666" w:name="_Toc265653876"/>
      <w:bookmarkStart w:id="667" w:name="_Toc229450810"/>
      <w:bookmarkStart w:id="668" w:name="_Toc265954931"/>
      <w:r>
        <w:rPr>
          <w:rFonts w:hint="eastAsia" w:asciiTheme="minorEastAsia" w:hAnsiTheme="minorEastAsia" w:eastAsiaTheme="minorEastAsia" w:cstheme="minorEastAsia"/>
          <w:b/>
          <w:color w:val="auto"/>
          <w:sz w:val="21"/>
          <w:szCs w:val="21"/>
        </w:rPr>
        <w:t>7.1 道路通行权和场外设施</w:t>
      </w:r>
      <w:bookmarkEnd w:id="664"/>
      <w:bookmarkEnd w:id="665"/>
      <w:bookmarkEnd w:id="666"/>
      <w:bookmarkEnd w:id="667"/>
      <w:bookmarkEnd w:id="668"/>
    </w:p>
    <w:p w14:paraId="2F5927F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专用合同条款另有约定外，承包人应根据合同工程的施工需要，负责办理取得出入施工场地的专用和临时道路的通行权，以及取得为工程建设所需修建场外设施的权利，并承担有关费用。发包人应协助承包人办理上述手续。</w:t>
      </w:r>
    </w:p>
    <w:p w14:paraId="6D81695A">
      <w:pPr>
        <w:rPr>
          <w:rFonts w:hint="eastAsia" w:asciiTheme="minorEastAsia" w:hAnsiTheme="minorEastAsia" w:eastAsiaTheme="minorEastAsia" w:cstheme="minorEastAsia"/>
          <w:b/>
          <w:color w:val="auto"/>
          <w:sz w:val="21"/>
          <w:szCs w:val="21"/>
        </w:rPr>
      </w:pPr>
      <w:bookmarkStart w:id="669" w:name="_Toc2480"/>
      <w:bookmarkStart w:id="670" w:name="_Toc265954633"/>
      <w:bookmarkStart w:id="671" w:name="_Toc265954932"/>
      <w:bookmarkStart w:id="672" w:name="_Toc229450811"/>
      <w:bookmarkStart w:id="673" w:name="_Toc265653877"/>
      <w:r>
        <w:rPr>
          <w:rFonts w:hint="eastAsia" w:asciiTheme="minorEastAsia" w:hAnsiTheme="minorEastAsia" w:eastAsiaTheme="minorEastAsia" w:cstheme="minorEastAsia"/>
          <w:b/>
          <w:color w:val="auto"/>
          <w:sz w:val="21"/>
          <w:szCs w:val="21"/>
        </w:rPr>
        <w:t>7.2 场内施工道路</w:t>
      </w:r>
      <w:bookmarkEnd w:id="669"/>
      <w:bookmarkEnd w:id="670"/>
      <w:bookmarkEnd w:id="671"/>
      <w:bookmarkEnd w:id="672"/>
      <w:bookmarkEnd w:id="673"/>
    </w:p>
    <w:p w14:paraId="039A98A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7.2.1 除本合同约定由发包人提供的部分道咱和交通设施外，承包人应负责修建、维修、养护和管理施工所需的全部临时道路和交通设施（包括合同约定由发包人提供的部分道路和交通设施的维修、养护和管理），并承担相应费用。</w:t>
      </w:r>
    </w:p>
    <w:p w14:paraId="762D77A1">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7.2.2 承包人修建的临时道路和交通设施，应免费提供发包人、监理人以及本合同有关的其他承包人使用。</w:t>
      </w:r>
    </w:p>
    <w:p w14:paraId="6341A54A">
      <w:pPr>
        <w:rPr>
          <w:rFonts w:hint="eastAsia" w:asciiTheme="minorEastAsia" w:hAnsiTheme="minorEastAsia" w:eastAsiaTheme="minorEastAsia" w:cstheme="minorEastAsia"/>
          <w:b/>
          <w:color w:val="auto"/>
          <w:sz w:val="21"/>
          <w:szCs w:val="21"/>
        </w:rPr>
      </w:pPr>
      <w:bookmarkStart w:id="674" w:name="_Toc265954933"/>
      <w:bookmarkStart w:id="675" w:name="_Toc265653878"/>
      <w:bookmarkStart w:id="676" w:name="_Toc229450812"/>
      <w:bookmarkStart w:id="677" w:name="_Toc16562"/>
      <w:bookmarkStart w:id="678" w:name="_Toc265954634"/>
      <w:r>
        <w:rPr>
          <w:rFonts w:hint="eastAsia" w:asciiTheme="minorEastAsia" w:hAnsiTheme="minorEastAsia" w:eastAsiaTheme="minorEastAsia" w:cstheme="minorEastAsia"/>
          <w:b/>
          <w:color w:val="auto"/>
          <w:sz w:val="21"/>
          <w:szCs w:val="21"/>
        </w:rPr>
        <w:t>7.3 场外交通</w:t>
      </w:r>
      <w:bookmarkEnd w:id="674"/>
      <w:bookmarkEnd w:id="675"/>
      <w:bookmarkEnd w:id="676"/>
      <w:bookmarkEnd w:id="677"/>
      <w:bookmarkEnd w:id="678"/>
    </w:p>
    <w:p w14:paraId="6362DA9A">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7.3.1 承包人车辆外出行驶所需的场外公共道路的通行费、养路费和税款等由承包人承担。</w:t>
      </w:r>
    </w:p>
    <w:p w14:paraId="021825F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7.3.2 承包人应遵守有关交通法规，严格按照道路和桥梁的限制荷重安全行驶，并服从交通管理部门的检查和监督。</w:t>
      </w:r>
    </w:p>
    <w:p w14:paraId="676736C0">
      <w:pPr>
        <w:rPr>
          <w:rFonts w:hint="eastAsia" w:asciiTheme="minorEastAsia" w:hAnsiTheme="minorEastAsia" w:eastAsiaTheme="minorEastAsia" w:cstheme="minorEastAsia"/>
          <w:b/>
          <w:color w:val="auto"/>
          <w:sz w:val="21"/>
          <w:szCs w:val="21"/>
        </w:rPr>
      </w:pPr>
      <w:bookmarkStart w:id="679" w:name="_Toc265653879"/>
      <w:bookmarkStart w:id="680" w:name="_Toc229450813"/>
      <w:bookmarkStart w:id="681" w:name="_Toc265954934"/>
      <w:bookmarkStart w:id="682" w:name="_Toc265954635"/>
      <w:bookmarkStart w:id="683" w:name="_Toc5898"/>
      <w:r>
        <w:rPr>
          <w:rFonts w:hint="eastAsia" w:asciiTheme="minorEastAsia" w:hAnsiTheme="minorEastAsia" w:eastAsiaTheme="minorEastAsia" w:cstheme="minorEastAsia"/>
          <w:b/>
          <w:color w:val="auto"/>
          <w:sz w:val="21"/>
          <w:szCs w:val="21"/>
        </w:rPr>
        <w:t>7.4 超大件和超重件的运输</w:t>
      </w:r>
      <w:bookmarkEnd w:id="679"/>
      <w:bookmarkEnd w:id="680"/>
      <w:bookmarkEnd w:id="681"/>
      <w:bookmarkEnd w:id="682"/>
      <w:bookmarkEnd w:id="683"/>
    </w:p>
    <w:p w14:paraId="2CC2A59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9433244">
      <w:pPr>
        <w:rPr>
          <w:rFonts w:hint="eastAsia" w:asciiTheme="minorEastAsia" w:hAnsiTheme="minorEastAsia" w:eastAsiaTheme="minorEastAsia" w:cstheme="minorEastAsia"/>
          <w:b/>
          <w:color w:val="auto"/>
          <w:sz w:val="21"/>
          <w:szCs w:val="21"/>
        </w:rPr>
      </w:pPr>
      <w:bookmarkStart w:id="684" w:name="_Toc265954636"/>
      <w:bookmarkStart w:id="685" w:name="_Toc229450814"/>
      <w:bookmarkStart w:id="686" w:name="_Toc265653880"/>
      <w:bookmarkStart w:id="687" w:name="_Toc265954935"/>
      <w:bookmarkStart w:id="688" w:name="_Toc16021"/>
      <w:r>
        <w:rPr>
          <w:rFonts w:hint="eastAsia" w:asciiTheme="minorEastAsia" w:hAnsiTheme="minorEastAsia" w:eastAsiaTheme="minorEastAsia" w:cstheme="minorEastAsia"/>
          <w:b/>
          <w:color w:val="auto"/>
          <w:sz w:val="21"/>
          <w:szCs w:val="21"/>
        </w:rPr>
        <w:t>7.5 道路和桥梁的损坏责任</w:t>
      </w:r>
      <w:bookmarkEnd w:id="684"/>
      <w:bookmarkEnd w:id="685"/>
      <w:bookmarkEnd w:id="686"/>
      <w:bookmarkEnd w:id="687"/>
      <w:bookmarkEnd w:id="688"/>
    </w:p>
    <w:p w14:paraId="5C3C27AB">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因承包人运输造成施工场地内外公共道路和桥梁损坏的，由承包人承担修复损坏的全部费用和可能引起的赔偿。</w:t>
      </w:r>
    </w:p>
    <w:p w14:paraId="5DFBB4F9">
      <w:pPr>
        <w:rPr>
          <w:rFonts w:hint="eastAsia" w:asciiTheme="minorEastAsia" w:hAnsiTheme="minorEastAsia" w:eastAsiaTheme="minorEastAsia" w:cstheme="minorEastAsia"/>
          <w:b/>
          <w:color w:val="auto"/>
          <w:sz w:val="21"/>
          <w:szCs w:val="21"/>
        </w:rPr>
      </w:pPr>
      <w:bookmarkStart w:id="689" w:name="_Toc229450815"/>
      <w:bookmarkStart w:id="690" w:name="_Toc12847"/>
      <w:bookmarkStart w:id="691" w:name="_Toc265954936"/>
      <w:bookmarkStart w:id="692" w:name="_Toc265954637"/>
      <w:bookmarkStart w:id="693" w:name="_Toc265653881"/>
      <w:r>
        <w:rPr>
          <w:rFonts w:hint="eastAsia" w:asciiTheme="minorEastAsia" w:hAnsiTheme="minorEastAsia" w:eastAsiaTheme="minorEastAsia" w:cstheme="minorEastAsia"/>
          <w:b/>
          <w:color w:val="auto"/>
          <w:sz w:val="21"/>
          <w:szCs w:val="21"/>
        </w:rPr>
        <w:t>7.6 水路和航空运输</w:t>
      </w:r>
      <w:bookmarkEnd w:id="689"/>
      <w:bookmarkEnd w:id="690"/>
      <w:bookmarkEnd w:id="691"/>
      <w:bookmarkEnd w:id="692"/>
      <w:bookmarkEnd w:id="693"/>
    </w:p>
    <w:p w14:paraId="340954F3">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本条上述各款的内容适用于水路运输和航空运输，其中"道路"一词的涵义包括河道、航线、船闸、机场、码头、堤防以及水路或航空运输中其他相似结构物;"车辆"一词的涵义包括船舶和飞机等。</w:t>
      </w:r>
    </w:p>
    <w:p w14:paraId="7C7B882C">
      <w:pPr>
        <w:rPr>
          <w:rFonts w:hint="eastAsia" w:asciiTheme="minorEastAsia" w:hAnsiTheme="minorEastAsia" w:eastAsiaTheme="minorEastAsia" w:cstheme="minorEastAsia"/>
          <w:b/>
          <w:color w:val="auto"/>
          <w:sz w:val="21"/>
          <w:szCs w:val="21"/>
        </w:rPr>
      </w:pPr>
      <w:bookmarkStart w:id="694" w:name="_Toc265954638"/>
      <w:bookmarkStart w:id="695" w:name="_Toc265954937"/>
      <w:bookmarkStart w:id="696" w:name="_Toc6880"/>
      <w:bookmarkStart w:id="697" w:name="_Toc265653882"/>
      <w:bookmarkStart w:id="698" w:name="_Toc199322023"/>
      <w:bookmarkStart w:id="699" w:name="_Toc229450816"/>
      <w:r>
        <w:rPr>
          <w:rFonts w:hint="eastAsia" w:asciiTheme="minorEastAsia" w:hAnsiTheme="minorEastAsia" w:eastAsiaTheme="minorEastAsia" w:cstheme="minorEastAsia"/>
          <w:b/>
          <w:color w:val="auto"/>
          <w:sz w:val="21"/>
          <w:szCs w:val="21"/>
        </w:rPr>
        <w:t>8. 测量放线</w:t>
      </w:r>
      <w:bookmarkEnd w:id="694"/>
      <w:bookmarkEnd w:id="695"/>
      <w:bookmarkEnd w:id="696"/>
      <w:bookmarkEnd w:id="697"/>
      <w:bookmarkEnd w:id="698"/>
      <w:bookmarkEnd w:id="699"/>
    </w:p>
    <w:p w14:paraId="68DB8E38">
      <w:pPr>
        <w:rPr>
          <w:rFonts w:hint="eastAsia" w:asciiTheme="minorEastAsia" w:hAnsiTheme="minorEastAsia" w:eastAsiaTheme="minorEastAsia" w:cstheme="minorEastAsia"/>
          <w:b/>
          <w:color w:val="auto"/>
          <w:sz w:val="21"/>
          <w:szCs w:val="21"/>
        </w:rPr>
      </w:pPr>
      <w:bookmarkStart w:id="700" w:name="_Toc265954639"/>
      <w:bookmarkStart w:id="701" w:name="_Toc20415"/>
      <w:bookmarkStart w:id="702" w:name="_Toc265653883"/>
      <w:bookmarkStart w:id="703" w:name="_Toc265954938"/>
      <w:bookmarkStart w:id="704" w:name="_Toc229450817"/>
      <w:bookmarkStart w:id="705" w:name="_Toc199322024"/>
      <w:r>
        <w:rPr>
          <w:rFonts w:hint="eastAsia" w:asciiTheme="minorEastAsia" w:hAnsiTheme="minorEastAsia" w:eastAsiaTheme="minorEastAsia" w:cstheme="minorEastAsia"/>
          <w:b/>
          <w:color w:val="auto"/>
          <w:sz w:val="21"/>
          <w:szCs w:val="21"/>
        </w:rPr>
        <w:t>8.1 施工控制网</w:t>
      </w:r>
      <w:bookmarkEnd w:id="700"/>
      <w:bookmarkEnd w:id="701"/>
      <w:bookmarkEnd w:id="702"/>
      <w:bookmarkEnd w:id="703"/>
      <w:bookmarkEnd w:id="704"/>
      <w:bookmarkEnd w:id="705"/>
    </w:p>
    <w:p w14:paraId="79B1FEC6">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8.1.1 除专用合同条款另有约定外，施工控制网由承包人负责测设，发包人应在本合同协议书签订后14天内，向承包人提供测量基准点、基准线和水准点及其相关资料。承包人应在收到上述资料后的28天内，将施测的施工控制网资料提交监理人审批。监理人应在收到报批后的14天内批复承包人。</w:t>
      </w:r>
    </w:p>
    <w:p w14:paraId="00575BE0">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8.1.2 承包人应负责管理施工控制网点。施工控制网点丢失或损坏的，承包人应及时修复。承包人应承担施工控制网点的管理与修复费用，并在工程竣工后将施工控制网点移交发包人。</w:t>
      </w:r>
    </w:p>
    <w:p w14:paraId="126D3B6C">
      <w:pPr>
        <w:rPr>
          <w:rFonts w:hint="eastAsia" w:asciiTheme="minorEastAsia" w:hAnsiTheme="minorEastAsia" w:eastAsiaTheme="minorEastAsia" w:cstheme="minorEastAsia"/>
          <w:b/>
          <w:color w:val="auto"/>
          <w:sz w:val="21"/>
          <w:szCs w:val="21"/>
        </w:rPr>
      </w:pPr>
      <w:bookmarkStart w:id="706" w:name="_Toc199322025"/>
      <w:bookmarkStart w:id="707" w:name="_Toc229450818"/>
      <w:bookmarkStart w:id="708" w:name="_Toc265954640"/>
      <w:bookmarkStart w:id="709" w:name="_Toc30719"/>
      <w:bookmarkStart w:id="710" w:name="_Toc265954939"/>
      <w:bookmarkStart w:id="711" w:name="_Toc265653884"/>
      <w:r>
        <w:rPr>
          <w:rFonts w:hint="eastAsia" w:asciiTheme="minorEastAsia" w:hAnsiTheme="minorEastAsia" w:eastAsiaTheme="minorEastAsia" w:cstheme="minorEastAsia"/>
          <w:b/>
          <w:color w:val="auto"/>
          <w:sz w:val="21"/>
          <w:szCs w:val="21"/>
        </w:rPr>
        <w:t>8.2 施工测量</w:t>
      </w:r>
      <w:bookmarkEnd w:id="706"/>
      <w:bookmarkEnd w:id="707"/>
      <w:bookmarkEnd w:id="708"/>
      <w:bookmarkEnd w:id="709"/>
      <w:bookmarkEnd w:id="710"/>
      <w:bookmarkEnd w:id="711"/>
    </w:p>
    <w:p w14:paraId="65111FB2">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8.2.1 承包人应负责施工过程中的全部施工测量放线工作，并配置合格的人员、仪器、设备和其他物品。</w:t>
      </w:r>
    </w:p>
    <w:p w14:paraId="12BAEB41">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8.2.2 监理人可以指示承包人进行抽样复测，当复测中发现错误或出现超过合同约定的误差时，承包人应按监理人指示进行修正或补测，并承担相应的复测费用。</w:t>
      </w:r>
    </w:p>
    <w:p w14:paraId="3D36F5CE">
      <w:pPr>
        <w:rPr>
          <w:rFonts w:hint="eastAsia" w:asciiTheme="minorEastAsia" w:hAnsiTheme="minorEastAsia" w:eastAsiaTheme="minorEastAsia" w:cstheme="minorEastAsia"/>
          <w:b/>
          <w:color w:val="auto"/>
          <w:sz w:val="21"/>
          <w:szCs w:val="21"/>
        </w:rPr>
      </w:pPr>
      <w:bookmarkStart w:id="712" w:name="_Toc12185"/>
      <w:bookmarkStart w:id="713" w:name="_Toc199322026"/>
      <w:bookmarkStart w:id="714" w:name="_Toc265653885"/>
      <w:bookmarkStart w:id="715" w:name="_Toc265954641"/>
      <w:bookmarkStart w:id="716" w:name="_Toc265954940"/>
      <w:bookmarkStart w:id="717" w:name="_Toc229450819"/>
      <w:r>
        <w:rPr>
          <w:rFonts w:hint="eastAsia" w:asciiTheme="minorEastAsia" w:hAnsiTheme="minorEastAsia" w:eastAsiaTheme="minorEastAsia" w:cstheme="minorEastAsia"/>
          <w:b/>
          <w:color w:val="auto"/>
          <w:sz w:val="21"/>
          <w:szCs w:val="21"/>
        </w:rPr>
        <w:t>8.3 基准资料错误的责任</w:t>
      </w:r>
      <w:bookmarkEnd w:id="712"/>
      <w:bookmarkEnd w:id="713"/>
      <w:bookmarkEnd w:id="714"/>
      <w:bookmarkEnd w:id="715"/>
      <w:bookmarkEnd w:id="716"/>
      <w:bookmarkEnd w:id="717"/>
    </w:p>
    <w:p w14:paraId="7D4AC6F7">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35ACC09">
      <w:pPr>
        <w:rPr>
          <w:rFonts w:hint="eastAsia" w:asciiTheme="minorEastAsia" w:hAnsiTheme="minorEastAsia" w:eastAsiaTheme="minorEastAsia" w:cstheme="minorEastAsia"/>
          <w:b/>
          <w:color w:val="auto"/>
          <w:sz w:val="21"/>
          <w:szCs w:val="21"/>
        </w:rPr>
      </w:pPr>
      <w:bookmarkStart w:id="718" w:name="_Toc265653886"/>
      <w:bookmarkStart w:id="719" w:name="_Toc265954941"/>
      <w:bookmarkStart w:id="720" w:name="_Toc265954642"/>
      <w:r>
        <w:rPr>
          <w:rFonts w:hint="eastAsia" w:asciiTheme="minorEastAsia" w:hAnsiTheme="minorEastAsia" w:eastAsiaTheme="minorEastAsia" w:cstheme="minorEastAsia"/>
          <w:b/>
          <w:color w:val="auto"/>
          <w:sz w:val="21"/>
          <w:szCs w:val="21"/>
        </w:rPr>
        <w:t>8.4监理人使用施工控制网</w:t>
      </w:r>
      <w:bookmarkEnd w:id="718"/>
      <w:bookmarkEnd w:id="719"/>
      <w:bookmarkEnd w:id="720"/>
    </w:p>
    <w:p w14:paraId="3E708632">
      <w:pPr>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监理人需要使用施工控制网的，承包人应提供必要的协助，发包人不再为此支付费用。</w:t>
      </w:r>
    </w:p>
    <w:p w14:paraId="5029F628">
      <w:pPr>
        <w:rPr>
          <w:rFonts w:hint="eastAsia" w:asciiTheme="minorEastAsia" w:hAnsiTheme="minorEastAsia" w:eastAsiaTheme="minorEastAsia" w:cstheme="minorEastAsia"/>
          <w:b/>
          <w:color w:val="auto"/>
          <w:sz w:val="21"/>
          <w:szCs w:val="21"/>
        </w:rPr>
      </w:pPr>
      <w:bookmarkStart w:id="721" w:name="_Toc265954643"/>
      <w:bookmarkStart w:id="722" w:name="_Toc265653887"/>
      <w:bookmarkStart w:id="723" w:name="_Toc10477"/>
      <w:bookmarkStart w:id="724" w:name="_Toc265954942"/>
      <w:r>
        <w:rPr>
          <w:rFonts w:hint="eastAsia" w:asciiTheme="minorEastAsia" w:hAnsiTheme="minorEastAsia" w:eastAsiaTheme="minorEastAsia" w:cstheme="minorEastAsia"/>
          <w:b/>
          <w:color w:val="auto"/>
          <w:sz w:val="21"/>
          <w:szCs w:val="21"/>
        </w:rPr>
        <w:t>8.5 补充地质勘探</w:t>
      </w:r>
      <w:bookmarkEnd w:id="721"/>
      <w:bookmarkEnd w:id="722"/>
      <w:bookmarkEnd w:id="723"/>
      <w:bookmarkEnd w:id="724"/>
    </w:p>
    <w:p w14:paraId="04A93B0C">
      <w:pPr>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3657B19E">
      <w:pPr>
        <w:rPr>
          <w:rFonts w:hint="eastAsia" w:asciiTheme="minorEastAsia" w:hAnsiTheme="minorEastAsia" w:eastAsiaTheme="minorEastAsia" w:cstheme="minorEastAsia"/>
          <w:b/>
          <w:color w:val="auto"/>
          <w:sz w:val="21"/>
          <w:szCs w:val="21"/>
        </w:rPr>
      </w:pPr>
      <w:bookmarkStart w:id="725" w:name="_Toc265954943"/>
      <w:bookmarkStart w:id="726" w:name="_Toc265954644"/>
      <w:bookmarkStart w:id="727" w:name="_Toc229450820"/>
      <w:bookmarkStart w:id="728" w:name="_Toc2303"/>
      <w:bookmarkStart w:id="729" w:name="_Toc265653888"/>
      <w:r>
        <w:rPr>
          <w:rFonts w:hint="eastAsia" w:asciiTheme="minorEastAsia" w:hAnsiTheme="minorEastAsia" w:eastAsiaTheme="minorEastAsia" w:cstheme="minorEastAsia"/>
          <w:b/>
          <w:color w:val="auto"/>
          <w:sz w:val="21"/>
          <w:szCs w:val="21"/>
        </w:rPr>
        <w:t>9. 施工安全、治安保卫和环境保护</w:t>
      </w:r>
      <w:bookmarkEnd w:id="725"/>
      <w:bookmarkEnd w:id="726"/>
      <w:bookmarkEnd w:id="727"/>
      <w:bookmarkEnd w:id="728"/>
      <w:bookmarkEnd w:id="729"/>
    </w:p>
    <w:p w14:paraId="123826A0">
      <w:pPr>
        <w:rPr>
          <w:rFonts w:hint="eastAsia" w:asciiTheme="minorEastAsia" w:hAnsiTheme="minorEastAsia" w:eastAsiaTheme="minorEastAsia" w:cstheme="minorEastAsia"/>
          <w:b/>
          <w:color w:val="auto"/>
          <w:sz w:val="21"/>
          <w:szCs w:val="21"/>
        </w:rPr>
      </w:pPr>
      <w:bookmarkStart w:id="730" w:name="_Toc16202"/>
      <w:bookmarkStart w:id="731" w:name="_Toc199322027"/>
      <w:bookmarkStart w:id="732" w:name="_Toc265954645"/>
      <w:bookmarkStart w:id="733" w:name="_Toc265653889"/>
      <w:bookmarkStart w:id="734" w:name="_Toc229450821"/>
      <w:bookmarkStart w:id="735" w:name="_Toc265954944"/>
      <w:r>
        <w:rPr>
          <w:rFonts w:hint="eastAsia" w:asciiTheme="minorEastAsia" w:hAnsiTheme="minorEastAsia" w:eastAsiaTheme="minorEastAsia" w:cstheme="minorEastAsia"/>
          <w:b/>
          <w:color w:val="auto"/>
          <w:sz w:val="21"/>
          <w:szCs w:val="21"/>
        </w:rPr>
        <w:t>9.1 发包人的施工安全责任</w:t>
      </w:r>
      <w:bookmarkEnd w:id="730"/>
      <w:bookmarkEnd w:id="731"/>
      <w:bookmarkEnd w:id="732"/>
      <w:bookmarkEnd w:id="733"/>
      <w:bookmarkEnd w:id="734"/>
      <w:bookmarkEnd w:id="735"/>
    </w:p>
    <w:p w14:paraId="221E8231">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9.1.1 发包人应按合同约定履行安全职责。发包人委托监理人根据国家有关安全的法律、法规、强制性标准及部门规章，对承包人的安全责任履行情况进行监督和检查。监理人的监督检查不减轻承包人应负的安全责任。</w:t>
      </w:r>
    </w:p>
    <w:p w14:paraId="6653194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9.1.2 发包人应对其现场机构雇佣的全部人员的工伤事故承担责任，但由于承包人原因造成发包人人员工伤的，应由承包人承担责任。</w:t>
      </w:r>
    </w:p>
    <w:p w14:paraId="7CA6249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9.1.3 发包人应负责赔偿以下各种情况造成的第三者人身伤亡和财产损失：</w:t>
      </w:r>
    </w:p>
    <w:p w14:paraId="4492A235">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工程或工程的任何部分对土地的占用所造成的第三者财产损失:</w:t>
      </w:r>
    </w:p>
    <w:p w14:paraId="059FB8EB">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由于发包人原因在施工场地及其毗邻地带造成的第三者人身伤亡和财产损失。</w:t>
      </w:r>
    </w:p>
    <w:p w14:paraId="1B746D4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5B7B715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9.1.5 发包人按照已标价工程量清单所列金额和合同约定的计量支付规定，支付安全作业环境及安全施工措施所需费用。</w:t>
      </w:r>
    </w:p>
    <w:p w14:paraId="3F6EFA1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9.1.6 发包人负责组织工程参建单位编制保证安全生产的措施方案。工程开工前，就落实保证安全生产的措施进行全面系统的布置，进一步明确承包人的安全生产责任。</w:t>
      </w:r>
    </w:p>
    <w:p w14:paraId="6637309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9.1.7 发包人负责在拆除工程和爆破工程施工14天前向有关部门或机构报送相关备案资料。</w:t>
      </w:r>
    </w:p>
    <w:p w14:paraId="017B8D94">
      <w:pPr>
        <w:rPr>
          <w:rFonts w:hint="eastAsia" w:asciiTheme="minorEastAsia" w:hAnsiTheme="minorEastAsia" w:eastAsiaTheme="minorEastAsia" w:cstheme="minorEastAsia"/>
          <w:b/>
          <w:color w:val="auto"/>
          <w:sz w:val="21"/>
          <w:szCs w:val="21"/>
        </w:rPr>
      </w:pPr>
      <w:bookmarkStart w:id="736" w:name="_Toc265954646"/>
      <w:bookmarkStart w:id="737" w:name="_Toc229450822"/>
      <w:bookmarkStart w:id="738" w:name="_Toc10449"/>
      <w:bookmarkStart w:id="739" w:name="_Toc199322028"/>
      <w:bookmarkStart w:id="740" w:name="_Toc265954945"/>
      <w:bookmarkStart w:id="741" w:name="_Toc265653890"/>
      <w:r>
        <w:rPr>
          <w:rFonts w:hint="eastAsia" w:asciiTheme="minorEastAsia" w:hAnsiTheme="minorEastAsia" w:eastAsiaTheme="minorEastAsia" w:cstheme="minorEastAsia"/>
          <w:b/>
          <w:color w:val="auto"/>
          <w:sz w:val="21"/>
          <w:szCs w:val="21"/>
        </w:rPr>
        <w:t>9.2 承包人的施工安全责任</w:t>
      </w:r>
      <w:bookmarkEnd w:id="736"/>
      <w:bookmarkEnd w:id="737"/>
      <w:bookmarkEnd w:id="738"/>
      <w:bookmarkEnd w:id="739"/>
      <w:bookmarkEnd w:id="740"/>
      <w:bookmarkEnd w:id="741"/>
    </w:p>
    <w:p w14:paraId="7B00C9C0">
      <w:pPr>
        <w:autoSpaceDE w:val="0"/>
        <w:autoSpaceDN w:val="0"/>
        <w:adjustRightInd w:val="0"/>
        <w:ind w:firstLine="404" w:firstLineChars="20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9.2.1 承包人应按合同约定履行安全职责，执行监理人有关安全工作的指示，承包人应按技术标准和要求（合同技术条款）约定的内容和期限 ，以及监理人的指示，编制施工安全技术措施提交监理人审批。监理人应在技术标准和要求（合同技术条款）约定的期限批复承包人。</w:t>
      </w:r>
    </w:p>
    <w:p w14:paraId="05B7EF8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9.2.2 承包人应加强施工作业安全管理，特别应加强易燃、易爆材料、火工器材、有毒与腐蚀性材料和其他危险品的管理，以及对爆破作业等危险作业的管理。</w:t>
      </w:r>
    </w:p>
    <w:p w14:paraId="6E92C3E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9.2.3 承包人应严格按照国家安全标准制定施工安全操作规程，配备必要的安全生产和劳动保护设施，加强对承包人人员的安全教育，井发放安全工作手册和劳动保护用具。</w:t>
      </w:r>
    </w:p>
    <w:p w14:paraId="7644F3F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9.2.4 承包人应按监理人的指示制定应对灾害的紧急预案，报送监理人审批。承包人还应按预案做好安全检查，配置必要的救助物资和器材，切实保护好有关人员的人身和财产安全.</w:t>
      </w:r>
    </w:p>
    <w:p w14:paraId="008A95A5">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4AAC9956">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9.2.6 承包人应对其履行合同所雇佣的全部人员，包括分包人人员的工伤事故承担责任，但由于发包人原因造成承包人人员工伤事故的，应由发包人承担责任。</w:t>
      </w:r>
    </w:p>
    <w:p w14:paraId="6FF787CF">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9.2.7 由于承包人原因在施工场地内及其毗邻地带造成的第三者人员伤亡和财产损失，由承包人负责赔偿。</w:t>
      </w:r>
    </w:p>
    <w:p w14:paraId="1756A224">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9.2.8 承包人已标价工程量清单应包含工程安全作业环境及安全施工措施所需费用。</w:t>
      </w:r>
    </w:p>
    <w:p w14:paraId="7DC94B02">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9.2.9 承包人应建立建全安全生产责任制度和安全生产教育培训制度，制定安全生产规章制度和操作规程，保证本单位建立和完善安全生产条件所需资金的投入，对本工程进行定期和专项安全检查，并做好安全检查记录。</w:t>
      </w:r>
    </w:p>
    <w:p w14:paraId="2D8615E6">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9.2.10 承包人应设立安全生产管理机构，施工现场应有专职安全生产管理人员。</w:t>
      </w:r>
    </w:p>
    <w:p w14:paraId="56170C85">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9.2.11 承包人应负责对特种作业人员进行专门的安全作业培训，并保证特种作业人员持证上岗。</w:t>
      </w:r>
    </w:p>
    <w:p w14:paraId="3C6B1469">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9.2.12 承包人应在施工组织设计中编制安全技术措施和施工现场临时用电方案。对专用合同条款约定的工程，应编制专项施工方案报监理人批准。对专用合同条款约定的专项施工方案，还应组织专家进行认证、审查，其中专家1/2人员应经发包人同意。</w:t>
      </w:r>
    </w:p>
    <w:p w14:paraId="75418F89">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9.2.13 承包人在使用施工起重机械和整体提升脚手架、模板等自升式架设设施前，应组织有关单位进行验收。</w:t>
      </w:r>
    </w:p>
    <w:p w14:paraId="510DAF9A">
      <w:pPr>
        <w:rPr>
          <w:rFonts w:hint="eastAsia" w:asciiTheme="minorEastAsia" w:hAnsiTheme="minorEastAsia" w:eastAsiaTheme="minorEastAsia" w:cstheme="minorEastAsia"/>
          <w:b/>
          <w:color w:val="auto"/>
          <w:sz w:val="21"/>
          <w:szCs w:val="21"/>
        </w:rPr>
      </w:pPr>
      <w:bookmarkStart w:id="742" w:name="_Toc199322029"/>
      <w:bookmarkStart w:id="743" w:name="_Toc22329"/>
      <w:bookmarkStart w:id="744" w:name="_Toc265954946"/>
      <w:bookmarkStart w:id="745" w:name="_Toc229450823"/>
      <w:bookmarkStart w:id="746" w:name="_Toc265954647"/>
      <w:bookmarkStart w:id="747" w:name="_Toc265653891"/>
      <w:r>
        <w:rPr>
          <w:rFonts w:hint="eastAsia" w:asciiTheme="minorEastAsia" w:hAnsiTheme="minorEastAsia" w:eastAsiaTheme="minorEastAsia" w:cstheme="minorEastAsia"/>
          <w:b/>
          <w:color w:val="auto"/>
          <w:sz w:val="21"/>
          <w:szCs w:val="21"/>
        </w:rPr>
        <w:t>9.3 治安保卫</w:t>
      </w:r>
      <w:bookmarkEnd w:id="742"/>
      <w:bookmarkEnd w:id="743"/>
      <w:bookmarkEnd w:id="744"/>
      <w:bookmarkEnd w:id="745"/>
      <w:bookmarkEnd w:id="746"/>
      <w:bookmarkEnd w:id="747"/>
    </w:p>
    <w:p w14:paraId="34EC7B2B">
      <w:pPr>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9.3.1 除合同另有约定外，发包人应与当地公安部门协商，在现场建立治安管理机构或联防组织，统一管理施工场地的治安保卫事项，履行合同工程的治安保卫职责。</w:t>
      </w:r>
    </w:p>
    <w:p w14:paraId="0012C3E5">
      <w:pPr>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9.3.2 发包人和承包人除应协助现场治安管理机构或联防组织维护施工场地的社会治安外，还应做好包括生活区在内的各自管辖区的治安保卫工作。</w:t>
      </w:r>
    </w:p>
    <w:p w14:paraId="6A6446F0">
      <w:pPr>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3C440925">
      <w:pPr>
        <w:rPr>
          <w:rFonts w:hint="eastAsia" w:asciiTheme="minorEastAsia" w:hAnsiTheme="minorEastAsia" w:eastAsiaTheme="minorEastAsia" w:cstheme="minorEastAsia"/>
          <w:b/>
          <w:color w:val="auto"/>
          <w:sz w:val="21"/>
          <w:szCs w:val="21"/>
        </w:rPr>
      </w:pPr>
      <w:bookmarkStart w:id="748" w:name="_Toc199322030"/>
      <w:bookmarkStart w:id="749" w:name="_Toc265954947"/>
      <w:bookmarkStart w:id="750" w:name="_Toc265954648"/>
      <w:bookmarkStart w:id="751" w:name="_Toc229450824"/>
      <w:bookmarkStart w:id="752" w:name="_Toc265653892"/>
      <w:bookmarkStart w:id="753" w:name="_Toc6777"/>
      <w:r>
        <w:rPr>
          <w:rFonts w:hint="eastAsia" w:asciiTheme="minorEastAsia" w:hAnsiTheme="minorEastAsia" w:eastAsiaTheme="minorEastAsia" w:cstheme="minorEastAsia"/>
          <w:b/>
          <w:color w:val="auto"/>
          <w:sz w:val="21"/>
          <w:szCs w:val="21"/>
        </w:rPr>
        <w:t>9.4 环境保护</w:t>
      </w:r>
      <w:bookmarkEnd w:id="748"/>
      <w:bookmarkEnd w:id="749"/>
      <w:bookmarkEnd w:id="750"/>
      <w:bookmarkEnd w:id="751"/>
      <w:bookmarkEnd w:id="752"/>
      <w:bookmarkEnd w:id="753"/>
    </w:p>
    <w:p w14:paraId="6A0B5AB2">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9.4.1 承包人在施工过程中，应遵守有关环境保护的法律，履行合同约定的环境保护义务，并对违反法律和合同约定义务所造成的环境破坏、人身伤害和财产损失负责。</w:t>
      </w:r>
    </w:p>
    <w:p w14:paraId="7BD7E456">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9.4.2 承包人应按合同约定的环保工作内容，编制施工环保措施计划，报送监理人审批。</w:t>
      </w:r>
    </w:p>
    <w:p w14:paraId="266AFFF3">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2D3D33DD">
      <w:pPr>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9.4.4 承包人应按合同约定采取有效措施，对施工开挖的边坡及时进行支护，维护排水设施，并进行水土保护，避免因施工造成的地质灾害。</w:t>
      </w:r>
    </w:p>
    <w:p w14:paraId="1020DCB7">
      <w:pPr>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9.4.5 承包人应按国家饮用水管理标准定期对饮用水源进行监测，防止施工活动污染饮用水源。</w:t>
      </w:r>
    </w:p>
    <w:p w14:paraId="2636A5DE">
      <w:pPr>
        <w:autoSpaceDE w:val="0"/>
        <w:autoSpaceDN w:val="0"/>
        <w:adjustRightInd w:val="0"/>
        <w:ind w:firstLine="515" w:firstLineChars="2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9.4.6 承包人应按合同约定，加强对噪声、粉尘、废气、废水和废油的控制，努力降低噪声，控制粉尘和废气浓度，做好废水和废油的治理和排放。</w:t>
      </w:r>
    </w:p>
    <w:p w14:paraId="6C0EF549">
      <w:pPr>
        <w:rPr>
          <w:rFonts w:hint="eastAsia" w:asciiTheme="minorEastAsia" w:hAnsiTheme="minorEastAsia" w:eastAsiaTheme="minorEastAsia" w:cstheme="minorEastAsia"/>
          <w:b/>
          <w:color w:val="auto"/>
          <w:sz w:val="21"/>
          <w:szCs w:val="21"/>
        </w:rPr>
      </w:pPr>
      <w:bookmarkStart w:id="754" w:name="_Toc265954948"/>
      <w:bookmarkStart w:id="755" w:name="_Toc30462"/>
      <w:bookmarkStart w:id="756" w:name="_Toc229450825"/>
      <w:bookmarkStart w:id="757" w:name="_Toc265653893"/>
      <w:bookmarkStart w:id="758" w:name="_Toc199322031"/>
      <w:bookmarkStart w:id="759" w:name="_Toc265954649"/>
      <w:r>
        <w:rPr>
          <w:rFonts w:hint="eastAsia" w:asciiTheme="minorEastAsia" w:hAnsiTheme="minorEastAsia" w:eastAsiaTheme="minorEastAsia" w:cstheme="minorEastAsia"/>
          <w:b/>
          <w:color w:val="auto"/>
          <w:sz w:val="21"/>
          <w:szCs w:val="21"/>
        </w:rPr>
        <w:t>9.5 事故处理</w:t>
      </w:r>
      <w:bookmarkEnd w:id="754"/>
      <w:bookmarkEnd w:id="755"/>
      <w:bookmarkEnd w:id="756"/>
      <w:bookmarkEnd w:id="757"/>
      <w:bookmarkEnd w:id="758"/>
      <w:bookmarkEnd w:id="759"/>
    </w:p>
    <w:p w14:paraId="5FA629E1">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9.5.1 发包人负责组织参建单位制定本工程的质量与安全事故应急预案，建立质量与安全事故应急处置指挥部。</w:t>
      </w:r>
    </w:p>
    <w:p w14:paraId="5F9A4D5C">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9.5.2 承包人应对施工现场易发生重大事故的部位、环节进行监控，配备救援器材、设备，并定期组织演练。</w:t>
      </w:r>
    </w:p>
    <w:p w14:paraId="614420D4">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9.5.3 工程开工前，承包人应根据本工程的特点制定施工现场施工质量与安全事故应急预案，并报发包人备案。</w:t>
      </w:r>
    </w:p>
    <w:p w14:paraId="2CF2935E">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9.5.4 施工过程中发生事故时，发包人、承包人应立即启动应急预案。</w:t>
      </w:r>
    </w:p>
    <w:p w14:paraId="6594F0B8">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9.5.5 事故调查处理由发包人按相关规定履行手续，承包人应配合。</w:t>
      </w:r>
    </w:p>
    <w:p w14:paraId="0B618217">
      <w:pPr>
        <w:rPr>
          <w:rFonts w:hint="eastAsia" w:asciiTheme="minorEastAsia" w:hAnsiTheme="minorEastAsia" w:eastAsiaTheme="minorEastAsia" w:cstheme="minorEastAsia"/>
          <w:b/>
          <w:color w:val="auto"/>
          <w:sz w:val="21"/>
          <w:szCs w:val="21"/>
        </w:rPr>
      </w:pPr>
      <w:bookmarkStart w:id="760" w:name="_Toc265954949"/>
      <w:bookmarkStart w:id="761" w:name="_Toc265954650"/>
      <w:bookmarkStart w:id="762" w:name="_Toc265653894"/>
      <w:bookmarkStart w:id="763" w:name="_Toc31119"/>
      <w:r>
        <w:rPr>
          <w:rFonts w:hint="eastAsia" w:asciiTheme="minorEastAsia" w:hAnsiTheme="minorEastAsia" w:eastAsiaTheme="minorEastAsia" w:cstheme="minorEastAsia"/>
          <w:b/>
          <w:color w:val="auto"/>
          <w:sz w:val="21"/>
          <w:szCs w:val="21"/>
        </w:rPr>
        <w:t>9.6 水土保持</w:t>
      </w:r>
      <w:bookmarkEnd w:id="760"/>
      <w:bookmarkEnd w:id="761"/>
      <w:bookmarkEnd w:id="762"/>
      <w:bookmarkEnd w:id="763"/>
    </w:p>
    <w:p w14:paraId="362A05C2">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9.6.1 发包人应及时向承包人提供水土保持方案。</w:t>
      </w:r>
    </w:p>
    <w:p w14:paraId="4AC8B6A7">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9.6.2 承包人在施工过程中，应遵守有关水土保持的法律法规和规章，履行合同约定的水土保持义务，并对其违反法律和合同约定义务所造成的水土流失灾害、人身伤害和财产损失负责。</w:t>
      </w:r>
    </w:p>
    <w:p w14:paraId="1D818DB0">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9.6.3 承包人的水土保持措施计划，应满足技术标准和要求（合同技术条款）约定的要求。</w:t>
      </w:r>
    </w:p>
    <w:p w14:paraId="244562CF">
      <w:pPr>
        <w:rPr>
          <w:rFonts w:hint="eastAsia" w:asciiTheme="minorEastAsia" w:hAnsiTheme="minorEastAsia" w:eastAsiaTheme="minorEastAsia" w:cstheme="minorEastAsia"/>
          <w:b/>
          <w:color w:val="auto"/>
          <w:sz w:val="21"/>
          <w:szCs w:val="21"/>
        </w:rPr>
      </w:pPr>
      <w:bookmarkStart w:id="764" w:name="_Toc18611"/>
      <w:bookmarkStart w:id="765" w:name="_Toc265954651"/>
      <w:bookmarkStart w:id="766" w:name="_Toc265954950"/>
      <w:bookmarkStart w:id="767" w:name="_Toc265653895"/>
      <w:r>
        <w:rPr>
          <w:rFonts w:hint="eastAsia" w:asciiTheme="minorEastAsia" w:hAnsiTheme="minorEastAsia" w:eastAsiaTheme="minorEastAsia" w:cstheme="minorEastAsia"/>
          <w:b/>
          <w:color w:val="auto"/>
          <w:sz w:val="21"/>
          <w:szCs w:val="21"/>
        </w:rPr>
        <w:t>9.7 文明工地</w:t>
      </w:r>
      <w:bookmarkEnd w:id="764"/>
      <w:bookmarkEnd w:id="765"/>
      <w:bookmarkEnd w:id="766"/>
      <w:bookmarkEnd w:id="767"/>
    </w:p>
    <w:p w14:paraId="3E128784">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9.7.1 发包人应按专用合同条款的约定，负责建立创建文明建设工地的组织机构，制定创建文明建设工地的规划和办法。</w:t>
      </w:r>
    </w:p>
    <w:p w14:paraId="05754670">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9.7.2 承包人应按创建文明建设工地的规划和办法，履行职责，承担相应责任。所需费用应含在已标价工程量清单中。</w:t>
      </w:r>
    </w:p>
    <w:p w14:paraId="464A56BA">
      <w:pPr>
        <w:rPr>
          <w:rFonts w:hint="eastAsia" w:asciiTheme="minorEastAsia" w:hAnsiTheme="minorEastAsia" w:eastAsiaTheme="minorEastAsia" w:cstheme="minorEastAsia"/>
          <w:b/>
          <w:color w:val="auto"/>
          <w:sz w:val="21"/>
          <w:szCs w:val="21"/>
        </w:rPr>
      </w:pPr>
      <w:bookmarkStart w:id="768" w:name="_Toc265954652"/>
      <w:bookmarkStart w:id="769" w:name="_Toc265653896"/>
      <w:bookmarkStart w:id="770" w:name="_Toc14645"/>
      <w:bookmarkStart w:id="771" w:name="_Toc265954951"/>
      <w:r>
        <w:rPr>
          <w:rFonts w:hint="eastAsia" w:asciiTheme="minorEastAsia" w:hAnsiTheme="minorEastAsia" w:eastAsiaTheme="minorEastAsia" w:cstheme="minorEastAsia"/>
          <w:b/>
          <w:color w:val="auto"/>
          <w:sz w:val="21"/>
          <w:szCs w:val="21"/>
        </w:rPr>
        <w:t>9.8 防汛度汛</w:t>
      </w:r>
      <w:bookmarkEnd w:id="768"/>
      <w:bookmarkEnd w:id="769"/>
      <w:bookmarkEnd w:id="770"/>
      <w:bookmarkEnd w:id="771"/>
    </w:p>
    <w:p w14:paraId="69CF83F8">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9.8.1 发包人负责组织工程参建单位编制本工程的度汛方案和措施。</w:t>
      </w:r>
    </w:p>
    <w:p w14:paraId="275C4820">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9.8.2 承包人应根据发包人编制的本工程度汛方案和措施，制定相应的度汛方案，报发包人批准后实施。</w:t>
      </w:r>
    </w:p>
    <w:p w14:paraId="0BC10E3A">
      <w:pPr>
        <w:rPr>
          <w:rFonts w:hint="eastAsia" w:asciiTheme="minorEastAsia" w:hAnsiTheme="minorEastAsia" w:eastAsiaTheme="minorEastAsia" w:cstheme="minorEastAsia"/>
          <w:b/>
          <w:color w:val="auto"/>
          <w:sz w:val="21"/>
          <w:szCs w:val="21"/>
        </w:rPr>
      </w:pPr>
      <w:bookmarkStart w:id="772" w:name="_Toc265653897"/>
      <w:bookmarkStart w:id="773" w:name="_Toc26258"/>
      <w:bookmarkStart w:id="774" w:name="_Toc229450826"/>
      <w:bookmarkStart w:id="775" w:name="_Toc265954952"/>
      <w:bookmarkStart w:id="776" w:name="_Toc199322032"/>
      <w:bookmarkStart w:id="777" w:name="_Toc265954653"/>
      <w:r>
        <w:rPr>
          <w:rFonts w:hint="eastAsia" w:asciiTheme="minorEastAsia" w:hAnsiTheme="minorEastAsia" w:eastAsiaTheme="minorEastAsia" w:cstheme="minorEastAsia"/>
          <w:b/>
          <w:color w:val="auto"/>
          <w:sz w:val="21"/>
          <w:szCs w:val="21"/>
        </w:rPr>
        <w:t>10. 进度计划</w:t>
      </w:r>
      <w:bookmarkEnd w:id="772"/>
      <w:bookmarkEnd w:id="773"/>
      <w:bookmarkEnd w:id="774"/>
      <w:bookmarkEnd w:id="775"/>
      <w:bookmarkEnd w:id="776"/>
      <w:bookmarkEnd w:id="777"/>
    </w:p>
    <w:p w14:paraId="6EFF8B12">
      <w:pPr>
        <w:rPr>
          <w:rFonts w:hint="eastAsia" w:asciiTheme="minorEastAsia" w:hAnsiTheme="minorEastAsia" w:eastAsiaTheme="minorEastAsia" w:cstheme="minorEastAsia"/>
          <w:b/>
          <w:color w:val="auto"/>
          <w:sz w:val="21"/>
          <w:szCs w:val="21"/>
        </w:rPr>
      </w:pPr>
      <w:bookmarkStart w:id="778" w:name="_Toc265653898"/>
      <w:bookmarkStart w:id="779" w:name="_Toc229450827"/>
      <w:bookmarkStart w:id="780" w:name="_Toc22461"/>
      <w:bookmarkStart w:id="781" w:name="_Toc265954953"/>
      <w:bookmarkStart w:id="782" w:name="_Toc265954654"/>
      <w:bookmarkStart w:id="783" w:name="_Toc199322033"/>
      <w:r>
        <w:rPr>
          <w:rFonts w:hint="eastAsia" w:asciiTheme="minorEastAsia" w:hAnsiTheme="minorEastAsia" w:eastAsiaTheme="minorEastAsia" w:cstheme="minorEastAsia"/>
          <w:b/>
          <w:color w:val="auto"/>
          <w:sz w:val="21"/>
          <w:szCs w:val="21"/>
        </w:rPr>
        <w:t>10.1 合同进度计划</w:t>
      </w:r>
      <w:bookmarkEnd w:id="778"/>
      <w:bookmarkEnd w:id="779"/>
      <w:bookmarkEnd w:id="780"/>
      <w:bookmarkEnd w:id="781"/>
      <w:bookmarkEnd w:id="782"/>
      <w:bookmarkEnd w:id="783"/>
    </w:p>
    <w:p w14:paraId="60300DD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计划的依据。承包人还应根据合同进度计划，编制更为详细的分阶段或单位工程或分部工程进度计划，报监理人审批。</w:t>
      </w:r>
    </w:p>
    <w:p w14:paraId="6EFA797A">
      <w:pPr>
        <w:rPr>
          <w:rFonts w:hint="eastAsia" w:asciiTheme="minorEastAsia" w:hAnsiTheme="minorEastAsia" w:eastAsiaTheme="minorEastAsia" w:cstheme="minorEastAsia"/>
          <w:b/>
          <w:color w:val="auto"/>
          <w:sz w:val="21"/>
          <w:szCs w:val="21"/>
        </w:rPr>
      </w:pPr>
      <w:bookmarkStart w:id="784" w:name="_Toc265954954"/>
      <w:bookmarkStart w:id="785" w:name="_Toc199322034"/>
      <w:bookmarkStart w:id="786" w:name="_Toc30375"/>
      <w:bookmarkStart w:id="787" w:name="_Toc265954655"/>
      <w:bookmarkStart w:id="788" w:name="_Toc229450828"/>
      <w:bookmarkStart w:id="789" w:name="_Toc265653899"/>
      <w:r>
        <w:rPr>
          <w:rFonts w:hint="eastAsia" w:asciiTheme="minorEastAsia" w:hAnsiTheme="minorEastAsia" w:eastAsiaTheme="minorEastAsia" w:cstheme="minorEastAsia"/>
          <w:b/>
          <w:color w:val="auto"/>
          <w:sz w:val="21"/>
          <w:szCs w:val="21"/>
        </w:rPr>
        <w:t>10.2 合同进度计划的修订</w:t>
      </w:r>
      <w:bookmarkEnd w:id="784"/>
      <w:bookmarkEnd w:id="785"/>
      <w:bookmarkEnd w:id="786"/>
      <w:bookmarkEnd w:id="787"/>
      <w:bookmarkEnd w:id="788"/>
      <w:bookmarkEnd w:id="789"/>
    </w:p>
    <w:p w14:paraId="03393F5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不论何种原因造成工程的实际进度与第10.1款的合同进度计划不符时，承包人均应在14天内向监理人提交修订合同进度计划的申请报告，并附有关措施和相关资料。报监理人审批，监理人应在收到申请报告后14天内批复。当监理人认为需要修订合同进度计划时，承包人应按监理人的指示，在14天内向监理人提交修订的合同进度计划，并附调整计划的相关资料，提交监理人审批 ，监理人应在收到进度计划后的14天内批复。</w:t>
      </w:r>
    </w:p>
    <w:p w14:paraId="4CCE6CE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65732682">
      <w:pPr>
        <w:rPr>
          <w:rFonts w:hint="eastAsia" w:asciiTheme="minorEastAsia" w:hAnsiTheme="minorEastAsia" w:eastAsiaTheme="minorEastAsia" w:cstheme="minorEastAsia"/>
          <w:b/>
          <w:color w:val="auto"/>
          <w:sz w:val="21"/>
          <w:szCs w:val="21"/>
        </w:rPr>
      </w:pPr>
      <w:bookmarkStart w:id="790" w:name="_Toc265954656"/>
      <w:bookmarkStart w:id="791" w:name="_Toc265954955"/>
      <w:bookmarkStart w:id="792" w:name="_Toc26650"/>
      <w:bookmarkStart w:id="793" w:name="_Toc265653900"/>
      <w:r>
        <w:rPr>
          <w:rFonts w:hint="eastAsia" w:asciiTheme="minorEastAsia" w:hAnsiTheme="minorEastAsia" w:eastAsiaTheme="minorEastAsia" w:cstheme="minorEastAsia"/>
          <w:b/>
          <w:color w:val="auto"/>
          <w:sz w:val="21"/>
          <w:szCs w:val="21"/>
        </w:rPr>
        <w:t>10.3 单位工程进度计划</w:t>
      </w:r>
      <w:bookmarkEnd w:id="790"/>
      <w:bookmarkEnd w:id="791"/>
      <w:bookmarkEnd w:id="792"/>
      <w:bookmarkEnd w:id="793"/>
    </w:p>
    <w:p w14:paraId="3BA71A3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监理人认为有必要时，承包人应按监理人指示的内容和期限，并根据合同进度计划的进度控制要求，编制单位工程进度计划，提交监理人审批。</w:t>
      </w:r>
    </w:p>
    <w:p w14:paraId="4F2392AB">
      <w:pPr>
        <w:rPr>
          <w:rFonts w:hint="eastAsia" w:asciiTheme="minorEastAsia" w:hAnsiTheme="minorEastAsia" w:eastAsiaTheme="minorEastAsia" w:cstheme="minorEastAsia"/>
          <w:b/>
          <w:color w:val="auto"/>
          <w:sz w:val="21"/>
          <w:szCs w:val="21"/>
        </w:rPr>
      </w:pPr>
      <w:bookmarkStart w:id="794" w:name="_Toc265653901"/>
      <w:bookmarkStart w:id="795" w:name="_Toc30943"/>
      <w:bookmarkStart w:id="796" w:name="_Toc265954657"/>
      <w:bookmarkStart w:id="797" w:name="_Toc265954956"/>
      <w:r>
        <w:rPr>
          <w:rFonts w:hint="eastAsia" w:asciiTheme="minorEastAsia" w:hAnsiTheme="minorEastAsia" w:eastAsiaTheme="minorEastAsia" w:cstheme="minorEastAsia"/>
          <w:b/>
          <w:color w:val="auto"/>
          <w:sz w:val="21"/>
          <w:szCs w:val="21"/>
        </w:rPr>
        <w:t>10.4 提交资金流估算表</w:t>
      </w:r>
      <w:bookmarkEnd w:id="794"/>
      <w:bookmarkEnd w:id="795"/>
      <w:bookmarkEnd w:id="796"/>
      <w:bookmarkEnd w:id="797"/>
    </w:p>
    <w:p w14:paraId="21311D0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3A2788E6">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资金流估算表（参考格式）</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
        <w:gridCol w:w="372"/>
        <w:gridCol w:w="990"/>
        <w:gridCol w:w="1446"/>
        <w:gridCol w:w="1298"/>
        <w:gridCol w:w="1088"/>
        <w:gridCol w:w="1028"/>
        <w:gridCol w:w="676"/>
        <w:gridCol w:w="820"/>
        <w:gridCol w:w="1122"/>
      </w:tblGrid>
      <w:tr w14:paraId="1698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3BDF29E9">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年</w:t>
            </w:r>
          </w:p>
        </w:tc>
        <w:tc>
          <w:tcPr>
            <w:tcW w:w="372" w:type="dxa"/>
          </w:tcPr>
          <w:p w14:paraId="1D6A0622">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月</w:t>
            </w:r>
          </w:p>
        </w:tc>
        <w:tc>
          <w:tcPr>
            <w:tcW w:w="990" w:type="dxa"/>
          </w:tcPr>
          <w:p w14:paraId="6A2F0F82">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工程预付款</w:t>
            </w:r>
          </w:p>
        </w:tc>
        <w:tc>
          <w:tcPr>
            <w:tcW w:w="1446" w:type="dxa"/>
          </w:tcPr>
          <w:p w14:paraId="2BE6D84D">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完成工作量付款</w:t>
            </w:r>
          </w:p>
        </w:tc>
        <w:tc>
          <w:tcPr>
            <w:tcW w:w="1298" w:type="dxa"/>
          </w:tcPr>
          <w:p w14:paraId="42CC576A">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质量保证金扣留</w:t>
            </w:r>
          </w:p>
        </w:tc>
        <w:tc>
          <w:tcPr>
            <w:tcW w:w="1088" w:type="dxa"/>
          </w:tcPr>
          <w:p w14:paraId="370D99FC">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材料款扣除</w:t>
            </w:r>
          </w:p>
        </w:tc>
        <w:tc>
          <w:tcPr>
            <w:tcW w:w="1028" w:type="dxa"/>
          </w:tcPr>
          <w:p w14:paraId="674872F1">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预付款扣还</w:t>
            </w:r>
          </w:p>
        </w:tc>
        <w:tc>
          <w:tcPr>
            <w:tcW w:w="676" w:type="dxa"/>
          </w:tcPr>
          <w:p w14:paraId="250991EF">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其它</w:t>
            </w:r>
          </w:p>
        </w:tc>
        <w:tc>
          <w:tcPr>
            <w:tcW w:w="820" w:type="dxa"/>
          </w:tcPr>
          <w:p w14:paraId="575BF019">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应收款</w:t>
            </w:r>
          </w:p>
        </w:tc>
        <w:tc>
          <w:tcPr>
            <w:tcW w:w="1122" w:type="dxa"/>
          </w:tcPr>
          <w:p w14:paraId="4DF088C0">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累计应收款</w:t>
            </w:r>
          </w:p>
        </w:tc>
      </w:tr>
      <w:tr w14:paraId="3B7AB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33ACDE8E">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372" w:type="dxa"/>
          </w:tcPr>
          <w:p w14:paraId="290BC278">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990" w:type="dxa"/>
          </w:tcPr>
          <w:p w14:paraId="74BE7160">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446" w:type="dxa"/>
          </w:tcPr>
          <w:p w14:paraId="6CDC6578">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298" w:type="dxa"/>
          </w:tcPr>
          <w:p w14:paraId="4CA0B936">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088" w:type="dxa"/>
          </w:tcPr>
          <w:p w14:paraId="76F50285">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028" w:type="dxa"/>
          </w:tcPr>
          <w:p w14:paraId="1639A144">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676" w:type="dxa"/>
          </w:tcPr>
          <w:p w14:paraId="5A7B3263">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820" w:type="dxa"/>
          </w:tcPr>
          <w:p w14:paraId="22B7FEAE">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122" w:type="dxa"/>
          </w:tcPr>
          <w:p w14:paraId="2B427B31">
            <w:pPr>
              <w:autoSpaceDE w:val="0"/>
              <w:autoSpaceDN w:val="0"/>
              <w:adjustRightInd w:val="0"/>
              <w:jc w:val="left"/>
              <w:rPr>
                <w:rFonts w:hint="eastAsia" w:asciiTheme="minorEastAsia" w:hAnsiTheme="minorEastAsia" w:eastAsiaTheme="minorEastAsia" w:cstheme="minorEastAsia"/>
                <w:color w:val="auto"/>
                <w:kern w:val="0"/>
                <w:sz w:val="21"/>
                <w:szCs w:val="21"/>
              </w:rPr>
            </w:pPr>
          </w:p>
        </w:tc>
      </w:tr>
      <w:tr w14:paraId="7055A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04482437">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372" w:type="dxa"/>
          </w:tcPr>
          <w:p w14:paraId="659F051B">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990" w:type="dxa"/>
          </w:tcPr>
          <w:p w14:paraId="0A13F99C">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446" w:type="dxa"/>
          </w:tcPr>
          <w:p w14:paraId="73CF6048">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298" w:type="dxa"/>
          </w:tcPr>
          <w:p w14:paraId="5A27C721">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088" w:type="dxa"/>
          </w:tcPr>
          <w:p w14:paraId="3D30A574">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028" w:type="dxa"/>
          </w:tcPr>
          <w:p w14:paraId="24738E19">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676" w:type="dxa"/>
          </w:tcPr>
          <w:p w14:paraId="776EE036">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820" w:type="dxa"/>
          </w:tcPr>
          <w:p w14:paraId="0FB51D7D">
            <w:pPr>
              <w:autoSpaceDE w:val="0"/>
              <w:autoSpaceDN w:val="0"/>
              <w:adjustRightInd w:val="0"/>
              <w:jc w:val="left"/>
              <w:rPr>
                <w:rFonts w:hint="eastAsia" w:asciiTheme="minorEastAsia" w:hAnsiTheme="minorEastAsia" w:eastAsiaTheme="minorEastAsia" w:cstheme="minorEastAsia"/>
                <w:color w:val="auto"/>
                <w:kern w:val="0"/>
                <w:sz w:val="21"/>
                <w:szCs w:val="21"/>
              </w:rPr>
            </w:pPr>
          </w:p>
        </w:tc>
        <w:tc>
          <w:tcPr>
            <w:tcW w:w="1122" w:type="dxa"/>
          </w:tcPr>
          <w:p w14:paraId="6BBC22D0">
            <w:pPr>
              <w:autoSpaceDE w:val="0"/>
              <w:autoSpaceDN w:val="0"/>
              <w:adjustRightInd w:val="0"/>
              <w:jc w:val="left"/>
              <w:rPr>
                <w:rFonts w:hint="eastAsia" w:asciiTheme="minorEastAsia" w:hAnsiTheme="minorEastAsia" w:eastAsiaTheme="minorEastAsia" w:cstheme="minorEastAsia"/>
                <w:color w:val="auto"/>
                <w:kern w:val="0"/>
                <w:sz w:val="21"/>
                <w:szCs w:val="21"/>
              </w:rPr>
            </w:pPr>
          </w:p>
        </w:tc>
      </w:tr>
    </w:tbl>
    <w:p w14:paraId="4D276BF5">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p>
    <w:p w14:paraId="10189C84">
      <w:pPr>
        <w:rPr>
          <w:rFonts w:hint="eastAsia" w:asciiTheme="minorEastAsia" w:hAnsiTheme="minorEastAsia" w:eastAsiaTheme="minorEastAsia" w:cstheme="minorEastAsia"/>
          <w:b/>
          <w:color w:val="auto"/>
          <w:sz w:val="21"/>
          <w:szCs w:val="21"/>
        </w:rPr>
      </w:pPr>
      <w:bookmarkStart w:id="798" w:name="_Toc229450829"/>
      <w:bookmarkStart w:id="799" w:name="_Toc265653902"/>
      <w:bookmarkStart w:id="800" w:name="_Toc265954658"/>
      <w:bookmarkStart w:id="801" w:name="_Toc265954957"/>
      <w:r>
        <w:rPr>
          <w:rFonts w:hint="eastAsia" w:asciiTheme="minorEastAsia" w:hAnsiTheme="minorEastAsia" w:eastAsiaTheme="minorEastAsia" w:cstheme="minorEastAsia"/>
          <w:b/>
          <w:color w:val="auto"/>
          <w:sz w:val="21"/>
          <w:szCs w:val="21"/>
        </w:rPr>
        <w:t>11.开工和竣工</w:t>
      </w:r>
      <w:bookmarkEnd w:id="798"/>
      <w:bookmarkEnd w:id="799"/>
      <w:bookmarkEnd w:id="800"/>
      <w:bookmarkEnd w:id="801"/>
    </w:p>
    <w:p w14:paraId="408DD10F">
      <w:pPr>
        <w:rPr>
          <w:rFonts w:hint="eastAsia" w:asciiTheme="minorEastAsia" w:hAnsiTheme="minorEastAsia" w:eastAsiaTheme="minorEastAsia" w:cstheme="minorEastAsia"/>
          <w:b/>
          <w:color w:val="auto"/>
          <w:sz w:val="21"/>
          <w:szCs w:val="21"/>
        </w:rPr>
      </w:pPr>
      <w:bookmarkStart w:id="802" w:name="_Toc199322035"/>
      <w:bookmarkStart w:id="803" w:name="_Toc265653903"/>
      <w:bookmarkStart w:id="804" w:name="_Toc26657"/>
      <w:bookmarkStart w:id="805" w:name="_Toc265954659"/>
      <w:bookmarkStart w:id="806" w:name="_Toc229450830"/>
      <w:bookmarkStart w:id="807" w:name="_Toc265954958"/>
      <w:r>
        <w:rPr>
          <w:rFonts w:hint="eastAsia" w:asciiTheme="minorEastAsia" w:hAnsiTheme="minorEastAsia" w:eastAsiaTheme="minorEastAsia" w:cstheme="minorEastAsia"/>
          <w:b/>
          <w:color w:val="auto"/>
          <w:sz w:val="21"/>
          <w:szCs w:val="21"/>
        </w:rPr>
        <w:t>11.1 开工</w:t>
      </w:r>
      <w:bookmarkEnd w:id="802"/>
      <w:bookmarkEnd w:id="803"/>
      <w:bookmarkEnd w:id="804"/>
      <w:bookmarkEnd w:id="805"/>
      <w:bookmarkEnd w:id="806"/>
      <w:bookmarkEnd w:id="807"/>
    </w:p>
    <w:p w14:paraId="2DD95DB4">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11.1.1 监理人应在开工日期4天前向承包人发出开工通知。监理人在发出开工通知前应获得发包人同意。工期自监理人发出的开工通知中载明的开工日期起计算。承包人应在开工日期后尽快施工。</w:t>
      </w:r>
    </w:p>
    <w:p w14:paraId="3129DFE1">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56FA01AE">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11.1.3 若发包人未能按合同约定向承包人提供开工的必要条件，承包人有权要求延长工期。监理人应在收到承包人的书面要求后，按第3.5条款的约定，与合同双方商定或确定增加的费用和延长的工期。</w:t>
      </w:r>
    </w:p>
    <w:p w14:paraId="4D7BFC1F">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6612B1AC">
      <w:pPr>
        <w:rPr>
          <w:rFonts w:hint="eastAsia" w:asciiTheme="minorEastAsia" w:hAnsiTheme="minorEastAsia" w:eastAsiaTheme="minorEastAsia" w:cstheme="minorEastAsia"/>
          <w:b/>
          <w:color w:val="auto"/>
          <w:sz w:val="21"/>
          <w:szCs w:val="21"/>
        </w:rPr>
      </w:pPr>
      <w:bookmarkStart w:id="808" w:name="_Toc265954959"/>
      <w:bookmarkStart w:id="809" w:name="_Toc229450831"/>
      <w:bookmarkStart w:id="810" w:name="_Toc265954660"/>
      <w:bookmarkStart w:id="811" w:name="_Toc727"/>
      <w:bookmarkStart w:id="812" w:name="_Toc199322036"/>
      <w:bookmarkStart w:id="813" w:name="_Toc265653904"/>
      <w:r>
        <w:rPr>
          <w:rFonts w:hint="eastAsia" w:asciiTheme="minorEastAsia" w:hAnsiTheme="minorEastAsia" w:eastAsiaTheme="minorEastAsia" w:cstheme="minorEastAsia"/>
          <w:b/>
          <w:color w:val="auto"/>
          <w:sz w:val="21"/>
          <w:szCs w:val="21"/>
        </w:rPr>
        <w:t>11.2 竣工</w:t>
      </w:r>
      <w:bookmarkEnd w:id="808"/>
      <w:bookmarkEnd w:id="809"/>
      <w:bookmarkEnd w:id="810"/>
      <w:bookmarkEnd w:id="811"/>
      <w:bookmarkEnd w:id="812"/>
      <w:bookmarkEnd w:id="813"/>
    </w:p>
    <w:p w14:paraId="3A6DCFA5">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承包人应在第1.1.4.3目约定的期限内完成合同工程。合同工程实际完工日期在合同工程完工证书中明确。</w:t>
      </w:r>
    </w:p>
    <w:p w14:paraId="0E6E35F2">
      <w:pPr>
        <w:rPr>
          <w:rFonts w:hint="eastAsia" w:asciiTheme="minorEastAsia" w:hAnsiTheme="minorEastAsia" w:eastAsiaTheme="minorEastAsia" w:cstheme="minorEastAsia"/>
          <w:b/>
          <w:color w:val="auto"/>
          <w:sz w:val="21"/>
          <w:szCs w:val="21"/>
        </w:rPr>
      </w:pPr>
      <w:bookmarkStart w:id="814" w:name="_Toc229450832"/>
      <w:bookmarkStart w:id="815" w:name="_Toc199322037"/>
      <w:bookmarkStart w:id="816" w:name="_Toc265954661"/>
      <w:bookmarkStart w:id="817" w:name="_Toc265954960"/>
      <w:bookmarkStart w:id="818" w:name="_Toc265653905"/>
      <w:bookmarkStart w:id="819" w:name="_Toc20915"/>
      <w:r>
        <w:rPr>
          <w:rFonts w:hint="eastAsia" w:asciiTheme="minorEastAsia" w:hAnsiTheme="minorEastAsia" w:eastAsiaTheme="minorEastAsia" w:cstheme="minorEastAsia"/>
          <w:b/>
          <w:color w:val="auto"/>
          <w:sz w:val="21"/>
          <w:szCs w:val="21"/>
        </w:rPr>
        <w:t>11.3 发包人的工期延误</w:t>
      </w:r>
      <w:bookmarkEnd w:id="814"/>
      <w:bookmarkEnd w:id="815"/>
      <w:bookmarkEnd w:id="816"/>
      <w:bookmarkEnd w:id="817"/>
      <w:bookmarkEnd w:id="818"/>
      <w:bookmarkEnd w:id="819"/>
    </w:p>
    <w:p w14:paraId="6AC89922">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在履行合同过程中，由于发包人的下列原因造成工期延误的，承包人有权要求发包人延长工期和(或)增加费用，并支付合理利润。需要修订合同进度计划的，按照第10.2款的约定办理。</w:t>
      </w:r>
    </w:p>
    <w:p w14:paraId="77ECC033">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增加合同工作内容；</w:t>
      </w:r>
    </w:p>
    <w:p w14:paraId="6ABDB694">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改变合同中任何一项工作的质量要求或其他特性；</w:t>
      </w:r>
    </w:p>
    <w:p w14:paraId="11761E3A">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发包人迟延提供材料、工程设备或变更交货地点的；</w:t>
      </w:r>
    </w:p>
    <w:p w14:paraId="39513954">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因发包人原因导致的暂停施工；</w:t>
      </w:r>
    </w:p>
    <w:p w14:paraId="09DFBF2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提供图纸延误；</w:t>
      </w:r>
    </w:p>
    <w:p w14:paraId="118526D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 未按合同约定及时支付预付款、进度款；</w:t>
      </w:r>
    </w:p>
    <w:p w14:paraId="32BFD39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(7) 发包人造成工期延误的其他原因。</w:t>
      </w:r>
    </w:p>
    <w:p w14:paraId="512BC660">
      <w:pPr>
        <w:rPr>
          <w:rFonts w:hint="eastAsia" w:asciiTheme="minorEastAsia" w:hAnsiTheme="minorEastAsia" w:eastAsiaTheme="minorEastAsia" w:cstheme="minorEastAsia"/>
          <w:b/>
          <w:color w:val="auto"/>
          <w:sz w:val="21"/>
          <w:szCs w:val="21"/>
        </w:rPr>
      </w:pPr>
      <w:bookmarkStart w:id="820" w:name="_Toc265653906"/>
      <w:bookmarkStart w:id="821" w:name="_Toc229450833"/>
      <w:bookmarkStart w:id="822" w:name="_Toc199322038"/>
      <w:bookmarkStart w:id="823" w:name="_Toc265954662"/>
      <w:bookmarkStart w:id="824" w:name="_Toc16085"/>
      <w:bookmarkStart w:id="825" w:name="_Toc265954961"/>
      <w:r>
        <w:rPr>
          <w:rFonts w:hint="eastAsia" w:asciiTheme="minorEastAsia" w:hAnsiTheme="minorEastAsia" w:eastAsiaTheme="minorEastAsia" w:cstheme="minorEastAsia"/>
          <w:b/>
          <w:color w:val="auto"/>
          <w:sz w:val="21"/>
          <w:szCs w:val="21"/>
        </w:rPr>
        <w:t>11.4 异常恶劣的气候条件</w:t>
      </w:r>
      <w:bookmarkEnd w:id="820"/>
      <w:bookmarkEnd w:id="821"/>
      <w:bookmarkEnd w:id="822"/>
      <w:bookmarkEnd w:id="823"/>
      <w:bookmarkEnd w:id="824"/>
      <w:bookmarkEnd w:id="825"/>
    </w:p>
    <w:p w14:paraId="77A881D1">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bookmarkStart w:id="826" w:name="_Toc199322039"/>
      <w:bookmarkStart w:id="827" w:name="_Toc229450834"/>
      <w:r>
        <w:rPr>
          <w:rFonts w:hint="eastAsia" w:asciiTheme="minorEastAsia" w:hAnsiTheme="minorEastAsia" w:eastAsiaTheme="minorEastAsia" w:cstheme="minorEastAsia"/>
          <w:color w:val="auto"/>
          <w:kern w:val="0"/>
          <w:sz w:val="21"/>
          <w:szCs w:val="21"/>
        </w:rPr>
        <w:t>11.4.1 当工程所在地发生危及施工安全的异常恶劣气候时，发包人和承包人应按本合同通用合同条款第12条的约定，及时采取暂停施工或部分暂停施工措施。异常恶劣气候条件解除后，承包从应及时安排复工。</w:t>
      </w:r>
    </w:p>
    <w:p w14:paraId="5F6BD5CD">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11.4.2 异常恶劣气候条件造成的工期延误和工程损坏，应由发包人与承包人参照本合同通用合同条款第21.3款的约定协商处理。</w:t>
      </w:r>
    </w:p>
    <w:p w14:paraId="15F13B7B">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11.4.3 本合同工程界定异常恶劣气候条件的范围在专用合同条款中约定。</w:t>
      </w:r>
    </w:p>
    <w:p w14:paraId="2587AC04">
      <w:pPr>
        <w:rPr>
          <w:rFonts w:hint="eastAsia" w:asciiTheme="minorEastAsia" w:hAnsiTheme="minorEastAsia" w:eastAsiaTheme="minorEastAsia" w:cstheme="minorEastAsia"/>
          <w:b/>
          <w:color w:val="auto"/>
          <w:sz w:val="21"/>
          <w:szCs w:val="21"/>
        </w:rPr>
      </w:pPr>
      <w:bookmarkStart w:id="828" w:name="_Toc265653907"/>
      <w:bookmarkStart w:id="829" w:name="_Toc265954663"/>
      <w:bookmarkStart w:id="830" w:name="_Toc1597"/>
      <w:bookmarkStart w:id="831" w:name="_Toc265954962"/>
      <w:r>
        <w:rPr>
          <w:rFonts w:hint="eastAsia" w:asciiTheme="minorEastAsia" w:hAnsiTheme="minorEastAsia" w:eastAsiaTheme="minorEastAsia" w:cstheme="minorEastAsia"/>
          <w:b/>
          <w:color w:val="auto"/>
          <w:sz w:val="21"/>
          <w:szCs w:val="21"/>
        </w:rPr>
        <w:t>11.5 承包人的工期延误</w:t>
      </w:r>
      <w:bookmarkEnd w:id="826"/>
      <w:bookmarkEnd w:id="827"/>
      <w:bookmarkEnd w:id="828"/>
      <w:bookmarkEnd w:id="829"/>
      <w:bookmarkEnd w:id="830"/>
      <w:bookmarkEnd w:id="831"/>
    </w:p>
    <w:p w14:paraId="375EA3D5">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313C6CE9">
      <w:pPr>
        <w:rPr>
          <w:rFonts w:hint="eastAsia" w:asciiTheme="minorEastAsia" w:hAnsiTheme="minorEastAsia" w:eastAsiaTheme="minorEastAsia" w:cstheme="minorEastAsia"/>
          <w:b/>
          <w:color w:val="auto"/>
          <w:sz w:val="21"/>
          <w:szCs w:val="21"/>
        </w:rPr>
      </w:pPr>
      <w:bookmarkStart w:id="832" w:name="_Toc265954963"/>
      <w:bookmarkStart w:id="833" w:name="_Toc265954664"/>
      <w:bookmarkStart w:id="834" w:name="_Toc229450835"/>
      <w:bookmarkStart w:id="835" w:name="_Toc265653908"/>
      <w:bookmarkStart w:id="836" w:name="_Toc28622"/>
      <w:bookmarkStart w:id="837" w:name="_Toc199322040"/>
      <w:r>
        <w:rPr>
          <w:rFonts w:hint="eastAsia" w:asciiTheme="minorEastAsia" w:hAnsiTheme="minorEastAsia" w:eastAsiaTheme="minorEastAsia" w:cstheme="minorEastAsia"/>
          <w:b/>
          <w:color w:val="auto"/>
          <w:sz w:val="21"/>
          <w:szCs w:val="21"/>
        </w:rPr>
        <w:t>11.6 工期提前</w:t>
      </w:r>
      <w:bookmarkEnd w:id="832"/>
      <w:bookmarkEnd w:id="833"/>
      <w:bookmarkEnd w:id="834"/>
      <w:bookmarkEnd w:id="835"/>
      <w:bookmarkEnd w:id="836"/>
      <w:bookmarkEnd w:id="837"/>
    </w:p>
    <w:p w14:paraId="6E1C076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6C93F89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发包人要求提前完工的，双方协商一致后应签订提前完工协议，协议内容包括：</w:t>
      </w:r>
    </w:p>
    <w:p w14:paraId="400FAE0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（1）提前的时间和修订后的进度计划。</w:t>
      </w:r>
    </w:p>
    <w:p w14:paraId="2E9D848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（2）承包人的赶工措施；</w:t>
      </w:r>
    </w:p>
    <w:p w14:paraId="1F0A64F5">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（3）发包人为赶工提供的条件；</w:t>
      </w:r>
    </w:p>
    <w:p w14:paraId="2B30C5C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（4）赶工费用（包括利润和奖金）。</w:t>
      </w:r>
    </w:p>
    <w:p w14:paraId="5CEF3987">
      <w:pPr>
        <w:rPr>
          <w:rFonts w:hint="eastAsia" w:asciiTheme="minorEastAsia" w:hAnsiTheme="minorEastAsia" w:eastAsiaTheme="minorEastAsia" w:cstheme="minorEastAsia"/>
          <w:b/>
          <w:color w:val="auto"/>
          <w:sz w:val="21"/>
          <w:szCs w:val="21"/>
        </w:rPr>
      </w:pPr>
      <w:bookmarkStart w:id="838" w:name="_Toc199322041"/>
      <w:bookmarkStart w:id="839" w:name="_Toc265954665"/>
      <w:bookmarkStart w:id="840" w:name="_Toc265653909"/>
      <w:bookmarkStart w:id="841" w:name="_Toc265954964"/>
      <w:bookmarkStart w:id="842" w:name="_Toc229450836"/>
      <w:r>
        <w:rPr>
          <w:rFonts w:hint="eastAsia" w:asciiTheme="minorEastAsia" w:hAnsiTheme="minorEastAsia" w:eastAsiaTheme="minorEastAsia" w:cstheme="minorEastAsia"/>
          <w:b/>
          <w:color w:val="auto"/>
          <w:sz w:val="21"/>
          <w:szCs w:val="21"/>
        </w:rPr>
        <w:t>12．暂停施工</w:t>
      </w:r>
      <w:bookmarkEnd w:id="838"/>
      <w:bookmarkEnd w:id="839"/>
      <w:bookmarkEnd w:id="840"/>
      <w:bookmarkEnd w:id="841"/>
      <w:bookmarkEnd w:id="842"/>
    </w:p>
    <w:p w14:paraId="315D783C">
      <w:pPr>
        <w:rPr>
          <w:rFonts w:hint="eastAsia" w:asciiTheme="minorEastAsia" w:hAnsiTheme="minorEastAsia" w:eastAsiaTheme="minorEastAsia" w:cstheme="minorEastAsia"/>
          <w:b/>
          <w:color w:val="auto"/>
          <w:sz w:val="21"/>
          <w:szCs w:val="21"/>
        </w:rPr>
      </w:pPr>
      <w:bookmarkStart w:id="843" w:name="_Toc265954666"/>
      <w:bookmarkStart w:id="844" w:name="_Toc199322042"/>
      <w:bookmarkStart w:id="845" w:name="_Toc265954965"/>
      <w:bookmarkStart w:id="846" w:name="_Toc28467"/>
      <w:bookmarkStart w:id="847" w:name="_Toc229450837"/>
      <w:bookmarkStart w:id="848" w:name="_Toc265653910"/>
      <w:r>
        <w:rPr>
          <w:rFonts w:hint="eastAsia" w:asciiTheme="minorEastAsia" w:hAnsiTheme="minorEastAsia" w:eastAsiaTheme="minorEastAsia" w:cstheme="minorEastAsia"/>
          <w:b/>
          <w:color w:val="auto"/>
          <w:sz w:val="21"/>
          <w:szCs w:val="21"/>
        </w:rPr>
        <w:t>12.1 承包人暂停施工的责任</w:t>
      </w:r>
      <w:bookmarkEnd w:id="843"/>
      <w:bookmarkEnd w:id="844"/>
      <w:bookmarkEnd w:id="845"/>
      <w:bookmarkEnd w:id="846"/>
      <w:bookmarkEnd w:id="847"/>
      <w:bookmarkEnd w:id="848"/>
    </w:p>
    <w:p w14:paraId="16ECD341">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因下列暂停施工增加的费用和(或)工期延误由承包人承担；</w:t>
      </w:r>
    </w:p>
    <w:p w14:paraId="5AEC42A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承包人违约引起的暂停施工；</w:t>
      </w:r>
    </w:p>
    <w:p w14:paraId="1F06D21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由于承包人原因为工程合理施工和安全保障所必需的暂停施工；</w:t>
      </w:r>
    </w:p>
    <w:p w14:paraId="4054E92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承包人擅自暂停施工；</w:t>
      </w:r>
    </w:p>
    <w:p w14:paraId="2A1AA61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承包人其他原因引起的暂停施工；</w:t>
      </w:r>
    </w:p>
    <w:p w14:paraId="77B3979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专用合同条款约定由承包人承担的其他暂停施工。</w:t>
      </w:r>
    </w:p>
    <w:p w14:paraId="3B6FE626">
      <w:pPr>
        <w:rPr>
          <w:rFonts w:hint="eastAsia" w:asciiTheme="minorEastAsia" w:hAnsiTheme="minorEastAsia" w:eastAsiaTheme="minorEastAsia" w:cstheme="minorEastAsia"/>
          <w:b/>
          <w:color w:val="auto"/>
          <w:sz w:val="21"/>
          <w:szCs w:val="21"/>
        </w:rPr>
      </w:pPr>
      <w:bookmarkStart w:id="849" w:name="_Toc265653911"/>
      <w:bookmarkStart w:id="850" w:name="_Toc229450838"/>
      <w:bookmarkStart w:id="851" w:name="_Toc265954667"/>
      <w:bookmarkStart w:id="852" w:name="_Toc265954966"/>
      <w:bookmarkStart w:id="853" w:name="_Toc2669"/>
      <w:r>
        <w:rPr>
          <w:rFonts w:hint="eastAsia" w:asciiTheme="minorEastAsia" w:hAnsiTheme="minorEastAsia" w:eastAsiaTheme="minorEastAsia" w:cstheme="minorEastAsia"/>
          <w:b/>
          <w:color w:val="auto"/>
          <w:sz w:val="21"/>
          <w:szCs w:val="21"/>
        </w:rPr>
        <w:t>12.2 发包人暂停施工的责任</w:t>
      </w:r>
      <w:bookmarkEnd w:id="849"/>
      <w:bookmarkEnd w:id="850"/>
      <w:bookmarkEnd w:id="851"/>
      <w:bookmarkEnd w:id="852"/>
      <w:bookmarkEnd w:id="853"/>
    </w:p>
    <w:p w14:paraId="3EF73FFA">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由于发包人原因引起的暂停施工造成工期延误的，承包人有权要求发包人延长工期和(或)增加费用，并支付合理利润。</w:t>
      </w:r>
    </w:p>
    <w:p w14:paraId="65A7E84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属于下列任何一种情况引起的暂停施工，均为发包人的责任：</w:t>
      </w:r>
    </w:p>
    <w:p w14:paraId="5B1F641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（1）由于发包人违约引起的暂停施工；</w:t>
      </w:r>
    </w:p>
    <w:p w14:paraId="6250741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（2）由于不可抗力的自然或社会因素引起的暂停施工；</w:t>
      </w:r>
    </w:p>
    <w:p w14:paraId="22EA517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（3）专用合同条款中约定的其它由于发包人原因引起的暂停施工。</w:t>
      </w:r>
    </w:p>
    <w:p w14:paraId="76D386EE">
      <w:pPr>
        <w:rPr>
          <w:rFonts w:hint="eastAsia" w:asciiTheme="minorEastAsia" w:hAnsiTheme="minorEastAsia" w:eastAsiaTheme="minorEastAsia" w:cstheme="minorEastAsia"/>
          <w:b/>
          <w:color w:val="auto"/>
          <w:sz w:val="21"/>
          <w:szCs w:val="21"/>
        </w:rPr>
      </w:pPr>
      <w:bookmarkStart w:id="854" w:name="_Toc17267"/>
      <w:bookmarkStart w:id="855" w:name="_Toc199322043"/>
      <w:bookmarkStart w:id="856" w:name="_Toc229450839"/>
      <w:bookmarkStart w:id="857" w:name="_Toc265954967"/>
      <w:bookmarkStart w:id="858" w:name="_Toc265954668"/>
      <w:bookmarkStart w:id="859" w:name="_Toc265653912"/>
      <w:r>
        <w:rPr>
          <w:rFonts w:hint="eastAsia" w:asciiTheme="minorEastAsia" w:hAnsiTheme="minorEastAsia" w:eastAsiaTheme="minorEastAsia" w:cstheme="minorEastAsia"/>
          <w:b/>
          <w:color w:val="auto"/>
          <w:sz w:val="21"/>
          <w:szCs w:val="21"/>
        </w:rPr>
        <w:t>12.3 监理人暂停施工指示</w:t>
      </w:r>
      <w:bookmarkEnd w:id="854"/>
      <w:bookmarkEnd w:id="855"/>
      <w:bookmarkEnd w:id="856"/>
      <w:bookmarkEnd w:id="857"/>
      <w:bookmarkEnd w:id="858"/>
      <w:bookmarkEnd w:id="859"/>
    </w:p>
    <w:p w14:paraId="4E7E9556">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w:t>
      </w:r>
      <w:r>
        <w:rPr>
          <w:rFonts w:hint="eastAsia" w:asciiTheme="minorEastAsia" w:hAnsiTheme="minorEastAsia" w:eastAsiaTheme="minorEastAsia" w:cstheme="minorEastAsia"/>
          <w:color w:val="auto"/>
          <w:spacing w:val="-2"/>
          <w:kern w:val="0"/>
          <w:sz w:val="21"/>
          <w:szCs w:val="21"/>
        </w:rPr>
        <w:t>2.3.1 监理人认为有必要时，可向承包人作出暂停施工的指示，承包人应按监理人指示暂停施工。不论由于何种原因引起的暂停施工，暂停施工期间承包人应负责妥善保护工程</w:t>
      </w:r>
      <w:r>
        <w:rPr>
          <w:rFonts w:hint="eastAsia" w:asciiTheme="minorEastAsia" w:hAnsiTheme="minorEastAsia" w:eastAsiaTheme="minorEastAsia" w:cstheme="minorEastAsia"/>
          <w:color w:val="auto"/>
          <w:kern w:val="0"/>
          <w:sz w:val="21"/>
          <w:szCs w:val="21"/>
        </w:rPr>
        <w:t>并提供安全保障。</w:t>
      </w:r>
    </w:p>
    <w:p w14:paraId="64BB86DF">
      <w:pPr>
        <w:autoSpaceDE w:val="0"/>
        <w:autoSpaceDN w:val="0"/>
        <w:adjustRightInd w:val="0"/>
        <w:ind w:firstLine="510" w:firstLineChars="2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3"/>
          <w:kern w:val="0"/>
          <w:sz w:val="21"/>
          <w:szCs w:val="21"/>
        </w:rPr>
        <w:t>12.3.2 由于发包人的原因发生暂停施工的紧急情况，且监理人未及时下达暂停施工指示</w:t>
      </w:r>
      <w:r>
        <w:rPr>
          <w:rFonts w:hint="eastAsia" w:asciiTheme="minorEastAsia" w:hAnsiTheme="minorEastAsia" w:eastAsiaTheme="minorEastAsia" w:cstheme="minorEastAsia"/>
          <w:color w:val="auto"/>
          <w:spacing w:val="1"/>
          <w:kern w:val="0"/>
          <w:sz w:val="21"/>
          <w:szCs w:val="21"/>
        </w:rPr>
        <w:t>的，承包人可先暂停施工，并及时向监理人提出暂停施工的书面请求。监理人应在接到书面请求后的24小时内予以答复，逾期未答复的，视为同意承包人的暂停施工请求。</w:t>
      </w:r>
    </w:p>
    <w:p w14:paraId="24DA8F16">
      <w:pPr>
        <w:rPr>
          <w:rFonts w:hint="eastAsia" w:asciiTheme="minorEastAsia" w:hAnsiTheme="minorEastAsia" w:eastAsiaTheme="minorEastAsia" w:cstheme="minorEastAsia"/>
          <w:b/>
          <w:color w:val="auto"/>
          <w:sz w:val="21"/>
          <w:szCs w:val="21"/>
        </w:rPr>
      </w:pPr>
      <w:bookmarkStart w:id="860" w:name="_Toc13169"/>
      <w:bookmarkStart w:id="861" w:name="_Toc229450840"/>
      <w:bookmarkStart w:id="862" w:name="_Toc265653913"/>
      <w:bookmarkStart w:id="863" w:name="_Toc265954669"/>
      <w:bookmarkStart w:id="864" w:name="_Toc265954968"/>
      <w:bookmarkStart w:id="865" w:name="_Toc199322044"/>
      <w:r>
        <w:rPr>
          <w:rFonts w:hint="eastAsia" w:asciiTheme="minorEastAsia" w:hAnsiTheme="minorEastAsia" w:eastAsiaTheme="minorEastAsia" w:cstheme="minorEastAsia"/>
          <w:b/>
          <w:color w:val="auto"/>
          <w:sz w:val="21"/>
          <w:szCs w:val="21"/>
        </w:rPr>
        <w:t>12.4 暂停施工后的复工</w:t>
      </w:r>
      <w:bookmarkEnd w:id="860"/>
      <w:bookmarkEnd w:id="861"/>
      <w:bookmarkEnd w:id="862"/>
      <w:bookmarkEnd w:id="863"/>
      <w:bookmarkEnd w:id="864"/>
      <w:bookmarkEnd w:id="865"/>
    </w:p>
    <w:p w14:paraId="64D246F4">
      <w:pPr>
        <w:autoSpaceDE w:val="0"/>
        <w:autoSpaceDN w:val="0"/>
        <w:adjustRightInd w:val="0"/>
        <w:ind w:firstLine="505" w:firstLineChars="2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4"/>
          <w:kern w:val="0"/>
          <w:sz w:val="21"/>
          <w:szCs w:val="21"/>
        </w:rPr>
        <w:t>12.4.1 暂停施工后，监理人应与发包人和承包人协商，采取有效措施积极消除暂停施工</w:t>
      </w:r>
      <w:r>
        <w:rPr>
          <w:rFonts w:hint="eastAsia" w:asciiTheme="minorEastAsia" w:hAnsiTheme="minorEastAsia" w:eastAsiaTheme="minorEastAsia" w:cstheme="minorEastAsia"/>
          <w:color w:val="auto"/>
          <w:spacing w:val="-3"/>
          <w:kern w:val="0"/>
          <w:sz w:val="21"/>
          <w:szCs w:val="21"/>
        </w:rPr>
        <w:t>的影响。当工程具备复工条件时，监理人应立即向承包人发出复工通知。 承包人收到复工通知后，应在监理人指定的期限内复工。</w:t>
      </w:r>
    </w:p>
    <w:p w14:paraId="769963B3">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12.4.2 承包人无故拖延和拒绝复工的，由此增加的费用和工期延误由承包人承担:因发包人原因无法按时复工的，承包人有权要求发包人延长工期和(或)增加费用，并支付合理利润。</w:t>
      </w:r>
    </w:p>
    <w:p w14:paraId="7EF6FE80">
      <w:pPr>
        <w:rPr>
          <w:rFonts w:hint="eastAsia" w:asciiTheme="minorEastAsia" w:hAnsiTheme="minorEastAsia" w:eastAsiaTheme="minorEastAsia" w:cstheme="minorEastAsia"/>
          <w:b/>
          <w:color w:val="auto"/>
          <w:sz w:val="21"/>
          <w:szCs w:val="21"/>
        </w:rPr>
      </w:pPr>
      <w:bookmarkStart w:id="866" w:name="_Toc199322045"/>
      <w:bookmarkStart w:id="867" w:name="_Toc265954969"/>
      <w:bookmarkStart w:id="868" w:name="_Toc265653914"/>
      <w:bookmarkStart w:id="869" w:name="_Toc265954670"/>
      <w:bookmarkStart w:id="870" w:name="_Toc229450841"/>
      <w:bookmarkStart w:id="871" w:name="_Toc8374"/>
      <w:r>
        <w:rPr>
          <w:rFonts w:hint="eastAsia" w:asciiTheme="minorEastAsia" w:hAnsiTheme="minorEastAsia" w:eastAsiaTheme="minorEastAsia" w:cstheme="minorEastAsia"/>
          <w:b/>
          <w:color w:val="auto"/>
          <w:sz w:val="21"/>
          <w:szCs w:val="21"/>
        </w:rPr>
        <w:t>12.5 暂停施工持续28天以上</w:t>
      </w:r>
      <w:bookmarkEnd w:id="866"/>
      <w:bookmarkEnd w:id="867"/>
      <w:bookmarkEnd w:id="868"/>
      <w:bookmarkEnd w:id="869"/>
      <w:bookmarkEnd w:id="870"/>
      <w:bookmarkEnd w:id="871"/>
    </w:p>
    <w:p w14:paraId="2205F930">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12.5.1 监理人发出暂停施工指示后28天内未向承包人发出复工通知，除了该项停工属于第12.1款的情况外，承包人可向监理人提交书面通知，要求监理人在收到书面通知后14天内准许己暂停施工的工程或其中一部分工程继续施工。如监理人逾期不予批准，则承包人可以通知监理人，将工程受影响的部分视为按第15.1(1)项的可取消工作。如暂停施工影</w:t>
      </w:r>
    </w:p>
    <w:p w14:paraId="6272376D">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响到整个工程，可视为发包人违约，应按第22.2 款的规定办理。</w:t>
      </w:r>
    </w:p>
    <w:p w14:paraId="08DD2C43">
      <w:pPr>
        <w:autoSpaceDE w:val="0"/>
        <w:autoSpaceDN w:val="0"/>
        <w:adjustRightInd w:val="0"/>
        <w:ind w:firstLine="51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2"/>
          <w:kern w:val="0"/>
          <w:sz w:val="21"/>
          <w:szCs w:val="21"/>
        </w:rPr>
        <w:t>12.5.2 由于承包人责任引起的暂停施工，如承包人在收到监理人暂停施工指示后28天</w:t>
      </w:r>
      <w:r>
        <w:rPr>
          <w:rFonts w:hint="eastAsia" w:asciiTheme="minorEastAsia" w:hAnsiTheme="minorEastAsia" w:eastAsiaTheme="minorEastAsia" w:cstheme="minorEastAsia"/>
          <w:color w:val="auto"/>
          <w:kern w:val="0"/>
          <w:sz w:val="21"/>
          <w:szCs w:val="21"/>
        </w:rPr>
        <w:t>内不认真采取有效的复工措施，造成工期延误，可视为承包人违约，应按第22.1 款的规定办理。</w:t>
      </w:r>
    </w:p>
    <w:p w14:paraId="47AE45C1">
      <w:pPr>
        <w:rPr>
          <w:rFonts w:hint="eastAsia" w:asciiTheme="minorEastAsia" w:hAnsiTheme="minorEastAsia" w:eastAsiaTheme="minorEastAsia" w:cstheme="minorEastAsia"/>
          <w:b/>
          <w:color w:val="auto"/>
          <w:sz w:val="21"/>
          <w:szCs w:val="21"/>
        </w:rPr>
      </w:pPr>
      <w:bookmarkStart w:id="872" w:name="_Toc229450842"/>
      <w:bookmarkStart w:id="873" w:name="_Toc265954671"/>
      <w:bookmarkStart w:id="874" w:name="_Toc13790"/>
      <w:bookmarkStart w:id="875" w:name="_Toc265653915"/>
      <w:bookmarkStart w:id="876" w:name="_Toc265954970"/>
      <w:r>
        <w:rPr>
          <w:rFonts w:hint="eastAsia" w:asciiTheme="minorEastAsia" w:hAnsiTheme="minorEastAsia" w:eastAsiaTheme="minorEastAsia" w:cstheme="minorEastAsia"/>
          <w:b/>
          <w:color w:val="auto"/>
          <w:sz w:val="21"/>
          <w:szCs w:val="21"/>
        </w:rPr>
        <w:t>13.工程质量</w:t>
      </w:r>
      <w:bookmarkEnd w:id="872"/>
      <w:bookmarkEnd w:id="873"/>
      <w:bookmarkEnd w:id="874"/>
      <w:bookmarkEnd w:id="875"/>
      <w:bookmarkEnd w:id="876"/>
    </w:p>
    <w:p w14:paraId="23C43AC8">
      <w:pPr>
        <w:rPr>
          <w:rFonts w:hint="eastAsia" w:asciiTheme="minorEastAsia" w:hAnsiTheme="minorEastAsia" w:eastAsiaTheme="minorEastAsia" w:cstheme="minorEastAsia"/>
          <w:b/>
          <w:color w:val="auto"/>
          <w:sz w:val="21"/>
          <w:szCs w:val="21"/>
        </w:rPr>
      </w:pPr>
      <w:bookmarkStart w:id="877" w:name="_Toc265954971"/>
      <w:bookmarkStart w:id="878" w:name="_Toc24941"/>
      <w:bookmarkStart w:id="879" w:name="_Toc265954672"/>
      <w:bookmarkStart w:id="880" w:name="_Toc265653916"/>
      <w:bookmarkStart w:id="881" w:name="_Toc229450843"/>
      <w:r>
        <w:rPr>
          <w:rFonts w:hint="eastAsia" w:asciiTheme="minorEastAsia" w:hAnsiTheme="minorEastAsia" w:eastAsiaTheme="minorEastAsia" w:cstheme="minorEastAsia"/>
          <w:b/>
          <w:color w:val="auto"/>
          <w:sz w:val="21"/>
          <w:szCs w:val="21"/>
        </w:rPr>
        <w:t>13.1 工程质量要求</w:t>
      </w:r>
      <w:bookmarkEnd w:id="877"/>
      <w:bookmarkEnd w:id="878"/>
      <w:bookmarkEnd w:id="879"/>
      <w:bookmarkEnd w:id="880"/>
      <w:bookmarkEnd w:id="881"/>
    </w:p>
    <w:p w14:paraId="5433E965">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13.1.1 工程质量验收按合同约定验收标准执行。</w:t>
      </w:r>
    </w:p>
    <w:p w14:paraId="21B9A3C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13.1.2 因承包人原因造成工程质量达不到合同约定验收标准的，监理人有权要求承包人返工直至符合合同要求为止，由此造成的费用增加和(或)工期延误由承包人承担。</w:t>
      </w:r>
    </w:p>
    <w:p w14:paraId="41EE6E3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13.1.3 因发包人原因造成工程质量达不到合同约定验收标准的，发包人应承担由于承包人返工造成的费用增加和(或)工期延误，并支付承包人合理利润。</w:t>
      </w:r>
    </w:p>
    <w:p w14:paraId="7E4F525A">
      <w:pPr>
        <w:rPr>
          <w:rFonts w:hint="eastAsia" w:asciiTheme="minorEastAsia" w:hAnsiTheme="minorEastAsia" w:eastAsiaTheme="minorEastAsia" w:cstheme="minorEastAsia"/>
          <w:b/>
          <w:color w:val="auto"/>
          <w:sz w:val="21"/>
          <w:szCs w:val="21"/>
        </w:rPr>
      </w:pPr>
      <w:bookmarkStart w:id="882" w:name="_Toc265954972"/>
      <w:bookmarkStart w:id="883" w:name="_Toc265954673"/>
      <w:bookmarkStart w:id="884" w:name="_Toc265653917"/>
      <w:bookmarkStart w:id="885" w:name="_Toc229450844"/>
      <w:bookmarkStart w:id="886" w:name="_Toc22487"/>
      <w:r>
        <w:rPr>
          <w:rFonts w:hint="eastAsia" w:asciiTheme="minorEastAsia" w:hAnsiTheme="minorEastAsia" w:eastAsiaTheme="minorEastAsia" w:cstheme="minorEastAsia"/>
          <w:b/>
          <w:color w:val="auto"/>
          <w:sz w:val="21"/>
          <w:szCs w:val="21"/>
        </w:rPr>
        <w:t>13.2 承包人的质量管理</w:t>
      </w:r>
      <w:bookmarkEnd w:id="882"/>
      <w:bookmarkEnd w:id="883"/>
      <w:bookmarkEnd w:id="884"/>
      <w:bookmarkEnd w:id="885"/>
      <w:bookmarkEnd w:id="886"/>
    </w:p>
    <w:p w14:paraId="1C9810CA">
      <w:pPr>
        <w:autoSpaceDE w:val="0"/>
        <w:autoSpaceDN w:val="0"/>
        <w:adjustRightInd w:val="0"/>
        <w:ind w:firstLine="412"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2"/>
          <w:kern w:val="0"/>
          <w:sz w:val="21"/>
          <w:szCs w:val="21"/>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3A4EC3C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13.2.2 承包人应加强对施工人员的质量教育和技术培训，定期考核施工人员的劳动技能，严格执行规范和操作规程。</w:t>
      </w:r>
    </w:p>
    <w:p w14:paraId="0394878D">
      <w:pPr>
        <w:rPr>
          <w:rFonts w:hint="eastAsia" w:asciiTheme="minorEastAsia" w:hAnsiTheme="minorEastAsia" w:eastAsiaTheme="minorEastAsia" w:cstheme="minorEastAsia"/>
          <w:b/>
          <w:color w:val="auto"/>
          <w:sz w:val="21"/>
          <w:szCs w:val="21"/>
        </w:rPr>
      </w:pPr>
      <w:bookmarkStart w:id="887" w:name="_Toc6857"/>
      <w:bookmarkStart w:id="888" w:name="_Toc265653918"/>
      <w:bookmarkStart w:id="889" w:name="_Toc265954674"/>
      <w:bookmarkStart w:id="890" w:name="_Toc265954973"/>
      <w:bookmarkStart w:id="891" w:name="_Toc229450845"/>
      <w:r>
        <w:rPr>
          <w:rFonts w:hint="eastAsia" w:asciiTheme="minorEastAsia" w:hAnsiTheme="minorEastAsia" w:eastAsiaTheme="minorEastAsia" w:cstheme="minorEastAsia"/>
          <w:b/>
          <w:color w:val="auto"/>
          <w:sz w:val="21"/>
          <w:szCs w:val="21"/>
        </w:rPr>
        <w:t>13.3 承包人的质量检查</w:t>
      </w:r>
      <w:bookmarkEnd w:id="887"/>
      <w:bookmarkEnd w:id="888"/>
      <w:bookmarkEnd w:id="889"/>
      <w:bookmarkEnd w:id="890"/>
      <w:bookmarkEnd w:id="891"/>
    </w:p>
    <w:p w14:paraId="404A98E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承包人应按合同约定对材料、工程设备以及工程的所有部位及其施工工艺进行全过程的质量检查和检验，并作详细记录，编制工程质量报表，报送监理人审查。</w:t>
      </w:r>
    </w:p>
    <w:p w14:paraId="65A8CEFD">
      <w:pPr>
        <w:rPr>
          <w:rFonts w:hint="eastAsia" w:asciiTheme="minorEastAsia" w:hAnsiTheme="minorEastAsia" w:eastAsiaTheme="minorEastAsia" w:cstheme="minorEastAsia"/>
          <w:b/>
          <w:color w:val="auto"/>
          <w:sz w:val="21"/>
          <w:szCs w:val="21"/>
        </w:rPr>
      </w:pPr>
      <w:bookmarkStart w:id="892" w:name="_Toc265954675"/>
      <w:bookmarkStart w:id="893" w:name="_Toc229450846"/>
      <w:bookmarkStart w:id="894" w:name="_Toc27412"/>
      <w:bookmarkStart w:id="895" w:name="_Toc265653919"/>
      <w:bookmarkStart w:id="896" w:name="_Toc265954974"/>
      <w:r>
        <w:rPr>
          <w:rFonts w:hint="eastAsia" w:asciiTheme="minorEastAsia" w:hAnsiTheme="minorEastAsia" w:eastAsiaTheme="minorEastAsia" w:cstheme="minorEastAsia"/>
          <w:b/>
          <w:color w:val="auto"/>
          <w:sz w:val="21"/>
          <w:szCs w:val="21"/>
        </w:rPr>
        <w:t>13.4 监理人的质量检查</w:t>
      </w:r>
      <w:bookmarkEnd w:id="892"/>
      <w:bookmarkEnd w:id="893"/>
      <w:bookmarkEnd w:id="894"/>
      <w:bookmarkEnd w:id="895"/>
      <w:bookmarkEnd w:id="896"/>
    </w:p>
    <w:p w14:paraId="6BDD688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76039C06">
      <w:pPr>
        <w:rPr>
          <w:rFonts w:hint="eastAsia" w:asciiTheme="minorEastAsia" w:hAnsiTheme="minorEastAsia" w:eastAsiaTheme="minorEastAsia" w:cstheme="minorEastAsia"/>
          <w:b/>
          <w:color w:val="auto"/>
          <w:sz w:val="21"/>
          <w:szCs w:val="21"/>
        </w:rPr>
      </w:pPr>
      <w:bookmarkStart w:id="897" w:name="_Toc265954975"/>
      <w:bookmarkStart w:id="898" w:name="_Toc229450847"/>
      <w:bookmarkStart w:id="899" w:name="_Toc265653920"/>
      <w:bookmarkStart w:id="900" w:name="_Toc19388"/>
      <w:bookmarkStart w:id="901" w:name="_Toc265954676"/>
      <w:r>
        <w:rPr>
          <w:rFonts w:hint="eastAsia" w:asciiTheme="minorEastAsia" w:hAnsiTheme="minorEastAsia" w:eastAsiaTheme="minorEastAsia" w:cstheme="minorEastAsia"/>
          <w:b/>
          <w:color w:val="auto"/>
          <w:sz w:val="21"/>
          <w:szCs w:val="21"/>
        </w:rPr>
        <w:t>13.5 工程隐蔽部位覆盖前的检查</w:t>
      </w:r>
      <w:bookmarkEnd w:id="897"/>
      <w:bookmarkEnd w:id="898"/>
      <w:bookmarkEnd w:id="899"/>
      <w:bookmarkEnd w:id="900"/>
      <w:bookmarkEnd w:id="901"/>
    </w:p>
    <w:p w14:paraId="0AFD5EF9">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13.5.1 通知监理人检查</w:t>
      </w:r>
    </w:p>
    <w:p w14:paraId="1F6EC834">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7D76F786">
      <w:pPr>
        <w:autoSpaceDE w:val="0"/>
        <w:autoSpaceDN w:val="0"/>
        <w:adjustRightInd w:val="0"/>
        <w:ind w:firstLine="412"/>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13.5.2 监理人未到场检查</w:t>
      </w:r>
    </w:p>
    <w:p w14:paraId="7BB76C4A">
      <w:pPr>
        <w:autoSpaceDE w:val="0"/>
        <w:autoSpaceDN w:val="0"/>
        <w:adjustRightInd w:val="0"/>
        <w:ind w:firstLine="412"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2"/>
          <w:kern w:val="0"/>
          <w:sz w:val="21"/>
          <w:szCs w:val="21"/>
        </w:rPr>
        <w:t>监理人未按第13.5.1 项约定的时间进行检查的，除监理人另有指示外，承包人可自行完</w:t>
      </w:r>
      <w:r>
        <w:rPr>
          <w:rFonts w:hint="eastAsia" w:asciiTheme="minorEastAsia" w:hAnsiTheme="minorEastAsia" w:eastAsiaTheme="minorEastAsia" w:cstheme="minorEastAsia"/>
          <w:color w:val="auto"/>
          <w:kern w:val="0"/>
          <w:sz w:val="21"/>
          <w:szCs w:val="21"/>
        </w:rPr>
        <w:t>成覆盖工作，并作相应记录报送监理人，监理人应签字确认。监理人事后对检查记录有疑问的，可按第13.5.3 项的约定重新检查。</w:t>
      </w:r>
    </w:p>
    <w:p w14:paraId="0E1BAEA6">
      <w:pPr>
        <w:autoSpaceDE w:val="0"/>
        <w:autoSpaceDN w:val="0"/>
        <w:adjustRightInd w:val="0"/>
        <w:ind w:firstLine="412"/>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13.5.3 监理人重新检查</w:t>
      </w:r>
    </w:p>
    <w:p w14:paraId="773ED28C">
      <w:pPr>
        <w:autoSpaceDE w:val="0"/>
        <w:autoSpaceDN w:val="0"/>
        <w:adjustRightInd w:val="0"/>
        <w:ind w:firstLine="404"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4"/>
          <w:kern w:val="0"/>
          <w:sz w:val="21"/>
          <w:szCs w:val="21"/>
        </w:rPr>
        <w:t>承包人按第13.5.1 项或第13.5.2 项覆盖工程隐蔽部位后，监理人对质量有疑问的，可要</w:t>
      </w:r>
      <w:r>
        <w:rPr>
          <w:rFonts w:hint="eastAsia" w:asciiTheme="minorEastAsia" w:hAnsiTheme="minorEastAsia" w:eastAsiaTheme="minorEastAsia" w:cstheme="minorEastAsia"/>
          <w:color w:val="auto"/>
          <w:kern w:val="0"/>
          <w:sz w:val="21"/>
          <w:szCs w:val="21"/>
        </w:rPr>
        <w:t>求承包人对己覆盖的部位进行钻孔探测或揭开重新检验，承包人应遵照执行，并在检验后重</w:t>
      </w:r>
      <w:r>
        <w:rPr>
          <w:rFonts w:hint="eastAsia" w:asciiTheme="minorEastAsia" w:hAnsiTheme="minorEastAsia" w:eastAsiaTheme="minorEastAsia" w:cstheme="minorEastAsia"/>
          <w:color w:val="auto"/>
          <w:spacing w:val="4"/>
          <w:kern w:val="0"/>
          <w:sz w:val="21"/>
          <w:szCs w:val="21"/>
        </w:rPr>
        <w:t>新覆盖恢复原状。经检验证明工程质量符合合同要求的，由发包人承担由此增加的费用和(或)工期延误，并支付承包人合理利润:经检验证明工程质量不符合合同要求的，由此增加的费</w:t>
      </w:r>
      <w:r>
        <w:rPr>
          <w:rFonts w:hint="eastAsia" w:asciiTheme="minorEastAsia" w:hAnsiTheme="minorEastAsia" w:eastAsiaTheme="minorEastAsia" w:cstheme="minorEastAsia"/>
          <w:color w:val="auto"/>
          <w:kern w:val="0"/>
          <w:sz w:val="21"/>
          <w:szCs w:val="21"/>
        </w:rPr>
        <w:t>用和(或)工期延误由承包人承担。</w:t>
      </w:r>
    </w:p>
    <w:p w14:paraId="46C45E4B">
      <w:pPr>
        <w:autoSpaceDE w:val="0"/>
        <w:autoSpaceDN w:val="0"/>
        <w:adjustRightInd w:val="0"/>
        <w:ind w:firstLine="412"/>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13.5.4 承包人私自覆盖</w:t>
      </w:r>
    </w:p>
    <w:p w14:paraId="6D05A6F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承包人未通知监理人到场检查，私自将工程隐蔽部位覆盖的，监理人有权指示承包人钻孔探测或揭开检查，由此增加的费用和(或)工期延误由承包人承担。</w:t>
      </w:r>
    </w:p>
    <w:p w14:paraId="76A60648">
      <w:pPr>
        <w:rPr>
          <w:rFonts w:hint="eastAsia" w:asciiTheme="minorEastAsia" w:hAnsiTheme="minorEastAsia" w:eastAsiaTheme="minorEastAsia" w:cstheme="minorEastAsia"/>
          <w:b/>
          <w:color w:val="auto"/>
          <w:sz w:val="21"/>
          <w:szCs w:val="21"/>
        </w:rPr>
      </w:pPr>
      <w:bookmarkStart w:id="902" w:name="_Toc7770"/>
      <w:bookmarkStart w:id="903" w:name="_Toc265653921"/>
      <w:bookmarkStart w:id="904" w:name="_Toc265954677"/>
      <w:bookmarkStart w:id="905" w:name="_Toc265954976"/>
      <w:bookmarkStart w:id="906" w:name="_Toc229450848"/>
      <w:r>
        <w:rPr>
          <w:rFonts w:hint="eastAsia" w:asciiTheme="minorEastAsia" w:hAnsiTheme="minorEastAsia" w:eastAsiaTheme="minorEastAsia" w:cstheme="minorEastAsia"/>
          <w:b/>
          <w:color w:val="auto"/>
          <w:sz w:val="21"/>
          <w:szCs w:val="21"/>
        </w:rPr>
        <w:t>13.6 清除不合格工程</w:t>
      </w:r>
      <w:bookmarkEnd w:id="902"/>
      <w:bookmarkEnd w:id="903"/>
      <w:bookmarkEnd w:id="904"/>
      <w:bookmarkEnd w:id="905"/>
      <w:bookmarkEnd w:id="906"/>
    </w:p>
    <w:p w14:paraId="2BC4E792">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3CC9F2C3">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13.6.2 由于发包人提供的材料或工程设备不合格造成的工程不合格，需要承包人采取措施补救的，发包人应承担由此增加的费用和(或)工期延误，并支付承包人合理利润。</w:t>
      </w:r>
    </w:p>
    <w:p w14:paraId="7CE8CA55">
      <w:pPr>
        <w:rPr>
          <w:rFonts w:hint="eastAsia" w:asciiTheme="minorEastAsia" w:hAnsiTheme="minorEastAsia" w:eastAsiaTheme="minorEastAsia" w:cstheme="minorEastAsia"/>
          <w:b/>
          <w:color w:val="auto"/>
          <w:sz w:val="21"/>
          <w:szCs w:val="21"/>
        </w:rPr>
      </w:pPr>
      <w:bookmarkStart w:id="907" w:name="_Toc19757"/>
      <w:bookmarkStart w:id="908" w:name="_Toc265653922"/>
      <w:bookmarkStart w:id="909" w:name="_Toc265954678"/>
      <w:bookmarkStart w:id="910" w:name="_Toc265954977"/>
      <w:r>
        <w:rPr>
          <w:rFonts w:hint="eastAsia" w:asciiTheme="minorEastAsia" w:hAnsiTheme="minorEastAsia" w:eastAsiaTheme="minorEastAsia" w:cstheme="minorEastAsia"/>
          <w:b/>
          <w:color w:val="auto"/>
          <w:sz w:val="21"/>
          <w:szCs w:val="21"/>
        </w:rPr>
        <w:t>13.7 质量评定</w:t>
      </w:r>
      <w:bookmarkEnd w:id="907"/>
      <w:bookmarkEnd w:id="908"/>
      <w:bookmarkEnd w:id="909"/>
      <w:bookmarkEnd w:id="910"/>
    </w:p>
    <w:p w14:paraId="0C7693D4">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13.7.1 发包人应组织承包人进行工程项目划分，并确定单位工程、主要分部工程、重要隐蔽单元工程和关键部位单元工程。</w:t>
      </w:r>
    </w:p>
    <w:p w14:paraId="084903C1">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13.7.2 工程实施过程中，单位工程、主要分部工程、重要隐蔽单元工程和关键部位单元工程的项目划分需要调整时，承包人应报发包人确认。</w:t>
      </w:r>
    </w:p>
    <w:p w14:paraId="67098D0B">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13.7.3 承包人应在单元（工序）工程质量自评合格后，报监理人核定质量等级并签证认可。</w:t>
      </w:r>
    </w:p>
    <w:p w14:paraId="5ED07F04">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32F76675">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13.7.5 承包人应在分部工程质量自评合格后，报监理人复核和发包人认定。发包人负责按有关规定完成分部工程质量结论报工程质量监督机构核备（核定）手续。</w:t>
      </w:r>
    </w:p>
    <w:p w14:paraId="4A7E4835">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13.7.6 承包人应在单位工程质量自评合格后，报监理人复核和发包人认定。发包人负责按有关规定完成单位工程质量结论报工程质量监督机构核定手续。</w:t>
      </w:r>
    </w:p>
    <w:p w14:paraId="646463AB">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13.7.7 除专用合同条款另有约定外，工程质量等级分为合格和优良，应分另达到约定的标准。</w:t>
      </w:r>
    </w:p>
    <w:p w14:paraId="17D6A118">
      <w:pPr>
        <w:rPr>
          <w:rFonts w:hint="eastAsia" w:asciiTheme="minorEastAsia" w:hAnsiTheme="minorEastAsia" w:eastAsiaTheme="minorEastAsia" w:cstheme="minorEastAsia"/>
          <w:b/>
          <w:color w:val="auto"/>
          <w:sz w:val="21"/>
          <w:szCs w:val="21"/>
        </w:rPr>
      </w:pPr>
      <w:bookmarkStart w:id="911" w:name="_Toc265954978"/>
      <w:bookmarkStart w:id="912" w:name="_Toc265653923"/>
      <w:bookmarkStart w:id="913" w:name="_Toc32606"/>
      <w:bookmarkStart w:id="914" w:name="_Toc265954679"/>
      <w:r>
        <w:rPr>
          <w:rFonts w:hint="eastAsia" w:asciiTheme="minorEastAsia" w:hAnsiTheme="minorEastAsia" w:eastAsiaTheme="minorEastAsia" w:cstheme="minorEastAsia"/>
          <w:b/>
          <w:color w:val="auto"/>
          <w:sz w:val="21"/>
          <w:szCs w:val="21"/>
        </w:rPr>
        <w:t>13.8 质量事故处理</w:t>
      </w:r>
      <w:bookmarkEnd w:id="911"/>
      <w:bookmarkEnd w:id="912"/>
      <w:bookmarkEnd w:id="913"/>
      <w:bookmarkEnd w:id="914"/>
    </w:p>
    <w:p w14:paraId="1AC201CC">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13.8.1 发生质量事故时，承包人应及时向发包人和监理人报告。</w:t>
      </w:r>
    </w:p>
    <w:p w14:paraId="10886B38">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13.8.2 质量事故调查处理由发包人按相关规定履行手续，承包人应配合。</w:t>
      </w:r>
    </w:p>
    <w:p w14:paraId="02DEF83D">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13.8.3 承包人应对质量缺陷进行备案。发包人委托监理人对质量缺陷备案情况进行监督检查并履行相关手续。</w:t>
      </w:r>
    </w:p>
    <w:p w14:paraId="24CF0360">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13.8.4 除专用合同条款另有约定外，工程竣工验收时，发包人负责向竣工验收委员会汇报并提交历次质量缺陷处理的备案资料。</w:t>
      </w:r>
    </w:p>
    <w:p w14:paraId="50744921">
      <w:pPr>
        <w:rPr>
          <w:rFonts w:hint="eastAsia" w:asciiTheme="minorEastAsia" w:hAnsiTheme="minorEastAsia" w:eastAsiaTheme="minorEastAsia" w:cstheme="minorEastAsia"/>
          <w:b/>
          <w:color w:val="auto"/>
          <w:sz w:val="21"/>
          <w:szCs w:val="21"/>
        </w:rPr>
      </w:pPr>
      <w:bookmarkStart w:id="915" w:name="_Toc229450849"/>
      <w:bookmarkStart w:id="916" w:name="_Toc265653924"/>
      <w:bookmarkStart w:id="917" w:name="_Toc21695"/>
      <w:bookmarkStart w:id="918" w:name="_Toc199322046"/>
      <w:bookmarkStart w:id="919" w:name="_Toc265954680"/>
      <w:bookmarkStart w:id="920" w:name="_Toc265954979"/>
      <w:r>
        <w:rPr>
          <w:rFonts w:hint="eastAsia" w:asciiTheme="minorEastAsia" w:hAnsiTheme="minorEastAsia" w:eastAsiaTheme="minorEastAsia" w:cstheme="minorEastAsia"/>
          <w:b/>
          <w:color w:val="auto"/>
          <w:sz w:val="21"/>
          <w:szCs w:val="21"/>
        </w:rPr>
        <w:t>14. 试验和检验</w:t>
      </w:r>
      <w:bookmarkEnd w:id="915"/>
      <w:bookmarkEnd w:id="916"/>
      <w:bookmarkEnd w:id="917"/>
      <w:bookmarkEnd w:id="918"/>
      <w:bookmarkEnd w:id="919"/>
      <w:bookmarkEnd w:id="920"/>
    </w:p>
    <w:p w14:paraId="71A59CCB">
      <w:pPr>
        <w:rPr>
          <w:rFonts w:hint="eastAsia" w:asciiTheme="minorEastAsia" w:hAnsiTheme="minorEastAsia" w:eastAsiaTheme="minorEastAsia" w:cstheme="minorEastAsia"/>
          <w:b/>
          <w:color w:val="auto"/>
          <w:sz w:val="21"/>
          <w:szCs w:val="21"/>
        </w:rPr>
      </w:pPr>
      <w:bookmarkStart w:id="921" w:name="_Toc265653925"/>
      <w:bookmarkStart w:id="922" w:name="_Toc265954980"/>
      <w:bookmarkStart w:id="923" w:name="_Toc22766"/>
      <w:bookmarkStart w:id="924" w:name="_Toc229450850"/>
      <w:bookmarkStart w:id="925" w:name="_Toc265954681"/>
      <w:r>
        <w:rPr>
          <w:rFonts w:hint="eastAsia" w:asciiTheme="minorEastAsia" w:hAnsiTheme="minorEastAsia" w:eastAsiaTheme="minorEastAsia" w:cstheme="minorEastAsia"/>
          <w:b/>
          <w:color w:val="auto"/>
          <w:sz w:val="21"/>
          <w:szCs w:val="21"/>
        </w:rPr>
        <w:t>14.1 材料、工程设备和工程的试验和检验</w:t>
      </w:r>
      <w:bookmarkEnd w:id="921"/>
      <w:bookmarkEnd w:id="922"/>
      <w:bookmarkEnd w:id="923"/>
      <w:bookmarkEnd w:id="924"/>
      <w:bookmarkEnd w:id="925"/>
    </w:p>
    <w:p w14:paraId="04179805">
      <w:pPr>
        <w:autoSpaceDE w:val="0"/>
        <w:autoSpaceDN w:val="0"/>
        <w:adjustRightInd w:val="0"/>
        <w:ind w:firstLine="50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4"/>
          <w:kern w:val="0"/>
          <w:sz w:val="21"/>
          <w:szCs w:val="21"/>
        </w:rPr>
        <w:t>14.1.1 承包人应按合同约定进行材料、工程设备和工程的试验和检验，并为监理人对上</w:t>
      </w:r>
      <w:r>
        <w:rPr>
          <w:rFonts w:hint="eastAsia" w:asciiTheme="minorEastAsia" w:hAnsiTheme="minorEastAsia" w:eastAsiaTheme="minorEastAsia" w:cstheme="minorEastAsia"/>
          <w:color w:val="auto"/>
          <w:kern w:val="0"/>
          <w:sz w:val="21"/>
          <w:szCs w:val="21"/>
        </w:rPr>
        <w:t>述材料、工程设备和工程的质量检查提供必要的试验资料和原始记录。按合同约定应由监理人与承包人共同进行试验和检验的，由承包人负责提供必要的试验资料和原始记录。</w:t>
      </w:r>
    </w:p>
    <w:p w14:paraId="5CE9FAF5">
      <w:pPr>
        <w:autoSpaceDE w:val="0"/>
        <w:autoSpaceDN w:val="0"/>
        <w:adjustRightInd w:val="0"/>
        <w:ind w:firstLine="505" w:firstLineChars="25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14.1.2 监理人未按合同约定派员参加试验和检验的，除监理人另有指示外，承包人可自行试验和检验，并应立即将试验和检验结果报送监理人，监理人应签字确认。</w:t>
      </w:r>
    </w:p>
    <w:p w14:paraId="738862A3">
      <w:pPr>
        <w:autoSpaceDE w:val="0"/>
        <w:autoSpaceDN w:val="0"/>
        <w:adjustRightInd w:val="0"/>
        <w:ind w:firstLine="505" w:firstLineChars="2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4"/>
          <w:kern w:val="0"/>
          <w:sz w:val="21"/>
          <w:szCs w:val="21"/>
        </w:rPr>
        <w:t>14.1.3 监理人对承包人的试验和检验结果有疑问的，或为查清承包人试验和检验成果的</w:t>
      </w:r>
      <w:r>
        <w:rPr>
          <w:rFonts w:hint="eastAsia" w:asciiTheme="minorEastAsia" w:hAnsiTheme="minorEastAsia" w:eastAsiaTheme="minorEastAsia" w:cstheme="minorEastAsia"/>
          <w:color w:val="auto"/>
          <w:kern w:val="0"/>
          <w:sz w:val="21"/>
          <w:szCs w:val="21"/>
        </w:rPr>
        <w:t>可靠性要求承包人重新试验和检验的，可按合同约定由监理人与承包人共同进行。重新试验和检验的结果证明该项材料、工程设备或工程的质量不符合合同要求的，由此增加的费用和</w:t>
      </w:r>
      <w:r>
        <w:rPr>
          <w:rFonts w:hint="eastAsia" w:asciiTheme="minorEastAsia" w:hAnsiTheme="minorEastAsia" w:eastAsiaTheme="minorEastAsia" w:cstheme="minorEastAsia"/>
          <w:color w:val="auto"/>
          <w:spacing w:val="2"/>
          <w:kern w:val="0"/>
          <w:sz w:val="21"/>
          <w:szCs w:val="21"/>
        </w:rPr>
        <w:t>(或)工期延误由承包人承担:重新试验和检验结果证明该项材料、工程设备和工程符合合同要求，由发包人承担由此增加的费用和(或)工期延误，并支付承包人合理利润。</w:t>
      </w:r>
    </w:p>
    <w:p w14:paraId="0CD8C8C0">
      <w:pPr>
        <w:autoSpaceDE w:val="0"/>
        <w:autoSpaceDN w:val="0"/>
        <w:adjustRightInd w:val="0"/>
        <w:ind w:firstLine="505" w:firstLineChars="25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14.1.4 承包人应按相关规定和标准对水泥、钢材等原材料与中间产品质量进行检验，并报监理人复核。</w:t>
      </w:r>
    </w:p>
    <w:p w14:paraId="356EC175">
      <w:pPr>
        <w:autoSpaceDE w:val="0"/>
        <w:autoSpaceDN w:val="0"/>
        <w:adjustRightInd w:val="0"/>
        <w:ind w:firstLine="505" w:firstLineChars="25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286E4BA5">
      <w:pPr>
        <w:autoSpaceDE w:val="0"/>
        <w:autoSpaceDN w:val="0"/>
        <w:adjustRightInd w:val="0"/>
        <w:ind w:firstLine="505" w:firstLineChars="25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14.1.6 对专用合同条款约定的试块、试件及有关材料，监理人实行见证取样。见证取样资料由承包人制备，记录应真实齐全，监理人、承包人等参与见证取样人员均应在相关文件上签字。</w:t>
      </w:r>
    </w:p>
    <w:p w14:paraId="610B83F7">
      <w:pPr>
        <w:rPr>
          <w:rFonts w:hint="eastAsia" w:asciiTheme="minorEastAsia" w:hAnsiTheme="minorEastAsia" w:eastAsiaTheme="minorEastAsia" w:cstheme="minorEastAsia"/>
          <w:b/>
          <w:color w:val="auto"/>
          <w:sz w:val="21"/>
          <w:szCs w:val="21"/>
        </w:rPr>
      </w:pPr>
      <w:bookmarkStart w:id="926" w:name="_Toc265954981"/>
      <w:bookmarkStart w:id="927" w:name="_Toc265954682"/>
      <w:bookmarkStart w:id="928" w:name="_Toc265653926"/>
      <w:bookmarkStart w:id="929" w:name="_Toc9944"/>
      <w:bookmarkStart w:id="930" w:name="_Toc229450851"/>
      <w:r>
        <w:rPr>
          <w:rFonts w:hint="eastAsia" w:asciiTheme="minorEastAsia" w:hAnsiTheme="minorEastAsia" w:eastAsiaTheme="minorEastAsia" w:cstheme="minorEastAsia"/>
          <w:b/>
          <w:color w:val="auto"/>
          <w:sz w:val="21"/>
          <w:szCs w:val="21"/>
        </w:rPr>
        <w:t>14.2 现场材料试验</w:t>
      </w:r>
      <w:bookmarkEnd w:id="926"/>
      <w:bookmarkEnd w:id="927"/>
      <w:bookmarkEnd w:id="928"/>
      <w:bookmarkEnd w:id="929"/>
      <w:bookmarkEnd w:id="930"/>
    </w:p>
    <w:p w14:paraId="3A50A951">
      <w:pPr>
        <w:autoSpaceDE w:val="0"/>
        <w:autoSpaceDN w:val="0"/>
        <w:adjustRightInd w:val="0"/>
        <w:ind w:firstLine="412"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14.2.1 承包人根据合同约定或监理人指示进行的现场材料试验，应由承包人提供试验场所、试验人员、试验设备器材以及其他必要的试验条件。</w:t>
      </w:r>
    </w:p>
    <w:p w14:paraId="419C52F4">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14.2.2 监理人在必要时可以使用承包人的试验场所、试验设备器材以及其他试验条件，进行以工程质量检查为目的的复核性材料试验，承包人应予以协助。</w:t>
      </w:r>
    </w:p>
    <w:p w14:paraId="718D7A37">
      <w:pPr>
        <w:rPr>
          <w:rFonts w:hint="eastAsia" w:asciiTheme="minorEastAsia" w:hAnsiTheme="minorEastAsia" w:eastAsiaTheme="minorEastAsia" w:cstheme="minorEastAsia"/>
          <w:b/>
          <w:color w:val="auto"/>
          <w:sz w:val="21"/>
          <w:szCs w:val="21"/>
        </w:rPr>
      </w:pPr>
      <w:bookmarkStart w:id="931" w:name="_Toc229450852"/>
      <w:bookmarkStart w:id="932" w:name="_Toc265954982"/>
      <w:bookmarkStart w:id="933" w:name="_Toc265954683"/>
      <w:bookmarkStart w:id="934" w:name="_Toc265653927"/>
      <w:bookmarkStart w:id="935" w:name="_Toc14183"/>
      <w:r>
        <w:rPr>
          <w:rFonts w:hint="eastAsia" w:asciiTheme="minorEastAsia" w:hAnsiTheme="minorEastAsia" w:eastAsiaTheme="minorEastAsia" w:cstheme="minorEastAsia"/>
          <w:b/>
          <w:color w:val="auto"/>
          <w:sz w:val="21"/>
          <w:szCs w:val="21"/>
        </w:rPr>
        <w:t>14.3 现场工艺试验</w:t>
      </w:r>
      <w:bookmarkEnd w:id="931"/>
      <w:bookmarkEnd w:id="932"/>
      <w:bookmarkEnd w:id="933"/>
      <w:bookmarkEnd w:id="934"/>
      <w:bookmarkEnd w:id="935"/>
    </w:p>
    <w:p w14:paraId="495109EF">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承包人应按合同约定或监理人指示进行现场工艺试验.对大型的现场工艺试验，监理人认为必要时，应由承包人根据监理人提出的工艺试验要求，编制工艺试验措施计划，报送监理人审批。</w:t>
      </w:r>
    </w:p>
    <w:p w14:paraId="5C1E0761">
      <w:pPr>
        <w:rPr>
          <w:rFonts w:hint="eastAsia" w:asciiTheme="minorEastAsia" w:hAnsiTheme="minorEastAsia" w:eastAsiaTheme="minorEastAsia" w:cstheme="minorEastAsia"/>
          <w:b/>
          <w:color w:val="auto"/>
          <w:sz w:val="21"/>
          <w:szCs w:val="21"/>
        </w:rPr>
      </w:pPr>
      <w:bookmarkStart w:id="936" w:name="_Toc229450853"/>
      <w:bookmarkStart w:id="937" w:name="_Toc265954983"/>
      <w:bookmarkStart w:id="938" w:name="_Toc265954684"/>
      <w:bookmarkStart w:id="939" w:name="_Toc199322047"/>
      <w:bookmarkStart w:id="940" w:name="_Toc14791"/>
      <w:bookmarkStart w:id="941" w:name="_Toc265653928"/>
      <w:r>
        <w:rPr>
          <w:rFonts w:hint="eastAsia" w:asciiTheme="minorEastAsia" w:hAnsiTheme="minorEastAsia" w:eastAsiaTheme="minorEastAsia" w:cstheme="minorEastAsia"/>
          <w:b/>
          <w:color w:val="auto"/>
          <w:sz w:val="21"/>
          <w:szCs w:val="21"/>
        </w:rPr>
        <w:t>15. 变更</w:t>
      </w:r>
      <w:bookmarkEnd w:id="936"/>
      <w:bookmarkEnd w:id="937"/>
      <w:bookmarkEnd w:id="938"/>
      <w:bookmarkEnd w:id="939"/>
      <w:bookmarkEnd w:id="940"/>
      <w:bookmarkEnd w:id="941"/>
    </w:p>
    <w:p w14:paraId="29EB7098">
      <w:pPr>
        <w:rPr>
          <w:rFonts w:hint="eastAsia" w:asciiTheme="minorEastAsia" w:hAnsiTheme="minorEastAsia" w:eastAsiaTheme="minorEastAsia" w:cstheme="minorEastAsia"/>
          <w:b/>
          <w:color w:val="auto"/>
          <w:sz w:val="21"/>
          <w:szCs w:val="21"/>
        </w:rPr>
      </w:pPr>
      <w:bookmarkStart w:id="942" w:name="_Toc229450854"/>
      <w:bookmarkStart w:id="943" w:name="_Toc265954984"/>
      <w:bookmarkStart w:id="944" w:name="_Toc28082"/>
      <w:bookmarkStart w:id="945" w:name="_Toc265653929"/>
      <w:bookmarkStart w:id="946" w:name="_Toc265954685"/>
      <w:r>
        <w:rPr>
          <w:rFonts w:hint="eastAsia" w:asciiTheme="minorEastAsia" w:hAnsiTheme="minorEastAsia" w:eastAsiaTheme="minorEastAsia" w:cstheme="minorEastAsia"/>
          <w:b/>
          <w:color w:val="auto"/>
          <w:sz w:val="21"/>
          <w:szCs w:val="21"/>
        </w:rPr>
        <w:t>15.1 变更的范围和内容</w:t>
      </w:r>
      <w:bookmarkEnd w:id="942"/>
      <w:bookmarkEnd w:id="943"/>
      <w:bookmarkEnd w:id="944"/>
      <w:bookmarkEnd w:id="945"/>
      <w:bookmarkEnd w:id="946"/>
    </w:p>
    <w:p w14:paraId="185EC8CE">
      <w:pPr>
        <w:autoSpaceDE w:val="0"/>
        <w:autoSpaceDN w:val="0"/>
        <w:adjustRightInd w:val="0"/>
        <w:ind w:firstLine="515" w:firstLineChars="2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在履行合同中发生以下情形之一，应按照本款规定进行变更。</w:t>
      </w:r>
    </w:p>
    <w:p w14:paraId="78D14D95">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取消合同中任何一项工作，但被取消的工作不能转由发包人或其他人实施；</w:t>
      </w:r>
    </w:p>
    <w:p w14:paraId="173508BF">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改变合同中任何一项工作的质量或其他特性；</w:t>
      </w:r>
    </w:p>
    <w:p w14:paraId="4E46B0BA">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改变合同工程的基线、标高、位置或尺寸；</w:t>
      </w:r>
    </w:p>
    <w:p w14:paraId="6A0B77C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改变合同中任何一项工作的施工时间或改变已批准的施工工艺或顺序；</w:t>
      </w:r>
    </w:p>
    <w:p w14:paraId="55E062E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为完成工程需要追加的额外工作；</w:t>
      </w:r>
    </w:p>
    <w:p w14:paraId="5B78FAD3">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（6）增加或减少专用合同条款中约定的关键项目工程量超过其工程总量的一定数量百分比。</w:t>
      </w:r>
    </w:p>
    <w:p w14:paraId="282D99AA">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上述第（1）～（6）目的变更内容引起工程施工组织和进度计划发生实质性变动和影响其原定的价格时，才予调整该项目的单价。第（6）目情形下单价调整方式在专用合同条款中约定。</w:t>
      </w:r>
    </w:p>
    <w:p w14:paraId="488725A7">
      <w:pPr>
        <w:rPr>
          <w:rFonts w:hint="eastAsia" w:asciiTheme="minorEastAsia" w:hAnsiTheme="minorEastAsia" w:eastAsiaTheme="minorEastAsia" w:cstheme="minorEastAsia"/>
          <w:b/>
          <w:color w:val="auto"/>
          <w:sz w:val="21"/>
          <w:szCs w:val="21"/>
        </w:rPr>
      </w:pPr>
      <w:bookmarkStart w:id="947" w:name="_Toc265954686"/>
      <w:bookmarkStart w:id="948" w:name="_Toc229450855"/>
      <w:bookmarkStart w:id="949" w:name="_Toc265653930"/>
      <w:bookmarkStart w:id="950" w:name="_Toc23357"/>
      <w:bookmarkStart w:id="951" w:name="_Toc265954985"/>
      <w:r>
        <w:rPr>
          <w:rFonts w:hint="eastAsia" w:asciiTheme="minorEastAsia" w:hAnsiTheme="minorEastAsia" w:eastAsiaTheme="minorEastAsia" w:cstheme="minorEastAsia"/>
          <w:b/>
          <w:color w:val="auto"/>
          <w:sz w:val="21"/>
          <w:szCs w:val="21"/>
        </w:rPr>
        <w:t>15.2 变更权</w:t>
      </w:r>
      <w:bookmarkEnd w:id="947"/>
      <w:bookmarkEnd w:id="948"/>
      <w:bookmarkEnd w:id="949"/>
      <w:bookmarkEnd w:id="950"/>
      <w:bookmarkEnd w:id="951"/>
    </w:p>
    <w:p w14:paraId="28CC2BBA">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在履行合同过程中，经发包人同意，监理人可按第15.3 款约定的变更程序向承包人作出变更指示，承包人应遵照执行。没有监理人的变更指示，承包人不得擅自变更。</w:t>
      </w:r>
    </w:p>
    <w:p w14:paraId="40EC9A4D">
      <w:pPr>
        <w:rPr>
          <w:rFonts w:hint="eastAsia" w:asciiTheme="minorEastAsia" w:hAnsiTheme="minorEastAsia" w:eastAsiaTheme="minorEastAsia" w:cstheme="minorEastAsia"/>
          <w:b/>
          <w:color w:val="auto"/>
          <w:sz w:val="21"/>
          <w:szCs w:val="21"/>
        </w:rPr>
      </w:pPr>
      <w:bookmarkStart w:id="952" w:name="_Toc265954986"/>
      <w:bookmarkStart w:id="953" w:name="_Toc265954687"/>
      <w:bookmarkStart w:id="954" w:name="_Toc1895"/>
      <w:bookmarkStart w:id="955" w:name="_Toc265653931"/>
      <w:bookmarkStart w:id="956" w:name="_Toc229450856"/>
      <w:r>
        <w:rPr>
          <w:rFonts w:hint="eastAsia" w:asciiTheme="minorEastAsia" w:hAnsiTheme="minorEastAsia" w:eastAsiaTheme="minorEastAsia" w:cstheme="minorEastAsia"/>
          <w:b/>
          <w:color w:val="auto"/>
          <w:sz w:val="21"/>
          <w:szCs w:val="21"/>
        </w:rPr>
        <w:t>15.3 变更程序</w:t>
      </w:r>
      <w:bookmarkEnd w:id="952"/>
      <w:bookmarkEnd w:id="953"/>
      <w:bookmarkEnd w:id="954"/>
      <w:bookmarkEnd w:id="955"/>
      <w:bookmarkEnd w:id="956"/>
    </w:p>
    <w:p w14:paraId="39557176">
      <w:pPr>
        <w:pStyle w:val="8"/>
        <w:ind w:firstLine="420" w:firstLineChars="200"/>
        <w:rPr>
          <w:rFonts w:hint="eastAsia" w:asciiTheme="minorEastAsia" w:hAnsiTheme="minorEastAsia" w:eastAsiaTheme="minorEastAsia" w:cstheme="minorEastAsia"/>
          <w:color w:val="auto"/>
          <w:sz w:val="21"/>
          <w:szCs w:val="21"/>
        </w:rPr>
      </w:pPr>
      <w:bookmarkStart w:id="957" w:name="_Toc199322048"/>
      <w:r>
        <w:rPr>
          <w:rFonts w:hint="eastAsia" w:asciiTheme="minorEastAsia" w:hAnsiTheme="minorEastAsia" w:eastAsiaTheme="minorEastAsia" w:cstheme="minorEastAsia"/>
          <w:color w:val="auto"/>
          <w:sz w:val="21"/>
          <w:szCs w:val="21"/>
        </w:rPr>
        <w:t>15.3.1 变更的提出</w:t>
      </w:r>
      <w:bookmarkEnd w:id="957"/>
    </w:p>
    <w:p w14:paraId="7DF93B8D">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在合同履行过程中，可能发生第15.1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 项约定发出变更指示。</w:t>
      </w:r>
    </w:p>
    <w:p w14:paraId="0E8D2910">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在合同履行过程中，发生第15.1 款约定情形的，监理人应按照第15.3.3 项约定向承包人发出变更指示。</w:t>
      </w:r>
    </w:p>
    <w:p w14:paraId="76F0254E">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承包人收到监理人按合同约定发出的图纸和文件，经检查认为其中存在第15.1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款约定情形的，可向监理人提出书面变更建议。变更建议应阐明要求变更的依据，并附必要的图纸和说明。监理人收到承包人书面建议后，应与发包人共同研究，确认存在变更的，应在收到承包人书面建议后的7 天内作出变更指示。经研究后不同意作为变更的，应由监理人书面答复承包人。</w:t>
      </w:r>
    </w:p>
    <w:p w14:paraId="1EC2714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若承包人收到监理人的变更意向书后认为难以实施此项变更，应立即通知监理人，说明原因并附详细依据。监理人与承包人和发包人协商后确定撤销、改变或不改变原变更意向书。</w:t>
      </w:r>
    </w:p>
    <w:p w14:paraId="62B6DAD7">
      <w:pPr>
        <w:autoSpaceDE w:val="0"/>
        <w:autoSpaceDN w:val="0"/>
        <w:adjustRightInd w:val="0"/>
        <w:ind w:firstLine="205" w:firstLineChars="98"/>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15.3.2 变更估价</w:t>
      </w:r>
    </w:p>
    <w:p w14:paraId="072B6867">
      <w:pPr>
        <w:autoSpaceDE w:val="0"/>
        <w:autoSpaceDN w:val="0"/>
        <w:adjustRightInd w:val="0"/>
        <w:ind w:firstLine="207"/>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除专用合同条款对期限另有约定外，承包人应在收到变更指示或变更意向书后的7天内，向监理人提交变更报价书，报价内容应根据第15.4款约定的估价原则，详细开列变更工作的价格组成及其依据，并附必要的施工方法说明和有关图纸。</w:t>
      </w:r>
    </w:p>
    <w:p w14:paraId="56749C65">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变更工作影响工期的，承包人应提出调整工期的具体细节。监理人认为有必要时，可要求承包人提交要求提前或延长工期的施工进度计划及相应施工措施等详细资料。</w:t>
      </w:r>
    </w:p>
    <w:p w14:paraId="627880B9">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除专用合同条款对期限另有约定外，监理人收到承包人变更报价书后的7天内，根据第15.4款约定的估价原则，按照第3.5款商定或确定变更价格。</w:t>
      </w:r>
    </w:p>
    <w:p w14:paraId="49163C25">
      <w:pPr>
        <w:pStyle w:val="8"/>
        <w:ind w:firstLine="359" w:firstLineChars="171"/>
        <w:rPr>
          <w:rFonts w:hint="eastAsia" w:asciiTheme="minorEastAsia" w:hAnsiTheme="minorEastAsia" w:eastAsiaTheme="minorEastAsia" w:cstheme="minorEastAsia"/>
          <w:color w:val="auto"/>
          <w:sz w:val="21"/>
          <w:szCs w:val="21"/>
        </w:rPr>
      </w:pPr>
      <w:bookmarkStart w:id="958" w:name="_Toc199322049"/>
      <w:r>
        <w:rPr>
          <w:rFonts w:hint="eastAsia" w:asciiTheme="minorEastAsia" w:hAnsiTheme="minorEastAsia" w:eastAsiaTheme="minorEastAsia" w:cstheme="minorEastAsia"/>
          <w:color w:val="auto"/>
          <w:sz w:val="21"/>
          <w:szCs w:val="21"/>
        </w:rPr>
        <w:t>15.3.3 变更指示</w:t>
      </w:r>
      <w:bookmarkEnd w:id="958"/>
    </w:p>
    <w:p w14:paraId="695E6162">
      <w:pPr>
        <w:autoSpaceDE w:val="0"/>
        <w:autoSpaceDN w:val="0"/>
        <w:adjustRightInd w:val="0"/>
        <w:ind w:firstLine="21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变更指示只能由监理人发出。</w:t>
      </w:r>
    </w:p>
    <w:p w14:paraId="7BEA5B9F">
      <w:pPr>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变更指示应说明变更的目的、范围、变更内容以及变更的工程量及其进度和技术要求，并附有关图纸和文件。承包人收到变更指示后，应按变更指示进行变更工作。</w:t>
      </w:r>
    </w:p>
    <w:p w14:paraId="244C2C2F">
      <w:pPr>
        <w:rPr>
          <w:rFonts w:hint="eastAsia" w:asciiTheme="minorEastAsia" w:hAnsiTheme="minorEastAsia" w:eastAsiaTheme="minorEastAsia" w:cstheme="minorEastAsia"/>
          <w:b/>
          <w:color w:val="auto"/>
          <w:sz w:val="21"/>
          <w:szCs w:val="21"/>
        </w:rPr>
      </w:pPr>
      <w:bookmarkStart w:id="959" w:name="_Toc265653932"/>
      <w:bookmarkStart w:id="960" w:name="_Toc265954987"/>
      <w:bookmarkStart w:id="961" w:name="_Toc12920"/>
      <w:bookmarkStart w:id="962" w:name="_Toc265954688"/>
      <w:bookmarkStart w:id="963" w:name="_Toc229450857"/>
      <w:r>
        <w:rPr>
          <w:rFonts w:hint="eastAsia" w:asciiTheme="minorEastAsia" w:hAnsiTheme="minorEastAsia" w:eastAsiaTheme="minorEastAsia" w:cstheme="minorEastAsia"/>
          <w:b/>
          <w:color w:val="auto"/>
          <w:sz w:val="21"/>
          <w:szCs w:val="21"/>
        </w:rPr>
        <w:t>15.4 变更的估价原则</w:t>
      </w:r>
      <w:bookmarkEnd w:id="959"/>
      <w:bookmarkEnd w:id="960"/>
      <w:bookmarkEnd w:id="961"/>
      <w:bookmarkEnd w:id="962"/>
      <w:bookmarkEnd w:id="963"/>
    </w:p>
    <w:p w14:paraId="29A6D8D3">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除专用合同条款另有约定外，因变更引起的价格调整按照本款约定处理。</w:t>
      </w:r>
    </w:p>
    <w:p w14:paraId="5CA70763">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15.4.1 己标价工程量清单中有适用于变更工作的子目的，采用该子目的单价。</w:t>
      </w:r>
    </w:p>
    <w:p w14:paraId="314C06CD">
      <w:pPr>
        <w:pStyle w:val="8"/>
        <w:ind w:firstLine="359" w:firstLineChars="171"/>
        <w:rPr>
          <w:rFonts w:hint="eastAsia" w:asciiTheme="minorEastAsia" w:hAnsiTheme="minorEastAsia" w:eastAsiaTheme="minorEastAsia" w:cstheme="minorEastAsia"/>
          <w:color w:val="auto"/>
          <w:sz w:val="21"/>
          <w:szCs w:val="21"/>
        </w:rPr>
      </w:pPr>
      <w:bookmarkStart w:id="964" w:name="_Toc199322050"/>
      <w:r>
        <w:rPr>
          <w:rFonts w:hint="eastAsia" w:asciiTheme="minorEastAsia" w:hAnsiTheme="minorEastAsia" w:eastAsiaTheme="minorEastAsia" w:cstheme="minorEastAsia"/>
          <w:color w:val="auto"/>
          <w:sz w:val="21"/>
          <w:szCs w:val="21"/>
        </w:rPr>
        <w:t>15.4.2 己标价工程量清单中无适用于变更工作的子目，但有类似子目的，可在合理范围内参照类似子目的单价，由监理人按第3.5款商定或确定变更工作的单价。</w:t>
      </w:r>
      <w:bookmarkEnd w:id="964"/>
    </w:p>
    <w:p w14:paraId="69CC8BF4">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15.4.3 己标价工程量清单中无适用或类似子目的单价，可按照成本加利润的原则，由监理人按第3.5 款商定或确定变更工作的单价。</w:t>
      </w:r>
    </w:p>
    <w:p w14:paraId="2415E93A">
      <w:pPr>
        <w:rPr>
          <w:rFonts w:hint="eastAsia" w:asciiTheme="minorEastAsia" w:hAnsiTheme="minorEastAsia" w:eastAsiaTheme="minorEastAsia" w:cstheme="minorEastAsia"/>
          <w:b/>
          <w:color w:val="auto"/>
          <w:sz w:val="21"/>
          <w:szCs w:val="21"/>
        </w:rPr>
      </w:pPr>
      <w:bookmarkStart w:id="965" w:name="_Toc14533"/>
      <w:bookmarkStart w:id="966" w:name="_Toc265653933"/>
      <w:bookmarkStart w:id="967" w:name="_Toc265954988"/>
      <w:bookmarkStart w:id="968" w:name="_Toc265954689"/>
      <w:bookmarkStart w:id="969" w:name="_Toc229450858"/>
      <w:r>
        <w:rPr>
          <w:rFonts w:hint="eastAsia" w:asciiTheme="minorEastAsia" w:hAnsiTheme="minorEastAsia" w:eastAsiaTheme="minorEastAsia" w:cstheme="minorEastAsia"/>
          <w:b/>
          <w:color w:val="auto"/>
          <w:sz w:val="21"/>
          <w:szCs w:val="21"/>
        </w:rPr>
        <w:t>15.5 承包人的合理化建议</w:t>
      </w:r>
      <w:bookmarkEnd w:id="965"/>
      <w:bookmarkEnd w:id="966"/>
      <w:bookmarkEnd w:id="967"/>
      <w:bookmarkEnd w:id="968"/>
      <w:bookmarkEnd w:id="969"/>
    </w:p>
    <w:p w14:paraId="5011820E">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 项约定向承包人发出变更指示。</w:t>
      </w:r>
    </w:p>
    <w:p w14:paraId="20D94F5B">
      <w:pPr>
        <w:pStyle w:val="8"/>
        <w:ind w:firstLine="359" w:firstLineChars="171"/>
        <w:rPr>
          <w:rFonts w:hint="eastAsia" w:asciiTheme="minorEastAsia" w:hAnsiTheme="minorEastAsia" w:eastAsiaTheme="minorEastAsia" w:cstheme="minorEastAsia"/>
          <w:color w:val="auto"/>
          <w:sz w:val="21"/>
          <w:szCs w:val="21"/>
        </w:rPr>
      </w:pPr>
      <w:bookmarkStart w:id="970" w:name="_Toc199322051"/>
      <w:r>
        <w:rPr>
          <w:rFonts w:hint="eastAsia" w:asciiTheme="minorEastAsia" w:hAnsiTheme="minorEastAsia" w:eastAsiaTheme="minorEastAsia" w:cstheme="minorEastAsia"/>
          <w:color w:val="auto"/>
          <w:sz w:val="21"/>
          <w:szCs w:val="21"/>
        </w:rPr>
        <w:t>15.5.2 承包人提出的合理化建议降低了合同价格、缩短了工期或者提高了工程经济效益的，发包人可按国家有关规定在专用合同条款中约定给予奖励。</w:t>
      </w:r>
      <w:bookmarkEnd w:id="970"/>
    </w:p>
    <w:p w14:paraId="1CA2BF91">
      <w:pPr>
        <w:rPr>
          <w:rFonts w:hint="eastAsia" w:asciiTheme="minorEastAsia" w:hAnsiTheme="minorEastAsia" w:eastAsiaTheme="minorEastAsia" w:cstheme="minorEastAsia"/>
          <w:b/>
          <w:color w:val="auto"/>
          <w:sz w:val="21"/>
          <w:szCs w:val="21"/>
        </w:rPr>
      </w:pPr>
      <w:bookmarkStart w:id="971" w:name="_Toc265954690"/>
      <w:bookmarkStart w:id="972" w:name="_Toc229450859"/>
      <w:bookmarkStart w:id="973" w:name="_Toc3277"/>
      <w:bookmarkStart w:id="974" w:name="_Toc265954989"/>
      <w:bookmarkStart w:id="975" w:name="_Toc265653934"/>
      <w:r>
        <w:rPr>
          <w:rFonts w:hint="eastAsia" w:asciiTheme="minorEastAsia" w:hAnsiTheme="minorEastAsia" w:eastAsiaTheme="minorEastAsia" w:cstheme="minorEastAsia"/>
          <w:b/>
          <w:color w:val="auto"/>
          <w:sz w:val="21"/>
          <w:szCs w:val="21"/>
        </w:rPr>
        <w:t>15.6 暂列金额</w:t>
      </w:r>
      <w:bookmarkEnd w:id="971"/>
      <w:bookmarkEnd w:id="972"/>
      <w:bookmarkEnd w:id="973"/>
      <w:bookmarkEnd w:id="974"/>
      <w:bookmarkEnd w:id="975"/>
    </w:p>
    <w:p w14:paraId="3E209FFA">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暂列金额只能按照监理人的指示使用，并对合同价格进行相应调整。</w:t>
      </w:r>
    </w:p>
    <w:p w14:paraId="03743A24">
      <w:pPr>
        <w:rPr>
          <w:rFonts w:hint="eastAsia" w:asciiTheme="minorEastAsia" w:hAnsiTheme="minorEastAsia" w:eastAsiaTheme="minorEastAsia" w:cstheme="minorEastAsia"/>
          <w:b/>
          <w:color w:val="auto"/>
          <w:sz w:val="21"/>
          <w:szCs w:val="21"/>
        </w:rPr>
      </w:pPr>
      <w:bookmarkStart w:id="976" w:name="_Toc265954990"/>
      <w:bookmarkStart w:id="977" w:name="_Toc265653935"/>
      <w:bookmarkStart w:id="978" w:name="_Toc229450860"/>
      <w:bookmarkStart w:id="979" w:name="_Toc265954691"/>
      <w:bookmarkStart w:id="980" w:name="_Toc9114"/>
      <w:r>
        <w:rPr>
          <w:rFonts w:hint="eastAsia" w:asciiTheme="minorEastAsia" w:hAnsiTheme="minorEastAsia" w:eastAsiaTheme="minorEastAsia" w:cstheme="minorEastAsia"/>
          <w:b/>
          <w:color w:val="auto"/>
          <w:sz w:val="21"/>
          <w:szCs w:val="21"/>
        </w:rPr>
        <w:t>15.7 计日工</w:t>
      </w:r>
      <w:bookmarkEnd w:id="976"/>
      <w:bookmarkEnd w:id="977"/>
      <w:bookmarkEnd w:id="978"/>
      <w:bookmarkEnd w:id="979"/>
      <w:bookmarkEnd w:id="980"/>
    </w:p>
    <w:p w14:paraId="6651D6C6">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15.7.1 发包人认为有必要时，由监理人通知承包人以计日工方式实施变更的零星工作。其价款按列入己标价工程量清单中的计日工计价子目及其单价进行计算。</w:t>
      </w:r>
    </w:p>
    <w:p w14:paraId="301BDA82">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15.7.2 采用计日工计价的任何一项变更工作，应从暂列金额中支付，承包人应在该项变更的实施过程中，每天提交以下报表和有关凭证报送监理人审批：</w:t>
      </w:r>
    </w:p>
    <w:p w14:paraId="3B4C8815">
      <w:pPr>
        <w:autoSpaceDE w:val="0"/>
        <w:autoSpaceDN w:val="0"/>
        <w:adjustRightInd w:val="0"/>
        <w:ind w:left="420"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工作名称、内容和数量；</w:t>
      </w:r>
    </w:p>
    <w:p w14:paraId="0F210750">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投入该工作所有人员的姓名、工种、级别和耗用工时:</w:t>
      </w:r>
    </w:p>
    <w:p w14:paraId="4215FC75">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投入该工作的材料类别和数量:</w:t>
      </w:r>
    </w:p>
    <w:p w14:paraId="17ADCB4B">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投入该工作的施工设备型号、台数和耗用台时:</w:t>
      </w:r>
    </w:p>
    <w:p w14:paraId="784C6AFC">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监理人要求提交的其他资料和凭证。</w:t>
      </w:r>
    </w:p>
    <w:p w14:paraId="65AC7FDA">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15.7.3 计日工由承包人汇总后，按第17.3.2 项的约定列入进度付款申请单，由监理人复核并经发包人同意后列入进度付款。</w:t>
      </w:r>
    </w:p>
    <w:p w14:paraId="78653AEF">
      <w:pPr>
        <w:rPr>
          <w:rFonts w:hint="eastAsia" w:asciiTheme="minorEastAsia" w:hAnsiTheme="minorEastAsia" w:eastAsiaTheme="minorEastAsia" w:cstheme="minorEastAsia"/>
          <w:b/>
          <w:color w:val="auto"/>
          <w:sz w:val="21"/>
          <w:szCs w:val="21"/>
        </w:rPr>
      </w:pPr>
      <w:bookmarkStart w:id="981" w:name="_Toc265954991"/>
      <w:bookmarkStart w:id="982" w:name="_Toc229450861"/>
      <w:bookmarkStart w:id="983" w:name="_Toc265954692"/>
      <w:bookmarkStart w:id="984" w:name="_Toc265653936"/>
      <w:bookmarkStart w:id="985" w:name="_Toc3955"/>
      <w:r>
        <w:rPr>
          <w:rFonts w:hint="eastAsia" w:asciiTheme="minorEastAsia" w:hAnsiTheme="minorEastAsia" w:eastAsiaTheme="minorEastAsia" w:cstheme="minorEastAsia"/>
          <w:b/>
          <w:color w:val="auto"/>
          <w:sz w:val="21"/>
          <w:szCs w:val="21"/>
        </w:rPr>
        <w:t>15.8 暂估价</w:t>
      </w:r>
      <w:bookmarkEnd w:id="981"/>
      <w:bookmarkEnd w:id="982"/>
      <w:bookmarkEnd w:id="983"/>
      <w:bookmarkEnd w:id="984"/>
      <w:bookmarkEnd w:id="985"/>
    </w:p>
    <w:p w14:paraId="0EF0C041">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5B130F0A">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15.8.2 发包人在工程量清单中给定暂估价的材料和工程设备不属于依法必须招标的范围或未达到规定的规模标准的，应由承包人按第5 .1款的约定提供.经监理人确认的材料、工程设备的价格与工程量清单中所列的暂估价的金额差以及相应的税金等其他费用列入合同价格。</w:t>
      </w:r>
    </w:p>
    <w:p w14:paraId="32DA589D">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30F6CCE0">
      <w:pPr>
        <w:rPr>
          <w:rFonts w:hint="eastAsia" w:asciiTheme="minorEastAsia" w:hAnsiTheme="minorEastAsia" w:eastAsiaTheme="minorEastAsia" w:cstheme="minorEastAsia"/>
          <w:b/>
          <w:color w:val="auto"/>
          <w:sz w:val="21"/>
          <w:szCs w:val="21"/>
        </w:rPr>
      </w:pPr>
      <w:bookmarkStart w:id="986" w:name="_Toc199322052"/>
      <w:bookmarkStart w:id="987" w:name="_Toc265954992"/>
      <w:bookmarkStart w:id="988" w:name="_Toc229450862"/>
      <w:bookmarkStart w:id="989" w:name="_Toc265653937"/>
      <w:bookmarkStart w:id="990" w:name="_Toc265954693"/>
      <w:bookmarkStart w:id="991" w:name="_Toc16475"/>
      <w:r>
        <w:rPr>
          <w:rFonts w:hint="eastAsia" w:asciiTheme="minorEastAsia" w:hAnsiTheme="minorEastAsia" w:eastAsiaTheme="minorEastAsia" w:cstheme="minorEastAsia"/>
          <w:b/>
          <w:color w:val="auto"/>
          <w:sz w:val="21"/>
          <w:szCs w:val="21"/>
        </w:rPr>
        <w:t>16. 价格调整</w:t>
      </w:r>
      <w:bookmarkEnd w:id="986"/>
      <w:bookmarkEnd w:id="987"/>
      <w:bookmarkEnd w:id="988"/>
      <w:bookmarkEnd w:id="989"/>
      <w:bookmarkEnd w:id="990"/>
      <w:bookmarkEnd w:id="991"/>
    </w:p>
    <w:p w14:paraId="46FD14B7">
      <w:pPr>
        <w:rPr>
          <w:rFonts w:hint="eastAsia" w:asciiTheme="minorEastAsia" w:hAnsiTheme="minorEastAsia" w:eastAsiaTheme="minorEastAsia" w:cstheme="minorEastAsia"/>
          <w:b/>
          <w:color w:val="auto"/>
          <w:sz w:val="21"/>
          <w:szCs w:val="21"/>
        </w:rPr>
      </w:pPr>
      <w:bookmarkStart w:id="992" w:name="_Toc265954694"/>
      <w:bookmarkStart w:id="993" w:name="_Toc190"/>
      <w:bookmarkStart w:id="994" w:name="_Toc265653938"/>
      <w:bookmarkStart w:id="995" w:name="_Toc265954993"/>
      <w:r>
        <w:rPr>
          <w:rFonts w:hint="eastAsia" w:asciiTheme="minorEastAsia" w:hAnsiTheme="minorEastAsia" w:eastAsiaTheme="minorEastAsia" w:cstheme="minorEastAsia"/>
          <w:b/>
          <w:color w:val="auto"/>
          <w:sz w:val="21"/>
          <w:szCs w:val="21"/>
        </w:rPr>
        <w:t>16.1 物价波动引起的价格调整</w:t>
      </w:r>
      <w:bookmarkEnd w:id="992"/>
      <w:bookmarkEnd w:id="993"/>
      <w:bookmarkEnd w:id="994"/>
      <w:bookmarkEnd w:id="995"/>
    </w:p>
    <w:p w14:paraId="7BC8888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由于物价波动原因引起合同价格需要调整的，其价格调整方式在专用合同条款中约定。</w:t>
      </w:r>
    </w:p>
    <w:p w14:paraId="6B1040FF">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16.1.1采用价格指数调整价格差额</w:t>
      </w:r>
    </w:p>
    <w:p w14:paraId="51D6772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16.1.1.1价格调整公式</w:t>
      </w:r>
    </w:p>
    <w:p w14:paraId="18323D2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因人工、材料和设备等价格波动影响合同价格时，根据投标函附录中的价格指数和权重表约定的数据，按以下公式计算差额并调整合同价格。</w:t>
      </w:r>
    </w:p>
    <w:p w14:paraId="727FC3BA">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drawing>
          <wp:inline distT="0" distB="0" distL="114300" distR="114300">
            <wp:extent cx="3743325" cy="514350"/>
            <wp:effectExtent l="0" t="0" r="9525" b="0"/>
            <wp:docPr id="1" name="图片 2"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说明: 未命名"/>
                    <pic:cNvPicPr>
                      <a:picLocks noChangeAspect="1"/>
                    </pic:cNvPicPr>
                  </pic:nvPicPr>
                  <pic:blipFill>
                    <a:blip r:embed="rId17"/>
                    <a:stretch>
                      <a:fillRect/>
                    </a:stretch>
                  </pic:blipFill>
                  <pic:spPr>
                    <a:xfrm>
                      <a:off x="0" y="0"/>
                      <a:ext cx="3743325" cy="514350"/>
                    </a:xfrm>
                    <a:prstGeom prst="rect">
                      <a:avLst/>
                    </a:prstGeom>
                    <a:noFill/>
                    <a:ln>
                      <a:noFill/>
                    </a:ln>
                  </pic:spPr>
                </pic:pic>
              </a:graphicData>
            </a:graphic>
          </wp:inline>
        </w:drawing>
      </w:r>
    </w:p>
    <w:p w14:paraId="1B76A4B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式中:△P -- 需调整的价格差额:</w:t>
      </w:r>
    </w:p>
    <w:p w14:paraId="67712A3F">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P0 -- 第17.3.3项、第17.5.2 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5789FD4D">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bookmarkStart w:id="996" w:name="_Toc488678477"/>
      <w:bookmarkStart w:id="997" w:name="_Toc491246806"/>
      <w:r>
        <w:rPr>
          <w:rFonts w:hint="eastAsia" w:asciiTheme="minorEastAsia" w:hAnsiTheme="minorEastAsia" w:eastAsiaTheme="minorEastAsia" w:cstheme="minorEastAsia"/>
          <w:color w:val="auto"/>
          <w:kern w:val="0"/>
          <w:sz w:val="21"/>
          <w:szCs w:val="21"/>
        </w:rPr>
        <w:t>A -- 定值权重(即不调部分的权重)；</w:t>
      </w:r>
      <w:bookmarkEnd w:id="996"/>
      <w:bookmarkEnd w:id="997"/>
    </w:p>
    <w:p w14:paraId="645EFEF1">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B</w:t>
      </w:r>
      <w:r>
        <w:rPr>
          <w:rFonts w:hint="eastAsia" w:asciiTheme="minorEastAsia" w:hAnsiTheme="minorEastAsia" w:eastAsiaTheme="minorEastAsia" w:cstheme="minorEastAsia"/>
          <w:color w:val="auto"/>
          <w:kern w:val="0"/>
          <w:sz w:val="21"/>
          <w:szCs w:val="21"/>
          <w:vertAlign w:val="subscript"/>
        </w:rPr>
        <w:t>1</w:t>
      </w:r>
      <w:r>
        <w:rPr>
          <w:rFonts w:hint="eastAsia" w:asciiTheme="minorEastAsia" w:hAnsiTheme="minorEastAsia" w:eastAsiaTheme="minorEastAsia" w:cstheme="minorEastAsia"/>
          <w:color w:val="auto"/>
          <w:kern w:val="0"/>
          <w:sz w:val="21"/>
          <w:szCs w:val="21"/>
        </w:rPr>
        <w:t>, B</w:t>
      </w:r>
      <w:r>
        <w:rPr>
          <w:rFonts w:hint="eastAsia" w:asciiTheme="minorEastAsia" w:hAnsiTheme="minorEastAsia" w:eastAsiaTheme="minorEastAsia" w:cstheme="minorEastAsia"/>
          <w:color w:val="auto"/>
          <w:kern w:val="0"/>
          <w:sz w:val="21"/>
          <w:szCs w:val="21"/>
          <w:vertAlign w:val="subscript"/>
        </w:rPr>
        <w:t>2</w:t>
      </w:r>
      <w:r>
        <w:rPr>
          <w:rFonts w:hint="eastAsia" w:asciiTheme="minorEastAsia" w:hAnsiTheme="minorEastAsia" w:eastAsiaTheme="minorEastAsia" w:cstheme="minorEastAsia"/>
          <w:color w:val="auto"/>
          <w:kern w:val="0"/>
          <w:sz w:val="21"/>
          <w:szCs w:val="21"/>
        </w:rPr>
        <w:t xml:space="preserve"> ；B</w:t>
      </w:r>
      <w:r>
        <w:rPr>
          <w:rFonts w:hint="eastAsia" w:asciiTheme="minorEastAsia" w:hAnsiTheme="minorEastAsia" w:eastAsiaTheme="minorEastAsia" w:cstheme="minorEastAsia"/>
          <w:color w:val="auto"/>
          <w:kern w:val="0"/>
          <w:sz w:val="21"/>
          <w:szCs w:val="21"/>
          <w:vertAlign w:val="subscript"/>
        </w:rPr>
        <w:t>3</w:t>
      </w:r>
      <w:r>
        <w:rPr>
          <w:rFonts w:hint="eastAsia" w:asciiTheme="minorEastAsia" w:hAnsiTheme="minorEastAsia" w:eastAsiaTheme="minorEastAsia" w:cstheme="minorEastAsia"/>
          <w:color w:val="auto"/>
          <w:kern w:val="0"/>
          <w:sz w:val="21"/>
          <w:szCs w:val="21"/>
        </w:rPr>
        <w:t>……B</w:t>
      </w:r>
      <w:r>
        <w:rPr>
          <w:rFonts w:hint="eastAsia" w:asciiTheme="minorEastAsia" w:hAnsiTheme="minorEastAsia" w:eastAsiaTheme="minorEastAsia" w:cstheme="minorEastAsia"/>
          <w:color w:val="auto"/>
          <w:kern w:val="0"/>
          <w:sz w:val="21"/>
          <w:szCs w:val="21"/>
          <w:vertAlign w:val="subscript"/>
        </w:rPr>
        <w:t>n</w:t>
      </w:r>
      <w:r>
        <w:rPr>
          <w:rFonts w:hint="eastAsia" w:asciiTheme="minorEastAsia" w:hAnsiTheme="minorEastAsia" w:eastAsiaTheme="minorEastAsia" w:cstheme="minorEastAsia"/>
          <w:color w:val="auto"/>
          <w:kern w:val="0"/>
          <w:sz w:val="21"/>
          <w:szCs w:val="21"/>
        </w:rPr>
        <w:t xml:space="preserve"> -- 各可调因子的变值权重(即可调部分的权重)为各可调因子在投标函投标总报价中所占的比例:</w:t>
      </w:r>
    </w:p>
    <w:p w14:paraId="363C84A4">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F</w:t>
      </w:r>
      <w:r>
        <w:rPr>
          <w:rFonts w:hint="eastAsia" w:asciiTheme="minorEastAsia" w:hAnsiTheme="minorEastAsia" w:eastAsiaTheme="minorEastAsia" w:cstheme="minorEastAsia"/>
          <w:color w:val="auto"/>
          <w:kern w:val="0"/>
          <w:sz w:val="21"/>
          <w:szCs w:val="21"/>
          <w:vertAlign w:val="subscript"/>
        </w:rPr>
        <w:t>t1</w:t>
      </w:r>
      <w:r>
        <w:rPr>
          <w:rFonts w:hint="eastAsia" w:asciiTheme="minorEastAsia" w:hAnsiTheme="minorEastAsia" w:eastAsiaTheme="minorEastAsia" w:cstheme="minorEastAsia"/>
          <w:color w:val="auto"/>
          <w:kern w:val="0"/>
          <w:sz w:val="21"/>
          <w:szCs w:val="21"/>
        </w:rPr>
        <w:t xml:space="preserve"> F</w:t>
      </w:r>
      <w:r>
        <w:rPr>
          <w:rFonts w:hint="eastAsia" w:asciiTheme="minorEastAsia" w:hAnsiTheme="minorEastAsia" w:eastAsiaTheme="minorEastAsia" w:cstheme="minorEastAsia"/>
          <w:color w:val="auto"/>
          <w:kern w:val="0"/>
          <w:sz w:val="21"/>
          <w:szCs w:val="21"/>
          <w:vertAlign w:val="subscript"/>
        </w:rPr>
        <w:t>t2</w:t>
      </w:r>
      <w:r>
        <w:rPr>
          <w:rFonts w:hint="eastAsia" w:asciiTheme="minorEastAsia" w:hAnsiTheme="minorEastAsia" w:eastAsiaTheme="minorEastAsia" w:cstheme="minorEastAsia"/>
          <w:color w:val="auto"/>
          <w:kern w:val="0"/>
          <w:sz w:val="21"/>
          <w:szCs w:val="21"/>
        </w:rPr>
        <w:t xml:space="preserve"> F</w:t>
      </w:r>
      <w:r>
        <w:rPr>
          <w:rFonts w:hint="eastAsia" w:asciiTheme="minorEastAsia" w:hAnsiTheme="minorEastAsia" w:eastAsiaTheme="minorEastAsia" w:cstheme="minorEastAsia"/>
          <w:color w:val="auto"/>
          <w:kern w:val="0"/>
          <w:sz w:val="21"/>
          <w:szCs w:val="21"/>
          <w:vertAlign w:val="subscript"/>
        </w:rPr>
        <w:t>t3</w:t>
      </w:r>
      <w:r>
        <w:rPr>
          <w:rFonts w:hint="eastAsia" w:asciiTheme="minorEastAsia" w:hAnsiTheme="minorEastAsia" w:eastAsiaTheme="minorEastAsia" w:cstheme="minorEastAsia"/>
          <w:color w:val="auto"/>
          <w:kern w:val="0"/>
          <w:sz w:val="21"/>
          <w:szCs w:val="21"/>
        </w:rPr>
        <w:t>…… F</w:t>
      </w:r>
      <w:r>
        <w:rPr>
          <w:rFonts w:hint="eastAsia" w:asciiTheme="minorEastAsia" w:hAnsiTheme="minorEastAsia" w:eastAsiaTheme="minorEastAsia" w:cstheme="minorEastAsia"/>
          <w:color w:val="auto"/>
          <w:kern w:val="0"/>
          <w:sz w:val="21"/>
          <w:szCs w:val="21"/>
          <w:vertAlign w:val="subscript"/>
        </w:rPr>
        <w:t xml:space="preserve">tn </w:t>
      </w:r>
      <w:r>
        <w:rPr>
          <w:rFonts w:hint="eastAsia" w:asciiTheme="minorEastAsia" w:hAnsiTheme="minorEastAsia" w:eastAsiaTheme="minorEastAsia" w:cstheme="minorEastAsia"/>
          <w:color w:val="auto"/>
          <w:kern w:val="0"/>
          <w:sz w:val="21"/>
          <w:szCs w:val="21"/>
        </w:rPr>
        <w:t>-- 各可调因子的现行价格指数，指第17.5.3项、第17.5.2 项和第17.6.2项约定的付款证书相关周期最后一天的前42天的各可调因子的价格指数:</w:t>
      </w:r>
    </w:p>
    <w:p w14:paraId="3B411378">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F</w:t>
      </w:r>
      <w:r>
        <w:rPr>
          <w:rFonts w:hint="eastAsia" w:asciiTheme="minorEastAsia" w:hAnsiTheme="minorEastAsia" w:eastAsiaTheme="minorEastAsia" w:cstheme="minorEastAsia"/>
          <w:color w:val="auto"/>
          <w:kern w:val="0"/>
          <w:sz w:val="21"/>
          <w:szCs w:val="21"/>
          <w:vertAlign w:val="subscript"/>
        </w:rPr>
        <w:t>01</w:t>
      </w:r>
      <w:r>
        <w:rPr>
          <w:rFonts w:hint="eastAsia" w:asciiTheme="minorEastAsia" w:hAnsiTheme="minorEastAsia" w:eastAsiaTheme="minorEastAsia" w:cstheme="minorEastAsia"/>
          <w:color w:val="auto"/>
          <w:kern w:val="0"/>
          <w:sz w:val="21"/>
          <w:szCs w:val="21"/>
        </w:rPr>
        <w:t>；F</w:t>
      </w:r>
      <w:r>
        <w:rPr>
          <w:rFonts w:hint="eastAsia" w:asciiTheme="minorEastAsia" w:hAnsiTheme="minorEastAsia" w:eastAsiaTheme="minorEastAsia" w:cstheme="minorEastAsia"/>
          <w:color w:val="auto"/>
          <w:kern w:val="0"/>
          <w:sz w:val="21"/>
          <w:szCs w:val="21"/>
          <w:vertAlign w:val="subscript"/>
        </w:rPr>
        <w:t>02</w:t>
      </w:r>
      <w:r>
        <w:rPr>
          <w:rFonts w:hint="eastAsia" w:asciiTheme="minorEastAsia" w:hAnsiTheme="minorEastAsia" w:eastAsiaTheme="minorEastAsia" w:cstheme="minorEastAsia"/>
          <w:color w:val="auto"/>
          <w:kern w:val="0"/>
          <w:sz w:val="21"/>
          <w:szCs w:val="21"/>
        </w:rPr>
        <w:t>； F</w:t>
      </w:r>
      <w:r>
        <w:rPr>
          <w:rFonts w:hint="eastAsia" w:asciiTheme="minorEastAsia" w:hAnsiTheme="minorEastAsia" w:eastAsiaTheme="minorEastAsia" w:cstheme="minorEastAsia"/>
          <w:color w:val="auto"/>
          <w:kern w:val="0"/>
          <w:sz w:val="21"/>
          <w:szCs w:val="21"/>
          <w:vertAlign w:val="subscript"/>
        </w:rPr>
        <w:t>o3</w:t>
      </w:r>
      <w:r>
        <w:rPr>
          <w:rFonts w:hint="eastAsia" w:asciiTheme="minorEastAsia" w:hAnsiTheme="minorEastAsia" w:eastAsiaTheme="minorEastAsia" w:cstheme="minorEastAsia"/>
          <w:color w:val="auto"/>
          <w:kern w:val="0"/>
          <w:sz w:val="21"/>
          <w:szCs w:val="21"/>
        </w:rPr>
        <w:t>；…F</w:t>
      </w:r>
      <w:r>
        <w:rPr>
          <w:rFonts w:hint="eastAsia" w:asciiTheme="minorEastAsia" w:hAnsiTheme="minorEastAsia" w:eastAsiaTheme="minorEastAsia" w:cstheme="minorEastAsia"/>
          <w:color w:val="auto"/>
          <w:kern w:val="0"/>
          <w:sz w:val="21"/>
          <w:szCs w:val="21"/>
          <w:vertAlign w:val="subscript"/>
        </w:rPr>
        <w:t>0n</w:t>
      </w:r>
      <w:r>
        <w:rPr>
          <w:rFonts w:hint="eastAsia" w:asciiTheme="minorEastAsia" w:hAnsiTheme="minorEastAsia" w:eastAsiaTheme="minorEastAsia" w:cstheme="minorEastAsia"/>
          <w:color w:val="auto"/>
          <w:kern w:val="0"/>
          <w:sz w:val="21"/>
          <w:szCs w:val="21"/>
        </w:rPr>
        <w:t>。 --各可调因子的基本价格指数，指基准日期的各可调因子的价格指数。</w:t>
      </w:r>
    </w:p>
    <w:p w14:paraId="21F3B6CF">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4AA1434A">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998" w:name="_Toc491246807"/>
      <w:bookmarkStart w:id="999" w:name="_Toc488678478"/>
      <w:r>
        <w:rPr>
          <w:rFonts w:hint="eastAsia" w:asciiTheme="minorEastAsia" w:hAnsiTheme="minorEastAsia" w:eastAsiaTheme="minorEastAsia" w:cstheme="minorEastAsia"/>
          <w:color w:val="auto"/>
          <w:kern w:val="0"/>
          <w:sz w:val="21"/>
          <w:szCs w:val="21"/>
        </w:rPr>
        <w:t>16.1.1.2 暂时确定调整差额</w:t>
      </w:r>
      <w:bookmarkEnd w:id="998"/>
      <w:bookmarkEnd w:id="999"/>
    </w:p>
    <w:p w14:paraId="320ADA99">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在计算调整差额时得不到现行价格指数的，可暂用上一次价格指数计算，井在以后的付款中再按实际价格指数进行调整。</w:t>
      </w:r>
    </w:p>
    <w:p w14:paraId="1DC5603F">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00" w:name="_Toc491246808"/>
      <w:bookmarkStart w:id="1001" w:name="_Toc488678479"/>
      <w:r>
        <w:rPr>
          <w:rFonts w:hint="eastAsia" w:asciiTheme="minorEastAsia" w:hAnsiTheme="minorEastAsia" w:eastAsiaTheme="minorEastAsia" w:cstheme="minorEastAsia"/>
          <w:color w:val="auto"/>
          <w:kern w:val="0"/>
          <w:sz w:val="21"/>
          <w:szCs w:val="21"/>
        </w:rPr>
        <w:t>16.1.1.3 权重的调整</w:t>
      </w:r>
      <w:bookmarkEnd w:id="1000"/>
      <w:bookmarkEnd w:id="1001"/>
    </w:p>
    <w:p w14:paraId="3A52D1DE">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按第15.1款约定的变更导致原定合同中的权重不合理时，由监理人与承包人和发包人协商后进行调整。</w:t>
      </w:r>
    </w:p>
    <w:p w14:paraId="47A3493F">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16.1.1.4 承包人工期延误后的价格调整</w:t>
      </w:r>
    </w:p>
    <w:p w14:paraId="7586A4BC">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由于承包人原因未在约定的工期内竣工的，则对原约定竣工日期后继续施工的工程，在使用第16.1.1.1 目价格调整公式时，应采用原约定援工日期与实际竣工日期的两个价格指数中较低的一个作为现行价格指数。</w:t>
      </w:r>
    </w:p>
    <w:p w14:paraId="46363CCD">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02" w:name="_Toc491246809"/>
      <w:bookmarkStart w:id="1003" w:name="_Toc488678480"/>
      <w:r>
        <w:rPr>
          <w:rFonts w:hint="eastAsia" w:asciiTheme="minorEastAsia" w:hAnsiTheme="minorEastAsia" w:eastAsiaTheme="minorEastAsia" w:cstheme="minorEastAsia"/>
          <w:color w:val="auto"/>
          <w:kern w:val="0"/>
          <w:sz w:val="21"/>
          <w:szCs w:val="21"/>
        </w:rPr>
        <w:t>16.1.2 采用造价信息调整价格差额</w:t>
      </w:r>
      <w:bookmarkEnd w:id="1002"/>
      <w:bookmarkEnd w:id="1003"/>
    </w:p>
    <w:p w14:paraId="185F5075">
      <w:pPr>
        <w:autoSpaceDE w:val="0"/>
        <w:autoSpaceDN w:val="0"/>
        <w:adjustRightInd w:val="0"/>
        <w:ind w:firstLine="51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2"/>
          <w:kern w:val="0"/>
          <w:sz w:val="21"/>
          <w:szCs w:val="21"/>
        </w:rPr>
        <w:t>施工期内，因人工、材料、设备和机械台班价格波动影响合同价格时，人工、机械使用费按照国家或省（自治区、直辖市）建设行政管理部门、行业建设管理部门或其授权的工程造</w:t>
      </w:r>
      <w:r>
        <w:rPr>
          <w:rFonts w:hint="eastAsia" w:asciiTheme="minorEastAsia" w:hAnsiTheme="minorEastAsia" w:eastAsiaTheme="minorEastAsia" w:cstheme="minorEastAsia"/>
          <w:color w:val="auto"/>
          <w:kern w:val="0"/>
          <w:sz w:val="21"/>
          <w:szCs w:val="21"/>
        </w:rPr>
        <w:t>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5723C309">
      <w:pPr>
        <w:autoSpaceDE w:val="0"/>
        <w:autoSpaceDN w:val="0"/>
        <w:adjustRightInd w:val="0"/>
        <w:ind w:firstLine="525" w:firstLineChars="2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kern w:val="0"/>
          <w:sz w:val="21"/>
          <w:szCs w:val="21"/>
        </w:rPr>
        <w:t>工程造价信息的来源以及价格调整的项目和系数在专用合同条款中约定。</w:t>
      </w:r>
    </w:p>
    <w:p w14:paraId="273F1DA2">
      <w:pPr>
        <w:rPr>
          <w:rFonts w:hint="eastAsia" w:asciiTheme="minorEastAsia" w:hAnsiTheme="minorEastAsia" w:eastAsiaTheme="minorEastAsia" w:cstheme="minorEastAsia"/>
          <w:b/>
          <w:color w:val="auto"/>
          <w:sz w:val="21"/>
          <w:szCs w:val="21"/>
        </w:rPr>
      </w:pPr>
      <w:bookmarkStart w:id="1004" w:name="_Toc29938"/>
      <w:bookmarkStart w:id="1005" w:name="_Toc265954695"/>
      <w:bookmarkStart w:id="1006" w:name="_Toc265653939"/>
      <w:bookmarkStart w:id="1007" w:name="_Toc229450863"/>
      <w:bookmarkStart w:id="1008" w:name="_Toc265954994"/>
      <w:r>
        <w:rPr>
          <w:rFonts w:hint="eastAsia" w:asciiTheme="minorEastAsia" w:hAnsiTheme="minorEastAsia" w:eastAsiaTheme="minorEastAsia" w:cstheme="minorEastAsia"/>
          <w:b/>
          <w:color w:val="auto"/>
          <w:sz w:val="21"/>
          <w:szCs w:val="21"/>
        </w:rPr>
        <w:t>16.2 法律变化引起的价格调整</w:t>
      </w:r>
      <w:bookmarkEnd w:id="1004"/>
      <w:bookmarkEnd w:id="1005"/>
      <w:bookmarkEnd w:id="1006"/>
      <w:bookmarkEnd w:id="1007"/>
      <w:bookmarkEnd w:id="1008"/>
    </w:p>
    <w:p w14:paraId="5921064A">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在基准日后，因法律变化导致承包人在合同履行中所需要的工程费用发生除第16.1款约定以外的增减时，监理人应根据法律、国家或省、自治区、直辖市有关部门的规定，按第3.5 款商定或确定需调整的合同价款。</w:t>
      </w:r>
    </w:p>
    <w:p w14:paraId="43D12D36">
      <w:pPr>
        <w:rPr>
          <w:rFonts w:hint="eastAsia" w:asciiTheme="minorEastAsia" w:hAnsiTheme="minorEastAsia" w:eastAsiaTheme="minorEastAsia" w:cstheme="minorEastAsia"/>
          <w:b/>
          <w:color w:val="auto"/>
          <w:sz w:val="21"/>
          <w:szCs w:val="21"/>
        </w:rPr>
      </w:pPr>
      <w:bookmarkStart w:id="1009" w:name="_Toc265954995"/>
      <w:bookmarkStart w:id="1010" w:name="_Toc11314"/>
      <w:bookmarkStart w:id="1011" w:name="_Toc229450864"/>
      <w:bookmarkStart w:id="1012" w:name="_Toc265653940"/>
      <w:bookmarkStart w:id="1013" w:name="_Toc265954696"/>
      <w:bookmarkStart w:id="1014" w:name="_Toc199322053"/>
      <w:r>
        <w:rPr>
          <w:rFonts w:hint="eastAsia" w:asciiTheme="minorEastAsia" w:hAnsiTheme="minorEastAsia" w:eastAsiaTheme="minorEastAsia" w:cstheme="minorEastAsia"/>
          <w:b/>
          <w:color w:val="auto"/>
          <w:sz w:val="21"/>
          <w:szCs w:val="21"/>
        </w:rPr>
        <w:t>17. 计量与支付</w:t>
      </w:r>
      <w:bookmarkEnd w:id="1009"/>
      <w:bookmarkEnd w:id="1010"/>
      <w:bookmarkEnd w:id="1011"/>
      <w:bookmarkEnd w:id="1012"/>
      <w:bookmarkEnd w:id="1013"/>
      <w:bookmarkEnd w:id="1014"/>
    </w:p>
    <w:p w14:paraId="3B1A7F82">
      <w:pPr>
        <w:rPr>
          <w:rFonts w:hint="eastAsia" w:asciiTheme="minorEastAsia" w:hAnsiTheme="minorEastAsia" w:eastAsiaTheme="minorEastAsia" w:cstheme="minorEastAsia"/>
          <w:b/>
          <w:color w:val="auto"/>
          <w:sz w:val="21"/>
          <w:szCs w:val="21"/>
        </w:rPr>
      </w:pPr>
      <w:bookmarkStart w:id="1015" w:name="_Toc229450865"/>
      <w:bookmarkStart w:id="1016" w:name="_Toc265954996"/>
      <w:bookmarkStart w:id="1017" w:name="_Toc265954697"/>
      <w:bookmarkStart w:id="1018" w:name="_Toc199322054"/>
      <w:bookmarkStart w:id="1019" w:name="_Toc265653941"/>
      <w:bookmarkStart w:id="1020" w:name="_Toc28432"/>
      <w:r>
        <w:rPr>
          <w:rFonts w:hint="eastAsia" w:asciiTheme="minorEastAsia" w:hAnsiTheme="minorEastAsia" w:eastAsiaTheme="minorEastAsia" w:cstheme="minorEastAsia"/>
          <w:b/>
          <w:color w:val="auto"/>
          <w:sz w:val="21"/>
          <w:szCs w:val="21"/>
        </w:rPr>
        <w:t>17.1 计量</w:t>
      </w:r>
      <w:bookmarkEnd w:id="1015"/>
      <w:bookmarkEnd w:id="1016"/>
      <w:bookmarkEnd w:id="1017"/>
      <w:bookmarkEnd w:id="1018"/>
      <w:bookmarkEnd w:id="1019"/>
      <w:bookmarkEnd w:id="1020"/>
    </w:p>
    <w:p w14:paraId="214AA35C">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21" w:name="_Toc488678484"/>
      <w:bookmarkStart w:id="1022" w:name="_Toc491246813"/>
      <w:bookmarkStart w:id="1023" w:name="_Toc199322055"/>
      <w:r>
        <w:rPr>
          <w:rFonts w:hint="eastAsia" w:asciiTheme="minorEastAsia" w:hAnsiTheme="minorEastAsia" w:eastAsiaTheme="minorEastAsia" w:cstheme="minorEastAsia"/>
          <w:color w:val="auto"/>
          <w:kern w:val="0"/>
          <w:sz w:val="21"/>
          <w:szCs w:val="21"/>
        </w:rPr>
        <w:t>17.1.1 计量单位</w:t>
      </w:r>
      <w:bookmarkEnd w:id="1021"/>
      <w:bookmarkEnd w:id="1022"/>
      <w:bookmarkEnd w:id="1023"/>
    </w:p>
    <w:p w14:paraId="6EE998B5">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计量采用国家法定的计量单位。</w:t>
      </w:r>
    </w:p>
    <w:p w14:paraId="7843E35A">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24" w:name="_Toc199322056"/>
      <w:bookmarkStart w:id="1025" w:name="_Toc491246814"/>
      <w:bookmarkStart w:id="1026" w:name="_Toc488678485"/>
      <w:r>
        <w:rPr>
          <w:rFonts w:hint="eastAsia" w:asciiTheme="minorEastAsia" w:hAnsiTheme="minorEastAsia" w:eastAsiaTheme="minorEastAsia" w:cstheme="minorEastAsia"/>
          <w:color w:val="auto"/>
          <w:kern w:val="0"/>
          <w:sz w:val="21"/>
          <w:szCs w:val="21"/>
        </w:rPr>
        <w:t>17.1.2 计量方法</w:t>
      </w:r>
      <w:bookmarkEnd w:id="1024"/>
      <w:bookmarkEnd w:id="1025"/>
      <w:bookmarkEnd w:id="1026"/>
    </w:p>
    <w:p w14:paraId="73EB583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结算工程量应按工程量清单中约定的方法计量。</w:t>
      </w:r>
    </w:p>
    <w:p w14:paraId="3C6801B6">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27" w:name="_Toc488678486"/>
      <w:bookmarkStart w:id="1028" w:name="_Toc199322057"/>
      <w:bookmarkStart w:id="1029" w:name="_Toc491246815"/>
      <w:r>
        <w:rPr>
          <w:rFonts w:hint="eastAsia" w:asciiTheme="minorEastAsia" w:hAnsiTheme="minorEastAsia" w:eastAsiaTheme="minorEastAsia" w:cstheme="minorEastAsia"/>
          <w:color w:val="auto"/>
          <w:kern w:val="0"/>
          <w:sz w:val="21"/>
          <w:szCs w:val="21"/>
        </w:rPr>
        <w:t>17.1.3 计量周期</w:t>
      </w:r>
      <w:bookmarkEnd w:id="1027"/>
      <w:bookmarkEnd w:id="1028"/>
      <w:bookmarkEnd w:id="1029"/>
    </w:p>
    <w:p w14:paraId="6C08BE50">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除专用合同条款另有约定外，单价子目已完成工程量按月计量，总价子目的计量周期按批准的支付分解报告确定。</w:t>
      </w:r>
    </w:p>
    <w:p w14:paraId="3A95236A">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30" w:name="_Toc488678487"/>
      <w:bookmarkStart w:id="1031" w:name="_Toc491246816"/>
      <w:r>
        <w:rPr>
          <w:rFonts w:hint="eastAsia" w:asciiTheme="minorEastAsia" w:hAnsiTheme="minorEastAsia" w:eastAsiaTheme="minorEastAsia" w:cstheme="minorEastAsia"/>
          <w:color w:val="auto"/>
          <w:kern w:val="0"/>
          <w:sz w:val="21"/>
          <w:szCs w:val="21"/>
        </w:rPr>
        <w:t>17.1.4 单价子目的计量</w:t>
      </w:r>
      <w:bookmarkEnd w:id="1030"/>
      <w:bookmarkEnd w:id="1031"/>
    </w:p>
    <w:p w14:paraId="3F998F4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己标价工程量清单中的单价子目工程量为估算工程量。结算工程量是承包人实际完成的，并按合同约定的计量方法进行计量的工程量。</w:t>
      </w:r>
    </w:p>
    <w:p w14:paraId="21881B92">
      <w:pPr>
        <w:autoSpaceDE w:val="0"/>
        <w:autoSpaceDN w:val="0"/>
        <w:adjustRightInd w:val="0"/>
        <w:ind w:firstLine="411" w:firstLineChars="196"/>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承包人对己完成的工程进行计量，向监理人提交进度付款申请单、已完成工程量报表和有关计量资料。</w:t>
      </w:r>
    </w:p>
    <w:p w14:paraId="1F2620CF">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监理人对承包人提交的工程量报表进行复核，以确定实际完成的工程量。对数量有异议的，可要求承包人按第8.2 款约定进行共同复核和抽样复测。承包人应协助监理人进行复核并按监理人要求提供补充计量资料。承包人未按监理人要求参加复核，监理人复核或修正的工程量视为承包人实际完成的工程量。</w:t>
      </w:r>
    </w:p>
    <w:p w14:paraId="6EFF0532">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监理人认为有必要时，可通知承包人共同进行联合测量、计量，承包人应遵照执行。</w:t>
      </w:r>
    </w:p>
    <w:p w14:paraId="641663DB">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p>
    <w:p w14:paraId="2BFC0BB6">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 监理人应在收到承包人提交的工程量报表后的7 天内进行复核，监理人未在约</w:t>
      </w:r>
    </w:p>
    <w:p w14:paraId="0C449755">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定时间内复核的，承包人提交的工程量报表中的工程量视为承包人实际完成的工程量，据此</w:t>
      </w:r>
    </w:p>
    <w:p w14:paraId="7E16C16B">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计算工程价款。</w:t>
      </w:r>
    </w:p>
    <w:p w14:paraId="4FAC3807">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32" w:name="_Toc488678488"/>
      <w:bookmarkStart w:id="1033" w:name="_Toc199322058"/>
      <w:bookmarkStart w:id="1034" w:name="_Toc491246817"/>
      <w:r>
        <w:rPr>
          <w:rFonts w:hint="eastAsia" w:asciiTheme="minorEastAsia" w:hAnsiTheme="minorEastAsia" w:eastAsiaTheme="minorEastAsia" w:cstheme="minorEastAsia"/>
          <w:color w:val="auto"/>
          <w:kern w:val="0"/>
          <w:sz w:val="21"/>
          <w:szCs w:val="21"/>
        </w:rPr>
        <w:t>17.1.5 总价子目的计量</w:t>
      </w:r>
      <w:bookmarkEnd w:id="1032"/>
      <w:bookmarkEnd w:id="1033"/>
      <w:bookmarkEnd w:id="1034"/>
    </w:p>
    <w:p w14:paraId="176B4281">
      <w:pPr>
        <w:autoSpaceDE w:val="0"/>
        <w:autoSpaceDN w:val="0"/>
        <w:adjustRightInd w:val="0"/>
        <w:ind w:firstLine="359" w:firstLineChars="171"/>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总价子目的分解和计量按照下述约定进行。</w:t>
      </w:r>
    </w:p>
    <w:p w14:paraId="2C507471">
      <w:pPr>
        <w:autoSpaceDE w:val="0"/>
        <w:autoSpaceDN w:val="0"/>
        <w:adjustRightInd w:val="0"/>
        <w:ind w:firstLine="359" w:firstLineChars="171"/>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总价子目的计量和支付应以总价为基础，不因第16.1 款中的因素而进行调整。承包人实际完成的工程量，是进行工程目标管理和控制进度支付的依据。</w:t>
      </w:r>
    </w:p>
    <w:p w14:paraId="712B1078">
      <w:pPr>
        <w:autoSpaceDE w:val="0"/>
        <w:autoSpaceDN w:val="0"/>
        <w:adjustRightInd w:val="0"/>
        <w:ind w:firstLine="359" w:firstLineChars="171"/>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6D7782E9">
      <w:pPr>
        <w:autoSpaceDE w:val="0"/>
        <w:autoSpaceDN w:val="0"/>
        <w:adjustRightInd w:val="0"/>
        <w:ind w:firstLine="359" w:firstLineChars="171"/>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 xml:space="preserve"> (3) 监理人对承包人提交的上述资料进行复核，以确定分阶段实际完成的工程量和工程形象目标。对其有异议的，可要求承包人按第8.2 款约定进行共同复核和抽样复测。</w:t>
      </w:r>
    </w:p>
    <w:p w14:paraId="6151C6DE">
      <w:pPr>
        <w:autoSpaceDE w:val="0"/>
        <w:autoSpaceDN w:val="0"/>
        <w:adjustRightInd w:val="0"/>
        <w:ind w:firstLine="359" w:firstLineChars="171"/>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除按照第15条约定的变更外，总价子目的工程量是承包人用于结算的最终工程量。</w:t>
      </w:r>
    </w:p>
    <w:p w14:paraId="5AB7D023">
      <w:pPr>
        <w:rPr>
          <w:rFonts w:hint="eastAsia" w:asciiTheme="minorEastAsia" w:hAnsiTheme="minorEastAsia" w:eastAsiaTheme="minorEastAsia" w:cstheme="minorEastAsia"/>
          <w:b/>
          <w:color w:val="auto"/>
          <w:sz w:val="21"/>
          <w:szCs w:val="21"/>
        </w:rPr>
      </w:pPr>
      <w:bookmarkStart w:id="1035" w:name="_Toc229450866"/>
      <w:bookmarkStart w:id="1036" w:name="_Toc265954997"/>
      <w:bookmarkStart w:id="1037" w:name="_Toc265653942"/>
      <w:bookmarkStart w:id="1038" w:name="_Toc265954698"/>
      <w:bookmarkStart w:id="1039" w:name="_Toc16395"/>
      <w:bookmarkStart w:id="1040" w:name="_Toc199322059"/>
      <w:r>
        <w:rPr>
          <w:rFonts w:hint="eastAsia" w:asciiTheme="minorEastAsia" w:hAnsiTheme="minorEastAsia" w:eastAsiaTheme="minorEastAsia" w:cstheme="minorEastAsia"/>
          <w:b/>
          <w:color w:val="auto"/>
          <w:sz w:val="21"/>
          <w:szCs w:val="21"/>
        </w:rPr>
        <w:t>17.2 预付款</w:t>
      </w:r>
      <w:bookmarkEnd w:id="1035"/>
      <w:bookmarkEnd w:id="1036"/>
      <w:bookmarkEnd w:id="1037"/>
      <w:bookmarkEnd w:id="1038"/>
      <w:bookmarkEnd w:id="1039"/>
      <w:bookmarkEnd w:id="1040"/>
    </w:p>
    <w:p w14:paraId="15520D97">
      <w:pP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17.2.1 预付款</w:t>
      </w:r>
    </w:p>
    <w:p w14:paraId="1F1B47BD">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6C21E08C">
      <w:pPr>
        <w:pStyle w:val="8"/>
        <w:ind w:firstLine="359" w:firstLineChars="171"/>
        <w:rPr>
          <w:rFonts w:hint="eastAsia" w:asciiTheme="minorEastAsia" w:hAnsiTheme="minorEastAsia" w:eastAsiaTheme="minorEastAsia" w:cstheme="minorEastAsia"/>
          <w:color w:val="auto"/>
          <w:sz w:val="21"/>
          <w:szCs w:val="21"/>
        </w:rPr>
      </w:pPr>
      <w:bookmarkStart w:id="1041" w:name="_Toc199322060"/>
      <w:r>
        <w:rPr>
          <w:rFonts w:hint="eastAsia" w:asciiTheme="minorEastAsia" w:hAnsiTheme="minorEastAsia" w:eastAsiaTheme="minorEastAsia" w:cstheme="minorEastAsia"/>
          <w:color w:val="auto"/>
          <w:sz w:val="21"/>
          <w:szCs w:val="21"/>
        </w:rPr>
        <w:t>17.2.2 预付款保函</w:t>
      </w:r>
      <w:bookmarkEnd w:id="1041"/>
      <w:r>
        <w:rPr>
          <w:rFonts w:hint="eastAsia" w:asciiTheme="minorEastAsia" w:hAnsiTheme="minorEastAsia" w:eastAsiaTheme="minorEastAsia" w:cstheme="minorEastAsia"/>
          <w:color w:val="auto"/>
          <w:sz w:val="21"/>
          <w:szCs w:val="21"/>
        </w:rPr>
        <w:t>（担保）</w:t>
      </w:r>
    </w:p>
    <w:p w14:paraId="695FDC03">
      <w:pPr>
        <w:pStyle w:val="8"/>
        <w:ind w:firstLine="359" w:firstLineChars="17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（1）承包应在收到第一次工程预付款的同时向发包人提交工程预付款担保，担保金额应与第一次工程预付款金额相同，工程预付款担保在第一次工程预付款被发包人扣回前一直有效。</w:t>
      </w:r>
    </w:p>
    <w:p w14:paraId="303B5824">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（2）工程材料预付款的担保在专用合同条款中约定。</w:t>
      </w:r>
    </w:p>
    <w:p w14:paraId="70B25B25">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（3）预付款担保的担保金额可根据预付款扣回的金额相应递减。</w:t>
      </w:r>
    </w:p>
    <w:p w14:paraId="0BB9265E">
      <w:pPr>
        <w:pStyle w:val="8"/>
        <w:ind w:firstLine="359" w:firstLineChars="17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17.2.3 预付款的扣回与还清</w:t>
      </w:r>
    </w:p>
    <w:p w14:paraId="316AF4C5">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预付款在进度付款中扣回，扣回与还清办法在专用合同条款中约定。在颁发合同工程完工证书前，由于不可抗力或其他原因解除合同时，预付款尚未扣清的，尚未扣清的预付款余额应作为承包人的到期应付款。</w:t>
      </w:r>
    </w:p>
    <w:p w14:paraId="6FE2FC95">
      <w:pPr>
        <w:rPr>
          <w:rFonts w:hint="eastAsia" w:asciiTheme="minorEastAsia" w:hAnsiTheme="minorEastAsia" w:eastAsiaTheme="minorEastAsia" w:cstheme="minorEastAsia"/>
          <w:b/>
          <w:color w:val="auto"/>
          <w:sz w:val="21"/>
          <w:szCs w:val="21"/>
        </w:rPr>
      </w:pPr>
      <w:bookmarkStart w:id="1042" w:name="_Toc199322061"/>
      <w:bookmarkStart w:id="1043" w:name="_Toc17929"/>
      <w:bookmarkStart w:id="1044" w:name="_Toc229450867"/>
      <w:bookmarkStart w:id="1045" w:name="_Toc265954699"/>
      <w:bookmarkStart w:id="1046" w:name="_Toc265653943"/>
      <w:bookmarkStart w:id="1047" w:name="_Toc265954998"/>
      <w:r>
        <w:rPr>
          <w:rFonts w:hint="eastAsia" w:asciiTheme="minorEastAsia" w:hAnsiTheme="minorEastAsia" w:eastAsiaTheme="minorEastAsia" w:cstheme="minorEastAsia"/>
          <w:b/>
          <w:color w:val="auto"/>
          <w:sz w:val="21"/>
          <w:szCs w:val="21"/>
        </w:rPr>
        <w:t>17.3 工程进度付款</w:t>
      </w:r>
      <w:bookmarkEnd w:id="1042"/>
      <w:bookmarkEnd w:id="1043"/>
      <w:bookmarkEnd w:id="1044"/>
      <w:bookmarkEnd w:id="1045"/>
      <w:bookmarkEnd w:id="1046"/>
      <w:bookmarkEnd w:id="1047"/>
    </w:p>
    <w:p w14:paraId="7ADD44E4">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48" w:name="_Toc491246820"/>
      <w:bookmarkStart w:id="1049" w:name="_Toc488678491"/>
      <w:r>
        <w:rPr>
          <w:rFonts w:hint="eastAsia" w:asciiTheme="minorEastAsia" w:hAnsiTheme="minorEastAsia" w:eastAsiaTheme="minorEastAsia" w:cstheme="minorEastAsia"/>
          <w:color w:val="auto"/>
          <w:kern w:val="0"/>
          <w:sz w:val="21"/>
          <w:szCs w:val="21"/>
        </w:rPr>
        <w:t>17.3.1 付款周期</w:t>
      </w:r>
      <w:bookmarkEnd w:id="1048"/>
      <w:bookmarkEnd w:id="1049"/>
    </w:p>
    <w:p w14:paraId="6C5BC58D">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付款周期同计量周期。</w:t>
      </w:r>
    </w:p>
    <w:p w14:paraId="72B8A105">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50" w:name="_Toc488678492"/>
      <w:bookmarkStart w:id="1051" w:name="_Toc491246821"/>
      <w:r>
        <w:rPr>
          <w:rFonts w:hint="eastAsia" w:asciiTheme="minorEastAsia" w:hAnsiTheme="minorEastAsia" w:eastAsiaTheme="minorEastAsia" w:cstheme="minorEastAsia"/>
          <w:color w:val="auto"/>
          <w:kern w:val="0"/>
          <w:sz w:val="21"/>
          <w:szCs w:val="21"/>
        </w:rPr>
        <w:t>17.3.2 进度付款申请单</w:t>
      </w:r>
      <w:bookmarkEnd w:id="1050"/>
      <w:bookmarkEnd w:id="1051"/>
    </w:p>
    <w:p w14:paraId="6520B14A">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承包人应在每个付款周期未，按监理人批准的格式和专用合同条款约定的份数，向监理人提交进度付款申请单，并附相应的支持性证明文件。除专用合同条款另有约定外，进度付款申请单应包括下列内容:</w:t>
      </w:r>
    </w:p>
    <w:p w14:paraId="19536576">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截至本次付款周期末已实施工程的价款；</w:t>
      </w:r>
    </w:p>
    <w:p w14:paraId="5A16E6DE">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根据第15条应增加和扣减的变更金额；</w:t>
      </w:r>
    </w:p>
    <w:p w14:paraId="556D1701">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根据第23条应增加和扣减的索赔金额；</w:t>
      </w:r>
    </w:p>
    <w:p w14:paraId="58BE0F0B">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根据第17.2款约定应支付的预付款和扣减的返还预付款；</w:t>
      </w:r>
    </w:p>
    <w:p w14:paraId="3F48E7F5">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根据第17.4.1项约定应扣减的质量保证金；</w:t>
      </w:r>
    </w:p>
    <w:p w14:paraId="6AA36CE2">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 根据合同应增加和扣减的其他金额。</w:t>
      </w:r>
    </w:p>
    <w:p w14:paraId="395AD5A0">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52" w:name="_Toc488678493"/>
      <w:bookmarkStart w:id="1053" w:name="_Toc491246822"/>
      <w:r>
        <w:rPr>
          <w:rFonts w:hint="eastAsia" w:asciiTheme="minorEastAsia" w:hAnsiTheme="minorEastAsia" w:eastAsiaTheme="minorEastAsia" w:cstheme="minorEastAsia"/>
          <w:color w:val="auto"/>
          <w:kern w:val="0"/>
          <w:sz w:val="21"/>
          <w:szCs w:val="21"/>
        </w:rPr>
        <w:t>17.3.3 进度付款证书和支付时间</w:t>
      </w:r>
      <w:bookmarkEnd w:id="1052"/>
      <w:bookmarkEnd w:id="1053"/>
    </w:p>
    <w:p w14:paraId="5CBA03DB">
      <w:pPr>
        <w:autoSpaceDE w:val="0"/>
        <w:autoSpaceDN w:val="0"/>
        <w:adjustRightInd w:val="0"/>
        <w:ind w:firstLine="721" w:firstLineChars="3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 监理人在收到承包人进度付款申请单以及相应的支持性证明文件后的14 天内完成核查，提出发包人到期应支付给承包人的金额以及相应的支持性材料，经发包人审查意后，由监理人向承包人出具经发包人签认的进度付款证书。监理人有权扣发承包人未能按照</w:t>
      </w:r>
    </w:p>
    <w:p w14:paraId="468F258A">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2"/>
          <w:kern w:val="0"/>
          <w:sz w:val="21"/>
          <w:szCs w:val="21"/>
        </w:rPr>
        <w:t>合同要求履行任何工作或义务的相应金额</w:t>
      </w:r>
      <w:r>
        <w:rPr>
          <w:rFonts w:hint="eastAsia" w:asciiTheme="minorEastAsia" w:hAnsiTheme="minorEastAsia" w:eastAsiaTheme="minorEastAsia" w:cstheme="minorEastAsia"/>
          <w:color w:val="auto"/>
          <w:kern w:val="0"/>
          <w:sz w:val="21"/>
          <w:szCs w:val="21"/>
        </w:rPr>
        <w:t>。</w:t>
      </w:r>
    </w:p>
    <w:p w14:paraId="1589CD20">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发包人应在监理人收到进度付款申请单后的28 天内，将进度应付款支付给承包人。发包人不按期支付的，按专用合同条款的约定支付逾期付款违约金。</w:t>
      </w:r>
    </w:p>
    <w:p w14:paraId="1564737B">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监理人出具进度付款证书，不应视为监理人己同意、批准或接受了承包人完成</w:t>
      </w:r>
    </w:p>
    <w:p w14:paraId="10E8DA27">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的该部分工作。</w:t>
      </w:r>
    </w:p>
    <w:p w14:paraId="18CC830D">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进度付款涉及政府投资资金的，按照国库集中支付等国家相关规定和专用合同</w:t>
      </w:r>
    </w:p>
    <w:p w14:paraId="091E0B4A">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条款的约定办理。</w:t>
      </w:r>
    </w:p>
    <w:p w14:paraId="7B605479">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054" w:name="_Toc199322062"/>
      <w:bookmarkStart w:id="1055" w:name="_Toc488678494"/>
      <w:bookmarkStart w:id="1056" w:name="_Toc491246823"/>
      <w:r>
        <w:rPr>
          <w:rFonts w:hint="eastAsia" w:asciiTheme="minorEastAsia" w:hAnsiTheme="minorEastAsia" w:eastAsiaTheme="minorEastAsia" w:cstheme="minorEastAsia"/>
          <w:color w:val="auto"/>
          <w:kern w:val="0"/>
          <w:sz w:val="21"/>
          <w:szCs w:val="21"/>
        </w:rPr>
        <w:t>17.3.4 工程进度付款的修正</w:t>
      </w:r>
      <w:bookmarkEnd w:id="1054"/>
      <w:bookmarkEnd w:id="1055"/>
      <w:bookmarkEnd w:id="1056"/>
    </w:p>
    <w:p w14:paraId="0EAD1E69">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在对以往历次已签发的进度付款证书进行汇总和复核中发现错、漏或重复的，监理人有权予以修正，承包人也有权提出修正申请。经双方复核同意的修正，应在本改进度付款中支付或扣除。</w:t>
      </w:r>
    </w:p>
    <w:p w14:paraId="37384018">
      <w:pPr>
        <w:rPr>
          <w:rFonts w:hint="eastAsia" w:asciiTheme="minorEastAsia" w:hAnsiTheme="minorEastAsia" w:eastAsiaTheme="minorEastAsia" w:cstheme="minorEastAsia"/>
          <w:b/>
          <w:color w:val="auto"/>
          <w:sz w:val="21"/>
          <w:szCs w:val="21"/>
        </w:rPr>
      </w:pPr>
      <w:bookmarkStart w:id="1057" w:name="_Toc199322063"/>
      <w:bookmarkStart w:id="1058" w:name="_Toc265653944"/>
      <w:bookmarkStart w:id="1059" w:name="_Toc229450868"/>
      <w:bookmarkStart w:id="1060" w:name="_Toc265954700"/>
      <w:bookmarkStart w:id="1061" w:name="_Toc14386"/>
      <w:bookmarkStart w:id="1062" w:name="_Toc265954999"/>
      <w:r>
        <w:rPr>
          <w:rFonts w:hint="eastAsia" w:asciiTheme="minorEastAsia" w:hAnsiTheme="minorEastAsia" w:eastAsiaTheme="minorEastAsia" w:cstheme="minorEastAsia"/>
          <w:b/>
          <w:color w:val="auto"/>
          <w:sz w:val="21"/>
          <w:szCs w:val="21"/>
        </w:rPr>
        <w:t>17.4 质量保证金</w:t>
      </w:r>
      <w:bookmarkEnd w:id="1057"/>
      <w:bookmarkEnd w:id="1058"/>
      <w:bookmarkEnd w:id="1059"/>
      <w:bookmarkEnd w:id="1060"/>
      <w:bookmarkEnd w:id="1061"/>
      <w:bookmarkEnd w:id="1062"/>
    </w:p>
    <w:p w14:paraId="1110E146">
      <w:pPr>
        <w:autoSpaceDE w:val="0"/>
        <w:autoSpaceDN w:val="0"/>
        <w:adjustRightInd w:val="0"/>
        <w:ind w:firstLine="707" w:firstLineChars="35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17.4.1 监理人应从第一个付款周期开始，在发包人的进度付款中，按专用合同条款的约</w:t>
      </w:r>
      <w:r>
        <w:rPr>
          <w:rFonts w:hint="eastAsia" w:asciiTheme="minorEastAsia" w:hAnsiTheme="minorEastAsia" w:eastAsiaTheme="minorEastAsia" w:cstheme="minorEastAsia"/>
          <w:color w:val="auto"/>
          <w:kern w:val="0"/>
          <w:sz w:val="21"/>
          <w:szCs w:val="21"/>
        </w:rPr>
        <w:t>定扣留质量保证金，直至扣留的质量保证金总额达到专用合同条款约定的金额或比例为止。质量保证金的计算额度不包括预付款的支付与扣回金额。</w:t>
      </w:r>
    </w:p>
    <w:p w14:paraId="20DF46ED">
      <w:pPr>
        <w:autoSpaceDE w:val="0"/>
        <w:autoSpaceDN w:val="0"/>
        <w:adjustRightInd w:val="0"/>
        <w:ind w:firstLine="606" w:firstLineChars="30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17.4.2 合同工程完工证书颁发后的14天内，发包人将质量保证金总额的一半支付给承包从。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hint="eastAsia" w:asciiTheme="minorEastAsia" w:hAnsiTheme="minorEastAsia" w:eastAsiaTheme="minorEastAsia" w:cstheme="minorEastAsia"/>
          <w:color w:val="auto"/>
          <w:kern w:val="0"/>
          <w:sz w:val="21"/>
          <w:szCs w:val="21"/>
        </w:rPr>
        <w:t>。</w:t>
      </w:r>
    </w:p>
    <w:p w14:paraId="72BD4D08">
      <w:pPr>
        <w:autoSpaceDE w:val="0"/>
        <w:autoSpaceDN w:val="0"/>
        <w:adjustRightInd w:val="0"/>
        <w:ind w:firstLine="606" w:firstLineChars="3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4"/>
          <w:kern w:val="0"/>
          <w:sz w:val="21"/>
          <w:szCs w:val="21"/>
        </w:rPr>
        <w:t>17.4.3 在第1.1.4.5目约定的缺陷责任期满时，承包人没有完成缺陷责任的，发包人有权扣留与未履行责任剩余工作所需金额相应的质量保证金余额，并有权根据第19.3款约定</w:t>
      </w:r>
      <w:r>
        <w:rPr>
          <w:rFonts w:hint="eastAsia" w:asciiTheme="minorEastAsia" w:hAnsiTheme="minorEastAsia" w:eastAsiaTheme="minorEastAsia" w:cstheme="minorEastAsia"/>
          <w:color w:val="auto"/>
          <w:kern w:val="0"/>
          <w:sz w:val="21"/>
          <w:szCs w:val="21"/>
        </w:rPr>
        <w:t>要求延长缺陷责任期，直至完成剩余工作为止。</w:t>
      </w:r>
    </w:p>
    <w:p w14:paraId="634E5C93">
      <w:pPr>
        <w:rPr>
          <w:rFonts w:hint="eastAsia" w:asciiTheme="minorEastAsia" w:hAnsiTheme="minorEastAsia" w:eastAsiaTheme="minorEastAsia" w:cstheme="minorEastAsia"/>
          <w:b/>
          <w:color w:val="auto"/>
          <w:sz w:val="21"/>
          <w:szCs w:val="21"/>
        </w:rPr>
      </w:pPr>
      <w:bookmarkStart w:id="1063" w:name="_Toc229450869"/>
      <w:bookmarkStart w:id="1064" w:name="_Toc199322064"/>
      <w:bookmarkStart w:id="1065" w:name="_Toc265955000"/>
      <w:bookmarkStart w:id="1066" w:name="_Toc18556"/>
      <w:bookmarkStart w:id="1067" w:name="_Toc265653945"/>
      <w:bookmarkStart w:id="1068" w:name="_Toc265954701"/>
      <w:r>
        <w:rPr>
          <w:rFonts w:hint="eastAsia" w:asciiTheme="minorEastAsia" w:hAnsiTheme="minorEastAsia" w:eastAsiaTheme="minorEastAsia" w:cstheme="minorEastAsia"/>
          <w:b/>
          <w:color w:val="auto"/>
          <w:sz w:val="21"/>
          <w:szCs w:val="21"/>
        </w:rPr>
        <w:t>17.5 竣工结算</w:t>
      </w:r>
      <w:bookmarkEnd w:id="1063"/>
      <w:bookmarkEnd w:id="1064"/>
      <w:r>
        <w:rPr>
          <w:rFonts w:hint="eastAsia" w:asciiTheme="minorEastAsia" w:hAnsiTheme="minorEastAsia" w:eastAsiaTheme="minorEastAsia" w:cstheme="minorEastAsia"/>
          <w:b/>
          <w:color w:val="auto"/>
          <w:sz w:val="21"/>
          <w:szCs w:val="21"/>
        </w:rPr>
        <w:t>（完工结算）</w:t>
      </w:r>
      <w:bookmarkEnd w:id="1065"/>
      <w:bookmarkEnd w:id="1066"/>
      <w:bookmarkEnd w:id="1067"/>
      <w:bookmarkEnd w:id="1068"/>
    </w:p>
    <w:p w14:paraId="3D395142">
      <w:pPr>
        <w:pStyle w:val="8"/>
        <w:ind w:firstLine="539" w:firstLineChars="257"/>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17.5.1 竣工（完工）付款申请单</w:t>
      </w:r>
    </w:p>
    <w:p w14:paraId="42370B35">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竣工付款金额。</w:t>
      </w:r>
    </w:p>
    <w:p w14:paraId="0FE5818A">
      <w:pPr>
        <w:autoSpaceDE w:val="0"/>
        <w:autoSpaceDN w:val="0"/>
        <w:adjustRightInd w:val="0"/>
        <w:ind w:firstLine="808" w:firstLineChars="40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(2) 监理人对竣工付款申请单有异议的，有权要求承包人进行修正和提供补充资料。经监理人和承包人协商后，由承包人向监理人提交修正后的完工付款申请单。</w:t>
      </w:r>
    </w:p>
    <w:p w14:paraId="1353B172">
      <w:pPr>
        <w:pStyle w:val="8"/>
        <w:ind w:firstLine="539" w:firstLineChars="257"/>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17.5.2 竣工付款证书及支付时间</w:t>
      </w:r>
    </w:p>
    <w:p w14:paraId="4676C9D2">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监理人在收到承包人提交的完工付款申请单后的14天内完成核查，提出发包人到期应支付给承包人的价款送发包人审核并抄送承包人。发包人应在收到后14 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02950E10">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发包人应在监理人出具完工付款证书后的14天内，将应支付款支付给承包人。发包人不按期支付的，按第17.3.3 (2) 目的约定，将逾期付款违约金支付给承包人。</w:t>
      </w:r>
    </w:p>
    <w:p w14:paraId="03006053">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承包人对发包人签认的完工付款证书有异议的，发包人可出具完工付款申请单中承包人已同意部分的临时付款证书。存在争议的部分，按第24条的约定办理。</w:t>
      </w:r>
    </w:p>
    <w:p w14:paraId="7ED1D735">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完工付款涉及政府投资资金的，按第17.3.3 (4) 目的约定办理。</w:t>
      </w:r>
    </w:p>
    <w:p w14:paraId="5C9B368B">
      <w:pPr>
        <w:rPr>
          <w:rFonts w:hint="eastAsia" w:asciiTheme="minorEastAsia" w:hAnsiTheme="minorEastAsia" w:eastAsiaTheme="minorEastAsia" w:cstheme="minorEastAsia"/>
          <w:b/>
          <w:color w:val="auto"/>
          <w:sz w:val="21"/>
          <w:szCs w:val="21"/>
        </w:rPr>
      </w:pPr>
      <w:bookmarkStart w:id="1069" w:name="_Toc18876"/>
      <w:bookmarkStart w:id="1070" w:name="_Toc229450870"/>
      <w:bookmarkStart w:id="1071" w:name="_Toc265954702"/>
      <w:bookmarkStart w:id="1072" w:name="_Toc265653946"/>
      <w:bookmarkStart w:id="1073" w:name="_Toc265955001"/>
      <w:bookmarkStart w:id="1074" w:name="_Toc199322065"/>
      <w:r>
        <w:rPr>
          <w:rFonts w:hint="eastAsia" w:asciiTheme="minorEastAsia" w:hAnsiTheme="minorEastAsia" w:eastAsiaTheme="minorEastAsia" w:cstheme="minorEastAsia"/>
          <w:b/>
          <w:color w:val="auto"/>
          <w:sz w:val="21"/>
          <w:szCs w:val="21"/>
        </w:rPr>
        <w:t>17.6 最终结清</w:t>
      </w:r>
      <w:bookmarkEnd w:id="1069"/>
      <w:bookmarkEnd w:id="1070"/>
      <w:bookmarkEnd w:id="1071"/>
      <w:bookmarkEnd w:id="1072"/>
      <w:bookmarkEnd w:id="1073"/>
      <w:bookmarkEnd w:id="1074"/>
    </w:p>
    <w:p w14:paraId="62A8EC7D">
      <w:pPr>
        <w:pStyle w:val="8"/>
        <w:ind w:firstLine="539" w:firstLineChars="257"/>
        <w:rPr>
          <w:rFonts w:hint="eastAsia" w:asciiTheme="minorEastAsia" w:hAnsiTheme="minorEastAsia" w:eastAsiaTheme="minorEastAsia" w:cstheme="minorEastAsia"/>
          <w:color w:val="auto"/>
          <w:sz w:val="21"/>
          <w:szCs w:val="21"/>
        </w:rPr>
      </w:pPr>
      <w:bookmarkStart w:id="1075" w:name="_Toc199322066"/>
      <w:r>
        <w:rPr>
          <w:rFonts w:hint="eastAsia" w:asciiTheme="minorEastAsia" w:hAnsiTheme="minorEastAsia" w:eastAsiaTheme="minorEastAsia" w:cstheme="minorEastAsia"/>
          <w:color w:val="auto"/>
          <w:sz w:val="21"/>
          <w:szCs w:val="21"/>
        </w:rPr>
        <w:t>17.6.1 最终结清申请单</w:t>
      </w:r>
      <w:bookmarkEnd w:id="1075"/>
    </w:p>
    <w:p w14:paraId="427D528E">
      <w:pPr>
        <w:autoSpaceDE w:val="0"/>
        <w:autoSpaceDN w:val="0"/>
        <w:adjustRightInd w:val="0"/>
        <w:ind w:firstLine="927" w:firstLineChars="4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 工程质量保修责任终止证书签发后，承包人应按监理人批准的格式提交最终结清申请单。提交最终结清申请单的份数在专用合同条款中约定。</w:t>
      </w:r>
    </w:p>
    <w:p w14:paraId="1CB08BE7">
      <w:pPr>
        <w:autoSpaceDE w:val="0"/>
        <w:autoSpaceDN w:val="0"/>
        <w:adjustRightInd w:val="0"/>
        <w:ind w:firstLine="927" w:firstLineChars="4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(2) 发包人对最终结清申请单内容有异议的，有权要求承包人进行修正和提供补充资料，由承包人向监理人提交修正后的最终结清申请单。</w:t>
      </w:r>
    </w:p>
    <w:p w14:paraId="277973E3">
      <w:pPr>
        <w:pStyle w:val="8"/>
        <w:ind w:firstLine="539" w:firstLineChars="257"/>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17.6.2 最终结清证书和支付时间</w:t>
      </w:r>
    </w:p>
    <w:p w14:paraId="512ABD9D">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监理人收到承包人提交的最终结清申请单后的14 天内，提出发包人应支付给承包人的价款送发包人审核井抄送承包人。发包人应在收到后14 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p>
    <w:p w14:paraId="721589EB">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发包人应在监理人出具最终结清证书后的14天内，将应支付款支付给承包人。发包人不按期支付的，按第17.3.3 (2) 目的约定，将逾期付款违约金支付给承包人。</w:t>
      </w:r>
    </w:p>
    <w:p w14:paraId="780166D2">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承包人对发包人签认的最终结清证书有异议的，按第24 条的约定办理。</w:t>
      </w:r>
    </w:p>
    <w:p w14:paraId="3B250621">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最终结清付款涉及政府投资资金的，按第17.3.3 (4)目的约定办理。</w:t>
      </w:r>
    </w:p>
    <w:p w14:paraId="1B8F943A">
      <w:pPr>
        <w:rPr>
          <w:rFonts w:hint="eastAsia" w:asciiTheme="minorEastAsia" w:hAnsiTheme="minorEastAsia" w:eastAsiaTheme="minorEastAsia" w:cstheme="minorEastAsia"/>
          <w:b/>
          <w:color w:val="auto"/>
          <w:sz w:val="21"/>
          <w:szCs w:val="21"/>
        </w:rPr>
      </w:pPr>
      <w:bookmarkStart w:id="1076" w:name="_Toc265955002"/>
      <w:bookmarkStart w:id="1077" w:name="_Toc265954703"/>
      <w:bookmarkStart w:id="1078" w:name="_Toc15449"/>
      <w:bookmarkStart w:id="1079" w:name="_Toc265653947"/>
      <w:r>
        <w:rPr>
          <w:rFonts w:hint="eastAsia" w:asciiTheme="minorEastAsia" w:hAnsiTheme="minorEastAsia" w:eastAsiaTheme="minorEastAsia" w:cstheme="minorEastAsia"/>
          <w:b/>
          <w:color w:val="auto"/>
          <w:sz w:val="21"/>
          <w:szCs w:val="21"/>
        </w:rPr>
        <w:t>17.7 竣工财务决算</w:t>
      </w:r>
      <w:bookmarkEnd w:id="1076"/>
      <w:bookmarkEnd w:id="1077"/>
      <w:bookmarkEnd w:id="1078"/>
      <w:bookmarkEnd w:id="1079"/>
    </w:p>
    <w:p w14:paraId="0D6AC3E7">
      <w:pPr>
        <w:pStyle w:val="8"/>
        <w:ind w:firstLine="539" w:firstLineChars="257"/>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发包人负责编制本工程项目竣工财务决算，承包人应按专用合同条款的约定提供竣工财务决算编制所需的相关材料。</w:t>
      </w:r>
    </w:p>
    <w:p w14:paraId="47DBA007">
      <w:pPr>
        <w:rPr>
          <w:rFonts w:hint="eastAsia" w:asciiTheme="minorEastAsia" w:hAnsiTheme="minorEastAsia" w:eastAsiaTheme="minorEastAsia" w:cstheme="minorEastAsia"/>
          <w:b/>
          <w:color w:val="auto"/>
          <w:sz w:val="21"/>
          <w:szCs w:val="21"/>
        </w:rPr>
      </w:pPr>
      <w:bookmarkStart w:id="1080" w:name="_Toc7000"/>
      <w:bookmarkStart w:id="1081" w:name="_Toc265954704"/>
      <w:bookmarkStart w:id="1082" w:name="_Toc265653948"/>
      <w:bookmarkStart w:id="1083" w:name="_Toc265955003"/>
      <w:r>
        <w:rPr>
          <w:rFonts w:hint="eastAsia" w:asciiTheme="minorEastAsia" w:hAnsiTheme="minorEastAsia" w:eastAsiaTheme="minorEastAsia" w:cstheme="minorEastAsia"/>
          <w:b/>
          <w:color w:val="auto"/>
          <w:sz w:val="21"/>
          <w:szCs w:val="21"/>
        </w:rPr>
        <w:t>17.8 竣工审计</w:t>
      </w:r>
      <w:bookmarkEnd w:id="1080"/>
      <w:bookmarkEnd w:id="1081"/>
      <w:bookmarkEnd w:id="1082"/>
      <w:bookmarkEnd w:id="1083"/>
    </w:p>
    <w:p w14:paraId="47A09F5D">
      <w:pPr>
        <w:pStyle w:val="8"/>
        <w:ind w:firstLine="539" w:firstLineChars="257"/>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发包人负责完成本工程竣工审计手续，承包人应完成相关配合工作。</w:t>
      </w:r>
    </w:p>
    <w:p w14:paraId="27A0D1C6">
      <w:pPr>
        <w:rPr>
          <w:rFonts w:hint="eastAsia" w:asciiTheme="minorEastAsia" w:hAnsiTheme="minorEastAsia" w:eastAsiaTheme="minorEastAsia" w:cstheme="minorEastAsia"/>
          <w:b/>
          <w:color w:val="auto"/>
          <w:sz w:val="21"/>
          <w:szCs w:val="21"/>
        </w:rPr>
      </w:pPr>
      <w:bookmarkStart w:id="1084" w:name="_Toc199322067"/>
      <w:bookmarkStart w:id="1085" w:name="_Toc229450871"/>
      <w:bookmarkStart w:id="1086" w:name="_Toc265653949"/>
      <w:bookmarkStart w:id="1087" w:name="_Toc265954705"/>
      <w:bookmarkStart w:id="1088" w:name="_Toc265955004"/>
      <w:bookmarkStart w:id="1089" w:name="_Toc19463"/>
      <w:r>
        <w:rPr>
          <w:rFonts w:hint="eastAsia" w:asciiTheme="minorEastAsia" w:hAnsiTheme="minorEastAsia" w:eastAsiaTheme="minorEastAsia" w:cstheme="minorEastAsia"/>
          <w:b/>
          <w:color w:val="auto"/>
          <w:sz w:val="21"/>
          <w:szCs w:val="21"/>
        </w:rPr>
        <w:t>18. 竣工验收</w:t>
      </w:r>
      <w:bookmarkEnd w:id="1084"/>
      <w:bookmarkEnd w:id="1085"/>
      <w:r>
        <w:rPr>
          <w:rFonts w:hint="eastAsia" w:asciiTheme="minorEastAsia" w:hAnsiTheme="minorEastAsia" w:eastAsiaTheme="minorEastAsia" w:cstheme="minorEastAsia"/>
          <w:b/>
          <w:color w:val="auto"/>
          <w:sz w:val="21"/>
          <w:szCs w:val="21"/>
        </w:rPr>
        <w:t>（验收）</w:t>
      </w:r>
      <w:bookmarkEnd w:id="1086"/>
      <w:bookmarkEnd w:id="1087"/>
      <w:bookmarkEnd w:id="1088"/>
      <w:bookmarkEnd w:id="1089"/>
    </w:p>
    <w:p w14:paraId="481707C5">
      <w:pPr>
        <w:rPr>
          <w:rFonts w:hint="eastAsia" w:asciiTheme="minorEastAsia" w:hAnsiTheme="minorEastAsia" w:eastAsiaTheme="minorEastAsia" w:cstheme="minorEastAsia"/>
          <w:b/>
          <w:color w:val="auto"/>
          <w:sz w:val="21"/>
          <w:szCs w:val="21"/>
        </w:rPr>
      </w:pPr>
      <w:bookmarkStart w:id="1090" w:name="_Toc229450872"/>
      <w:bookmarkStart w:id="1091" w:name="_Toc199322068"/>
      <w:bookmarkStart w:id="1092" w:name="_Toc14951"/>
      <w:bookmarkStart w:id="1093" w:name="_Toc265954706"/>
      <w:bookmarkStart w:id="1094" w:name="_Toc265653950"/>
      <w:bookmarkStart w:id="1095" w:name="_Toc265955005"/>
      <w:r>
        <w:rPr>
          <w:rFonts w:hint="eastAsia" w:asciiTheme="minorEastAsia" w:hAnsiTheme="minorEastAsia" w:eastAsiaTheme="minorEastAsia" w:cstheme="minorEastAsia"/>
          <w:b/>
          <w:color w:val="auto"/>
          <w:sz w:val="21"/>
          <w:szCs w:val="21"/>
        </w:rPr>
        <w:t xml:space="preserve">18.1 </w:t>
      </w:r>
      <w:bookmarkEnd w:id="1090"/>
      <w:bookmarkEnd w:id="1091"/>
      <w:r>
        <w:rPr>
          <w:rFonts w:hint="eastAsia" w:asciiTheme="minorEastAsia" w:hAnsiTheme="minorEastAsia" w:eastAsiaTheme="minorEastAsia" w:cstheme="minorEastAsia"/>
          <w:b/>
          <w:color w:val="auto"/>
          <w:sz w:val="21"/>
          <w:szCs w:val="21"/>
        </w:rPr>
        <w:t>验收工作分类</w:t>
      </w:r>
      <w:bookmarkEnd w:id="1092"/>
      <w:bookmarkEnd w:id="1093"/>
      <w:bookmarkEnd w:id="1094"/>
      <w:bookmarkEnd w:id="1095"/>
    </w:p>
    <w:p w14:paraId="6C4064D7">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本工程验收工作按主持单位分为法人验收和政府验收。法人验收和政府验收的类别在专用合同条款中约定。除专用合同条款另有约定外，法人验收由发包人主持。承包人就完成法人验收和政府验收的配合工作，所需费用应含在已标价工程量清单中。</w:t>
      </w:r>
    </w:p>
    <w:p w14:paraId="7A919FA0">
      <w:pPr>
        <w:rPr>
          <w:rFonts w:hint="eastAsia" w:asciiTheme="minorEastAsia" w:hAnsiTheme="minorEastAsia" w:eastAsiaTheme="minorEastAsia" w:cstheme="minorEastAsia"/>
          <w:b/>
          <w:color w:val="auto"/>
          <w:sz w:val="21"/>
          <w:szCs w:val="21"/>
        </w:rPr>
      </w:pPr>
      <w:bookmarkStart w:id="1096" w:name="_Toc199322069"/>
      <w:bookmarkStart w:id="1097" w:name="_Toc229450873"/>
      <w:bookmarkStart w:id="1098" w:name="_Toc265653951"/>
      <w:bookmarkStart w:id="1099" w:name="_Toc265954707"/>
      <w:bookmarkStart w:id="1100" w:name="_Toc29103"/>
      <w:bookmarkStart w:id="1101" w:name="_Toc265955006"/>
      <w:r>
        <w:rPr>
          <w:rFonts w:hint="eastAsia" w:asciiTheme="minorEastAsia" w:hAnsiTheme="minorEastAsia" w:eastAsiaTheme="minorEastAsia" w:cstheme="minorEastAsia"/>
          <w:b/>
          <w:color w:val="auto"/>
          <w:sz w:val="21"/>
          <w:szCs w:val="21"/>
        </w:rPr>
        <w:t xml:space="preserve">18.2 </w:t>
      </w:r>
      <w:bookmarkEnd w:id="1096"/>
      <w:bookmarkEnd w:id="1097"/>
      <w:r>
        <w:rPr>
          <w:rFonts w:hint="eastAsia" w:asciiTheme="minorEastAsia" w:hAnsiTheme="minorEastAsia" w:eastAsiaTheme="minorEastAsia" w:cstheme="minorEastAsia"/>
          <w:b/>
          <w:color w:val="auto"/>
          <w:sz w:val="21"/>
          <w:szCs w:val="21"/>
        </w:rPr>
        <w:t>分部工程验收</w:t>
      </w:r>
      <w:bookmarkEnd w:id="1098"/>
      <w:bookmarkEnd w:id="1099"/>
      <w:bookmarkEnd w:id="1100"/>
      <w:bookmarkEnd w:id="1101"/>
    </w:p>
    <w:p w14:paraId="588B6F75">
      <w:pPr>
        <w:pStyle w:val="8"/>
        <w:ind w:firstLine="539" w:firstLineChars="257"/>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18.2.1 分部工程具备验收条件时，承包人应向发包人提交验收申请报告，发包人应在收到验收申请报告之日起10个工作日内决定是否同意进行验收。</w:t>
      </w:r>
    </w:p>
    <w:p w14:paraId="20D6BBD0">
      <w:pPr>
        <w:pStyle w:val="8"/>
        <w:ind w:firstLine="539" w:firstLineChars="257"/>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18.2.2 除专用合同条款另有约定外，监理人主持分部工程验收，承包人应派符合条件的代表参加验收工作组。</w:t>
      </w:r>
    </w:p>
    <w:p w14:paraId="769C3EA5">
      <w:pPr>
        <w:pStyle w:val="8"/>
        <w:ind w:firstLine="539" w:firstLineChars="257"/>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18.2.3 分部工程验收通过后，发包人向承包人发送分部工程验收鉴定书。承包人应及时完成分部工程验收鉴定书载明应由承包人处理的遗留问题。</w:t>
      </w:r>
    </w:p>
    <w:p w14:paraId="274D6BB3">
      <w:pPr>
        <w:rPr>
          <w:rFonts w:hint="eastAsia" w:asciiTheme="minorEastAsia" w:hAnsiTheme="minorEastAsia" w:eastAsiaTheme="minorEastAsia" w:cstheme="minorEastAsia"/>
          <w:b/>
          <w:color w:val="auto"/>
          <w:sz w:val="21"/>
          <w:szCs w:val="21"/>
        </w:rPr>
      </w:pPr>
      <w:bookmarkStart w:id="1102" w:name="_Toc199322070"/>
      <w:bookmarkStart w:id="1103" w:name="_Toc229450874"/>
      <w:bookmarkStart w:id="1104" w:name="_Toc31118"/>
      <w:bookmarkStart w:id="1105" w:name="_Toc265955007"/>
      <w:bookmarkStart w:id="1106" w:name="_Toc265653952"/>
      <w:bookmarkStart w:id="1107" w:name="_Toc265954708"/>
      <w:r>
        <w:rPr>
          <w:rFonts w:hint="eastAsia" w:asciiTheme="minorEastAsia" w:hAnsiTheme="minorEastAsia" w:eastAsiaTheme="minorEastAsia" w:cstheme="minorEastAsia"/>
          <w:b/>
          <w:color w:val="auto"/>
          <w:sz w:val="21"/>
          <w:szCs w:val="21"/>
        </w:rPr>
        <w:t xml:space="preserve">18.3 </w:t>
      </w:r>
      <w:bookmarkEnd w:id="1102"/>
      <w:bookmarkEnd w:id="1103"/>
      <w:r>
        <w:rPr>
          <w:rFonts w:hint="eastAsia" w:asciiTheme="minorEastAsia" w:hAnsiTheme="minorEastAsia" w:eastAsiaTheme="minorEastAsia" w:cstheme="minorEastAsia"/>
          <w:b/>
          <w:color w:val="auto"/>
          <w:sz w:val="21"/>
          <w:szCs w:val="21"/>
        </w:rPr>
        <w:t>单位工程验收</w:t>
      </w:r>
      <w:bookmarkEnd w:id="1104"/>
      <w:bookmarkEnd w:id="1105"/>
      <w:bookmarkEnd w:id="1106"/>
      <w:bookmarkEnd w:id="1107"/>
    </w:p>
    <w:p w14:paraId="48D03FC0">
      <w:pPr>
        <w:pStyle w:val="8"/>
        <w:ind w:firstLine="420" w:firstLineChars="200"/>
        <w:rPr>
          <w:rFonts w:hint="eastAsia" w:asciiTheme="minorEastAsia" w:hAnsiTheme="minorEastAsia" w:eastAsiaTheme="minorEastAsia" w:cstheme="minorEastAsia"/>
          <w:color w:val="auto"/>
          <w:sz w:val="21"/>
          <w:szCs w:val="21"/>
        </w:rPr>
      </w:pPr>
      <w:bookmarkStart w:id="1108" w:name="_Toc199322071"/>
      <w:r>
        <w:rPr>
          <w:rFonts w:hint="eastAsia" w:asciiTheme="minorEastAsia" w:hAnsiTheme="minorEastAsia" w:eastAsiaTheme="minorEastAsia" w:cstheme="minorEastAsia"/>
          <w:color w:val="auto"/>
          <w:sz w:val="21"/>
          <w:szCs w:val="21"/>
        </w:rPr>
        <w:t xml:space="preserve">18.3.1 </w:t>
      </w:r>
      <w:bookmarkEnd w:id="1108"/>
      <w:r>
        <w:rPr>
          <w:rFonts w:hint="eastAsia" w:asciiTheme="minorEastAsia" w:hAnsiTheme="minorEastAsia" w:eastAsiaTheme="minorEastAsia" w:cstheme="minorEastAsia"/>
          <w:color w:val="auto"/>
          <w:sz w:val="21"/>
          <w:szCs w:val="21"/>
        </w:rPr>
        <w:t>单位工程具备验收条件时，承包人应向发包人提交验收申请报告，发包人应在收到验收申请报告之日起10个工作日内决定是否同意进行验收。</w:t>
      </w:r>
    </w:p>
    <w:p w14:paraId="4937BDCA">
      <w:pPr>
        <w:pStyle w:val="8"/>
        <w:ind w:firstLine="420" w:firstLineChars="200"/>
        <w:rPr>
          <w:rFonts w:hint="eastAsia" w:asciiTheme="minorEastAsia" w:hAnsiTheme="minorEastAsia" w:eastAsiaTheme="minorEastAsia" w:cstheme="minorEastAsia"/>
          <w:color w:val="auto"/>
          <w:sz w:val="21"/>
          <w:szCs w:val="21"/>
        </w:rPr>
      </w:pPr>
      <w:bookmarkStart w:id="1109" w:name="_Toc199322072"/>
      <w:r>
        <w:rPr>
          <w:rFonts w:hint="eastAsia" w:asciiTheme="minorEastAsia" w:hAnsiTheme="minorEastAsia" w:eastAsiaTheme="minorEastAsia" w:cstheme="minorEastAsia"/>
          <w:color w:val="auto"/>
          <w:sz w:val="21"/>
          <w:szCs w:val="21"/>
        </w:rPr>
        <w:t xml:space="preserve">18.3.2 </w:t>
      </w:r>
      <w:bookmarkEnd w:id="1109"/>
      <w:r>
        <w:rPr>
          <w:rFonts w:hint="eastAsia" w:asciiTheme="minorEastAsia" w:hAnsiTheme="minorEastAsia" w:eastAsiaTheme="minorEastAsia" w:cstheme="minorEastAsia"/>
          <w:color w:val="auto"/>
          <w:sz w:val="21"/>
          <w:szCs w:val="21"/>
        </w:rPr>
        <w:t>发包人主持单位工程验收，承包人应派符合条件的代表参加验收工作组。</w:t>
      </w:r>
    </w:p>
    <w:p w14:paraId="05361C17">
      <w:pPr>
        <w:pStyle w:val="8"/>
        <w:ind w:firstLine="420" w:firstLineChars="200"/>
        <w:rPr>
          <w:rFonts w:hint="eastAsia" w:asciiTheme="minorEastAsia" w:hAnsiTheme="minorEastAsia" w:eastAsiaTheme="minorEastAsia" w:cstheme="minorEastAsia"/>
          <w:color w:val="auto"/>
          <w:sz w:val="21"/>
          <w:szCs w:val="21"/>
        </w:rPr>
      </w:pPr>
      <w:bookmarkStart w:id="1110" w:name="_Toc199322073"/>
      <w:r>
        <w:rPr>
          <w:rFonts w:hint="eastAsia" w:asciiTheme="minorEastAsia" w:hAnsiTheme="minorEastAsia" w:eastAsiaTheme="minorEastAsia" w:cstheme="minorEastAsia"/>
          <w:color w:val="auto"/>
          <w:sz w:val="21"/>
          <w:szCs w:val="21"/>
        </w:rPr>
        <w:t xml:space="preserve">18.3.3 </w:t>
      </w:r>
      <w:bookmarkEnd w:id="1110"/>
      <w:r>
        <w:rPr>
          <w:rFonts w:hint="eastAsia" w:asciiTheme="minorEastAsia" w:hAnsiTheme="minorEastAsia" w:eastAsiaTheme="minorEastAsia" w:cstheme="minorEastAsia"/>
          <w:color w:val="auto"/>
          <w:sz w:val="21"/>
          <w:szCs w:val="21"/>
        </w:rPr>
        <w:t>单位工程验收通过后，发包人向承包人发送单位工程验收鉴定书。承包人应及时完成单位工程验收鉴定书载明应由承包人处理的遗留问题。</w:t>
      </w:r>
    </w:p>
    <w:p w14:paraId="7B51E7BB">
      <w:pPr>
        <w:pStyle w:val="8"/>
        <w:ind w:firstLine="420" w:firstLineChars="200"/>
        <w:rPr>
          <w:rFonts w:hint="eastAsia" w:asciiTheme="minorEastAsia" w:hAnsiTheme="minorEastAsia" w:eastAsiaTheme="minorEastAsia" w:cstheme="minorEastAsia"/>
          <w:color w:val="auto"/>
          <w:sz w:val="21"/>
          <w:szCs w:val="21"/>
        </w:rPr>
      </w:pPr>
      <w:bookmarkStart w:id="1111" w:name="_Toc199322074"/>
      <w:r>
        <w:rPr>
          <w:rFonts w:hint="eastAsia" w:asciiTheme="minorEastAsia" w:hAnsiTheme="minorEastAsia" w:eastAsiaTheme="minorEastAsia" w:cstheme="minorEastAsia"/>
          <w:color w:val="auto"/>
          <w:sz w:val="21"/>
          <w:szCs w:val="21"/>
        </w:rPr>
        <w:t xml:space="preserve">18.3.4 </w:t>
      </w:r>
      <w:bookmarkEnd w:id="1111"/>
      <w:r>
        <w:rPr>
          <w:rFonts w:hint="eastAsia" w:asciiTheme="minorEastAsia" w:hAnsiTheme="minorEastAsia" w:eastAsiaTheme="minorEastAsia" w:cstheme="minorEastAsia"/>
          <w:color w:val="auto"/>
          <w:sz w:val="21"/>
          <w:szCs w:val="21"/>
        </w:rPr>
        <w:t>需提交投入使用的单位工程在专用合同条款中明确。</w:t>
      </w:r>
    </w:p>
    <w:p w14:paraId="35988A83">
      <w:pPr>
        <w:rPr>
          <w:rFonts w:hint="eastAsia" w:asciiTheme="minorEastAsia" w:hAnsiTheme="minorEastAsia" w:eastAsiaTheme="minorEastAsia" w:cstheme="minorEastAsia"/>
          <w:b/>
          <w:color w:val="auto"/>
          <w:sz w:val="21"/>
          <w:szCs w:val="21"/>
        </w:rPr>
      </w:pPr>
      <w:bookmarkStart w:id="1112" w:name="_Toc199322077"/>
      <w:bookmarkStart w:id="1113" w:name="_Toc229450875"/>
      <w:bookmarkStart w:id="1114" w:name="_Toc31230"/>
      <w:bookmarkStart w:id="1115" w:name="_Toc265954709"/>
      <w:bookmarkStart w:id="1116" w:name="_Toc265653953"/>
      <w:bookmarkStart w:id="1117" w:name="_Toc265955008"/>
      <w:r>
        <w:rPr>
          <w:rFonts w:hint="eastAsia" w:asciiTheme="minorEastAsia" w:hAnsiTheme="minorEastAsia" w:eastAsiaTheme="minorEastAsia" w:cstheme="minorEastAsia"/>
          <w:b/>
          <w:color w:val="auto"/>
          <w:sz w:val="21"/>
          <w:szCs w:val="21"/>
        </w:rPr>
        <w:t xml:space="preserve">18.4 </w:t>
      </w:r>
      <w:bookmarkEnd w:id="1112"/>
      <w:bookmarkEnd w:id="1113"/>
      <w:r>
        <w:rPr>
          <w:rFonts w:hint="eastAsia" w:asciiTheme="minorEastAsia" w:hAnsiTheme="minorEastAsia" w:eastAsiaTheme="minorEastAsia" w:cstheme="minorEastAsia"/>
          <w:b/>
          <w:color w:val="auto"/>
          <w:sz w:val="21"/>
          <w:szCs w:val="21"/>
        </w:rPr>
        <w:t>合同工程完工验收</w:t>
      </w:r>
      <w:bookmarkEnd w:id="1114"/>
      <w:bookmarkEnd w:id="1115"/>
      <w:bookmarkEnd w:id="1116"/>
      <w:bookmarkEnd w:id="1117"/>
    </w:p>
    <w:p w14:paraId="73B2FBBC">
      <w:pPr>
        <w:pStyle w:val="8"/>
        <w:ind w:firstLine="412"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18.4.1 合同工程具备验收条件时，承包人应向发包人提交验收申请报告，发包人应在收到验收申请报告之日起20个工作日内决定是否同意进行验收。</w:t>
      </w:r>
    </w:p>
    <w:p w14:paraId="4DC966C4">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18.4.2 发包人主持合同工程完工验收后，发包人向承包人发送合同工程完工验收鉴定书。承包人应及时完成合同工程完工验收鉴定书载明应由承包人处理的遗留问题。</w:t>
      </w:r>
    </w:p>
    <w:p w14:paraId="03B48D72">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18.4.3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1902105D">
      <w:pPr>
        <w:rPr>
          <w:rFonts w:hint="eastAsia" w:asciiTheme="minorEastAsia" w:hAnsiTheme="minorEastAsia" w:eastAsiaTheme="minorEastAsia" w:cstheme="minorEastAsia"/>
          <w:b/>
          <w:color w:val="auto"/>
          <w:sz w:val="21"/>
          <w:szCs w:val="21"/>
        </w:rPr>
      </w:pPr>
      <w:bookmarkStart w:id="1118" w:name="_Toc229450876"/>
      <w:bookmarkStart w:id="1119" w:name="_Toc265954710"/>
      <w:bookmarkStart w:id="1120" w:name="_Toc3319"/>
      <w:bookmarkStart w:id="1121" w:name="_Toc199322078"/>
      <w:bookmarkStart w:id="1122" w:name="_Toc265955009"/>
      <w:bookmarkStart w:id="1123" w:name="_Toc265653954"/>
      <w:r>
        <w:rPr>
          <w:rFonts w:hint="eastAsia" w:asciiTheme="minorEastAsia" w:hAnsiTheme="minorEastAsia" w:eastAsiaTheme="minorEastAsia" w:cstheme="minorEastAsia"/>
          <w:b/>
          <w:color w:val="auto"/>
          <w:sz w:val="21"/>
          <w:szCs w:val="21"/>
        </w:rPr>
        <w:t>18.5 施工期运行</w:t>
      </w:r>
      <w:bookmarkEnd w:id="1118"/>
      <w:bookmarkEnd w:id="1119"/>
      <w:bookmarkEnd w:id="1120"/>
      <w:bookmarkEnd w:id="1121"/>
      <w:bookmarkEnd w:id="1122"/>
      <w:bookmarkEnd w:id="1123"/>
    </w:p>
    <w:p w14:paraId="0B47E336">
      <w:pPr>
        <w:pStyle w:val="8"/>
        <w:ind w:firstLine="420" w:firstLineChars="200"/>
        <w:rPr>
          <w:rFonts w:hint="eastAsia" w:asciiTheme="minorEastAsia" w:hAnsiTheme="minorEastAsia" w:eastAsiaTheme="minorEastAsia" w:cstheme="minorEastAsia"/>
          <w:color w:val="auto"/>
          <w:sz w:val="21"/>
          <w:szCs w:val="21"/>
        </w:rPr>
      </w:pPr>
      <w:bookmarkStart w:id="1124" w:name="_Toc199322079"/>
      <w:r>
        <w:rPr>
          <w:rFonts w:hint="eastAsia" w:asciiTheme="minorEastAsia" w:hAnsiTheme="minorEastAsia" w:eastAsiaTheme="minorEastAsia" w:cstheme="minorEastAsia"/>
          <w:color w:val="auto"/>
          <w:sz w:val="21"/>
          <w:szCs w:val="21"/>
        </w:rPr>
        <w:t xml:space="preserve">18.5.1 </w:t>
      </w:r>
      <w:bookmarkEnd w:id="1124"/>
      <w:r>
        <w:rPr>
          <w:rFonts w:hint="eastAsia" w:asciiTheme="minorEastAsia" w:hAnsiTheme="minorEastAsia" w:eastAsiaTheme="minorEastAsia" w:cstheme="minorEastAsia"/>
          <w:color w:val="auto"/>
          <w:sz w:val="21"/>
          <w:szCs w:val="21"/>
        </w:rPr>
        <w:t>工程建设具备阶段验收条件时，发包人负责提出阶段验收申请报告。承包人应派代表参加阶段验收，并作为被验收单位在验收鉴定书上签字。阶段验收的具体类别在专用合同条款中约定。</w:t>
      </w:r>
    </w:p>
    <w:p w14:paraId="37FF514E">
      <w:pPr>
        <w:pStyle w:val="8"/>
        <w:ind w:firstLine="420" w:firstLineChars="200"/>
        <w:rPr>
          <w:rFonts w:hint="eastAsia" w:asciiTheme="minorEastAsia" w:hAnsiTheme="minorEastAsia" w:eastAsiaTheme="minorEastAsia" w:cstheme="minorEastAsia"/>
          <w:color w:val="auto"/>
          <w:sz w:val="21"/>
          <w:szCs w:val="21"/>
        </w:rPr>
      </w:pPr>
      <w:bookmarkStart w:id="1125" w:name="_Toc199322080"/>
      <w:r>
        <w:rPr>
          <w:rFonts w:hint="eastAsia" w:asciiTheme="minorEastAsia" w:hAnsiTheme="minorEastAsia" w:eastAsiaTheme="minorEastAsia" w:cstheme="minorEastAsia"/>
          <w:color w:val="auto"/>
          <w:sz w:val="21"/>
          <w:szCs w:val="21"/>
        </w:rPr>
        <w:t xml:space="preserve">18.5.2 </w:t>
      </w:r>
      <w:bookmarkEnd w:id="1125"/>
      <w:r>
        <w:rPr>
          <w:rFonts w:hint="eastAsia" w:asciiTheme="minorEastAsia" w:hAnsiTheme="minorEastAsia" w:eastAsiaTheme="minorEastAsia" w:cstheme="minorEastAsia"/>
          <w:color w:val="auto"/>
          <w:sz w:val="21"/>
          <w:szCs w:val="21"/>
        </w:rPr>
        <w:t>承包人应及时完成阶段验收鉴定书载明应由承包人处理的遗留问题。</w:t>
      </w:r>
    </w:p>
    <w:p w14:paraId="4B752F06">
      <w:pPr>
        <w:rPr>
          <w:rFonts w:hint="eastAsia" w:asciiTheme="minorEastAsia" w:hAnsiTheme="minorEastAsia" w:eastAsiaTheme="minorEastAsia" w:cstheme="minorEastAsia"/>
          <w:b/>
          <w:color w:val="auto"/>
          <w:sz w:val="21"/>
          <w:szCs w:val="21"/>
        </w:rPr>
      </w:pPr>
      <w:bookmarkStart w:id="1126" w:name="_Toc265955010"/>
      <w:bookmarkStart w:id="1127" w:name="_Toc265653955"/>
      <w:bookmarkStart w:id="1128" w:name="_Toc229450877"/>
      <w:bookmarkStart w:id="1129" w:name="_Toc199322081"/>
      <w:bookmarkStart w:id="1130" w:name="_Toc265954711"/>
      <w:bookmarkStart w:id="1131" w:name="_Toc16861"/>
      <w:r>
        <w:rPr>
          <w:rFonts w:hint="eastAsia" w:asciiTheme="minorEastAsia" w:hAnsiTheme="minorEastAsia" w:eastAsiaTheme="minorEastAsia" w:cstheme="minorEastAsia"/>
          <w:b/>
          <w:color w:val="auto"/>
          <w:sz w:val="21"/>
          <w:szCs w:val="21"/>
        </w:rPr>
        <w:t>18.6 试运行</w:t>
      </w:r>
      <w:bookmarkEnd w:id="1126"/>
      <w:bookmarkEnd w:id="1127"/>
      <w:bookmarkEnd w:id="1128"/>
      <w:bookmarkEnd w:id="1129"/>
      <w:bookmarkEnd w:id="1130"/>
      <w:bookmarkEnd w:id="1131"/>
    </w:p>
    <w:p w14:paraId="7FF4E4CC">
      <w:pPr>
        <w:pStyle w:val="8"/>
        <w:ind w:firstLine="420" w:firstLineChars="200"/>
        <w:rPr>
          <w:rFonts w:hint="eastAsia" w:asciiTheme="minorEastAsia" w:hAnsiTheme="minorEastAsia" w:eastAsiaTheme="minorEastAsia" w:cstheme="minorEastAsia"/>
          <w:color w:val="auto"/>
          <w:sz w:val="21"/>
          <w:szCs w:val="21"/>
        </w:rPr>
      </w:pPr>
      <w:bookmarkStart w:id="1132" w:name="_Toc199322082"/>
      <w:r>
        <w:rPr>
          <w:rFonts w:hint="eastAsia" w:asciiTheme="minorEastAsia" w:hAnsiTheme="minorEastAsia" w:eastAsiaTheme="minorEastAsia" w:cstheme="minorEastAsia"/>
          <w:color w:val="auto"/>
          <w:sz w:val="21"/>
          <w:szCs w:val="21"/>
        </w:rPr>
        <w:t xml:space="preserve">18.6.1 </w:t>
      </w:r>
      <w:bookmarkEnd w:id="1132"/>
      <w:r>
        <w:rPr>
          <w:rFonts w:hint="eastAsia" w:asciiTheme="minorEastAsia" w:hAnsiTheme="minorEastAsia" w:eastAsiaTheme="minorEastAsia" w:cstheme="minorEastAsia"/>
          <w:color w:val="auto"/>
          <w:sz w:val="21"/>
          <w:szCs w:val="21"/>
        </w:rPr>
        <w:t>发包人负责提出专项验收申请报告。承包人应按专项验收的相关规定参加专项验收。专项验收的具体类别在专用合同条款中约定。</w:t>
      </w:r>
    </w:p>
    <w:p w14:paraId="7E54C784">
      <w:pPr>
        <w:pStyle w:val="8"/>
        <w:ind w:firstLine="420" w:firstLineChars="200"/>
        <w:rPr>
          <w:rFonts w:hint="eastAsia" w:asciiTheme="minorEastAsia" w:hAnsiTheme="minorEastAsia" w:eastAsiaTheme="minorEastAsia" w:cstheme="minorEastAsia"/>
          <w:color w:val="auto"/>
          <w:sz w:val="21"/>
          <w:szCs w:val="21"/>
        </w:rPr>
      </w:pPr>
      <w:bookmarkStart w:id="1133" w:name="_Toc199322083"/>
      <w:r>
        <w:rPr>
          <w:rFonts w:hint="eastAsia" w:asciiTheme="minorEastAsia" w:hAnsiTheme="minorEastAsia" w:eastAsiaTheme="minorEastAsia" w:cstheme="minorEastAsia"/>
          <w:color w:val="auto"/>
          <w:sz w:val="21"/>
          <w:szCs w:val="21"/>
        </w:rPr>
        <w:t xml:space="preserve">18.6.2 </w:t>
      </w:r>
      <w:bookmarkEnd w:id="1133"/>
      <w:r>
        <w:rPr>
          <w:rFonts w:hint="eastAsia" w:asciiTheme="minorEastAsia" w:hAnsiTheme="minorEastAsia" w:eastAsiaTheme="minorEastAsia" w:cstheme="minorEastAsia"/>
          <w:color w:val="auto"/>
          <w:sz w:val="21"/>
          <w:szCs w:val="21"/>
        </w:rPr>
        <w:t>承包人应及时完成专项验收成果性文件载明应由承包人处理的遗留问题。</w:t>
      </w:r>
    </w:p>
    <w:p w14:paraId="129FA97B">
      <w:pPr>
        <w:rPr>
          <w:rFonts w:hint="eastAsia" w:asciiTheme="minorEastAsia" w:hAnsiTheme="minorEastAsia" w:eastAsiaTheme="minorEastAsia" w:cstheme="minorEastAsia"/>
          <w:b/>
          <w:color w:val="auto"/>
          <w:sz w:val="21"/>
          <w:szCs w:val="21"/>
        </w:rPr>
      </w:pPr>
      <w:bookmarkStart w:id="1134" w:name="_Toc229450878"/>
      <w:bookmarkStart w:id="1135" w:name="_Toc199322084"/>
      <w:bookmarkStart w:id="1136" w:name="_Toc6573"/>
      <w:bookmarkStart w:id="1137" w:name="_Toc265955011"/>
      <w:bookmarkStart w:id="1138" w:name="_Toc265653956"/>
      <w:bookmarkStart w:id="1139" w:name="_Toc265954712"/>
      <w:r>
        <w:rPr>
          <w:rFonts w:hint="eastAsia" w:asciiTheme="minorEastAsia" w:hAnsiTheme="minorEastAsia" w:eastAsiaTheme="minorEastAsia" w:cstheme="minorEastAsia"/>
          <w:b/>
          <w:color w:val="auto"/>
          <w:sz w:val="21"/>
          <w:szCs w:val="21"/>
        </w:rPr>
        <w:t>18.7 竣工</w:t>
      </w:r>
      <w:bookmarkEnd w:id="1134"/>
      <w:bookmarkEnd w:id="1135"/>
      <w:r>
        <w:rPr>
          <w:rFonts w:hint="eastAsia" w:asciiTheme="minorEastAsia" w:hAnsiTheme="minorEastAsia" w:eastAsiaTheme="minorEastAsia" w:cstheme="minorEastAsia"/>
          <w:b/>
          <w:color w:val="auto"/>
          <w:sz w:val="21"/>
          <w:szCs w:val="21"/>
        </w:rPr>
        <w:t>验收</w:t>
      </w:r>
      <w:bookmarkEnd w:id="1136"/>
      <w:bookmarkEnd w:id="1137"/>
      <w:bookmarkEnd w:id="1138"/>
      <w:bookmarkEnd w:id="1139"/>
    </w:p>
    <w:p w14:paraId="54AD38F9">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18.7.1 申请竣工验收前，发包人组织竣工验收自查，承包人应派代表参加。</w:t>
      </w:r>
    </w:p>
    <w:p w14:paraId="7D73D27C">
      <w:pPr>
        <w:pStyle w:val="8"/>
        <w:ind w:firstLine="412"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18.7.2 竣工验收分为竣工技术预验收和竣工验收两个阶段。发包人应通知承包人派代表参加技术预验收和竣工验收。</w:t>
      </w:r>
    </w:p>
    <w:p w14:paraId="1BCDD2DA">
      <w:pPr>
        <w:pStyle w:val="8"/>
        <w:ind w:firstLine="412"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18.7.3 专用合同条款约定工程需要进行技术鉴定的，承包人应提交有关资料并完成配合工作。</w:t>
      </w:r>
    </w:p>
    <w:p w14:paraId="4B0C7334">
      <w:pPr>
        <w:pStyle w:val="8"/>
        <w:ind w:firstLine="412"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18.7.4 竣工验收需要进行质量检测的，所需费用由发包人承担，但因承包人原因造成质量不合格的除外。</w:t>
      </w:r>
    </w:p>
    <w:p w14:paraId="3B127B4A">
      <w:pPr>
        <w:pStyle w:val="8"/>
        <w:ind w:firstLine="412"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18.7.5 工程质量保修期满以及竣工验收遗留问题和尾工处理完成并通过验收后，发包人负责将处理情况和验收成果报送竣工验收主持单位，申请领取工程竣工证书，并发送承包人。</w:t>
      </w:r>
    </w:p>
    <w:p w14:paraId="584FAC26">
      <w:pPr>
        <w:rPr>
          <w:rFonts w:hint="eastAsia" w:asciiTheme="minorEastAsia" w:hAnsiTheme="minorEastAsia" w:eastAsiaTheme="minorEastAsia" w:cstheme="minorEastAsia"/>
          <w:b/>
          <w:color w:val="auto"/>
          <w:sz w:val="21"/>
          <w:szCs w:val="21"/>
        </w:rPr>
      </w:pPr>
      <w:bookmarkStart w:id="1140" w:name="_Toc229450879"/>
      <w:bookmarkStart w:id="1141" w:name="_Toc265955012"/>
      <w:bookmarkStart w:id="1142" w:name="_Toc265954713"/>
      <w:bookmarkStart w:id="1143" w:name="_Toc12007"/>
      <w:bookmarkStart w:id="1144" w:name="_Toc265653957"/>
      <w:r>
        <w:rPr>
          <w:rFonts w:hint="eastAsia" w:asciiTheme="minorEastAsia" w:hAnsiTheme="minorEastAsia" w:eastAsiaTheme="minorEastAsia" w:cstheme="minorEastAsia"/>
          <w:b/>
          <w:color w:val="auto"/>
          <w:sz w:val="21"/>
          <w:szCs w:val="21"/>
        </w:rPr>
        <w:t>18.8 施工</w:t>
      </w:r>
      <w:bookmarkEnd w:id="1140"/>
      <w:r>
        <w:rPr>
          <w:rFonts w:hint="eastAsia" w:asciiTheme="minorEastAsia" w:hAnsiTheme="minorEastAsia" w:eastAsiaTheme="minorEastAsia" w:cstheme="minorEastAsia"/>
          <w:b/>
          <w:color w:val="auto"/>
          <w:sz w:val="21"/>
          <w:szCs w:val="21"/>
        </w:rPr>
        <w:t>期运行</w:t>
      </w:r>
      <w:bookmarkEnd w:id="1141"/>
      <w:bookmarkEnd w:id="1142"/>
      <w:bookmarkEnd w:id="1143"/>
      <w:bookmarkEnd w:id="1144"/>
    </w:p>
    <w:p w14:paraId="6413E619">
      <w:pPr>
        <w:pStyle w:val="8"/>
        <w:ind w:firstLine="412"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1EF84309">
      <w:pPr>
        <w:autoSpaceDE w:val="0"/>
        <w:autoSpaceDN w:val="0"/>
        <w:adjustRightInd w:val="0"/>
        <w:ind w:firstLine="309" w:firstLineChars="15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18.8.2 在施工期运行中发现工程或工程设备损坏或存在缺陷的，由承包人按第19.2款约定进行修复。</w:t>
      </w:r>
    </w:p>
    <w:p w14:paraId="3CD59B6C">
      <w:pPr>
        <w:rPr>
          <w:rFonts w:hint="eastAsia" w:asciiTheme="minorEastAsia" w:hAnsiTheme="minorEastAsia" w:eastAsiaTheme="minorEastAsia" w:cstheme="minorEastAsia"/>
          <w:b/>
          <w:color w:val="auto"/>
          <w:sz w:val="21"/>
          <w:szCs w:val="21"/>
        </w:rPr>
      </w:pPr>
      <w:bookmarkStart w:id="1145" w:name="_Toc22700"/>
      <w:bookmarkStart w:id="1146" w:name="_Toc265954714"/>
      <w:bookmarkStart w:id="1147" w:name="_Toc265955013"/>
      <w:bookmarkStart w:id="1148" w:name="_Toc265653958"/>
      <w:r>
        <w:rPr>
          <w:rFonts w:hint="eastAsia" w:asciiTheme="minorEastAsia" w:hAnsiTheme="minorEastAsia" w:eastAsiaTheme="minorEastAsia" w:cstheme="minorEastAsia"/>
          <w:b/>
          <w:color w:val="auto"/>
          <w:sz w:val="21"/>
          <w:szCs w:val="21"/>
        </w:rPr>
        <w:t>18.9 试运行</w:t>
      </w:r>
      <w:bookmarkEnd w:id="1145"/>
      <w:bookmarkEnd w:id="1146"/>
      <w:bookmarkEnd w:id="1147"/>
      <w:bookmarkEnd w:id="1148"/>
    </w:p>
    <w:p w14:paraId="4997120D">
      <w:pPr>
        <w:pStyle w:val="8"/>
        <w:ind w:firstLine="412"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18.9.1除专用合同条款另有约定外，承包人应按规定进行工程及工程设备试运行，负责提供试运行所需人员、器材和必要的条件，并承担全部试运行费用。</w:t>
      </w:r>
    </w:p>
    <w:p w14:paraId="5678EC3D">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05E2075D">
      <w:pPr>
        <w:rPr>
          <w:rFonts w:hint="eastAsia" w:asciiTheme="minorEastAsia" w:hAnsiTheme="minorEastAsia" w:eastAsiaTheme="minorEastAsia" w:cstheme="minorEastAsia"/>
          <w:b/>
          <w:color w:val="auto"/>
          <w:sz w:val="21"/>
          <w:szCs w:val="21"/>
        </w:rPr>
      </w:pPr>
      <w:bookmarkStart w:id="1149" w:name="_Toc8367"/>
      <w:bookmarkStart w:id="1150" w:name="_Toc265954715"/>
      <w:bookmarkStart w:id="1151" w:name="_Toc265653959"/>
      <w:bookmarkStart w:id="1152" w:name="_Toc265955014"/>
      <w:r>
        <w:rPr>
          <w:rFonts w:hint="eastAsia" w:asciiTheme="minorEastAsia" w:hAnsiTheme="minorEastAsia" w:eastAsiaTheme="minorEastAsia" w:cstheme="minorEastAsia"/>
          <w:b/>
          <w:color w:val="auto"/>
          <w:sz w:val="21"/>
          <w:szCs w:val="21"/>
        </w:rPr>
        <w:t>18.10 竣工（完工）清场</w:t>
      </w:r>
      <w:bookmarkEnd w:id="1149"/>
      <w:bookmarkEnd w:id="1150"/>
      <w:bookmarkEnd w:id="1151"/>
      <w:bookmarkEnd w:id="1152"/>
    </w:p>
    <w:p w14:paraId="485B4DB9">
      <w:pPr>
        <w:pStyle w:val="8"/>
        <w:ind w:firstLine="412"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18.10.1 工程项目竣工（完工）清场的工作范围和内容在技术标准和要求（合同技术条款）中约定。</w:t>
      </w:r>
    </w:p>
    <w:p w14:paraId="269F9835">
      <w:pPr>
        <w:pStyle w:val="8"/>
        <w:ind w:firstLine="412" w:firstLineChars="200"/>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18.10.2 承包人未按监理人的要求恢复临时占地，或者场地清理未达到合同约定的，发包人有权委托其它人恢复或清理，所发生的金额从拟支付给承包人款项中扣除。</w:t>
      </w:r>
    </w:p>
    <w:p w14:paraId="5F067AD3">
      <w:pPr>
        <w:rPr>
          <w:rFonts w:hint="eastAsia" w:asciiTheme="minorEastAsia" w:hAnsiTheme="minorEastAsia" w:eastAsiaTheme="minorEastAsia" w:cstheme="minorEastAsia"/>
          <w:b/>
          <w:color w:val="auto"/>
          <w:sz w:val="21"/>
          <w:szCs w:val="21"/>
        </w:rPr>
      </w:pPr>
      <w:bookmarkStart w:id="1153" w:name="_Toc265955015"/>
      <w:bookmarkStart w:id="1154" w:name="_Toc265653960"/>
      <w:bookmarkStart w:id="1155" w:name="_Toc13215"/>
      <w:bookmarkStart w:id="1156" w:name="_Toc265954716"/>
      <w:r>
        <w:rPr>
          <w:rFonts w:hint="eastAsia" w:asciiTheme="minorEastAsia" w:hAnsiTheme="minorEastAsia" w:eastAsiaTheme="minorEastAsia" w:cstheme="minorEastAsia"/>
          <w:b/>
          <w:color w:val="auto"/>
          <w:sz w:val="21"/>
          <w:szCs w:val="21"/>
        </w:rPr>
        <w:t>18.11 施工队伍的撤离</w:t>
      </w:r>
      <w:bookmarkEnd w:id="1153"/>
      <w:bookmarkEnd w:id="1154"/>
      <w:bookmarkEnd w:id="1155"/>
      <w:bookmarkEnd w:id="1156"/>
    </w:p>
    <w:p w14:paraId="6CF0054D">
      <w:pPr>
        <w:pStyle w:val="8"/>
        <w:ind w:firstLine="41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79693753">
      <w:pPr>
        <w:rPr>
          <w:rFonts w:hint="eastAsia" w:asciiTheme="minorEastAsia" w:hAnsiTheme="minorEastAsia" w:eastAsiaTheme="minorEastAsia" w:cstheme="minorEastAsia"/>
          <w:b/>
          <w:color w:val="auto"/>
          <w:sz w:val="21"/>
          <w:szCs w:val="21"/>
        </w:rPr>
      </w:pPr>
      <w:bookmarkStart w:id="1157" w:name="_Toc18706"/>
      <w:bookmarkStart w:id="1158" w:name="_Toc229450880"/>
      <w:bookmarkStart w:id="1159" w:name="_Toc265955016"/>
      <w:bookmarkStart w:id="1160" w:name="_Toc265954717"/>
      <w:bookmarkStart w:id="1161" w:name="_Toc199322085"/>
      <w:bookmarkStart w:id="1162" w:name="_Toc265653961"/>
      <w:r>
        <w:rPr>
          <w:rFonts w:hint="eastAsia" w:asciiTheme="minorEastAsia" w:hAnsiTheme="minorEastAsia" w:eastAsiaTheme="minorEastAsia" w:cstheme="minorEastAsia"/>
          <w:b/>
          <w:color w:val="auto"/>
          <w:sz w:val="21"/>
          <w:szCs w:val="21"/>
        </w:rPr>
        <w:t>19. 缺陷责任与保修责任</w:t>
      </w:r>
      <w:bookmarkEnd w:id="1157"/>
      <w:bookmarkEnd w:id="1158"/>
      <w:bookmarkEnd w:id="1159"/>
      <w:bookmarkEnd w:id="1160"/>
      <w:bookmarkEnd w:id="1161"/>
      <w:bookmarkEnd w:id="1162"/>
    </w:p>
    <w:p w14:paraId="77325956">
      <w:pPr>
        <w:rPr>
          <w:rFonts w:hint="eastAsia" w:asciiTheme="minorEastAsia" w:hAnsiTheme="minorEastAsia" w:eastAsiaTheme="minorEastAsia" w:cstheme="minorEastAsia"/>
          <w:b/>
          <w:color w:val="auto"/>
          <w:sz w:val="21"/>
          <w:szCs w:val="21"/>
        </w:rPr>
      </w:pPr>
      <w:bookmarkStart w:id="1163" w:name="_Toc12387"/>
      <w:bookmarkStart w:id="1164" w:name="_Toc199322086"/>
      <w:bookmarkStart w:id="1165" w:name="_Toc265653962"/>
      <w:bookmarkStart w:id="1166" w:name="_Toc265955017"/>
      <w:bookmarkStart w:id="1167" w:name="_Toc265954718"/>
      <w:bookmarkStart w:id="1168" w:name="_Toc229450881"/>
      <w:r>
        <w:rPr>
          <w:rFonts w:hint="eastAsia" w:asciiTheme="minorEastAsia" w:hAnsiTheme="minorEastAsia" w:eastAsiaTheme="minorEastAsia" w:cstheme="minorEastAsia"/>
          <w:b/>
          <w:color w:val="auto"/>
          <w:sz w:val="21"/>
          <w:szCs w:val="21"/>
        </w:rPr>
        <w:t>19.1 缺陷责任期（工程质量保修期）的起算时间</w:t>
      </w:r>
      <w:bookmarkEnd w:id="1163"/>
      <w:bookmarkEnd w:id="1164"/>
      <w:bookmarkEnd w:id="1165"/>
      <w:bookmarkEnd w:id="1166"/>
      <w:bookmarkEnd w:id="1167"/>
      <w:bookmarkEnd w:id="1168"/>
    </w:p>
    <w:p w14:paraId="2E4CF73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1DC2EA74">
      <w:pPr>
        <w:rPr>
          <w:rFonts w:hint="eastAsia" w:asciiTheme="minorEastAsia" w:hAnsiTheme="minorEastAsia" w:eastAsiaTheme="minorEastAsia" w:cstheme="minorEastAsia"/>
          <w:b/>
          <w:color w:val="auto"/>
          <w:sz w:val="21"/>
          <w:szCs w:val="21"/>
        </w:rPr>
      </w:pPr>
      <w:bookmarkStart w:id="1169" w:name="_Toc265653963"/>
      <w:bookmarkStart w:id="1170" w:name="_Toc265955018"/>
      <w:bookmarkStart w:id="1171" w:name="_Toc229450882"/>
      <w:bookmarkStart w:id="1172" w:name="_Toc3105"/>
      <w:bookmarkStart w:id="1173" w:name="_Toc265954719"/>
      <w:bookmarkStart w:id="1174" w:name="_Toc199322087"/>
      <w:r>
        <w:rPr>
          <w:rFonts w:hint="eastAsia" w:asciiTheme="minorEastAsia" w:hAnsiTheme="minorEastAsia" w:eastAsiaTheme="minorEastAsia" w:cstheme="minorEastAsia"/>
          <w:b/>
          <w:color w:val="auto"/>
          <w:sz w:val="21"/>
          <w:szCs w:val="21"/>
        </w:rPr>
        <w:t>19.2 缺陷责任</w:t>
      </w:r>
      <w:bookmarkEnd w:id="1169"/>
      <w:bookmarkEnd w:id="1170"/>
      <w:bookmarkEnd w:id="1171"/>
      <w:bookmarkEnd w:id="1172"/>
      <w:bookmarkEnd w:id="1173"/>
      <w:bookmarkEnd w:id="1174"/>
    </w:p>
    <w:p w14:paraId="25D47E10">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19.2.1 承包人应在缺陷责任期内对己交付使用的工程承担缺陷责任。</w:t>
      </w:r>
    </w:p>
    <w:p w14:paraId="463B6593">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19.2.2 缺陷责任期内，发包人对己接收使用的工程负责日常维护工作。发包人在使用过程中，发现已接收的工程存在新的缺陷或己修复的缺陷部位或部件又遭损坏的，承包人应负责修复，直至检验合格为止。</w:t>
      </w:r>
    </w:p>
    <w:p w14:paraId="16A6577F">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bookmarkStart w:id="1175" w:name="_Toc199322088"/>
      <w:r>
        <w:rPr>
          <w:rFonts w:hint="eastAsia" w:asciiTheme="minorEastAsia" w:hAnsiTheme="minorEastAsia" w:eastAsiaTheme="minorEastAsia" w:cstheme="minorEastAsia"/>
          <w:color w:val="auto"/>
          <w:kern w:val="0"/>
          <w:sz w:val="21"/>
          <w:szCs w:val="21"/>
        </w:rPr>
        <w:t>19.2.3 监理人和承包人应共同查清缺陷和(或)损坏的原因。经查明属承包人原因造成</w:t>
      </w:r>
      <w:bookmarkEnd w:id="1175"/>
      <w:r>
        <w:rPr>
          <w:rFonts w:hint="eastAsia" w:asciiTheme="minorEastAsia" w:hAnsiTheme="minorEastAsia" w:eastAsiaTheme="minorEastAsia" w:cstheme="minorEastAsia"/>
          <w:color w:val="auto"/>
          <w:kern w:val="0"/>
          <w:sz w:val="21"/>
          <w:szCs w:val="21"/>
        </w:rPr>
        <w:t>的，应由承包人承担修复和查验的费用。经查验属发包人原因造成的，发包人应承担修复和查验的费用，并支付承包人合理利润。</w:t>
      </w:r>
    </w:p>
    <w:p w14:paraId="61C0B72C">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19.2.4承包人不能在合理时间内修复缺陷的，发包人可自行修复或委托其他人修复，所需费用和利润的承担，按第:t页约定办理。</w:t>
      </w:r>
    </w:p>
    <w:p w14:paraId="5B00EBEC">
      <w:pPr>
        <w:rPr>
          <w:rFonts w:hint="eastAsia" w:asciiTheme="minorEastAsia" w:hAnsiTheme="minorEastAsia" w:eastAsiaTheme="minorEastAsia" w:cstheme="minorEastAsia"/>
          <w:b/>
          <w:color w:val="auto"/>
          <w:sz w:val="21"/>
          <w:szCs w:val="21"/>
        </w:rPr>
      </w:pPr>
      <w:bookmarkStart w:id="1176" w:name="_Toc265653964"/>
      <w:bookmarkStart w:id="1177" w:name="_Toc199322089"/>
      <w:bookmarkStart w:id="1178" w:name="_Toc265954720"/>
      <w:bookmarkStart w:id="1179" w:name="_Toc229450883"/>
      <w:bookmarkStart w:id="1180" w:name="_Toc265955019"/>
      <w:bookmarkStart w:id="1181" w:name="_Toc27077"/>
      <w:r>
        <w:rPr>
          <w:rFonts w:hint="eastAsia" w:asciiTheme="minorEastAsia" w:hAnsiTheme="minorEastAsia" w:eastAsiaTheme="minorEastAsia" w:cstheme="minorEastAsia"/>
          <w:b/>
          <w:color w:val="auto"/>
          <w:sz w:val="21"/>
          <w:szCs w:val="21"/>
        </w:rPr>
        <w:t>19.3 缺陷责任期的延长</w:t>
      </w:r>
      <w:bookmarkEnd w:id="1176"/>
      <w:bookmarkEnd w:id="1177"/>
      <w:bookmarkEnd w:id="1178"/>
      <w:bookmarkEnd w:id="1179"/>
      <w:bookmarkEnd w:id="1180"/>
      <w:bookmarkEnd w:id="1181"/>
    </w:p>
    <w:p w14:paraId="73FC1F2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z w:val="21"/>
          <w:szCs w:val="21"/>
        </w:rPr>
        <w:t>由于承包人原因造成某项缺陷或损坏使某项工程或工程设备不能按原定目标使用而需要再次检</w:t>
      </w:r>
      <w:r>
        <w:rPr>
          <w:rFonts w:hint="eastAsia" w:asciiTheme="minorEastAsia" w:hAnsiTheme="minorEastAsia" w:eastAsiaTheme="minorEastAsia" w:cstheme="minorEastAsia"/>
          <w:color w:val="auto"/>
          <w:kern w:val="0"/>
          <w:sz w:val="21"/>
          <w:szCs w:val="21"/>
        </w:rPr>
        <w:t>查、检验和修复的，发包人有权要求承包人相应延长缺陷责任期，但缺陷责任期最长不超过2年。</w:t>
      </w:r>
    </w:p>
    <w:p w14:paraId="11A59099">
      <w:pPr>
        <w:rPr>
          <w:rFonts w:hint="eastAsia" w:asciiTheme="minorEastAsia" w:hAnsiTheme="minorEastAsia" w:eastAsiaTheme="minorEastAsia" w:cstheme="minorEastAsia"/>
          <w:b/>
          <w:color w:val="auto"/>
          <w:sz w:val="21"/>
          <w:szCs w:val="21"/>
        </w:rPr>
      </w:pPr>
      <w:bookmarkStart w:id="1182" w:name="_Toc265955020"/>
      <w:bookmarkStart w:id="1183" w:name="_Toc199322090"/>
      <w:bookmarkStart w:id="1184" w:name="_Toc265653965"/>
      <w:bookmarkStart w:id="1185" w:name="_Toc229450884"/>
      <w:bookmarkStart w:id="1186" w:name="_Toc265954721"/>
      <w:bookmarkStart w:id="1187" w:name="_Toc19569"/>
      <w:r>
        <w:rPr>
          <w:rFonts w:hint="eastAsia" w:asciiTheme="minorEastAsia" w:hAnsiTheme="minorEastAsia" w:eastAsiaTheme="minorEastAsia" w:cstheme="minorEastAsia"/>
          <w:b/>
          <w:color w:val="auto"/>
          <w:sz w:val="21"/>
          <w:szCs w:val="21"/>
        </w:rPr>
        <w:t>19.4 进一步试验和试运行</w:t>
      </w:r>
      <w:bookmarkEnd w:id="1182"/>
      <w:bookmarkEnd w:id="1183"/>
      <w:bookmarkEnd w:id="1184"/>
      <w:bookmarkEnd w:id="1185"/>
      <w:bookmarkEnd w:id="1186"/>
      <w:bookmarkEnd w:id="1187"/>
    </w:p>
    <w:p w14:paraId="303BCC3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任何一项缺陷或损坏修复后，经检查证明其影响了工程或工程设备的使用性能，承包人应重新进行合同约定的试验和试运行，试验和试运行的全部费用应由责任方承担。</w:t>
      </w:r>
    </w:p>
    <w:p w14:paraId="61FD4C68">
      <w:pPr>
        <w:rPr>
          <w:rFonts w:hint="eastAsia" w:asciiTheme="minorEastAsia" w:hAnsiTheme="minorEastAsia" w:eastAsiaTheme="minorEastAsia" w:cstheme="minorEastAsia"/>
          <w:b/>
          <w:color w:val="auto"/>
          <w:sz w:val="21"/>
          <w:szCs w:val="21"/>
        </w:rPr>
      </w:pPr>
      <w:bookmarkStart w:id="1188" w:name="_Toc265954722"/>
      <w:bookmarkStart w:id="1189" w:name="_Toc199322091"/>
      <w:bookmarkStart w:id="1190" w:name="_Toc229450885"/>
      <w:bookmarkStart w:id="1191" w:name="_Toc1816"/>
      <w:bookmarkStart w:id="1192" w:name="_Toc265653966"/>
      <w:bookmarkStart w:id="1193" w:name="_Toc265955021"/>
      <w:r>
        <w:rPr>
          <w:rFonts w:hint="eastAsia" w:asciiTheme="minorEastAsia" w:hAnsiTheme="minorEastAsia" w:eastAsiaTheme="minorEastAsia" w:cstheme="minorEastAsia"/>
          <w:b/>
          <w:color w:val="auto"/>
          <w:sz w:val="21"/>
          <w:szCs w:val="21"/>
        </w:rPr>
        <w:t>19.5 承包人的进入权</w:t>
      </w:r>
      <w:bookmarkEnd w:id="1188"/>
      <w:bookmarkEnd w:id="1189"/>
      <w:bookmarkEnd w:id="1190"/>
      <w:bookmarkEnd w:id="1191"/>
      <w:bookmarkEnd w:id="1192"/>
      <w:bookmarkEnd w:id="1193"/>
    </w:p>
    <w:p w14:paraId="7219B04F">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缺陷责任期内承包人为缺陷修复王作需要，有权进入工程现场，但应遵守发包人的保安</w:t>
      </w:r>
    </w:p>
    <w:p w14:paraId="11443C5C">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和保密规定。</w:t>
      </w:r>
    </w:p>
    <w:p w14:paraId="2EA015CC">
      <w:pPr>
        <w:rPr>
          <w:rFonts w:hint="eastAsia" w:asciiTheme="minorEastAsia" w:hAnsiTheme="minorEastAsia" w:eastAsiaTheme="minorEastAsia" w:cstheme="minorEastAsia"/>
          <w:b/>
          <w:color w:val="auto"/>
          <w:sz w:val="21"/>
          <w:szCs w:val="21"/>
        </w:rPr>
      </w:pPr>
      <w:bookmarkStart w:id="1194" w:name="_Toc199322092"/>
      <w:bookmarkStart w:id="1195" w:name="_Toc229450886"/>
      <w:bookmarkStart w:id="1196" w:name="_Toc265653967"/>
      <w:bookmarkStart w:id="1197" w:name="_Toc265955022"/>
      <w:bookmarkStart w:id="1198" w:name="_Toc28367"/>
      <w:bookmarkStart w:id="1199" w:name="_Toc265954723"/>
      <w:r>
        <w:rPr>
          <w:rFonts w:hint="eastAsia" w:asciiTheme="minorEastAsia" w:hAnsiTheme="minorEastAsia" w:eastAsiaTheme="minorEastAsia" w:cstheme="minorEastAsia"/>
          <w:b/>
          <w:color w:val="auto"/>
          <w:sz w:val="21"/>
          <w:szCs w:val="21"/>
        </w:rPr>
        <w:t>19.6 缺陷责任期终止证书</w:t>
      </w:r>
      <w:bookmarkEnd w:id="1194"/>
      <w:bookmarkEnd w:id="1195"/>
      <w:r>
        <w:rPr>
          <w:rFonts w:hint="eastAsia" w:asciiTheme="minorEastAsia" w:hAnsiTheme="minorEastAsia" w:eastAsiaTheme="minorEastAsia" w:cstheme="minorEastAsia"/>
          <w:b/>
          <w:color w:val="auto"/>
          <w:sz w:val="21"/>
          <w:szCs w:val="21"/>
        </w:rPr>
        <w:t>（工程质量保修责任终止证书）</w:t>
      </w:r>
      <w:bookmarkEnd w:id="1196"/>
      <w:bookmarkEnd w:id="1197"/>
      <w:bookmarkEnd w:id="1198"/>
      <w:bookmarkEnd w:id="1199"/>
    </w:p>
    <w:p w14:paraId="6A6FBF13">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合同工程完工验收或投入使用验收后，发包人与承包人应办理工程交接手续，承包人应向发包人递交工程质量保修书。</w:t>
      </w:r>
    </w:p>
    <w:p w14:paraId="2BC21A53">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缺陷责任期（工程质量保修期）满后30个工作日内，发包人应向承包人颁发工程质量保修责任终止证书，并退还剩余的质量保证金，但保修责任范围内的质量缺陷未处理完成的应除外。</w:t>
      </w:r>
    </w:p>
    <w:p w14:paraId="3EB67EC4">
      <w:pPr>
        <w:rPr>
          <w:rFonts w:hint="eastAsia" w:asciiTheme="minorEastAsia" w:hAnsiTheme="minorEastAsia" w:eastAsiaTheme="minorEastAsia" w:cstheme="minorEastAsia"/>
          <w:b/>
          <w:color w:val="auto"/>
          <w:sz w:val="21"/>
          <w:szCs w:val="21"/>
        </w:rPr>
      </w:pPr>
      <w:bookmarkStart w:id="1200" w:name="_Toc265954724"/>
      <w:bookmarkStart w:id="1201" w:name="_Toc265653968"/>
      <w:bookmarkStart w:id="1202" w:name="_Toc29078"/>
      <w:bookmarkStart w:id="1203" w:name="_Toc229450887"/>
      <w:bookmarkStart w:id="1204" w:name="_Toc265955023"/>
      <w:bookmarkStart w:id="1205" w:name="_Toc199322093"/>
      <w:r>
        <w:rPr>
          <w:rFonts w:hint="eastAsia" w:asciiTheme="minorEastAsia" w:hAnsiTheme="minorEastAsia" w:eastAsiaTheme="minorEastAsia" w:cstheme="minorEastAsia"/>
          <w:b/>
          <w:color w:val="auto"/>
          <w:sz w:val="21"/>
          <w:szCs w:val="21"/>
        </w:rPr>
        <w:t>19.7 保修责任</w:t>
      </w:r>
      <w:bookmarkEnd w:id="1200"/>
      <w:bookmarkEnd w:id="1201"/>
      <w:bookmarkEnd w:id="1202"/>
      <w:bookmarkEnd w:id="1203"/>
      <w:bookmarkEnd w:id="1204"/>
      <w:bookmarkEnd w:id="1205"/>
    </w:p>
    <w:p w14:paraId="247EB74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652FB2BD">
      <w:pPr>
        <w:rPr>
          <w:rFonts w:hint="eastAsia" w:asciiTheme="minorEastAsia" w:hAnsiTheme="minorEastAsia" w:eastAsiaTheme="minorEastAsia" w:cstheme="minorEastAsia"/>
          <w:b/>
          <w:color w:val="auto"/>
          <w:sz w:val="21"/>
          <w:szCs w:val="21"/>
        </w:rPr>
      </w:pPr>
      <w:bookmarkStart w:id="1206" w:name="_Toc265653969"/>
      <w:bookmarkStart w:id="1207" w:name="_Toc30889"/>
      <w:bookmarkStart w:id="1208" w:name="_Toc265955024"/>
      <w:bookmarkStart w:id="1209" w:name="_Toc229450888"/>
      <w:bookmarkStart w:id="1210" w:name="_Toc265954725"/>
      <w:bookmarkStart w:id="1211" w:name="_Toc199322094"/>
      <w:r>
        <w:rPr>
          <w:rFonts w:hint="eastAsia" w:asciiTheme="minorEastAsia" w:hAnsiTheme="minorEastAsia" w:eastAsiaTheme="minorEastAsia" w:cstheme="minorEastAsia"/>
          <w:b/>
          <w:color w:val="auto"/>
          <w:sz w:val="21"/>
          <w:szCs w:val="21"/>
        </w:rPr>
        <w:t>20. 保险</w:t>
      </w:r>
      <w:bookmarkEnd w:id="1206"/>
      <w:bookmarkEnd w:id="1207"/>
      <w:bookmarkEnd w:id="1208"/>
      <w:bookmarkEnd w:id="1209"/>
      <w:bookmarkEnd w:id="1210"/>
      <w:bookmarkEnd w:id="1211"/>
    </w:p>
    <w:p w14:paraId="1AF28F93">
      <w:pPr>
        <w:rPr>
          <w:rFonts w:hint="eastAsia" w:asciiTheme="minorEastAsia" w:hAnsiTheme="minorEastAsia" w:eastAsiaTheme="minorEastAsia" w:cstheme="minorEastAsia"/>
          <w:b/>
          <w:color w:val="auto"/>
          <w:sz w:val="21"/>
          <w:szCs w:val="21"/>
        </w:rPr>
      </w:pPr>
      <w:bookmarkStart w:id="1212" w:name="_Toc199322095"/>
      <w:bookmarkStart w:id="1213" w:name="_Toc265955025"/>
      <w:bookmarkStart w:id="1214" w:name="_Toc265954726"/>
      <w:bookmarkStart w:id="1215" w:name="_Toc15785"/>
      <w:bookmarkStart w:id="1216" w:name="_Toc265653970"/>
      <w:bookmarkStart w:id="1217" w:name="_Toc229450889"/>
      <w:r>
        <w:rPr>
          <w:rFonts w:hint="eastAsia" w:asciiTheme="minorEastAsia" w:hAnsiTheme="minorEastAsia" w:eastAsiaTheme="minorEastAsia" w:cstheme="minorEastAsia"/>
          <w:b/>
          <w:color w:val="auto"/>
          <w:sz w:val="21"/>
          <w:szCs w:val="21"/>
        </w:rPr>
        <w:t>20.1 工程保险</w:t>
      </w:r>
      <w:bookmarkEnd w:id="1212"/>
      <w:bookmarkEnd w:id="1213"/>
      <w:bookmarkEnd w:id="1214"/>
      <w:bookmarkEnd w:id="1215"/>
      <w:bookmarkEnd w:id="1216"/>
      <w:bookmarkEnd w:id="1217"/>
    </w:p>
    <w:p w14:paraId="430411B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除专用合同条款另有约定外，承包人应以发包人和承包人的共同名义向双方同意的保险人投保</w:t>
      </w:r>
      <w:r>
        <w:rPr>
          <w:rFonts w:hint="eastAsia" w:asciiTheme="minorEastAsia" w:hAnsiTheme="minorEastAsia" w:eastAsiaTheme="minorEastAsia" w:cstheme="minorEastAsia"/>
          <w:color w:val="auto"/>
          <w:kern w:val="0"/>
          <w:sz w:val="21"/>
          <w:szCs w:val="21"/>
          <w:lang w:eastAsia="zh-CN"/>
        </w:rPr>
        <w:t>建筑工程工程</w:t>
      </w:r>
      <w:r>
        <w:rPr>
          <w:rFonts w:hint="eastAsia" w:asciiTheme="minorEastAsia" w:hAnsiTheme="minorEastAsia" w:eastAsiaTheme="minorEastAsia" w:cstheme="minorEastAsia"/>
          <w:color w:val="auto"/>
          <w:kern w:val="0"/>
          <w:sz w:val="21"/>
          <w:szCs w:val="21"/>
        </w:rPr>
        <w:t>一切险、安装工程一切险。其具体的投保内容、保险金额、保险费率、保险期限等有关内容在专用合同条款中约定。</w:t>
      </w:r>
    </w:p>
    <w:p w14:paraId="6584984A">
      <w:pPr>
        <w:rPr>
          <w:rFonts w:hint="eastAsia" w:asciiTheme="minorEastAsia" w:hAnsiTheme="minorEastAsia" w:eastAsiaTheme="minorEastAsia" w:cstheme="minorEastAsia"/>
          <w:b/>
          <w:color w:val="auto"/>
          <w:sz w:val="21"/>
          <w:szCs w:val="21"/>
        </w:rPr>
      </w:pPr>
      <w:bookmarkStart w:id="1218" w:name="_Toc265955026"/>
      <w:bookmarkStart w:id="1219" w:name="_Toc229450890"/>
      <w:bookmarkStart w:id="1220" w:name="_Toc265954727"/>
      <w:bookmarkStart w:id="1221" w:name="_Toc199322096"/>
      <w:bookmarkStart w:id="1222" w:name="_Toc1709"/>
      <w:bookmarkStart w:id="1223" w:name="_Toc265653971"/>
      <w:r>
        <w:rPr>
          <w:rFonts w:hint="eastAsia" w:asciiTheme="minorEastAsia" w:hAnsiTheme="minorEastAsia" w:eastAsiaTheme="minorEastAsia" w:cstheme="minorEastAsia"/>
          <w:b/>
          <w:color w:val="auto"/>
          <w:sz w:val="21"/>
          <w:szCs w:val="21"/>
        </w:rPr>
        <w:t>20.2 人员工伤事故的保险</w:t>
      </w:r>
      <w:bookmarkEnd w:id="1218"/>
      <w:bookmarkEnd w:id="1219"/>
      <w:bookmarkEnd w:id="1220"/>
      <w:bookmarkEnd w:id="1221"/>
      <w:bookmarkEnd w:id="1222"/>
      <w:bookmarkEnd w:id="1223"/>
    </w:p>
    <w:p w14:paraId="04A55B71">
      <w:pPr>
        <w:pStyle w:val="8"/>
        <w:ind w:firstLine="420" w:firstLineChars="200"/>
        <w:rPr>
          <w:rFonts w:hint="eastAsia" w:asciiTheme="minorEastAsia" w:hAnsiTheme="minorEastAsia" w:eastAsiaTheme="minorEastAsia" w:cstheme="minorEastAsia"/>
          <w:color w:val="auto"/>
          <w:sz w:val="21"/>
          <w:szCs w:val="21"/>
        </w:rPr>
      </w:pPr>
      <w:bookmarkStart w:id="1224" w:name="_Toc199322097"/>
      <w:r>
        <w:rPr>
          <w:rFonts w:hint="eastAsia" w:asciiTheme="minorEastAsia" w:hAnsiTheme="minorEastAsia" w:eastAsiaTheme="minorEastAsia" w:cstheme="minorEastAsia"/>
          <w:color w:val="auto"/>
          <w:sz w:val="21"/>
          <w:szCs w:val="21"/>
        </w:rPr>
        <w:t>20.2.1 承包人员工伤事故的保险</w:t>
      </w:r>
      <w:bookmarkEnd w:id="1224"/>
    </w:p>
    <w:p w14:paraId="010CAF2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承包人应依照有关法律规定参加工伤保险，为其履行合同所雇佣的全部人员，缴纳工伤保险费，并要求其分包人也进行此项保险。</w:t>
      </w:r>
    </w:p>
    <w:p w14:paraId="4012EEA5">
      <w:pPr>
        <w:pStyle w:val="8"/>
        <w:ind w:firstLine="420" w:firstLineChars="200"/>
        <w:rPr>
          <w:rFonts w:hint="eastAsia" w:asciiTheme="minorEastAsia" w:hAnsiTheme="minorEastAsia" w:eastAsiaTheme="minorEastAsia" w:cstheme="minorEastAsia"/>
          <w:color w:val="auto"/>
          <w:sz w:val="21"/>
          <w:szCs w:val="21"/>
        </w:rPr>
      </w:pPr>
      <w:bookmarkStart w:id="1225" w:name="_Toc199322098"/>
      <w:r>
        <w:rPr>
          <w:rFonts w:hint="eastAsia" w:asciiTheme="minorEastAsia" w:hAnsiTheme="minorEastAsia" w:eastAsiaTheme="minorEastAsia" w:cstheme="minorEastAsia"/>
          <w:color w:val="auto"/>
          <w:sz w:val="21"/>
          <w:szCs w:val="21"/>
        </w:rPr>
        <w:t>20.2.2 发包人员工伤事故的保险</w:t>
      </w:r>
      <w:bookmarkEnd w:id="1225"/>
    </w:p>
    <w:p w14:paraId="7AB449E5">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发包人应依照有关法律规定参加工伤保险，为其现场机构雇佣的全部人员，缴纳工伤保险费，并要求其监理人也进行此项保险。</w:t>
      </w:r>
    </w:p>
    <w:p w14:paraId="6CAFBB3E">
      <w:pPr>
        <w:rPr>
          <w:rFonts w:hint="eastAsia" w:asciiTheme="minorEastAsia" w:hAnsiTheme="minorEastAsia" w:eastAsiaTheme="minorEastAsia" w:cstheme="minorEastAsia"/>
          <w:b/>
          <w:color w:val="auto"/>
          <w:sz w:val="21"/>
          <w:szCs w:val="21"/>
        </w:rPr>
      </w:pPr>
      <w:bookmarkStart w:id="1226" w:name="_Toc265955027"/>
      <w:bookmarkStart w:id="1227" w:name="_Toc229450891"/>
      <w:bookmarkStart w:id="1228" w:name="_Toc12169"/>
      <w:bookmarkStart w:id="1229" w:name="_Toc265954728"/>
      <w:bookmarkStart w:id="1230" w:name="_Toc265653972"/>
      <w:bookmarkStart w:id="1231" w:name="_Toc199322099"/>
      <w:r>
        <w:rPr>
          <w:rFonts w:hint="eastAsia" w:asciiTheme="minorEastAsia" w:hAnsiTheme="minorEastAsia" w:eastAsiaTheme="minorEastAsia" w:cstheme="minorEastAsia"/>
          <w:b/>
          <w:color w:val="auto"/>
          <w:sz w:val="21"/>
          <w:szCs w:val="21"/>
        </w:rPr>
        <w:t>20.3 人身意外伤害险</w:t>
      </w:r>
      <w:bookmarkEnd w:id="1226"/>
      <w:bookmarkEnd w:id="1227"/>
      <w:bookmarkEnd w:id="1228"/>
      <w:bookmarkEnd w:id="1229"/>
      <w:bookmarkEnd w:id="1230"/>
      <w:bookmarkEnd w:id="1231"/>
    </w:p>
    <w:p w14:paraId="48D76421">
      <w:pPr>
        <w:pStyle w:val="8"/>
        <w:ind w:firstLine="420" w:firstLineChars="200"/>
        <w:rPr>
          <w:rFonts w:hint="eastAsia" w:asciiTheme="minorEastAsia" w:hAnsiTheme="minorEastAsia" w:eastAsiaTheme="minorEastAsia" w:cstheme="minorEastAsia"/>
          <w:color w:val="auto"/>
          <w:sz w:val="21"/>
          <w:szCs w:val="21"/>
        </w:rPr>
      </w:pPr>
      <w:bookmarkStart w:id="1232" w:name="_Toc199322100"/>
      <w:r>
        <w:rPr>
          <w:rFonts w:hint="eastAsia" w:asciiTheme="minorEastAsia" w:hAnsiTheme="minorEastAsia" w:eastAsiaTheme="minorEastAsia" w:cstheme="minorEastAsia"/>
          <w:color w:val="auto"/>
          <w:sz w:val="21"/>
          <w:szCs w:val="21"/>
        </w:rPr>
        <w:t>20.3.1 发包人应在整个施工期间为其现场机构雇用的全部人员，投保人身意外伤害险，缴纳保险费，并要求其监理人也进行此项保险。</w:t>
      </w:r>
      <w:bookmarkEnd w:id="1232"/>
    </w:p>
    <w:p w14:paraId="061AFEDF">
      <w:pPr>
        <w:autoSpaceDE w:val="0"/>
        <w:autoSpaceDN w:val="0"/>
        <w:adjustRightInd w:val="0"/>
        <w:ind w:firstLine="359" w:firstLineChars="171"/>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20.3.2 承包人应在整个施工期间为其现场机构雇用的全部人员，投保人身意外伤害险，缴纳保险费，并要求其分包人也进行此项保险。</w:t>
      </w:r>
    </w:p>
    <w:p w14:paraId="4EB5E106">
      <w:pPr>
        <w:rPr>
          <w:rFonts w:hint="eastAsia" w:asciiTheme="minorEastAsia" w:hAnsiTheme="minorEastAsia" w:eastAsiaTheme="minorEastAsia" w:cstheme="minorEastAsia"/>
          <w:b/>
          <w:color w:val="auto"/>
          <w:sz w:val="21"/>
          <w:szCs w:val="21"/>
        </w:rPr>
      </w:pPr>
      <w:bookmarkStart w:id="1233" w:name="_Toc199322101"/>
      <w:bookmarkStart w:id="1234" w:name="_Toc229450892"/>
      <w:bookmarkStart w:id="1235" w:name="_Toc265653973"/>
      <w:bookmarkStart w:id="1236" w:name="_Toc265955028"/>
      <w:bookmarkStart w:id="1237" w:name="_Toc265954729"/>
      <w:bookmarkStart w:id="1238" w:name="_Toc1385"/>
      <w:r>
        <w:rPr>
          <w:rFonts w:hint="eastAsia" w:asciiTheme="minorEastAsia" w:hAnsiTheme="minorEastAsia" w:eastAsiaTheme="minorEastAsia" w:cstheme="minorEastAsia"/>
          <w:b/>
          <w:color w:val="auto"/>
          <w:sz w:val="21"/>
          <w:szCs w:val="21"/>
        </w:rPr>
        <w:t>20.4 第三者责任险</w:t>
      </w:r>
      <w:bookmarkEnd w:id="1233"/>
      <w:bookmarkEnd w:id="1234"/>
      <w:bookmarkEnd w:id="1235"/>
      <w:bookmarkEnd w:id="1236"/>
      <w:bookmarkEnd w:id="1237"/>
      <w:bookmarkEnd w:id="1238"/>
    </w:p>
    <w:p w14:paraId="1A930172">
      <w:pPr>
        <w:pStyle w:val="8"/>
        <w:ind w:firstLine="420" w:firstLineChars="200"/>
        <w:rPr>
          <w:rFonts w:hint="eastAsia" w:asciiTheme="minorEastAsia" w:hAnsiTheme="minorEastAsia" w:eastAsiaTheme="minorEastAsia" w:cstheme="minorEastAsia"/>
          <w:color w:val="auto"/>
          <w:sz w:val="21"/>
          <w:szCs w:val="21"/>
        </w:rPr>
      </w:pPr>
      <w:bookmarkStart w:id="1239" w:name="_Toc199322102"/>
      <w:r>
        <w:rPr>
          <w:rFonts w:hint="eastAsia" w:asciiTheme="minorEastAsia" w:hAnsiTheme="minorEastAsia" w:eastAsiaTheme="minorEastAsia" w:cstheme="minorEastAsia"/>
          <w:color w:val="auto"/>
          <w:sz w:val="21"/>
          <w:szCs w:val="21"/>
        </w:rPr>
        <w:t>20.4.1 第三者责任系指在保险期内，对因工程意外事故造成的、依法应由被保险人负责</w:t>
      </w:r>
      <w:bookmarkEnd w:id="1239"/>
      <w:r>
        <w:rPr>
          <w:rFonts w:hint="eastAsia" w:asciiTheme="minorEastAsia" w:hAnsiTheme="minorEastAsia" w:eastAsiaTheme="minorEastAsia" w:cstheme="minorEastAsia"/>
          <w:color w:val="auto"/>
          <w:sz w:val="21"/>
          <w:szCs w:val="21"/>
        </w:rPr>
        <w:t>的工地上及毗邻地区的第三者人身伤亡、疾病或财产损失。</w:t>
      </w:r>
    </w:p>
    <w:p w14:paraId="11D89A7F">
      <w:pPr>
        <w:pStyle w:val="8"/>
        <w:ind w:firstLine="420" w:firstLineChars="200"/>
        <w:rPr>
          <w:rFonts w:hint="eastAsia" w:asciiTheme="minorEastAsia" w:hAnsiTheme="minorEastAsia" w:eastAsiaTheme="minorEastAsia" w:cstheme="minorEastAsia"/>
          <w:color w:val="auto"/>
          <w:spacing w:val="-4"/>
          <w:sz w:val="21"/>
          <w:szCs w:val="21"/>
        </w:rPr>
      </w:pPr>
      <w:bookmarkStart w:id="1240" w:name="_Toc199322103"/>
      <w:r>
        <w:rPr>
          <w:rFonts w:hint="eastAsia" w:asciiTheme="minorEastAsia" w:hAnsiTheme="minorEastAsia" w:eastAsiaTheme="minorEastAsia" w:cstheme="minorEastAsia"/>
          <w:color w:val="auto"/>
          <w:sz w:val="21"/>
          <w:szCs w:val="21"/>
        </w:rPr>
        <w:t>20.4.2 在缺陷责任期终止证书颁发前，承包人应以承包人和发包人的共同名义，投保第</w:t>
      </w:r>
      <w:bookmarkEnd w:id="1240"/>
      <w:bookmarkStart w:id="1241" w:name="_Toc199322104"/>
      <w:r>
        <w:rPr>
          <w:rFonts w:hint="eastAsia" w:asciiTheme="minorEastAsia" w:hAnsiTheme="minorEastAsia" w:eastAsiaTheme="minorEastAsia" w:cstheme="minorEastAsia"/>
          <w:color w:val="auto"/>
          <w:spacing w:val="-4"/>
          <w:sz w:val="21"/>
          <w:szCs w:val="21"/>
        </w:rPr>
        <w:t>20.4.1 项约定的第三者责任险，其保险费率、保险金额等有关内容在专用合同条款中约定。</w:t>
      </w:r>
      <w:bookmarkEnd w:id="1241"/>
    </w:p>
    <w:p w14:paraId="6D6F0A1F">
      <w:pPr>
        <w:rPr>
          <w:rFonts w:hint="eastAsia" w:asciiTheme="minorEastAsia" w:hAnsiTheme="minorEastAsia" w:eastAsiaTheme="minorEastAsia" w:cstheme="minorEastAsia"/>
          <w:b/>
          <w:color w:val="auto"/>
          <w:sz w:val="21"/>
          <w:szCs w:val="21"/>
        </w:rPr>
      </w:pPr>
      <w:bookmarkStart w:id="1242" w:name="_Toc265653974"/>
      <w:bookmarkStart w:id="1243" w:name="_Toc265955029"/>
      <w:bookmarkStart w:id="1244" w:name="_Toc265954730"/>
      <w:bookmarkStart w:id="1245" w:name="_Toc15836"/>
      <w:bookmarkStart w:id="1246" w:name="_Toc229450893"/>
      <w:bookmarkStart w:id="1247" w:name="_Toc199322105"/>
      <w:r>
        <w:rPr>
          <w:rFonts w:hint="eastAsia" w:asciiTheme="minorEastAsia" w:hAnsiTheme="minorEastAsia" w:eastAsiaTheme="minorEastAsia" w:cstheme="minorEastAsia"/>
          <w:b/>
          <w:color w:val="auto"/>
          <w:sz w:val="21"/>
          <w:szCs w:val="21"/>
        </w:rPr>
        <w:t>20.5 其他保险</w:t>
      </w:r>
      <w:bookmarkEnd w:id="1242"/>
      <w:bookmarkEnd w:id="1243"/>
      <w:bookmarkEnd w:id="1244"/>
      <w:bookmarkEnd w:id="1245"/>
      <w:bookmarkEnd w:id="1246"/>
      <w:bookmarkEnd w:id="1247"/>
    </w:p>
    <w:p w14:paraId="6C070B4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除专用合同条款另有约定外，承包人应为其施工设备、进场的材料和工程设备等办理保险。</w:t>
      </w:r>
    </w:p>
    <w:p w14:paraId="7AE9327A">
      <w:pPr>
        <w:rPr>
          <w:rFonts w:hint="eastAsia" w:asciiTheme="minorEastAsia" w:hAnsiTheme="minorEastAsia" w:eastAsiaTheme="minorEastAsia" w:cstheme="minorEastAsia"/>
          <w:b/>
          <w:color w:val="auto"/>
          <w:sz w:val="21"/>
          <w:szCs w:val="21"/>
        </w:rPr>
      </w:pPr>
      <w:bookmarkStart w:id="1248" w:name="_Toc265954731"/>
      <w:bookmarkStart w:id="1249" w:name="_Toc9208"/>
      <w:bookmarkStart w:id="1250" w:name="_Toc199322106"/>
      <w:bookmarkStart w:id="1251" w:name="_Toc265955030"/>
      <w:bookmarkStart w:id="1252" w:name="_Toc229450894"/>
      <w:bookmarkStart w:id="1253" w:name="_Toc265653975"/>
      <w:r>
        <w:rPr>
          <w:rFonts w:hint="eastAsia" w:asciiTheme="minorEastAsia" w:hAnsiTheme="minorEastAsia" w:eastAsiaTheme="minorEastAsia" w:cstheme="minorEastAsia"/>
          <w:b/>
          <w:color w:val="auto"/>
          <w:sz w:val="21"/>
          <w:szCs w:val="21"/>
        </w:rPr>
        <w:t>20.6 对各项保险的一般要求</w:t>
      </w:r>
      <w:bookmarkEnd w:id="1248"/>
      <w:bookmarkEnd w:id="1249"/>
      <w:bookmarkEnd w:id="1250"/>
      <w:bookmarkEnd w:id="1251"/>
      <w:bookmarkEnd w:id="1252"/>
      <w:bookmarkEnd w:id="1253"/>
    </w:p>
    <w:p w14:paraId="0C6555FC">
      <w:pPr>
        <w:pStyle w:val="8"/>
        <w:ind w:firstLine="420" w:firstLineChars="200"/>
        <w:rPr>
          <w:rFonts w:hint="eastAsia" w:asciiTheme="minorEastAsia" w:hAnsiTheme="minorEastAsia" w:eastAsiaTheme="minorEastAsia" w:cstheme="minorEastAsia"/>
          <w:color w:val="auto"/>
          <w:sz w:val="21"/>
          <w:szCs w:val="21"/>
        </w:rPr>
      </w:pPr>
      <w:bookmarkStart w:id="1254" w:name="_Toc199322107"/>
      <w:r>
        <w:rPr>
          <w:rFonts w:hint="eastAsia" w:asciiTheme="minorEastAsia" w:hAnsiTheme="minorEastAsia" w:eastAsiaTheme="minorEastAsia" w:cstheme="minorEastAsia"/>
          <w:color w:val="auto"/>
          <w:sz w:val="21"/>
          <w:szCs w:val="21"/>
        </w:rPr>
        <w:t>20.6.1 保险凭证</w:t>
      </w:r>
      <w:bookmarkEnd w:id="1254"/>
    </w:p>
    <w:p w14:paraId="58856A99">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承包人应在专用合同条款约定的期限内向发包人提交各项保险生效的证据和保险单副本，保险单必须与专用合同条款约定的条件保持一致。</w:t>
      </w:r>
    </w:p>
    <w:p w14:paraId="2D2B05B9">
      <w:pPr>
        <w:pStyle w:val="8"/>
        <w:ind w:firstLine="420" w:firstLineChars="200"/>
        <w:rPr>
          <w:rFonts w:hint="eastAsia" w:asciiTheme="minorEastAsia" w:hAnsiTheme="minorEastAsia" w:eastAsiaTheme="minorEastAsia" w:cstheme="minorEastAsia"/>
          <w:color w:val="auto"/>
          <w:sz w:val="21"/>
          <w:szCs w:val="21"/>
        </w:rPr>
      </w:pPr>
      <w:bookmarkStart w:id="1255" w:name="_Toc199322108"/>
      <w:r>
        <w:rPr>
          <w:rFonts w:hint="eastAsia" w:asciiTheme="minorEastAsia" w:hAnsiTheme="minorEastAsia" w:eastAsiaTheme="minorEastAsia" w:cstheme="minorEastAsia"/>
          <w:color w:val="auto"/>
          <w:sz w:val="21"/>
          <w:szCs w:val="21"/>
        </w:rPr>
        <w:t>20.6.2 保险合同条款的变动</w:t>
      </w:r>
      <w:bookmarkEnd w:id="1255"/>
    </w:p>
    <w:p w14:paraId="77EBDEAA">
      <w:pPr>
        <w:autoSpaceDE w:val="0"/>
        <w:autoSpaceDN w:val="0"/>
        <w:adjustRightInd w:val="0"/>
        <w:ind w:firstLine="316"/>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承包人需要变动保险合同条款时，应事先征得发包人同意，并通知监理人。保险人作出变动的，承包人应在收到保险人通知后立即通知发包人和监理人。</w:t>
      </w:r>
    </w:p>
    <w:p w14:paraId="73DF2E35">
      <w:pPr>
        <w:pStyle w:val="8"/>
        <w:ind w:firstLine="420" w:firstLineChars="200"/>
        <w:rPr>
          <w:rFonts w:hint="eastAsia" w:asciiTheme="minorEastAsia" w:hAnsiTheme="minorEastAsia" w:eastAsiaTheme="minorEastAsia" w:cstheme="minorEastAsia"/>
          <w:color w:val="auto"/>
          <w:sz w:val="21"/>
          <w:szCs w:val="21"/>
        </w:rPr>
      </w:pPr>
      <w:bookmarkStart w:id="1256" w:name="_Toc199322109"/>
      <w:r>
        <w:rPr>
          <w:rFonts w:hint="eastAsia" w:asciiTheme="minorEastAsia" w:hAnsiTheme="minorEastAsia" w:eastAsiaTheme="minorEastAsia" w:cstheme="minorEastAsia"/>
          <w:color w:val="auto"/>
          <w:sz w:val="21"/>
          <w:szCs w:val="21"/>
        </w:rPr>
        <w:t>20.6.3 持续保险</w:t>
      </w:r>
      <w:bookmarkEnd w:id="1256"/>
    </w:p>
    <w:p w14:paraId="139B71D6">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承包人应与保险人保持联系，使保险人能够随时了解工程实施中的变动，并确保按保险合同条款要求持续保险。</w:t>
      </w:r>
    </w:p>
    <w:p w14:paraId="0A06FB5C">
      <w:pPr>
        <w:pStyle w:val="8"/>
        <w:ind w:firstLine="420" w:firstLineChars="200"/>
        <w:rPr>
          <w:rFonts w:hint="eastAsia" w:asciiTheme="minorEastAsia" w:hAnsiTheme="minorEastAsia" w:eastAsiaTheme="minorEastAsia" w:cstheme="minorEastAsia"/>
          <w:color w:val="auto"/>
          <w:sz w:val="21"/>
          <w:szCs w:val="21"/>
        </w:rPr>
      </w:pPr>
      <w:bookmarkStart w:id="1257" w:name="_Toc199322110"/>
      <w:r>
        <w:rPr>
          <w:rFonts w:hint="eastAsia" w:asciiTheme="minorEastAsia" w:hAnsiTheme="minorEastAsia" w:eastAsiaTheme="minorEastAsia" w:cstheme="minorEastAsia"/>
          <w:color w:val="auto"/>
          <w:sz w:val="21"/>
          <w:szCs w:val="21"/>
        </w:rPr>
        <w:t xml:space="preserve">20.6.4 </w:t>
      </w:r>
      <w:bookmarkEnd w:id="1257"/>
      <w:r>
        <w:rPr>
          <w:rFonts w:hint="eastAsia" w:asciiTheme="minorEastAsia" w:hAnsiTheme="minorEastAsia" w:eastAsiaTheme="minorEastAsia" w:cstheme="minorEastAsia"/>
          <w:color w:val="auto"/>
          <w:sz w:val="21"/>
          <w:szCs w:val="21"/>
        </w:rPr>
        <w:t>保险金不足以补偿损失时，应由承包人和发包人各自负责补偿的范围和金额在专用合同条款中约定。</w:t>
      </w:r>
    </w:p>
    <w:p w14:paraId="5541466E">
      <w:pPr>
        <w:pStyle w:val="8"/>
        <w:widowControl/>
        <w:ind w:firstLine="420" w:firstLineChars="200"/>
        <w:jc w:val="left"/>
        <w:rPr>
          <w:rFonts w:hint="eastAsia" w:asciiTheme="minorEastAsia" w:hAnsiTheme="minorEastAsia" w:eastAsiaTheme="minorEastAsia" w:cstheme="minorEastAsia"/>
          <w:color w:val="auto"/>
          <w:sz w:val="21"/>
          <w:szCs w:val="21"/>
        </w:rPr>
      </w:pPr>
      <w:bookmarkStart w:id="1258" w:name="_Toc199322111"/>
      <w:r>
        <w:rPr>
          <w:rFonts w:hint="eastAsia" w:asciiTheme="minorEastAsia" w:hAnsiTheme="minorEastAsia" w:eastAsiaTheme="minorEastAsia" w:cstheme="minorEastAsia"/>
          <w:color w:val="auto"/>
          <w:sz w:val="21"/>
          <w:szCs w:val="21"/>
        </w:rPr>
        <w:t>20.6.5 未按约定投保的补救</w:t>
      </w:r>
      <w:bookmarkEnd w:id="1258"/>
    </w:p>
    <w:p w14:paraId="34CA5837">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由于负有投保义务的一方当事人未按合同约定办理保险，或未能使保险持续有效的，另一方当事人可代为办理，所需费用由对方当事人承担。</w:t>
      </w:r>
    </w:p>
    <w:p w14:paraId="5F46C873">
      <w:pPr>
        <w:widowControl/>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由于负有投保义务的一方当事人未按合同约定办理某项保险，导致受益人未能得到保险人的赔偿，原应从该项保险得到的保险金应由负有投保义务的一方当事人支付。</w:t>
      </w:r>
    </w:p>
    <w:p w14:paraId="499FE8C4">
      <w:pPr>
        <w:pStyle w:val="8"/>
        <w:widowControl/>
        <w:ind w:firstLine="420" w:firstLineChars="200"/>
        <w:jc w:val="left"/>
        <w:rPr>
          <w:rFonts w:hint="eastAsia" w:asciiTheme="minorEastAsia" w:hAnsiTheme="minorEastAsia" w:eastAsiaTheme="minorEastAsia" w:cstheme="minorEastAsia"/>
          <w:color w:val="auto"/>
          <w:sz w:val="21"/>
          <w:szCs w:val="21"/>
        </w:rPr>
      </w:pPr>
      <w:bookmarkStart w:id="1259" w:name="_Toc199322112"/>
      <w:r>
        <w:rPr>
          <w:rFonts w:hint="eastAsia" w:asciiTheme="minorEastAsia" w:hAnsiTheme="minorEastAsia" w:eastAsiaTheme="minorEastAsia" w:cstheme="minorEastAsia"/>
          <w:color w:val="auto"/>
          <w:sz w:val="21"/>
          <w:szCs w:val="21"/>
        </w:rPr>
        <w:t>20.6.6 报告义务</w:t>
      </w:r>
      <w:bookmarkEnd w:id="1259"/>
    </w:p>
    <w:p w14:paraId="30877D87">
      <w:pPr>
        <w:widowControl/>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当保险事故发生时，投保人应按照保险单规定的条件和期限及时向保险人报告。</w:t>
      </w:r>
    </w:p>
    <w:p w14:paraId="5A432C28">
      <w:pPr>
        <w:rPr>
          <w:rFonts w:hint="eastAsia" w:asciiTheme="minorEastAsia" w:hAnsiTheme="minorEastAsia" w:eastAsiaTheme="minorEastAsia" w:cstheme="minorEastAsia"/>
          <w:b/>
          <w:color w:val="auto"/>
          <w:sz w:val="21"/>
          <w:szCs w:val="21"/>
        </w:rPr>
      </w:pPr>
      <w:bookmarkStart w:id="1260" w:name="_Toc265955031"/>
      <w:bookmarkStart w:id="1261" w:name="_Toc265653976"/>
      <w:bookmarkStart w:id="1262" w:name="_Toc18997"/>
      <w:bookmarkStart w:id="1263" w:name="_Toc265954732"/>
      <w:r>
        <w:rPr>
          <w:rFonts w:hint="eastAsia" w:asciiTheme="minorEastAsia" w:hAnsiTheme="minorEastAsia" w:eastAsiaTheme="minorEastAsia" w:cstheme="minorEastAsia"/>
          <w:b/>
          <w:color w:val="auto"/>
          <w:sz w:val="21"/>
          <w:szCs w:val="21"/>
        </w:rPr>
        <w:t>20.7 风险责任的转移</w:t>
      </w:r>
      <w:bookmarkEnd w:id="1260"/>
      <w:bookmarkEnd w:id="1261"/>
      <w:bookmarkEnd w:id="1262"/>
      <w:bookmarkEnd w:id="1263"/>
    </w:p>
    <w:p w14:paraId="1D370D58">
      <w:pPr>
        <w:autoSpaceDE w:val="0"/>
        <w:autoSpaceDN w:val="0"/>
        <w:adjustRightInd w:val="0"/>
        <w:ind w:firstLine="210" w:firstLineChars="1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工程通过合同工程完工验收并移交给发包人后，原由承包人应承担的风险责任，以及保险的责任、权利和义务同时转移给发包人，但承包人在缺陷责任期（工程质量保修期）前造成损失和损坏情形除外。</w:t>
      </w:r>
    </w:p>
    <w:p w14:paraId="320672B9">
      <w:pPr>
        <w:rPr>
          <w:rFonts w:hint="eastAsia" w:asciiTheme="minorEastAsia" w:hAnsiTheme="minorEastAsia" w:eastAsiaTheme="minorEastAsia" w:cstheme="minorEastAsia"/>
          <w:b/>
          <w:color w:val="auto"/>
          <w:sz w:val="21"/>
          <w:szCs w:val="21"/>
        </w:rPr>
      </w:pPr>
      <w:bookmarkStart w:id="1264" w:name="_Toc265653977"/>
      <w:bookmarkStart w:id="1265" w:name="_Toc199322113"/>
      <w:bookmarkStart w:id="1266" w:name="_Toc265955032"/>
      <w:bookmarkStart w:id="1267" w:name="_Toc30971"/>
      <w:bookmarkStart w:id="1268" w:name="_Toc265954733"/>
      <w:bookmarkStart w:id="1269" w:name="_Toc229450895"/>
      <w:r>
        <w:rPr>
          <w:rFonts w:hint="eastAsia" w:asciiTheme="minorEastAsia" w:hAnsiTheme="minorEastAsia" w:eastAsiaTheme="minorEastAsia" w:cstheme="minorEastAsia"/>
          <w:b/>
          <w:color w:val="auto"/>
          <w:sz w:val="21"/>
          <w:szCs w:val="21"/>
        </w:rPr>
        <w:t>21.不可抗力</w:t>
      </w:r>
      <w:bookmarkEnd w:id="1264"/>
      <w:bookmarkEnd w:id="1265"/>
      <w:bookmarkEnd w:id="1266"/>
      <w:bookmarkEnd w:id="1267"/>
      <w:bookmarkEnd w:id="1268"/>
      <w:bookmarkEnd w:id="1269"/>
    </w:p>
    <w:p w14:paraId="25DD6535">
      <w:pPr>
        <w:rPr>
          <w:rFonts w:hint="eastAsia" w:asciiTheme="minorEastAsia" w:hAnsiTheme="minorEastAsia" w:eastAsiaTheme="minorEastAsia" w:cstheme="minorEastAsia"/>
          <w:b/>
          <w:color w:val="auto"/>
          <w:sz w:val="21"/>
          <w:szCs w:val="21"/>
        </w:rPr>
      </w:pPr>
      <w:bookmarkStart w:id="1270" w:name="_Toc229450896"/>
      <w:bookmarkStart w:id="1271" w:name="_Toc265954734"/>
      <w:bookmarkStart w:id="1272" w:name="_Toc265955033"/>
      <w:bookmarkStart w:id="1273" w:name="_Toc18084"/>
      <w:bookmarkStart w:id="1274" w:name="_Toc199322114"/>
      <w:bookmarkStart w:id="1275" w:name="_Toc265653978"/>
      <w:r>
        <w:rPr>
          <w:rFonts w:hint="eastAsia" w:asciiTheme="minorEastAsia" w:hAnsiTheme="minorEastAsia" w:eastAsiaTheme="minorEastAsia" w:cstheme="minorEastAsia"/>
          <w:b/>
          <w:color w:val="auto"/>
          <w:sz w:val="21"/>
          <w:szCs w:val="21"/>
        </w:rPr>
        <w:t>21.1 不可抗力的确认</w:t>
      </w:r>
      <w:bookmarkEnd w:id="1270"/>
      <w:bookmarkEnd w:id="1271"/>
      <w:bookmarkEnd w:id="1272"/>
      <w:bookmarkEnd w:id="1273"/>
      <w:bookmarkEnd w:id="1274"/>
      <w:bookmarkEnd w:id="1275"/>
    </w:p>
    <w:p w14:paraId="4F2BC706">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21.1.1 不可抗力是指承包人和发包人在订立合同时不可预见，在工程施工过程中不可避免发生并不能克服的自然灾害和社会性突发事件，如地震、海啸、瘟疫、超标洪水、骚乱、暴动、战争和专用合同条款约定的其他情形。</w:t>
      </w:r>
    </w:p>
    <w:p w14:paraId="14C06214">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78188A52">
      <w:pPr>
        <w:rPr>
          <w:rFonts w:hint="eastAsia" w:asciiTheme="minorEastAsia" w:hAnsiTheme="minorEastAsia" w:eastAsiaTheme="minorEastAsia" w:cstheme="minorEastAsia"/>
          <w:b/>
          <w:color w:val="auto"/>
          <w:sz w:val="21"/>
          <w:szCs w:val="21"/>
        </w:rPr>
      </w:pPr>
      <w:bookmarkStart w:id="1276" w:name="_Toc265653979"/>
      <w:bookmarkStart w:id="1277" w:name="_Toc21613"/>
      <w:bookmarkStart w:id="1278" w:name="_Toc265954735"/>
      <w:bookmarkStart w:id="1279" w:name="_Toc199322115"/>
      <w:bookmarkStart w:id="1280" w:name="_Toc265955034"/>
      <w:r>
        <w:rPr>
          <w:rFonts w:hint="eastAsia" w:asciiTheme="minorEastAsia" w:hAnsiTheme="minorEastAsia" w:eastAsiaTheme="minorEastAsia" w:cstheme="minorEastAsia"/>
          <w:b/>
          <w:color w:val="auto"/>
          <w:sz w:val="21"/>
          <w:szCs w:val="21"/>
        </w:rPr>
        <w:t>21.2 不可抗力的通知</w:t>
      </w:r>
      <w:bookmarkEnd w:id="1276"/>
      <w:bookmarkEnd w:id="1277"/>
      <w:bookmarkEnd w:id="1278"/>
      <w:bookmarkEnd w:id="1279"/>
      <w:bookmarkEnd w:id="1280"/>
    </w:p>
    <w:p w14:paraId="054B7D3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21.2.1 合同一方当事人遇到不可抗力事件，使其履行合同义务受到阻碍时，应立即通知合同另一方当事人和监理人，书面说明不可抗力和受阻碍的详细情况，并提供必要的证明。</w:t>
      </w:r>
    </w:p>
    <w:p w14:paraId="3E093C3D">
      <w:pPr>
        <w:autoSpaceDE w:val="0"/>
        <w:autoSpaceDN w:val="0"/>
        <w:adjustRightInd w:val="0"/>
        <w:jc w:val="left"/>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color w:val="auto"/>
          <w:kern w:val="0"/>
          <w:sz w:val="21"/>
          <w:szCs w:val="21"/>
        </w:rPr>
        <w:t>21.2.2 如不可抗力持续发生，合同一方当事人应及时向合同另一方当事人和监理人提交中间报告，说明不可抗力和履行合同受阻的情况，并于不可抗力事件结束后28天内提交最终报告及有关资料。</w:t>
      </w:r>
    </w:p>
    <w:p w14:paraId="48E509B1">
      <w:pPr>
        <w:rPr>
          <w:rFonts w:hint="eastAsia" w:asciiTheme="minorEastAsia" w:hAnsiTheme="minorEastAsia" w:eastAsiaTheme="minorEastAsia" w:cstheme="minorEastAsia"/>
          <w:b/>
          <w:color w:val="auto"/>
          <w:sz w:val="21"/>
          <w:szCs w:val="21"/>
        </w:rPr>
      </w:pPr>
      <w:bookmarkStart w:id="1281" w:name="_Toc265653980"/>
      <w:bookmarkStart w:id="1282" w:name="_Toc265954736"/>
      <w:bookmarkStart w:id="1283" w:name="_Toc199322116"/>
      <w:bookmarkStart w:id="1284" w:name="_Toc229450897"/>
      <w:bookmarkStart w:id="1285" w:name="_Toc30903"/>
      <w:bookmarkStart w:id="1286" w:name="_Toc265955035"/>
      <w:r>
        <w:rPr>
          <w:rFonts w:hint="eastAsia" w:asciiTheme="minorEastAsia" w:hAnsiTheme="minorEastAsia" w:eastAsiaTheme="minorEastAsia" w:cstheme="minorEastAsia"/>
          <w:b/>
          <w:color w:val="auto"/>
          <w:sz w:val="21"/>
          <w:szCs w:val="21"/>
        </w:rPr>
        <w:t>21.3 不可抗力后果及其处理</w:t>
      </w:r>
      <w:bookmarkEnd w:id="1281"/>
      <w:bookmarkEnd w:id="1282"/>
      <w:bookmarkEnd w:id="1283"/>
      <w:bookmarkEnd w:id="1284"/>
      <w:bookmarkEnd w:id="1285"/>
      <w:bookmarkEnd w:id="1286"/>
    </w:p>
    <w:p w14:paraId="151DF159">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287" w:name="_Toc199322117"/>
      <w:bookmarkStart w:id="1288" w:name="_Toc491246855"/>
      <w:bookmarkStart w:id="1289" w:name="_Toc490385467"/>
      <w:bookmarkStart w:id="1290" w:name="_Toc488678526"/>
      <w:r>
        <w:rPr>
          <w:rFonts w:hint="eastAsia" w:asciiTheme="minorEastAsia" w:hAnsiTheme="minorEastAsia" w:eastAsiaTheme="minorEastAsia" w:cstheme="minorEastAsia"/>
          <w:color w:val="auto"/>
          <w:kern w:val="0"/>
          <w:sz w:val="21"/>
          <w:szCs w:val="21"/>
        </w:rPr>
        <w:t>21.3.1 不可抗力造成损害的责任</w:t>
      </w:r>
      <w:bookmarkEnd w:id="1287"/>
      <w:bookmarkEnd w:id="1288"/>
      <w:bookmarkEnd w:id="1289"/>
      <w:bookmarkEnd w:id="1290"/>
    </w:p>
    <w:p w14:paraId="1523D77C">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除专用合同条款另有约定外，不可抗力导致的人员伤亡、财产损失、费用增加和(或)工期延误等后果，由合同双方按以下原则承担：</w:t>
      </w:r>
    </w:p>
    <w:p w14:paraId="79223DF4">
      <w:pPr>
        <w:autoSpaceDE w:val="0"/>
        <w:autoSpaceDN w:val="0"/>
        <w:adjustRightInd w:val="0"/>
        <w:ind w:firstLine="1111" w:firstLineChars="55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(1) 永久工程，包括己运至施工场地的材料和工程设备的损害，以及因工程损害造成的第三者人员伤亡和财产损失由发包人承担；</w:t>
      </w:r>
    </w:p>
    <w:p w14:paraId="274D0B6D">
      <w:pPr>
        <w:autoSpaceDE w:val="0"/>
        <w:autoSpaceDN w:val="0"/>
        <w:adjustRightInd w:val="0"/>
        <w:ind w:left="691"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承包人设备的损坏由承包人承担；</w:t>
      </w:r>
    </w:p>
    <w:p w14:paraId="2BE69BAE">
      <w:pPr>
        <w:autoSpaceDE w:val="0"/>
        <w:autoSpaceDN w:val="0"/>
        <w:adjustRightInd w:val="0"/>
        <w:ind w:left="691"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发包人和承包人各自承担其人员伤亡和其他财产损失及其相关费用；</w:t>
      </w:r>
    </w:p>
    <w:p w14:paraId="5CBB52DC">
      <w:pPr>
        <w:autoSpaceDE w:val="0"/>
        <w:autoSpaceDN w:val="0"/>
        <w:adjustRightInd w:val="0"/>
        <w:ind w:firstLine="1111" w:firstLineChars="55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(4) 承包人的停工损失由承包人承担，但停工期间应监理人要求照管工程和清理、修复工程的金额由发包人承担；</w:t>
      </w:r>
    </w:p>
    <w:p w14:paraId="1F598980">
      <w:pPr>
        <w:autoSpaceDE w:val="0"/>
        <w:autoSpaceDN w:val="0"/>
        <w:adjustRightInd w:val="0"/>
        <w:ind w:firstLine="1155" w:firstLineChars="5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不能按期竣工的，应合理延长工期，承包人不需支付逾期竣工违约金。发包人要求赶工的，承包人应采取赶工措施，赶工费用由发包人承担。</w:t>
      </w:r>
    </w:p>
    <w:p w14:paraId="38092F3E">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291" w:name="_Toc491246856"/>
      <w:bookmarkStart w:id="1292" w:name="_Toc199322118"/>
      <w:bookmarkStart w:id="1293" w:name="_Toc490385468"/>
      <w:bookmarkStart w:id="1294" w:name="_Toc488678527"/>
      <w:r>
        <w:rPr>
          <w:rFonts w:hint="eastAsia" w:asciiTheme="minorEastAsia" w:hAnsiTheme="minorEastAsia" w:eastAsiaTheme="minorEastAsia" w:cstheme="minorEastAsia"/>
          <w:color w:val="auto"/>
          <w:kern w:val="0"/>
          <w:sz w:val="21"/>
          <w:szCs w:val="21"/>
        </w:rPr>
        <w:t>21.3.2 延迟履行期间发生的不可抗力</w:t>
      </w:r>
      <w:bookmarkEnd w:id="1291"/>
      <w:bookmarkEnd w:id="1292"/>
      <w:bookmarkEnd w:id="1293"/>
      <w:bookmarkEnd w:id="1294"/>
    </w:p>
    <w:p w14:paraId="30BE9C3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合同一方当事人延迟履行，在延迟履行期间发生不可抗力的，不免除其责任。</w:t>
      </w:r>
    </w:p>
    <w:p w14:paraId="24994399">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295" w:name="_Toc488678528"/>
      <w:bookmarkStart w:id="1296" w:name="_Toc199322119"/>
      <w:bookmarkStart w:id="1297" w:name="_Toc490385469"/>
      <w:bookmarkStart w:id="1298" w:name="_Toc491246857"/>
      <w:r>
        <w:rPr>
          <w:rFonts w:hint="eastAsia" w:asciiTheme="minorEastAsia" w:hAnsiTheme="minorEastAsia" w:eastAsiaTheme="minorEastAsia" w:cstheme="minorEastAsia"/>
          <w:color w:val="auto"/>
          <w:kern w:val="0"/>
          <w:sz w:val="21"/>
          <w:szCs w:val="21"/>
        </w:rPr>
        <w:t>21.3.3 避免和威少不可抗力损失</w:t>
      </w:r>
      <w:bookmarkEnd w:id="1295"/>
      <w:bookmarkEnd w:id="1296"/>
      <w:bookmarkEnd w:id="1297"/>
      <w:bookmarkEnd w:id="1298"/>
    </w:p>
    <w:p w14:paraId="1028EA6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不可抗力发生后，发包人和承包人均应采取措施尽量避免和减少损失的扩大，任何一方</w:t>
      </w:r>
    </w:p>
    <w:p w14:paraId="4101B96B">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没有采取有效措施导致损失扩大的，应对扩大的损失承担责任。</w:t>
      </w:r>
    </w:p>
    <w:p w14:paraId="2CF44F9F">
      <w:pPr>
        <w:autoSpaceDE w:val="0"/>
        <w:autoSpaceDN w:val="0"/>
        <w:adjustRightInd w:val="0"/>
        <w:jc w:val="left"/>
        <w:rPr>
          <w:rFonts w:hint="eastAsia" w:asciiTheme="minorEastAsia" w:hAnsiTheme="minorEastAsia" w:eastAsiaTheme="minorEastAsia" w:cstheme="minorEastAsia"/>
          <w:color w:val="auto"/>
          <w:kern w:val="0"/>
          <w:sz w:val="21"/>
          <w:szCs w:val="21"/>
        </w:rPr>
      </w:pPr>
      <w:bookmarkStart w:id="1299" w:name="_Toc488678529"/>
      <w:bookmarkStart w:id="1300" w:name="_Toc491246858"/>
      <w:bookmarkStart w:id="1301" w:name="_Toc490385470"/>
      <w:bookmarkStart w:id="1302" w:name="_Toc199322120"/>
      <w:r>
        <w:rPr>
          <w:rFonts w:hint="eastAsia" w:asciiTheme="minorEastAsia" w:hAnsiTheme="minorEastAsia" w:eastAsiaTheme="minorEastAsia" w:cstheme="minorEastAsia"/>
          <w:color w:val="auto"/>
          <w:kern w:val="0"/>
          <w:sz w:val="21"/>
          <w:szCs w:val="21"/>
        </w:rPr>
        <w:t>21.3.4 因不可抗力解除合同</w:t>
      </w:r>
      <w:bookmarkEnd w:id="1299"/>
      <w:bookmarkEnd w:id="1300"/>
      <w:bookmarkEnd w:id="1301"/>
      <w:bookmarkEnd w:id="1302"/>
    </w:p>
    <w:p w14:paraId="2A712040">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合同一方当事人因不可抗力不能履行合同的，应当及时通知对方解除合同。合同解除后，</w:t>
      </w:r>
      <w:r>
        <w:rPr>
          <w:rFonts w:hint="eastAsia" w:asciiTheme="minorEastAsia" w:hAnsiTheme="minorEastAsia" w:eastAsiaTheme="minorEastAsia" w:cstheme="minorEastAsia"/>
          <w:color w:val="auto"/>
          <w:spacing w:val="-2"/>
          <w:kern w:val="0"/>
          <w:sz w:val="21"/>
          <w:szCs w:val="21"/>
        </w:rPr>
        <w:t>承包人应按照第22.2.5 项约定撤离施工场地。己经订货的材料、设备由订货方负责退货或解除订货合同，不能退还的货款和因退货、解除订货合同发生的费用，由发包人承担，因未</w:t>
      </w:r>
      <w:r>
        <w:rPr>
          <w:rFonts w:hint="eastAsia" w:asciiTheme="minorEastAsia" w:hAnsiTheme="minorEastAsia" w:eastAsiaTheme="minorEastAsia" w:cstheme="minorEastAsia"/>
          <w:color w:val="auto"/>
          <w:kern w:val="0"/>
          <w:sz w:val="21"/>
          <w:szCs w:val="21"/>
        </w:rPr>
        <w:t>及时退货造成的损失由责任方承担。合同解除后的付款，参照第22.2.4 项约定，由监理人按第3.5款商定或确定。</w:t>
      </w:r>
    </w:p>
    <w:p w14:paraId="196009D1">
      <w:pPr>
        <w:rPr>
          <w:rFonts w:hint="eastAsia" w:asciiTheme="minorEastAsia" w:hAnsiTheme="minorEastAsia" w:eastAsiaTheme="minorEastAsia" w:cstheme="minorEastAsia"/>
          <w:b/>
          <w:color w:val="auto"/>
          <w:sz w:val="21"/>
          <w:szCs w:val="21"/>
        </w:rPr>
      </w:pPr>
      <w:bookmarkStart w:id="1303" w:name="_Toc199322121"/>
      <w:bookmarkStart w:id="1304" w:name="_Toc229450898"/>
      <w:bookmarkStart w:id="1305" w:name="_Toc19737"/>
      <w:bookmarkStart w:id="1306" w:name="_Toc265653981"/>
      <w:bookmarkStart w:id="1307" w:name="_Toc265955036"/>
      <w:bookmarkStart w:id="1308" w:name="_Toc265954737"/>
      <w:r>
        <w:rPr>
          <w:rFonts w:hint="eastAsia" w:asciiTheme="minorEastAsia" w:hAnsiTheme="minorEastAsia" w:eastAsiaTheme="minorEastAsia" w:cstheme="minorEastAsia"/>
          <w:b/>
          <w:color w:val="auto"/>
          <w:sz w:val="21"/>
          <w:szCs w:val="21"/>
        </w:rPr>
        <w:t>22．违约</w:t>
      </w:r>
      <w:bookmarkEnd w:id="1303"/>
      <w:bookmarkEnd w:id="1304"/>
      <w:bookmarkEnd w:id="1305"/>
      <w:bookmarkEnd w:id="1306"/>
      <w:bookmarkEnd w:id="1307"/>
      <w:bookmarkEnd w:id="1308"/>
    </w:p>
    <w:p w14:paraId="3870965B">
      <w:pPr>
        <w:rPr>
          <w:rFonts w:hint="eastAsia" w:asciiTheme="minorEastAsia" w:hAnsiTheme="minorEastAsia" w:eastAsiaTheme="minorEastAsia" w:cstheme="minorEastAsia"/>
          <w:b/>
          <w:color w:val="auto"/>
          <w:sz w:val="21"/>
          <w:szCs w:val="21"/>
        </w:rPr>
      </w:pPr>
      <w:bookmarkStart w:id="1309" w:name="_Toc199322122"/>
      <w:bookmarkStart w:id="1310" w:name="_Toc19872"/>
      <w:bookmarkStart w:id="1311" w:name="_Toc229450899"/>
      <w:bookmarkStart w:id="1312" w:name="_Toc265955037"/>
      <w:bookmarkStart w:id="1313" w:name="_Toc265653982"/>
      <w:bookmarkStart w:id="1314" w:name="_Toc265954738"/>
      <w:r>
        <w:rPr>
          <w:rFonts w:hint="eastAsia" w:asciiTheme="minorEastAsia" w:hAnsiTheme="minorEastAsia" w:eastAsiaTheme="minorEastAsia" w:cstheme="minorEastAsia"/>
          <w:b/>
          <w:color w:val="auto"/>
          <w:sz w:val="21"/>
          <w:szCs w:val="21"/>
        </w:rPr>
        <w:t>22.1 承包人违约</w:t>
      </w:r>
      <w:bookmarkEnd w:id="1309"/>
      <w:bookmarkEnd w:id="1310"/>
      <w:bookmarkEnd w:id="1311"/>
      <w:bookmarkEnd w:id="1312"/>
      <w:bookmarkEnd w:id="1313"/>
      <w:bookmarkEnd w:id="1314"/>
    </w:p>
    <w:p w14:paraId="543B3E55">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315" w:name="_Toc490385473"/>
      <w:bookmarkStart w:id="1316" w:name="_Toc491246861"/>
      <w:r>
        <w:rPr>
          <w:rFonts w:hint="eastAsia" w:asciiTheme="minorEastAsia" w:hAnsiTheme="minorEastAsia" w:eastAsiaTheme="minorEastAsia" w:cstheme="minorEastAsia"/>
          <w:color w:val="auto"/>
          <w:kern w:val="0"/>
          <w:sz w:val="21"/>
          <w:szCs w:val="21"/>
        </w:rPr>
        <w:t>22.1.1.承包人违约的情形</w:t>
      </w:r>
      <w:bookmarkEnd w:id="1315"/>
      <w:bookmarkEnd w:id="1316"/>
    </w:p>
    <w:p w14:paraId="146047C4">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在履行合同过程中发生的下列情况属承包人违约:</w:t>
      </w:r>
    </w:p>
    <w:p w14:paraId="2A7E0D67">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承包人违反第1.8 款或第4.3 款的约定，私自将合同的全部或部分权利转让给其他人，或私自将合同的全部或部分义务转移给其他人；</w:t>
      </w:r>
    </w:p>
    <w:p w14:paraId="04A702B0">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承包人违反第5.3款或第6.4款的约定，未经监理人批准，私自将已按合同约定进入施工场地的施工设备、临时设施或材料撤离施工场地；</w:t>
      </w:r>
    </w:p>
    <w:p w14:paraId="5A1EF76D">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承包人违反第5.4款的约定使用了不合格材料或工程设备，工程质量达不到标准要求，又拒绝清除不合格工程；</w:t>
      </w:r>
    </w:p>
    <w:p w14:paraId="2EACB2C0">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承包人未能按合同进度计划及时完成合同约定的工作，已造成或预期造成工期延误；</w:t>
      </w:r>
    </w:p>
    <w:p w14:paraId="38229EDB">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承包人在缺陷责任期内（工程质量保修期），未能对工程接收证书所列的缺陷清单的内容或缺陷责任期（工程质量保修期）内发生的缺陷进行修复，而又拒绝按监理人指示再进行修补；</w:t>
      </w:r>
    </w:p>
    <w:p w14:paraId="7C7B609D">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 xml:space="preserve">(6) 承包人无法继续履行或明确表示不履行或实质上己停止履行合同； </w:t>
      </w:r>
    </w:p>
    <w:p w14:paraId="2DB5EEF5">
      <w:pPr>
        <w:autoSpaceDE w:val="0"/>
        <w:autoSpaceDN w:val="0"/>
        <w:adjustRightInd w:val="0"/>
        <w:ind w:firstLine="840" w:firstLineChars="4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(7) 承包人不按合同约定履行义务的其他情况。</w:t>
      </w:r>
    </w:p>
    <w:p w14:paraId="175D5C0E">
      <w:pPr>
        <w:pStyle w:val="8"/>
        <w:ind w:firstLine="420" w:firstLineChars="200"/>
        <w:rPr>
          <w:rFonts w:hint="eastAsia" w:asciiTheme="minorEastAsia" w:hAnsiTheme="minorEastAsia" w:eastAsiaTheme="minorEastAsia" w:cstheme="minorEastAsia"/>
          <w:color w:val="auto"/>
          <w:sz w:val="21"/>
          <w:szCs w:val="21"/>
        </w:rPr>
      </w:pPr>
      <w:bookmarkStart w:id="1317" w:name="_Toc199322123"/>
      <w:r>
        <w:rPr>
          <w:rFonts w:hint="eastAsia" w:asciiTheme="minorEastAsia" w:hAnsiTheme="minorEastAsia" w:eastAsiaTheme="minorEastAsia" w:cstheme="minorEastAsia"/>
          <w:color w:val="auto"/>
          <w:sz w:val="21"/>
          <w:szCs w:val="21"/>
        </w:rPr>
        <w:t>22.1.2 对承包人违约的处理</w:t>
      </w:r>
      <w:bookmarkEnd w:id="1317"/>
    </w:p>
    <w:p w14:paraId="5D4EF12A">
      <w:pPr>
        <w:autoSpaceDE w:val="0"/>
        <w:autoSpaceDN w:val="0"/>
        <w:adjustRightInd w:val="0"/>
        <w:ind w:firstLine="1111" w:firstLineChars="5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4"/>
          <w:kern w:val="0"/>
          <w:sz w:val="21"/>
          <w:szCs w:val="21"/>
        </w:rPr>
        <w:t>(1) 承包人发生第22.1.1 (6) 目约定的违约情况时，发包人可通知承包人立即解除合同，并按有关法律处理</w:t>
      </w:r>
      <w:r>
        <w:rPr>
          <w:rFonts w:hint="eastAsia" w:asciiTheme="minorEastAsia" w:hAnsiTheme="minorEastAsia" w:eastAsiaTheme="minorEastAsia" w:cstheme="minorEastAsia"/>
          <w:color w:val="auto"/>
          <w:kern w:val="0"/>
          <w:sz w:val="21"/>
          <w:szCs w:val="21"/>
        </w:rPr>
        <w:t>。</w:t>
      </w:r>
    </w:p>
    <w:p w14:paraId="4EF96C14">
      <w:pPr>
        <w:autoSpaceDE w:val="0"/>
        <w:autoSpaceDN w:val="0"/>
        <w:adjustRightInd w:val="0"/>
        <w:ind w:firstLine="1155" w:firstLineChars="5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承包人发生除第22.1.1 (6) 目约定以外的其他违约情况时，监理人可向承包人发出整改通知，要求其在指定的期限内改正。承包人应承担其违约所引起的费用增加和(或)工期延误。</w:t>
      </w:r>
    </w:p>
    <w:p w14:paraId="11E4B40A">
      <w:pPr>
        <w:autoSpaceDE w:val="0"/>
        <w:autoSpaceDN w:val="0"/>
        <w:adjustRightInd w:val="0"/>
        <w:ind w:firstLine="1111" w:firstLineChars="550"/>
        <w:jc w:val="left"/>
        <w:rPr>
          <w:rFonts w:hint="eastAsia" w:asciiTheme="minorEastAsia" w:hAnsiTheme="minorEastAsia" w:eastAsiaTheme="minorEastAsia" w:cstheme="minorEastAsia"/>
          <w:color w:val="auto"/>
          <w:spacing w:val="-4"/>
          <w:kern w:val="0"/>
          <w:sz w:val="21"/>
          <w:szCs w:val="21"/>
        </w:rPr>
      </w:pPr>
      <w:r>
        <w:rPr>
          <w:rFonts w:hint="eastAsia" w:asciiTheme="minorEastAsia" w:hAnsiTheme="minorEastAsia" w:eastAsiaTheme="minorEastAsia" w:cstheme="minorEastAsia"/>
          <w:color w:val="auto"/>
          <w:spacing w:val="-4"/>
          <w:kern w:val="0"/>
          <w:sz w:val="21"/>
          <w:szCs w:val="21"/>
        </w:rPr>
        <w:t>(3) 经检查证明承包人已采取了有效措施纠正违约行为，具备复工条件的，可由监理人签发复工通知复工。</w:t>
      </w:r>
    </w:p>
    <w:p w14:paraId="53FD444D">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22.1.3承包人违约解除合同</w:t>
      </w:r>
    </w:p>
    <w:p w14:paraId="4A448C2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FD86A8B">
      <w:pPr>
        <w:pStyle w:val="8"/>
        <w:ind w:firstLine="420" w:firstLineChars="200"/>
        <w:rPr>
          <w:rFonts w:hint="eastAsia" w:asciiTheme="minorEastAsia" w:hAnsiTheme="minorEastAsia" w:eastAsiaTheme="minorEastAsia" w:cstheme="minorEastAsia"/>
          <w:color w:val="auto"/>
          <w:sz w:val="21"/>
          <w:szCs w:val="21"/>
        </w:rPr>
      </w:pPr>
      <w:bookmarkStart w:id="1318" w:name="_Toc199322124"/>
      <w:r>
        <w:rPr>
          <w:rFonts w:hint="eastAsia" w:asciiTheme="minorEastAsia" w:hAnsiTheme="minorEastAsia" w:eastAsiaTheme="minorEastAsia" w:cstheme="minorEastAsia"/>
          <w:color w:val="auto"/>
          <w:sz w:val="21"/>
          <w:szCs w:val="21"/>
        </w:rPr>
        <w:t>22.1.4 合同解除后的估价、付款和结清</w:t>
      </w:r>
      <w:bookmarkEnd w:id="1318"/>
    </w:p>
    <w:p w14:paraId="053908F0">
      <w:pPr>
        <w:autoSpaceDE w:val="0"/>
        <w:autoSpaceDN w:val="0"/>
        <w:adjustRightInd w:val="0"/>
        <w:ind w:firstLine="945" w:firstLineChars="4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合同解除后，监理人按第3.5款商定或确定承包人实际完成工作的价值，以及承包人已提供的材料、施工设备、工程设备和临时工程等的价值。</w:t>
      </w:r>
    </w:p>
    <w:p w14:paraId="55394220">
      <w:pPr>
        <w:autoSpaceDE w:val="0"/>
        <w:autoSpaceDN w:val="0"/>
        <w:adjustRightInd w:val="0"/>
        <w:ind w:firstLine="945" w:firstLineChars="4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合同解除后，发包人应暂停对承包人的一切付款，查清各项付款和己扣款金额，包括承包人应支付的违约金。</w:t>
      </w:r>
    </w:p>
    <w:p w14:paraId="5799BE95">
      <w:pPr>
        <w:autoSpaceDE w:val="0"/>
        <w:autoSpaceDN w:val="0"/>
        <w:adjustRightInd w:val="0"/>
        <w:ind w:firstLine="945" w:firstLineChars="4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合同解除后，发包人应按第23.4款的约定向承包人索赔由于解除合同给发包人造成的损失。</w:t>
      </w:r>
    </w:p>
    <w:p w14:paraId="2EAC9892">
      <w:pPr>
        <w:autoSpaceDE w:val="0"/>
        <w:autoSpaceDN w:val="0"/>
        <w:adjustRightInd w:val="0"/>
        <w:ind w:firstLine="945" w:firstLineChars="4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合同双方确认上述往来款项后，出具最终结清付款证书，结清全部合同款项。</w:t>
      </w:r>
    </w:p>
    <w:p w14:paraId="0908DCD3">
      <w:pPr>
        <w:autoSpaceDE w:val="0"/>
        <w:autoSpaceDN w:val="0"/>
        <w:adjustRightInd w:val="0"/>
        <w:ind w:firstLine="945" w:firstLineChars="4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发包人和承包人未能就解除合同后的结清达成一致而形成争议的，按第24条</w:t>
      </w:r>
    </w:p>
    <w:p w14:paraId="0DDC1152">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的约定办理.</w:t>
      </w:r>
    </w:p>
    <w:p w14:paraId="33637FE8">
      <w:pPr>
        <w:pStyle w:val="8"/>
        <w:ind w:firstLine="420" w:firstLineChars="200"/>
        <w:rPr>
          <w:rFonts w:hint="eastAsia" w:asciiTheme="minorEastAsia" w:hAnsiTheme="minorEastAsia" w:eastAsiaTheme="minorEastAsia" w:cstheme="minorEastAsia"/>
          <w:color w:val="auto"/>
          <w:sz w:val="21"/>
          <w:szCs w:val="21"/>
        </w:rPr>
      </w:pPr>
      <w:bookmarkStart w:id="1319" w:name="_Toc199322125"/>
      <w:r>
        <w:rPr>
          <w:rFonts w:hint="eastAsia" w:asciiTheme="minorEastAsia" w:hAnsiTheme="minorEastAsia" w:eastAsiaTheme="minorEastAsia" w:cstheme="minorEastAsia"/>
          <w:color w:val="auto"/>
          <w:sz w:val="21"/>
          <w:szCs w:val="21"/>
        </w:rPr>
        <w:t>22.1.5 协议利益的转让</w:t>
      </w:r>
      <w:bookmarkEnd w:id="1319"/>
    </w:p>
    <w:p w14:paraId="76A7572E">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因承包人违约解除合同的，发包人有权要求承包人将其为实施合同而签订的材料和设备的订货协议或任何服务协议利益转让给发包人，并在解除合同后的14天内，依法办理转让手续。</w:t>
      </w:r>
    </w:p>
    <w:p w14:paraId="522FC22A">
      <w:pPr>
        <w:pStyle w:val="8"/>
        <w:ind w:firstLine="420" w:firstLineChars="200"/>
        <w:rPr>
          <w:rFonts w:hint="eastAsia" w:asciiTheme="minorEastAsia" w:hAnsiTheme="minorEastAsia" w:eastAsiaTheme="minorEastAsia" w:cstheme="minorEastAsia"/>
          <w:color w:val="auto"/>
          <w:sz w:val="21"/>
          <w:szCs w:val="21"/>
        </w:rPr>
      </w:pPr>
      <w:bookmarkStart w:id="1320" w:name="_Toc199322126"/>
      <w:r>
        <w:rPr>
          <w:rFonts w:hint="eastAsia" w:asciiTheme="minorEastAsia" w:hAnsiTheme="minorEastAsia" w:eastAsiaTheme="minorEastAsia" w:cstheme="minorEastAsia"/>
          <w:color w:val="auto"/>
          <w:sz w:val="21"/>
          <w:szCs w:val="21"/>
        </w:rPr>
        <w:t>22.1.6 紧急情况下无能力或不愿进行抢救</w:t>
      </w:r>
      <w:bookmarkEnd w:id="1320"/>
    </w:p>
    <w:p w14:paraId="61F08DAC">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4084287D">
      <w:pPr>
        <w:rPr>
          <w:rFonts w:hint="eastAsia" w:asciiTheme="minorEastAsia" w:hAnsiTheme="minorEastAsia" w:eastAsiaTheme="minorEastAsia" w:cstheme="minorEastAsia"/>
          <w:b/>
          <w:color w:val="auto"/>
          <w:sz w:val="21"/>
          <w:szCs w:val="21"/>
        </w:rPr>
      </w:pPr>
      <w:bookmarkStart w:id="1321" w:name="_Toc20152"/>
      <w:bookmarkStart w:id="1322" w:name="_Toc265954739"/>
      <w:bookmarkStart w:id="1323" w:name="_Toc199322127"/>
      <w:bookmarkStart w:id="1324" w:name="_Toc265653983"/>
      <w:bookmarkStart w:id="1325" w:name="_Toc229450900"/>
      <w:bookmarkStart w:id="1326" w:name="_Toc265955038"/>
      <w:r>
        <w:rPr>
          <w:rFonts w:hint="eastAsia" w:asciiTheme="minorEastAsia" w:hAnsiTheme="minorEastAsia" w:eastAsiaTheme="minorEastAsia" w:cstheme="minorEastAsia"/>
          <w:b/>
          <w:color w:val="auto"/>
          <w:sz w:val="21"/>
          <w:szCs w:val="21"/>
        </w:rPr>
        <w:t>22.2 发包人违约</w:t>
      </w:r>
      <w:bookmarkEnd w:id="1321"/>
      <w:bookmarkEnd w:id="1322"/>
      <w:bookmarkEnd w:id="1323"/>
      <w:bookmarkEnd w:id="1324"/>
      <w:bookmarkEnd w:id="1325"/>
      <w:bookmarkEnd w:id="1326"/>
    </w:p>
    <w:p w14:paraId="478CDDFC">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22.2.1 发包人违约的情形</w:t>
      </w:r>
    </w:p>
    <w:p w14:paraId="0863A6B9">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在履行合同过程中发生的下列情形，属发包人违约:</w:t>
      </w:r>
    </w:p>
    <w:p w14:paraId="31A54AB7">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发包人未能按合同约定支付预付款或合同价款，或拖延、拒绝批准付款申请和支付凭证，导致付款延误的；</w:t>
      </w:r>
    </w:p>
    <w:p w14:paraId="0B7D21D5">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发包人原因造成停工的；</w:t>
      </w:r>
    </w:p>
    <w:p w14:paraId="535E1B17">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监理人无正当理由没有在约定期限内发出复工指示，导致承包人无法复工的；</w:t>
      </w:r>
    </w:p>
    <w:p w14:paraId="418AE4F3">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发包人无法继续履行或明确表示不履行或实质上己停止履行合同的；</w:t>
      </w:r>
    </w:p>
    <w:p w14:paraId="516A2E43">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发包人不履行合同约定其他义务的。</w:t>
      </w:r>
    </w:p>
    <w:p w14:paraId="105859A2">
      <w:pPr>
        <w:pStyle w:val="8"/>
        <w:ind w:firstLine="420" w:firstLineChars="200"/>
        <w:rPr>
          <w:rFonts w:hint="eastAsia" w:asciiTheme="minorEastAsia" w:hAnsiTheme="minorEastAsia" w:eastAsiaTheme="minorEastAsia" w:cstheme="minorEastAsia"/>
          <w:color w:val="auto"/>
          <w:sz w:val="21"/>
          <w:szCs w:val="21"/>
        </w:rPr>
      </w:pPr>
      <w:bookmarkStart w:id="1327" w:name="_Toc199322128"/>
      <w:r>
        <w:rPr>
          <w:rFonts w:hint="eastAsia" w:asciiTheme="minorEastAsia" w:hAnsiTheme="minorEastAsia" w:eastAsiaTheme="minorEastAsia" w:cstheme="minorEastAsia"/>
          <w:color w:val="auto"/>
          <w:sz w:val="21"/>
          <w:szCs w:val="21"/>
        </w:rPr>
        <w:t>22.2.2 承包人有权暂停施工</w:t>
      </w:r>
      <w:bookmarkEnd w:id="1327"/>
    </w:p>
    <w:p w14:paraId="09DF2DD0">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发包人发生除第22.2.1 (4) 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7B55D39A">
      <w:pPr>
        <w:pStyle w:val="8"/>
        <w:ind w:firstLine="420" w:firstLineChars="200"/>
        <w:rPr>
          <w:rFonts w:hint="eastAsia" w:asciiTheme="minorEastAsia" w:hAnsiTheme="minorEastAsia" w:eastAsiaTheme="minorEastAsia" w:cstheme="minorEastAsia"/>
          <w:color w:val="auto"/>
          <w:sz w:val="21"/>
          <w:szCs w:val="21"/>
        </w:rPr>
      </w:pPr>
      <w:bookmarkStart w:id="1328" w:name="_Toc199322129"/>
      <w:r>
        <w:rPr>
          <w:rFonts w:hint="eastAsia" w:asciiTheme="minorEastAsia" w:hAnsiTheme="minorEastAsia" w:eastAsiaTheme="minorEastAsia" w:cstheme="minorEastAsia"/>
          <w:color w:val="auto"/>
          <w:sz w:val="21"/>
          <w:szCs w:val="21"/>
        </w:rPr>
        <w:t>22.2.3 发包人违约解除合同</w:t>
      </w:r>
      <w:bookmarkEnd w:id="1328"/>
    </w:p>
    <w:p w14:paraId="4E3729FB">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发生第22.2.1 (4) 目的违约情况时，承包人可书面通知发包人解除合同。</w:t>
      </w:r>
    </w:p>
    <w:p w14:paraId="75B4BB47">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承包人按22.2.2 项暂停施工28天后，发包人仍不纠正违约行为的，承包人可向发包人发出解除合同通知。但承包人的这一行动不免除发包人承担的违约责任，也不影响承包人根据合同约定事有的索赔权利。</w:t>
      </w:r>
    </w:p>
    <w:p w14:paraId="402A46A7">
      <w:pPr>
        <w:pStyle w:val="8"/>
        <w:ind w:firstLine="420" w:firstLineChars="200"/>
        <w:rPr>
          <w:rFonts w:hint="eastAsia" w:asciiTheme="minorEastAsia" w:hAnsiTheme="minorEastAsia" w:eastAsiaTheme="minorEastAsia" w:cstheme="minorEastAsia"/>
          <w:color w:val="auto"/>
          <w:sz w:val="21"/>
          <w:szCs w:val="21"/>
        </w:rPr>
      </w:pPr>
      <w:bookmarkStart w:id="1329" w:name="_Toc199322130"/>
      <w:r>
        <w:rPr>
          <w:rFonts w:hint="eastAsia" w:asciiTheme="minorEastAsia" w:hAnsiTheme="minorEastAsia" w:eastAsiaTheme="minorEastAsia" w:cstheme="minorEastAsia"/>
          <w:color w:val="auto"/>
          <w:sz w:val="21"/>
          <w:szCs w:val="21"/>
        </w:rPr>
        <w:t>22.2.4解除合同后的付款</w:t>
      </w:r>
      <w:bookmarkEnd w:id="1329"/>
    </w:p>
    <w:p w14:paraId="50E43E1E">
      <w:pPr>
        <w:autoSpaceDE w:val="0"/>
        <w:autoSpaceDN w:val="0"/>
        <w:adjustRightInd w:val="0"/>
        <w:ind w:firstLine="316"/>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因发包人违约解除合同的，发包人应在解除合同后28 天内向承包人支付下列金额，承包人应在此期限内及时向发包人提交要求支付下列金额的有关资料和凭证:</w:t>
      </w:r>
    </w:p>
    <w:p w14:paraId="0E3B3720">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合同解除日以前所完成工作的价款；</w:t>
      </w:r>
    </w:p>
    <w:p w14:paraId="115DDC17">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承包人为该工程施工订购并已付款的材料、工程设备和其他物品的金额。发包人付还后，该材料、工程设备和其他物品归发包人所有；</w:t>
      </w:r>
    </w:p>
    <w:p w14:paraId="294CD83E">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承包人为完成工程所发生的，而发包人未支付的金额；</w:t>
      </w:r>
    </w:p>
    <w:p w14:paraId="20737FB5">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承包人撤离施工场地以及遣散承包人人员的金额；</w:t>
      </w:r>
    </w:p>
    <w:p w14:paraId="109C6698">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 由于解除合同应赔偿的承包人损失；</w:t>
      </w:r>
    </w:p>
    <w:p w14:paraId="7242A896">
      <w:pPr>
        <w:autoSpaceDE w:val="0"/>
        <w:autoSpaceDN w:val="0"/>
        <w:adjustRightInd w:val="0"/>
        <w:ind w:firstLine="735" w:firstLineChars="3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 按合同约定在合同解除日前应支付给承包人的其他金额；</w:t>
      </w:r>
    </w:p>
    <w:p w14:paraId="7B53848F">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发包人应按本项约定支付上述金额井退还质量保证金，但有权要求承包人支付应偿还给发包人的各项金额。</w:t>
      </w:r>
    </w:p>
    <w:p w14:paraId="7E75AB39">
      <w:pPr>
        <w:rPr>
          <w:rFonts w:hint="eastAsia" w:asciiTheme="minorEastAsia" w:hAnsiTheme="minorEastAsia" w:eastAsiaTheme="minorEastAsia" w:cstheme="minorEastAsia"/>
          <w:color w:val="auto"/>
          <w:sz w:val="21"/>
          <w:szCs w:val="21"/>
        </w:rPr>
      </w:pPr>
      <w:bookmarkStart w:id="1330" w:name="_Toc277627567"/>
      <w:bookmarkStart w:id="1331" w:name="_Toc199322131"/>
      <w:bookmarkStart w:id="1332" w:name="_Toc276725126"/>
      <w:r>
        <w:rPr>
          <w:rFonts w:hint="eastAsia" w:asciiTheme="minorEastAsia" w:hAnsiTheme="minorEastAsia" w:eastAsiaTheme="minorEastAsia" w:cstheme="minorEastAsia"/>
          <w:color w:val="auto"/>
          <w:sz w:val="21"/>
          <w:szCs w:val="21"/>
        </w:rPr>
        <w:t>22.2.5 解除合同后的承包人撒离</w:t>
      </w:r>
      <w:bookmarkEnd w:id="1330"/>
      <w:bookmarkEnd w:id="1331"/>
      <w:bookmarkEnd w:id="1332"/>
    </w:p>
    <w:p w14:paraId="60D4756A">
      <w:pPr>
        <w:widowControl/>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因发包人违约而解除合同后，承包人应妥善做好己竣工工程和已购材料、设备的保护和移交工作，按发包人要求将承包人设备和人员撤出施工场地。承包人撤出施工场地应遵守第18.7.1 项的约定,发包人应为承包人撤出提供条件。</w:t>
      </w:r>
    </w:p>
    <w:p w14:paraId="7FF42C7C">
      <w:pPr>
        <w:rPr>
          <w:rFonts w:hint="eastAsia" w:asciiTheme="minorEastAsia" w:hAnsiTheme="minorEastAsia" w:eastAsiaTheme="minorEastAsia" w:cstheme="minorEastAsia"/>
          <w:b/>
          <w:color w:val="auto"/>
          <w:sz w:val="21"/>
          <w:szCs w:val="21"/>
        </w:rPr>
      </w:pPr>
      <w:bookmarkStart w:id="1333" w:name="_Toc265954740"/>
      <w:bookmarkStart w:id="1334" w:name="_Toc265955039"/>
      <w:bookmarkStart w:id="1335" w:name="_Toc4181"/>
      <w:bookmarkStart w:id="1336" w:name="_Toc229450901"/>
      <w:bookmarkStart w:id="1337" w:name="_Toc265653984"/>
      <w:r>
        <w:rPr>
          <w:rFonts w:hint="eastAsia" w:asciiTheme="minorEastAsia" w:hAnsiTheme="minorEastAsia" w:eastAsiaTheme="minorEastAsia" w:cstheme="minorEastAsia"/>
          <w:b/>
          <w:color w:val="auto"/>
          <w:sz w:val="21"/>
          <w:szCs w:val="21"/>
        </w:rPr>
        <w:t>22.3 第三人造成的违约</w:t>
      </w:r>
      <w:bookmarkEnd w:id="1333"/>
      <w:bookmarkEnd w:id="1334"/>
      <w:bookmarkEnd w:id="1335"/>
      <w:bookmarkEnd w:id="1336"/>
      <w:bookmarkEnd w:id="1337"/>
    </w:p>
    <w:p w14:paraId="3E297219">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在履行合同过程中，一方当事人因第三人的原因造成违约的，应当向对方当事人承担违约责任。一方当事人和第三人之间的纠纷，依照法律规定或者按照约定解决。</w:t>
      </w:r>
    </w:p>
    <w:p w14:paraId="2F214F75">
      <w:pPr>
        <w:rPr>
          <w:rFonts w:hint="eastAsia" w:asciiTheme="minorEastAsia" w:hAnsiTheme="minorEastAsia" w:eastAsiaTheme="minorEastAsia" w:cstheme="minorEastAsia"/>
          <w:b/>
          <w:color w:val="auto"/>
          <w:sz w:val="21"/>
          <w:szCs w:val="21"/>
        </w:rPr>
      </w:pPr>
      <w:bookmarkStart w:id="1338" w:name="_Toc199322132"/>
      <w:bookmarkStart w:id="1339" w:name="_Toc265954741"/>
      <w:bookmarkStart w:id="1340" w:name="_Toc229450902"/>
      <w:bookmarkStart w:id="1341" w:name="_Toc265653985"/>
      <w:bookmarkStart w:id="1342" w:name="_Toc265955040"/>
      <w:r>
        <w:rPr>
          <w:rFonts w:hint="eastAsia" w:asciiTheme="minorEastAsia" w:hAnsiTheme="minorEastAsia" w:eastAsiaTheme="minorEastAsia" w:cstheme="minorEastAsia"/>
          <w:b/>
          <w:color w:val="auto"/>
          <w:sz w:val="21"/>
          <w:szCs w:val="21"/>
        </w:rPr>
        <w:t>23.索赔</w:t>
      </w:r>
      <w:bookmarkEnd w:id="1338"/>
      <w:bookmarkEnd w:id="1339"/>
      <w:bookmarkEnd w:id="1340"/>
      <w:bookmarkEnd w:id="1341"/>
      <w:bookmarkEnd w:id="1342"/>
    </w:p>
    <w:p w14:paraId="18D8BC7C">
      <w:pPr>
        <w:rPr>
          <w:rFonts w:hint="eastAsia" w:asciiTheme="minorEastAsia" w:hAnsiTheme="minorEastAsia" w:eastAsiaTheme="minorEastAsia" w:cstheme="minorEastAsia"/>
          <w:b/>
          <w:color w:val="auto"/>
          <w:sz w:val="21"/>
          <w:szCs w:val="21"/>
        </w:rPr>
      </w:pPr>
      <w:bookmarkStart w:id="1343" w:name="_Toc265653986"/>
      <w:bookmarkStart w:id="1344" w:name="_Toc199322133"/>
      <w:bookmarkStart w:id="1345" w:name="_Toc22017"/>
      <w:bookmarkStart w:id="1346" w:name="_Toc229450903"/>
      <w:bookmarkStart w:id="1347" w:name="_Toc265955041"/>
      <w:bookmarkStart w:id="1348" w:name="_Toc265954742"/>
      <w:r>
        <w:rPr>
          <w:rFonts w:hint="eastAsia" w:asciiTheme="minorEastAsia" w:hAnsiTheme="minorEastAsia" w:eastAsiaTheme="minorEastAsia" w:cstheme="minorEastAsia"/>
          <w:b/>
          <w:color w:val="auto"/>
          <w:sz w:val="21"/>
          <w:szCs w:val="21"/>
        </w:rPr>
        <w:t>23.1 承包人索赔的提出</w:t>
      </w:r>
      <w:bookmarkEnd w:id="1343"/>
      <w:bookmarkEnd w:id="1344"/>
      <w:bookmarkEnd w:id="1345"/>
      <w:bookmarkEnd w:id="1346"/>
      <w:bookmarkEnd w:id="1347"/>
      <w:bookmarkEnd w:id="1348"/>
    </w:p>
    <w:p w14:paraId="219A79F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根据合同约定，承包人认为有权得到追加付款和(或)延长工期的，应按以下程序向发包人提出索赔：</w:t>
      </w:r>
    </w:p>
    <w:p w14:paraId="12D83950">
      <w:pPr>
        <w:autoSpaceDE w:val="0"/>
        <w:autoSpaceDN w:val="0"/>
        <w:adjustRightInd w:val="0"/>
        <w:ind w:firstLine="642" w:firstLineChars="3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2"/>
          <w:kern w:val="0"/>
          <w:sz w:val="21"/>
          <w:szCs w:val="21"/>
        </w:rPr>
        <w:t>(1) 承包人应在知道或应当知道索赔事件发生后28 天内，向监理人递交索赔意向</w:t>
      </w:r>
      <w:r>
        <w:rPr>
          <w:rFonts w:hint="eastAsia" w:asciiTheme="minorEastAsia" w:hAnsiTheme="minorEastAsia" w:eastAsiaTheme="minorEastAsia" w:cstheme="minorEastAsia"/>
          <w:color w:val="auto"/>
          <w:spacing w:val="-2"/>
          <w:kern w:val="0"/>
          <w:sz w:val="21"/>
          <w:szCs w:val="21"/>
        </w:rPr>
        <w:t>通知书，并说明发生索赔事件的事由。承包人未在前述28 天内发出索赔意向通知书的，丧失要求追加付款和(或)延长工期的权利；</w:t>
      </w:r>
    </w:p>
    <w:p w14:paraId="6BC51159">
      <w:pPr>
        <w:autoSpaceDE w:val="0"/>
        <w:autoSpaceDN w:val="0"/>
        <w:adjustRightInd w:val="0"/>
        <w:ind w:firstLine="618" w:firstLineChars="3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2"/>
          <w:kern w:val="0"/>
          <w:sz w:val="21"/>
          <w:szCs w:val="21"/>
        </w:rPr>
        <w:t>(2) 承包人应在发出索赔意向通知书后28 天内，向监理人正式递交索赔通知书。索赔</w:t>
      </w:r>
      <w:r>
        <w:rPr>
          <w:rFonts w:hint="eastAsia" w:asciiTheme="minorEastAsia" w:hAnsiTheme="minorEastAsia" w:eastAsiaTheme="minorEastAsia" w:cstheme="minorEastAsia"/>
          <w:color w:val="auto"/>
          <w:spacing w:val="2"/>
          <w:kern w:val="0"/>
          <w:sz w:val="21"/>
          <w:szCs w:val="21"/>
        </w:rPr>
        <w:t>通知书应详细说明索赔理由以及要求追加的付款金额和(或)延长的工期，并附必要的记录和证明材料；</w:t>
      </w:r>
    </w:p>
    <w:p w14:paraId="65BA33A4">
      <w:pPr>
        <w:autoSpaceDE w:val="0"/>
        <w:autoSpaceDN w:val="0"/>
        <w:adjustRightInd w:val="0"/>
        <w:ind w:firstLine="630" w:firstLineChars="3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索赔事件具有连续影响的，承包人应按合理时间间隔继续递交延续索赔通知，说明连续影响的实际情况和记录，列出累计的追加付款金额和(或)工期延长天数；</w:t>
      </w:r>
    </w:p>
    <w:p w14:paraId="4CA43A92">
      <w:pPr>
        <w:autoSpaceDE w:val="0"/>
        <w:autoSpaceDN w:val="0"/>
        <w:adjustRightInd w:val="0"/>
        <w:ind w:firstLine="618" w:firstLineChars="3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(4) 在索赔事件影响结束后的28 天内，承包人应向监理人递交最终索赔通知书，说明最终要求索赔的追加付款金额和延长的工期，并附必要的记录和证明材料。</w:t>
      </w:r>
    </w:p>
    <w:p w14:paraId="162F1A22">
      <w:pPr>
        <w:rPr>
          <w:rFonts w:hint="eastAsia" w:asciiTheme="minorEastAsia" w:hAnsiTheme="minorEastAsia" w:eastAsiaTheme="minorEastAsia" w:cstheme="minorEastAsia"/>
          <w:b/>
          <w:color w:val="auto"/>
          <w:sz w:val="21"/>
          <w:szCs w:val="21"/>
        </w:rPr>
      </w:pPr>
      <w:bookmarkStart w:id="1349" w:name="_Toc199322134"/>
      <w:bookmarkStart w:id="1350" w:name="_Toc229450904"/>
      <w:bookmarkStart w:id="1351" w:name="_Toc265955042"/>
      <w:bookmarkStart w:id="1352" w:name="_Toc265653987"/>
      <w:bookmarkStart w:id="1353" w:name="_Toc265954743"/>
      <w:bookmarkStart w:id="1354" w:name="_Toc6629"/>
      <w:r>
        <w:rPr>
          <w:rFonts w:hint="eastAsia" w:asciiTheme="minorEastAsia" w:hAnsiTheme="minorEastAsia" w:eastAsiaTheme="minorEastAsia" w:cstheme="minorEastAsia"/>
          <w:b/>
          <w:color w:val="auto"/>
          <w:sz w:val="21"/>
          <w:szCs w:val="21"/>
        </w:rPr>
        <w:t>23.2 承包人索赔处理程序</w:t>
      </w:r>
      <w:bookmarkEnd w:id="1349"/>
      <w:bookmarkEnd w:id="1350"/>
      <w:bookmarkEnd w:id="1351"/>
      <w:bookmarkEnd w:id="1352"/>
      <w:bookmarkEnd w:id="1353"/>
      <w:bookmarkEnd w:id="1354"/>
    </w:p>
    <w:p w14:paraId="2B7F0C8D">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监理人收到承包人提交的索赔通知书后，应及时审查索赔通知书的内容、查验承包人的记录和证明材料，必要时监理人可要求承包人提交全部原始记录副本。</w:t>
      </w:r>
    </w:p>
    <w:p w14:paraId="40498EFD">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监理人应按第3.5款商定或确定追加的付款和(或)延长的工期，并在收到上述索赔通知书或有关索赔的进一步证明材料后的42天内，将索赔处理结果答复承包人。</w:t>
      </w:r>
    </w:p>
    <w:p w14:paraId="36BE897F">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承包人接受索赔处理结果的，发包人应在作出索赔处理结果答复后28天内完成赔付。承包人不接受索赔处理结果的，按第24条的约定办理。</w:t>
      </w:r>
    </w:p>
    <w:p w14:paraId="25D8F7D3">
      <w:pPr>
        <w:rPr>
          <w:rFonts w:hint="eastAsia" w:asciiTheme="minorEastAsia" w:hAnsiTheme="minorEastAsia" w:eastAsiaTheme="minorEastAsia" w:cstheme="minorEastAsia"/>
          <w:b/>
          <w:color w:val="auto"/>
          <w:kern w:val="0"/>
          <w:sz w:val="21"/>
          <w:szCs w:val="21"/>
        </w:rPr>
      </w:pPr>
      <w:bookmarkStart w:id="1355" w:name="_Toc265954744"/>
      <w:bookmarkStart w:id="1356" w:name="_Toc265653988"/>
      <w:bookmarkStart w:id="1357" w:name="_Toc229450905"/>
      <w:bookmarkStart w:id="1358" w:name="_Toc5473"/>
      <w:bookmarkStart w:id="1359" w:name="_Toc265955043"/>
      <w:bookmarkStart w:id="1360" w:name="_Toc199322135"/>
      <w:r>
        <w:rPr>
          <w:rFonts w:hint="eastAsia" w:asciiTheme="minorEastAsia" w:hAnsiTheme="minorEastAsia" w:eastAsiaTheme="minorEastAsia" w:cstheme="minorEastAsia"/>
          <w:b/>
          <w:color w:val="auto"/>
          <w:kern w:val="0"/>
          <w:sz w:val="21"/>
          <w:szCs w:val="21"/>
        </w:rPr>
        <w:t>23.3 承包人提出索赔的期限</w:t>
      </w:r>
      <w:bookmarkEnd w:id="1355"/>
      <w:bookmarkEnd w:id="1356"/>
      <w:bookmarkEnd w:id="1357"/>
      <w:bookmarkEnd w:id="1358"/>
      <w:bookmarkEnd w:id="1359"/>
      <w:bookmarkEnd w:id="1360"/>
    </w:p>
    <w:p w14:paraId="31EB19A2">
      <w:pPr>
        <w:pStyle w:val="8"/>
        <w:ind w:firstLine="420" w:firstLineChars="200"/>
        <w:rPr>
          <w:rFonts w:hint="eastAsia" w:asciiTheme="minorEastAsia" w:hAnsiTheme="minorEastAsia" w:eastAsiaTheme="minorEastAsia" w:cstheme="minorEastAsia"/>
          <w:color w:val="auto"/>
          <w:sz w:val="21"/>
          <w:szCs w:val="21"/>
        </w:rPr>
      </w:pPr>
      <w:bookmarkStart w:id="1361" w:name="_Toc199322136"/>
      <w:r>
        <w:rPr>
          <w:rFonts w:hint="eastAsia" w:asciiTheme="minorEastAsia" w:hAnsiTheme="minorEastAsia" w:eastAsiaTheme="minorEastAsia" w:cstheme="minorEastAsia"/>
          <w:color w:val="auto"/>
          <w:sz w:val="21"/>
          <w:szCs w:val="21"/>
        </w:rPr>
        <w:t>23.3.1 承包人按第17.5款的约定接受了完工付款证书后，应被认为己无权再提出在合同工程接收证书颁发前所发生的任何索赔。</w:t>
      </w:r>
      <w:bookmarkEnd w:id="1361"/>
    </w:p>
    <w:p w14:paraId="237B0AAE">
      <w:pPr>
        <w:pStyle w:val="8"/>
        <w:ind w:firstLine="420" w:firstLineChars="200"/>
        <w:rPr>
          <w:rFonts w:hint="eastAsia" w:asciiTheme="minorEastAsia" w:hAnsiTheme="minorEastAsia" w:eastAsiaTheme="minorEastAsia" w:cstheme="minorEastAsia"/>
          <w:color w:val="auto"/>
          <w:sz w:val="21"/>
          <w:szCs w:val="21"/>
        </w:rPr>
      </w:pPr>
      <w:bookmarkStart w:id="1362" w:name="_Toc199322137"/>
      <w:r>
        <w:rPr>
          <w:rFonts w:hint="eastAsia" w:asciiTheme="minorEastAsia" w:hAnsiTheme="minorEastAsia" w:eastAsiaTheme="minorEastAsia" w:cstheme="minorEastAsia"/>
          <w:color w:val="auto"/>
          <w:sz w:val="21"/>
          <w:szCs w:val="21"/>
        </w:rPr>
        <w:t>23.3.2 承包人按第17.6款的约定提交的最终结清申请单中，只限于提出合同工程完工证书</w:t>
      </w:r>
      <w:bookmarkEnd w:id="1362"/>
      <w:r>
        <w:rPr>
          <w:rFonts w:hint="eastAsia" w:asciiTheme="minorEastAsia" w:hAnsiTheme="minorEastAsia" w:eastAsiaTheme="minorEastAsia" w:cstheme="minorEastAsia"/>
          <w:color w:val="auto"/>
          <w:sz w:val="21"/>
          <w:szCs w:val="21"/>
        </w:rPr>
        <w:t>颁发后发生的索赔。提出索赔的期限自接受最终结清证书时终止。</w:t>
      </w:r>
    </w:p>
    <w:p w14:paraId="79F3DC61">
      <w:pPr>
        <w:rPr>
          <w:rFonts w:hint="eastAsia" w:asciiTheme="minorEastAsia" w:hAnsiTheme="minorEastAsia" w:eastAsiaTheme="minorEastAsia" w:cstheme="minorEastAsia"/>
          <w:b/>
          <w:color w:val="auto"/>
          <w:kern w:val="0"/>
          <w:sz w:val="21"/>
          <w:szCs w:val="21"/>
        </w:rPr>
      </w:pPr>
      <w:bookmarkStart w:id="1363" w:name="_Toc199322138"/>
      <w:bookmarkStart w:id="1364" w:name="_Toc229450906"/>
      <w:bookmarkStart w:id="1365" w:name="_Toc265653989"/>
      <w:bookmarkStart w:id="1366" w:name="_Toc8140"/>
      <w:bookmarkStart w:id="1367" w:name="_Toc265955044"/>
      <w:bookmarkStart w:id="1368" w:name="_Toc265954745"/>
      <w:r>
        <w:rPr>
          <w:rFonts w:hint="eastAsia" w:asciiTheme="minorEastAsia" w:hAnsiTheme="minorEastAsia" w:eastAsiaTheme="minorEastAsia" w:cstheme="minorEastAsia"/>
          <w:b/>
          <w:color w:val="auto"/>
          <w:kern w:val="0"/>
          <w:sz w:val="21"/>
          <w:szCs w:val="21"/>
        </w:rPr>
        <w:t>23.4 发包人的索赔</w:t>
      </w:r>
      <w:bookmarkEnd w:id="1363"/>
      <w:bookmarkEnd w:id="1364"/>
      <w:bookmarkEnd w:id="1365"/>
      <w:bookmarkEnd w:id="1366"/>
      <w:bookmarkEnd w:id="1367"/>
      <w:bookmarkEnd w:id="1368"/>
    </w:p>
    <w:p w14:paraId="5B9B3659">
      <w:pPr>
        <w:pStyle w:val="8"/>
        <w:ind w:firstLine="412" w:firstLineChars="200"/>
        <w:rPr>
          <w:rFonts w:hint="eastAsia" w:asciiTheme="minorEastAsia" w:hAnsiTheme="minorEastAsia" w:eastAsiaTheme="minorEastAsia" w:cstheme="minorEastAsia"/>
          <w:color w:val="auto"/>
          <w:sz w:val="21"/>
          <w:szCs w:val="21"/>
        </w:rPr>
      </w:pPr>
      <w:bookmarkStart w:id="1369" w:name="_Toc199322139"/>
      <w:r>
        <w:rPr>
          <w:rFonts w:hint="eastAsia" w:asciiTheme="minorEastAsia" w:hAnsiTheme="minorEastAsia" w:eastAsiaTheme="minorEastAsia" w:cstheme="minorEastAsia"/>
          <w:color w:val="auto"/>
          <w:spacing w:val="-2"/>
          <w:sz w:val="21"/>
          <w:szCs w:val="21"/>
        </w:rPr>
        <w:t>23.4.1 发生索赔事件后，监理人应及时书面通知承包人，详细说明发包人有权得到的索赔金额和(或)延长缺陷责任期的细节和依据。发包人提出索赔的期限和要求与第23.3 款</w:t>
      </w:r>
      <w:bookmarkEnd w:id="1369"/>
      <w:r>
        <w:rPr>
          <w:rFonts w:hint="eastAsia" w:asciiTheme="minorEastAsia" w:hAnsiTheme="minorEastAsia" w:eastAsiaTheme="minorEastAsia" w:cstheme="minorEastAsia"/>
          <w:color w:val="auto"/>
          <w:sz w:val="21"/>
          <w:szCs w:val="21"/>
        </w:rPr>
        <w:t>的约定相同，延长缺陷责任期的通知应在缺陷责任期届满前发出。</w:t>
      </w:r>
    </w:p>
    <w:p w14:paraId="543F9360">
      <w:pPr>
        <w:pStyle w:val="8"/>
        <w:ind w:firstLine="420" w:firstLineChars="200"/>
        <w:rPr>
          <w:rFonts w:hint="eastAsia" w:asciiTheme="minorEastAsia" w:hAnsiTheme="minorEastAsia" w:eastAsiaTheme="minorEastAsia" w:cstheme="minorEastAsia"/>
          <w:color w:val="auto"/>
          <w:sz w:val="21"/>
          <w:szCs w:val="21"/>
        </w:rPr>
      </w:pPr>
      <w:bookmarkStart w:id="1370" w:name="_Toc199322140"/>
      <w:r>
        <w:rPr>
          <w:rFonts w:hint="eastAsia" w:asciiTheme="minorEastAsia" w:hAnsiTheme="minorEastAsia" w:eastAsiaTheme="minorEastAsia" w:cstheme="minorEastAsia"/>
          <w:color w:val="auto"/>
          <w:sz w:val="21"/>
          <w:szCs w:val="21"/>
        </w:rPr>
        <w:t>23.4.2 监理人按第3.5款商定或确定发包人从承包人处得到赔付的金额和(或)缺陷责</w:t>
      </w:r>
      <w:bookmarkEnd w:id="1370"/>
      <w:r>
        <w:rPr>
          <w:rFonts w:hint="eastAsia" w:asciiTheme="minorEastAsia" w:hAnsiTheme="minorEastAsia" w:eastAsiaTheme="minorEastAsia" w:cstheme="minorEastAsia"/>
          <w:color w:val="auto"/>
          <w:sz w:val="21"/>
          <w:szCs w:val="21"/>
        </w:rPr>
        <w:t>任期的延长期。承包人应付给发包人的金额可从以支付给承包人的合同价款中扣除，或由承包人以其他方式支付给发包人。</w:t>
      </w:r>
    </w:p>
    <w:p w14:paraId="6BABEE4E">
      <w:pPr>
        <w:pStyle w:val="8"/>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23.4.3 承包人对监理人按第23.4.1项发出的索赔书面通知内容持异议时，应在收到书面通知后的14天内，将持有异议的书面报告及其证明材料提交监理人。监理人应在收到承包人书面报告后14天内，将异议的处理意见通知承包人，并按第23.4.2项的约定执行赔付。若承包人不接受监理人的索赔处理意见，可按本合同第24条的规定办理。</w:t>
      </w:r>
    </w:p>
    <w:p w14:paraId="1255927A">
      <w:pPr>
        <w:rPr>
          <w:rFonts w:hint="eastAsia" w:asciiTheme="minorEastAsia" w:hAnsiTheme="minorEastAsia" w:eastAsiaTheme="minorEastAsia" w:cstheme="minorEastAsia"/>
          <w:b/>
          <w:color w:val="auto"/>
          <w:sz w:val="21"/>
          <w:szCs w:val="21"/>
        </w:rPr>
      </w:pPr>
      <w:bookmarkStart w:id="1371" w:name="_Toc31741"/>
      <w:bookmarkStart w:id="1372" w:name="_Toc265955045"/>
      <w:bookmarkStart w:id="1373" w:name="_Toc229450907"/>
      <w:bookmarkStart w:id="1374" w:name="_Toc265954746"/>
      <w:bookmarkStart w:id="1375" w:name="_Toc199322141"/>
      <w:bookmarkStart w:id="1376" w:name="_Toc265653990"/>
      <w:r>
        <w:rPr>
          <w:rFonts w:hint="eastAsia" w:asciiTheme="minorEastAsia" w:hAnsiTheme="minorEastAsia" w:eastAsiaTheme="minorEastAsia" w:cstheme="minorEastAsia"/>
          <w:b/>
          <w:color w:val="auto"/>
          <w:sz w:val="21"/>
          <w:szCs w:val="21"/>
        </w:rPr>
        <w:t>24. 争议的解决</w:t>
      </w:r>
      <w:bookmarkEnd w:id="1371"/>
      <w:bookmarkEnd w:id="1372"/>
      <w:bookmarkEnd w:id="1373"/>
      <w:bookmarkEnd w:id="1374"/>
      <w:bookmarkEnd w:id="1375"/>
      <w:bookmarkEnd w:id="1376"/>
    </w:p>
    <w:p w14:paraId="18715347">
      <w:pPr>
        <w:rPr>
          <w:rFonts w:hint="eastAsia" w:asciiTheme="minorEastAsia" w:hAnsiTheme="minorEastAsia" w:eastAsiaTheme="minorEastAsia" w:cstheme="minorEastAsia"/>
          <w:b/>
          <w:color w:val="auto"/>
          <w:kern w:val="0"/>
          <w:sz w:val="21"/>
          <w:szCs w:val="21"/>
        </w:rPr>
      </w:pPr>
      <w:bookmarkStart w:id="1377" w:name="_Toc265955046"/>
      <w:bookmarkStart w:id="1378" w:name="_Toc265954747"/>
      <w:bookmarkStart w:id="1379" w:name="_Toc229450908"/>
      <w:bookmarkStart w:id="1380" w:name="_Toc28352"/>
      <w:bookmarkStart w:id="1381" w:name="_Toc265653991"/>
      <w:r>
        <w:rPr>
          <w:rFonts w:hint="eastAsia" w:asciiTheme="minorEastAsia" w:hAnsiTheme="minorEastAsia" w:eastAsiaTheme="minorEastAsia" w:cstheme="minorEastAsia"/>
          <w:b/>
          <w:color w:val="auto"/>
          <w:kern w:val="0"/>
          <w:sz w:val="21"/>
          <w:szCs w:val="21"/>
        </w:rPr>
        <w:t>24.1 争议的解决方式</w:t>
      </w:r>
      <w:bookmarkEnd w:id="1377"/>
      <w:bookmarkEnd w:id="1378"/>
      <w:bookmarkEnd w:id="1379"/>
      <w:bookmarkEnd w:id="1380"/>
      <w:bookmarkEnd w:id="1381"/>
    </w:p>
    <w:p w14:paraId="55A1B1F1">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0793E901">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向约定的仲裁委员会申请仲裁；</w:t>
      </w:r>
    </w:p>
    <w:p w14:paraId="0A77676F">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向有管辖权的人民法院提起诉讼。</w:t>
      </w:r>
    </w:p>
    <w:p w14:paraId="526AD01A">
      <w:pPr>
        <w:rPr>
          <w:rFonts w:hint="eastAsia" w:asciiTheme="minorEastAsia" w:hAnsiTheme="minorEastAsia" w:eastAsiaTheme="minorEastAsia" w:cstheme="minorEastAsia"/>
          <w:b/>
          <w:color w:val="auto"/>
          <w:kern w:val="0"/>
          <w:sz w:val="21"/>
          <w:szCs w:val="21"/>
        </w:rPr>
      </w:pPr>
      <w:bookmarkStart w:id="1382" w:name="_Toc265954748"/>
      <w:bookmarkStart w:id="1383" w:name="_Toc265955047"/>
      <w:bookmarkStart w:id="1384" w:name="_Toc21343"/>
      <w:bookmarkStart w:id="1385" w:name="_Toc265653992"/>
      <w:bookmarkStart w:id="1386" w:name="_Toc229450909"/>
      <w:r>
        <w:rPr>
          <w:rFonts w:hint="eastAsia" w:asciiTheme="minorEastAsia" w:hAnsiTheme="minorEastAsia" w:eastAsiaTheme="minorEastAsia" w:cstheme="minorEastAsia"/>
          <w:b/>
          <w:color w:val="auto"/>
          <w:kern w:val="0"/>
          <w:sz w:val="21"/>
          <w:szCs w:val="21"/>
        </w:rPr>
        <w:t>24.2 友好解决</w:t>
      </w:r>
      <w:bookmarkEnd w:id="1382"/>
      <w:bookmarkEnd w:id="1383"/>
      <w:bookmarkEnd w:id="1384"/>
      <w:bookmarkEnd w:id="1385"/>
      <w:bookmarkEnd w:id="1386"/>
    </w:p>
    <w:p w14:paraId="3632679C">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在提请争议评审、仲裁或者诉讼前，以及在争议评审、仲裁或诉讼过程中，发包人和承包人均可共同努力友好协商解决争议。</w:t>
      </w:r>
    </w:p>
    <w:p w14:paraId="70D47901">
      <w:pPr>
        <w:rPr>
          <w:rFonts w:hint="eastAsia" w:asciiTheme="minorEastAsia" w:hAnsiTheme="minorEastAsia" w:eastAsiaTheme="minorEastAsia" w:cstheme="minorEastAsia"/>
          <w:b/>
          <w:color w:val="auto"/>
          <w:kern w:val="0"/>
          <w:sz w:val="21"/>
          <w:szCs w:val="21"/>
        </w:rPr>
      </w:pPr>
      <w:bookmarkStart w:id="1387" w:name="_Toc265653993"/>
      <w:bookmarkStart w:id="1388" w:name="_Toc229450910"/>
      <w:bookmarkStart w:id="1389" w:name="_Toc265955048"/>
      <w:bookmarkStart w:id="1390" w:name="_Toc265954749"/>
      <w:bookmarkStart w:id="1391" w:name="_Toc13819"/>
      <w:r>
        <w:rPr>
          <w:rFonts w:hint="eastAsia" w:asciiTheme="minorEastAsia" w:hAnsiTheme="minorEastAsia" w:eastAsiaTheme="minorEastAsia" w:cstheme="minorEastAsia"/>
          <w:b/>
          <w:color w:val="auto"/>
          <w:kern w:val="0"/>
          <w:sz w:val="21"/>
          <w:szCs w:val="21"/>
        </w:rPr>
        <w:t>24.3 争议评审</w:t>
      </w:r>
      <w:bookmarkEnd w:id="1387"/>
      <w:bookmarkEnd w:id="1388"/>
      <w:bookmarkEnd w:id="1389"/>
      <w:bookmarkEnd w:id="1390"/>
      <w:bookmarkEnd w:id="1391"/>
    </w:p>
    <w:p w14:paraId="4CD0825D">
      <w:pPr>
        <w:pStyle w:val="8"/>
        <w:ind w:firstLine="420" w:firstLineChars="200"/>
        <w:rPr>
          <w:rFonts w:hint="eastAsia" w:asciiTheme="minorEastAsia" w:hAnsiTheme="minorEastAsia" w:eastAsiaTheme="minorEastAsia" w:cstheme="minorEastAsia"/>
          <w:color w:val="auto"/>
          <w:sz w:val="21"/>
          <w:szCs w:val="21"/>
        </w:rPr>
      </w:pPr>
      <w:bookmarkStart w:id="1392" w:name="_Toc199322142"/>
      <w:r>
        <w:rPr>
          <w:rFonts w:hint="eastAsia" w:asciiTheme="minorEastAsia" w:hAnsiTheme="minorEastAsia" w:eastAsiaTheme="minorEastAsia" w:cstheme="minorEastAsia"/>
          <w:color w:val="auto"/>
          <w:sz w:val="21"/>
          <w:szCs w:val="21"/>
        </w:rPr>
        <w:t>24.3.1 采用争议评审的，发包人和承包人应在开工日后的28 天内或在争议发生后，协</w:t>
      </w:r>
      <w:bookmarkEnd w:id="1392"/>
      <w:r>
        <w:rPr>
          <w:rFonts w:hint="eastAsia" w:asciiTheme="minorEastAsia" w:hAnsiTheme="minorEastAsia" w:eastAsiaTheme="minorEastAsia" w:cstheme="minorEastAsia"/>
          <w:color w:val="auto"/>
          <w:sz w:val="21"/>
          <w:szCs w:val="21"/>
        </w:rPr>
        <w:t>商成立争议评审组。争议评审组由有合同管理和工程实践经验的专家组成。</w:t>
      </w:r>
    </w:p>
    <w:p w14:paraId="64693D8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24.3.2 合同双方的争议，应首先由投标人向争议评审组提交一份详细的评审申请报告，并附必要的文件、图纸和证明材料，投标人还应将上述报告的副本同时提交给被投标人和监理人。</w:t>
      </w:r>
    </w:p>
    <w:p w14:paraId="6C1315F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24.3.3 被投标人在收到投标人评审申请报告副本后的28 天内，向争议评审组提交一份答辩报告，并附证明材料。被投标人应将答辩报告的副本同时提交给投标人和监理人。</w:t>
      </w:r>
    </w:p>
    <w:p w14:paraId="1327858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24.3.4 除专用合同条款另有约定外，争议评审组在收到合同双方报告后的14 天内，邀请双方代表和有关人员举行调查会，向双方调查争议细节:必要时争议评审组可要求双方进一步提供补充材料。</w:t>
      </w:r>
    </w:p>
    <w:p w14:paraId="7B7FF2EA">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24.3.5 除专用合同条款另有约定外，在调查会结束后的14 天内，争议评审组应在不受任何干扰的情况下进行独立、公正的评审，作出书面评审意见，并说明理由。在争议评审期间，争议双方暂按总监理工程师的确定执行。</w:t>
      </w:r>
    </w:p>
    <w:p w14:paraId="1D2F44DF">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24.3.6 发包人和承包人接受评审意见的，由监理人根据评审意见拟定执行协议，经争议双方签字后作为合同的补充文件，并遵照执行。</w:t>
      </w:r>
    </w:p>
    <w:p w14:paraId="0F7D0186">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24.3.7 发包人或承包人不接受评审意见，并要求提交仲裁或提起诉讼的，应在收到评审意见后的14 天内将仲裁或起诉意向书面通知另一方，并抄送监理人，但在仲裁或诉讼结束前应暂按总监理工程师的确定执行。</w:t>
      </w:r>
    </w:p>
    <w:p w14:paraId="02415248">
      <w:pP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24.4.1 若合同双方商定直接向仲裁机构申请仲裁，应签订仲裁协议并约定仲裁机构。</w:t>
      </w:r>
    </w:p>
    <w:p w14:paraId="23F4B3CD">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7" w:left="1417" w:header="851" w:footer="992" w:gutter="0"/>
          <w:pgNumType w:fmt="decimal"/>
          <w:cols w:space="720" w:num="1"/>
          <w:docGrid w:type="lines" w:linePitch="312" w:charSpace="0"/>
        </w:sectPr>
      </w:pPr>
      <w:r>
        <w:rPr>
          <w:rFonts w:hint="eastAsia" w:asciiTheme="minorEastAsia" w:hAnsiTheme="minorEastAsia" w:eastAsiaTheme="minorEastAsia" w:cstheme="minorEastAsia"/>
          <w:color w:val="auto"/>
          <w:kern w:val="0"/>
          <w:sz w:val="21"/>
          <w:szCs w:val="21"/>
        </w:rPr>
        <w:t>24.4.2 若合同双方未能达成仲裁协议，则本合同的仲裁条款无效，任一方均有权向人民法院提起诉讼。</w:t>
      </w:r>
    </w:p>
    <w:p w14:paraId="6AD779C4">
      <w:pPr>
        <w:autoSpaceDE w:val="0"/>
        <w:autoSpaceDN w:val="0"/>
        <w:adjustRightInd w:val="0"/>
        <w:jc w:val="center"/>
        <w:outlineLvl w:val="1"/>
        <w:rPr>
          <w:rFonts w:hint="eastAsia" w:asciiTheme="minorEastAsia" w:hAnsiTheme="minorEastAsia" w:eastAsiaTheme="minorEastAsia" w:cstheme="minorEastAsia"/>
          <w:b/>
          <w:color w:val="auto"/>
          <w:kern w:val="0"/>
          <w:sz w:val="21"/>
          <w:szCs w:val="21"/>
        </w:rPr>
      </w:pPr>
      <w:bookmarkStart w:id="1393" w:name="_Toc14090781"/>
      <w:bookmarkStart w:id="1394" w:name="_Toc491246873"/>
      <w:bookmarkStart w:id="1395" w:name="_Toc372193366"/>
      <w:bookmarkStart w:id="1396" w:name="_Toc265653995"/>
      <w:bookmarkStart w:id="1397" w:name="_Toc265955050"/>
      <w:bookmarkStart w:id="1398" w:name="_Toc209499029"/>
      <w:bookmarkStart w:id="1399" w:name="_Toc26920"/>
      <w:bookmarkStart w:id="1400" w:name="_Toc244121905"/>
      <w:bookmarkStart w:id="1401" w:name="_Toc265954751"/>
      <w:r>
        <w:rPr>
          <w:rFonts w:hint="eastAsia" w:asciiTheme="minorEastAsia" w:hAnsiTheme="minorEastAsia" w:eastAsiaTheme="minorEastAsia" w:cstheme="minorEastAsia"/>
          <w:b/>
          <w:color w:val="auto"/>
          <w:kern w:val="0"/>
          <w:sz w:val="21"/>
          <w:szCs w:val="21"/>
        </w:rPr>
        <w:t>第三节 专用合同条款</w:t>
      </w:r>
      <w:bookmarkEnd w:id="1393"/>
      <w:bookmarkEnd w:id="1394"/>
      <w:bookmarkEnd w:id="1395"/>
      <w:bookmarkEnd w:id="1396"/>
      <w:bookmarkEnd w:id="1397"/>
      <w:bookmarkEnd w:id="1398"/>
      <w:bookmarkEnd w:id="1399"/>
      <w:bookmarkEnd w:id="1400"/>
      <w:bookmarkEnd w:id="1401"/>
    </w:p>
    <w:p w14:paraId="3F70324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专用合同条款中的各条款是补充和修改通用合同条款中条款号相同的条款或当需要时增加新的条款，两者应对照阅读，一旦出现矛盾或不一致，则以专用合同条款为准，通用合同条款中未补充和修改的部分仍有效。专用条款中未明确的部分在签订合同协议书时由发包人和承包人协商确定。</w:t>
      </w:r>
      <w:bookmarkStart w:id="1402" w:name="_Toc200817287"/>
      <w:bookmarkStart w:id="1403" w:name="_Toc491246874"/>
      <w:bookmarkStart w:id="1404" w:name="_Toc209499030"/>
      <w:bookmarkStart w:id="1405" w:name="_Toc201058948"/>
    </w:p>
    <w:p w14:paraId="60A57E1E">
      <w:pPr>
        <w:rPr>
          <w:rFonts w:hint="eastAsia" w:asciiTheme="minorEastAsia" w:hAnsiTheme="minorEastAsia" w:eastAsiaTheme="minorEastAsia" w:cstheme="minorEastAsia"/>
          <w:b/>
          <w:color w:val="auto"/>
          <w:sz w:val="21"/>
          <w:szCs w:val="21"/>
        </w:rPr>
      </w:pPr>
      <w:bookmarkStart w:id="1406" w:name="_Toc244121906"/>
      <w:bookmarkStart w:id="1407" w:name="_Toc265955051"/>
      <w:bookmarkStart w:id="1408" w:name="_Toc16490"/>
      <w:bookmarkStart w:id="1409" w:name="_Toc265954752"/>
      <w:bookmarkStart w:id="1410" w:name="_Toc265653996"/>
      <w:r>
        <w:rPr>
          <w:rFonts w:hint="eastAsia" w:asciiTheme="minorEastAsia" w:hAnsiTheme="minorEastAsia" w:eastAsiaTheme="minorEastAsia" w:cstheme="minorEastAsia"/>
          <w:b/>
          <w:color w:val="auto"/>
          <w:sz w:val="21"/>
          <w:szCs w:val="21"/>
        </w:rPr>
        <w:t>1. 一般约定</w:t>
      </w:r>
      <w:bookmarkEnd w:id="1402"/>
      <w:bookmarkEnd w:id="1403"/>
      <w:bookmarkEnd w:id="1404"/>
      <w:bookmarkEnd w:id="1405"/>
      <w:bookmarkEnd w:id="1406"/>
      <w:bookmarkEnd w:id="1407"/>
      <w:bookmarkEnd w:id="1408"/>
      <w:bookmarkEnd w:id="1409"/>
      <w:bookmarkEnd w:id="1410"/>
    </w:p>
    <w:p w14:paraId="0B3830CE">
      <w:pPr>
        <w:rPr>
          <w:rFonts w:hint="eastAsia" w:asciiTheme="minorEastAsia" w:hAnsiTheme="minorEastAsia" w:eastAsiaTheme="minorEastAsia" w:cstheme="minorEastAsia"/>
          <w:b/>
          <w:color w:val="auto"/>
          <w:kern w:val="0"/>
          <w:sz w:val="21"/>
          <w:szCs w:val="21"/>
        </w:rPr>
      </w:pPr>
      <w:bookmarkStart w:id="1411" w:name="_Toc491246875"/>
      <w:bookmarkStart w:id="1412" w:name="_Toc201058949"/>
      <w:bookmarkStart w:id="1413" w:name="_Toc209499031"/>
      <w:bookmarkStart w:id="1414" w:name="_Toc244121907"/>
      <w:bookmarkStart w:id="1415" w:name="_Toc2387"/>
      <w:r>
        <w:rPr>
          <w:rFonts w:hint="eastAsia" w:asciiTheme="minorEastAsia" w:hAnsiTheme="minorEastAsia" w:eastAsiaTheme="minorEastAsia" w:cstheme="minorEastAsia"/>
          <w:b/>
          <w:color w:val="auto"/>
          <w:kern w:val="0"/>
          <w:sz w:val="21"/>
          <w:szCs w:val="21"/>
        </w:rPr>
        <w:t>1.1  词语定义：</w:t>
      </w:r>
      <w:bookmarkEnd w:id="1411"/>
      <w:bookmarkEnd w:id="1412"/>
      <w:bookmarkEnd w:id="1413"/>
      <w:bookmarkEnd w:id="1414"/>
      <w:bookmarkEnd w:id="1415"/>
    </w:p>
    <w:p w14:paraId="21A1E33F">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bookmarkStart w:id="1416" w:name="_Toc201058950"/>
      <w:bookmarkStart w:id="1417" w:name="_Toc490385488"/>
      <w:bookmarkStart w:id="1418" w:name="_Toc491246876"/>
      <w:bookmarkStart w:id="1419" w:name="_Toc488678547"/>
      <w:r>
        <w:rPr>
          <w:rFonts w:hint="eastAsia" w:asciiTheme="minorEastAsia" w:hAnsiTheme="minorEastAsia" w:eastAsiaTheme="minorEastAsia" w:cstheme="minorEastAsia"/>
          <w:color w:val="auto"/>
          <w:kern w:val="0"/>
          <w:sz w:val="21"/>
          <w:szCs w:val="21"/>
        </w:rPr>
        <w:t>1.1.2 合同当事人和人员</w:t>
      </w:r>
      <w:bookmarkEnd w:id="1416"/>
      <w:bookmarkEnd w:id="1417"/>
      <w:bookmarkEnd w:id="1418"/>
      <w:bookmarkEnd w:id="1419"/>
    </w:p>
    <w:p w14:paraId="0D12EF4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u w:val="single"/>
          <w:lang w:val="en-US" w:eastAsia="zh-CN"/>
        </w:rPr>
      </w:pPr>
      <w:bookmarkStart w:id="1420" w:name="_Toc491246877"/>
      <w:bookmarkStart w:id="1421" w:name="_Toc201058951"/>
      <w:bookmarkStart w:id="1422" w:name="_Toc488678548"/>
      <w:bookmarkStart w:id="1423" w:name="_Toc490385489"/>
      <w:r>
        <w:rPr>
          <w:rFonts w:hint="eastAsia" w:asciiTheme="minorEastAsia" w:hAnsiTheme="minorEastAsia" w:eastAsiaTheme="minorEastAsia" w:cstheme="minorEastAsia"/>
          <w:color w:val="auto"/>
          <w:kern w:val="0"/>
          <w:sz w:val="21"/>
          <w:szCs w:val="21"/>
        </w:rPr>
        <w:t>1.1.2.2 发包人</w:t>
      </w:r>
      <w:bookmarkEnd w:id="1420"/>
      <w:bookmarkEnd w:id="1421"/>
      <w:bookmarkEnd w:id="1422"/>
      <w:bookmarkEnd w:id="1423"/>
      <w:r>
        <w:rPr>
          <w:rFonts w:hint="eastAsia" w:asciiTheme="minorEastAsia" w:hAnsiTheme="minorEastAsia" w:eastAsiaTheme="minorEastAsia" w:cstheme="minorEastAsia"/>
          <w:color w:val="auto"/>
          <w:kern w:val="0"/>
          <w:sz w:val="21"/>
          <w:szCs w:val="21"/>
        </w:rPr>
        <w:t>：</w:t>
      </w:r>
      <w:r>
        <w:rPr>
          <w:rFonts w:hint="eastAsia" w:asciiTheme="minorEastAsia" w:hAnsiTheme="minorEastAsia" w:eastAsiaTheme="minorEastAsia" w:cstheme="minorEastAsia"/>
          <w:color w:val="auto"/>
          <w:kern w:val="0"/>
          <w:sz w:val="21"/>
          <w:szCs w:val="21"/>
          <w:u w:val="single"/>
          <w:lang w:val="en-US" w:eastAsia="zh-CN"/>
        </w:rPr>
        <w:t xml:space="preserve">            </w:t>
      </w:r>
    </w:p>
    <w:p w14:paraId="2978E29E">
      <w:pPr>
        <w:autoSpaceDE w:val="0"/>
        <w:autoSpaceDN w:val="0"/>
        <w:adjustRightInd w:val="0"/>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1.1.2.3 承包人：</w:t>
      </w:r>
      <w:r>
        <w:rPr>
          <w:rFonts w:hint="eastAsia" w:asciiTheme="minorEastAsia" w:hAnsiTheme="minorEastAsia" w:eastAsiaTheme="minorEastAsia" w:cstheme="minorEastAsia"/>
          <w:color w:val="auto"/>
          <w:kern w:val="0"/>
          <w:sz w:val="21"/>
          <w:szCs w:val="21"/>
          <w:u w:val="single"/>
        </w:rPr>
        <w:t xml:space="preserve">  （中标人）  </w:t>
      </w:r>
      <w:r>
        <w:rPr>
          <w:rFonts w:hint="eastAsia" w:asciiTheme="minorEastAsia" w:hAnsiTheme="minorEastAsia" w:eastAsiaTheme="minorEastAsia" w:cstheme="minorEastAsia"/>
          <w:color w:val="auto"/>
          <w:kern w:val="0"/>
          <w:sz w:val="21"/>
          <w:szCs w:val="21"/>
        </w:rPr>
        <w:t>。</w:t>
      </w:r>
    </w:p>
    <w:p w14:paraId="2C3E1B0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1.1.2.6 监理人:</w:t>
      </w:r>
      <w:r>
        <w:rPr>
          <w:rFonts w:hint="eastAsia" w:asciiTheme="minorEastAsia" w:hAnsiTheme="minorEastAsia" w:eastAsiaTheme="minorEastAsia" w:cstheme="minorEastAsia"/>
          <w:color w:val="auto"/>
          <w:kern w:val="0"/>
          <w:sz w:val="21"/>
          <w:szCs w:val="21"/>
          <w:u w:val="single"/>
        </w:rPr>
        <w:t xml:space="preserve">  待定  </w:t>
      </w:r>
      <w:r>
        <w:rPr>
          <w:rFonts w:hint="eastAsia" w:asciiTheme="minorEastAsia" w:hAnsiTheme="minorEastAsia" w:eastAsiaTheme="minorEastAsia" w:cstheme="minorEastAsia"/>
          <w:color w:val="auto"/>
          <w:kern w:val="0"/>
          <w:sz w:val="21"/>
          <w:szCs w:val="21"/>
        </w:rPr>
        <w:t xml:space="preserve"> 。</w:t>
      </w:r>
    </w:p>
    <w:p w14:paraId="6331EE9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 日期</w:t>
      </w:r>
    </w:p>
    <w:p w14:paraId="247E239A">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1.1.4.5  缺陷责任期（工程质量保修期）:</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u w:val="single"/>
          <w:lang w:val="en-US" w:eastAsia="zh-CN"/>
        </w:rPr>
        <w:t>1年</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 xml:space="preserve"> 。</w:t>
      </w:r>
    </w:p>
    <w:p w14:paraId="72260210">
      <w:pPr>
        <w:rPr>
          <w:rFonts w:hint="eastAsia" w:asciiTheme="minorEastAsia" w:hAnsiTheme="minorEastAsia" w:eastAsiaTheme="minorEastAsia" w:cstheme="minorEastAsia"/>
          <w:b/>
          <w:color w:val="auto"/>
          <w:kern w:val="0"/>
          <w:sz w:val="21"/>
          <w:szCs w:val="21"/>
        </w:rPr>
      </w:pPr>
      <w:bookmarkStart w:id="1424" w:name="_Toc491246879"/>
      <w:bookmarkStart w:id="1425" w:name="_Toc244121908"/>
      <w:bookmarkStart w:id="1426" w:name="_Toc209499032"/>
      <w:bookmarkStart w:id="1427" w:name="_Toc28673"/>
      <w:r>
        <w:rPr>
          <w:rFonts w:hint="eastAsia" w:asciiTheme="minorEastAsia" w:hAnsiTheme="minorEastAsia" w:eastAsiaTheme="minorEastAsia" w:cstheme="minorEastAsia"/>
          <w:b/>
          <w:color w:val="auto"/>
          <w:kern w:val="0"/>
          <w:sz w:val="21"/>
          <w:szCs w:val="21"/>
        </w:rPr>
        <w:t>1.4 合同文件的优先顺序</w:t>
      </w:r>
      <w:bookmarkEnd w:id="1424"/>
      <w:bookmarkEnd w:id="1425"/>
      <w:bookmarkEnd w:id="1426"/>
      <w:bookmarkEnd w:id="1427"/>
    </w:p>
    <w:p w14:paraId="433969C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进入合同文件的各项文件及其优先顺序是：</w:t>
      </w:r>
    </w:p>
    <w:p w14:paraId="2E43A61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⑴ 合同协议书（包括会议纪要、补充协议）</w:t>
      </w:r>
    </w:p>
    <w:p w14:paraId="59DD9463">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⑵ 中标通知书</w:t>
      </w:r>
    </w:p>
    <w:p w14:paraId="0A86F84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lang w:eastAsia="zh-CN"/>
        </w:rPr>
      </w:pPr>
      <w:r>
        <w:rPr>
          <w:rFonts w:hint="eastAsia" w:asciiTheme="minorEastAsia" w:hAnsiTheme="minorEastAsia" w:eastAsiaTheme="minorEastAsia" w:cstheme="minorEastAsia"/>
          <w:color w:val="auto"/>
          <w:kern w:val="0"/>
          <w:sz w:val="21"/>
          <w:szCs w:val="21"/>
        </w:rPr>
        <w:t>⑶ 投标</w:t>
      </w:r>
      <w:r>
        <w:rPr>
          <w:rFonts w:hint="eastAsia" w:asciiTheme="minorEastAsia" w:hAnsiTheme="minorEastAsia" w:eastAsiaTheme="minorEastAsia" w:cstheme="minorEastAsia"/>
          <w:color w:val="auto"/>
          <w:kern w:val="0"/>
          <w:sz w:val="21"/>
          <w:szCs w:val="21"/>
          <w:lang w:val="en-US" w:eastAsia="zh-CN"/>
        </w:rPr>
        <w:t>函</w:t>
      </w:r>
    </w:p>
    <w:p w14:paraId="44399F54">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⑷ 专用合同条款</w:t>
      </w:r>
    </w:p>
    <w:p w14:paraId="36ED5B8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⑸ 通用合同条款</w:t>
      </w:r>
    </w:p>
    <w:p w14:paraId="25D7C35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⑹ 技术条款和要求</w:t>
      </w:r>
    </w:p>
    <w:p w14:paraId="57A64F0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⑺ 图纸</w:t>
      </w:r>
    </w:p>
    <w:p w14:paraId="6616B381">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⑻ 已标价的工程量清单</w:t>
      </w:r>
    </w:p>
    <w:p w14:paraId="50D543E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⑼ 经双方确认进入合同的其它文件（如招标文件、发包人有关</w:t>
      </w:r>
      <w:bookmarkStart w:id="1428" w:name="_Toc201058953"/>
      <w:bookmarkStart w:id="1429" w:name="_Toc491246881"/>
      <w:bookmarkStart w:id="1430" w:name="_Toc209499034"/>
      <w:r>
        <w:rPr>
          <w:rFonts w:hint="eastAsia" w:asciiTheme="minorEastAsia" w:hAnsiTheme="minorEastAsia" w:eastAsiaTheme="minorEastAsia" w:cstheme="minorEastAsia"/>
          <w:color w:val="auto"/>
          <w:kern w:val="0"/>
          <w:sz w:val="21"/>
          <w:szCs w:val="21"/>
        </w:rPr>
        <w:t>工程的洽谈、变更等书面协议，以及工程保修协议书、安全生产协议书、廉政协议书等）</w:t>
      </w:r>
    </w:p>
    <w:p w14:paraId="294BA8E3">
      <w:pPr>
        <w:rPr>
          <w:rFonts w:hint="eastAsia" w:asciiTheme="minorEastAsia" w:hAnsiTheme="minorEastAsia" w:eastAsiaTheme="minorEastAsia" w:cstheme="minorEastAsia"/>
          <w:b/>
          <w:color w:val="auto"/>
          <w:kern w:val="0"/>
          <w:sz w:val="21"/>
          <w:szCs w:val="21"/>
        </w:rPr>
      </w:pPr>
      <w:bookmarkStart w:id="1431" w:name="_Toc12134"/>
      <w:bookmarkStart w:id="1432" w:name="_Toc244121909"/>
      <w:r>
        <w:rPr>
          <w:rFonts w:hint="eastAsia" w:asciiTheme="minorEastAsia" w:hAnsiTheme="minorEastAsia" w:eastAsiaTheme="minorEastAsia" w:cstheme="minorEastAsia"/>
          <w:b/>
          <w:color w:val="auto"/>
          <w:kern w:val="0"/>
          <w:sz w:val="21"/>
          <w:szCs w:val="21"/>
        </w:rPr>
        <w:t>1.7 联络</w:t>
      </w:r>
      <w:bookmarkEnd w:id="1431"/>
      <w:r>
        <w:rPr>
          <w:rFonts w:hint="eastAsia" w:asciiTheme="minorEastAsia" w:hAnsiTheme="minorEastAsia" w:eastAsiaTheme="minorEastAsia" w:cstheme="minorEastAsia"/>
          <w:b/>
          <w:color w:val="auto"/>
          <w:kern w:val="0"/>
          <w:sz w:val="21"/>
          <w:szCs w:val="21"/>
        </w:rPr>
        <w:t xml:space="preserve"> </w:t>
      </w:r>
      <w:bookmarkEnd w:id="1432"/>
    </w:p>
    <w:bookmarkEnd w:id="1428"/>
    <w:bookmarkEnd w:id="1429"/>
    <w:bookmarkEnd w:id="1430"/>
    <w:p w14:paraId="3515CEE8">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bookmarkStart w:id="1433" w:name="_Toc201058954"/>
      <w:bookmarkStart w:id="1434" w:name="_Toc200817288"/>
      <w:bookmarkStart w:id="1435" w:name="_Toc491246882"/>
      <w:bookmarkStart w:id="1436" w:name="_Toc244121911"/>
      <w:bookmarkStart w:id="1437" w:name="_Toc209499035"/>
      <w:r>
        <w:rPr>
          <w:rFonts w:hint="eastAsia" w:asciiTheme="minorEastAsia" w:hAnsiTheme="minorEastAsia" w:eastAsiaTheme="minorEastAsia" w:cstheme="minorEastAsia"/>
          <w:color w:val="auto"/>
          <w:kern w:val="0"/>
          <w:sz w:val="21"/>
          <w:szCs w:val="21"/>
        </w:rPr>
        <w:t>1.7.2 联络送达的期限：</w:t>
      </w:r>
      <w:r>
        <w:rPr>
          <w:rFonts w:hint="eastAsia" w:asciiTheme="minorEastAsia" w:hAnsiTheme="minorEastAsia" w:eastAsiaTheme="minorEastAsia" w:cstheme="minorEastAsia"/>
          <w:color w:val="auto"/>
          <w:kern w:val="0"/>
          <w:sz w:val="21"/>
          <w:szCs w:val="21"/>
          <w:u w:val="single"/>
        </w:rPr>
        <w:t>14日内</w:t>
      </w:r>
      <w:r>
        <w:rPr>
          <w:rFonts w:hint="eastAsia" w:asciiTheme="minorEastAsia" w:hAnsiTheme="minorEastAsia" w:eastAsiaTheme="minorEastAsia" w:cstheme="minorEastAsia"/>
          <w:color w:val="auto"/>
          <w:kern w:val="0"/>
          <w:sz w:val="21"/>
          <w:szCs w:val="21"/>
        </w:rPr>
        <w:t>。</w:t>
      </w:r>
    </w:p>
    <w:p w14:paraId="45B6B94D">
      <w:pPr>
        <w:rPr>
          <w:rFonts w:hint="eastAsia" w:asciiTheme="minorEastAsia" w:hAnsiTheme="minorEastAsia" w:eastAsiaTheme="minorEastAsia" w:cstheme="minorEastAsia"/>
          <w:b/>
          <w:color w:val="auto"/>
          <w:sz w:val="21"/>
          <w:szCs w:val="21"/>
        </w:rPr>
      </w:pPr>
      <w:bookmarkStart w:id="1438" w:name="_Toc265955052"/>
      <w:bookmarkStart w:id="1439" w:name="_Toc265653997"/>
      <w:bookmarkStart w:id="1440" w:name="_Toc265954753"/>
      <w:r>
        <w:rPr>
          <w:rFonts w:hint="eastAsia" w:asciiTheme="minorEastAsia" w:hAnsiTheme="minorEastAsia" w:eastAsiaTheme="minorEastAsia" w:cstheme="minorEastAsia"/>
          <w:b/>
          <w:color w:val="auto"/>
          <w:sz w:val="21"/>
          <w:szCs w:val="21"/>
        </w:rPr>
        <w:t>2.发包人义务</w:t>
      </w:r>
      <w:bookmarkEnd w:id="1433"/>
      <w:bookmarkEnd w:id="1434"/>
      <w:bookmarkEnd w:id="1435"/>
      <w:bookmarkEnd w:id="1436"/>
      <w:bookmarkEnd w:id="1437"/>
      <w:bookmarkEnd w:id="1438"/>
      <w:bookmarkEnd w:id="1439"/>
      <w:bookmarkEnd w:id="1440"/>
    </w:p>
    <w:p w14:paraId="0ED7181D">
      <w:pPr>
        <w:rPr>
          <w:rFonts w:hint="eastAsia" w:asciiTheme="minorEastAsia" w:hAnsiTheme="minorEastAsia" w:eastAsiaTheme="minorEastAsia" w:cstheme="minorEastAsia"/>
          <w:b/>
          <w:color w:val="auto"/>
          <w:kern w:val="0"/>
          <w:sz w:val="21"/>
          <w:szCs w:val="21"/>
        </w:rPr>
      </w:pPr>
      <w:bookmarkStart w:id="1441" w:name="_Toc12243"/>
      <w:bookmarkStart w:id="1442" w:name="_Toc201058955"/>
      <w:bookmarkStart w:id="1443" w:name="_Toc244121912"/>
      <w:bookmarkStart w:id="1444" w:name="_Toc209499036"/>
      <w:bookmarkStart w:id="1445" w:name="_Toc491246883"/>
      <w:bookmarkStart w:id="1446" w:name="_Toc98813270"/>
      <w:r>
        <w:rPr>
          <w:rFonts w:hint="eastAsia" w:asciiTheme="minorEastAsia" w:hAnsiTheme="minorEastAsia" w:eastAsiaTheme="minorEastAsia" w:cstheme="minorEastAsia"/>
          <w:b/>
          <w:color w:val="auto"/>
          <w:kern w:val="0"/>
          <w:sz w:val="21"/>
          <w:szCs w:val="21"/>
        </w:rPr>
        <w:t>2.3  提供施工场地</w:t>
      </w:r>
      <w:bookmarkEnd w:id="1441"/>
      <w:bookmarkEnd w:id="1442"/>
      <w:bookmarkEnd w:id="1443"/>
      <w:bookmarkEnd w:id="1444"/>
      <w:bookmarkEnd w:id="1445"/>
      <w:bookmarkEnd w:id="1446"/>
    </w:p>
    <w:p w14:paraId="26CF69E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负责办理工地范围内的永久征地和移民，向承包人提供施工用地，提供的用地范围根据监理人指示划定，用地期限在本合同工程完工后2个月。承包人只能在商定的用地范围内安排施工，超出商定的用地及临时施工用地的范围外用地由承包人自行解决并承担由此发生的一切费用。</w:t>
      </w:r>
    </w:p>
    <w:p w14:paraId="1E405EAA">
      <w:pPr>
        <w:rPr>
          <w:rFonts w:hint="eastAsia" w:asciiTheme="minorEastAsia" w:hAnsiTheme="minorEastAsia" w:eastAsiaTheme="minorEastAsia" w:cstheme="minorEastAsia"/>
          <w:b/>
          <w:color w:val="auto"/>
          <w:kern w:val="0"/>
          <w:sz w:val="21"/>
          <w:szCs w:val="21"/>
        </w:rPr>
      </w:pPr>
      <w:bookmarkStart w:id="1447" w:name="_Toc26603"/>
      <w:bookmarkStart w:id="1448" w:name="_Toc244121913"/>
      <w:r>
        <w:rPr>
          <w:rFonts w:hint="eastAsia" w:asciiTheme="minorEastAsia" w:hAnsiTheme="minorEastAsia" w:eastAsiaTheme="minorEastAsia" w:cstheme="minorEastAsia"/>
          <w:b/>
          <w:color w:val="auto"/>
          <w:kern w:val="0"/>
          <w:sz w:val="21"/>
          <w:szCs w:val="21"/>
        </w:rPr>
        <w:t>2.8 其它义务</w:t>
      </w:r>
      <w:bookmarkEnd w:id="1447"/>
    </w:p>
    <w:p w14:paraId="4F03973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bookmarkStart w:id="1449" w:name="_Toc224207345"/>
      <w:bookmarkStart w:id="1450" w:name="_Toc224725533"/>
      <w:bookmarkStart w:id="1451" w:name="_Toc224208907"/>
      <w:r>
        <w:rPr>
          <w:rFonts w:hint="eastAsia" w:asciiTheme="minorEastAsia" w:hAnsiTheme="minorEastAsia" w:eastAsiaTheme="minorEastAsia" w:cstheme="minorEastAsia"/>
          <w:color w:val="auto"/>
          <w:kern w:val="0"/>
          <w:sz w:val="21"/>
          <w:szCs w:val="21"/>
        </w:rPr>
        <w:t>(1) 协调勘察、设计、施工承包人、监理人及其他与施工有关人员的关系；</w:t>
      </w:r>
    </w:p>
    <w:p w14:paraId="01D1F9CC">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 xml:space="preserve"> (2) 发包人应按第8.1款和技术条款的规定，委托监理人向承包人移交现场测量基准点及其有关资料；</w:t>
      </w:r>
    </w:p>
    <w:bookmarkEnd w:id="1449"/>
    <w:bookmarkEnd w:id="1450"/>
    <w:bookmarkEnd w:id="1451"/>
    <w:p w14:paraId="026B7E98">
      <w:pPr>
        <w:rPr>
          <w:rFonts w:hint="eastAsia" w:asciiTheme="minorEastAsia" w:hAnsiTheme="minorEastAsia" w:eastAsiaTheme="minorEastAsia" w:cstheme="minorEastAsia"/>
          <w:b/>
          <w:color w:val="auto"/>
          <w:sz w:val="21"/>
          <w:szCs w:val="21"/>
        </w:rPr>
      </w:pPr>
      <w:bookmarkStart w:id="1452" w:name="_Toc265653998"/>
      <w:bookmarkStart w:id="1453" w:name="_Toc265955053"/>
      <w:bookmarkStart w:id="1454" w:name="_Toc265954754"/>
      <w:r>
        <w:rPr>
          <w:rFonts w:hint="eastAsia" w:asciiTheme="minorEastAsia" w:hAnsiTheme="minorEastAsia" w:eastAsiaTheme="minorEastAsia" w:cstheme="minorEastAsia"/>
          <w:b/>
          <w:color w:val="auto"/>
          <w:sz w:val="21"/>
          <w:szCs w:val="21"/>
        </w:rPr>
        <w:t>3监理人</w:t>
      </w:r>
      <w:bookmarkEnd w:id="1448"/>
      <w:bookmarkEnd w:id="1452"/>
      <w:bookmarkEnd w:id="1453"/>
      <w:bookmarkEnd w:id="1454"/>
    </w:p>
    <w:p w14:paraId="43E7ECFE">
      <w:pPr>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b/>
          <w:color w:val="auto"/>
          <w:kern w:val="0"/>
          <w:sz w:val="21"/>
          <w:szCs w:val="21"/>
        </w:rPr>
        <w:t>3.1监理人的职责和权力</w:t>
      </w:r>
    </w:p>
    <w:p w14:paraId="6C95C890">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本款补充如下内容：</w:t>
      </w:r>
    </w:p>
    <w:p w14:paraId="73DC1B3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监理人在行使下列权利前，必须得到发包人的批准。</w:t>
      </w:r>
    </w:p>
    <w:p w14:paraId="36F4BA1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确定延长完工期限；</w:t>
      </w:r>
    </w:p>
    <w:p w14:paraId="1A1ECA4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 作出变更决定；</w:t>
      </w:r>
    </w:p>
    <w:p w14:paraId="3950E11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尽管有以上规定，但当监理人认为出现了危机生命、工程或毗邻财产等安全的紧急事件时，在不免除合同规定的承包人责任的情况下，监理人可以指示承包人实施为消除或减少这种危险所必须进行的工作，即使没有发包人事先批准，承包人也应立即遵照执行。监理人应按第15条的规定增加相应的费用，并通知承包人。</w:t>
      </w:r>
    </w:p>
    <w:p w14:paraId="08A8CE7B">
      <w:pPr>
        <w:rPr>
          <w:rFonts w:hint="eastAsia" w:asciiTheme="minorEastAsia" w:hAnsiTheme="minorEastAsia" w:eastAsiaTheme="minorEastAsia" w:cstheme="minorEastAsia"/>
          <w:b/>
          <w:color w:val="auto"/>
          <w:sz w:val="21"/>
          <w:szCs w:val="21"/>
        </w:rPr>
      </w:pPr>
      <w:bookmarkStart w:id="1455" w:name="_Toc29692"/>
      <w:bookmarkStart w:id="1456" w:name="_Toc265653999"/>
      <w:bookmarkStart w:id="1457" w:name="_Toc265955054"/>
      <w:bookmarkStart w:id="1458" w:name="_Toc265954755"/>
      <w:r>
        <w:rPr>
          <w:rFonts w:hint="eastAsia" w:asciiTheme="minorEastAsia" w:hAnsiTheme="minorEastAsia" w:eastAsiaTheme="minorEastAsia" w:cstheme="minorEastAsia"/>
          <w:b/>
          <w:color w:val="auto"/>
          <w:sz w:val="21"/>
          <w:szCs w:val="21"/>
        </w:rPr>
        <w:t>4 承包人</w:t>
      </w:r>
      <w:bookmarkEnd w:id="1455"/>
      <w:bookmarkEnd w:id="1456"/>
      <w:bookmarkEnd w:id="1457"/>
      <w:bookmarkEnd w:id="1458"/>
    </w:p>
    <w:p w14:paraId="5D6792A9">
      <w:pPr>
        <w:rPr>
          <w:rFonts w:hint="eastAsia" w:asciiTheme="minorEastAsia" w:hAnsiTheme="minorEastAsia" w:eastAsiaTheme="minorEastAsia" w:cstheme="minorEastAsia"/>
          <w:b/>
          <w:color w:val="auto"/>
          <w:kern w:val="0"/>
          <w:sz w:val="21"/>
          <w:szCs w:val="21"/>
        </w:rPr>
      </w:pPr>
      <w:bookmarkStart w:id="1459" w:name="_Toc244121914"/>
      <w:bookmarkStart w:id="1460" w:name="_Toc209499038"/>
      <w:bookmarkStart w:id="1461" w:name="_Toc20848"/>
      <w:bookmarkStart w:id="1462" w:name="_Toc491246885"/>
      <w:r>
        <w:rPr>
          <w:rFonts w:hint="eastAsia" w:asciiTheme="minorEastAsia" w:hAnsiTheme="minorEastAsia" w:eastAsiaTheme="minorEastAsia" w:cstheme="minorEastAsia"/>
          <w:b/>
          <w:color w:val="auto"/>
          <w:kern w:val="0"/>
          <w:sz w:val="21"/>
          <w:szCs w:val="21"/>
        </w:rPr>
        <w:t>4.1 承包人的一般义务</w:t>
      </w:r>
      <w:bookmarkEnd w:id="1459"/>
      <w:bookmarkEnd w:id="1460"/>
      <w:bookmarkEnd w:id="1461"/>
      <w:bookmarkEnd w:id="1462"/>
    </w:p>
    <w:p w14:paraId="4CE59C49">
      <w:pPr>
        <w:pStyle w:val="8"/>
        <w:ind w:firstLine="420" w:firstLineChars="200"/>
        <w:jc w:val="left"/>
        <w:rPr>
          <w:rFonts w:hint="eastAsia" w:asciiTheme="minorEastAsia" w:hAnsiTheme="minorEastAsia" w:eastAsiaTheme="minorEastAsia" w:cstheme="minorEastAsia"/>
          <w:color w:val="auto"/>
          <w:sz w:val="21"/>
          <w:szCs w:val="21"/>
        </w:rPr>
      </w:pPr>
      <w:bookmarkStart w:id="1463" w:name="_Toc209499039"/>
      <w:r>
        <w:rPr>
          <w:rFonts w:hint="eastAsia" w:asciiTheme="minorEastAsia" w:hAnsiTheme="minorEastAsia" w:eastAsiaTheme="minorEastAsia" w:cstheme="minorEastAsia"/>
          <w:color w:val="auto"/>
          <w:sz w:val="21"/>
          <w:szCs w:val="21"/>
        </w:rPr>
        <w:t>4.1.10 其它义务</w:t>
      </w:r>
      <w:bookmarkEnd w:id="1463"/>
    </w:p>
    <w:p w14:paraId="0057A8C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本合同工程施工所需的水、电、交通等临时工程的修建与维护费用全部由承包人自行承担，施工对乡村便道的损坏由承包人负责恢复。若造成当地交通、农田、房屋、植被等损害，承包人应负责对造成的损害进行恢复及赔偿。</w:t>
      </w:r>
    </w:p>
    <w:p w14:paraId="4133F9D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(2)在施工队伍进场后，施工技术方案、施工进度计划、资金流计划、设备人员进场报验单经监理方检查、审核、批准，总监理工程师发出开工令后工程方可开工。</w:t>
      </w:r>
    </w:p>
    <w:p w14:paraId="22C7C5F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(3)承包人必须结清和施工所在地政府、老百姓的所有拖欠款项及今后施工中发生的相应款项，承包人应对由此引起的一切后果负完全责任。</w:t>
      </w:r>
    </w:p>
    <w:p w14:paraId="2270199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(4)承包人要采取有效措施对施工开挖边坡及时进行支护和做好排水措施（特别是雨季施工排水与防洪措施），避免施工中造成水土流失，否则将承担相应赔偿责任；</w:t>
      </w:r>
    </w:p>
    <w:p w14:paraId="495D02B5">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(5)承包人在施工过程中采取有效措施注意保护生活用水源免受施工活动造成的污染，否则将承担相应责任；</w:t>
      </w:r>
    </w:p>
    <w:p w14:paraId="0521483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(6)用于工程建设的工程款承包人必须专款专用，不得挪作它用。发包人有权指定承包人开户银行，并请银行代为监督；</w:t>
      </w:r>
    </w:p>
    <w:p w14:paraId="4BD4D8B4">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(7)发包人提供的施工用地以外的承包人所需用地及其费用，由承包人自行解决；</w:t>
      </w:r>
    </w:p>
    <w:p w14:paraId="726B2155">
      <w:pPr>
        <w:rPr>
          <w:rFonts w:hint="eastAsia" w:asciiTheme="minorEastAsia" w:hAnsiTheme="minorEastAsia" w:eastAsiaTheme="minorEastAsia" w:cstheme="minorEastAsia"/>
          <w:b/>
          <w:color w:val="auto"/>
          <w:kern w:val="0"/>
          <w:sz w:val="21"/>
          <w:szCs w:val="21"/>
        </w:rPr>
      </w:pPr>
      <w:bookmarkStart w:id="1464" w:name="_Toc15235"/>
      <w:bookmarkStart w:id="1465" w:name="_Toc244121916"/>
      <w:r>
        <w:rPr>
          <w:rFonts w:hint="eastAsia" w:asciiTheme="minorEastAsia" w:hAnsiTheme="minorEastAsia" w:eastAsiaTheme="minorEastAsia" w:cstheme="minorEastAsia"/>
          <w:b/>
          <w:color w:val="auto"/>
          <w:kern w:val="0"/>
          <w:sz w:val="21"/>
          <w:szCs w:val="21"/>
        </w:rPr>
        <w:t>4.</w:t>
      </w:r>
      <w:r>
        <w:rPr>
          <w:rFonts w:hint="eastAsia" w:asciiTheme="minorEastAsia" w:hAnsiTheme="minorEastAsia" w:eastAsiaTheme="minorEastAsia" w:cstheme="minorEastAsia"/>
          <w:b/>
          <w:color w:val="auto"/>
          <w:kern w:val="0"/>
          <w:sz w:val="21"/>
          <w:szCs w:val="21"/>
          <w:lang w:val="en-US" w:eastAsia="zh-CN"/>
        </w:rPr>
        <w:t>2</w:t>
      </w:r>
      <w:r>
        <w:rPr>
          <w:rFonts w:hint="eastAsia" w:asciiTheme="minorEastAsia" w:hAnsiTheme="minorEastAsia" w:eastAsiaTheme="minorEastAsia" w:cstheme="minorEastAsia"/>
          <w:b/>
          <w:color w:val="auto"/>
          <w:kern w:val="0"/>
          <w:sz w:val="21"/>
          <w:szCs w:val="21"/>
        </w:rPr>
        <w:t>分包</w:t>
      </w:r>
      <w:bookmarkEnd w:id="1464"/>
      <w:bookmarkEnd w:id="1465"/>
    </w:p>
    <w:p w14:paraId="2EDB6FB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bookmarkStart w:id="1466" w:name="_Toc244121917"/>
      <w:bookmarkStart w:id="1467" w:name="_Toc491246887"/>
      <w:bookmarkStart w:id="1468" w:name="_Toc209499041"/>
      <w:r>
        <w:rPr>
          <w:rFonts w:hint="eastAsia" w:asciiTheme="minorEastAsia" w:hAnsiTheme="minorEastAsia" w:eastAsiaTheme="minorEastAsia" w:cstheme="minorEastAsia"/>
          <w:color w:val="auto"/>
          <w:kern w:val="0"/>
          <w:sz w:val="21"/>
          <w:szCs w:val="21"/>
        </w:rPr>
        <w:t>本工程不允许分包。</w:t>
      </w:r>
    </w:p>
    <w:p w14:paraId="709E517F">
      <w:pPr>
        <w:rPr>
          <w:rFonts w:hint="eastAsia" w:asciiTheme="minorEastAsia" w:hAnsiTheme="minorEastAsia" w:eastAsiaTheme="minorEastAsia" w:cstheme="minorEastAsia"/>
          <w:b/>
          <w:color w:val="auto"/>
          <w:kern w:val="0"/>
          <w:sz w:val="21"/>
          <w:szCs w:val="21"/>
        </w:rPr>
      </w:pPr>
      <w:bookmarkStart w:id="1469" w:name="_Toc229450921"/>
      <w:bookmarkStart w:id="1470" w:name="_Toc28335"/>
      <w:bookmarkStart w:id="1471" w:name="_Toc223245857"/>
      <w:r>
        <w:rPr>
          <w:rFonts w:hint="eastAsia" w:asciiTheme="minorEastAsia" w:hAnsiTheme="minorEastAsia" w:eastAsiaTheme="minorEastAsia" w:cstheme="minorEastAsia"/>
          <w:b/>
          <w:color w:val="auto"/>
          <w:kern w:val="0"/>
          <w:sz w:val="21"/>
          <w:szCs w:val="21"/>
        </w:rPr>
        <w:t>4.</w:t>
      </w:r>
      <w:r>
        <w:rPr>
          <w:rFonts w:hint="eastAsia" w:asciiTheme="minorEastAsia" w:hAnsiTheme="minorEastAsia" w:eastAsiaTheme="minorEastAsia" w:cstheme="minorEastAsia"/>
          <w:b/>
          <w:color w:val="auto"/>
          <w:kern w:val="0"/>
          <w:sz w:val="21"/>
          <w:szCs w:val="21"/>
          <w:lang w:val="en-US" w:eastAsia="zh-CN"/>
        </w:rPr>
        <w:t>3</w:t>
      </w:r>
      <w:r>
        <w:rPr>
          <w:rFonts w:hint="eastAsia" w:asciiTheme="minorEastAsia" w:hAnsiTheme="minorEastAsia" w:eastAsiaTheme="minorEastAsia" w:cstheme="minorEastAsia"/>
          <w:b/>
          <w:color w:val="auto"/>
          <w:kern w:val="0"/>
          <w:sz w:val="21"/>
          <w:szCs w:val="21"/>
        </w:rPr>
        <w:t xml:space="preserve"> 联合体</w:t>
      </w:r>
      <w:bookmarkEnd w:id="1469"/>
      <w:bookmarkEnd w:id="1470"/>
      <w:bookmarkEnd w:id="1471"/>
    </w:p>
    <w:p w14:paraId="7EA83CAC">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本工程不允许联合体投标。</w:t>
      </w:r>
    </w:p>
    <w:bookmarkEnd w:id="1466"/>
    <w:bookmarkEnd w:id="1467"/>
    <w:bookmarkEnd w:id="1468"/>
    <w:p w14:paraId="4EE1C5AE">
      <w:pPr>
        <w:rPr>
          <w:rFonts w:hint="eastAsia" w:asciiTheme="minorEastAsia" w:hAnsiTheme="minorEastAsia" w:eastAsiaTheme="minorEastAsia" w:cstheme="minorEastAsia"/>
          <w:b/>
          <w:color w:val="auto"/>
          <w:sz w:val="21"/>
          <w:szCs w:val="21"/>
        </w:rPr>
      </w:pPr>
      <w:bookmarkStart w:id="1472" w:name="_Toc265954756"/>
      <w:bookmarkStart w:id="1473" w:name="_Toc491246888"/>
      <w:bookmarkStart w:id="1474" w:name="_Toc12836"/>
      <w:bookmarkStart w:id="1475" w:name="_Toc244121919"/>
      <w:bookmarkStart w:id="1476" w:name="_Toc265654000"/>
      <w:bookmarkStart w:id="1477" w:name="_Toc209499043"/>
      <w:bookmarkStart w:id="1478" w:name="_Toc265955055"/>
      <w:bookmarkStart w:id="1479" w:name="_Toc201058956"/>
      <w:bookmarkStart w:id="1480" w:name="_Toc200817289"/>
      <w:r>
        <w:rPr>
          <w:rFonts w:hint="eastAsia" w:asciiTheme="minorEastAsia" w:hAnsiTheme="minorEastAsia" w:eastAsiaTheme="minorEastAsia" w:cstheme="minorEastAsia"/>
          <w:b/>
          <w:color w:val="auto"/>
          <w:sz w:val="21"/>
          <w:szCs w:val="21"/>
        </w:rPr>
        <w:t>5．材料和工程设备</w:t>
      </w:r>
      <w:bookmarkEnd w:id="1472"/>
      <w:bookmarkEnd w:id="1473"/>
      <w:bookmarkEnd w:id="1474"/>
      <w:bookmarkEnd w:id="1475"/>
      <w:bookmarkEnd w:id="1476"/>
      <w:bookmarkEnd w:id="1477"/>
      <w:bookmarkEnd w:id="1478"/>
      <w:bookmarkEnd w:id="1479"/>
      <w:bookmarkEnd w:id="1480"/>
    </w:p>
    <w:p w14:paraId="40AE1872">
      <w:pPr>
        <w:rPr>
          <w:rFonts w:hint="eastAsia" w:asciiTheme="minorEastAsia" w:hAnsiTheme="minorEastAsia" w:eastAsiaTheme="minorEastAsia" w:cstheme="minorEastAsia"/>
          <w:b/>
          <w:color w:val="auto"/>
          <w:kern w:val="0"/>
          <w:sz w:val="21"/>
          <w:szCs w:val="21"/>
        </w:rPr>
      </w:pPr>
      <w:bookmarkStart w:id="1481" w:name="_Toc209499044"/>
      <w:bookmarkStart w:id="1482" w:name="_Toc244121921"/>
      <w:bookmarkStart w:id="1483" w:name="_Toc535"/>
      <w:bookmarkStart w:id="1484" w:name="_Toc491246889"/>
      <w:r>
        <w:rPr>
          <w:rFonts w:hint="eastAsia" w:asciiTheme="minorEastAsia" w:hAnsiTheme="minorEastAsia" w:eastAsiaTheme="minorEastAsia" w:cstheme="minorEastAsia"/>
          <w:b/>
          <w:color w:val="auto"/>
          <w:kern w:val="0"/>
          <w:sz w:val="21"/>
          <w:szCs w:val="21"/>
        </w:rPr>
        <w:t>5.</w:t>
      </w:r>
      <w:r>
        <w:rPr>
          <w:rFonts w:hint="eastAsia" w:asciiTheme="minorEastAsia" w:hAnsiTheme="minorEastAsia" w:eastAsiaTheme="minorEastAsia" w:cstheme="minorEastAsia"/>
          <w:b/>
          <w:color w:val="auto"/>
          <w:kern w:val="0"/>
          <w:sz w:val="21"/>
          <w:szCs w:val="21"/>
          <w:lang w:val="en-US" w:eastAsia="zh-CN"/>
        </w:rPr>
        <w:t>1</w:t>
      </w:r>
      <w:r>
        <w:rPr>
          <w:rFonts w:hint="eastAsia" w:asciiTheme="minorEastAsia" w:hAnsiTheme="minorEastAsia" w:eastAsiaTheme="minorEastAsia" w:cstheme="minorEastAsia"/>
          <w:b/>
          <w:color w:val="auto"/>
          <w:kern w:val="0"/>
          <w:sz w:val="21"/>
          <w:szCs w:val="21"/>
        </w:rPr>
        <w:t xml:space="preserve"> 发包人提供的材料和工程设备</w:t>
      </w:r>
      <w:bookmarkEnd w:id="1481"/>
      <w:bookmarkEnd w:id="1482"/>
      <w:bookmarkEnd w:id="1483"/>
      <w:bookmarkEnd w:id="1484"/>
    </w:p>
    <w:p w14:paraId="1FC33898">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本工程发包人不提供材料和工程设备。</w:t>
      </w:r>
      <w:bookmarkStart w:id="1485" w:name="_Toc244121922"/>
    </w:p>
    <w:p w14:paraId="394242EC">
      <w:pPr>
        <w:rPr>
          <w:rFonts w:hint="eastAsia" w:asciiTheme="minorEastAsia" w:hAnsiTheme="minorEastAsia" w:eastAsiaTheme="minorEastAsia" w:cstheme="minorEastAsia"/>
          <w:b/>
          <w:color w:val="auto"/>
          <w:sz w:val="21"/>
          <w:szCs w:val="21"/>
        </w:rPr>
      </w:pPr>
      <w:bookmarkStart w:id="1486" w:name="_Toc265954757"/>
      <w:bookmarkStart w:id="1487" w:name="_Toc265955056"/>
      <w:bookmarkStart w:id="1488" w:name="_Toc265654001"/>
      <w:r>
        <w:rPr>
          <w:rFonts w:hint="eastAsia" w:asciiTheme="minorEastAsia" w:hAnsiTheme="minorEastAsia" w:eastAsiaTheme="minorEastAsia" w:cstheme="minorEastAsia"/>
          <w:b/>
          <w:color w:val="auto"/>
          <w:sz w:val="21"/>
          <w:szCs w:val="21"/>
        </w:rPr>
        <w:t>6.施工设备和临时设施</w:t>
      </w:r>
      <w:bookmarkEnd w:id="1485"/>
      <w:bookmarkEnd w:id="1486"/>
      <w:bookmarkEnd w:id="1487"/>
      <w:bookmarkEnd w:id="1488"/>
    </w:p>
    <w:p w14:paraId="14D83371">
      <w:pPr>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b/>
          <w:color w:val="auto"/>
          <w:kern w:val="0"/>
          <w:sz w:val="21"/>
          <w:szCs w:val="21"/>
        </w:rPr>
        <w:t>6.2.发包人提供的的施工设备和临时设施</w:t>
      </w:r>
    </w:p>
    <w:p w14:paraId="696BC183">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发包人不提供施工设备和临时设施</w:t>
      </w:r>
    </w:p>
    <w:p w14:paraId="4BBE8873">
      <w:pPr>
        <w:rPr>
          <w:rFonts w:hint="eastAsia" w:asciiTheme="minorEastAsia" w:hAnsiTheme="minorEastAsia" w:eastAsiaTheme="minorEastAsia" w:cstheme="minorEastAsia"/>
          <w:b/>
          <w:color w:val="auto"/>
          <w:sz w:val="21"/>
          <w:szCs w:val="21"/>
        </w:rPr>
      </w:pPr>
      <w:bookmarkStart w:id="1489" w:name="_Toc32759"/>
      <w:bookmarkStart w:id="1490" w:name="_Toc265654002"/>
      <w:bookmarkStart w:id="1491" w:name="_Toc244121923"/>
      <w:bookmarkStart w:id="1492" w:name="_Toc265955057"/>
      <w:bookmarkStart w:id="1493" w:name="_Toc265954758"/>
      <w:r>
        <w:rPr>
          <w:rFonts w:hint="eastAsia" w:asciiTheme="minorEastAsia" w:hAnsiTheme="minorEastAsia" w:eastAsiaTheme="minorEastAsia" w:cstheme="minorEastAsia"/>
          <w:b/>
          <w:color w:val="auto"/>
          <w:sz w:val="21"/>
          <w:szCs w:val="21"/>
        </w:rPr>
        <w:t>7.交通运输</w:t>
      </w:r>
      <w:bookmarkEnd w:id="1489"/>
      <w:bookmarkEnd w:id="1490"/>
      <w:bookmarkEnd w:id="1491"/>
      <w:bookmarkEnd w:id="1492"/>
      <w:bookmarkEnd w:id="1493"/>
    </w:p>
    <w:p w14:paraId="0300A24D">
      <w:pPr>
        <w:rPr>
          <w:rFonts w:hint="eastAsia" w:asciiTheme="minorEastAsia" w:hAnsiTheme="minorEastAsia" w:eastAsiaTheme="minorEastAsia" w:cstheme="minorEastAsia"/>
          <w:b/>
          <w:color w:val="auto"/>
          <w:kern w:val="0"/>
          <w:sz w:val="21"/>
          <w:szCs w:val="21"/>
        </w:rPr>
      </w:pPr>
      <w:bookmarkStart w:id="1494" w:name="_Toc25729"/>
      <w:r>
        <w:rPr>
          <w:rFonts w:hint="eastAsia" w:asciiTheme="minorEastAsia" w:hAnsiTheme="minorEastAsia" w:eastAsiaTheme="minorEastAsia" w:cstheme="minorEastAsia"/>
          <w:b/>
          <w:color w:val="auto"/>
          <w:kern w:val="0"/>
          <w:sz w:val="21"/>
          <w:szCs w:val="21"/>
        </w:rPr>
        <w:t>7.1 道路通行权和场外设施</w:t>
      </w:r>
      <w:bookmarkEnd w:id="1494"/>
    </w:p>
    <w:p w14:paraId="219C636D">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bookmarkStart w:id="1495" w:name="_Toc244121925"/>
      <w:r>
        <w:rPr>
          <w:rFonts w:hint="eastAsia" w:asciiTheme="minorEastAsia" w:hAnsiTheme="minorEastAsia" w:eastAsiaTheme="minorEastAsia" w:cstheme="minorEastAsia"/>
          <w:color w:val="auto"/>
          <w:kern w:val="0"/>
          <w:sz w:val="21"/>
          <w:szCs w:val="21"/>
        </w:rPr>
        <w:t>道路通行权和场外设施的约定：道路通行权由承包人办理并承担费用，需要发包人协调时，发包人应协助承包人办理相关手续。</w:t>
      </w:r>
    </w:p>
    <w:p w14:paraId="78AA2DDE">
      <w:pPr>
        <w:rPr>
          <w:rFonts w:hint="eastAsia" w:asciiTheme="minorEastAsia" w:hAnsiTheme="minorEastAsia" w:eastAsiaTheme="minorEastAsia" w:cstheme="minorEastAsia"/>
          <w:b/>
          <w:color w:val="auto"/>
          <w:sz w:val="21"/>
          <w:szCs w:val="21"/>
        </w:rPr>
      </w:pPr>
      <w:bookmarkStart w:id="1496" w:name="_Toc265654003"/>
      <w:bookmarkStart w:id="1497" w:name="_Toc26196"/>
      <w:bookmarkStart w:id="1498" w:name="_Toc265954759"/>
      <w:bookmarkStart w:id="1499" w:name="_Toc265955058"/>
      <w:r>
        <w:rPr>
          <w:rFonts w:hint="eastAsia" w:asciiTheme="minorEastAsia" w:hAnsiTheme="minorEastAsia" w:eastAsiaTheme="minorEastAsia" w:cstheme="minorEastAsia"/>
          <w:b/>
          <w:color w:val="auto"/>
          <w:sz w:val="21"/>
          <w:szCs w:val="21"/>
        </w:rPr>
        <w:t>8．测量放线</w:t>
      </w:r>
      <w:bookmarkEnd w:id="1495"/>
      <w:bookmarkEnd w:id="1496"/>
      <w:bookmarkEnd w:id="1497"/>
      <w:bookmarkEnd w:id="1498"/>
      <w:bookmarkEnd w:id="1499"/>
    </w:p>
    <w:p w14:paraId="5F2A4FDA">
      <w:pPr>
        <w:rPr>
          <w:rFonts w:hint="eastAsia" w:asciiTheme="minorEastAsia" w:hAnsiTheme="minorEastAsia" w:eastAsiaTheme="minorEastAsia" w:cstheme="minorEastAsia"/>
          <w:b/>
          <w:color w:val="auto"/>
          <w:kern w:val="0"/>
          <w:sz w:val="21"/>
          <w:szCs w:val="21"/>
        </w:rPr>
      </w:pPr>
      <w:bookmarkStart w:id="1500" w:name="_Toc224208918"/>
      <w:bookmarkStart w:id="1501" w:name="_Toc232582749"/>
      <w:bookmarkStart w:id="1502" w:name="_Toc224725547"/>
      <w:bookmarkStart w:id="1503" w:name="_Toc232428466"/>
      <w:bookmarkStart w:id="1504" w:name="_Toc233083007"/>
      <w:bookmarkStart w:id="1505" w:name="_Toc224210255"/>
      <w:bookmarkStart w:id="1506" w:name="_Toc232581963"/>
      <w:bookmarkStart w:id="1507" w:name="_Toc224207356"/>
      <w:bookmarkStart w:id="1508" w:name="_Toc233892114"/>
      <w:bookmarkStart w:id="1509" w:name="_Toc256443545"/>
      <w:bookmarkStart w:id="1510" w:name="_Toc232582450"/>
      <w:bookmarkStart w:id="1511" w:name="_Toc13492"/>
      <w:r>
        <w:rPr>
          <w:rFonts w:hint="eastAsia" w:asciiTheme="minorEastAsia" w:hAnsiTheme="minorEastAsia" w:eastAsiaTheme="minorEastAsia" w:cstheme="minorEastAsia"/>
          <w:b/>
          <w:color w:val="auto"/>
          <w:kern w:val="0"/>
          <w:sz w:val="21"/>
          <w:szCs w:val="21"/>
        </w:rPr>
        <w:t>8.1 施工控制网</w:t>
      </w:r>
      <w:bookmarkEnd w:id="1500"/>
      <w:bookmarkEnd w:id="1501"/>
      <w:bookmarkEnd w:id="1502"/>
      <w:bookmarkEnd w:id="1503"/>
      <w:bookmarkEnd w:id="1504"/>
      <w:bookmarkEnd w:id="1505"/>
      <w:bookmarkEnd w:id="1506"/>
      <w:bookmarkEnd w:id="1507"/>
      <w:bookmarkEnd w:id="1508"/>
      <w:bookmarkEnd w:id="1509"/>
      <w:bookmarkEnd w:id="1510"/>
      <w:bookmarkEnd w:id="1511"/>
    </w:p>
    <w:p w14:paraId="5A41A1D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8.1.1 发包人应在发出开工通知后14天内，通过监理人向承包人提供测量基准点、基准线和水准点及其书面资料。承包人应根据国家测绘基准、测绘系统和工程测量技术规范，按上述基准点（线）以及合同工程精度要求，测设施工控制网，并在开工后21天内，将施工控制网资料报送监理人审批。</w:t>
      </w:r>
    </w:p>
    <w:p w14:paraId="4FE9B6F1">
      <w:pPr>
        <w:rPr>
          <w:rFonts w:hint="eastAsia" w:asciiTheme="minorEastAsia" w:hAnsiTheme="minorEastAsia" w:eastAsiaTheme="minorEastAsia" w:cstheme="minorEastAsia"/>
          <w:b/>
          <w:color w:val="auto"/>
          <w:sz w:val="21"/>
          <w:szCs w:val="21"/>
        </w:rPr>
      </w:pPr>
      <w:bookmarkStart w:id="1512" w:name="_Toc209499045"/>
      <w:bookmarkStart w:id="1513" w:name="_Toc26493"/>
      <w:bookmarkStart w:id="1514" w:name="_Toc265654004"/>
      <w:bookmarkStart w:id="1515" w:name="_Toc265954760"/>
      <w:bookmarkStart w:id="1516" w:name="_Toc491246890"/>
      <w:bookmarkStart w:id="1517" w:name="_Toc265955059"/>
      <w:bookmarkStart w:id="1518" w:name="_Toc244121929"/>
      <w:bookmarkStart w:id="1519" w:name="_Toc201058957"/>
      <w:r>
        <w:rPr>
          <w:rFonts w:hint="eastAsia" w:asciiTheme="minorEastAsia" w:hAnsiTheme="minorEastAsia" w:eastAsiaTheme="minorEastAsia" w:cstheme="minorEastAsia"/>
          <w:b/>
          <w:color w:val="auto"/>
          <w:sz w:val="21"/>
          <w:szCs w:val="21"/>
        </w:rPr>
        <w:t>9．施工安全、治安保卫和环境保护</w:t>
      </w:r>
      <w:bookmarkEnd w:id="1512"/>
      <w:bookmarkEnd w:id="1513"/>
      <w:bookmarkEnd w:id="1514"/>
      <w:bookmarkEnd w:id="1515"/>
      <w:bookmarkEnd w:id="1516"/>
      <w:bookmarkEnd w:id="1517"/>
      <w:bookmarkEnd w:id="1518"/>
    </w:p>
    <w:bookmarkEnd w:id="1519"/>
    <w:p w14:paraId="076F1F43">
      <w:pPr>
        <w:rPr>
          <w:rFonts w:hint="eastAsia" w:asciiTheme="minorEastAsia" w:hAnsiTheme="minorEastAsia" w:eastAsiaTheme="minorEastAsia" w:cstheme="minorEastAsia"/>
          <w:b/>
          <w:color w:val="auto"/>
          <w:kern w:val="0"/>
          <w:sz w:val="21"/>
          <w:szCs w:val="21"/>
        </w:rPr>
      </w:pPr>
      <w:bookmarkStart w:id="1520" w:name="_Toc224210259"/>
      <w:bookmarkStart w:id="1521" w:name="_Toc232582454"/>
      <w:bookmarkStart w:id="1522" w:name="_Toc224725551"/>
      <w:bookmarkStart w:id="1523" w:name="_Toc233892118"/>
      <w:bookmarkStart w:id="1524" w:name="_Toc232428470"/>
      <w:bookmarkStart w:id="1525" w:name="_Toc224208922"/>
      <w:bookmarkStart w:id="1526" w:name="_Toc232581967"/>
      <w:bookmarkStart w:id="1527" w:name="_Toc224207360"/>
      <w:bookmarkStart w:id="1528" w:name="_Toc256443549"/>
      <w:bookmarkStart w:id="1529" w:name="_Toc233083011"/>
      <w:bookmarkStart w:id="1530" w:name="_Toc26903"/>
      <w:bookmarkStart w:id="1531" w:name="_Toc232582753"/>
      <w:bookmarkStart w:id="1532" w:name="_Toc209499047"/>
      <w:bookmarkStart w:id="1533" w:name="_Toc201058958"/>
      <w:bookmarkStart w:id="1534" w:name="_Toc491246892"/>
      <w:bookmarkStart w:id="1535" w:name="_Toc200817290"/>
      <w:r>
        <w:rPr>
          <w:rFonts w:hint="eastAsia" w:asciiTheme="minorEastAsia" w:hAnsiTheme="minorEastAsia" w:eastAsiaTheme="minorEastAsia" w:cstheme="minorEastAsia"/>
          <w:b/>
          <w:color w:val="auto"/>
          <w:kern w:val="0"/>
          <w:sz w:val="21"/>
          <w:szCs w:val="21"/>
        </w:rPr>
        <w:t>9.2 承包人的施工安全责任</w:t>
      </w:r>
      <w:bookmarkEnd w:id="1520"/>
      <w:bookmarkEnd w:id="1521"/>
      <w:bookmarkEnd w:id="1522"/>
      <w:bookmarkEnd w:id="1523"/>
      <w:bookmarkEnd w:id="1524"/>
      <w:bookmarkEnd w:id="1525"/>
      <w:bookmarkEnd w:id="1526"/>
      <w:bookmarkEnd w:id="1527"/>
      <w:bookmarkEnd w:id="1528"/>
      <w:bookmarkEnd w:id="1529"/>
      <w:bookmarkEnd w:id="1530"/>
      <w:bookmarkEnd w:id="1531"/>
    </w:p>
    <w:p w14:paraId="677908B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9.2.1 承包人应按合同约定履行安全职责，执行监理人有关安全工作的指示，并在签订合同14日内，编制施工安全措施计划报送监理人审批。</w:t>
      </w:r>
    </w:p>
    <w:p w14:paraId="02653B5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增加以下条款：</w:t>
      </w:r>
    </w:p>
    <w:p w14:paraId="2AF0A94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负责其自己辖区内的消防工作。承包人应对其辖区内发生的火灾及其造成的人员伤亡和财产损失负责。因本工程地处林区，安全防火问题尤其重要，因此承包人应负责本合同工程工地的消防工作，组建专职消防队伍，在工地配备必要的日常消防设备并配合公安消防部门工作。</w:t>
      </w:r>
    </w:p>
    <w:p w14:paraId="09A39EDE">
      <w:pPr>
        <w:rPr>
          <w:rFonts w:hint="eastAsia" w:asciiTheme="minorEastAsia" w:hAnsiTheme="minorEastAsia" w:eastAsiaTheme="minorEastAsia" w:cstheme="minorEastAsia"/>
          <w:b/>
          <w:color w:val="auto"/>
          <w:sz w:val="21"/>
          <w:szCs w:val="21"/>
        </w:rPr>
      </w:pPr>
      <w:bookmarkStart w:id="1536" w:name="_Toc244121932"/>
      <w:bookmarkStart w:id="1537" w:name="_Toc265654005"/>
      <w:bookmarkStart w:id="1538" w:name="_Toc31578"/>
      <w:bookmarkStart w:id="1539" w:name="_Toc265954761"/>
      <w:bookmarkStart w:id="1540" w:name="_Toc265955060"/>
      <w:r>
        <w:rPr>
          <w:rFonts w:hint="eastAsia" w:asciiTheme="minorEastAsia" w:hAnsiTheme="minorEastAsia" w:eastAsiaTheme="minorEastAsia" w:cstheme="minorEastAsia"/>
          <w:b/>
          <w:color w:val="auto"/>
          <w:sz w:val="21"/>
          <w:szCs w:val="21"/>
        </w:rPr>
        <w:t>11.开工和竣工</w:t>
      </w:r>
      <w:bookmarkEnd w:id="1532"/>
      <w:bookmarkEnd w:id="1533"/>
      <w:bookmarkEnd w:id="1534"/>
      <w:bookmarkEnd w:id="1535"/>
      <w:bookmarkEnd w:id="1536"/>
      <w:r>
        <w:rPr>
          <w:rFonts w:hint="eastAsia" w:asciiTheme="minorEastAsia" w:hAnsiTheme="minorEastAsia" w:eastAsiaTheme="minorEastAsia" w:cstheme="minorEastAsia"/>
          <w:b/>
          <w:color w:val="auto"/>
          <w:sz w:val="21"/>
          <w:szCs w:val="21"/>
        </w:rPr>
        <w:t>（完工）</w:t>
      </w:r>
      <w:bookmarkEnd w:id="1537"/>
      <w:bookmarkEnd w:id="1538"/>
      <w:bookmarkEnd w:id="1539"/>
      <w:bookmarkEnd w:id="1540"/>
    </w:p>
    <w:p w14:paraId="4D8A2B71">
      <w:pPr>
        <w:rPr>
          <w:rFonts w:hint="eastAsia" w:asciiTheme="minorEastAsia" w:hAnsiTheme="minorEastAsia" w:eastAsiaTheme="minorEastAsia" w:cstheme="minorEastAsia"/>
          <w:b/>
          <w:color w:val="auto"/>
          <w:kern w:val="0"/>
          <w:sz w:val="21"/>
          <w:szCs w:val="21"/>
        </w:rPr>
      </w:pPr>
      <w:bookmarkStart w:id="1541" w:name="_Toc223245864"/>
      <w:bookmarkStart w:id="1542" w:name="_Toc229450928"/>
      <w:bookmarkStart w:id="1543" w:name="_Toc491246893"/>
      <w:bookmarkStart w:id="1544" w:name="_Toc4235"/>
      <w:bookmarkStart w:id="1545" w:name="_Toc209499048"/>
      <w:bookmarkStart w:id="1546" w:name="_Toc201058959"/>
      <w:r>
        <w:rPr>
          <w:rFonts w:hint="eastAsia" w:asciiTheme="minorEastAsia" w:hAnsiTheme="minorEastAsia" w:eastAsiaTheme="minorEastAsia" w:cstheme="minorEastAsia"/>
          <w:b/>
          <w:color w:val="auto"/>
          <w:kern w:val="0"/>
          <w:sz w:val="21"/>
          <w:szCs w:val="21"/>
        </w:rPr>
        <w:t>11.2 竣工</w:t>
      </w:r>
      <w:bookmarkEnd w:id="1541"/>
      <w:bookmarkEnd w:id="1542"/>
      <w:bookmarkEnd w:id="1543"/>
      <w:bookmarkEnd w:id="1544"/>
      <w:bookmarkEnd w:id="1545"/>
      <w:bookmarkEnd w:id="1546"/>
    </w:p>
    <w:p w14:paraId="2B8CA0A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增加以下条款：</w:t>
      </w:r>
    </w:p>
    <w:p w14:paraId="00C2E916">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本合同全部工程和部分工程的要求完工日期如下表。</w:t>
      </w:r>
    </w:p>
    <w:p w14:paraId="2956ABD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要求完工日期表：</w:t>
      </w:r>
    </w:p>
    <w:tbl>
      <w:tblPr>
        <w:tblStyle w:val="23"/>
        <w:tblW w:w="9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2578"/>
        <w:gridCol w:w="3532"/>
        <w:gridCol w:w="2339"/>
        <w:gridCol w:w="901"/>
      </w:tblGrid>
      <w:tr w14:paraId="14BA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64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074C3E86">
            <w:pPr>
              <w:snapToGrid w:val="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序号</w:t>
            </w:r>
          </w:p>
        </w:tc>
        <w:tc>
          <w:tcPr>
            <w:tcW w:w="257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166113E3">
            <w:pPr>
              <w:snapToGrid w:val="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项目及其说明</w:t>
            </w:r>
          </w:p>
        </w:tc>
        <w:tc>
          <w:tcPr>
            <w:tcW w:w="3532"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6F0E0223">
            <w:pPr>
              <w:snapToGrid w:val="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要求完工日期</w:t>
            </w:r>
          </w:p>
        </w:tc>
        <w:tc>
          <w:tcPr>
            <w:tcW w:w="233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40358243">
            <w:pPr>
              <w:snapToGrid w:val="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总施工工期</w:t>
            </w:r>
          </w:p>
        </w:tc>
        <w:tc>
          <w:tcPr>
            <w:tcW w:w="901"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45EC7379">
            <w:pPr>
              <w:snapToGrid w:val="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备注</w:t>
            </w:r>
          </w:p>
        </w:tc>
      </w:tr>
      <w:tr w14:paraId="6C953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64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02D8C31A">
            <w:pPr>
              <w:snapToGrid w:val="0"/>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w:t>
            </w:r>
          </w:p>
        </w:tc>
        <w:tc>
          <w:tcPr>
            <w:tcW w:w="257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228EC0DE">
            <w:pPr>
              <w:autoSpaceDE w:val="0"/>
              <w:autoSpaceDN w:val="0"/>
              <w:adjustRightInd w:val="0"/>
              <w:jc w:val="center"/>
              <w:rPr>
                <w:rFonts w:hint="eastAsia" w:asciiTheme="minorEastAsia" w:hAnsiTheme="minorEastAsia" w:eastAsiaTheme="minorEastAsia" w:cstheme="minorEastAsia"/>
                <w:color w:val="auto"/>
                <w:sz w:val="21"/>
                <w:szCs w:val="21"/>
                <w:lang w:eastAsia="zh-CN"/>
              </w:rPr>
            </w:pPr>
          </w:p>
        </w:tc>
        <w:tc>
          <w:tcPr>
            <w:tcW w:w="3532"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695DEBFC">
            <w:pPr>
              <w:snapToGrid w:val="0"/>
              <w:ind w:right="-149" w:rightChars="-71"/>
              <w:jc w:val="center"/>
              <w:rPr>
                <w:rFonts w:hint="default" w:asciiTheme="minorEastAsia" w:hAnsiTheme="minorEastAsia" w:eastAsiaTheme="minorEastAsia" w:cstheme="minorEastAsia"/>
                <w:color w:val="auto"/>
                <w:sz w:val="21"/>
                <w:szCs w:val="21"/>
                <w:lang w:val="en-US" w:eastAsia="zh-CN"/>
              </w:rPr>
            </w:pPr>
          </w:p>
        </w:tc>
        <w:tc>
          <w:tcPr>
            <w:tcW w:w="233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517D0C37">
            <w:pPr>
              <w:jc w:val="center"/>
              <w:rPr>
                <w:rFonts w:hint="eastAsia" w:asciiTheme="minorEastAsia" w:hAnsiTheme="minorEastAsia" w:eastAsiaTheme="minorEastAsia" w:cstheme="minorEastAsia"/>
                <w:color w:val="auto"/>
                <w:sz w:val="21"/>
                <w:szCs w:val="21"/>
              </w:rPr>
            </w:pPr>
          </w:p>
        </w:tc>
        <w:tc>
          <w:tcPr>
            <w:tcW w:w="901"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05AE5D3F">
            <w:pPr>
              <w:snapToGrid w:val="0"/>
              <w:rPr>
                <w:rFonts w:hint="eastAsia" w:asciiTheme="minorEastAsia" w:hAnsiTheme="minorEastAsia" w:eastAsiaTheme="minorEastAsia" w:cstheme="minorEastAsia"/>
                <w:color w:val="auto"/>
                <w:sz w:val="21"/>
                <w:szCs w:val="21"/>
              </w:rPr>
            </w:pPr>
          </w:p>
        </w:tc>
      </w:tr>
    </w:tbl>
    <w:p w14:paraId="52EAAEC3">
      <w:pPr>
        <w:autoSpaceDE w:val="0"/>
        <w:autoSpaceDN w:val="0"/>
        <w:adjustRightInd w:val="0"/>
        <w:jc w:val="left"/>
        <w:rPr>
          <w:rFonts w:hint="eastAsia" w:asciiTheme="minorEastAsia" w:hAnsiTheme="minorEastAsia" w:eastAsiaTheme="minorEastAsia" w:cstheme="minorEastAsia"/>
          <w:b/>
          <w:color w:val="auto"/>
          <w:kern w:val="0"/>
          <w:sz w:val="21"/>
          <w:szCs w:val="21"/>
        </w:rPr>
      </w:pPr>
      <w:bookmarkStart w:id="1547" w:name="_Toc209499049"/>
      <w:bookmarkStart w:id="1548" w:name="_Toc244121935"/>
      <w:bookmarkStart w:id="1549" w:name="_Toc491246894"/>
      <w:bookmarkStart w:id="1550" w:name="_Toc201058960"/>
      <w:r>
        <w:rPr>
          <w:rFonts w:hint="eastAsia" w:asciiTheme="minorEastAsia" w:hAnsiTheme="minorEastAsia" w:eastAsiaTheme="minorEastAsia" w:cstheme="minorEastAsia"/>
          <w:b/>
          <w:color w:val="auto"/>
          <w:kern w:val="0"/>
          <w:sz w:val="21"/>
          <w:szCs w:val="21"/>
        </w:rPr>
        <w:t>11.5 承包人工期延误</w:t>
      </w:r>
    </w:p>
    <w:p w14:paraId="3A87FF71">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本款补充如下：</w:t>
      </w:r>
    </w:p>
    <w:p w14:paraId="039D6D19">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highlight w:val="none"/>
          <w:u w:val="single"/>
        </w:rPr>
      </w:pPr>
      <w:bookmarkStart w:id="1551" w:name="_Toc223245866"/>
      <w:r>
        <w:rPr>
          <w:rFonts w:hint="eastAsia" w:asciiTheme="minorEastAsia" w:hAnsiTheme="minorEastAsia" w:eastAsiaTheme="minorEastAsia" w:cstheme="minorEastAsia"/>
          <w:color w:val="auto"/>
          <w:kern w:val="0"/>
          <w:sz w:val="21"/>
          <w:szCs w:val="21"/>
          <w:highlight w:val="none"/>
          <w:u w:val="single"/>
        </w:rPr>
        <w:t>每节点工期及总工期每延长一天，将扣逾期完工违约金</w:t>
      </w:r>
      <w:r>
        <w:rPr>
          <w:rFonts w:hint="eastAsia" w:asciiTheme="minorEastAsia" w:hAnsiTheme="minorEastAsia" w:eastAsiaTheme="minorEastAsia" w:cstheme="minorEastAsia"/>
          <w:color w:val="auto"/>
          <w:kern w:val="0"/>
          <w:sz w:val="21"/>
          <w:szCs w:val="21"/>
          <w:highlight w:val="none"/>
          <w:u w:val="single"/>
          <w:lang w:val="en-US" w:eastAsia="zh-CN"/>
        </w:rPr>
        <w:t>500</w:t>
      </w:r>
      <w:r>
        <w:rPr>
          <w:rFonts w:hint="eastAsia" w:asciiTheme="minorEastAsia" w:hAnsiTheme="minorEastAsia" w:eastAsiaTheme="minorEastAsia" w:cstheme="minorEastAsia"/>
          <w:color w:val="auto"/>
          <w:kern w:val="0"/>
          <w:sz w:val="21"/>
          <w:szCs w:val="21"/>
          <w:highlight w:val="none"/>
          <w:u w:val="single"/>
        </w:rPr>
        <w:t>元/天，</w:t>
      </w:r>
      <w:bookmarkEnd w:id="1551"/>
      <w:r>
        <w:rPr>
          <w:rFonts w:hint="eastAsia" w:asciiTheme="minorEastAsia" w:hAnsiTheme="minorEastAsia" w:eastAsiaTheme="minorEastAsia" w:cstheme="minorEastAsia"/>
          <w:color w:val="auto"/>
          <w:kern w:val="0"/>
          <w:sz w:val="21"/>
          <w:szCs w:val="21"/>
          <w:highlight w:val="none"/>
          <w:u w:val="single"/>
        </w:rPr>
        <w:t>全部逾期完工违约金的总限额为不超过签约合同价的</w:t>
      </w:r>
      <w:r>
        <w:rPr>
          <w:rFonts w:hint="eastAsia" w:asciiTheme="minorEastAsia" w:hAnsiTheme="minorEastAsia" w:eastAsiaTheme="minorEastAsia" w:cstheme="minorEastAsia"/>
          <w:color w:val="auto"/>
          <w:kern w:val="0"/>
          <w:sz w:val="21"/>
          <w:szCs w:val="21"/>
          <w:highlight w:val="none"/>
          <w:u w:val="single"/>
          <w:lang w:val="en-US" w:eastAsia="zh-CN"/>
        </w:rPr>
        <w:t>5</w:t>
      </w:r>
      <w:r>
        <w:rPr>
          <w:rFonts w:hint="eastAsia" w:asciiTheme="minorEastAsia" w:hAnsiTheme="minorEastAsia" w:eastAsiaTheme="minorEastAsia" w:cstheme="minorEastAsia"/>
          <w:color w:val="auto"/>
          <w:kern w:val="0"/>
          <w:sz w:val="21"/>
          <w:szCs w:val="21"/>
          <w:highlight w:val="none"/>
          <w:u w:val="single"/>
        </w:rPr>
        <w:t xml:space="preserve"> %，承包人支付逾期竣工违约金，不免除承包人完成工程及修补缺陷的义务。特殊情况由发包人和承包人协商解决。</w:t>
      </w:r>
    </w:p>
    <w:p w14:paraId="59CA415F">
      <w:pPr>
        <w:rPr>
          <w:rFonts w:hint="eastAsia" w:asciiTheme="minorEastAsia" w:hAnsiTheme="minorEastAsia" w:eastAsiaTheme="minorEastAsia" w:cstheme="minorEastAsia"/>
          <w:b/>
          <w:color w:val="auto"/>
          <w:kern w:val="0"/>
          <w:sz w:val="21"/>
          <w:szCs w:val="21"/>
        </w:rPr>
      </w:pPr>
      <w:bookmarkStart w:id="1552" w:name="_Toc31103"/>
      <w:r>
        <w:rPr>
          <w:rFonts w:hint="eastAsia" w:asciiTheme="minorEastAsia" w:hAnsiTheme="minorEastAsia" w:eastAsiaTheme="minorEastAsia" w:cstheme="minorEastAsia"/>
          <w:b/>
          <w:color w:val="auto"/>
          <w:kern w:val="0"/>
          <w:sz w:val="21"/>
          <w:szCs w:val="21"/>
        </w:rPr>
        <w:t>11.6 工期提前</w:t>
      </w:r>
      <w:bookmarkEnd w:id="1547"/>
      <w:bookmarkEnd w:id="1548"/>
      <w:bookmarkEnd w:id="1549"/>
      <w:bookmarkEnd w:id="1550"/>
      <w:bookmarkEnd w:id="1552"/>
    </w:p>
    <w:p w14:paraId="09F36D78">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u w:val="single"/>
        </w:rPr>
      </w:pPr>
      <w:bookmarkStart w:id="1553" w:name="_Toc209499050"/>
      <w:bookmarkStart w:id="1554" w:name="_Toc201058961"/>
      <w:bookmarkStart w:id="1555" w:name="_Toc491246895"/>
      <w:r>
        <w:rPr>
          <w:rFonts w:hint="eastAsia" w:asciiTheme="minorEastAsia" w:hAnsiTheme="minorEastAsia" w:eastAsiaTheme="minorEastAsia" w:cstheme="minorEastAsia"/>
          <w:color w:val="auto"/>
          <w:kern w:val="0"/>
          <w:sz w:val="21"/>
          <w:szCs w:val="21"/>
        </w:rPr>
        <w:t>工程提前的奖金约定：</w:t>
      </w:r>
      <w:r>
        <w:rPr>
          <w:rFonts w:hint="eastAsia" w:asciiTheme="minorEastAsia" w:hAnsiTheme="minorEastAsia" w:eastAsiaTheme="minorEastAsia" w:cstheme="minorEastAsia"/>
          <w:color w:val="auto"/>
          <w:kern w:val="0"/>
          <w:sz w:val="21"/>
          <w:szCs w:val="21"/>
          <w:u w:val="single"/>
        </w:rPr>
        <w:t>本工程要求承包人按质按量按时完成工程内容，提前完工的，不进行任何奖励。</w:t>
      </w:r>
    </w:p>
    <w:p w14:paraId="66F2E016">
      <w:pPr>
        <w:rPr>
          <w:rFonts w:hint="eastAsia" w:asciiTheme="minorEastAsia" w:hAnsiTheme="minorEastAsia" w:eastAsiaTheme="minorEastAsia" w:cstheme="minorEastAsia"/>
          <w:b/>
          <w:color w:val="auto"/>
          <w:sz w:val="21"/>
          <w:szCs w:val="21"/>
        </w:rPr>
      </w:pPr>
      <w:bookmarkStart w:id="1556" w:name="_Toc265654006"/>
      <w:bookmarkStart w:id="1557" w:name="_Toc265955061"/>
      <w:bookmarkStart w:id="1558" w:name="_Toc265954762"/>
      <w:bookmarkStart w:id="1559" w:name="_Toc244121936"/>
      <w:r>
        <w:rPr>
          <w:rFonts w:hint="eastAsia" w:asciiTheme="minorEastAsia" w:hAnsiTheme="minorEastAsia" w:eastAsiaTheme="minorEastAsia" w:cstheme="minorEastAsia"/>
          <w:b/>
          <w:color w:val="auto"/>
          <w:sz w:val="21"/>
          <w:szCs w:val="21"/>
        </w:rPr>
        <w:t>12 暂停施工</w:t>
      </w:r>
      <w:bookmarkEnd w:id="1556"/>
      <w:bookmarkEnd w:id="1557"/>
      <w:bookmarkEnd w:id="1558"/>
    </w:p>
    <w:p w14:paraId="535AD760">
      <w:pPr>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b/>
          <w:color w:val="auto"/>
          <w:kern w:val="0"/>
          <w:sz w:val="21"/>
          <w:szCs w:val="21"/>
        </w:rPr>
        <w:t>12.1 承包人暂停施工的责任</w:t>
      </w:r>
    </w:p>
    <w:p w14:paraId="52C29519">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承包人承担暂停施工责任的其他情形：</w:t>
      </w:r>
    </w:p>
    <w:p w14:paraId="047BCD2C">
      <w:pPr>
        <w:autoSpaceDE w:val="0"/>
        <w:autoSpaceDN w:val="0"/>
        <w:adjustRightInd w:val="0"/>
        <w:ind w:firstLine="42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rPr>
        <w:t>1、</w:t>
      </w:r>
      <w:r>
        <w:rPr>
          <w:rFonts w:hint="eastAsia" w:asciiTheme="minorEastAsia" w:hAnsiTheme="minorEastAsia" w:eastAsiaTheme="minorEastAsia" w:cstheme="minorEastAsia"/>
          <w:color w:val="auto"/>
          <w:kern w:val="0"/>
          <w:sz w:val="21"/>
          <w:szCs w:val="21"/>
          <w:u w:val="single"/>
        </w:rPr>
        <w:t>承包人在接到开工通知后14天内未及时进场组织施工，监理人可通知承包人立即采取有效措施赶上进度，承包人应在接到通知后的7天内向监理人提交一份补救措施报告报送监理人审批。补救措施报告应详细说明不能及时进点的原因和补救办法，由此增加的费用和工期延误责任由承包人承担。</w:t>
      </w:r>
    </w:p>
    <w:p w14:paraId="44EC551F">
      <w:pPr>
        <w:autoSpaceDE w:val="0"/>
        <w:autoSpaceDN w:val="0"/>
        <w:adjustRightInd w:val="0"/>
        <w:ind w:firstLine="42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2、由于现场非异常恶劣气候条件引起的正常停工。</w:t>
      </w:r>
    </w:p>
    <w:p w14:paraId="7293C4EE">
      <w:pPr>
        <w:rPr>
          <w:rFonts w:hint="eastAsia" w:asciiTheme="minorEastAsia" w:hAnsiTheme="minorEastAsia" w:eastAsiaTheme="minorEastAsia" w:cstheme="minorEastAsia"/>
          <w:b/>
          <w:color w:val="auto"/>
          <w:sz w:val="21"/>
          <w:szCs w:val="21"/>
        </w:rPr>
      </w:pPr>
      <w:bookmarkStart w:id="1560" w:name="_Toc265654007"/>
      <w:bookmarkStart w:id="1561" w:name="_Toc265955062"/>
      <w:bookmarkStart w:id="1562" w:name="_Toc265954763"/>
      <w:r>
        <w:rPr>
          <w:rFonts w:hint="eastAsia" w:asciiTheme="minorEastAsia" w:hAnsiTheme="minorEastAsia" w:eastAsiaTheme="minorEastAsia" w:cstheme="minorEastAsia"/>
          <w:b/>
          <w:color w:val="auto"/>
          <w:sz w:val="21"/>
          <w:szCs w:val="21"/>
        </w:rPr>
        <w:t>14 试验和检验</w:t>
      </w:r>
      <w:bookmarkEnd w:id="1559"/>
      <w:bookmarkEnd w:id="1560"/>
      <w:bookmarkEnd w:id="1561"/>
      <w:bookmarkEnd w:id="1562"/>
    </w:p>
    <w:p w14:paraId="7CFFD4E9">
      <w:pPr>
        <w:rPr>
          <w:rFonts w:hint="eastAsia" w:asciiTheme="minorEastAsia" w:hAnsiTheme="minorEastAsia" w:eastAsiaTheme="minorEastAsia" w:cstheme="minorEastAsia"/>
          <w:b/>
          <w:color w:val="auto"/>
          <w:kern w:val="0"/>
          <w:sz w:val="21"/>
          <w:szCs w:val="21"/>
        </w:rPr>
      </w:pPr>
      <w:bookmarkStart w:id="1563" w:name="_Toc229450932"/>
      <w:bookmarkStart w:id="1564" w:name="_Toc223245870"/>
      <w:bookmarkStart w:id="1565" w:name="_Toc244121937"/>
      <w:r>
        <w:rPr>
          <w:rFonts w:hint="eastAsia" w:asciiTheme="minorEastAsia" w:hAnsiTheme="minorEastAsia" w:eastAsiaTheme="minorEastAsia" w:cstheme="minorEastAsia"/>
          <w:b/>
          <w:color w:val="auto"/>
          <w:kern w:val="0"/>
          <w:sz w:val="21"/>
          <w:szCs w:val="21"/>
        </w:rPr>
        <w:t>14.2 现场材料试验</w:t>
      </w:r>
      <w:bookmarkEnd w:id="1563"/>
      <w:bookmarkEnd w:id="1564"/>
    </w:p>
    <w:p w14:paraId="79EC9052">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本条增加：</w:t>
      </w:r>
    </w:p>
    <w:p w14:paraId="6FD900B4">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监理人认为材料试验需送省、市（或）县级质检部门试验时，承包人应经监理人见证取样后送上述质检部门进行试验，费用由承包人承担。</w:t>
      </w:r>
    </w:p>
    <w:bookmarkEnd w:id="1553"/>
    <w:bookmarkEnd w:id="1554"/>
    <w:bookmarkEnd w:id="1555"/>
    <w:bookmarkEnd w:id="1565"/>
    <w:p w14:paraId="0F4C876C">
      <w:pPr>
        <w:rPr>
          <w:rFonts w:hint="eastAsia" w:asciiTheme="minorEastAsia" w:hAnsiTheme="minorEastAsia" w:eastAsiaTheme="minorEastAsia" w:cstheme="minorEastAsia"/>
          <w:b/>
          <w:color w:val="auto"/>
          <w:sz w:val="21"/>
          <w:szCs w:val="21"/>
        </w:rPr>
      </w:pPr>
      <w:bookmarkStart w:id="1566" w:name="_Toc201058962"/>
      <w:bookmarkStart w:id="1567" w:name="_Toc209499051"/>
      <w:bookmarkStart w:id="1568" w:name="_Toc265954764"/>
      <w:bookmarkStart w:id="1569" w:name="_Toc491246896"/>
      <w:bookmarkStart w:id="1570" w:name="_Toc244121938"/>
      <w:bookmarkStart w:id="1571" w:name="_Toc265654008"/>
      <w:bookmarkStart w:id="1572" w:name="_Toc24508"/>
      <w:bookmarkStart w:id="1573" w:name="_Toc265955063"/>
      <w:r>
        <w:rPr>
          <w:rFonts w:hint="eastAsia" w:asciiTheme="minorEastAsia" w:hAnsiTheme="minorEastAsia" w:eastAsiaTheme="minorEastAsia" w:cstheme="minorEastAsia"/>
          <w:b/>
          <w:color w:val="auto"/>
          <w:sz w:val="21"/>
          <w:szCs w:val="21"/>
        </w:rPr>
        <w:t>15 变更</w:t>
      </w:r>
      <w:bookmarkEnd w:id="1566"/>
      <w:bookmarkEnd w:id="1567"/>
      <w:bookmarkEnd w:id="1568"/>
      <w:bookmarkEnd w:id="1569"/>
      <w:bookmarkEnd w:id="1570"/>
      <w:bookmarkEnd w:id="1571"/>
      <w:bookmarkEnd w:id="1572"/>
      <w:bookmarkEnd w:id="1573"/>
    </w:p>
    <w:p w14:paraId="206BCC7D">
      <w:pPr>
        <w:rPr>
          <w:rFonts w:hint="eastAsia" w:asciiTheme="minorEastAsia" w:hAnsiTheme="minorEastAsia" w:eastAsiaTheme="minorEastAsia" w:cstheme="minorEastAsia"/>
          <w:b/>
          <w:color w:val="auto"/>
          <w:kern w:val="0"/>
          <w:sz w:val="21"/>
          <w:szCs w:val="21"/>
        </w:rPr>
      </w:pPr>
      <w:bookmarkStart w:id="1574" w:name="_Toc14755"/>
      <w:r>
        <w:rPr>
          <w:rFonts w:hint="eastAsia" w:asciiTheme="minorEastAsia" w:hAnsiTheme="minorEastAsia" w:eastAsiaTheme="minorEastAsia" w:cstheme="minorEastAsia"/>
          <w:b/>
          <w:color w:val="auto"/>
          <w:kern w:val="0"/>
          <w:sz w:val="21"/>
          <w:szCs w:val="21"/>
        </w:rPr>
        <w:t>15.1 变更的范围和内容</w:t>
      </w:r>
      <w:bookmarkEnd w:id="1574"/>
    </w:p>
    <w:p w14:paraId="1070D402">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本条增加：</w:t>
      </w:r>
      <w:r>
        <w:rPr>
          <w:rFonts w:hint="eastAsia" w:asciiTheme="minorEastAsia" w:hAnsiTheme="minorEastAsia" w:eastAsiaTheme="minorEastAsia" w:cstheme="minorEastAsia"/>
          <w:color w:val="auto"/>
          <w:kern w:val="0"/>
          <w:sz w:val="21"/>
          <w:szCs w:val="21"/>
          <w:u w:val="single"/>
        </w:rPr>
        <w:t>无论增加或减少工程量，其《工程量清单》中的单价均不作调整。</w:t>
      </w:r>
      <w:bookmarkStart w:id="1575" w:name="_Toc209499052"/>
      <w:bookmarkStart w:id="1576" w:name="_Toc201058963"/>
      <w:bookmarkStart w:id="1577" w:name="_Toc491246897"/>
    </w:p>
    <w:p w14:paraId="6D14CA78">
      <w:pPr>
        <w:rPr>
          <w:rFonts w:hint="eastAsia" w:asciiTheme="minorEastAsia" w:hAnsiTheme="minorEastAsia" w:eastAsiaTheme="minorEastAsia" w:cstheme="minorEastAsia"/>
          <w:b/>
          <w:color w:val="auto"/>
          <w:kern w:val="0"/>
          <w:sz w:val="21"/>
          <w:szCs w:val="21"/>
        </w:rPr>
      </w:pPr>
      <w:bookmarkStart w:id="1578" w:name="_Toc265954765"/>
      <w:bookmarkStart w:id="1579" w:name="_Toc265654009"/>
      <w:bookmarkStart w:id="1580" w:name="_Toc265955064"/>
      <w:r>
        <w:rPr>
          <w:rFonts w:hint="eastAsia" w:asciiTheme="minorEastAsia" w:hAnsiTheme="minorEastAsia" w:eastAsiaTheme="minorEastAsia" w:cstheme="minorEastAsia"/>
          <w:b/>
          <w:color w:val="auto"/>
          <w:kern w:val="0"/>
          <w:sz w:val="21"/>
          <w:szCs w:val="21"/>
        </w:rPr>
        <w:t>15.4 变更的估价原则</w:t>
      </w:r>
      <w:bookmarkEnd w:id="1578"/>
      <w:bookmarkEnd w:id="1579"/>
      <w:bookmarkEnd w:id="1580"/>
    </w:p>
    <w:p w14:paraId="023B6833">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15.4.1  已标价工程量清单中有适用于变更工作的子目的，采用该子目的单价。</w:t>
      </w:r>
    </w:p>
    <w:p w14:paraId="0CAFE80D">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15.4.2  已标价工程量清单中无适用于变更工作的子目，但有类似子目的，可在合同范围内参照类似子目的单价，由监理人按第3.5款商定或确定变更工作的单价并报发包人批准。</w:t>
      </w:r>
    </w:p>
    <w:p w14:paraId="2AF97A8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15.4.3 已标价工程量清单中无适用或类似子目的单价，</w:t>
      </w:r>
      <w:bookmarkStart w:id="1581" w:name="_Toc265654010"/>
      <w:bookmarkStart w:id="1582" w:name="_Toc30276"/>
      <w:bookmarkStart w:id="1583" w:name="_Toc244121939"/>
      <w:bookmarkStart w:id="1584" w:name="_Toc265954766"/>
      <w:bookmarkStart w:id="1585" w:name="_Toc265955065"/>
      <w:r>
        <w:rPr>
          <w:rFonts w:hint="eastAsia" w:asciiTheme="minorEastAsia" w:hAnsiTheme="minorEastAsia" w:eastAsiaTheme="minorEastAsia" w:cstheme="minorEastAsia"/>
          <w:color w:val="auto"/>
          <w:kern w:val="0"/>
          <w:sz w:val="21"/>
          <w:szCs w:val="21"/>
          <w:u w:val="single"/>
        </w:rPr>
        <w:t>由承包人按第3.5款商定或确定变更工作的单价或参照国家相关部门颁发的定额子目按投标报价的编制水平编制补充单价报监理人审核，发包人批准。新增项目的单价编制应与投标人投标报价中所采用的人工、材料、机械的基价及取费标准保持一致；新增项目的工程量与最终实施的工程量，无论增加或减少的幅度如何，其单价均不作调整。</w:t>
      </w:r>
    </w:p>
    <w:p w14:paraId="611365A8">
      <w:pP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16 价格调整</w:t>
      </w:r>
      <w:bookmarkEnd w:id="1575"/>
      <w:bookmarkEnd w:id="1576"/>
      <w:bookmarkEnd w:id="1577"/>
      <w:bookmarkEnd w:id="1581"/>
      <w:bookmarkEnd w:id="1582"/>
      <w:bookmarkEnd w:id="1583"/>
      <w:bookmarkEnd w:id="1584"/>
      <w:bookmarkEnd w:id="1585"/>
    </w:p>
    <w:p w14:paraId="750983E0">
      <w:pPr>
        <w:rPr>
          <w:rFonts w:hint="eastAsia" w:asciiTheme="minorEastAsia" w:hAnsiTheme="minorEastAsia" w:eastAsiaTheme="minorEastAsia" w:cstheme="minorEastAsia"/>
          <w:b/>
          <w:color w:val="auto"/>
          <w:kern w:val="0"/>
          <w:sz w:val="21"/>
          <w:szCs w:val="21"/>
        </w:rPr>
      </w:pPr>
      <w:bookmarkStart w:id="1586" w:name="_Toc491246898"/>
      <w:bookmarkStart w:id="1587" w:name="_Toc244121940"/>
      <w:bookmarkStart w:id="1588" w:name="_Toc201058964"/>
      <w:bookmarkStart w:id="1589" w:name="_Toc20692"/>
      <w:r>
        <w:rPr>
          <w:rFonts w:hint="eastAsia" w:asciiTheme="minorEastAsia" w:hAnsiTheme="minorEastAsia" w:eastAsiaTheme="minorEastAsia" w:cstheme="minorEastAsia"/>
          <w:b/>
          <w:color w:val="auto"/>
          <w:kern w:val="0"/>
          <w:sz w:val="21"/>
          <w:szCs w:val="21"/>
        </w:rPr>
        <w:t xml:space="preserve">16.1 </w:t>
      </w:r>
      <w:bookmarkEnd w:id="1586"/>
      <w:bookmarkEnd w:id="1587"/>
      <w:bookmarkEnd w:id="1588"/>
      <w:r>
        <w:rPr>
          <w:rFonts w:hint="eastAsia" w:asciiTheme="minorEastAsia" w:hAnsiTheme="minorEastAsia" w:eastAsiaTheme="minorEastAsia" w:cstheme="minorEastAsia"/>
          <w:b/>
          <w:color w:val="auto"/>
          <w:kern w:val="0"/>
          <w:sz w:val="21"/>
          <w:szCs w:val="21"/>
        </w:rPr>
        <w:t>物价波动引起的价格调整</w:t>
      </w:r>
      <w:bookmarkEnd w:id="1589"/>
    </w:p>
    <w:p w14:paraId="63FADF8B">
      <w:pPr>
        <w:autoSpaceDE w:val="0"/>
        <w:autoSpaceDN w:val="0"/>
        <w:adjustRightIn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 xml:space="preserve">  </w:t>
      </w:r>
    </w:p>
    <w:p w14:paraId="726438A7">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本合同采用固定单价，合同履行期间， 无论何种原因，均不考虑由于物价波动引起的价格调整。</w:t>
      </w:r>
    </w:p>
    <w:p w14:paraId="2264F4F7">
      <w:pPr>
        <w:rPr>
          <w:rFonts w:hint="eastAsia" w:asciiTheme="minorEastAsia" w:hAnsiTheme="minorEastAsia" w:eastAsiaTheme="minorEastAsia" w:cstheme="minorEastAsia"/>
          <w:b/>
          <w:color w:val="auto"/>
          <w:sz w:val="21"/>
          <w:szCs w:val="21"/>
        </w:rPr>
      </w:pPr>
      <w:bookmarkStart w:id="1590" w:name="_Toc201058965"/>
      <w:bookmarkStart w:id="1591" w:name="_Toc491246899"/>
      <w:bookmarkStart w:id="1592" w:name="_Toc265955066"/>
      <w:bookmarkStart w:id="1593" w:name="_Toc385"/>
      <w:bookmarkStart w:id="1594" w:name="_Toc265654011"/>
      <w:bookmarkStart w:id="1595" w:name="_Toc209499053"/>
      <w:bookmarkStart w:id="1596" w:name="_Toc244121941"/>
      <w:bookmarkStart w:id="1597" w:name="_Toc265954767"/>
      <w:bookmarkStart w:id="1598" w:name="_Toc200817291"/>
      <w:r>
        <w:rPr>
          <w:rFonts w:hint="eastAsia" w:asciiTheme="minorEastAsia" w:hAnsiTheme="minorEastAsia" w:eastAsiaTheme="minorEastAsia" w:cstheme="minorEastAsia"/>
          <w:b/>
          <w:color w:val="auto"/>
          <w:sz w:val="21"/>
          <w:szCs w:val="21"/>
        </w:rPr>
        <w:t>17 计量与支付</w:t>
      </w:r>
      <w:bookmarkEnd w:id="1590"/>
      <w:bookmarkEnd w:id="1591"/>
      <w:bookmarkEnd w:id="1592"/>
      <w:bookmarkEnd w:id="1593"/>
      <w:bookmarkEnd w:id="1594"/>
      <w:bookmarkEnd w:id="1595"/>
      <w:bookmarkEnd w:id="1596"/>
      <w:bookmarkEnd w:id="1597"/>
      <w:bookmarkEnd w:id="1598"/>
    </w:p>
    <w:p w14:paraId="61B1BA7E">
      <w:pPr>
        <w:rPr>
          <w:rFonts w:hint="eastAsia" w:asciiTheme="minorEastAsia" w:hAnsiTheme="minorEastAsia" w:eastAsiaTheme="minorEastAsia" w:cstheme="minorEastAsia"/>
          <w:b/>
          <w:color w:val="auto"/>
          <w:kern w:val="0"/>
          <w:sz w:val="21"/>
          <w:szCs w:val="21"/>
        </w:rPr>
      </w:pPr>
      <w:bookmarkStart w:id="1599" w:name="_Toc491246900"/>
      <w:bookmarkStart w:id="1600" w:name="_Toc209499054"/>
      <w:bookmarkStart w:id="1601" w:name="_Toc223245875"/>
      <w:bookmarkStart w:id="1602" w:name="_Toc201058966"/>
      <w:bookmarkStart w:id="1603" w:name="_Toc229450937"/>
      <w:r>
        <w:rPr>
          <w:rFonts w:hint="eastAsia" w:asciiTheme="minorEastAsia" w:hAnsiTheme="minorEastAsia" w:eastAsiaTheme="minorEastAsia" w:cstheme="minorEastAsia"/>
          <w:b/>
          <w:color w:val="auto"/>
          <w:kern w:val="0"/>
          <w:sz w:val="21"/>
          <w:szCs w:val="21"/>
        </w:rPr>
        <w:t>17.1 计量</w:t>
      </w:r>
      <w:bookmarkEnd w:id="1599"/>
      <w:bookmarkEnd w:id="1600"/>
      <w:bookmarkEnd w:id="1601"/>
      <w:bookmarkEnd w:id="1602"/>
      <w:bookmarkEnd w:id="1603"/>
    </w:p>
    <w:p w14:paraId="1D6F9C29">
      <w:pPr>
        <w:autoSpaceDE w:val="0"/>
        <w:autoSpaceDN w:val="0"/>
        <w:adjustRightInd w:val="0"/>
        <w:ind w:firstLine="420" w:firstLineChars="200"/>
        <w:jc w:val="left"/>
        <w:rPr>
          <w:rFonts w:hint="eastAsia" w:asciiTheme="minorEastAsia" w:hAnsiTheme="minorEastAsia" w:eastAsiaTheme="minorEastAsia" w:cstheme="minorEastAsia"/>
          <w:b/>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按承包方实际完成的工程量，由承包方上报并经监理工程师、发包人共同确认的工程量计量及按本合同《技术条款》的有关规定执行。</w:t>
      </w:r>
    </w:p>
    <w:p w14:paraId="64DC43C4">
      <w:pPr>
        <w:rPr>
          <w:rFonts w:hint="eastAsia" w:asciiTheme="minorEastAsia" w:hAnsiTheme="minorEastAsia" w:eastAsiaTheme="minorEastAsia" w:cstheme="minorEastAsia"/>
          <w:b/>
          <w:color w:val="auto"/>
          <w:kern w:val="0"/>
          <w:sz w:val="21"/>
          <w:szCs w:val="21"/>
          <w:highlight w:val="none"/>
        </w:rPr>
      </w:pPr>
      <w:bookmarkStart w:id="1604" w:name="_Toc201058967"/>
      <w:bookmarkStart w:id="1605" w:name="_Toc6479"/>
      <w:bookmarkStart w:id="1606" w:name="_Toc244121943"/>
      <w:bookmarkStart w:id="1607" w:name="_Toc209499055"/>
      <w:bookmarkStart w:id="1608" w:name="_Toc491246901"/>
      <w:r>
        <w:rPr>
          <w:rFonts w:hint="eastAsia" w:asciiTheme="minorEastAsia" w:hAnsiTheme="minorEastAsia" w:eastAsiaTheme="minorEastAsia" w:cstheme="minorEastAsia"/>
          <w:b/>
          <w:color w:val="auto"/>
          <w:kern w:val="0"/>
          <w:sz w:val="21"/>
          <w:szCs w:val="21"/>
        </w:rPr>
        <w:t>17.2</w:t>
      </w:r>
      <w:r>
        <w:rPr>
          <w:rFonts w:hint="eastAsia" w:asciiTheme="minorEastAsia" w:hAnsiTheme="minorEastAsia" w:eastAsiaTheme="minorEastAsia" w:cstheme="minorEastAsia"/>
          <w:b/>
          <w:color w:val="auto"/>
          <w:kern w:val="0"/>
          <w:sz w:val="21"/>
          <w:szCs w:val="21"/>
          <w:highlight w:val="none"/>
        </w:rPr>
        <w:t xml:space="preserve"> 预付款</w:t>
      </w:r>
      <w:bookmarkEnd w:id="1604"/>
      <w:bookmarkEnd w:id="1605"/>
      <w:bookmarkEnd w:id="1606"/>
      <w:bookmarkEnd w:id="1607"/>
      <w:bookmarkEnd w:id="1608"/>
    </w:p>
    <w:p w14:paraId="73463D29">
      <w:pPr>
        <w:pStyle w:val="8"/>
        <w:ind w:firstLine="412" w:firstLineChars="200"/>
        <w:jc w:val="left"/>
        <w:rPr>
          <w:rFonts w:hint="eastAsia" w:asciiTheme="minorEastAsia" w:hAnsiTheme="minorEastAsia" w:eastAsiaTheme="minorEastAsia" w:cstheme="minorEastAsia"/>
          <w:color w:val="auto"/>
          <w:spacing w:val="-2"/>
          <w:sz w:val="21"/>
          <w:szCs w:val="21"/>
          <w:highlight w:val="none"/>
        </w:rPr>
      </w:pPr>
      <w:r>
        <w:rPr>
          <w:rFonts w:hint="eastAsia" w:asciiTheme="minorEastAsia" w:hAnsiTheme="minorEastAsia" w:eastAsiaTheme="minorEastAsia" w:cstheme="minorEastAsia"/>
          <w:color w:val="auto"/>
          <w:spacing w:val="-2"/>
          <w:sz w:val="21"/>
          <w:szCs w:val="21"/>
          <w:highlight w:val="none"/>
        </w:rPr>
        <w:t>17.2.1预付款：</w:t>
      </w:r>
    </w:p>
    <w:p w14:paraId="52FA82AB">
      <w:pPr>
        <w:pStyle w:val="8"/>
        <w:ind w:firstLine="412" w:firstLineChars="200"/>
        <w:jc w:val="left"/>
        <w:rPr>
          <w:rFonts w:hint="default" w:asciiTheme="minorEastAsia" w:hAnsiTheme="minorEastAsia" w:eastAsiaTheme="minorEastAsia" w:cstheme="minorEastAsia"/>
          <w:color w:val="auto"/>
          <w:spacing w:val="-2"/>
          <w:sz w:val="21"/>
          <w:szCs w:val="21"/>
          <w:u w:val="single"/>
          <w:lang w:val="en-US" w:eastAsia="zh-CN"/>
        </w:rPr>
      </w:pPr>
      <w:r>
        <w:rPr>
          <w:rFonts w:hint="eastAsia" w:asciiTheme="minorEastAsia" w:hAnsiTheme="minorEastAsia" w:eastAsiaTheme="minorEastAsia" w:cstheme="minorEastAsia"/>
          <w:color w:val="auto"/>
          <w:spacing w:val="-2"/>
          <w:sz w:val="21"/>
          <w:szCs w:val="21"/>
          <w:u w:val="single"/>
          <w:lang w:val="en-US" w:eastAsia="zh-CN"/>
        </w:rPr>
        <w:t xml:space="preserve">                                                                </w:t>
      </w:r>
    </w:p>
    <w:p w14:paraId="52B47B28">
      <w:pPr>
        <w:pStyle w:val="8"/>
        <w:ind w:firstLine="412" w:firstLineChars="200"/>
        <w:jc w:val="left"/>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2"/>
          <w:sz w:val="21"/>
          <w:szCs w:val="21"/>
        </w:rPr>
        <w:t>17.2.2 预付款保函（担保）</w:t>
      </w:r>
    </w:p>
    <w:p w14:paraId="0B2A51E6">
      <w:pPr>
        <w:autoSpaceDE w:val="0"/>
        <w:autoSpaceDN w:val="0"/>
        <w:adjustRightInd w:val="0"/>
        <w:ind w:firstLine="42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本合同承包人在收到预付款时，需要向发包人提交工程预付款保函（担保）。</w:t>
      </w:r>
    </w:p>
    <w:p w14:paraId="18CB45C0">
      <w:pPr>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0"/>
          <w:sz w:val="21"/>
          <w:szCs w:val="21"/>
        </w:rPr>
        <w:object>
          <v:shape id="_x0000_i1025" o:spt="75" type="#_x0000_t75" style="height:33.75pt;width:125.25pt;" o:ole="t" filled="f" o:preferrelative="t" stroked="f" coordsize="21600,21600">
            <v:path/>
            <v:fill on="f" focussize="0,0"/>
            <v:stroke on="f" joinstyle="miter"/>
            <v:imagedata r:id="rId19" o:title=""/>
            <o:lock v:ext="edit" aspectratio="t"/>
            <w10:wrap type="none"/>
            <w10:anchorlock/>
          </v:shape>
          <o:OLEObject Type="Embed" ProgID="Equation.3" ShapeID="_x0000_i1025" DrawAspect="Content" ObjectID="_1468075725" r:id="rId18">
            <o:LockedField>false</o:LockedField>
          </o:OLEObject>
        </w:object>
      </w:r>
    </w:p>
    <w:p w14:paraId="00544C7E">
      <w:pPr>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式中  </w:t>
      </w:r>
      <w:r>
        <w:rPr>
          <w:rFonts w:hint="eastAsia" w:asciiTheme="minorEastAsia" w:hAnsiTheme="minorEastAsia" w:eastAsiaTheme="minorEastAsia" w:cstheme="minorEastAsia"/>
          <w:color w:val="auto"/>
          <w:position w:val="-4"/>
          <w:sz w:val="21"/>
          <w:szCs w:val="21"/>
        </w:rPr>
        <w:object>
          <v:shape id="_x0000_i1026" o:spt="75" type="#_x0000_t75" style="height:12.75pt;width:12pt;" o:ole="t" filled="f" o:preferrelative="t" stroked="f" coordsize="21600,21600">
            <v:path/>
            <v:fill on="f" focussize="0,0"/>
            <v:stroke on="f" joinstyle="miter"/>
            <v:imagedata r:id="rId21" o:title=""/>
            <o:lock v:ext="edit" aspectratio="t"/>
            <w10:wrap type="none"/>
            <w10:anchorlock/>
          </v:shape>
          <o:OLEObject Type="Embed" ProgID="Equation.3" ShapeID="_x0000_i1026" DrawAspect="Content" ObjectID="_1468075726" r:id="rId20">
            <o:LockedField>false</o:LockedField>
          </o:OLEObject>
        </w:object>
      </w:r>
      <w:r>
        <w:rPr>
          <w:rFonts w:hint="eastAsia" w:asciiTheme="minorEastAsia" w:hAnsiTheme="minorEastAsia" w:eastAsiaTheme="minorEastAsia" w:cstheme="minorEastAsia"/>
          <w:color w:val="auto"/>
          <w:sz w:val="21"/>
          <w:szCs w:val="21"/>
        </w:rPr>
        <w:t>——每次进度付款中累计扣回的金额；</w:t>
      </w:r>
    </w:p>
    <w:p w14:paraId="203370D4">
      <w:pPr>
        <w:ind w:firstLine="630" w:firstLineChars="3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4"/>
          <w:sz w:val="21"/>
          <w:szCs w:val="21"/>
        </w:rPr>
        <w:object>
          <v:shape id="_x0000_i1027" o:spt="75" type="#_x0000_t75" style="height:12.75pt;width:12pt;" o:ole="t" filled="f" o:preferrelative="t" stroked="f" coordsize="21600,21600">
            <v:path/>
            <v:fill on="f" focussize="0,0"/>
            <v:stroke on="f" joinstyle="miter"/>
            <v:imagedata r:id="rId23" o:title=""/>
            <o:lock v:ext="edit" aspectratio="t"/>
            <w10:wrap type="none"/>
            <w10:anchorlock/>
          </v:shape>
          <o:OLEObject Type="Embed" ProgID="Equation.3" ShapeID="_x0000_i1027" DrawAspect="Content" ObjectID="_1468075727" r:id="rId22">
            <o:LockedField>false</o:LockedField>
          </o:OLEObject>
        </w:object>
      </w:r>
      <w:r>
        <w:rPr>
          <w:rFonts w:hint="eastAsia" w:asciiTheme="minorEastAsia" w:hAnsiTheme="minorEastAsia" w:eastAsiaTheme="minorEastAsia" w:cstheme="minorEastAsia"/>
          <w:color w:val="auto"/>
          <w:sz w:val="21"/>
          <w:szCs w:val="21"/>
        </w:rPr>
        <w:t>——工程预付款总金额；</w:t>
      </w:r>
    </w:p>
    <w:p w14:paraId="5E9E707D">
      <w:pPr>
        <w:ind w:firstLine="630" w:firstLineChars="3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6"/>
          <w:sz w:val="21"/>
          <w:szCs w:val="21"/>
        </w:rPr>
        <w:object>
          <v:shape id="_x0000_i1028" o:spt="75" type="#_x0000_t75" style="height:14.2pt;width:11.25pt;" o:ole="t" filled="f" o:preferrelative="t" stroked="f" coordsize="21600,21600">
            <v:path/>
            <v:fill on="f" focussize="0,0"/>
            <v:stroke on="f" joinstyle="miter"/>
            <v:imagedata r:id="rId25" o:title=""/>
            <o:lock v:ext="edit" aspectratio="t"/>
            <w10:wrap type="none"/>
            <w10:anchorlock/>
          </v:shape>
          <o:OLEObject Type="Embed" ProgID="Equation.3" ShapeID="_x0000_i1028" DrawAspect="Content" ObjectID="_1468075728" r:id="rId24">
            <o:LockedField>false</o:LockedField>
          </o:OLEObject>
        </w:object>
      </w:r>
      <w:r>
        <w:rPr>
          <w:rFonts w:hint="eastAsia" w:asciiTheme="minorEastAsia" w:hAnsiTheme="minorEastAsia" w:eastAsiaTheme="minorEastAsia" w:cstheme="minorEastAsia"/>
          <w:color w:val="auto"/>
          <w:sz w:val="21"/>
          <w:szCs w:val="21"/>
        </w:rPr>
        <w:t>——签约合同价；</w:t>
      </w:r>
    </w:p>
    <w:p w14:paraId="47649722">
      <w:pPr>
        <w:ind w:firstLine="630" w:firstLineChars="3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6"/>
          <w:sz w:val="21"/>
          <w:szCs w:val="21"/>
        </w:rPr>
        <w:object>
          <v:shape id="_x0000_i1029" o:spt="75" type="#_x0000_t75" style="height:14.2pt;width:12pt;" o:ole="t" filled="f" o:preferrelative="t" stroked="f" coordsize="21600,21600">
            <v:path/>
            <v:fill on="f" focussize="0,0"/>
            <v:stroke on="f" joinstyle="miter"/>
            <v:imagedata r:id="rId27" o:title=""/>
            <o:lock v:ext="edit" aspectratio="t"/>
            <w10:wrap type="none"/>
            <w10:anchorlock/>
          </v:shape>
          <o:OLEObject Type="Embed" ProgID="Equation.3" ShapeID="_x0000_i1029" DrawAspect="Content" ObjectID="_1468075729" r:id="rId26">
            <o:LockedField>false</o:LockedField>
          </o:OLEObject>
        </w:object>
      </w:r>
      <w:r>
        <w:rPr>
          <w:rFonts w:hint="eastAsia" w:asciiTheme="minorEastAsia" w:hAnsiTheme="minorEastAsia" w:eastAsiaTheme="minorEastAsia" w:cstheme="minorEastAsia"/>
          <w:color w:val="auto"/>
          <w:sz w:val="21"/>
          <w:szCs w:val="21"/>
        </w:rPr>
        <w:t>——合同累计完成金额；</w:t>
      </w:r>
    </w:p>
    <w:p w14:paraId="42C0346B">
      <w:pPr>
        <w:ind w:firstLine="630" w:firstLineChars="3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10"/>
          <w:sz w:val="21"/>
          <w:szCs w:val="21"/>
        </w:rPr>
        <w:object>
          <v:shape id="_x0000_i1030" o:spt="75" type="#_x0000_t75" style="height:17.25pt;width:14.25pt;" o:ole="t" filled="f" o:preferrelative="t" stroked="f" coordsize="21600,21600">
            <v:path/>
            <v:fill on="f" focussize="0,0"/>
            <v:stroke on="f" joinstyle="miter"/>
            <v:imagedata r:id="rId29" o:title=""/>
            <o:lock v:ext="edit" aspectratio="t"/>
            <w10:wrap type="none"/>
            <w10:anchorlock/>
          </v:shape>
          <o:OLEObject Type="Embed" ProgID="Equation.3" ShapeID="_x0000_i1030" DrawAspect="Content" ObjectID="_1468075730" r:id="rId28">
            <o:LockedField>false</o:LockedField>
          </o:OLEObject>
        </w:object>
      </w:r>
      <w:r>
        <w:rPr>
          <w:rFonts w:hint="eastAsia" w:asciiTheme="minorEastAsia" w:hAnsiTheme="minorEastAsia" w:eastAsiaTheme="minorEastAsia" w:cstheme="minorEastAsia"/>
          <w:color w:val="auto"/>
          <w:sz w:val="21"/>
          <w:szCs w:val="21"/>
        </w:rPr>
        <w:t>——全部扣款时合同累计完成金额达到签约合同价的比例。</w:t>
      </w:r>
    </w:p>
    <w:p w14:paraId="1B1EF9DA">
      <w:pPr>
        <w:ind w:firstLine="630" w:firstLineChars="3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10"/>
          <w:sz w:val="21"/>
          <w:szCs w:val="21"/>
        </w:rPr>
        <w:object>
          <v:shape id="_x0000_i1031" o:spt="75" type="#_x0000_t75" style="height:17.25pt;width:12.75pt;" o:ole="t" filled="f" o:preferrelative="t" stroked="f" coordsize="21600,21600">
            <v:path/>
            <v:fill on="f" focussize="0,0"/>
            <v:stroke on="f" joinstyle="miter"/>
            <v:imagedata r:id="rId31" o:title=""/>
            <o:lock v:ext="edit" aspectratio="t"/>
            <w10:wrap type="none"/>
            <w10:anchorlock/>
          </v:shape>
          <o:OLEObject Type="Embed" ProgID="Equation.3" ShapeID="_x0000_i1031" DrawAspect="Content" ObjectID="_1468075731" r:id="rId30">
            <o:LockedField>false</o:LockedField>
          </o:OLEObject>
        </w:object>
      </w:r>
      <w:r>
        <w:rPr>
          <w:rFonts w:hint="eastAsia" w:asciiTheme="minorEastAsia" w:hAnsiTheme="minorEastAsia" w:eastAsiaTheme="minorEastAsia" w:cstheme="minorEastAsia"/>
          <w:color w:val="auto"/>
          <w:sz w:val="21"/>
          <w:szCs w:val="21"/>
        </w:rPr>
        <w:t>——开始扣款时合同累计完成金额达到签约合同价的比例。</w:t>
      </w:r>
    </w:p>
    <w:p w14:paraId="3C8DFAA2">
      <w:pPr>
        <w:pStyle w:val="8"/>
        <w:ind w:firstLine="420" w:firstLineChars="200"/>
        <w:jc w:val="left"/>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z w:val="21"/>
          <w:szCs w:val="21"/>
        </w:rPr>
        <w:t>上述合同累计完成金额均指价格调整前未扣质量保证金的金额。</w:t>
      </w:r>
    </w:p>
    <w:p w14:paraId="6A49263C">
      <w:pPr>
        <w:autoSpaceDE w:val="0"/>
        <w:autoSpaceDN w:val="0"/>
        <w:adjustRightInd w:val="0"/>
        <w:jc w:val="left"/>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b/>
          <w:color w:val="auto"/>
          <w:kern w:val="0"/>
          <w:sz w:val="21"/>
          <w:szCs w:val="21"/>
        </w:rPr>
        <w:t>17.3 工程进度款</w:t>
      </w:r>
    </w:p>
    <w:p w14:paraId="74780767">
      <w:pPr>
        <w:autoSpaceDE w:val="0"/>
        <w:autoSpaceDN w:val="0"/>
        <w:adjustRightInd w:val="0"/>
        <w:jc w:val="left"/>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b/>
          <w:color w:val="auto"/>
          <w:kern w:val="0"/>
          <w:sz w:val="21"/>
          <w:szCs w:val="21"/>
        </w:rPr>
        <w:t>17.3.2进度付款申请单</w:t>
      </w:r>
    </w:p>
    <w:p w14:paraId="3C9241DD">
      <w:pPr>
        <w:pStyle w:val="8"/>
        <w:rPr>
          <w:rFonts w:hint="eastAsia" w:asciiTheme="minorEastAsia" w:hAnsiTheme="minorEastAsia" w:eastAsiaTheme="minorEastAsia" w:cstheme="minorEastAsia"/>
          <w:color w:val="auto"/>
          <w:spacing w:val="-2"/>
          <w:sz w:val="21"/>
          <w:szCs w:val="21"/>
          <w:highlight w:val="none"/>
        </w:rPr>
      </w:pPr>
      <w:r>
        <w:rPr>
          <w:rFonts w:hint="eastAsia" w:asciiTheme="minorEastAsia" w:hAnsiTheme="minorEastAsia" w:eastAsiaTheme="minorEastAsia" w:cstheme="minorEastAsia"/>
          <w:color w:val="auto"/>
          <w:spacing w:val="-2"/>
          <w:sz w:val="21"/>
          <w:szCs w:val="21"/>
          <w:highlight w:val="none"/>
        </w:rPr>
        <w:t>17.3.3进度付款和支付时间</w:t>
      </w:r>
    </w:p>
    <w:p w14:paraId="2115FE07">
      <w:pPr>
        <w:rPr>
          <w:rFonts w:hint="eastAsia" w:asciiTheme="minorEastAsia" w:hAnsiTheme="minorEastAsia" w:eastAsiaTheme="minorEastAsia" w:cstheme="minorEastAsia"/>
          <w:b/>
          <w:color w:val="auto"/>
          <w:kern w:val="0"/>
          <w:sz w:val="21"/>
          <w:szCs w:val="21"/>
        </w:rPr>
      </w:pPr>
      <w:bookmarkStart w:id="1609" w:name="_Toc21396"/>
      <w:bookmarkStart w:id="1610" w:name="_Toc244121945"/>
      <w:bookmarkStart w:id="1611" w:name="_Toc209499057"/>
      <w:bookmarkStart w:id="1612" w:name="_Toc491246907"/>
    </w:p>
    <w:p w14:paraId="2EDA84B1">
      <w:pPr>
        <w:rPr>
          <w:rFonts w:hint="default" w:asciiTheme="minorEastAsia" w:hAnsiTheme="minorEastAsia" w:eastAsiaTheme="minorEastAsia" w:cstheme="minorEastAsia"/>
          <w:b/>
          <w:color w:val="auto"/>
          <w:kern w:val="0"/>
          <w:sz w:val="21"/>
          <w:szCs w:val="21"/>
          <w:u w:val="single"/>
          <w:lang w:val="en-US" w:eastAsia="zh-CN"/>
        </w:rPr>
      </w:pPr>
      <w:r>
        <w:rPr>
          <w:rFonts w:hint="eastAsia" w:asciiTheme="minorEastAsia" w:hAnsiTheme="minorEastAsia" w:eastAsiaTheme="minorEastAsia" w:cstheme="minorEastAsia"/>
          <w:b/>
          <w:color w:val="auto"/>
          <w:kern w:val="0"/>
          <w:sz w:val="21"/>
          <w:szCs w:val="21"/>
          <w:u w:val="single"/>
          <w:lang w:val="en-US" w:eastAsia="zh-CN"/>
        </w:rPr>
        <w:t xml:space="preserve">                                                           </w:t>
      </w:r>
    </w:p>
    <w:p w14:paraId="5592B2B3">
      <w:pPr>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b/>
          <w:color w:val="auto"/>
          <w:kern w:val="0"/>
          <w:sz w:val="21"/>
          <w:szCs w:val="21"/>
        </w:rPr>
        <w:t>17.4 质量保证金</w:t>
      </w:r>
      <w:bookmarkEnd w:id="1609"/>
      <w:bookmarkEnd w:id="1610"/>
      <w:bookmarkEnd w:id="1611"/>
      <w:bookmarkEnd w:id="1612"/>
    </w:p>
    <w:p w14:paraId="3EFAA6F8">
      <w:pPr>
        <w:autoSpaceDE w:val="0"/>
        <w:autoSpaceDN w:val="0"/>
        <w:adjustRightInd w:val="0"/>
        <w:ind w:firstLine="525" w:firstLineChars="250"/>
        <w:jc w:val="left"/>
        <w:rPr>
          <w:rFonts w:hint="eastAsia" w:asciiTheme="minorEastAsia" w:hAnsiTheme="minorEastAsia" w:eastAsiaTheme="minorEastAsia" w:cstheme="minorEastAsia"/>
          <w:color w:val="auto"/>
          <w:kern w:val="0"/>
          <w:sz w:val="21"/>
          <w:szCs w:val="21"/>
        </w:rPr>
      </w:pPr>
      <w:bookmarkStart w:id="1613" w:name="_Toc7617"/>
      <w:r>
        <w:rPr>
          <w:rFonts w:hint="eastAsia" w:asciiTheme="minorEastAsia" w:hAnsiTheme="minorEastAsia" w:eastAsiaTheme="minorEastAsia" w:cstheme="minorEastAsia"/>
          <w:color w:val="auto"/>
          <w:kern w:val="0"/>
          <w:sz w:val="21"/>
          <w:szCs w:val="21"/>
        </w:rPr>
        <w:t>17.4.1 按</w:t>
      </w:r>
      <w:r>
        <w:rPr>
          <w:rFonts w:hint="eastAsia" w:asciiTheme="minorEastAsia" w:hAnsiTheme="minorEastAsia" w:eastAsiaTheme="minorEastAsia" w:cstheme="minorEastAsia"/>
          <w:color w:val="auto"/>
          <w:spacing w:val="-2"/>
          <w:kern w:val="0"/>
          <w:sz w:val="21"/>
          <w:szCs w:val="21"/>
        </w:rPr>
        <w:t>17.3.3款执行。</w:t>
      </w:r>
      <w:bookmarkEnd w:id="1613"/>
    </w:p>
    <w:p w14:paraId="6F44AAE9">
      <w:pPr>
        <w:rPr>
          <w:rFonts w:hint="eastAsia" w:asciiTheme="minorEastAsia" w:hAnsiTheme="minorEastAsia" w:eastAsiaTheme="minorEastAsia" w:cstheme="minorEastAsia"/>
          <w:b/>
          <w:color w:val="auto"/>
          <w:kern w:val="0"/>
          <w:sz w:val="21"/>
          <w:szCs w:val="21"/>
        </w:rPr>
      </w:pPr>
      <w:bookmarkStart w:id="1614" w:name="_Toc491246908"/>
      <w:bookmarkStart w:id="1615" w:name="_Toc201058968"/>
      <w:bookmarkStart w:id="1616" w:name="_Toc209499058"/>
      <w:r>
        <w:rPr>
          <w:rFonts w:hint="eastAsia" w:asciiTheme="minorEastAsia" w:hAnsiTheme="minorEastAsia" w:eastAsiaTheme="minorEastAsia" w:cstheme="minorEastAsia"/>
          <w:b/>
          <w:color w:val="auto"/>
          <w:kern w:val="0"/>
          <w:sz w:val="21"/>
          <w:szCs w:val="21"/>
        </w:rPr>
        <w:t>17.5 竣工（完工）结算</w:t>
      </w:r>
    </w:p>
    <w:p w14:paraId="114E3089">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 xml:space="preserve"> </w:t>
      </w:r>
      <w:bookmarkStart w:id="1617" w:name="_Toc276725167"/>
      <w:r>
        <w:rPr>
          <w:rFonts w:hint="eastAsia" w:asciiTheme="minorEastAsia" w:hAnsiTheme="minorEastAsia" w:eastAsiaTheme="minorEastAsia" w:cstheme="minorEastAsia"/>
          <w:color w:val="auto"/>
          <w:kern w:val="0"/>
          <w:sz w:val="21"/>
          <w:szCs w:val="21"/>
        </w:rPr>
        <w:t>17.5.1竣工（完工）付款申请单</w:t>
      </w:r>
      <w:bookmarkEnd w:id="1617"/>
    </w:p>
    <w:p w14:paraId="36399BCE">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（1）承包人应提交完工付款申请单一式</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u w:val="single"/>
          <w:lang w:val="en-US" w:eastAsia="zh-CN"/>
        </w:rPr>
        <w:t>肆</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份。</w:t>
      </w:r>
    </w:p>
    <w:p w14:paraId="1A864147">
      <w:pPr>
        <w:rPr>
          <w:rFonts w:hint="eastAsia" w:asciiTheme="minorEastAsia" w:hAnsiTheme="minorEastAsia" w:eastAsiaTheme="minorEastAsia" w:cstheme="minorEastAsia"/>
          <w:b/>
          <w:color w:val="auto"/>
          <w:sz w:val="21"/>
          <w:szCs w:val="21"/>
        </w:rPr>
      </w:pPr>
      <w:bookmarkStart w:id="1618" w:name="_Toc264881716"/>
      <w:bookmarkStart w:id="1619" w:name="_Toc25130"/>
      <w:r>
        <w:rPr>
          <w:rFonts w:hint="eastAsia" w:asciiTheme="minorEastAsia" w:hAnsiTheme="minorEastAsia" w:eastAsiaTheme="minorEastAsia" w:cstheme="minorEastAsia"/>
          <w:b/>
          <w:color w:val="auto"/>
          <w:sz w:val="21"/>
          <w:szCs w:val="21"/>
        </w:rPr>
        <w:t>18 竣工验收</w:t>
      </w:r>
      <w:bookmarkEnd w:id="1618"/>
      <w:bookmarkEnd w:id="1619"/>
    </w:p>
    <w:p w14:paraId="7FC85B7E">
      <w:pPr>
        <w:autoSpaceDE w:val="0"/>
        <w:autoSpaceDN w:val="0"/>
        <w:adjustRightInd w:val="0"/>
        <w:ind w:firstLine="422"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b/>
          <w:color w:val="auto"/>
          <w:kern w:val="0"/>
          <w:sz w:val="21"/>
          <w:szCs w:val="21"/>
        </w:rPr>
        <w:t>18．2．2</w:t>
      </w:r>
      <w:r>
        <w:rPr>
          <w:rFonts w:hint="eastAsia" w:asciiTheme="minorEastAsia" w:hAnsiTheme="minorEastAsia" w:eastAsiaTheme="minorEastAsia" w:cstheme="minorEastAsia"/>
          <w:color w:val="auto"/>
          <w:kern w:val="0"/>
          <w:sz w:val="21"/>
          <w:szCs w:val="21"/>
        </w:rPr>
        <w:t>本条修改为：</w:t>
      </w:r>
      <w:r>
        <w:rPr>
          <w:rFonts w:hint="eastAsia" w:asciiTheme="minorEastAsia" w:hAnsiTheme="minorEastAsia" w:eastAsiaTheme="minorEastAsia" w:cstheme="minorEastAsia"/>
          <w:color w:val="auto"/>
          <w:kern w:val="0"/>
          <w:sz w:val="21"/>
          <w:szCs w:val="21"/>
          <w:u w:val="single"/>
        </w:rPr>
        <w:t>发包人主持分部工程验收。</w:t>
      </w:r>
    </w:p>
    <w:bookmarkEnd w:id="1614"/>
    <w:bookmarkEnd w:id="1615"/>
    <w:bookmarkEnd w:id="1616"/>
    <w:p w14:paraId="40E33473">
      <w:pPr>
        <w:rPr>
          <w:rFonts w:hint="eastAsia" w:asciiTheme="minorEastAsia" w:hAnsiTheme="minorEastAsia" w:eastAsiaTheme="minorEastAsia" w:cstheme="minorEastAsia"/>
          <w:b/>
          <w:color w:val="auto"/>
          <w:sz w:val="21"/>
          <w:szCs w:val="21"/>
        </w:rPr>
      </w:pPr>
      <w:bookmarkStart w:id="1620" w:name="_Toc244121947"/>
      <w:bookmarkStart w:id="1621" w:name="_Toc265955067"/>
      <w:bookmarkStart w:id="1622" w:name="_Toc265954768"/>
      <w:bookmarkStart w:id="1623" w:name="_Toc30437"/>
      <w:bookmarkStart w:id="1624" w:name="_Toc265654012"/>
      <w:r>
        <w:rPr>
          <w:rFonts w:hint="eastAsia" w:asciiTheme="minorEastAsia" w:hAnsiTheme="minorEastAsia" w:eastAsiaTheme="minorEastAsia" w:cstheme="minorEastAsia"/>
          <w:b/>
          <w:color w:val="auto"/>
          <w:sz w:val="21"/>
          <w:szCs w:val="21"/>
        </w:rPr>
        <w:t>19. 缺陷责任与保修责任</w:t>
      </w:r>
      <w:bookmarkEnd w:id="1620"/>
      <w:bookmarkEnd w:id="1621"/>
      <w:bookmarkEnd w:id="1622"/>
      <w:bookmarkEnd w:id="1623"/>
      <w:bookmarkEnd w:id="1624"/>
    </w:p>
    <w:p w14:paraId="409227AD">
      <w:pPr>
        <w:rPr>
          <w:rFonts w:hint="eastAsia" w:asciiTheme="minorEastAsia" w:hAnsiTheme="minorEastAsia" w:eastAsiaTheme="minorEastAsia" w:cstheme="minorEastAsia"/>
          <w:b/>
          <w:color w:val="auto"/>
          <w:kern w:val="0"/>
          <w:sz w:val="21"/>
          <w:szCs w:val="21"/>
        </w:rPr>
      </w:pPr>
      <w:bookmarkStart w:id="1625" w:name="_Toc244121948"/>
      <w:bookmarkStart w:id="1626" w:name="_Toc209499059"/>
      <w:bookmarkStart w:id="1627" w:name="_Toc491246909"/>
      <w:bookmarkStart w:id="1628" w:name="_Toc19759"/>
      <w:r>
        <w:rPr>
          <w:rFonts w:hint="eastAsia" w:asciiTheme="minorEastAsia" w:hAnsiTheme="minorEastAsia" w:eastAsiaTheme="minorEastAsia" w:cstheme="minorEastAsia"/>
          <w:b/>
          <w:color w:val="auto"/>
          <w:kern w:val="0"/>
          <w:sz w:val="21"/>
          <w:szCs w:val="21"/>
        </w:rPr>
        <w:t>19.1 缺陷责任期（工程质量保修期）</w:t>
      </w:r>
      <w:bookmarkEnd w:id="1625"/>
      <w:bookmarkEnd w:id="1626"/>
      <w:bookmarkEnd w:id="1627"/>
      <w:r>
        <w:rPr>
          <w:rFonts w:hint="eastAsia" w:asciiTheme="minorEastAsia" w:hAnsiTheme="minorEastAsia" w:eastAsiaTheme="minorEastAsia" w:cstheme="minorEastAsia"/>
          <w:b/>
          <w:color w:val="auto"/>
          <w:kern w:val="0"/>
          <w:sz w:val="21"/>
          <w:szCs w:val="21"/>
        </w:rPr>
        <w:t>的起算时间</w:t>
      </w:r>
      <w:bookmarkEnd w:id="1628"/>
    </w:p>
    <w:p w14:paraId="6927368D">
      <w:pPr>
        <w:autoSpaceDE w:val="0"/>
        <w:autoSpaceDN w:val="0"/>
        <w:adjustRightInd w:val="0"/>
        <w:ind w:firstLine="42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本工程</w:t>
      </w:r>
      <w:bookmarkStart w:id="1629" w:name="_Toc491246910"/>
      <w:bookmarkStart w:id="1630" w:name="_Toc209499060"/>
      <w:r>
        <w:rPr>
          <w:rFonts w:hint="eastAsia" w:asciiTheme="minorEastAsia" w:hAnsiTheme="minorEastAsia" w:eastAsiaTheme="minorEastAsia" w:cstheme="minorEastAsia"/>
          <w:color w:val="auto"/>
          <w:kern w:val="0"/>
          <w:sz w:val="21"/>
          <w:szCs w:val="21"/>
          <w:u w:val="single"/>
        </w:rPr>
        <w:t>缺陷责任期（工程质量保修期）的起算时间：自单位工程竣工验收合格移交之日起算。本工程保修期为</w:t>
      </w:r>
      <w:r>
        <w:rPr>
          <w:rFonts w:hint="eastAsia" w:asciiTheme="minorEastAsia" w:hAnsiTheme="minorEastAsia" w:eastAsiaTheme="minorEastAsia" w:cstheme="minorEastAsia"/>
          <w:color w:val="auto"/>
          <w:kern w:val="0"/>
          <w:sz w:val="21"/>
          <w:szCs w:val="21"/>
          <w:u w:val="single"/>
          <w:lang w:val="en-US" w:eastAsia="zh-CN"/>
        </w:rPr>
        <w:t>1</w:t>
      </w:r>
      <w:r>
        <w:rPr>
          <w:rFonts w:hint="eastAsia" w:asciiTheme="minorEastAsia" w:hAnsiTheme="minorEastAsia" w:eastAsiaTheme="minorEastAsia" w:cstheme="minorEastAsia"/>
          <w:color w:val="auto"/>
          <w:kern w:val="0"/>
          <w:sz w:val="21"/>
          <w:szCs w:val="21"/>
          <w:u w:val="single"/>
        </w:rPr>
        <w:t>年。</w:t>
      </w:r>
    </w:p>
    <w:p w14:paraId="35B55979">
      <w:pPr>
        <w:rPr>
          <w:rFonts w:hint="eastAsia" w:asciiTheme="minorEastAsia" w:hAnsiTheme="minorEastAsia" w:eastAsiaTheme="minorEastAsia" w:cstheme="minorEastAsia"/>
          <w:b/>
          <w:color w:val="auto"/>
          <w:sz w:val="21"/>
          <w:szCs w:val="21"/>
        </w:rPr>
      </w:pPr>
      <w:bookmarkStart w:id="1631" w:name="_Toc265955068"/>
      <w:bookmarkStart w:id="1632" w:name="_Toc265654013"/>
      <w:bookmarkStart w:id="1633" w:name="_Toc265954769"/>
      <w:bookmarkStart w:id="1634" w:name="_Toc19218"/>
      <w:r>
        <w:rPr>
          <w:rFonts w:hint="eastAsia" w:asciiTheme="minorEastAsia" w:hAnsiTheme="minorEastAsia" w:eastAsiaTheme="minorEastAsia" w:cstheme="minorEastAsia"/>
          <w:b/>
          <w:color w:val="auto"/>
          <w:sz w:val="21"/>
          <w:szCs w:val="21"/>
        </w:rPr>
        <w:t>20 保险</w:t>
      </w:r>
      <w:bookmarkEnd w:id="1631"/>
      <w:bookmarkEnd w:id="1632"/>
      <w:bookmarkEnd w:id="1633"/>
      <w:bookmarkEnd w:id="1634"/>
    </w:p>
    <w:p w14:paraId="6AB6CFD1">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各方按相关规定购买，费用自理。</w:t>
      </w:r>
    </w:p>
    <w:p w14:paraId="1A6F6360">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需要投保的其它内容：</w:t>
      </w:r>
      <w:r>
        <w:rPr>
          <w:rFonts w:hint="eastAsia" w:asciiTheme="minorEastAsia" w:hAnsiTheme="minorEastAsia" w:eastAsiaTheme="minorEastAsia" w:cstheme="minorEastAsia"/>
          <w:color w:val="auto"/>
          <w:kern w:val="0"/>
          <w:sz w:val="21"/>
          <w:szCs w:val="21"/>
          <w:u w:val="single"/>
        </w:rPr>
        <w:t>无</w:t>
      </w:r>
      <w:r>
        <w:rPr>
          <w:rFonts w:hint="eastAsia" w:asciiTheme="minorEastAsia" w:hAnsiTheme="minorEastAsia" w:eastAsiaTheme="minorEastAsia" w:cstheme="minorEastAsia"/>
          <w:color w:val="auto"/>
          <w:kern w:val="0"/>
          <w:sz w:val="21"/>
          <w:szCs w:val="21"/>
        </w:rPr>
        <w:t>；</w:t>
      </w:r>
    </w:p>
    <w:p w14:paraId="4ECF3BF3">
      <w:pPr>
        <w:rPr>
          <w:rFonts w:hint="eastAsia" w:asciiTheme="minorEastAsia" w:hAnsiTheme="minorEastAsia" w:eastAsiaTheme="minorEastAsia" w:cstheme="minorEastAsia"/>
          <w:b/>
          <w:color w:val="auto"/>
          <w:sz w:val="21"/>
          <w:szCs w:val="21"/>
        </w:rPr>
      </w:pPr>
      <w:bookmarkStart w:id="1635" w:name="_Toc229450944"/>
      <w:bookmarkStart w:id="1636" w:name="_Toc21651"/>
      <w:bookmarkStart w:id="1637" w:name="_Toc265654014"/>
      <w:bookmarkStart w:id="1638" w:name="_Toc223245882"/>
      <w:bookmarkStart w:id="1639" w:name="_Toc265954770"/>
      <w:bookmarkStart w:id="1640" w:name="_Toc265955069"/>
      <w:r>
        <w:rPr>
          <w:rFonts w:hint="eastAsia" w:asciiTheme="minorEastAsia" w:hAnsiTheme="minorEastAsia" w:eastAsiaTheme="minorEastAsia" w:cstheme="minorEastAsia"/>
          <w:b/>
          <w:color w:val="auto"/>
          <w:sz w:val="21"/>
          <w:szCs w:val="21"/>
        </w:rPr>
        <w:t>22 违约</w:t>
      </w:r>
      <w:bookmarkEnd w:id="1635"/>
      <w:bookmarkEnd w:id="1636"/>
      <w:bookmarkEnd w:id="1637"/>
      <w:bookmarkEnd w:id="1638"/>
      <w:bookmarkEnd w:id="1639"/>
      <w:bookmarkEnd w:id="1640"/>
    </w:p>
    <w:p w14:paraId="2DBB8DC2">
      <w:pPr>
        <w:rPr>
          <w:rFonts w:hint="eastAsia" w:asciiTheme="minorEastAsia" w:hAnsiTheme="minorEastAsia" w:eastAsiaTheme="minorEastAsia" w:cstheme="minorEastAsia"/>
          <w:b/>
          <w:color w:val="auto"/>
          <w:kern w:val="0"/>
          <w:sz w:val="21"/>
          <w:szCs w:val="21"/>
        </w:rPr>
      </w:pPr>
      <w:bookmarkStart w:id="1641" w:name="_Toc223245883"/>
      <w:bookmarkStart w:id="1642" w:name="_Toc24136"/>
      <w:bookmarkStart w:id="1643" w:name="_Toc229450945"/>
      <w:r>
        <w:rPr>
          <w:rFonts w:hint="eastAsia" w:asciiTheme="minorEastAsia" w:hAnsiTheme="minorEastAsia" w:eastAsiaTheme="minorEastAsia" w:cstheme="minorEastAsia"/>
          <w:b/>
          <w:color w:val="auto"/>
          <w:kern w:val="0"/>
          <w:sz w:val="21"/>
          <w:szCs w:val="21"/>
        </w:rPr>
        <w:t>22.1 承包人违约</w:t>
      </w:r>
      <w:bookmarkEnd w:id="1641"/>
      <w:bookmarkEnd w:id="1642"/>
      <w:bookmarkEnd w:id="1643"/>
    </w:p>
    <w:p w14:paraId="6D2C38B0">
      <w:pPr>
        <w:autoSpaceDE w:val="0"/>
        <w:autoSpaceDN w:val="0"/>
        <w:adjustRightInd w:val="0"/>
        <w:ind w:firstLine="42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本款增加以下内容：</w:t>
      </w:r>
    </w:p>
    <w:p w14:paraId="04511B12">
      <w:pPr>
        <w:autoSpaceDE w:val="0"/>
        <w:autoSpaceDN w:val="0"/>
        <w:adjustRightInd w:val="0"/>
        <w:ind w:firstLine="42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u w:val="single"/>
        </w:rPr>
        <w:t>（8）承包人在接到开工通知后14天内，如未能按投标文件及合同条款中承诺的人员、施工设备按时、如数进入工地，致使本标段工程的进度、质量造成严重影响。</w:t>
      </w:r>
    </w:p>
    <w:bookmarkEnd w:id="1629"/>
    <w:bookmarkEnd w:id="1630"/>
    <w:p w14:paraId="1E01BEFF">
      <w:pPr>
        <w:rPr>
          <w:rFonts w:hint="eastAsia" w:asciiTheme="minorEastAsia" w:hAnsiTheme="minorEastAsia" w:eastAsiaTheme="minorEastAsia" w:cstheme="minorEastAsia"/>
          <w:color w:val="auto"/>
          <w:sz w:val="21"/>
          <w:szCs w:val="21"/>
          <w:u w:val="single"/>
        </w:rPr>
      </w:pPr>
      <w:bookmarkStart w:id="1644" w:name="_Toc491246911"/>
      <w:bookmarkStart w:id="1645" w:name="_Toc32626"/>
      <w:bookmarkStart w:id="1646" w:name="_Toc244121951"/>
      <w:bookmarkStart w:id="1647" w:name="_Toc209499061"/>
      <w:bookmarkStart w:id="1648" w:name="_Toc265654015"/>
      <w:bookmarkStart w:id="1649" w:name="_Toc265955070"/>
      <w:bookmarkStart w:id="1650" w:name="_Toc265954771"/>
      <w:r>
        <w:rPr>
          <w:rFonts w:hint="eastAsia" w:asciiTheme="minorEastAsia" w:hAnsiTheme="minorEastAsia" w:eastAsiaTheme="minorEastAsia" w:cstheme="minorEastAsia"/>
          <w:color w:val="auto"/>
          <w:sz w:val="21"/>
          <w:szCs w:val="21"/>
          <w:u w:val="single"/>
        </w:rPr>
        <w:t>24 争议的解决</w:t>
      </w:r>
      <w:bookmarkEnd w:id="1644"/>
      <w:bookmarkEnd w:id="1645"/>
      <w:bookmarkEnd w:id="1646"/>
      <w:bookmarkEnd w:id="1647"/>
      <w:bookmarkEnd w:id="1648"/>
      <w:bookmarkEnd w:id="1649"/>
      <w:bookmarkEnd w:id="1650"/>
    </w:p>
    <w:p w14:paraId="66DC9E8C">
      <w:pPr>
        <w:rPr>
          <w:rFonts w:hint="eastAsia" w:asciiTheme="minorEastAsia" w:hAnsiTheme="minorEastAsia" w:eastAsiaTheme="minorEastAsia" w:cstheme="minorEastAsia"/>
          <w:b/>
          <w:color w:val="auto"/>
          <w:kern w:val="0"/>
          <w:sz w:val="21"/>
          <w:szCs w:val="21"/>
        </w:rPr>
      </w:pPr>
      <w:bookmarkStart w:id="1651" w:name="_Toc209499062"/>
      <w:bookmarkStart w:id="1652" w:name="_Toc491246912"/>
      <w:r>
        <w:rPr>
          <w:rFonts w:hint="eastAsia" w:asciiTheme="minorEastAsia" w:hAnsiTheme="minorEastAsia" w:eastAsiaTheme="minorEastAsia" w:cstheme="minorEastAsia"/>
          <w:b/>
          <w:color w:val="auto"/>
          <w:kern w:val="0"/>
          <w:sz w:val="21"/>
          <w:szCs w:val="21"/>
        </w:rPr>
        <w:t>24.1 争议的解决方式</w:t>
      </w:r>
    </w:p>
    <w:p w14:paraId="503CBB7E">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sectPr>
          <w:pgSz w:w="11906" w:h="16838"/>
          <w:pgMar w:top="851" w:right="1134" w:bottom="851" w:left="1134" w:header="851" w:footer="992" w:gutter="397"/>
          <w:pgNumType w:fmt="decimal"/>
          <w:cols w:space="720" w:num="1"/>
          <w:docGrid w:type="lines" w:linePitch="315" w:charSpace="0"/>
        </w:sectPr>
      </w:pPr>
      <w:r>
        <w:rPr>
          <w:rFonts w:hint="eastAsia" w:asciiTheme="minorEastAsia" w:hAnsiTheme="minorEastAsia" w:eastAsiaTheme="minorEastAsia" w:cstheme="minorEastAsia"/>
          <w:color w:val="auto"/>
          <w:sz w:val="21"/>
          <w:szCs w:val="21"/>
        </w:rPr>
        <w:t>本合同发生争议，由当事人双方协商解决；也可由工程项目主管部门调解；协商或调解不成时，当事人双方同意由仲裁委员会仲裁，</w:t>
      </w:r>
      <w:r>
        <w:rPr>
          <w:rFonts w:hint="eastAsia" w:asciiTheme="minorEastAsia" w:hAnsiTheme="minorEastAsia" w:eastAsiaTheme="minorEastAsia" w:cstheme="minorEastAsia"/>
          <w:color w:val="auto"/>
          <w:kern w:val="0"/>
          <w:sz w:val="21"/>
          <w:szCs w:val="21"/>
        </w:rPr>
        <w:t>提交工程所在地的仲裁委员会，依照仲裁规则裁决。</w:t>
      </w:r>
    </w:p>
    <w:p w14:paraId="5C7EECD8">
      <w:pPr>
        <w:autoSpaceDE w:val="0"/>
        <w:autoSpaceDN w:val="0"/>
        <w:adjustRightInd w:val="0"/>
        <w:jc w:val="center"/>
        <w:outlineLvl w:val="1"/>
        <w:rPr>
          <w:rFonts w:hint="eastAsia" w:asciiTheme="minorEastAsia" w:hAnsiTheme="minorEastAsia" w:eastAsiaTheme="minorEastAsia" w:cstheme="minorEastAsia"/>
          <w:color w:val="auto"/>
          <w:kern w:val="0"/>
          <w:sz w:val="21"/>
          <w:szCs w:val="21"/>
        </w:rPr>
      </w:pPr>
      <w:bookmarkStart w:id="1653" w:name="_Toc14090782"/>
      <w:bookmarkStart w:id="1654" w:name="_Toc244121952"/>
      <w:bookmarkStart w:id="1655" w:name="_Toc372193367"/>
      <w:bookmarkStart w:id="1656" w:name="_Toc3654"/>
      <w:bookmarkStart w:id="1657" w:name="_Toc265654017"/>
      <w:bookmarkStart w:id="1658" w:name="_Toc265955072"/>
      <w:bookmarkStart w:id="1659" w:name="_Toc265954773"/>
      <w:r>
        <w:rPr>
          <w:rFonts w:hint="eastAsia" w:asciiTheme="minorEastAsia" w:hAnsiTheme="minorEastAsia" w:eastAsiaTheme="minorEastAsia" w:cstheme="minorEastAsia"/>
          <w:b/>
          <w:color w:val="auto"/>
          <w:kern w:val="0"/>
          <w:sz w:val="21"/>
          <w:szCs w:val="21"/>
        </w:rPr>
        <w:t>第四节 合同附件格式</w:t>
      </w:r>
      <w:bookmarkEnd w:id="1651"/>
      <w:bookmarkEnd w:id="1652"/>
      <w:bookmarkEnd w:id="1653"/>
      <w:bookmarkEnd w:id="1654"/>
      <w:bookmarkEnd w:id="1655"/>
      <w:bookmarkEnd w:id="1656"/>
      <w:bookmarkEnd w:id="1657"/>
      <w:bookmarkEnd w:id="1658"/>
      <w:bookmarkEnd w:id="1659"/>
    </w:p>
    <w:p w14:paraId="0D392141">
      <w:pPr>
        <w:autoSpaceDE w:val="0"/>
        <w:autoSpaceDN w:val="0"/>
        <w:adjustRightInd w:val="0"/>
        <w:jc w:val="left"/>
        <w:rPr>
          <w:rFonts w:hint="eastAsia" w:asciiTheme="minorEastAsia" w:hAnsiTheme="minorEastAsia" w:eastAsiaTheme="minorEastAsia" w:cstheme="minorEastAsia"/>
          <w:b/>
          <w:color w:val="auto"/>
          <w:kern w:val="0"/>
          <w:sz w:val="21"/>
          <w:szCs w:val="21"/>
        </w:rPr>
      </w:pPr>
      <w:bookmarkStart w:id="1660" w:name="_Toc244121955"/>
      <w:bookmarkStart w:id="1661" w:name="_Toc491246920"/>
      <w:bookmarkStart w:id="1662" w:name="_Toc209499065"/>
      <w:r>
        <w:rPr>
          <w:rFonts w:hint="eastAsia" w:asciiTheme="minorEastAsia" w:hAnsiTheme="minorEastAsia" w:eastAsiaTheme="minorEastAsia" w:cstheme="minorEastAsia"/>
          <w:b/>
          <w:color w:val="auto"/>
          <w:kern w:val="0"/>
          <w:sz w:val="21"/>
          <w:szCs w:val="21"/>
        </w:rPr>
        <w:t>附件</w:t>
      </w:r>
      <w:r>
        <w:rPr>
          <w:rFonts w:hint="eastAsia" w:asciiTheme="minorEastAsia" w:hAnsiTheme="minorEastAsia" w:eastAsiaTheme="minorEastAsia" w:cstheme="minorEastAsia"/>
          <w:b/>
          <w:color w:val="auto"/>
          <w:kern w:val="0"/>
          <w:sz w:val="21"/>
          <w:szCs w:val="21"/>
          <w:lang w:eastAsia="zh-CN"/>
        </w:rPr>
        <w:t>一</w:t>
      </w:r>
      <w:r>
        <w:rPr>
          <w:rFonts w:hint="eastAsia" w:asciiTheme="minorEastAsia" w:hAnsiTheme="minorEastAsia" w:eastAsiaTheme="minorEastAsia" w:cstheme="minorEastAsia"/>
          <w:b/>
          <w:color w:val="auto"/>
          <w:kern w:val="0"/>
          <w:sz w:val="21"/>
          <w:szCs w:val="21"/>
        </w:rPr>
        <w:t>：</w:t>
      </w:r>
      <w:bookmarkEnd w:id="1660"/>
      <w:bookmarkEnd w:id="1661"/>
      <w:bookmarkEnd w:id="1662"/>
    </w:p>
    <w:p w14:paraId="1E760225">
      <w:pPr>
        <w:autoSpaceDE w:val="0"/>
        <w:autoSpaceDN w:val="0"/>
        <w:adjustRightInd w:val="0"/>
        <w:jc w:val="center"/>
        <w:rPr>
          <w:rFonts w:hint="eastAsia" w:asciiTheme="minorEastAsia" w:hAnsiTheme="minorEastAsia" w:eastAsiaTheme="minorEastAsia" w:cstheme="minorEastAsia"/>
          <w:b/>
          <w:color w:val="auto"/>
          <w:kern w:val="0"/>
          <w:sz w:val="21"/>
          <w:szCs w:val="21"/>
        </w:rPr>
      </w:pPr>
      <w:r>
        <w:rPr>
          <w:rFonts w:hint="eastAsia" w:asciiTheme="minorEastAsia" w:hAnsiTheme="minorEastAsia" w:eastAsiaTheme="minorEastAsia" w:cstheme="minorEastAsia"/>
          <w:b/>
          <w:color w:val="auto"/>
          <w:kern w:val="0"/>
          <w:sz w:val="21"/>
          <w:szCs w:val="21"/>
        </w:rPr>
        <w:t>预付款担保</w:t>
      </w:r>
    </w:p>
    <w:p w14:paraId="497C9E8D">
      <w:pPr>
        <w:autoSpaceDE w:val="0"/>
        <w:autoSpaceDN w:val="0"/>
        <w:adjustRightInd w:val="0"/>
        <w:ind w:firstLine="105" w:firstLineChars="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(发包人名称):</w:t>
      </w:r>
    </w:p>
    <w:p w14:paraId="0B6E576F">
      <w:pPr>
        <w:autoSpaceDE w:val="0"/>
        <w:autoSpaceDN w:val="0"/>
        <w:adjustRightInd w:val="0"/>
        <w:ind w:firstLine="315" w:firstLineChars="15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根据</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(承包人名称) (以下称”承包人”)与</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(发包人名称)(以下简称”发包人”)于</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年</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月</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日签订的(项目名称)施工承包合同，承包人按约定的金额向发包人提交一份预付款担保，即有权得到发包人支付相等金额的预付款。我方愿意就你方提供给承包人的预付款提供担保。</w:t>
      </w:r>
    </w:p>
    <w:p w14:paraId="38448BFB">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1. 担保金额人民币(大写)________元（￥___________)。</w:t>
      </w:r>
    </w:p>
    <w:p w14:paraId="24E1EC66">
      <w:pPr>
        <w:autoSpaceDE w:val="0"/>
        <w:autoSpaceDN w:val="0"/>
        <w:adjustRightInd w:val="0"/>
        <w:ind w:firstLine="428" w:firstLineChars="200"/>
        <w:jc w:val="left"/>
        <w:rPr>
          <w:rFonts w:hint="eastAsia" w:asciiTheme="minorEastAsia" w:hAnsiTheme="minorEastAsia" w:eastAsiaTheme="minorEastAsia" w:cstheme="minorEastAsia"/>
          <w:color w:val="auto"/>
          <w:spacing w:val="2"/>
          <w:kern w:val="0"/>
          <w:sz w:val="21"/>
          <w:szCs w:val="21"/>
        </w:rPr>
      </w:pPr>
      <w:r>
        <w:rPr>
          <w:rFonts w:hint="eastAsia" w:asciiTheme="minorEastAsia" w:hAnsiTheme="minorEastAsia" w:eastAsiaTheme="minorEastAsia" w:cstheme="minorEastAsia"/>
          <w:color w:val="auto"/>
          <w:spacing w:val="2"/>
          <w:kern w:val="0"/>
          <w:sz w:val="21"/>
          <w:szCs w:val="21"/>
        </w:rPr>
        <w:t>2. 担保有效期自预付款支付给承包人起生效，至发包人签发的进度付款证书说明已完全扣清止</w:t>
      </w:r>
      <w:r>
        <w:rPr>
          <w:rFonts w:hint="eastAsia" w:asciiTheme="minorEastAsia" w:hAnsiTheme="minorEastAsia" w:eastAsiaTheme="minorEastAsia" w:cstheme="minorEastAsia"/>
          <w:color w:val="auto"/>
          <w:kern w:val="0"/>
          <w:sz w:val="21"/>
          <w:szCs w:val="21"/>
        </w:rPr>
        <w:t>。</w:t>
      </w:r>
    </w:p>
    <w:p w14:paraId="17BF3A4F">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3. 在本保函有效期内，因承包人违反合同约定的义务而要求收回预付款时，我方在收到你方的书面通知后，在7天内无条件支付。但本保函的担保金额，在任何时候不应超过预付款金额减去发包人按合用约定在向承包人签发的进度付款证书中扣除的金额。</w:t>
      </w:r>
    </w:p>
    <w:p w14:paraId="4284B2A3">
      <w:pPr>
        <w:autoSpaceDE w:val="0"/>
        <w:autoSpaceDN w:val="0"/>
        <w:adjustRightInd w:val="0"/>
        <w:ind w:firstLine="420" w:firstLineChars="2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4. 发包人和承包人按《通用合同条款》第15条变更合同时，我方承担本保函规定的义务不变。</w:t>
      </w:r>
    </w:p>
    <w:p w14:paraId="065348E4">
      <w:pPr>
        <w:autoSpaceDE w:val="0"/>
        <w:autoSpaceDN w:val="0"/>
        <w:adjustRightInd w:val="0"/>
        <w:ind w:firstLine="3360" w:firstLineChars="16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担保人：</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(盖单位章)</w:t>
      </w:r>
    </w:p>
    <w:p w14:paraId="68BE2F9B">
      <w:pPr>
        <w:autoSpaceDE w:val="0"/>
        <w:autoSpaceDN w:val="0"/>
        <w:adjustRightInd w:val="0"/>
        <w:ind w:firstLine="3360" w:firstLineChars="160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法定代表人或其委托代理人：</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 xml:space="preserve"> (签字)</w:t>
      </w:r>
    </w:p>
    <w:p w14:paraId="2693FB51">
      <w:pPr>
        <w:autoSpaceDE w:val="0"/>
        <w:autoSpaceDN w:val="0"/>
        <w:adjustRightInd w:val="0"/>
        <w:ind w:firstLine="3360" w:firstLineChars="160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rPr>
        <w:t>地址：</w:t>
      </w:r>
      <w:r>
        <w:rPr>
          <w:rFonts w:hint="eastAsia" w:asciiTheme="minorEastAsia" w:hAnsiTheme="minorEastAsia" w:eastAsiaTheme="minorEastAsia" w:cstheme="minorEastAsia"/>
          <w:color w:val="auto"/>
          <w:kern w:val="0"/>
          <w:sz w:val="21"/>
          <w:szCs w:val="21"/>
          <w:u w:val="single"/>
        </w:rPr>
        <w:t xml:space="preserve">                                       </w:t>
      </w:r>
    </w:p>
    <w:p w14:paraId="51340B5A">
      <w:pPr>
        <w:autoSpaceDE w:val="0"/>
        <w:autoSpaceDN w:val="0"/>
        <w:adjustRightInd w:val="0"/>
        <w:ind w:firstLine="3360" w:firstLineChars="160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rPr>
        <w:t>邮政编码：</w:t>
      </w:r>
      <w:r>
        <w:rPr>
          <w:rFonts w:hint="eastAsia" w:asciiTheme="minorEastAsia" w:hAnsiTheme="minorEastAsia" w:eastAsiaTheme="minorEastAsia" w:cstheme="minorEastAsia"/>
          <w:color w:val="auto"/>
          <w:kern w:val="0"/>
          <w:sz w:val="21"/>
          <w:szCs w:val="21"/>
          <w:u w:val="single"/>
        </w:rPr>
        <w:t xml:space="preserve">                                   </w:t>
      </w:r>
    </w:p>
    <w:p w14:paraId="104F2B04">
      <w:pPr>
        <w:autoSpaceDE w:val="0"/>
        <w:autoSpaceDN w:val="0"/>
        <w:adjustRightInd w:val="0"/>
        <w:ind w:firstLine="3360" w:firstLineChars="160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rPr>
        <w:t>电话:</w:t>
      </w:r>
      <w:r>
        <w:rPr>
          <w:rFonts w:hint="eastAsia" w:asciiTheme="minorEastAsia" w:hAnsiTheme="minorEastAsia" w:eastAsiaTheme="minorEastAsia" w:cstheme="minorEastAsia"/>
          <w:color w:val="auto"/>
          <w:kern w:val="0"/>
          <w:sz w:val="21"/>
          <w:szCs w:val="21"/>
          <w:u w:val="single"/>
        </w:rPr>
        <w:t xml:space="preserve">                                        </w:t>
      </w:r>
    </w:p>
    <w:p w14:paraId="4290BF76">
      <w:pPr>
        <w:autoSpaceDE w:val="0"/>
        <w:autoSpaceDN w:val="0"/>
        <w:adjustRightInd w:val="0"/>
        <w:ind w:firstLine="3360" w:firstLineChars="1600"/>
        <w:jc w:val="left"/>
        <w:rPr>
          <w:rFonts w:hint="eastAsia" w:asciiTheme="minorEastAsia" w:hAnsiTheme="minorEastAsia" w:eastAsiaTheme="minorEastAsia" w:cstheme="minorEastAsia"/>
          <w:color w:val="auto"/>
          <w:kern w:val="0"/>
          <w:sz w:val="21"/>
          <w:szCs w:val="21"/>
          <w:u w:val="single"/>
        </w:rPr>
      </w:pPr>
      <w:r>
        <w:rPr>
          <w:rFonts w:hint="eastAsia" w:asciiTheme="minorEastAsia" w:hAnsiTheme="minorEastAsia" w:eastAsiaTheme="minorEastAsia" w:cstheme="minorEastAsia"/>
          <w:color w:val="auto"/>
          <w:kern w:val="0"/>
          <w:sz w:val="21"/>
          <w:szCs w:val="21"/>
        </w:rPr>
        <w:t>传真：</w:t>
      </w:r>
      <w:r>
        <w:rPr>
          <w:rFonts w:hint="eastAsia" w:asciiTheme="minorEastAsia" w:hAnsiTheme="minorEastAsia" w:eastAsiaTheme="minorEastAsia" w:cstheme="minorEastAsia"/>
          <w:color w:val="auto"/>
          <w:kern w:val="0"/>
          <w:sz w:val="21"/>
          <w:szCs w:val="21"/>
          <w:u w:val="single"/>
        </w:rPr>
        <w:t xml:space="preserve">                                       </w:t>
      </w:r>
    </w:p>
    <w:p w14:paraId="582B1178">
      <w:pPr>
        <w:spacing w:line="600" w:lineRule="exact"/>
        <w:ind w:right="72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年</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月</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日</w:t>
      </w:r>
    </w:p>
    <w:p w14:paraId="2E3E5D17">
      <w:pP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br w:type="page"/>
      </w:r>
    </w:p>
    <w:p w14:paraId="03D73E35">
      <w:pPr>
        <w:pStyle w:val="2"/>
        <w:jc w:val="center"/>
        <w:rPr>
          <w:rFonts w:hint="eastAsia" w:ascii="宋体" w:hAnsi="宋体" w:eastAsia="宋体" w:cs="宋体"/>
          <w:color w:val="000000" w:themeColor="text1"/>
          <w:kern w:val="0"/>
          <w:sz w:val="36"/>
          <w:szCs w:val="36"/>
          <w:highlight w:val="none"/>
          <w14:textFill>
            <w14:solidFill>
              <w14:schemeClr w14:val="tx1"/>
            </w14:solidFill>
          </w14:textFill>
        </w:rPr>
      </w:pPr>
      <w:r>
        <w:rPr>
          <w:rFonts w:hint="eastAsia" w:ascii="宋体" w:hAnsi="宋体" w:eastAsia="宋体" w:cs="宋体"/>
          <w:color w:val="000000" w:themeColor="text1"/>
          <w:kern w:val="0"/>
          <w:sz w:val="36"/>
          <w:szCs w:val="36"/>
          <w:highlight w:val="none"/>
          <w14:textFill>
            <w14:solidFill>
              <w14:schemeClr w14:val="tx1"/>
            </w14:solidFill>
          </w14:textFill>
        </w:rPr>
        <w:t>第五章 工程量清单</w:t>
      </w:r>
      <w:bookmarkStart w:id="1663" w:name="_Toc272432323"/>
      <w:bookmarkStart w:id="1664" w:name="_Toc262675618"/>
    </w:p>
    <w:p w14:paraId="0B92A733">
      <w:pPr>
        <w:rPr>
          <w:rFonts w:hint="eastAsia" w:ascii="宋体" w:hAnsi="宋体" w:eastAsia="宋体" w:cs="宋体"/>
          <w:b/>
          <w:color w:val="000000" w:themeColor="text1"/>
          <w:kern w:val="0"/>
          <w:highlight w:val="none"/>
          <w14:textFill>
            <w14:solidFill>
              <w14:schemeClr w14:val="tx1"/>
            </w14:solidFill>
          </w14:textFill>
        </w:rPr>
      </w:pPr>
      <w:bookmarkStart w:id="1665" w:name="_Toc343158274"/>
      <w:r>
        <w:rPr>
          <w:rFonts w:hint="eastAsia" w:ascii="宋体" w:hAnsi="宋体" w:eastAsia="宋体" w:cs="宋体"/>
          <w:b/>
          <w:color w:val="000000" w:themeColor="text1"/>
          <w:kern w:val="0"/>
          <w:highlight w:val="none"/>
          <w14:textFill>
            <w14:solidFill>
              <w14:schemeClr w14:val="tx1"/>
            </w14:solidFill>
          </w14:textFill>
        </w:rPr>
        <w:t>5.1 总则</w:t>
      </w:r>
      <w:bookmarkEnd w:id="1663"/>
      <w:bookmarkEnd w:id="1664"/>
      <w:bookmarkEnd w:id="1665"/>
    </w:p>
    <w:p w14:paraId="34344FD8">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5.1.1  工程量清单应与投标须知、合同条款、技术条款和图纸等招标文件一起参照阅读，但工程量及工程项目以招标书中工程量清单数据为准。</w:t>
      </w:r>
    </w:p>
    <w:p w14:paraId="4227D54B">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5.1.2  工程量清单中的工程量是用作投标报价的估算工程量，不作为最终结算的工程量，用作结算的工程量是承包人实际完成的，并按承包方实际完成的工程量，由承包方上报并经监理工程师、建设单位、设计单位三方共同确认的工程量计量及按本合同《技术条款》的有关规定执行。</w:t>
      </w:r>
    </w:p>
    <w:p w14:paraId="188FDDCC">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5.1.3  除合同另有规定外，工程量清单的单价和合价包括由承包人承担的直接费、间接费、其它费用、税金等全部费用和要求获得的利润以及应由承包人承担的义务、责任和风险所发生的一切费用。</w:t>
      </w:r>
    </w:p>
    <w:p w14:paraId="7B53F0D0">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5.1.4  符合合同规定的全部费用和利润都应包括在工程量清单所列的各项目中,合同规定应由承包人承担而在工程量清单中未详细列出的项目,其费用和利润应认为已包括在其它有关项目的单价和合价中。投标人不应在工程量清单中自行增加新的项目或修改项目名称。</w:t>
      </w:r>
    </w:p>
    <w:p w14:paraId="39F7BBAC">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5.1.5  工程量清单中的单价和合价栏均应由投标人填报。投标人还应填报投标报价汇总表，并在其结尾处填写投标总报价。报价货币为人民币。若投标人对某些项目未填报单价和合价，则应认为已包括在其它项目的单价和合价以及投标总报价内。</w:t>
      </w:r>
    </w:p>
    <w:p w14:paraId="7F4F7895">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5.1.6  工程量清单中的各项目的工作内容和要求及其计量和支付的规定详见《技术条款》有关部份。</w:t>
      </w:r>
    </w:p>
    <w:p w14:paraId="3407C953">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5.1.7  除合同另有规定外，在投标截止日前28天当时所依据的国家法律、行政法规、国务院有关部门的规章以及工程所在地的省、自治区、直辖市的地方法规和规章中规定应由承包人缴纳的税金和其它费用均应计入单价、合价和总报价中。</w:t>
      </w:r>
    </w:p>
    <w:p w14:paraId="4B73F8C9">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5.1.8  工程量清单中有计算或汇总中的计算错误，应按以下原则改正：</w:t>
      </w:r>
    </w:p>
    <w:p w14:paraId="11257E7A">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 投标文件中的大写金额与小写金额不一致的，以大写金额为准；</w:t>
      </w:r>
    </w:p>
    <w:p w14:paraId="072F6A03">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 总价金额与依据单价计算出的结果不一致的，以单价金额为准修正总价，但单价金额小数点有明显错误的除外。</w:t>
      </w:r>
    </w:p>
    <w:p w14:paraId="1406102D">
      <w:pPr>
        <w:snapToGrid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5.1.9  投标人在编制投标报价时，必须按清单及附表要求的格式及内容进行填写、计算。</w:t>
      </w:r>
    </w:p>
    <w:p w14:paraId="7C32E25D">
      <w:pPr>
        <w:autoSpaceDE w:val="0"/>
        <w:autoSpaceDN w:val="0"/>
        <w:snapToGrid w:val="0"/>
        <w:spacing w:line="420" w:lineRule="exact"/>
        <w:textAlignment w:val="bottom"/>
        <w:rPr>
          <w:rFonts w:hint="eastAsia" w:ascii="宋体" w:hAnsi="宋体" w:eastAsia="宋体" w:cs="宋体"/>
          <w:b/>
          <w:color w:val="000000" w:themeColor="text1"/>
          <w:highlight w:val="none"/>
          <w14:textFill>
            <w14:solidFill>
              <w14:schemeClr w14:val="tx1"/>
            </w14:solidFill>
          </w14:textFill>
        </w:rPr>
      </w:pPr>
    </w:p>
    <w:p w14:paraId="6459FD52">
      <w:pPr>
        <w:autoSpaceDE w:val="0"/>
        <w:autoSpaceDN w:val="0"/>
        <w:snapToGrid w:val="0"/>
        <w:spacing w:line="420" w:lineRule="exact"/>
        <w:textAlignment w:val="bottom"/>
        <w:rPr>
          <w:rFonts w:hint="eastAsia" w:ascii="宋体" w:hAnsi="宋体" w:eastAsia="宋体" w:cs="宋体"/>
          <w:b/>
          <w:color w:val="000000" w:themeColor="text1"/>
          <w:highlight w:val="none"/>
          <w14:textFill>
            <w14:solidFill>
              <w14:schemeClr w14:val="tx1"/>
            </w14:solidFill>
          </w14:textFill>
        </w:rPr>
      </w:pPr>
    </w:p>
    <w:p w14:paraId="416BB6AC">
      <w:pPr>
        <w:autoSpaceDE w:val="0"/>
        <w:autoSpaceDN w:val="0"/>
        <w:snapToGrid w:val="0"/>
        <w:spacing w:line="420" w:lineRule="exact"/>
        <w:textAlignment w:val="bottom"/>
        <w:rPr>
          <w:rFonts w:hint="eastAsia" w:ascii="宋体" w:hAnsi="宋体" w:eastAsia="宋体" w:cs="宋体"/>
          <w:b/>
          <w:color w:val="000000" w:themeColor="text1"/>
          <w:highlight w:val="none"/>
          <w14:textFill>
            <w14:solidFill>
              <w14:schemeClr w14:val="tx1"/>
            </w14:solidFill>
          </w14:textFill>
        </w:rPr>
      </w:pPr>
    </w:p>
    <w:p w14:paraId="09A8B352">
      <w:pPr>
        <w:autoSpaceDE w:val="0"/>
        <w:autoSpaceDN w:val="0"/>
        <w:snapToGrid w:val="0"/>
        <w:spacing w:line="420" w:lineRule="exact"/>
        <w:textAlignment w:val="bottom"/>
        <w:rPr>
          <w:rFonts w:hint="eastAsia" w:ascii="宋体" w:hAnsi="宋体" w:eastAsia="宋体" w:cs="宋体"/>
          <w:b/>
          <w:color w:val="000000" w:themeColor="text1"/>
          <w:highlight w:val="none"/>
          <w14:textFill>
            <w14:solidFill>
              <w14:schemeClr w14:val="tx1"/>
            </w14:solidFill>
          </w14:textFill>
        </w:rPr>
      </w:pPr>
    </w:p>
    <w:bookmarkEnd w:id="293"/>
    <w:bookmarkEnd w:id="294"/>
    <w:bookmarkEnd w:id="295"/>
    <w:bookmarkEnd w:id="296"/>
    <w:bookmarkEnd w:id="297"/>
    <w:bookmarkEnd w:id="298"/>
    <w:bookmarkEnd w:id="299"/>
    <w:bookmarkEnd w:id="300"/>
    <w:bookmarkEnd w:id="301"/>
    <w:p w14:paraId="28DB6EFA">
      <w:pPr>
        <w:jc w:val="center"/>
        <w:rPr>
          <w:rFonts w:hint="eastAsia" w:ascii="宋体" w:hAnsi="宋体" w:eastAsia="宋体" w:cs="宋体"/>
          <w:color w:val="000000" w:themeColor="text1"/>
          <w:kern w:val="0"/>
          <w:sz w:val="36"/>
          <w:szCs w:val="36"/>
          <w:highlight w:val="none"/>
          <w14:textFill>
            <w14:solidFill>
              <w14:schemeClr w14:val="tx1"/>
            </w14:solidFill>
          </w14:textFill>
        </w:rPr>
      </w:pPr>
      <w:bookmarkStart w:id="1666" w:name="_Toc272432337"/>
      <w:bookmarkStart w:id="1667" w:name="_Toc81682066"/>
      <w:bookmarkStart w:id="1668" w:name="_Toc262675632"/>
    </w:p>
    <w:p w14:paraId="16E842B5">
      <w:pPr>
        <w:jc w:val="center"/>
        <w:rPr>
          <w:rFonts w:hint="eastAsia" w:ascii="宋体" w:hAnsi="宋体" w:eastAsia="宋体" w:cs="宋体"/>
          <w:color w:val="000000" w:themeColor="text1"/>
          <w:kern w:val="0"/>
          <w:sz w:val="36"/>
          <w:szCs w:val="36"/>
          <w:highlight w:val="none"/>
          <w14:textFill>
            <w14:solidFill>
              <w14:schemeClr w14:val="tx1"/>
            </w14:solidFill>
          </w14:textFill>
        </w:rPr>
      </w:pPr>
    </w:p>
    <w:p w14:paraId="6E742AE9">
      <w:pPr>
        <w:rPr>
          <w:rFonts w:hint="eastAsia" w:ascii="宋体" w:hAnsi="宋体" w:eastAsia="宋体" w:cs="宋体"/>
          <w:color w:val="000000" w:themeColor="text1"/>
          <w:kern w:val="0"/>
          <w:sz w:val="36"/>
          <w:szCs w:val="36"/>
          <w:highlight w:val="none"/>
          <w:lang w:eastAsia="zh-CN"/>
          <w14:textFill>
            <w14:solidFill>
              <w14:schemeClr w14:val="tx1"/>
            </w14:solidFill>
          </w14:textFill>
        </w:rPr>
      </w:pPr>
      <w:bookmarkStart w:id="1669" w:name="_Toc17614"/>
      <w:bookmarkStart w:id="1670" w:name="_Toc9289"/>
      <w:r>
        <w:rPr>
          <w:rFonts w:hint="eastAsia" w:ascii="宋体" w:hAnsi="宋体" w:eastAsia="宋体" w:cs="宋体"/>
          <w:color w:val="000000" w:themeColor="text1"/>
          <w:kern w:val="0"/>
          <w:sz w:val="36"/>
          <w:szCs w:val="36"/>
          <w:highlight w:val="none"/>
          <w:lang w:eastAsia="zh-CN"/>
          <w14:textFill>
            <w14:solidFill>
              <w14:schemeClr w14:val="tx1"/>
            </w14:solidFill>
          </w14:textFill>
        </w:rPr>
        <w:br w:type="page"/>
      </w:r>
    </w:p>
    <w:p w14:paraId="099194CE">
      <w:pPr>
        <w:adjustRightInd w:val="0"/>
        <w:snapToGrid w:val="0"/>
        <w:spacing w:line="360" w:lineRule="auto"/>
        <w:jc w:val="center"/>
        <w:outlineLvl w:val="0"/>
        <w:rPr>
          <w:rFonts w:ascii="宋体" w:hAnsi="宋体" w:eastAsia="宋体"/>
          <w:b/>
          <w:color w:val="auto"/>
          <w:kern w:val="0"/>
          <w:sz w:val="36"/>
          <w:highlight w:val="none"/>
        </w:rPr>
      </w:pPr>
      <w:r>
        <w:rPr>
          <w:rFonts w:hint="eastAsia" w:ascii="宋体" w:hAnsi="宋体" w:eastAsia="宋体"/>
          <w:b/>
          <w:color w:val="auto"/>
          <w:kern w:val="0"/>
          <w:sz w:val="36"/>
          <w:highlight w:val="none"/>
        </w:rPr>
        <w:t>第六章  图   纸</w:t>
      </w:r>
      <w:bookmarkEnd w:id="1669"/>
      <w:bookmarkEnd w:id="1670"/>
    </w:p>
    <w:p w14:paraId="67094F42">
      <w:pPr>
        <w:adjustRightInd w:val="0"/>
        <w:snapToGrid w:val="0"/>
        <w:spacing w:line="360" w:lineRule="auto"/>
        <w:ind w:firstLine="420" w:firstLineChars="200"/>
        <w:jc w:val="left"/>
        <w:rPr>
          <w:rFonts w:ascii="宋体" w:hAnsi="宋体" w:eastAsia="宋体"/>
          <w:color w:val="auto"/>
          <w:kern w:val="0"/>
          <w:szCs w:val="21"/>
          <w:highlight w:val="none"/>
        </w:rPr>
      </w:pPr>
    </w:p>
    <w:p w14:paraId="240B9DA7">
      <w:pPr>
        <w:adjustRightInd w:val="0"/>
        <w:snapToGrid w:val="0"/>
        <w:spacing w:line="360" w:lineRule="auto"/>
        <w:ind w:firstLine="420" w:firstLineChars="200"/>
        <w:jc w:val="left"/>
        <w:rPr>
          <w:rFonts w:ascii="宋体" w:hAnsi="宋体" w:eastAsia="宋体"/>
          <w:color w:val="auto"/>
          <w:kern w:val="0"/>
          <w:szCs w:val="21"/>
          <w:highlight w:val="none"/>
        </w:rPr>
      </w:pPr>
      <w:r>
        <w:rPr>
          <w:rFonts w:hint="eastAsia" w:ascii="宋体" w:hAnsi="宋体" w:eastAsia="宋体"/>
          <w:color w:val="auto"/>
          <w:kern w:val="0"/>
          <w:szCs w:val="21"/>
          <w:highlight w:val="none"/>
        </w:rPr>
        <w:t>另附，投标人从</w:t>
      </w:r>
      <w:r>
        <w:rPr>
          <w:color w:val="auto"/>
          <w:highlight w:val="none"/>
        </w:rPr>
        <w:fldChar w:fldCharType="begin"/>
      </w:r>
      <w:r>
        <w:rPr>
          <w:color w:val="auto"/>
          <w:highlight w:val="none"/>
        </w:rPr>
        <w:instrText xml:space="preserve"> AUTOTEXT  input263 \* MERGEFORMAT </w:instrText>
      </w:r>
      <w:r>
        <w:rPr>
          <w:color w:val="auto"/>
          <w:highlight w:val="none"/>
        </w:rPr>
        <w:fldChar w:fldCharType="separate"/>
      </w:r>
      <w:r>
        <w:rPr>
          <w:rFonts w:hint="eastAsia" w:ascii="宋体" w:hAnsi="宋体" w:eastAsia="宋体"/>
          <w:color w:val="auto"/>
          <w:kern w:val="0"/>
          <w:szCs w:val="21"/>
          <w:highlight w:val="none"/>
          <w:u w:val="single"/>
          <w:lang w:eastAsia="zh-CN"/>
        </w:rPr>
        <w:t>云南省公共资源交易中心</w:t>
      </w:r>
      <w:r>
        <w:rPr>
          <w:rFonts w:ascii="宋体" w:hAnsi="宋体" w:eastAsia="宋体"/>
          <w:color w:val="auto"/>
          <w:kern w:val="0"/>
          <w:szCs w:val="21"/>
          <w:highlight w:val="none"/>
          <w:u w:val="single"/>
        </w:rPr>
        <w:fldChar w:fldCharType="end"/>
      </w:r>
      <w:r>
        <w:rPr>
          <w:rFonts w:hint="eastAsia" w:ascii="宋体" w:hAnsi="宋体" w:eastAsia="宋体"/>
          <w:color w:val="auto"/>
          <w:kern w:val="0"/>
          <w:szCs w:val="21"/>
          <w:highlight w:val="none"/>
        </w:rPr>
        <w:t>（网址：</w:t>
      </w:r>
      <w:r>
        <w:rPr>
          <w:rFonts w:hint="eastAsia" w:ascii="宋体" w:hAnsi="宋体" w:eastAsia="宋体"/>
          <w:color w:val="auto"/>
          <w:highlight w:val="none"/>
          <w:lang w:eastAsia="zh-CN"/>
        </w:rPr>
        <w:t>https://ggzy.yn.gov.cn/#/homePage</w:t>
      </w:r>
      <w:r>
        <w:rPr>
          <w:rFonts w:hint="eastAsia" w:ascii="宋体" w:hAnsi="宋体" w:eastAsia="宋体"/>
          <w:color w:val="auto"/>
          <w:kern w:val="0"/>
          <w:szCs w:val="21"/>
          <w:highlight w:val="none"/>
        </w:rPr>
        <w:t>）上下载。</w:t>
      </w:r>
    </w:p>
    <w:p w14:paraId="6524C8B1">
      <w:pPr>
        <w:jc w:val="center"/>
        <w:rPr>
          <w:rFonts w:hint="eastAsia" w:ascii="宋体" w:hAnsi="宋体" w:eastAsia="宋体" w:cs="宋体"/>
          <w:color w:val="000000" w:themeColor="text1"/>
          <w:kern w:val="0"/>
          <w:sz w:val="36"/>
          <w:szCs w:val="36"/>
          <w:highlight w:val="none"/>
          <w:lang w:eastAsia="zh-CN"/>
          <w14:textFill>
            <w14:solidFill>
              <w14:schemeClr w14:val="tx1"/>
            </w14:solidFill>
          </w14:textFill>
        </w:rPr>
      </w:pPr>
    </w:p>
    <w:p w14:paraId="5A6C5E55">
      <w:pPr>
        <w:jc w:val="center"/>
        <w:rPr>
          <w:rFonts w:hint="eastAsia" w:ascii="宋体" w:hAnsi="宋体" w:eastAsia="宋体" w:cs="宋体"/>
          <w:color w:val="000000" w:themeColor="text1"/>
          <w:kern w:val="0"/>
          <w:sz w:val="36"/>
          <w:szCs w:val="36"/>
          <w:highlight w:val="none"/>
          <w14:textFill>
            <w14:solidFill>
              <w14:schemeClr w14:val="tx1"/>
            </w14:solidFill>
          </w14:textFill>
        </w:rPr>
      </w:pPr>
    </w:p>
    <w:p w14:paraId="3AA5C20E">
      <w:pPr>
        <w:jc w:val="center"/>
        <w:rPr>
          <w:rFonts w:hint="eastAsia" w:ascii="宋体" w:hAnsi="宋体" w:eastAsia="宋体" w:cs="宋体"/>
          <w:color w:val="000000" w:themeColor="text1"/>
          <w:kern w:val="0"/>
          <w:sz w:val="36"/>
          <w:szCs w:val="36"/>
          <w:highlight w:val="none"/>
          <w14:textFill>
            <w14:solidFill>
              <w14:schemeClr w14:val="tx1"/>
            </w14:solidFill>
          </w14:textFill>
        </w:rPr>
      </w:pPr>
    </w:p>
    <w:p w14:paraId="19214089">
      <w:pPr>
        <w:jc w:val="center"/>
        <w:rPr>
          <w:rFonts w:hint="eastAsia" w:ascii="宋体" w:hAnsi="宋体" w:eastAsia="宋体" w:cs="宋体"/>
          <w:color w:val="000000" w:themeColor="text1"/>
          <w:kern w:val="0"/>
          <w:sz w:val="36"/>
          <w:szCs w:val="36"/>
          <w:highlight w:val="none"/>
          <w14:textFill>
            <w14:solidFill>
              <w14:schemeClr w14:val="tx1"/>
            </w14:solidFill>
          </w14:textFill>
        </w:rPr>
      </w:pPr>
    </w:p>
    <w:p w14:paraId="545B1D13">
      <w:pPr>
        <w:jc w:val="center"/>
        <w:rPr>
          <w:rFonts w:hint="eastAsia" w:ascii="宋体" w:hAnsi="宋体" w:eastAsia="宋体" w:cs="宋体"/>
          <w:color w:val="000000" w:themeColor="text1"/>
          <w:kern w:val="0"/>
          <w:sz w:val="36"/>
          <w:szCs w:val="36"/>
          <w:highlight w:val="none"/>
          <w14:textFill>
            <w14:solidFill>
              <w14:schemeClr w14:val="tx1"/>
            </w14:solidFill>
          </w14:textFill>
        </w:rPr>
      </w:pPr>
    </w:p>
    <w:p w14:paraId="24A3E76C">
      <w:pPr>
        <w:jc w:val="center"/>
        <w:rPr>
          <w:rFonts w:hint="eastAsia" w:ascii="宋体" w:hAnsi="宋体" w:eastAsia="宋体" w:cs="宋体"/>
          <w:color w:val="000000" w:themeColor="text1"/>
          <w:kern w:val="0"/>
          <w:sz w:val="36"/>
          <w:szCs w:val="36"/>
          <w:highlight w:val="none"/>
          <w14:textFill>
            <w14:solidFill>
              <w14:schemeClr w14:val="tx1"/>
            </w14:solidFill>
          </w14:textFill>
        </w:rPr>
      </w:pPr>
    </w:p>
    <w:p w14:paraId="1BEBFCBC">
      <w:pPr>
        <w:jc w:val="center"/>
        <w:rPr>
          <w:rFonts w:hint="eastAsia" w:ascii="宋体" w:hAnsi="宋体" w:eastAsia="宋体" w:cs="宋体"/>
          <w:color w:val="000000" w:themeColor="text1"/>
          <w:kern w:val="0"/>
          <w:sz w:val="36"/>
          <w:szCs w:val="36"/>
          <w:highlight w:val="none"/>
          <w14:textFill>
            <w14:solidFill>
              <w14:schemeClr w14:val="tx1"/>
            </w14:solidFill>
          </w14:textFill>
        </w:rPr>
      </w:pPr>
    </w:p>
    <w:p w14:paraId="198499E2">
      <w:pPr>
        <w:jc w:val="center"/>
        <w:rPr>
          <w:rFonts w:hint="eastAsia" w:ascii="宋体" w:hAnsi="宋体" w:eastAsia="宋体" w:cs="宋体"/>
          <w:color w:val="000000" w:themeColor="text1"/>
          <w:kern w:val="0"/>
          <w:sz w:val="36"/>
          <w:szCs w:val="36"/>
          <w:highlight w:val="none"/>
          <w14:textFill>
            <w14:solidFill>
              <w14:schemeClr w14:val="tx1"/>
            </w14:solidFill>
          </w14:textFill>
        </w:rPr>
      </w:pPr>
    </w:p>
    <w:p w14:paraId="72323F89">
      <w:pPr>
        <w:jc w:val="both"/>
        <w:rPr>
          <w:rFonts w:hint="eastAsia" w:ascii="宋体" w:hAnsi="宋体" w:eastAsia="宋体" w:cs="宋体"/>
          <w:color w:val="000000" w:themeColor="text1"/>
          <w:kern w:val="0"/>
          <w:sz w:val="36"/>
          <w:szCs w:val="36"/>
          <w:highlight w:val="none"/>
          <w14:textFill>
            <w14:solidFill>
              <w14:schemeClr w14:val="tx1"/>
            </w14:solidFill>
          </w14:textFill>
        </w:rPr>
      </w:pPr>
    </w:p>
    <w:p w14:paraId="7528E883">
      <w:pPr>
        <w:rPr>
          <w:rFonts w:hint="eastAsia" w:ascii="宋体" w:hAnsi="宋体" w:eastAsia="宋体" w:cs="宋体"/>
          <w:b/>
          <w:bCs/>
          <w:color w:val="000000" w:themeColor="text1"/>
          <w:kern w:val="0"/>
          <w:sz w:val="36"/>
          <w:szCs w:val="36"/>
          <w:highlight w:val="none"/>
          <w14:textFill>
            <w14:solidFill>
              <w14:schemeClr w14:val="tx1"/>
            </w14:solidFill>
          </w14:textFill>
        </w:rPr>
      </w:pPr>
      <w:r>
        <w:rPr>
          <w:rFonts w:hint="eastAsia" w:ascii="宋体" w:hAnsi="宋体" w:eastAsia="宋体" w:cs="宋体"/>
          <w:b/>
          <w:bCs/>
          <w:color w:val="000000" w:themeColor="text1"/>
          <w:kern w:val="0"/>
          <w:sz w:val="36"/>
          <w:szCs w:val="36"/>
          <w:highlight w:val="none"/>
          <w14:textFill>
            <w14:solidFill>
              <w14:schemeClr w14:val="tx1"/>
            </w14:solidFill>
          </w14:textFill>
        </w:rPr>
        <w:br w:type="page"/>
      </w:r>
    </w:p>
    <w:p w14:paraId="19B361C4">
      <w:pPr>
        <w:numPr>
          <w:ilvl w:val="0"/>
          <w:numId w:val="4"/>
        </w:numPr>
        <w:jc w:val="center"/>
        <w:rPr>
          <w:rFonts w:hint="eastAsia" w:ascii="宋体" w:hAnsi="宋体" w:eastAsia="宋体" w:cs="宋体"/>
          <w:b/>
          <w:bCs/>
          <w:color w:val="000000" w:themeColor="text1"/>
          <w:kern w:val="0"/>
          <w:sz w:val="36"/>
          <w:szCs w:val="36"/>
          <w:highlight w:val="none"/>
          <w14:textFill>
            <w14:solidFill>
              <w14:schemeClr w14:val="tx1"/>
            </w14:solidFill>
          </w14:textFill>
        </w:rPr>
      </w:pPr>
      <w:r>
        <w:rPr>
          <w:rFonts w:hint="eastAsia" w:ascii="宋体" w:hAnsi="宋体" w:eastAsia="宋体" w:cs="宋体"/>
          <w:b/>
          <w:bCs/>
          <w:color w:val="000000" w:themeColor="text1"/>
          <w:kern w:val="0"/>
          <w:sz w:val="36"/>
          <w:szCs w:val="36"/>
          <w:highlight w:val="none"/>
          <w14:textFill>
            <w14:solidFill>
              <w14:schemeClr w14:val="tx1"/>
            </w14:solidFill>
          </w14:textFill>
        </w:rPr>
        <w:t>技术标准和要求</w:t>
      </w:r>
      <w:bookmarkEnd w:id="1666"/>
      <w:bookmarkEnd w:id="1667"/>
      <w:bookmarkEnd w:id="1668"/>
    </w:p>
    <w:p w14:paraId="4E0E1F11">
      <w:pPr>
        <w:pStyle w:val="7"/>
        <w:spacing w:before="236" w:line="432" w:lineRule="auto"/>
        <w:ind w:left="6" w:firstLine="417"/>
        <w:rPr>
          <w:rFonts w:hint="eastAsia" w:ascii="宋体" w:hAnsi="宋体" w:eastAsia="宋体" w:cs="Times New Roman"/>
          <w:color w:val="auto"/>
          <w:kern w:val="0"/>
          <w:sz w:val="21"/>
          <w:szCs w:val="21"/>
          <w:highlight w:val="none"/>
          <w:lang w:val="en-US" w:eastAsia="zh-CN" w:bidi="ar-SA"/>
        </w:rPr>
      </w:pPr>
      <w:bookmarkStart w:id="1671" w:name="_Toc296677421"/>
      <w:bookmarkStart w:id="1672" w:name="_Toc319337391"/>
      <w:bookmarkStart w:id="1673" w:name="_Toc296353747"/>
      <w:bookmarkStart w:id="1674" w:name="_Toc432266043"/>
      <w:r>
        <w:rPr>
          <w:rFonts w:hint="eastAsia" w:ascii="宋体" w:hAnsi="宋体" w:eastAsia="宋体" w:cs="Times New Roman"/>
          <w:color w:val="auto"/>
          <w:kern w:val="0"/>
          <w:sz w:val="21"/>
          <w:szCs w:val="21"/>
          <w:highlight w:val="none"/>
          <w:lang w:val="en-US" w:eastAsia="zh-CN" w:bidi="ar-SA"/>
        </w:rPr>
        <w:t>一、本招标工程项目的材料、设备、施工须达到现行中华人民共和国以及省、 自治区、直辖市或行业的工程建设标准、规范的要求；严格遵照设计施工图及国家或行业有关标准、规范执行。</w:t>
      </w:r>
    </w:p>
    <w:p w14:paraId="36A1D207">
      <w:pPr>
        <w:pStyle w:val="7"/>
        <w:spacing w:line="432" w:lineRule="auto"/>
        <w:ind w:left="6" w:right="103" w:firstLine="417"/>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二、本招标工程项目的安全生产、文明施工、环境保护措施应符合中华人民共和国以及省、市、 自治区、直辖市或行业以及当地政府的有关法律、法规的要求。</w:t>
      </w:r>
    </w:p>
    <w:p w14:paraId="280C2F3B">
      <w:pPr>
        <w:pStyle w:val="7"/>
        <w:spacing w:line="433" w:lineRule="auto"/>
        <w:ind w:firstLine="420"/>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三、根据工程设计要求及所处地域当地政府的相关规定，适用本招标工程项目的材料、设备、施工必须达到但不限于以下现行标准或规范及其最新版本的要求。</w:t>
      </w:r>
    </w:p>
    <w:p w14:paraId="1CDFFCDF">
      <w:pPr>
        <w:spacing w:line="433" w:lineRule="auto"/>
        <w:rPr>
          <w:rFonts w:hint="eastAsia" w:ascii="宋体" w:hAnsi="宋体" w:eastAsia="宋体" w:cs="Times New Roman"/>
          <w:color w:val="auto"/>
          <w:kern w:val="0"/>
          <w:sz w:val="21"/>
          <w:szCs w:val="21"/>
          <w:highlight w:val="none"/>
          <w:lang w:val="en-US" w:eastAsia="zh-CN" w:bidi="ar-SA"/>
        </w:rPr>
        <w:sectPr>
          <w:footerReference r:id="rId11" w:type="default"/>
          <w:pgSz w:w="11906" w:h="16839"/>
          <w:pgMar w:top="1440" w:right="1083" w:bottom="1440" w:left="1083" w:header="0" w:footer="680" w:gutter="0"/>
          <w:pgNumType w:fmt="decimal"/>
          <w:cols w:space="0" w:num="1"/>
          <w:rtlGutter w:val="0"/>
          <w:docGrid w:linePitch="0" w:charSpace="0"/>
        </w:sectPr>
      </w:pPr>
    </w:p>
    <w:bookmarkEnd w:id="1671"/>
    <w:bookmarkEnd w:id="1672"/>
    <w:bookmarkEnd w:id="1673"/>
    <w:bookmarkEnd w:id="1674"/>
    <w:p w14:paraId="7402C921">
      <w:pPr>
        <w:pStyle w:val="31"/>
        <w:spacing w:line="360" w:lineRule="exact"/>
        <w:ind w:firstLine="0"/>
        <w:rPr>
          <w:rFonts w:hint="eastAsia" w:ascii="宋体" w:hAnsi="宋体" w:eastAsia="宋体" w:cs="宋体"/>
          <w:color w:val="000000" w:themeColor="text1"/>
          <w:sz w:val="21"/>
          <w:highlight w:val="none"/>
          <w14:textFill>
            <w14:solidFill>
              <w14:schemeClr w14:val="tx1"/>
            </w14:solidFill>
          </w14:textFill>
        </w:rPr>
      </w:pPr>
    </w:p>
    <w:p w14:paraId="4CF81D90">
      <w:pPr>
        <w:spacing w:before="240" w:after="240"/>
        <w:jc w:val="center"/>
        <w:outlineLvl w:val="0"/>
        <w:rPr>
          <w:rFonts w:ascii="宋体" w:hAnsi="宋体"/>
          <w:b/>
          <w:bCs/>
          <w:color w:val="000000" w:themeColor="text1"/>
          <w:kern w:val="0"/>
          <w:sz w:val="36"/>
          <w:szCs w:val="36"/>
          <w14:textFill>
            <w14:solidFill>
              <w14:schemeClr w14:val="tx1"/>
            </w14:solidFill>
          </w14:textFill>
        </w:rPr>
      </w:pPr>
      <w:bookmarkStart w:id="1675" w:name="_Toc2957"/>
      <w:bookmarkStart w:id="1676" w:name="_Toc15239637"/>
      <w:r>
        <w:rPr>
          <w:rFonts w:ascii="宋体" w:hAnsi="宋体"/>
          <w:b/>
          <w:bCs/>
          <w:color w:val="000000" w:themeColor="text1"/>
          <w:kern w:val="0"/>
          <w:sz w:val="36"/>
          <w:szCs w:val="36"/>
          <w14:textFill>
            <w14:solidFill>
              <w14:schemeClr w14:val="tx1"/>
            </w14:solidFill>
          </w14:textFill>
        </w:rPr>
        <w:t>第</w:t>
      </w:r>
      <w:r>
        <w:rPr>
          <w:rFonts w:hint="eastAsia" w:ascii="宋体" w:hAnsi="宋体"/>
          <w:b/>
          <w:bCs/>
          <w:color w:val="000000" w:themeColor="text1"/>
          <w:kern w:val="0"/>
          <w:sz w:val="36"/>
          <w:szCs w:val="36"/>
          <w:lang w:val="en-US" w:eastAsia="zh-CN"/>
          <w14:textFill>
            <w14:solidFill>
              <w14:schemeClr w14:val="tx1"/>
            </w14:solidFill>
          </w14:textFill>
        </w:rPr>
        <w:t>八</w:t>
      </w:r>
      <w:r>
        <w:rPr>
          <w:rFonts w:ascii="宋体" w:hAnsi="宋体"/>
          <w:b/>
          <w:bCs/>
          <w:color w:val="000000" w:themeColor="text1"/>
          <w:kern w:val="0"/>
          <w:sz w:val="36"/>
          <w:szCs w:val="36"/>
          <w14:textFill>
            <w14:solidFill>
              <w14:schemeClr w14:val="tx1"/>
            </w14:solidFill>
          </w14:textFill>
        </w:rPr>
        <w:t>章 投标文件格式</w:t>
      </w:r>
      <w:bookmarkEnd w:id="1675"/>
      <w:bookmarkEnd w:id="1676"/>
    </w:p>
    <w:p w14:paraId="17B2B61E">
      <w:pPr>
        <w:spacing w:before="240"/>
        <w:jc w:val="center"/>
        <w:rPr>
          <w:rFonts w:ascii="宋体" w:hAnsi="宋体"/>
          <w:bCs/>
          <w:color w:val="000000" w:themeColor="text1"/>
          <w:sz w:val="36"/>
          <w:szCs w:val="36"/>
          <w:u w:val="single"/>
          <w14:textFill>
            <w14:solidFill>
              <w14:schemeClr w14:val="tx1"/>
            </w14:solidFill>
          </w14:textFill>
        </w:rPr>
      </w:pPr>
    </w:p>
    <w:p w14:paraId="4BB971CE">
      <w:pPr>
        <w:spacing w:before="240"/>
        <w:jc w:val="center"/>
        <w:outlineLvl w:val="0"/>
        <w:rPr>
          <w:rFonts w:ascii="宋体" w:hAnsi="宋体"/>
          <w:bCs/>
          <w:color w:val="000000" w:themeColor="text1"/>
          <w:sz w:val="48"/>
          <w:szCs w:val="48"/>
          <w14:textFill>
            <w14:solidFill>
              <w14:schemeClr w14:val="tx1"/>
            </w14:solidFill>
          </w14:textFill>
        </w:rPr>
      </w:pPr>
      <w:r>
        <w:rPr>
          <w:rFonts w:ascii="宋体" w:hAnsi="宋体"/>
          <w:color w:val="000000" w:themeColor="text1"/>
          <w:sz w:val="28"/>
          <w:szCs w:val="28"/>
          <w:u w:val="single"/>
          <w14:textFill>
            <w14:solidFill>
              <w14:schemeClr w14:val="tx1"/>
            </w14:solidFill>
          </w14:textFill>
        </w:rPr>
        <w:t xml:space="preserve">          </w:t>
      </w:r>
      <w:bookmarkStart w:id="1677" w:name="_Toc23485"/>
      <w:r>
        <w:rPr>
          <w:rFonts w:ascii="宋体" w:hAnsi="宋体"/>
          <w:color w:val="000000" w:themeColor="text1"/>
          <w:sz w:val="48"/>
          <w:szCs w:val="48"/>
          <w:u w:val="single"/>
          <w14:textFill>
            <w14:solidFill>
              <w14:schemeClr w14:val="tx1"/>
            </w14:solidFill>
          </w14:textFill>
        </w:rPr>
        <w:t xml:space="preserve">项目名称     </w:t>
      </w:r>
      <w:r>
        <w:rPr>
          <w:rFonts w:ascii="宋体" w:hAnsi="宋体"/>
          <w:bCs/>
          <w:color w:val="000000" w:themeColor="text1"/>
          <w:sz w:val="48"/>
          <w:szCs w:val="48"/>
          <w14:textFill>
            <w14:solidFill>
              <w14:schemeClr w14:val="tx1"/>
            </w14:solidFill>
          </w14:textFill>
        </w:rPr>
        <w:t>施工招标</w:t>
      </w:r>
      <w:bookmarkEnd w:id="1677"/>
    </w:p>
    <w:p w14:paraId="333A73EC">
      <w:pPr>
        <w:jc w:val="center"/>
        <w:rPr>
          <w:rFonts w:ascii="宋体" w:hAnsi="宋体"/>
          <w:color w:val="000000" w:themeColor="text1"/>
          <w:sz w:val="28"/>
          <w:szCs w:val="28"/>
          <w14:textFill>
            <w14:solidFill>
              <w14:schemeClr w14:val="tx1"/>
            </w14:solidFill>
          </w14:textFill>
        </w:rPr>
      </w:pPr>
    </w:p>
    <w:p w14:paraId="261FFDD5">
      <w:pPr>
        <w:jc w:val="center"/>
        <w:rPr>
          <w:rFonts w:ascii="宋体" w:hAnsi="宋体"/>
          <w:color w:val="000000" w:themeColor="text1"/>
          <w:sz w:val="28"/>
          <w:szCs w:val="28"/>
          <w14:textFill>
            <w14:solidFill>
              <w14:schemeClr w14:val="tx1"/>
            </w14:solidFill>
          </w14:textFill>
        </w:rPr>
      </w:pPr>
    </w:p>
    <w:p w14:paraId="39F580F4">
      <w:pPr>
        <w:spacing w:line="240" w:lineRule="atLeast"/>
        <w:jc w:val="center"/>
        <w:outlineLvl w:val="0"/>
        <w:rPr>
          <w:rFonts w:ascii="宋体" w:hAnsi="宋体"/>
          <w:bCs/>
          <w:color w:val="000000" w:themeColor="text1"/>
          <w:sz w:val="52"/>
          <w:szCs w:val="52"/>
          <w14:textFill>
            <w14:solidFill>
              <w14:schemeClr w14:val="tx1"/>
            </w14:solidFill>
          </w14:textFill>
        </w:rPr>
      </w:pPr>
      <w:bookmarkStart w:id="1678" w:name="_Toc214"/>
      <w:r>
        <w:rPr>
          <w:rFonts w:ascii="宋体" w:hAnsi="宋体"/>
          <w:bCs/>
          <w:color w:val="000000" w:themeColor="text1"/>
          <w:sz w:val="52"/>
          <w:szCs w:val="52"/>
          <w14:textFill>
            <w14:solidFill>
              <w14:schemeClr w14:val="tx1"/>
            </w14:solidFill>
          </w14:textFill>
        </w:rPr>
        <w:t>投 标 文 件</w:t>
      </w:r>
      <w:bookmarkEnd w:id="1678"/>
    </w:p>
    <w:p w14:paraId="71731B2C">
      <w:pPr>
        <w:ind w:firstLine="2520" w:firstLineChars="900"/>
        <w:jc w:val="left"/>
        <w:outlineLvl w:val="0"/>
        <w:rPr>
          <w:rFonts w:ascii="宋体" w:hAnsi="宋体"/>
          <w:color w:val="000000" w:themeColor="text1"/>
          <w:sz w:val="28"/>
          <w:szCs w:val="28"/>
          <w:u w:val="single"/>
          <w14:textFill>
            <w14:solidFill>
              <w14:schemeClr w14:val="tx1"/>
            </w14:solidFill>
          </w14:textFill>
        </w:rPr>
      </w:pPr>
      <w:bookmarkStart w:id="1679" w:name="_Toc14841"/>
      <w:r>
        <w:rPr>
          <w:rFonts w:ascii="宋体" w:hAnsi="宋体"/>
          <w:color w:val="000000" w:themeColor="text1"/>
          <w:sz w:val="28"/>
          <w:szCs w:val="28"/>
          <w14:textFill>
            <w14:solidFill>
              <w14:schemeClr w14:val="tx1"/>
            </w14:solidFill>
          </w14:textFill>
        </w:rPr>
        <w:t>项目编号：</w:t>
      </w:r>
      <w:bookmarkEnd w:id="1679"/>
      <w:r>
        <w:rPr>
          <w:rFonts w:ascii="宋体" w:hAnsi="宋体"/>
          <w:color w:val="000000" w:themeColor="text1"/>
          <w:sz w:val="28"/>
          <w:szCs w:val="28"/>
          <w:u w:val="single"/>
          <w14:textFill>
            <w14:solidFill>
              <w14:schemeClr w14:val="tx1"/>
            </w14:solidFill>
          </w14:textFill>
        </w:rPr>
        <w:t xml:space="preserve">                 </w:t>
      </w:r>
    </w:p>
    <w:p w14:paraId="20EDF8D0">
      <w:pPr>
        <w:rPr>
          <w:rFonts w:ascii="宋体" w:hAnsi="宋体"/>
          <w:color w:val="000000" w:themeColor="text1"/>
          <w:sz w:val="28"/>
          <w:szCs w:val="28"/>
          <w14:textFill>
            <w14:solidFill>
              <w14:schemeClr w14:val="tx1"/>
            </w14:solidFill>
          </w14:textFill>
        </w:rPr>
      </w:pPr>
    </w:p>
    <w:p w14:paraId="5354EEB3">
      <w:pPr>
        <w:spacing w:before="240"/>
        <w:rPr>
          <w:rFonts w:ascii="宋体" w:hAnsi="宋体"/>
          <w:color w:val="000000" w:themeColor="text1"/>
          <w:sz w:val="28"/>
          <w:szCs w:val="28"/>
          <w14:textFill>
            <w14:solidFill>
              <w14:schemeClr w14:val="tx1"/>
            </w14:solidFill>
          </w14:textFill>
        </w:rPr>
      </w:pPr>
    </w:p>
    <w:p w14:paraId="18217E7E">
      <w:pPr>
        <w:pStyle w:val="2"/>
        <w:rPr>
          <w:color w:val="000000" w:themeColor="text1"/>
          <w14:textFill>
            <w14:solidFill>
              <w14:schemeClr w14:val="tx1"/>
            </w14:solidFill>
          </w14:textFill>
        </w:rPr>
      </w:pPr>
    </w:p>
    <w:p w14:paraId="4E671262">
      <w:pPr>
        <w:spacing w:line="500" w:lineRule="exact"/>
        <w:ind w:left="1798" w:leftChars="256" w:hanging="1260" w:hangingChars="450"/>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项目名称：</w:t>
      </w:r>
      <w:r>
        <w:rPr>
          <w:rFonts w:hint="eastAsia" w:ascii="新宋体" w:hAnsi="新宋体" w:eastAsia="新宋体" w:cs="新宋体"/>
          <w:color w:val="000000" w:themeColor="text1"/>
          <w:sz w:val="28"/>
          <w:szCs w:val="28"/>
          <w:highlight w:val="none"/>
          <w:u w:val="single"/>
          <w:lang w:val="en-US" w:eastAsia="zh-CN"/>
          <w14:textFill>
            <w14:solidFill>
              <w14:schemeClr w14:val="tx1"/>
            </w14:solidFill>
          </w14:textFill>
        </w:rPr>
        <w:t xml:space="preserve">                                         </w:t>
      </w:r>
      <w:r>
        <w:rPr>
          <w:rFonts w:hint="eastAsia" w:ascii="新宋体" w:hAnsi="新宋体" w:eastAsia="新宋体" w:cs="新宋体"/>
          <w:color w:val="000000" w:themeColor="text1"/>
          <w:sz w:val="28"/>
          <w:szCs w:val="28"/>
          <w:highlight w:val="none"/>
          <w14:textFill>
            <w14:solidFill>
              <w14:schemeClr w14:val="tx1"/>
            </w14:solidFill>
          </w14:textFill>
        </w:rPr>
        <w:t xml:space="preserve">  </w:t>
      </w:r>
    </w:p>
    <w:p w14:paraId="028C3165">
      <w:pPr>
        <w:spacing w:line="700" w:lineRule="exact"/>
        <w:ind w:firstLine="505" w:firstLineChars="158"/>
        <w:rPr>
          <w:rFonts w:hint="eastAsia" w:ascii="新宋体" w:hAnsi="新宋体" w:eastAsia="新宋体" w:cs="新宋体"/>
          <w:color w:val="000000" w:themeColor="text1"/>
          <w:sz w:val="28"/>
          <w:szCs w:val="28"/>
          <w:highlight w:val="none"/>
          <w:u w:val="single"/>
          <w:lang w:eastAsia="zh-CN"/>
          <w14:textFill>
            <w14:solidFill>
              <w14:schemeClr w14:val="tx1"/>
            </w14:solidFill>
          </w14:textFill>
        </w:rPr>
      </w:pPr>
      <w:r>
        <w:rPr>
          <w:rFonts w:hint="eastAsia" w:ascii="新宋体" w:hAnsi="新宋体" w:eastAsia="新宋体" w:cs="新宋体"/>
          <w:color w:val="000000" w:themeColor="text1"/>
          <w:spacing w:val="20"/>
          <w:sz w:val="28"/>
          <w:szCs w:val="28"/>
          <w:highlight w:val="none"/>
          <w14:textFill>
            <w14:solidFill>
              <w14:schemeClr w14:val="tx1"/>
            </w14:solidFill>
          </w14:textFill>
        </w:rPr>
        <w:t>投标人</w:t>
      </w:r>
      <w:r>
        <w:rPr>
          <w:rFonts w:hint="eastAsia" w:ascii="新宋体" w:hAnsi="新宋体" w:eastAsia="新宋体" w:cs="新宋体"/>
          <w:color w:val="000000" w:themeColor="text1"/>
          <w:sz w:val="28"/>
          <w:szCs w:val="28"/>
          <w:highlight w:val="none"/>
          <w14:textFill>
            <w14:solidFill>
              <w14:schemeClr w14:val="tx1"/>
            </w14:solidFill>
          </w14:textFill>
        </w:rPr>
        <w:t>：</w:t>
      </w:r>
      <w:r>
        <w:rPr>
          <w:rFonts w:hint="eastAsia" w:ascii="新宋体" w:hAnsi="新宋体" w:eastAsia="新宋体" w:cs="新宋体"/>
          <w:color w:val="000000" w:themeColor="text1"/>
          <w:sz w:val="28"/>
          <w:szCs w:val="28"/>
          <w:highlight w:val="none"/>
          <w:u w:val="single"/>
          <w14:textFill>
            <w14:solidFill>
              <w14:schemeClr w14:val="tx1"/>
            </w14:solidFill>
          </w14:textFill>
        </w:rPr>
        <w:t xml:space="preserve">                                   </w:t>
      </w:r>
      <w:r>
        <w:rPr>
          <w:rFonts w:hint="eastAsia" w:ascii="新宋体" w:hAnsi="新宋体" w:eastAsia="新宋体" w:cs="新宋体"/>
          <w:color w:val="000000" w:themeColor="text1"/>
          <w:spacing w:val="20"/>
          <w:sz w:val="28"/>
          <w:szCs w:val="28"/>
          <w:highlight w:val="none"/>
          <w:u w:val="single"/>
          <w:lang w:eastAsia="zh-CN"/>
          <w14:textFill>
            <w14:solidFill>
              <w14:schemeClr w14:val="tx1"/>
            </w14:solidFill>
          </w14:textFill>
        </w:rPr>
        <w:t>（电子签章）</w:t>
      </w:r>
    </w:p>
    <w:p w14:paraId="14583BB2">
      <w:pPr>
        <w:spacing w:line="700" w:lineRule="exact"/>
        <w:ind w:firstLine="504" w:firstLineChars="180"/>
        <w:rPr>
          <w:rFonts w:hint="eastAsia" w:ascii="新宋体" w:hAnsi="新宋体" w:eastAsia="新宋体" w:cs="新宋体"/>
          <w:color w:val="000000" w:themeColor="text1"/>
          <w:sz w:val="28"/>
          <w:szCs w:val="28"/>
          <w:highlight w:val="none"/>
          <w:lang w:eastAsia="zh-CN"/>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法定代表人或其委托代理人：</w:t>
      </w:r>
      <w:r>
        <w:rPr>
          <w:rFonts w:hint="eastAsia" w:ascii="新宋体" w:hAnsi="新宋体" w:eastAsia="新宋体" w:cs="新宋体"/>
          <w:color w:val="000000" w:themeColor="text1"/>
          <w:sz w:val="28"/>
          <w:szCs w:val="28"/>
          <w:highlight w:val="none"/>
          <w:u w:val="single"/>
          <w14:textFill>
            <w14:solidFill>
              <w14:schemeClr w14:val="tx1"/>
            </w14:solidFill>
          </w14:textFill>
        </w:rPr>
        <w:t xml:space="preserve">             </w:t>
      </w:r>
      <w:r>
        <w:rPr>
          <w:rFonts w:hint="eastAsia" w:ascii="新宋体" w:hAnsi="新宋体" w:eastAsia="新宋体" w:cs="新宋体"/>
          <w:color w:val="000000" w:themeColor="text1"/>
          <w:sz w:val="28"/>
          <w:szCs w:val="28"/>
          <w:highlight w:val="none"/>
          <w:u w:val="single"/>
          <w:lang w:eastAsia="zh-CN"/>
          <w14:textFill>
            <w14:solidFill>
              <w14:schemeClr w14:val="tx1"/>
            </w14:solidFill>
          </w14:textFill>
        </w:rPr>
        <w:t>（电子签章）</w:t>
      </w:r>
    </w:p>
    <w:p w14:paraId="24EA0069">
      <w:pPr>
        <w:spacing w:line="700" w:lineRule="exact"/>
        <w:ind w:firstLine="504" w:firstLineChars="180"/>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投标人地址：</w:t>
      </w:r>
      <w:r>
        <w:rPr>
          <w:rFonts w:hint="eastAsia" w:ascii="新宋体" w:hAnsi="新宋体" w:eastAsia="新宋体" w:cs="新宋体"/>
          <w:color w:val="000000" w:themeColor="text1"/>
          <w:sz w:val="28"/>
          <w:szCs w:val="28"/>
          <w:highlight w:val="none"/>
          <w:u w:val="single"/>
          <w14:textFill>
            <w14:solidFill>
              <w14:schemeClr w14:val="tx1"/>
            </w14:solidFill>
          </w14:textFill>
        </w:rPr>
        <w:t xml:space="preserve">                                        </w:t>
      </w:r>
      <w:r>
        <w:rPr>
          <w:rFonts w:hint="eastAsia" w:ascii="新宋体" w:hAnsi="新宋体" w:eastAsia="新宋体" w:cs="新宋体"/>
          <w:color w:val="000000" w:themeColor="text1"/>
          <w:sz w:val="28"/>
          <w:szCs w:val="28"/>
          <w:highlight w:val="none"/>
          <w14:textFill>
            <w14:solidFill>
              <w14:schemeClr w14:val="tx1"/>
            </w14:solidFill>
          </w14:textFill>
        </w:rPr>
        <w:t xml:space="preserve"> </w:t>
      </w:r>
    </w:p>
    <w:p w14:paraId="2946C290">
      <w:pPr>
        <w:ind w:firstLine="504" w:firstLineChars="180"/>
        <w:rPr>
          <w:rFonts w:hint="eastAsia" w:ascii="新宋体" w:hAnsi="新宋体" w:eastAsia="新宋体" w:cs="新宋体"/>
          <w:color w:val="000000" w:themeColor="text1"/>
          <w:sz w:val="28"/>
          <w:szCs w:val="28"/>
          <w:highlight w:val="none"/>
          <w14:textFill>
            <w14:solidFill>
              <w14:schemeClr w14:val="tx1"/>
            </w14:solidFill>
          </w14:textFill>
        </w:rPr>
      </w:pPr>
      <w:r>
        <w:rPr>
          <w:rFonts w:hint="eastAsia" w:ascii="新宋体" w:hAnsi="新宋体" w:eastAsia="新宋体" w:cs="新宋体"/>
          <w:color w:val="000000" w:themeColor="text1"/>
          <w:sz w:val="28"/>
          <w:szCs w:val="28"/>
          <w:highlight w:val="none"/>
          <w14:textFill>
            <w14:solidFill>
              <w14:schemeClr w14:val="tx1"/>
            </w14:solidFill>
          </w14:textFill>
        </w:rPr>
        <w:t>开标日期：</w:t>
      </w:r>
      <w:r>
        <w:rPr>
          <w:rFonts w:hint="eastAsia" w:ascii="新宋体" w:hAnsi="新宋体" w:eastAsia="新宋体" w:cs="新宋体"/>
          <w:color w:val="000000" w:themeColor="text1"/>
          <w:sz w:val="28"/>
          <w:szCs w:val="28"/>
          <w:highlight w:val="none"/>
          <w:u w:val="single"/>
          <w14:textFill>
            <w14:solidFill>
              <w14:schemeClr w14:val="tx1"/>
            </w14:solidFill>
          </w14:textFill>
        </w:rPr>
        <w:t xml:space="preserve">          </w:t>
      </w:r>
      <w:r>
        <w:rPr>
          <w:rFonts w:hint="eastAsia" w:ascii="新宋体" w:hAnsi="新宋体" w:eastAsia="新宋体" w:cs="新宋体"/>
          <w:color w:val="000000" w:themeColor="text1"/>
          <w:sz w:val="28"/>
          <w:szCs w:val="28"/>
          <w:highlight w:val="none"/>
          <w14:textFill>
            <w14:solidFill>
              <w14:schemeClr w14:val="tx1"/>
            </w14:solidFill>
          </w14:textFill>
        </w:rPr>
        <w:t>年</w:t>
      </w:r>
      <w:r>
        <w:rPr>
          <w:rFonts w:hint="eastAsia" w:ascii="新宋体" w:hAnsi="新宋体" w:eastAsia="新宋体" w:cs="新宋体"/>
          <w:color w:val="000000" w:themeColor="text1"/>
          <w:sz w:val="28"/>
          <w:szCs w:val="28"/>
          <w:highlight w:val="none"/>
          <w:u w:val="single"/>
          <w14:textFill>
            <w14:solidFill>
              <w14:schemeClr w14:val="tx1"/>
            </w14:solidFill>
          </w14:textFill>
        </w:rPr>
        <w:t xml:space="preserve">    </w:t>
      </w:r>
      <w:r>
        <w:rPr>
          <w:rFonts w:hint="eastAsia" w:ascii="新宋体" w:hAnsi="新宋体" w:eastAsia="新宋体" w:cs="新宋体"/>
          <w:color w:val="000000" w:themeColor="text1"/>
          <w:sz w:val="28"/>
          <w:szCs w:val="28"/>
          <w:highlight w:val="none"/>
          <w14:textFill>
            <w14:solidFill>
              <w14:schemeClr w14:val="tx1"/>
            </w14:solidFill>
          </w14:textFill>
        </w:rPr>
        <w:t>月</w:t>
      </w:r>
      <w:r>
        <w:rPr>
          <w:rFonts w:hint="eastAsia" w:ascii="新宋体" w:hAnsi="新宋体" w:eastAsia="新宋体" w:cs="新宋体"/>
          <w:color w:val="000000" w:themeColor="text1"/>
          <w:sz w:val="28"/>
          <w:szCs w:val="28"/>
          <w:highlight w:val="none"/>
          <w:u w:val="single"/>
          <w14:textFill>
            <w14:solidFill>
              <w14:schemeClr w14:val="tx1"/>
            </w14:solidFill>
          </w14:textFill>
        </w:rPr>
        <w:t xml:space="preserve">    </w:t>
      </w:r>
      <w:r>
        <w:rPr>
          <w:rFonts w:hint="eastAsia" w:ascii="新宋体" w:hAnsi="新宋体" w:eastAsia="新宋体" w:cs="新宋体"/>
          <w:color w:val="000000" w:themeColor="text1"/>
          <w:sz w:val="28"/>
          <w:szCs w:val="28"/>
          <w:highlight w:val="none"/>
          <w14:textFill>
            <w14:solidFill>
              <w14:schemeClr w14:val="tx1"/>
            </w14:solidFill>
          </w14:textFill>
        </w:rPr>
        <w:t>日</w:t>
      </w:r>
    </w:p>
    <w:p w14:paraId="73B7157C">
      <w:pPr>
        <w:jc w:val="center"/>
        <w:rPr>
          <w:rFonts w:ascii="宋体" w:hAnsi="宋体"/>
          <w:color w:val="000000" w:themeColor="text1"/>
          <w:kern w:val="0"/>
          <w:sz w:val="24"/>
          <w:szCs w:val="24"/>
          <w14:textFill>
            <w14:solidFill>
              <w14:schemeClr w14:val="tx1"/>
            </w14:solidFill>
          </w14:textFill>
        </w:rPr>
      </w:pPr>
    </w:p>
    <w:p w14:paraId="786DBD91">
      <w:pPr>
        <w:keepNext/>
        <w:keepLines/>
        <w:widowControl/>
        <w:tabs>
          <w:tab w:val="left" w:pos="720"/>
        </w:tabs>
        <w:spacing w:before="120" w:after="120" w:line="360" w:lineRule="auto"/>
        <w:ind w:left="1098" w:hanging="1097" w:hangingChars="343"/>
        <w:jc w:val="center"/>
        <w:rPr>
          <w:rFonts w:ascii="宋体" w:hAnsi="宋体"/>
          <w:color w:val="000000" w:themeColor="text1"/>
          <w:kern w:val="0"/>
          <w:sz w:val="32"/>
          <w:szCs w:val="20"/>
          <w14:textFill>
            <w14:solidFill>
              <w14:schemeClr w14:val="tx1"/>
            </w14:solidFill>
          </w14:textFill>
        </w:rPr>
      </w:pPr>
      <w:r>
        <w:rPr>
          <w:rFonts w:ascii="宋体" w:hAnsi="宋体"/>
          <w:color w:val="000000" w:themeColor="text1"/>
          <w:kern w:val="0"/>
          <w:sz w:val="32"/>
          <w:szCs w:val="20"/>
          <w14:textFill>
            <w14:solidFill>
              <w14:schemeClr w14:val="tx1"/>
            </w14:solidFill>
          </w14:textFill>
        </w:rPr>
        <w:br w:type="page"/>
      </w:r>
    </w:p>
    <w:p w14:paraId="68D67162">
      <w:pPr>
        <w:widowControl/>
        <w:spacing w:before="100" w:beforeAutospacing="1" w:after="100" w:afterAutospacing="1"/>
        <w:jc w:val="center"/>
        <w:rPr>
          <w:rFonts w:ascii="宋体" w:hAnsi="宋体"/>
          <w:b/>
          <w:bCs/>
          <w:color w:val="000000" w:themeColor="text1"/>
          <w:kern w:val="0"/>
          <w:sz w:val="36"/>
          <w:szCs w:val="36"/>
          <w14:textFill>
            <w14:solidFill>
              <w14:schemeClr w14:val="tx1"/>
            </w14:solidFill>
          </w14:textFill>
        </w:rPr>
      </w:pPr>
      <w:r>
        <w:rPr>
          <w:rFonts w:hint="eastAsia" w:ascii="宋体" w:hAnsi="宋体"/>
          <w:b/>
          <w:bCs/>
          <w:color w:val="000000" w:themeColor="text1"/>
          <w:kern w:val="0"/>
          <w:sz w:val="36"/>
          <w:szCs w:val="36"/>
          <w:lang w:eastAsia="zh-CN"/>
          <w14:textFill>
            <w14:solidFill>
              <w14:schemeClr w14:val="tx1"/>
            </w14:solidFill>
          </w14:textFill>
        </w:rPr>
        <w:t>开</w:t>
      </w:r>
      <w:r>
        <w:rPr>
          <w:rFonts w:ascii="宋体" w:hAnsi="宋体"/>
          <w:b/>
          <w:bCs/>
          <w:color w:val="000000" w:themeColor="text1"/>
          <w:kern w:val="0"/>
          <w:sz w:val="36"/>
          <w:szCs w:val="36"/>
          <w14:textFill>
            <w14:solidFill>
              <w14:schemeClr w14:val="tx1"/>
            </w14:solidFill>
          </w14:textFill>
        </w:rPr>
        <w:t>唱标一览表</w:t>
      </w:r>
    </w:p>
    <w:p w14:paraId="35691EDA">
      <w:pPr>
        <w:spacing w:line="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spacing w:val="5"/>
          <w:sz w:val="21"/>
          <w:szCs w:val="21"/>
        </w:rPr>
        <w:t>项</w:t>
      </w:r>
      <w:r>
        <w:rPr>
          <w:rFonts w:hint="eastAsia" w:asciiTheme="minorEastAsia" w:hAnsiTheme="minorEastAsia" w:eastAsiaTheme="minorEastAsia" w:cstheme="minorEastAsia"/>
          <w:spacing w:val="60"/>
          <w:sz w:val="21"/>
          <w:szCs w:val="21"/>
        </w:rPr>
        <w:t xml:space="preserve"> </w:t>
      </w:r>
      <w:r>
        <w:rPr>
          <w:rFonts w:hint="eastAsia" w:asciiTheme="minorEastAsia" w:hAnsiTheme="minorEastAsia" w:eastAsiaTheme="minorEastAsia" w:cstheme="minorEastAsia"/>
          <w:spacing w:val="5"/>
          <w:sz w:val="21"/>
          <w:szCs w:val="21"/>
        </w:rPr>
        <w:t>目 名 称：</w:t>
      </w:r>
      <w:r>
        <w:rPr>
          <w:rFonts w:hint="eastAsia" w:asciiTheme="minorEastAsia" w:hAnsiTheme="minorEastAsia" w:eastAsiaTheme="minorEastAsia" w:cstheme="minorEastAsia"/>
          <w:spacing w:val="-59"/>
          <w:sz w:val="21"/>
          <w:szCs w:val="21"/>
        </w:rPr>
        <w:t xml:space="preserve"> </w:t>
      </w:r>
    </w:p>
    <w:tbl>
      <w:tblPr>
        <w:tblStyle w:val="37"/>
        <w:tblW w:w="860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19"/>
        <w:gridCol w:w="2591"/>
        <w:gridCol w:w="1261"/>
        <w:gridCol w:w="1391"/>
        <w:gridCol w:w="1438"/>
      </w:tblGrid>
      <w:tr w14:paraId="3CF51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1" w:hRule="atLeast"/>
        </w:trPr>
        <w:tc>
          <w:tcPr>
            <w:tcW w:w="1919" w:type="dxa"/>
            <w:tcBorders>
              <w:left w:val="single" w:color="000000" w:sz="6" w:space="0"/>
            </w:tcBorders>
            <w:vAlign w:val="top"/>
          </w:tcPr>
          <w:p w14:paraId="2CA83BE0">
            <w:pPr>
              <w:spacing w:line="437" w:lineRule="auto"/>
              <w:rPr>
                <w:rFonts w:hint="eastAsia" w:asciiTheme="minorEastAsia" w:hAnsiTheme="minorEastAsia" w:eastAsiaTheme="minorEastAsia" w:cstheme="minorEastAsia"/>
                <w:sz w:val="21"/>
                <w:szCs w:val="21"/>
              </w:rPr>
            </w:pPr>
          </w:p>
          <w:p w14:paraId="17BF4DAF">
            <w:pPr>
              <w:pStyle w:val="36"/>
              <w:spacing w:before="65" w:line="228" w:lineRule="auto"/>
              <w:ind w:left="43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投标人全称</w:t>
            </w:r>
          </w:p>
        </w:tc>
        <w:tc>
          <w:tcPr>
            <w:tcW w:w="2591" w:type="dxa"/>
            <w:vAlign w:val="top"/>
          </w:tcPr>
          <w:p w14:paraId="03BBC695">
            <w:pPr>
              <w:spacing w:line="437" w:lineRule="auto"/>
              <w:rPr>
                <w:rFonts w:hint="eastAsia" w:asciiTheme="minorEastAsia" w:hAnsiTheme="minorEastAsia" w:eastAsiaTheme="minorEastAsia" w:cstheme="minorEastAsia"/>
                <w:sz w:val="21"/>
                <w:szCs w:val="21"/>
              </w:rPr>
            </w:pPr>
          </w:p>
          <w:p w14:paraId="5F6AC866">
            <w:pPr>
              <w:pStyle w:val="36"/>
              <w:spacing w:before="65" w:line="226" w:lineRule="auto"/>
              <w:ind w:left="5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投标总报价(元)</w:t>
            </w:r>
          </w:p>
        </w:tc>
        <w:tc>
          <w:tcPr>
            <w:tcW w:w="1261" w:type="dxa"/>
            <w:vAlign w:val="top"/>
          </w:tcPr>
          <w:p w14:paraId="26B862FB">
            <w:pPr>
              <w:spacing w:line="244" w:lineRule="auto"/>
              <w:rPr>
                <w:rFonts w:hint="eastAsia" w:asciiTheme="minorEastAsia" w:hAnsiTheme="minorEastAsia" w:eastAsiaTheme="minorEastAsia" w:cstheme="minorEastAsia"/>
                <w:sz w:val="21"/>
                <w:szCs w:val="21"/>
              </w:rPr>
            </w:pPr>
          </w:p>
          <w:p w14:paraId="78824971">
            <w:pPr>
              <w:spacing w:line="244" w:lineRule="auto"/>
              <w:rPr>
                <w:rFonts w:hint="eastAsia" w:asciiTheme="minorEastAsia" w:hAnsiTheme="minorEastAsia" w:eastAsiaTheme="minorEastAsia" w:cstheme="minorEastAsia"/>
                <w:sz w:val="21"/>
                <w:szCs w:val="21"/>
              </w:rPr>
            </w:pPr>
          </w:p>
          <w:p w14:paraId="61AE5C01">
            <w:pPr>
              <w:pStyle w:val="36"/>
              <w:spacing w:before="65" w:line="228" w:lineRule="auto"/>
              <w:ind w:left="16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工</w:t>
            </w:r>
            <w:r>
              <w:rPr>
                <w:rFonts w:hint="eastAsia" w:asciiTheme="minorEastAsia" w:hAnsiTheme="minorEastAsia" w:eastAsiaTheme="minorEastAsia" w:cstheme="minorEastAsia"/>
                <w:spacing w:val="17"/>
                <w:sz w:val="21"/>
                <w:szCs w:val="21"/>
              </w:rPr>
              <w:t xml:space="preserve"> </w:t>
            </w:r>
            <w:r>
              <w:rPr>
                <w:rFonts w:hint="eastAsia" w:asciiTheme="minorEastAsia" w:hAnsiTheme="minorEastAsia" w:eastAsiaTheme="minorEastAsia" w:cstheme="minorEastAsia"/>
                <w:spacing w:val="3"/>
                <w:sz w:val="21"/>
                <w:szCs w:val="21"/>
              </w:rPr>
              <w:t>期(天)</w:t>
            </w:r>
          </w:p>
        </w:tc>
        <w:tc>
          <w:tcPr>
            <w:tcW w:w="1391" w:type="dxa"/>
            <w:vAlign w:val="top"/>
          </w:tcPr>
          <w:p w14:paraId="589626C9">
            <w:pPr>
              <w:spacing w:line="437" w:lineRule="auto"/>
              <w:rPr>
                <w:rFonts w:hint="eastAsia" w:asciiTheme="minorEastAsia" w:hAnsiTheme="minorEastAsia" w:eastAsiaTheme="minorEastAsia" w:cstheme="minorEastAsia"/>
                <w:sz w:val="21"/>
                <w:szCs w:val="21"/>
              </w:rPr>
            </w:pPr>
          </w:p>
          <w:p w14:paraId="0B973F67">
            <w:pPr>
              <w:pStyle w:val="36"/>
              <w:spacing w:before="65" w:line="228" w:lineRule="auto"/>
              <w:ind w:left="2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7"/>
                <w:sz w:val="21"/>
                <w:szCs w:val="21"/>
              </w:rPr>
              <w:t>质量目标</w:t>
            </w:r>
          </w:p>
        </w:tc>
        <w:tc>
          <w:tcPr>
            <w:tcW w:w="1438" w:type="dxa"/>
            <w:tcBorders>
              <w:right w:val="single" w:color="000000" w:sz="6" w:space="0"/>
            </w:tcBorders>
            <w:vAlign w:val="top"/>
          </w:tcPr>
          <w:p w14:paraId="6AD9D645">
            <w:pPr>
              <w:spacing w:line="437" w:lineRule="auto"/>
              <w:rPr>
                <w:rFonts w:hint="eastAsia" w:asciiTheme="minorEastAsia" w:hAnsiTheme="minorEastAsia" w:eastAsiaTheme="minorEastAsia" w:cstheme="minorEastAsia"/>
                <w:sz w:val="21"/>
                <w:szCs w:val="21"/>
              </w:rPr>
            </w:pPr>
          </w:p>
          <w:p w14:paraId="6DAD53F2">
            <w:pPr>
              <w:pStyle w:val="36"/>
              <w:spacing w:before="65" w:line="229" w:lineRule="auto"/>
              <w:ind w:left="51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备注</w:t>
            </w:r>
          </w:p>
        </w:tc>
      </w:tr>
      <w:tr w14:paraId="6C112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3" w:hRule="atLeast"/>
        </w:trPr>
        <w:tc>
          <w:tcPr>
            <w:tcW w:w="1919" w:type="dxa"/>
            <w:tcBorders>
              <w:left w:val="single" w:color="000000" w:sz="6" w:space="0"/>
            </w:tcBorders>
            <w:vAlign w:val="top"/>
          </w:tcPr>
          <w:p w14:paraId="131606E1">
            <w:pPr>
              <w:rPr>
                <w:rFonts w:hint="eastAsia" w:asciiTheme="minorEastAsia" w:hAnsiTheme="minorEastAsia" w:eastAsiaTheme="minorEastAsia" w:cstheme="minorEastAsia"/>
                <w:sz w:val="21"/>
                <w:szCs w:val="21"/>
              </w:rPr>
            </w:pPr>
          </w:p>
        </w:tc>
        <w:tc>
          <w:tcPr>
            <w:tcW w:w="2591" w:type="dxa"/>
            <w:vAlign w:val="top"/>
          </w:tcPr>
          <w:p w14:paraId="62F0A4EE">
            <w:pPr>
              <w:spacing w:line="317" w:lineRule="auto"/>
              <w:rPr>
                <w:rFonts w:hint="eastAsia" w:asciiTheme="minorEastAsia" w:hAnsiTheme="minorEastAsia" w:eastAsiaTheme="minorEastAsia" w:cstheme="minorEastAsia"/>
                <w:sz w:val="21"/>
                <w:szCs w:val="21"/>
              </w:rPr>
            </w:pPr>
          </w:p>
          <w:p w14:paraId="678361D8">
            <w:pPr>
              <w:pStyle w:val="36"/>
              <w:spacing w:before="65" w:line="230" w:lineRule="auto"/>
              <w:ind w:left="98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小写：</w:t>
            </w:r>
          </w:p>
          <w:p w14:paraId="1BBFC395">
            <w:pPr>
              <w:pStyle w:val="36"/>
              <w:spacing w:before="149" w:line="228" w:lineRule="auto"/>
              <w:ind w:left="98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大写：</w:t>
            </w:r>
          </w:p>
        </w:tc>
        <w:tc>
          <w:tcPr>
            <w:tcW w:w="1261" w:type="dxa"/>
            <w:vAlign w:val="top"/>
          </w:tcPr>
          <w:p w14:paraId="59419548">
            <w:pPr>
              <w:rPr>
                <w:rFonts w:hint="eastAsia" w:asciiTheme="minorEastAsia" w:hAnsiTheme="minorEastAsia" w:eastAsiaTheme="minorEastAsia" w:cstheme="minorEastAsia"/>
                <w:sz w:val="21"/>
                <w:szCs w:val="21"/>
              </w:rPr>
            </w:pPr>
          </w:p>
        </w:tc>
        <w:tc>
          <w:tcPr>
            <w:tcW w:w="1391" w:type="dxa"/>
            <w:vAlign w:val="top"/>
          </w:tcPr>
          <w:p w14:paraId="4D381C8F">
            <w:pPr>
              <w:rPr>
                <w:rFonts w:hint="eastAsia" w:asciiTheme="minorEastAsia" w:hAnsiTheme="minorEastAsia" w:eastAsiaTheme="minorEastAsia" w:cstheme="minorEastAsia"/>
                <w:sz w:val="21"/>
                <w:szCs w:val="21"/>
              </w:rPr>
            </w:pPr>
          </w:p>
        </w:tc>
        <w:tc>
          <w:tcPr>
            <w:tcW w:w="1438" w:type="dxa"/>
            <w:tcBorders>
              <w:right w:val="single" w:color="000000" w:sz="6" w:space="0"/>
            </w:tcBorders>
            <w:vAlign w:val="top"/>
          </w:tcPr>
          <w:p w14:paraId="011880B4">
            <w:pPr>
              <w:rPr>
                <w:rFonts w:hint="eastAsia" w:asciiTheme="minorEastAsia" w:hAnsiTheme="minorEastAsia" w:eastAsiaTheme="minorEastAsia" w:cstheme="minorEastAsia"/>
                <w:sz w:val="21"/>
                <w:szCs w:val="21"/>
              </w:rPr>
            </w:pPr>
          </w:p>
        </w:tc>
      </w:tr>
      <w:tr w14:paraId="6F55C9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1" w:hRule="atLeast"/>
        </w:trPr>
        <w:tc>
          <w:tcPr>
            <w:tcW w:w="8600" w:type="dxa"/>
            <w:gridSpan w:val="5"/>
            <w:tcBorders>
              <w:left w:val="single" w:color="000000" w:sz="6" w:space="0"/>
              <w:bottom w:val="single" w:color="000000" w:sz="6" w:space="0"/>
              <w:right w:val="single" w:color="000000" w:sz="6" w:space="0"/>
            </w:tcBorders>
            <w:vAlign w:val="top"/>
          </w:tcPr>
          <w:p w14:paraId="3A2C0013">
            <w:pPr>
              <w:spacing w:line="478" w:lineRule="auto"/>
              <w:rPr>
                <w:rFonts w:hint="eastAsia" w:asciiTheme="minorEastAsia" w:hAnsiTheme="minorEastAsia" w:eastAsiaTheme="minorEastAsia" w:cstheme="minorEastAsia"/>
                <w:sz w:val="21"/>
                <w:szCs w:val="21"/>
              </w:rPr>
            </w:pPr>
          </w:p>
          <w:p w14:paraId="65760A5D">
            <w:pPr>
              <w:pStyle w:val="36"/>
              <w:spacing w:before="65" w:line="228" w:lineRule="auto"/>
              <w:ind w:left="428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投   标   人</w:t>
            </w:r>
            <w:r>
              <w:rPr>
                <w:rFonts w:hint="eastAsia" w:asciiTheme="minorEastAsia" w:hAnsiTheme="minorEastAsia" w:eastAsiaTheme="minorEastAsia" w:cstheme="minorEastAsia"/>
                <w:spacing w:val="-19"/>
                <w:sz w:val="21"/>
                <w:szCs w:val="21"/>
              </w:rPr>
              <w:t>：</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19"/>
                <w:sz w:val="21"/>
                <w:szCs w:val="21"/>
                <w:u w:val="single" w:color="auto"/>
              </w:rPr>
              <w:t>（</w:t>
            </w:r>
            <w:r>
              <w:rPr>
                <w:rFonts w:hint="eastAsia" w:asciiTheme="minorEastAsia" w:hAnsiTheme="minorEastAsia" w:eastAsiaTheme="minorEastAsia" w:cstheme="minorEastAsia"/>
                <w:spacing w:val="10"/>
                <w:sz w:val="21"/>
                <w:szCs w:val="21"/>
                <w:u w:val="single" w:color="auto"/>
              </w:rPr>
              <w:t>名称）</w:t>
            </w:r>
            <w:r>
              <w:rPr>
                <w:rFonts w:hint="eastAsia" w:asciiTheme="minorEastAsia" w:hAnsiTheme="minorEastAsia" w:eastAsiaTheme="minorEastAsia" w:cstheme="minorEastAsia"/>
                <w:sz w:val="21"/>
                <w:szCs w:val="21"/>
                <w:u w:val="single" w:color="auto"/>
              </w:rPr>
              <w:t xml:space="preserve">      </w:t>
            </w:r>
          </w:p>
          <w:p w14:paraId="7AB79C9A">
            <w:pPr>
              <w:pStyle w:val="36"/>
              <w:spacing w:before="153" w:line="227" w:lineRule="auto"/>
              <w:ind w:left="707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color w:val="000000" w:themeColor="text1"/>
                <w:spacing w:val="20"/>
                <w:sz w:val="21"/>
                <w:szCs w:val="21"/>
                <w:highlight w:val="none"/>
                <w:u w:val="single"/>
                <w:lang w:eastAsia="zh-CN"/>
                <w14:textFill>
                  <w14:solidFill>
                    <w14:schemeClr w14:val="tx1"/>
                  </w14:solidFill>
                </w14:textFill>
              </w:rPr>
              <w:t>电子签章</w:t>
            </w:r>
            <w:r>
              <w:rPr>
                <w:rFonts w:hint="eastAsia" w:asciiTheme="minorEastAsia" w:hAnsiTheme="minorEastAsia" w:eastAsiaTheme="minorEastAsia" w:cstheme="minorEastAsia"/>
                <w:sz w:val="21"/>
                <w:szCs w:val="21"/>
              </w:rPr>
              <w:t>)</w:t>
            </w:r>
          </w:p>
          <w:p w14:paraId="64FE86AD">
            <w:pPr>
              <w:spacing w:line="242" w:lineRule="auto"/>
              <w:rPr>
                <w:rFonts w:hint="eastAsia" w:asciiTheme="minorEastAsia" w:hAnsiTheme="minorEastAsia" w:eastAsiaTheme="minorEastAsia" w:cstheme="minorEastAsia"/>
                <w:sz w:val="21"/>
                <w:szCs w:val="21"/>
              </w:rPr>
            </w:pPr>
          </w:p>
          <w:p w14:paraId="65BE74A6">
            <w:pPr>
              <w:spacing w:line="243" w:lineRule="auto"/>
              <w:rPr>
                <w:rFonts w:hint="eastAsia" w:asciiTheme="minorEastAsia" w:hAnsiTheme="minorEastAsia" w:eastAsiaTheme="minorEastAsia" w:cstheme="minorEastAsia"/>
                <w:sz w:val="21"/>
                <w:szCs w:val="21"/>
              </w:rPr>
            </w:pPr>
          </w:p>
          <w:p w14:paraId="697D1A83">
            <w:pPr>
              <w:pStyle w:val="36"/>
              <w:spacing w:before="65" w:line="228" w:lineRule="auto"/>
              <w:ind w:left="305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法定代表人（或委托代理人</w:t>
            </w: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1"/>
                <w:sz w:val="21"/>
                <w:szCs w:val="21"/>
                <w:u w:val="single" w:color="auto"/>
              </w:rPr>
              <w:t>（</w:t>
            </w:r>
            <w:r>
              <w:rPr>
                <w:rFonts w:hint="eastAsia" w:asciiTheme="minorEastAsia" w:hAnsiTheme="minorEastAsia" w:eastAsiaTheme="minorEastAsia" w:cstheme="minorEastAsia"/>
                <w:spacing w:val="10"/>
                <w:sz w:val="21"/>
                <w:szCs w:val="21"/>
                <w:u w:val="single" w:color="auto"/>
              </w:rPr>
              <w:t>姓名）</w:t>
            </w:r>
            <w:r>
              <w:rPr>
                <w:rFonts w:hint="eastAsia" w:asciiTheme="minorEastAsia" w:hAnsiTheme="minorEastAsia" w:eastAsiaTheme="minorEastAsia" w:cstheme="minorEastAsia"/>
                <w:spacing w:val="1"/>
                <w:sz w:val="21"/>
                <w:szCs w:val="21"/>
                <w:u w:val="single" w:color="auto"/>
              </w:rPr>
              <w:t xml:space="preserve">    </w:t>
            </w:r>
          </w:p>
          <w:p w14:paraId="50CC9F50">
            <w:pPr>
              <w:pStyle w:val="36"/>
              <w:spacing w:before="154" w:line="227" w:lineRule="auto"/>
              <w:ind w:left="726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w:t>
            </w:r>
            <w:r>
              <w:rPr>
                <w:rFonts w:hint="eastAsia" w:asciiTheme="minorEastAsia" w:hAnsiTheme="minorEastAsia" w:eastAsiaTheme="minorEastAsia" w:cstheme="minorEastAsia"/>
                <w:color w:val="000000" w:themeColor="text1"/>
                <w:spacing w:val="20"/>
                <w:sz w:val="21"/>
                <w:szCs w:val="21"/>
                <w:highlight w:val="none"/>
                <w:u w:val="single"/>
                <w:lang w:eastAsia="zh-CN"/>
                <w14:textFill>
                  <w14:solidFill>
                    <w14:schemeClr w14:val="tx1"/>
                  </w14:solidFill>
                </w14:textFill>
              </w:rPr>
              <w:t>电子签章</w:t>
            </w:r>
            <w:r>
              <w:rPr>
                <w:rFonts w:hint="eastAsia" w:asciiTheme="minorEastAsia" w:hAnsiTheme="minorEastAsia" w:eastAsiaTheme="minorEastAsia" w:cstheme="minorEastAsia"/>
                <w:spacing w:val="1"/>
                <w:sz w:val="21"/>
                <w:szCs w:val="21"/>
              </w:rPr>
              <w:t>)</w:t>
            </w:r>
          </w:p>
          <w:p w14:paraId="11E45137">
            <w:pPr>
              <w:spacing w:line="292" w:lineRule="auto"/>
              <w:rPr>
                <w:rFonts w:hint="eastAsia" w:asciiTheme="minorEastAsia" w:hAnsiTheme="minorEastAsia" w:eastAsiaTheme="minorEastAsia" w:cstheme="minorEastAsia"/>
                <w:sz w:val="21"/>
                <w:szCs w:val="21"/>
              </w:rPr>
            </w:pPr>
          </w:p>
          <w:p w14:paraId="3CE19A2A">
            <w:pPr>
              <w:spacing w:line="293" w:lineRule="auto"/>
              <w:rPr>
                <w:rFonts w:hint="eastAsia" w:asciiTheme="minorEastAsia" w:hAnsiTheme="minorEastAsia" w:eastAsiaTheme="minorEastAsia" w:cstheme="minorEastAsia"/>
                <w:sz w:val="21"/>
                <w:szCs w:val="21"/>
              </w:rPr>
            </w:pPr>
          </w:p>
          <w:p w14:paraId="2E3AFDB5">
            <w:pPr>
              <w:pStyle w:val="36"/>
              <w:spacing w:before="65" w:line="228" w:lineRule="auto"/>
              <w:ind w:left="691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年</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87"/>
                <w:sz w:val="21"/>
                <w:szCs w:val="21"/>
              </w:rPr>
              <w:t xml:space="preserve"> </w:t>
            </w:r>
            <w:r>
              <w:rPr>
                <w:rFonts w:hint="eastAsia" w:asciiTheme="minorEastAsia" w:hAnsiTheme="minorEastAsia" w:eastAsiaTheme="minorEastAsia" w:cstheme="minorEastAsia"/>
                <w:spacing w:val="-2"/>
                <w:sz w:val="21"/>
                <w:szCs w:val="21"/>
              </w:rPr>
              <w:t>月</w:t>
            </w:r>
            <w:r>
              <w:rPr>
                <w:rFonts w:hint="eastAsia" w:asciiTheme="minorEastAsia" w:hAnsiTheme="minorEastAsia" w:eastAsiaTheme="minorEastAsia" w:cstheme="minorEastAsia"/>
                <w:spacing w:val="-98"/>
                <w:sz w:val="21"/>
                <w:szCs w:val="21"/>
              </w:rPr>
              <w:t xml:space="preserve"> </w:t>
            </w:r>
            <w:r>
              <w:rPr>
                <w:rFonts w:hint="eastAsia" w:asciiTheme="minorEastAsia" w:hAnsiTheme="minorEastAsia" w:eastAsiaTheme="minorEastAsia" w:cstheme="minorEastAsia"/>
                <w:spacing w:val="5"/>
                <w:sz w:val="21"/>
                <w:szCs w:val="21"/>
                <w:u w:val="single" w:color="auto"/>
              </w:rPr>
              <w:t xml:space="preserve">    </w:t>
            </w:r>
            <w:r>
              <w:rPr>
                <w:rFonts w:hint="eastAsia" w:asciiTheme="minorEastAsia" w:hAnsiTheme="minorEastAsia" w:eastAsiaTheme="minorEastAsia" w:cstheme="minorEastAsia"/>
                <w:spacing w:val="-55"/>
                <w:sz w:val="21"/>
                <w:szCs w:val="21"/>
              </w:rPr>
              <w:t xml:space="preserve"> </w:t>
            </w:r>
            <w:r>
              <w:rPr>
                <w:rFonts w:hint="eastAsia" w:asciiTheme="minorEastAsia" w:hAnsiTheme="minorEastAsia" w:eastAsiaTheme="minorEastAsia" w:cstheme="minorEastAsia"/>
                <w:spacing w:val="-2"/>
                <w:sz w:val="21"/>
                <w:szCs w:val="21"/>
              </w:rPr>
              <w:t>日</w:t>
            </w:r>
          </w:p>
        </w:tc>
      </w:tr>
    </w:tbl>
    <w:p w14:paraId="36933C58">
      <w:pPr>
        <w:snapToGrid w:val="0"/>
        <w:spacing w:line="480" w:lineRule="auto"/>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pPr>
    </w:p>
    <w:p w14:paraId="036688F9">
      <w:pPr>
        <w:keepNext/>
        <w:keepLines/>
        <w:widowControl/>
        <w:tabs>
          <w:tab w:val="left" w:pos="720"/>
        </w:tabs>
        <w:spacing w:before="120" w:after="120" w:line="360" w:lineRule="auto"/>
        <w:ind w:left="720" w:hanging="723" w:hangingChars="343"/>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注：1.此表中的内容必须与投标文件中的相关内容一致，如出现不一致时，责任由投标人自负。</w:t>
      </w:r>
    </w:p>
    <w:p w14:paraId="3959D524">
      <w:pPr>
        <w:keepNext/>
        <w:keepLines/>
        <w:widowControl/>
        <w:tabs>
          <w:tab w:val="left" w:pos="720"/>
        </w:tabs>
        <w:spacing w:before="120" w:after="120" w:line="360" w:lineRule="auto"/>
        <w:ind w:left="721" w:leftChars="200" w:hanging="301" w:hangingChars="143"/>
        <w:jc w:val="both"/>
        <w:rPr>
          <w:rFonts w:ascii="宋体" w:hAnsi="宋体"/>
          <w:color w:val="000000" w:themeColor="text1"/>
          <w:kern w:val="0"/>
          <w:sz w:val="32"/>
          <w:szCs w:val="20"/>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2.此表放在投标文件的扉页</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并不得对格式进行修改。</w:t>
      </w:r>
      <w:r>
        <w:rPr>
          <w:rFonts w:ascii="宋体" w:hAnsi="宋体"/>
          <w:color w:val="000000" w:themeColor="text1"/>
          <w:kern w:val="0"/>
          <w:sz w:val="24"/>
          <w:szCs w:val="24"/>
          <w14:textFill>
            <w14:solidFill>
              <w14:schemeClr w14:val="tx1"/>
            </w14:solidFill>
          </w14:textFill>
        </w:rPr>
        <w:br w:type="page"/>
      </w:r>
    </w:p>
    <w:p w14:paraId="30C3E3F6">
      <w:pPr>
        <w:keepNext/>
        <w:keepLines/>
        <w:widowControl/>
        <w:tabs>
          <w:tab w:val="left" w:pos="720"/>
        </w:tabs>
        <w:spacing w:before="120" w:after="120" w:line="360" w:lineRule="auto"/>
        <w:ind w:left="1098" w:hanging="1102" w:hangingChars="343"/>
        <w:jc w:val="center"/>
        <w:rPr>
          <w:rFonts w:hint="eastAsia" w:ascii="宋体" w:hAnsi="宋体" w:cs="黑体"/>
          <w:b/>
          <w:bCs/>
          <w:color w:val="000000" w:themeColor="text1"/>
          <w:kern w:val="0"/>
          <w:sz w:val="32"/>
          <w:szCs w:val="20"/>
          <w14:textFill>
            <w14:solidFill>
              <w14:schemeClr w14:val="tx1"/>
            </w14:solidFill>
          </w14:textFill>
        </w:rPr>
      </w:pPr>
      <w:r>
        <w:rPr>
          <w:rFonts w:hint="eastAsia" w:ascii="宋体" w:hAnsi="宋体" w:cs="黑体"/>
          <w:b/>
          <w:bCs/>
          <w:color w:val="000000" w:themeColor="text1"/>
          <w:kern w:val="0"/>
          <w:sz w:val="32"/>
          <w:szCs w:val="20"/>
          <w14:textFill>
            <w14:solidFill>
              <w14:schemeClr w14:val="tx1"/>
            </w14:solidFill>
          </w14:textFill>
        </w:rPr>
        <w:t>目  录</w:t>
      </w:r>
    </w:p>
    <w:p w14:paraId="2F94C3B1">
      <w:pPr>
        <w:adjustRightInd w:val="0"/>
        <w:snapToGrid w:val="0"/>
        <w:spacing w:line="360" w:lineRule="auto"/>
        <w:jc w:val="left"/>
        <w:rPr>
          <w:color w:val="000000" w:themeColor="text1"/>
          <w14:textFill>
            <w14:solidFill>
              <w14:schemeClr w14:val="tx1"/>
            </w14:solidFill>
          </w14:textFill>
        </w:rPr>
      </w:pPr>
      <w:r>
        <w:rPr>
          <w:rFonts w:ascii="宋体" w:hAnsi="宋体"/>
          <w:b/>
          <w:bCs/>
          <w:color w:val="000000" w:themeColor="text1"/>
          <w:sz w:val="24"/>
          <w:szCs w:val="24"/>
          <w14:textFill>
            <w14:solidFill>
              <w14:schemeClr w14:val="tx1"/>
            </w14:solidFill>
          </w14:textFill>
        </w:rPr>
        <w:t>资格审查部分</w:t>
      </w:r>
    </w:p>
    <w:p w14:paraId="4D8B519A">
      <w:pPr>
        <w:adjustRightInd w:val="0"/>
        <w:snapToGrid w:val="0"/>
        <w:spacing w:line="360" w:lineRule="auto"/>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技术部分</w:t>
      </w:r>
    </w:p>
    <w:p w14:paraId="2CD4C7D7">
      <w:pPr>
        <w:adjustRightInd w:val="0"/>
        <w:snapToGrid w:val="0"/>
        <w:spacing w:line="360" w:lineRule="auto"/>
        <w:jc w:val="lef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商务部分</w:t>
      </w:r>
    </w:p>
    <w:p w14:paraId="15BA745C">
      <w:pPr>
        <w:spacing w:line="360" w:lineRule="auto"/>
        <w:jc w:val="left"/>
        <w:rPr>
          <w:rFonts w:ascii="宋体" w:hAnsi="宋体"/>
          <w:b/>
          <w:bCs/>
          <w:color w:val="000000" w:themeColor="text1"/>
          <w:sz w:val="24"/>
          <w:szCs w:val="24"/>
          <w14:textFill>
            <w14:solidFill>
              <w14:schemeClr w14:val="tx1"/>
            </w14:solidFill>
          </w14:textFill>
        </w:rPr>
      </w:pPr>
    </w:p>
    <w:p w14:paraId="5BD230B1">
      <w:pPr>
        <w:rPr>
          <w:rFonts w:ascii="宋体" w:hAnsi="宋体"/>
          <w:color w:val="000000" w:themeColor="text1"/>
          <w:kern w:val="0"/>
          <w:sz w:val="36"/>
          <w:szCs w:val="36"/>
          <w14:textFill>
            <w14:solidFill>
              <w14:schemeClr w14:val="tx1"/>
            </w14:solidFill>
          </w14:textFill>
        </w:rPr>
      </w:pPr>
      <w:r>
        <w:rPr>
          <w:rFonts w:ascii="宋体" w:hAnsi="宋体"/>
          <w:color w:val="000000" w:themeColor="text1"/>
          <w:kern w:val="0"/>
          <w:sz w:val="36"/>
          <w:szCs w:val="36"/>
          <w14:textFill>
            <w14:solidFill>
              <w14:schemeClr w14:val="tx1"/>
            </w14:solidFill>
          </w14:textFill>
        </w:rPr>
        <w:br w:type="page"/>
      </w:r>
    </w:p>
    <w:p w14:paraId="2BAE7FB4">
      <w:pPr>
        <w:spacing w:line="360" w:lineRule="auto"/>
        <w:jc w:val="center"/>
        <w:outlineLvl w:val="1"/>
        <w:rPr>
          <w:rFonts w:ascii="宋体" w:hAnsi="宋体"/>
          <w:b/>
          <w:bCs/>
          <w:color w:val="000000" w:themeColor="text1"/>
          <w:kern w:val="0"/>
          <w:sz w:val="44"/>
          <w:szCs w:val="44"/>
          <w14:textFill>
            <w14:solidFill>
              <w14:schemeClr w14:val="tx1"/>
            </w14:solidFill>
          </w14:textFill>
        </w:rPr>
      </w:pPr>
      <w:bookmarkStart w:id="1680" w:name="_Toc15239656"/>
      <w:bookmarkStart w:id="1681" w:name="_Toc15239638"/>
    </w:p>
    <w:p w14:paraId="5B2F7117">
      <w:pPr>
        <w:spacing w:line="360" w:lineRule="auto"/>
        <w:jc w:val="center"/>
        <w:outlineLvl w:val="1"/>
        <w:rPr>
          <w:rFonts w:ascii="宋体" w:hAnsi="宋体"/>
          <w:b/>
          <w:bCs/>
          <w:color w:val="000000" w:themeColor="text1"/>
          <w:kern w:val="0"/>
          <w:sz w:val="44"/>
          <w:szCs w:val="44"/>
          <w14:textFill>
            <w14:solidFill>
              <w14:schemeClr w14:val="tx1"/>
            </w14:solidFill>
          </w14:textFill>
        </w:rPr>
      </w:pPr>
    </w:p>
    <w:p w14:paraId="1162C95E">
      <w:pPr>
        <w:spacing w:line="360" w:lineRule="auto"/>
        <w:jc w:val="center"/>
        <w:outlineLvl w:val="1"/>
        <w:rPr>
          <w:rFonts w:ascii="宋体" w:hAnsi="宋体"/>
          <w:b/>
          <w:bCs/>
          <w:color w:val="000000" w:themeColor="text1"/>
          <w:kern w:val="0"/>
          <w:sz w:val="44"/>
          <w:szCs w:val="44"/>
          <w14:textFill>
            <w14:solidFill>
              <w14:schemeClr w14:val="tx1"/>
            </w14:solidFill>
          </w14:textFill>
        </w:rPr>
      </w:pPr>
    </w:p>
    <w:p w14:paraId="06AFAAA4">
      <w:pPr>
        <w:spacing w:line="360" w:lineRule="auto"/>
        <w:jc w:val="center"/>
        <w:outlineLvl w:val="1"/>
        <w:rPr>
          <w:rFonts w:ascii="宋体" w:hAnsi="宋体"/>
          <w:b/>
          <w:bCs/>
          <w:color w:val="000000" w:themeColor="text1"/>
          <w:kern w:val="0"/>
          <w:sz w:val="44"/>
          <w:szCs w:val="44"/>
          <w14:textFill>
            <w14:solidFill>
              <w14:schemeClr w14:val="tx1"/>
            </w14:solidFill>
          </w14:textFill>
        </w:rPr>
      </w:pPr>
    </w:p>
    <w:p w14:paraId="5C8994FB">
      <w:pPr>
        <w:spacing w:line="360" w:lineRule="auto"/>
        <w:jc w:val="center"/>
        <w:outlineLvl w:val="1"/>
        <w:rPr>
          <w:rFonts w:ascii="宋体" w:hAnsi="宋体"/>
          <w:b/>
          <w:bCs/>
          <w:color w:val="000000" w:themeColor="text1"/>
          <w:kern w:val="0"/>
          <w:sz w:val="44"/>
          <w:szCs w:val="44"/>
          <w14:textFill>
            <w14:solidFill>
              <w14:schemeClr w14:val="tx1"/>
            </w14:solidFill>
          </w14:textFill>
        </w:rPr>
      </w:pPr>
    </w:p>
    <w:p w14:paraId="3926CA15">
      <w:pPr>
        <w:spacing w:line="360" w:lineRule="auto"/>
        <w:jc w:val="center"/>
        <w:outlineLvl w:val="1"/>
        <w:rPr>
          <w:rFonts w:ascii="宋体" w:hAnsi="宋体"/>
          <w:b/>
          <w:bCs/>
          <w:color w:val="000000" w:themeColor="text1"/>
          <w:kern w:val="0"/>
          <w:sz w:val="44"/>
          <w:szCs w:val="44"/>
          <w14:textFill>
            <w14:solidFill>
              <w14:schemeClr w14:val="tx1"/>
            </w14:solidFill>
          </w14:textFill>
        </w:rPr>
      </w:pPr>
    </w:p>
    <w:p w14:paraId="49FF5EC9">
      <w:pPr>
        <w:spacing w:line="360" w:lineRule="auto"/>
        <w:jc w:val="center"/>
        <w:outlineLvl w:val="1"/>
        <w:rPr>
          <w:rFonts w:ascii="宋体" w:hAnsi="宋体"/>
          <w:b/>
          <w:bCs/>
          <w:color w:val="000000" w:themeColor="text1"/>
          <w:kern w:val="0"/>
          <w:sz w:val="44"/>
          <w:szCs w:val="44"/>
          <w14:textFill>
            <w14:solidFill>
              <w14:schemeClr w14:val="tx1"/>
            </w14:solidFill>
          </w14:textFill>
        </w:rPr>
      </w:pPr>
      <w:r>
        <w:rPr>
          <w:rFonts w:ascii="宋体" w:hAnsi="宋体"/>
          <w:b/>
          <w:bCs/>
          <w:color w:val="000000" w:themeColor="text1"/>
          <w:kern w:val="0"/>
          <w:sz w:val="44"/>
          <w:szCs w:val="44"/>
          <w14:textFill>
            <w14:solidFill>
              <w14:schemeClr w14:val="tx1"/>
            </w14:solidFill>
          </w14:textFill>
        </w:rPr>
        <w:t>资格审查部分</w:t>
      </w:r>
      <w:bookmarkEnd w:id="1680"/>
    </w:p>
    <w:p w14:paraId="60988647">
      <w:pPr>
        <w:spacing w:line="480" w:lineRule="auto"/>
        <w:jc w:val="center"/>
        <w:rPr>
          <w:rFonts w:ascii="宋体" w:hAnsi="宋体"/>
          <w:color w:val="000000" w:themeColor="text1"/>
          <w:sz w:val="48"/>
          <w:szCs w:val="24"/>
          <w:u w:val="single"/>
          <w14:textFill>
            <w14:solidFill>
              <w14:schemeClr w14:val="tx1"/>
            </w14:solidFill>
          </w14:textFill>
        </w:rPr>
      </w:pPr>
    </w:p>
    <w:p w14:paraId="7B742362">
      <w:pPr>
        <w:spacing w:line="480" w:lineRule="auto"/>
        <w:jc w:val="center"/>
        <w:rPr>
          <w:rFonts w:ascii="宋体" w:hAnsi="宋体"/>
          <w:color w:val="000000" w:themeColor="text1"/>
          <w:sz w:val="48"/>
          <w:szCs w:val="24"/>
          <w:u w:val="single"/>
          <w14:textFill>
            <w14:solidFill>
              <w14:schemeClr w14:val="tx1"/>
            </w14:solidFill>
          </w14:textFill>
        </w:rPr>
        <w:sectPr>
          <w:headerReference r:id="rId12" w:type="default"/>
          <w:footerReference r:id="rId13" w:type="default"/>
          <w:pgSz w:w="11905" w:h="16838"/>
          <w:pgMar w:top="1417" w:right="1417" w:bottom="1417" w:left="1417" w:header="850" w:footer="992" w:gutter="0"/>
          <w:pgNumType w:fmt="decimal"/>
          <w:cols w:space="0" w:num="1"/>
          <w:rtlGutter w:val="0"/>
          <w:docGrid w:type="lines" w:linePitch="317" w:charSpace="0"/>
        </w:sectPr>
      </w:pPr>
      <w:r>
        <w:rPr>
          <w:rFonts w:ascii="宋体" w:hAnsi="宋体"/>
          <w:color w:val="000000" w:themeColor="text1"/>
          <w:sz w:val="48"/>
          <w:szCs w:val="24"/>
          <w:u w:val="single"/>
          <w14:textFill>
            <w14:solidFill>
              <w14:schemeClr w14:val="tx1"/>
            </w14:solidFill>
          </w14:textFill>
        </w:rPr>
        <w:br w:type="page"/>
      </w:r>
      <w:bookmarkStart w:id="1682" w:name="_Toc14065"/>
      <w:bookmarkStart w:id="1683" w:name="_Toc9206"/>
    </w:p>
    <w:p w14:paraId="6468A9F0">
      <w:pPr>
        <w:spacing w:line="360" w:lineRule="auto"/>
        <w:jc w:val="center"/>
        <w:outlineLvl w:val="2"/>
        <w:rPr>
          <w:rFonts w:ascii="宋体" w:hAnsi="宋体" w:cs="Calibri"/>
          <w:b/>
          <w:color w:val="000000" w:themeColor="text1"/>
          <w:kern w:val="0"/>
          <w:sz w:val="28"/>
          <w:szCs w:val="28"/>
          <w14:textFill>
            <w14:solidFill>
              <w14:schemeClr w14:val="tx1"/>
            </w14:solidFill>
          </w14:textFill>
        </w:rPr>
      </w:pPr>
      <w:r>
        <w:rPr>
          <w:rFonts w:hint="eastAsia" w:ascii="宋体" w:hAnsi="宋体" w:cs="Calibri"/>
          <w:b/>
          <w:color w:val="000000" w:themeColor="text1"/>
          <w:kern w:val="0"/>
          <w:sz w:val="28"/>
          <w:szCs w:val="28"/>
          <w:lang w:val="en-US" w:eastAsia="zh-CN"/>
          <w14:textFill>
            <w14:solidFill>
              <w14:schemeClr w14:val="tx1"/>
            </w14:solidFill>
          </w14:textFill>
        </w:rPr>
        <w:t>一、</w:t>
      </w:r>
      <w:r>
        <w:rPr>
          <w:rFonts w:ascii="宋体" w:hAnsi="宋体" w:cs="Calibri"/>
          <w:b/>
          <w:color w:val="000000" w:themeColor="text1"/>
          <w:kern w:val="0"/>
          <w:sz w:val="28"/>
          <w:szCs w:val="28"/>
          <w14:textFill>
            <w14:solidFill>
              <w14:schemeClr w14:val="tx1"/>
            </w14:solidFill>
          </w14:textFill>
        </w:rPr>
        <w:t>资格</w:t>
      </w:r>
      <w:r>
        <w:rPr>
          <w:rFonts w:hint="eastAsia" w:ascii="宋体" w:hAnsi="宋体" w:cs="Calibri"/>
          <w:b/>
          <w:color w:val="000000" w:themeColor="text1"/>
          <w:kern w:val="0"/>
          <w:sz w:val="28"/>
          <w:szCs w:val="28"/>
          <w14:textFill>
            <w14:solidFill>
              <w14:schemeClr w14:val="tx1"/>
            </w14:solidFill>
          </w14:textFill>
        </w:rPr>
        <w:t>后审</w:t>
      </w:r>
      <w:r>
        <w:rPr>
          <w:rFonts w:ascii="宋体" w:hAnsi="宋体" w:cs="Calibri"/>
          <w:b/>
          <w:color w:val="000000" w:themeColor="text1"/>
          <w:kern w:val="0"/>
          <w:sz w:val="28"/>
          <w:szCs w:val="28"/>
          <w14:textFill>
            <w14:solidFill>
              <w14:schemeClr w14:val="tx1"/>
            </w14:solidFill>
          </w14:textFill>
        </w:rPr>
        <w:t>申请函</w:t>
      </w:r>
    </w:p>
    <w:p w14:paraId="6216784C">
      <w:pPr>
        <w:rPr>
          <w:rFonts w:ascii="宋体" w:hAnsi="宋体" w:cs="Calibri"/>
          <w:color w:val="000000" w:themeColor="text1"/>
          <w:kern w:val="0"/>
          <w14:textFill>
            <w14:solidFill>
              <w14:schemeClr w14:val="tx1"/>
            </w14:solidFill>
          </w14:textFill>
        </w:rPr>
      </w:pPr>
    </w:p>
    <w:p w14:paraId="5D4F10D9">
      <w:pPr>
        <w:rPr>
          <w:rFonts w:ascii="宋体" w:hAnsi="宋体" w:cs="Calibri"/>
          <w:color w:val="000000" w:themeColor="text1"/>
          <w:kern w:val="0"/>
          <w14:textFill>
            <w14:solidFill>
              <w14:schemeClr w14:val="tx1"/>
            </w14:solidFill>
          </w14:textFill>
        </w:rPr>
      </w:pPr>
    </w:p>
    <w:p w14:paraId="1B80BC40">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（招标人名称）：</w:t>
      </w:r>
    </w:p>
    <w:p w14:paraId="5211DEE3">
      <w:pPr>
        <w:pStyle w:val="7"/>
        <w:spacing w:before="65" w:line="432" w:lineRule="auto"/>
        <w:ind w:left="4" w:firstLine="43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1.按照招标文件的要求，我方</w:t>
      </w:r>
      <w:r>
        <w:rPr>
          <w:rFonts w:hint="eastAsia" w:asciiTheme="minorEastAsia" w:hAnsiTheme="minorEastAsia" w:eastAsiaTheme="minorEastAsia" w:cstheme="minorEastAsia"/>
          <w:color w:val="auto"/>
          <w:spacing w:val="7"/>
          <w:sz w:val="21"/>
          <w:szCs w:val="21"/>
          <w:highlight w:val="none"/>
          <w:u w:val="single" w:color="auto"/>
        </w:rPr>
        <w:t xml:space="preserve">        （投标人名称）       </w:t>
      </w:r>
      <w:r>
        <w:rPr>
          <w:rFonts w:hint="eastAsia" w:asciiTheme="minorEastAsia" w:hAnsiTheme="minorEastAsia" w:eastAsiaTheme="minorEastAsia" w:cstheme="minorEastAsia"/>
          <w:color w:val="auto"/>
          <w:spacing w:val="-91"/>
          <w:sz w:val="21"/>
          <w:szCs w:val="21"/>
          <w:highlight w:val="none"/>
        </w:rPr>
        <w:t xml:space="preserve"> </w:t>
      </w:r>
      <w:r>
        <w:rPr>
          <w:rFonts w:hint="eastAsia" w:asciiTheme="minorEastAsia" w:hAnsiTheme="minorEastAsia" w:eastAsiaTheme="minorEastAsia" w:cstheme="minorEastAsia"/>
          <w:color w:val="auto"/>
          <w:spacing w:val="7"/>
          <w:sz w:val="21"/>
          <w:szCs w:val="21"/>
          <w:highlight w:val="none"/>
        </w:rPr>
        <w:t>递交的资格审查申请文</w:t>
      </w:r>
      <w:r>
        <w:rPr>
          <w:rFonts w:hint="eastAsia" w:asciiTheme="minorEastAsia" w:hAnsiTheme="minorEastAsia" w:eastAsiaTheme="minorEastAsia" w:cstheme="minorEastAsia"/>
          <w:color w:val="auto"/>
          <w:spacing w:val="6"/>
          <w:sz w:val="21"/>
          <w:szCs w:val="21"/>
          <w:highlight w:val="none"/>
        </w:rPr>
        <w:t>件及有</w:t>
      </w:r>
      <w:r>
        <w:rPr>
          <w:rFonts w:hint="eastAsia" w:asciiTheme="minorEastAsia" w:hAnsiTheme="minorEastAsia" w:eastAsiaTheme="minorEastAsia" w:cstheme="minorEastAsia"/>
          <w:color w:val="auto"/>
          <w:spacing w:val="7"/>
          <w:sz w:val="21"/>
          <w:szCs w:val="21"/>
          <w:highlight w:val="none"/>
        </w:rPr>
        <w:t>关资料，用于你方审查我方参加</w:t>
      </w:r>
      <w:r>
        <w:rPr>
          <w:rFonts w:hint="eastAsia" w:asciiTheme="minorEastAsia" w:hAnsiTheme="minorEastAsia" w:eastAsiaTheme="minorEastAsia" w:cstheme="minorEastAsia"/>
          <w:color w:val="auto"/>
          <w:spacing w:val="7"/>
          <w:sz w:val="21"/>
          <w:szCs w:val="21"/>
          <w:highlight w:val="none"/>
          <w:u w:val="single" w:color="auto"/>
        </w:rPr>
        <w:t xml:space="preserve">             </w:t>
      </w:r>
      <w:r>
        <w:rPr>
          <w:rFonts w:hint="eastAsia" w:asciiTheme="minorEastAsia" w:hAnsiTheme="minorEastAsia" w:eastAsiaTheme="minorEastAsia" w:cstheme="minorEastAsia"/>
          <w:color w:val="auto"/>
          <w:spacing w:val="6"/>
          <w:sz w:val="21"/>
          <w:szCs w:val="21"/>
          <w:highlight w:val="none"/>
          <w:u w:val="single" w:color="auto"/>
        </w:rPr>
        <w:t xml:space="preserve">（项目名称）             </w:t>
      </w:r>
      <w:r>
        <w:rPr>
          <w:rFonts w:hint="eastAsia" w:asciiTheme="minorEastAsia" w:hAnsiTheme="minorEastAsia" w:eastAsiaTheme="minorEastAsia" w:cstheme="minorEastAsia"/>
          <w:color w:val="auto"/>
          <w:spacing w:val="-74"/>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的投标资格。</w:t>
      </w:r>
    </w:p>
    <w:p w14:paraId="4A9BD0D5">
      <w:pPr>
        <w:pStyle w:val="7"/>
        <w:spacing w:line="227" w:lineRule="auto"/>
        <w:ind w:left="42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2.我方的资格审查申请文件包含招标文件规定</w:t>
      </w:r>
      <w:r>
        <w:rPr>
          <w:rFonts w:hint="eastAsia" w:asciiTheme="minorEastAsia" w:hAnsiTheme="minorEastAsia" w:eastAsiaTheme="minorEastAsia" w:cstheme="minorEastAsia"/>
          <w:color w:val="auto"/>
          <w:spacing w:val="8"/>
          <w:sz w:val="21"/>
          <w:szCs w:val="21"/>
          <w:highlight w:val="none"/>
        </w:rPr>
        <w:t>的全部内容。</w:t>
      </w:r>
    </w:p>
    <w:p w14:paraId="0A3232B1">
      <w:pPr>
        <w:pStyle w:val="7"/>
        <w:spacing w:before="222" w:line="432" w:lineRule="auto"/>
        <w:ind w:right="51" w:firstLine="42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3.我方接受你方的授权代表进行调查，</w:t>
      </w:r>
      <w:r>
        <w:rPr>
          <w:rFonts w:hint="eastAsia" w:asciiTheme="minorEastAsia" w:hAnsiTheme="minorEastAsia" w:eastAsiaTheme="minorEastAsia" w:cstheme="minorEastAsia"/>
          <w:color w:val="auto"/>
          <w:spacing w:val="-60"/>
          <w:sz w:val="21"/>
          <w:szCs w:val="21"/>
          <w:highlight w:val="none"/>
        </w:rPr>
        <w:t xml:space="preserve"> </w:t>
      </w:r>
      <w:r>
        <w:rPr>
          <w:rFonts w:hint="eastAsia" w:asciiTheme="minorEastAsia" w:hAnsiTheme="minorEastAsia" w:eastAsiaTheme="minorEastAsia" w:cstheme="minorEastAsia"/>
          <w:color w:val="auto"/>
          <w:spacing w:val="9"/>
          <w:sz w:val="21"/>
          <w:szCs w:val="21"/>
          <w:highlight w:val="none"/>
        </w:rPr>
        <w:t>以审核我方提交的文件和资料，并通过我方的客户，澄清资格审查申请文件中有关财务和技术方面的情况。</w:t>
      </w:r>
    </w:p>
    <w:p w14:paraId="2BAAC609">
      <w:pPr>
        <w:pStyle w:val="7"/>
        <w:spacing w:line="227" w:lineRule="auto"/>
        <w:ind w:left="42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4.你方授权代表可通过</w:t>
      </w:r>
      <w:r>
        <w:rPr>
          <w:rFonts w:hint="eastAsia" w:asciiTheme="minorEastAsia" w:hAnsiTheme="minorEastAsia" w:eastAsiaTheme="minorEastAsia" w:cstheme="minorEastAsia"/>
          <w:color w:val="auto"/>
          <w:spacing w:val="7"/>
          <w:sz w:val="21"/>
          <w:szCs w:val="21"/>
          <w:highlight w:val="none"/>
          <w:u w:val="single" w:color="auto"/>
        </w:rPr>
        <w:t xml:space="preserve">           （联系人及联系电话）        </w:t>
      </w:r>
      <w:r>
        <w:rPr>
          <w:rFonts w:hint="eastAsia" w:asciiTheme="minorEastAsia" w:hAnsiTheme="minorEastAsia" w:eastAsiaTheme="minorEastAsia" w:cstheme="minorEastAsia"/>
          <w:color w:val="auto"/>
          <w:spacing w:val="-77"/>
          <w:sz w:val="21"/>
          <w:szCs w:val="21"/>
          <w:highlight w:val="none"/>
        </w:rPr>
        <w:t xml:space="preserve"> </w:t>
      </w:r>
      <w:r>
        <w:rPr>
          <w:rFonts w:hint="eastAsia" w:asciiTheme="minorEastAsia" w:hAnsiTheme="minorEastAsia" w:eastAsiaTheme="minorEastAsia" w:cstheme="minorEastAsia"/>
          <w:color w:val="auto"/>
          <w:spacing w:val="7"/>
          <w:sz w:val="21"/>
          <w:szCs w:val="21"/>
          <w:highlight w:val="none"/>
        </w:rPr>
        <w:t>得到进一步的资料。</w:t>
      </w:r>
    </w:p>
    <w:p w14:paraId="5B65ED44">
      <w:pPr>
        <w:ind w:firstLine="464" w:firstLineChars="200"/>
        <w:rPr>
          <w:rFonts w:hint="eastAsia" w:asciiTheme="minorEastAsia" w:hAnsiTheme="minorEastAsia" w:eastAsiaTheme="minorEastAsia" w:cstheme="minorEastAsia"/>
          <w:color w:val="auto"/>
          <w:spacing w:val="11"/>
          <w:sz w:val="21"/>
          <w:szCs w:val="21"/>
          <w:highlight w:val="none"/>
        </w:rPr>
      </w:pPr>
    </w:p>
    <w:p w14:paraId="69D2FBE0">
      <w:pPr>
        <w:ind w:firstLine="464" w:firstLineChars="200"/>
        <w:rPr>
          <w:rFonts w:hint="eastAsia" w:asciiTheme="minorEastAsia" w:hAnsiTheme="minorEastAsia" w:eastAsiaTheme="minorEastAsia" w:cstheme="minorEastAsia"/>
          <w:color w:val="000000" w:themeColor="text1"/>
          <w:kern w:val="0"/>
          <w:sz w:val="21"/>
          <w:szCs w:val="21"/>
          <w14:textFill>
            <w14:solidFill>
              <w14:schemeClr w14:val="tx1"/>
            </w14:solidFill>
          </w14:textFill>
        </w:rPr>
      </w:pPr>
      <w:r>
        <w:rPr>
          <w:rFonts w:hint="eastAsia" w:asciiTheme="minorEastAsia" w:hAnsiTheme="minorEastAsia" w:eastAsiaTheme="minorEastAsia" w:cstheme="minorEastAsia"/>
          <w:color w:val="auto"/>
          <w:spacing w:val="11"/>
          <w:sz w:val="21"/>
          <w:szCs w:val="21"/>
          <w:highlight w:val="none"/>
        </w:rPr>
        <w:t>5.我方在此声明，所递交的资格审查申请文件及有关资料内容完整、真实和准确，</w:t>
      </w:r>
    </w:p>
    <w:p w14:paraId="56A63ABC">
      <w:pPr>
        <w:rPr>
          <w:rFonts w:ascii="宋体" w:hAnsi="宋体" w:cs="Calibri"/>
          <w:color w:val="000000" w:themeColor="text1"/>
          <w:kern w:val="0"/>
          <w14:textFill>
            <w14:solidFill>
              <w14:schemeClr w14:val="tx1"/>
            </w14:solidFill>
          </w14:textFill>
        </w:rPr>
      </w:pPr>
    </w:p>
    <w:p w14:paraId="5AB8F42B">
      <w:pPr>
        <w:rPr>
          <w:rFonts w:ascii="宋体" w:hAnsi="宋体" w:cs="Calibri"/>
          <w:color w:val="000000" w:themeColor="text1"/>
          <w:kern w:val="0"/>
          <w14:textFill>
            <w14:solidFill>
              <w14:schemeClr w14:val="tx1"/>
            </w14:solidFill>
          </w14:textFill>
        </w:rPr>
      </w:pPr>
    </w:p>
    <w:p w14:paraId="7C12B24C">
      <w:pPr>
        <w:rPr>
          <w:rFonts w:ascii="宋体" w:hAnsi="宋体" w:cs="Calibri"/>
          <w:color w:val="000000" w:themeColor="text1"/>
          <w:kern w:val="0"/>
          <w14:textFill>
            <w14:solidFill>
              <w14:schemeClr w14:val="tx1"/>
            </w14:solidFill>
          </w14:textFill>
        </w:rPr>
      </w:pPr>
    </w:p>
    <w:p w14:paraId="39F28FE4">
      <w:pPr>
        <w:tabs>
          <w:tab w:val="left" w:pos="3570"/>
        </w:tabs>
        <w:spacing w:line="440" w:lineRule="exact"/>
        <w:ind w:firstLine="3528"/>
        <w:rPr>
          <w:rFonts w:ascii="宋体" w:hAnsi="宋体" w:cs="宋体"/>
          <w:color w:val="000000" w:themeColor="text1"/>
          <w:kern w:val="1"/>
          <w:szCs w:val="21"/>
          <w14:textFill>
            <w14:solidFill>
              <w14:schemeClr w14:val="tx1"/>
            </w14:solidFill>
          </w14:textFill>
        </w:rPr>
      </w:pPr>
      <w:r>
        <w:rPr>
          <w:rFonts w:hint="eastAsia" w:ascii="宋体" w:hAnsi="宋体" w:cs="宋体"/>
          <w:color w:val="000000" w:themeColor="text1"/>
          <w:kern w:val="1"/>
          <w:szCs w:val="21"/>
          <w14:textFill>
            <w14:solidFill>
              <w14:schemeClr w14:val="tx1"/>
            </w14:solidFill>
          </w14:textFill>
        </w:rPr>
        <w:t>投标</w:t>
      </w:r>
      <w:r>
        <w:rPr>
          <w:rFonts w:ascii="宋体" w:hAnsi="宋体" w:cs="宋体"/>
          <w:color w:val="000000" w:themeColor="text1"/>
          <w:kern w:val="1"/>
          <w:szCs w:val="21"/>
          <w14:textFill>
            <w14:solidFill>
              <w14:schemeClr w14:val="tx1"/>
            </w14:solidFill>
          </w14:textFill>
        </w:rPr>
        <w:t>人：</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w:t>
      </w:r>
      <w:r>
        <w:rPr>
          <w:rFonts w:hint="eastAsia" w:ascii="宋体" w:hAnsi="宋体" w:cs="宋体"/>
          <w:color w:val="000000" w:themeColor="text1"/>
          <w:kern w:val="1"/>
          <w:szCs w:val="21"/>
          <w14:textFill>
            <w14:solidFill>
              <w14:schemeClr w14:val="tx1"/>
            </w14:solidFill>
          </w14:textFill>
        </w:rPr>
        <w:t>电子签章</w:t>
      </w:r>
      <w:r>
        <w:rPr>
          <w:rFonts w:ascii="宋体" w:hAnsi="宋体" w:cs="宋体"/>
          <w:color w:val="000000" w:themeColor="text1"/>
          <w:kern w:val="1"/>
          <w:szCs w:val="21"/>
          <w14:textFill>
            <w14:solidFill>
              <w14:schemeClr w14:val="tx1"/>
            </w14:solidFill>
          </w14:textFill>
        </w:rPr>
        <w:t>）</w:t>
      </w:r>
    </w:p>
    <w:p w14:paraId="5DDE8722">
      <w:pPr>
        <w:tabs>
          <w:tab w:val="left" w:pos="3570"/>
        </w:tabs>
        <w:spacing w:line="440" w:lineRule="exact"/>
        <w:ind w:firstLine="3528"/>
        <w:rPr>
          <w:rFonts w:hint="eastAsia" w:ascii="宋体" w:hAnsi="宋体" w:eastAsia="宋体" w:cs="宋体"/>
          <w:color w:val="000000" w:themeColor="text1"/>
          <w:kern w:val="1"/>
          <w:szCs w:val="21"/>
          <w:lang w:eastAsia="zh-CN"/>
          <w14:textFill>
            <w14:solidFill>
              <w14:schemeClr w14:val="tx1"/>
            </w14:solidFill>
          </w14:textFill>
        </w:rPr>
      </w:pPr>
      <w:r>
        <w:rPr>
          <w:rFonts w:ascii="宋体" w:hAnsi="宋体" w:cs="宋体"/>
          <w:color w:val="000000" w:themeColor="text1"/>
          <w:kern w:val="1"/>
          <w:szCs w:val="21"/>
          <w14:textFill>
            <w14:solidFill>
              <w14:schemeClr w14:val="tx1"/>
            </w14:solidFill>
          </w14:textFill>
        </w:rPr>
        <w:t>法定代表人或其委托代理人：</w:t>
      </w:r>
      <w:r>
        <w:rPr>
          <w:rFonts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lang w:eastAsia="zh-CN"/>
          <w14:textFill>
            <w14:solidFill>
              <w14:schemeClr w14:val="tx1"/>
            </w14:solidFill>
          </w14:textFill>
        </w:rPr>
        <w:t>（电子签章）</w:t>
      </w:r>
    </w:p>
    <w:p w14:paraId="214B789B">
      <w:pPr>
        <w:tabs>
          <w:tab w:val="left" w:pos="3570"/>
        </w:tabs>
        <w:spacing w:line="440" w:lineRule="exact"/>
        <w:ind w:firstLine="3528"/>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电      话：</w:t>
      </w:r>
      <w:r>
        <w:rPr>
          <w:rFonts w:ascii="宋体" w:hAnsi="宋体" w:cs="宋体"/>
          <w:color w:val="000000" w:themeColor="text1"/>
          <w:kern w:val="1"/>
          <w:szCs w:val="21"/>
          <w:u w:val="single"/>
          <w14:textFill>
            <w14:solidFill>
              <w14:schemeClr w14:val="tx1"/>
            </w14:solidFill>
          </w14:textFill>
        </w:rPr>
        <w:t xml:space="preserve">                                  </w:t>
      </w:r>
    </w:p>
    <w:p w14:paraId="076CB2FF">
      <w:pPr>
        <w:tabs>
          <w:tab w:val="left" w:pos="3570"/>
        </w:tabs>
        <w:spacing w:line="440" w:lineRule="exact"/>
        <w:ind w:firstLine="3528"/>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传      真：</w:t>
      </w:r>
      <w:r>
        <w:rPr>
          <w:rFonts w:ascii="宋体" w:hAnsi="宋体" w:cs="宋体"/>
          <w:color w:val="000000" w:themeColor="text1"/>
          <w:kern w:val="1"/>
          <w:szCs w:val="21"/>
          <w:u w:val="single"/>
          <w14:textFill>
            <w14:solidFill>
              <w14:schemeClr w14:val="tx1"/>
            </w14:solidFill>
          </w14:textFill>
        </w:rPr>
        <w:t xml:space="preserve">                                  </w:t>
      </w:r>
    </w:p>
    <w:p w14:paraId="5C5124DB">
      <w:pPr>
        <w:tabs>
          <w:tab w:val="left" w:pos="3570"/>
        </w:tabs>
        <w:spacing w:line="440" w:lineRule="exact"/>
        <w:ind w:firstLine="3528"/>
        <w:rPr>
          <w:rFonts w:ascii="宋体" w:hAnsi="宋体" w:cs="宋体"/>
          <w:color w:val="000000" w:themeColor="text1"/>
          <w:kern w:val="1"/>
          <w:szCs w:val="21"/>
          <w14:textFill>
            <w14:solidFill>
              <w14:schemeClr w14:val="tx1"/>
            </w14:solidFill>
          </w14:textFill>
        </w:rPr>
      </w:pPr>
      <w:r>
        <w:rPr>
          <w:rFonts w:hint="eastAsia" w:ascii="宋体" w:hAnsi="宋体" w:cs="宋体"/>
          <w:color w:val="000000" w:themeColor="text1"/>
          <w:kern w:val="1"/>
          <w:szCs w:val="21"/>
          <w:lang w:val="en-US" w:eastAsia="zh-CN"/>
          <w14:textFill>
            <w14:solidFill>
              <w14:schemeClr w14:val="tx1"/>
            </w14:solidFill>
          </w14:textFill>
        </w:rPr>
        <w:t>投标人</w:t>
      </w:r>
      <w:r>
        <w:rPr>
          <w:rFonts w:ascii="宋体" w:hAnsi="宋体" w:cs="宋体"/>
          <w:color w:val="000000" w:themeColor="text1"/>
          <w:kern w:val="1"/>
          <w:szCs w:val="21"/>
          <w14:textFill>
            <w14:solidFill>
              <w14:schemeClr w14:val="tx1"/>
            </w14:solidFill>
          </w14:textFill>
        </w:rPr>
        <w:t>地址：</w:t>
      </w:r>
      <w:r>
        <w:rPr>
          <w:rFonts w:ascii="宋体" w:hAnsi="宋体" w:cs="宋体"/>
          <w:color w:val="000000" w:themeColor="text1"/>
          <w:kern w:val="1"/>
          <w:szCs w:val="21"/>
          <w:u w:val="single"/>
          <w14:textFill>
            <w14:solidFill>
              <w14:schemeClr w14:val="tx1"/>
            </w14:solidFill>
          </w14:textFill>
        </w:rPr>
        <w:t xml:space="preserve">                                  </w:t>
      </w:r>
    </w:p>
    <w:p w14:paraId="705ACAD2">
      <w:pPr>
        <w:tabs>
          <w:tab w:val="left" w:pos="3570"/>
        </w:tabs>
        <w:spacing w:line="440" w:lineRule="exact"/>
        <w:ind w:firstLine="3528"/>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邮政编码：</w:t>
      </w:r>
      <w:r>
        <w:rPr>
          <w:rFonts w:ascii="宋体" w:hAnsi="宋体" w:cs="宋体"/>
          <w:color w:val="000000" w:themeColor="text1"/>
          <w:kern w:val="1"/>
          <w:szCs w:val="21"/>
          <w:u w:val="single"/>
          <w14:textFill>
            <w14:solidFill>
              <w14:schemeClr w14:val="tx1"/>
            </w14:solidFill>
          </w14:textFill>
        </w:rPr>
        <w:t xml:space="preserve">                                    </w:t>
      </w:r>
    </w:p>
    <w:p w14:paraId="5E325B2B">
      <w:pPr>
        <w:spacing w:line="600" w:lineRule="exact"/>
        <w:ind w:right="420"/>
        <w:jc w:val="right"/>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年</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月</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日</w:t>
      </w:r>
    </w:p>
    <w:p w14:paraId="7225DCB7">
      <w:pPr>
        <w:rPr>
          <w:rFonts w:ascii="宋体" w:hAnsi="宋体" w:cs="Calibri"/>
          <w:color w:val="000000" w:themeColor="text1"/>
          <w:kern w:val="0"/>
          <w:lang w:val="zh-CN"/>
          <w14:textFill>
            <w14:solidFill>
              <w14:schemeClr w14:val="tx1"/>
            </w14:solidFill>
          </w14:textFill>
        </w:rPr>
      </w:pPr>
      <w:r>
        <w:rPr>
          <w:rFonts w:ascii="宋体" w:hAnsi="宋体" w:cs="Calibri"/>
          <w:color w:val="000000" w:themeColor="text1"/>
          <w:kern w:val="1"/>
          <w14:textFill>
            <w14:solidFill>
              <w14:schemeClr w14:val="tx1"/>
            </w14:solidFill>
          </w14:textFill>
        </w:rPr>
        <w:br w:type="page"/>
      </w:r>
      <w:bookmarkStart w:id="1684" w:name="_Toc418026680"/>
      <w:bookmarkEnd w:id="1684"/>
      <w:bookmarkStart w:id="1685" w:name="_Toc306285452"/>
      <w:bookmarkEnd w:id="1685"/>
      <w:bookmarkStart w:id="1686" w:name="_Toc418023098"/>
      <w:bookmarkEnd w:id="1686"/>
    </w:p>
    <w:p w14:paraId="240F35D5">
      <w:pPr>
        <w:spacing w:line="360" w:lineRule="auto"/>
        <w:jc w:val="center"/>
        <w:outlineLvl w:val="2"/>
        <w:rPr>
          <w:rFonts w:ascii="宋体" w:hAnsi="宋体" w:cs="宋体"/>
          <w:b/>
          <w:color w:val="000000" w:themeColor="text1"/>
          <w:kern w:val="1"/>
          <w:sz w:val="28"/>
          <w:szCs w:val="28"/>
          <w14:textFill>
            <w14:solidFill>
              <w14:schemeClr w14:val="tx1"/>
            </w14:solidFill>
          </w14:textFill>
        </w:rPr>
      </w:pPr>
      <w:r>
        <w:rPr>
          <w:rFonts w:ascii="宋体" w:hAnsi="宋体" w:cs="宋体"/>
          <w:b/>
          <w:color w:val="000000" w:themeColor="text1"/>
          <w:kern w:val="1"/>
          <w:sz w:val="28"/>
          <w:szCs w:val="28"/>
          <w14:textFill>
            <w14:solidFill>
              <w14:schemeClr w14:val="tx1"/>
            </w14:solidFill>
          </w14:textFill>
        </w:rPr>
        <w:t>二、法定代表人身份证明书</w:t>
      </w:r>
    </w:p>
    <w:p w14:paraId="5045E9B6">
      <w:pPr>
        <w:rPr>
          <w:rFonts w:ascii="宋体" w:hAnsi="宋体" w:cs="Calibri"/>
          <w:color w:val="000000" w:themeColor="text1"/>
          <w:kern w:val="0"/>
          <w14:textFill>
            <w14:solidFill>
              <w14:schemeClr w14:val="tx1"/>
            </w14:solidFill>
          </w14:textFill>
        </w:rPr>
      </w:pPr>
    </w:p>
    <w:p w14:paraId="3B09A3E7">
      <w:pPr>
        <w:rPr>
          <w:rFonts w:ascii="宋体" w:hAnsi="宋体" w:cs="Calibri"/>
          <w:color w:val="000000" w:themeColor="text1"/>
          <w:kern w:val="0"/>
          <w14:textFill>
            <w14:solidFill>
              <w14:schemeClr w14:val="tx1"/>
            </w14:solidFill>
          </w14:textFill>
        </w:rPr>
      </w:pPr>
    </w:p>
    <w:p w14:paraId="43C52090">
      <w:pPr>
        <w:spacing w:line="480" w:lineRule="auto"/>
        <w:rPr>
          <w:rFonts w:ascii="宋体" w:hAnsi="宋体" w:cs="宋体"/>
          <w:color w:val="000000" w:themeColor="text1"/>
          <w:kern w:val="1"/>
          <w:szCs w:val="21"/>
          <w14:textFill>
            <w14:solidFill>
              <w14:schemeClr w14:val="tx1"/>
            </w14:solidFill>
          </w14:textFill>
        </w:rPr>
      </w:pPr>
      <w:r>
        <w:rPr>
          <w:rFonts w:hint="eastAsia" w:ascii="宋体" w:hAnsi="宋体" w:cs="宋体"/>
          <w:color w:val="000000" w:themeColor="text1"/>
          <w:kern w:val="1"/>
          <w:szCs w:val="21"/>
          <w14:textFill>
            <w14:solidFill>
              <w14:schemeClr w14:val="tx1"/>
            </w14:solidFill>
          </w14:textFill>
        </w:rPr>
        <w:t>投 标</w:t>
      </w:r>
      <w:r>
        <w:rPr>
          <w:rFonts w:ascii="宋体" w:hAnsi="宋体" w:cs="宋体"/>
          <w:color w:val="000000" w:themeColor="text1"/>
          <w:kern w:val="1"/>
          <w:szCs w:val="21"/>
          <w14:textFill>
            <w14:solidFill>
              <w14:schemeClr w14:val="tx1"/>
            </w14:solidFill>
          </w14:textFill>
        </w:rPr>
        <w:t xml:space="preserve"> 人：</w:t>
      </w:r>
      <w:r>
        <w:rPr>
          <w:rFonts w:ascii="宋体" w:hAnsi="宋体" w:cs="宋体"/>
          <w:color w:val="000000" w:themeColor="text1"/>
          <w:kern w:val="1"/>
          <w:szCs w:val="21"/>
          <w:u w:val="single"/>
          <w14:textFill>
            <w14:solidFill>
              <w14:schemeClr w14:val="tx1"/>
            </w14:solidFill>
          </w14:textFill>
        </w:rPr>
        <w:t xml:space="preserve">                                                       </w:t>
      </w:r>
    </w:p>
    <w:p w14:paraId="4175307C">
      <w:pPr>
        <w:spacing w:line="480" w:lineRule="auto"/>
        <w:rPr>
          <w:rFonts w:ascii="宋体" w:hAnsi="宋体" w:cs="宋体"/>
          <w:color w:val="000000" w:themeColor="text1"/>
          <w:kern w:val="1"/>
          <w:szCs w:val="21"/>
          <w:u w:val="single"/>
          <w14:textFill>
            <w14:solidFill>
              <w14:schemeClr w14:val="tx1"/>
            </w14:solidFill>
          </w14:textFill>
        </w:rPr>
      </w:pPr>
      <w:r>
        <w:rPr>
          <w:rFonts w:ascii="宋体" w:hAnsi="宋体" w:cs="宋体"/>
          <w:color w:val="000000" w:themeColor="text1"/>
          <w:kern w:val="1"/>
          <w:szCs w:val="21"/>
          <w14:textFill>
            <w14:solidFill>
              <w14:schemeClr w14:val="tx1"/>
            </w14:solidFill>
          </w14:textFill>
        </w:rPr>
        <w:t>单位性质：</w:t>
      </w:r>
      <w:r>
        <w:rPr>
          <w:rFonts w:ascii="宋体" w:hAnsi="宋体" w:cs="宋体"/>
          <w:color w:val="000000" w:themeColor="text1"/>
          <w:kern w:val="1"/>
          <w:szCs w:val="21"/>
          <w:u w:val="single"/>
          <w14:textFill>
            <w14:solidFill>
              <w14:schemeClr w14:val="tx1"/>
            </w14:solidFill>
          </w14:textFill>
        </w:rPr>
        <w:t xml:space="preserve">                                                       </w:t>
      </w:r>
    </w:p>
    <w:p w14:paraId="3C82A36F">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地    址：</w:t>
      </w:r>
      <w:r>
        <w:rPr>
          <w:rFonts w:ascii="宋体" w:hAnsi="宋体" w:cs="宋体"/>
          <w:color w:val="000000" w:themeColor="text1"/>
          <w:kern w:val="1"/>
          <w:szCs w:val="21"/>
          <w:u w:val="single"/>
          <w14:textFill>
            <w14:solidFill>
              <w14:schemeClr w14:val="tx1"/>
            </w14:solidFill>
          </w14:textFill>
        </w:rPr>
        <w:t xml:space="preserve">                                                       </w:t>
      </w:r>
    </w:p>
    <w:p w14:paraId="32DAC262">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成立时间：</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年</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月</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日</w:t>
      </w:r>
    </w:p>
    <w:p w14:paraId="560EAE2F">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经营期限：</w:t>
      </w:r>
      <w:r>
        <w:rPr>
          <w:rFonts w:ascii="宋体" w:hAnsi="宋体" w:cs="宋体"/>
          <w:color w:val="000000" w:themeColor="text1"/>
          <w:kern w:val="1"/>
          <w:szCs w:val="21"/>
          <w:u w:val="single"/>
          <w14:textFill>
            <w14:solidFill>
              <w14:schemeClr w14:val="tx1"/>
            </w14:solidFill>
          </w14:textFill>
        </w:rPr>
        <w:t xml:space="preserve">                                                       </w:t>
      </w:r>
    </w:p>
    <w:p w14:paraId="38439C5F">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姓    名：</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性    别：</w:t>
      </w:r>
      <w:r>
        <w:rPr>
          <w:rFonts w:ascii="宋体" w:hAnsi="宋体" w:cs="宋体"/>
          <w:color w:val="000000" w:themeColor="text1"/>
          <w:kern w:val="1"/>
          <w:szCs w:val="21"/>
          <w:u w:val="single"/>
          <w14:textFill>
            <w14:solidFill>
              <w14:schemeClr w14:val="tx1"/>
            </w14:solidFill>
          </w14:textFill>
        </w:rPr>
        <w:t xml:space="preserve">               </w:t>
      </w:r>
    </w:p>
    <w:p w14:paraId="17D102F7">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年    龄：</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职    务：</w:t>
      </w:r>
      <w:r>
        <w:rPr>
          <w:rFonts w:ascii="宋体" w:hAnsi="宋体" w:cs="宋体"/>
          <w:color w:val="000000" w:themeColor="text1"/>
          <w:kern w:val="1"/>
          <w:szCs w:val="21"/>
          <w:u w:val="single"/>
          <w14:textFill>
            <w14:solidFill>
              <w14:schemeClr w14:val="tx1"/>
            </w14:solidFill>
          </w14:textFill>
        </w:rPr>
        <w:t xml:space="preserve">               </w:t>
      </w:r>
    </w:p>
    <w:p w14:paraId="5C73AC10">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系</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w:t>
      </w:r>
      <w:r>
        <w:rPr>
          <w:rFonts w:hint="eastAsia" w:ascii="宋体" w:hAnsi="宋体" w:cs="宋体"/>
          <w:color w:val="000000" w:themeColor="text1"/>
          <w:kern w:val="1"/>
          <w:szCs w:val="21"/>
          <w14:textFill>
            <w14:solidFill>
              <w14:schemeClr w14:val="tx1"/>
            </w14:solidFill>
          </w14:textFill>
        </w:rPr>
        <w:t>投标</w:t>
      </w:r>
      <w:r>
        <w:rPr>
          <w:rFonts w:ascii="宋体" w:hAnsi="宋体" w:cs="宋体"/>
          <w:color w:val="000000" w:themeColor="text1"/>
          <w:kern w:val="1"/>
          <w:szCs w:val="21"/>
          <w14:textFill>
            <w14:solidFill>
              <w14:schemeClr w14:val="tx1"/>
            </w14:solidFill>
          </w14:textFill>
        </w:rPr>
        <w:t>人名称）的法定代表人。</w:t>
      </w:r>
    </w:p>
    <w:p w14:paraId="2EF94100">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特此证明。</w:t>
      </w:r>
    </w:p>
    <w:p w14:paraId="463021CE">
      <w:pPr>
        <w:spacing w:line="360" w:lineRule="exact"/>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附：法定代表人身份证</w:t>
      </w:r>
      <w:r>
        <w:rPr>
          <w:rFonts w:ascii="宋体" w:hAnsi="宋体" w:cs="宋体"/>
          <w:bCs/>
          <w:color w:val="000000" w:themeColor="text1"/>
          <w:kern w:val="1"/>
          <w:szCs w:val="21"/>
          <w14:textFill>
            <w14:solidFill>
              <w14:schemeClr w14:val="tx1"/>
            </w14:solidFill>
          </w14:textFill>
        </w:rPr>
        <w:t>复印件</w:t>
      </w:r>
      <w:r>
        <w:rPr>
          <w:rFonts w:ascii="宋体" w:hAnsi="宋体" w:cs="宋体"/>
          <w:color w:val="000000" w:themeColor="text1"/>
          <w:kern w:val="1"/>
          <w:szCs w:val="21"/>
          <w14:textFill>
            <w14:solidFill>
              <w14:schemeClr w14:val="tx1"/>
            </w14:solidFill>
          </w14:textFill>
        </w:rPr>
        <w:t>：</w:t>
      </w:r>
    </w:p>
    <w:p w14:paraId="7152C18F">
      <w:pPr>
        <w:spacing w:line="360" w:lineRule="exact"/>
        <w:rPr>
          <w:rFonts w:ascii="宋体" w:hAnsi="宋体" w:cs="宋体"/>
          <w:color w:val="000000" w:themeColor="text1"/>
          <w:kern w:val="1"/>
          <w:szCs w:val="21"/>
          <w14:textFill>
            <w14:solidFill>
              <w14:schemeClr w14:val="tx1"/>
            </w14:solidFill>
          </w14:textFill>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8"/>
        <w:gridCol w:w="4459"/>
      </w:tblGrid>
      <w:tr w14:paraId="0DC7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3" w:hRule="atLeast"/>
          <w:jc w:val="center"/>
        </w:trPr>
        <w:tc>
          <w:tcPr>
            <w:tcW w:w="4368" w:type="dxa"/>
            <w:tcBorders>
              <w:top w:val="single" w:color="auto" w:sz="18" w:space="0"/>
              <w:left w:val="single" w:color="auto" w:sz="18" w:space="0"/>
              <w:bottom w:val="single" w:color="auto" w:sz="18" w:space="0"/>
              <w:right w:val="single" w:color="auto" w:sz="18" w:space="0"/>
            </w:tcBorders>
            <w:vAlign w:val="center"/>
          </w:tcPr>
          <w:p w14:paraId="1024AED9">
            <w:pPr>
              <w:jc w:val="center"/>
              <w:rPr>
                <w:rFonts w:ascii="宋体" w:hAnsi="宋体" w:cs="Calibri"/>
                <w:color w:val="000000" w:themeColor="text1"/>
                <w:kern w:val="0"/>
                <w:sz w:val="18"/>
                <w:szCs w:val="18"/>
                <w14:textFill>
                  <w14:solidFill>
                    <w14:schemeClr w14:val="tx1"/>
                  </w14:solidFill>
                </w14:textFill>
              </w:rPr>
            </w:pPr>
            <w:r>
              <w:rPr>
                <w:rFonts w:ascii="宋体" w:hAnsi="宋体" w:cs="宋体"/>
                <w:color w:val="000000" w:themeColor="text1"/>
                <w:kern w:val="1"/>
                <w:szCs w:val="21"/>
                <w14:textFill>
                  <w14:solidFill>
                    <w14:schemeClr w14:val="tx1"/>
                  </w14:solidFill>
                </w14:textFill>
              </w:rPr>
              <w:t>法定代表人身份证复印件正面</w:t>
            </w:r>
          </w:p>
        </w:tc>
        <w:tc>
          <w:tcPr>
            <w:tcW w:w="4459" w:type="dxa"/>
            <w:tcBorders>
              <w:top w:val="single" w:color="auto" w:sz="18" w:space="0"/>
              <w:left w:val="single" w:color="auto" w:sz="18" w:space="0"/>
              <w:bottom w:val="single" w:color="auto" w:sz="18" w:space="0"/>
              <w:right w:val="single" w:color="auto" w:sz="18" w:space="0"/>
            </w:tcBorders>
            <w:vAlign w:val="center"/>
          </w:tcPr>
          <w:p w14:paraId="1DCCAD06">
            <w:pPr>
              <w:jc w:val="center"/>
              <w:rPr>
                <w:rFonts w:ascii="宋体" w:hAnsi="宋体" w:cs="Calibri"/>
                <w:color w:val="000000" w:themeColor="text1"/>
                <w:kern w:val="0"/>
                <w:sz w:val="18"/>
                <w:szCs w:val="18"/>
                <w14:textFill>
                  <w14:solidFill>
                    <w14:schemeClr w14:val="tx1"/>
                  </w14:solidFill>
                </w14:textFill>
              </w:rPr>
            </w:pPr>
            <w:r>
              <w:rPr>
                <w:rFonts w:ascii="宋体" w:hAnsi="宋体" w:cs="宋体"/>
                <w:color w:val="000000" w:themeColor="text1"/>
                <w:kern w:val="1"/>
                <w:szCs w:val="21"/>
                <w14:textFill>
                  <w14:solidFill>
                    <w14:schemeClr w14:val="tx1"/>
                  </w14:solidFill>
                </w14:textFill>
              </w:rPr>
              <w:t>法定代表人身份证复印件反面</w:t>
            </w:r>
          </w:p>
        </w:tc>
      </w:tr>
    </w:tbl>
    <w:p w14:paraId="133BBCC7">
      <w:pPr>
        <w:rPr>
          <w:rFonts w:ascii="宋体" w:hAnsi="宋体" w:cs="Calibri"/>
          <w:color w:val="000000" w:themeColor="text1"/>
          <w:kern w:val="0"/>
          <w14:textFill>
            <w14:solidFill>
              <w14:schemeClr w14:val="tx1"/>
            </w14:solidFill>
          </w14:textFill>
        </w:rPr>
      </w:pPr>
    </w:p>
    <w:p w14:paraId="52EC337B">
      <w:pPr>
        <w:rPr>
          <w:rFonts w:ascii="宋体" w:hAnsi="宋体" w:cs="Calibri"/>
          <w:color w:val="000000" w:themeColor="text1"/>
          <w:kern w:val="0"/>
          <w14:textFill>
            <w14:solidFill>
              <w14:schemeClr w14:val="tx1"/>
            </w14:solidFill>
          </w14:textFill>
        </w:rPr>
      </w:pPr>
    </w:p>
    <w:p w14:paraId="6B659318">
      <w:pPr>
        <w:rPr>
          <w:rFonts w:ascii="宋体" w:hAnsi="宋体" w:cs="Calibri"/>
          <w:color w:val="000000" w:themeColor="text1"/>
          <w:kern w:val="0"/>
          <w14:textFill>
            <w14:solidFill>
              <w14:schemeClr w14:val="tx1"/>
            </w14:solidFill>
          </w14:textFill>
        </w:rPr>
      </w:pPr>
    </w:p>
    <w:p w14:paraId="0BB2541F">
      <w:pPr>
        <w:rPr>
          <w:rFonts w:ascii="宋体" w:hAnsi="宋体" w:cs="Calibri"/>
          <w:color w:val="000000" w:themeColor="text1"/>
          <w:kern w:val="0"/>
          <w14:textFill>
            <w14:solidFill>
              <w14:schemeClr w14:val="tx1"/>
            </w14:solidFill>
          </w14:textFill>
        </w:rPr>
      </w:pPr>
    </w:p>
    <w:p w14:paraId="024BA820">
      <w:pPr>
        <w:ind w:right="420"/>
        <w:jc w:val="right"/>
        <w:rPr>
          <w:rFonts w:ascii="宋体" w:hAnsi="宋体" w:cs="宋体"/>
          <w:color w:val="000000" w:themeColor="text1"/>
          <w:kern w:val="1"/>
          <w:szCs w:val="21"/>
          <w14:textFill>
            <w14:solidFill>
              <w14:schemeClr w14:val="tx1"/>
            </w14:solidFill>
          </w14:textFill>
        </w:rPr>
      </w:pPr>
      <w:r>
        <w:rPr>
          <w:rFonts w:hint="eastAsia" w:ascii="宋体" w:hAnsi="宋体" w:cs="宋体"/>
          <w:color w:val="000000" w:themeColor="text1"/>
          <w:kern w:val="1"/>
          <w:szCs w:val="21"/>
          <w14:textFill>
            <w14:solidFill>
              <w14:schemeClr w14:val="tx1"/>
            </w14:solidFill>
          </w14:textFill>
        </w:rPr>
        <w:t>投标</w:t>
      </w:r>
      <w:r>
        <w:rPr>
          <w:rFonts w:ascii="宋体" w:hAnsi="宋体" w:cs="宋体"/>
          <w:color w:val="000000" w:themeColor="text1"/>
          <w:kern w:val="1"/>
          <w:szCs w:val="21"/>
          <w14:textFill>
            <w14:solidFill>
              <w14:schemeClr w14:val="tx1"/>
            </w14:solidFill>
          </w14:textFill>
        </w:rPr>
        <w:t>人：</w:t>
      </w:r>
      <w:r>
        <w:rPr>
          <w:rFonts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w:t>
      </w:r>
      <w:r>
        <w:rPr>
          <w:rFonts w:hint="eastAsia" w:ascii="宋体" w:hAnsi="宋体" w:cs="宋体"/>
          <w:color w:val="000000" w:themeColor="text1"/>
          <w:kern w:val="1"/>
          <w:szCs w:val="21"/>
          <w14:textFill>
            <w14:solidFill>
              <w14:schemeClr w14:val="tx1"/>
            </w14:solidFill>
          </w14:textFill>
        </w:rPr>
        <w:t>电子签章</w:t>
      </w:r>
      <w:r>
        <w:rPr>
          <w:rFonts w:ascii="宋体" w:hAnsi="宋体" w:cs="宋体"/>
          <w:color w:val="000000" w:themeColor="text1"/>
          <w:kern w:val="1"/>
          <w:szCs w:val="21"/>
          <w14:textFill>
            <w14:solidFill>
              <w14:schemeClr w14:val="tx1"/>
            </w14:solidFill>
          </w14:textFill>
        </w:rPr>
        <w:t>）</w:t>
      </w:r>
    </w:p>
    <w:p w14:paraId="0E036735">
      <w:pPr>
        <w:rPr>
          <w:rFonts w:ascii="宋体" w:hAnsi="宋体" w:cs="Calibri"/>
          <w:color w:val="000000" w:themeColor="text1"/>
          <w:kern w:val="0"/>
          <w14:textFill>
            <w14:solidFill>
              <w14:schemeClr w14:val="tx1"/>
            </w14:solidFill>
          </w14:textFill>
        </w:rPr>
      </w:pPr>
    </w:p>
    <w:p w14:paraId="58696277">
      <w:pPr>
        <w:ind w:right="420"/>
        <w:jc w:val="right"/>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年</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月</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日</w:t>
      </w:r>
    </w:p>
    <w:p w14:paraId="4FBF29BE">
      <w:pPr>
        <w:rPr>
          <w:rFonts w:ascii="宋体" w:hAnsi="宋体" w:cs="Calibri"/>
          <w:color w:val="000000" w:themeColor="text1"/>
          <w:kern w:val="0"/>
          <w:lang w:val="zh-CN"/>
          <w14:textFill>
            <w14:solidFill>
              <w14:schemeClr w14:val="tx1"/>
            </w14:solidFill>
          </w14:textFill>
        </w:rPr>
      </w:pPr>
      <w:r>
        <w:rPr>
          <w:rFonts w:ascii="宋体" w:hAnsi="宋体" w:cs="Calibri"/>
          <w:color w:val="000000" w:themeColor="text1"/>
          <w:kern w:val="1"/>
          <w14:textFill>
            <w14:solidFill>
              <w14:schemeClr w14:val="tx1"/>
            </w14:solidFill>
          </w14:textFill>
        </w:rPr>
        <w:t xml:space="preserve"> </w:t>
      </w:r>
      <w:r>
        <w:rPr>
          <w:rFonts w:ascii="宋体" w:hAnsi="宋体" w:cs="Calibri"/>
          <w:color w:val="000000" w:themeColor="text1"/>
          <w:kern w:val="1"/>
          <w14:textFill>
            <w14:solidFill>
              <w14:schemeClr w14:val="tx1"/>
            </w14:solidFill>
          </w14:textFill>
        </w:rPr>
        <w:br w:type="page"/>
      </w:r>
      <w:bookmarkStart w:id="1687" w:name="_Toc418023099"/>
      <w:bookmarkEnd w:id="1687"/>
      <w:bookmarkStart w:id="1688" w:name="_Toc418026681"/>
      <w:bookmarkEnd w:id="1688"/>
      <w:bookmarkStart w:id="1689" w:name="_Toc306285453"/>
      <w:bookmarkEnd w:id="1689"/>
    </w:p>
    <w:p w14:paraId="739A589C">
      <w:pPr>
        <w:spacing w:line="360" w:lineRule="auto"/>
        <w:jc w:val="center"/>
        <w:outlineLvl w:val="2"/>
        <w:rPr>
          <w:rFonts w:ascii="宋体" w:hAnsi="宋体" w:cs="宋体"/>
          <w:b/>
          <w:color w:val="000000" w:themeColor="text1"/>
          <w:kern w:val="1"/>
          <w:sz w:val="28"/>
          <w:szCs w:val="28"/>
          <w14:textFill>
            <w14:solidFill>
              <w14:schemeClr w14:val="tx1"/>
            </w14:solidFill>
          </w14:textFill>
        </w:rPr>
      </w:pPr>
      <w:r>
        <w:rPr>
          <w:rFonts w:ascii="宋体" w:hAnsi="宋体" w:cs="宋体"/>
          <w:b/>
          <w:color w:val="000000" w:themeColor="text1"/>
          <w:kern w:val="1"/>
          <w:sz w:val="28"/>
          <w:szCs w:val="28"/>
          <w14:textFill>
            <w14:solidFill>
              <w14:schemeClr w14:val="tx1"/>
            </w14:solidFill>
          </w14:textFill>
        </w:rPr>
        <w:t>三、授权委托书</w:t>
      </w:r>
    </w:p>
    <w:p w14:paraId="0FADD649">
      <w:pPr>
        <w:rPr>
          <w:rFonts w:ascii="宋体" w:hAnsi="宋体" w:cs="Calibri"/>
          <w:color w:val="000000" w:themeColor="text1"/>
          <w:kern w:val="0"/>
          <w14:textFill>
            <w14:solidFill>
              <w14:schemeClr w14:val="tx1"/>
            </w14:solidFill>
          </w14:textFill>
        </w:rPr>
      </w:pPr>
    </w:p>
    <w:p w14:paraId="7A6ABC0B">
      <w:pPr>
        <w:spacing w:line="480" w:lineRule="auto"/>
        <w:ind w:firstLine="420"/>
        <w:rPr>
          <w:rFonts w:ascii="宋体" w:hAnsi="宋体" w:cs="宋体"/>
          <w:color w:val="000000" w:themeColor="text1"/>
          <w:kern w:val="1"/>
          <w:szCs w:val="21"/>
          <w14:textFill>
            <w14:solidFill>
              <w14:schemeClr w14:val="tx1"/>
            </w14:solidFill>
          </w14:textFill>
        </w:rPr>
      </w:pPr>
      <w:r>
        <w:rPr>
          <w:rFonts w:hint="eastAsia" w:ascii="宋体" w:hAnsi="宋体" w:cs="宋体"/>
          <w:color w:val="000000" w:themeColor="text1"/>
          <w:kern w:val="1"/>
          <w:szCs w:val="21"/>
          <w14:textFill>
            <w14:solidFill>
              <w14:schemeClr w14:val="tx1"/>
            </w14:solidFill>
          </w14:textFill>
        </w:rPr>
        <w:t>本人</w:t>
      </w:r>
      <w:r>
        <w:rPr>
          <w:rFonts w:hint="eastAsia"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14:textFill>
            <w14:solidFill>
              <w14:schemeClr w14:val="tx1"/>
            </w14:solidFill>
          </w14:textFill>
        </w:rPr>
        <w:t>（姓名）系</w:t>
      </w:r>
      <w:r>
        <w:rPr>
          <w:rFonts w:hint="eastAsia"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14:textFill>
            <w14:solidFill>
              <w14:schemeClr w14:val="tx1"/>
            </w14:solidFill>
          </w14:textFill>
        </w:rPr>
        <w:t>（投标人名称）的法定代表人，现委托</w:t>
      </w:r>
      <w:r>
        <w:rPr>
          <w:rFonts w:hint="eastAsia"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14:textFill>
            <w14:solidFill>
              <w14:schemeClr w14:val="tx1"/>
            </w14:solidFill>
          </w14:textFill>
        </w:rPr>
        <w:t>（姓名）为我方代理人。代理人根据授权，以我方名义签署、澄清、说明、补正、递交、撤回、修改</w:t>
      </w:r>
      <w:r>
        <w:rPr>
          <w:rFonts w:hint="eastAsia"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（项目名称）</w:t>
      </w:r>
      <w:r>
        <w:rPr>
          <w:rFonts w:hint="eastAsia" w:ascii="宋体" w:hAnsi="宋体" w:cs="宋体"/>
          <w:color w:val="000000" w:themeColor="text1"/>
          <w:kern w:val="1"/>
          <w:szCs w:val="21"/>
          <w14:textFill>
            <w14:solidFill>
              <w14:schemeClr w14:val="tx1"/>
            </w14:solidFill>
          </w14:textFill>
        </w:rPr>
        <w:t>投标</w:t>
      </w:r>
      <w:r>
        <w:rPr>
          <w:rFonts w:ascii="宋体" w:hAnsi="宋体" w:cs="宋体"/>
          <w:color w:val="000000" w:themeColor="text1"/>
          <w:kern w:val="1"/>
          <w:szCs w:val="21"/>
          <w14:textFill>
            <w14:solidFill>
              <w14:schemeClr w14:val="tx1"/>
            </w14:solidFill>
          </w14:textFill>
        </w:rPr>
        <w:t>文件，其法律后果由我方承担。</w:t>
      </w:r>
    </w:p>
    <w:p w14:paraId="2E7DC31D">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委托期限：</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w:t>
      </w:r>
    </w:p>
    <w:p w14:paraId="21163286">
      <w:pPr>
        <w:rPr>
          <w:rFonts w:ascii="宋体" w:hAnsi="宋体" w:cs="Calibri"/>
          <w:color w:val="000000" w:themeColor="text1"/>
          <w:kern w:val="0"/>
          <w14:textFill>
            <w14:solidFill>
              <w14:schemeClr w14:val="tx1"/>
            </w14:solidFill>
          </w14:textFill>
        </w:rPr>
      </w:pPr>
    </w:p>
    <w:p w14:paraId="767F65ED">
      <w:pPr>
        <w:rPr>
          <w:rFonts w:ascii="宋体" w:hAnsi="宋体" w:cs="Calibri"/>
          <w:color w:val="000000" w:themeColor="text1"/>
          <w:kern w:val="0"/>
          <w14:textFill>
            <w14:solidFill>
              <w14:schemeClr w14:val="tx1"/>
            </w14:solidFill>
          </w14:textFill>
        </w:rPr>
      </w:pPr>
    </w:p>
    <w:p w14:paraId="35A66568">
      <w:pPr>
        <w:spacing w:line="480" w:lineRule="auto"/>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代理人无转委托权。</w:t>
      </w:r>
    </w:p>
    <w:p w14:paraId="1CFE07A9">
      <w:pPr>
        <w:rPr>
          <w:rFonts w:ascii="宋体" w:hAnsi="宋体" w:cs="Calibri"/>
          <w:color w:val="000000" w:themeColor="text1"/>
          <w:kern w:val="0"/>
          <w14:textFill>
            <w14:solidFill>
              <w14:schemeClr w14:val="tx1"/>
            </w14:solidFill>
          </w14:textFill>
        </w:rPr>
      </w:pPr>
      <w:bookmarkStart w:id="1710" w:name="_GoBack"/>
      <w:bookmarkEnd w:id="1710"/>
    </w:p>
    <w:p w14:paraId="54A649DF">
      <w:pPr>
        <w:rPr>
          <w:rFonts w:ascii="宋体" w:hAnsi="宋体" w:cs="Calibri"/>
          <w:color w:val="000000" w:themeColor="text1"/>
          <w:kern w:val="0"/>
          <w14:textFill>
            <w14:solidFill>
              <w14:schemeClr w14:val="tx1"/>
            </w14:solidFill>
          </w14:textFill>
        </w:rPr>
      </w:pPr>
    </w:p>
    <w:tbl>
      <w:tblPr>
        <w:tblStyle w:val="23"/>
        <w:tblW w:w="8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8"/>
        <w:gridCol w:w="4398"/>
      </w:tblGrid>
      <w:tr w14:paraId="390F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8" w:hRule="atLeast"/>
          <w:jc w:val="center"/>
        </w:trPr>
        <w:tc>
          <w:tcPr>
            <w:tcW w:w="4308" w:type="dxa"/>
            <w:tcBorders>
              <w:top w:val="single" w:color="auto" w:sz="18" w:space="0"/>
              <w:left w:val="single" w:color="auto" w:sz="18" w:space="0"/>
              <w:bottom w:val="single" w:color="auto" w:sz="18" w:space="0"/>
              <w:right w:val="single" w:color="auto" w:sz="18" w:space="0"/>
            </w:tcBorders>
            <w:vAlign w:val="center"/>
          </w:tcPr>
          <w:p w14:paraId="49C1B521">
            <w:pPr>
              <w:jc w:val="center"/>
              <w:rPr>
                <w:rFonts w:ascii="宋体" w:hAnsi="宋体" w:cs="Calibri"/>
                <w:color w:val="000000" w:themeColor="text1"/>
                <w:kern w:val="0"/>
                <w:sz w:val="18"/>
                <w:szCs w:val="18"/>
                <w14:textFill>
                  <w14:solidFill>
                    <w14:schemeClr w14:val="tx1"/>
                  </w14:solidFill>
                </w14:textFill>
              </w:rPr>
            </w:pPr>
            <w:r>
              <w:rPr>
                <w:rFonts w:ascii="宋体" w:hAnsi="宋体" w:cs="宋体"/>
                <w:color w:val="000000" w:themeColor="text1"/>
                <w:kern w:val="1"/>
                <w:szCs w:val="21"/>
                <w14:textFill>
                  <w14:solidFill>
                    <w14:schemeClr w14:val="tx1"/>
                  </w14:solidFill>
                </w14:textFill>
              </w:rPr>
              <w:t>代理人身份证复印件正面</w:t>
            </w:r>
          </w:p>
        </w:tc>
        <w:tc>
          <w:tcPr>
            <w:tcW w:w="4398" w:type="dxa"/>
            <w:tcBorders>
              <w:top w:val="single" w:color="auto" w:sz="18" w:space="0"/>
              <w:left w:val="single" w:color="auto" w:sz="18" w:space="0"/>
              <w:bottom w:val="single" w:color="auto" w:sz="18" w:space="0"/>
              <w:right w:val="single" w:color="auto" w:sz="18" w:space="0"/>
            </w:tcBorders>
            <w:vAlign w:val="center"/>
          </w:tcPr>
          <w:p w14:paraId="0829D16D">
            <w:pPr>
              <w:jc w:val="center"/>
              <w:rPr>
                <w:rFonts w:ascii="宋体" w:hAnsi="宋体" w:cs="Calibri"/>
                <w:color w:val="000000" w:themeColor="text1"/>
                <w:kern w:val="0"/>
                <w:sz w:val="18"/>
                <w:szCs w:val="18"/>
                <w14:textFill>
                  <w14:solidFill>
                    <w14:schemeClr w14:val="tx1"/>
                  </w14:solidFill>
                </w14:textFill>
              </w:rPr>
            </w:pPr>
            <w:r>
              <w:rPr>
                <w:rFonts w:ascii="宋体" w:hAnsi="宋体" w:cs="宋体"/>
                <w:color w:val="000000" w:themeColor="text1"/>
                <w:kern w:val="1"/>
                <w:szCs w:val="21"/>
                <w14:textFill>
                  <w14:solidFill>
                    <w14:schemeClr w14:val="tx1"/>
                  </w14:solidFill>
                </w14:textFill>
              </w:rPr>
              <w:t>代理人身份证复印件反面</w:t>
            </w:r>
          </w:p>
        </w:tc>
      </w:tr>
    </w:tbl>
    <w:p w14:paraId="3BB870DC">
      <w:pPr>
        <w:rPr>
          <w:rFonts w:ascii="宋体" w:hAnsi="宋体" w:cs="Calibri"/>
          <w:color w:val="000000" w:themeColor="text1"/>
          <w:kern w:val="0"/>
          <w14:textFill>
            <w14:solidFill>
              <w14:schemeClr w14:val="tx1"/>
            </w14:solidFill>
          </w14:textFill>
        </w:rPr>
      </w:pPr>
    </w:p>
    <w:p w14:paraId="7E20C479">
      <w:pPr>
        <w:spacing w:line="600" w:lineRule="exact"/>
        <w:ind w:right="-31" w:firstLine="3402" w:firstLineChars="1620"/>
        <w:rPr>
          <w:rFonts w:ascii="宋体" w:hAnsi="宋体" w:cs="宋体"/>
          <w:color w:val="000000" w:themeColor="text1"/>
          <w:kern w:val="1"/>
          <w:szCs w:val="21"/>
          <w14:textFill>
            <w14:solidFill>
              <w14:schemeClr w14:val="tx1"/>
            </w14:solidFill>
          </w14:textFill>
        </w:rPr>
      </w:pPr>
      <w:r>
        <w:rPr>
          <w:rFonts w:hint="eastAsia" w:ascii="宋体" w:hAnsi="宋体" w:cs="宋体"/>
          <w:color w:val="000000" w:themeColor="text1"/>
          <w:kern w:val="1"/>
          <w:szCs w:val="21"/>
          <w14:textFill>
            <w14:solidFill>
              <w14:schemeClr w14:val="tx1"/>
            </w14:solidFill>
          </w14:textFill>
        </w:rPr>
        <w:t xml:space="preserve">投 </w:t>
      </w:r>
      <w:r>
        <w:rPr>
          <w:rFonts w:ascii="宋体" w:hAnsi="宋体" w:cs="宋体"/>
          <w:color w:val="000000" w:themeColor="text1"/>
          <w:kern w:val="1"/>
          <w:szCs w:val="21"/>
          <w14:textFill>
            <w14:solidFill>
              <w14:schemeClr w14:val="tx1"/>
            </w14:solidFill>
          </w14:textFill>
        </w:rPr>
        <w:t xml:space="preserve"> </w:t>
      </w:r>
      <w:r>
        <w:rPr>
          <w:rFonts w:hint="eastAsia" w:ascii="宋体" w:hAnsi="宋体" w:cs="宋体"/>
          <w:color w:val="000000" w:themeColor="text1"/>
          <w:kern w:val="1"/>
          <w:szCs w:val="21"/>
          <w14:textFill>
            <w14:solidFill>
              <w14:schemeClr w14:val="tx1"/>
            </w14:solidFill>
          </w14:textFill>
        </w:rPr>
        <w:t>标</w:t>
      </w:r>
      <w:r>
        <w:rPr>
          <w:rFonts w:ascii="宋体" w:hAnsi="宋体" w:cs="宋体"/>
          <w:color w:val="000000" w:themeColor="text1"/>
          <w:kern w:val="1"/>
          <w:szCs w:val="21"/>
          <w14:textFill>
            <w14:solidFill>
              <w14:schemeClr w14:val="tx1"/>
            </w14:solidFill>
          </w14:textFill>
        </w:rPr>
        <w:t xml:space="preserve">  人：</w:t>
      </w:r>
      <w:r>
        <w:rPr>
          <w:rFonts w:ascii="宋体" w:hAnsi="宋体" w:cs="宋体"/>
          <w:color w:val="000000" w:themeColor="text1"/>
          <w:kern w:val="1"/>
          <w:szCs w:val="21"/>
          <w:u w:val="single"/>
          <w14:textFill>
            <w14:solidFill>
              <w14:schemeClr w14:val="tx1"/>
            </w14:solidFill>
          </w14:textFill>
        </w:rPr>
        <w:t xml:space="preserve">                          </w:t>
      </w:r>
      <w:r>
        <w:rPr>
          <w:rFonts w:ascii="宋体" w:hAnsi="宋体" w:cs="宋体"/>
          <w:color w:val="000000" w:themeColor="text1"/>
          <w:kern w:val="1"/>
          <w:szCs w:val="21"/>
          <w14:textFill>
            <w14:solidFill>
              <w14:schemeClr w14:val="tx1"/>
            </w14:solidFill>
          </w14:textFill>
        </w:rPr>
        <w:t>（</w:t>
      </w:r>
      <w:r>
        <w:rPr>
          <w:rFonts w:hint="eastAsia" w:ascii="宋体" w:hAnsi="宋体" w:cs="宋体"/>
          <w:color w:val="000000" w:themeColor="text1"/>
          <w:kern w:val="1"/>
          <w:szCs w:val="21"/>
          <w14:textFill>
            <w14:solidFill>
              <w14:schemeClr w14:val="tx1"/>
            </w14:solidFill>
          </w14:textFill>
        </w:rPr>
        <w:t>电子签章</w:t>
      </w:r>
      <w:r>
        <w:rPr>
          <w:rFonts w:ascii="宋体" w:hAnsi="宋体" w:cs="宋体"/>
          <w:color w:val="000000" w:themeColor="text1"/>
          <w:kern w:val="1"/>
          <w:szCs w:val="21"/>
          <w14:textFill>
            <w14:solidFill>
              <w14:schemeClr w14:val="tx1"/>
            </w14:solidFill>
          </w14:textFill>
        </w:rPr>
        <w:t>）</w:t>
      </w:r>
    </w:p>
    <w:p w14:paraId="567330F1">
      <w:pPr>
        <w:spacing w:line="600" w:lineRule="exact"/>
        <w:ind w:right="-31" w:firstLine="3402" w:firstLineChars="1620"/>
        <w:rPr>
          <w:rFonts w:hint="eastAsia" w:ascii="宋体" w:hAnsi="宋体" w:eastAsia="宋体" w:cs="宋体"/>
          <w:color w:val="000000" w:themeColor="text1"/>
          <w:kern w:val="1"/>
          <w:szCs w:val="21"/>
          <w:lang w:eastAsia="zh-CN"/>
          <w14:textFill>
            <w14:solidFill>
              <w14:schemeClr w14:val="tx1"/>
            </w14:solidFill>
          </w14:textFill>
        </w:rPr>
      </w:pPr>
      <w:r>
        <w:rPr>
          <w:rFonts w:ascii="宋体" w:hAnsi="宋体" w:cs="宋体"/>
          <w:color w:val="000000" w:themeColor="text1"/>
          <w:kern w:val="1"/>
          <w:szCs w:val="21"/>
          <w14:textFill>
            <w14:solidFill>
              <w14:schemeClr w14:val="tx1"/>
            </w14:solidFill>
          </w14:textFill>
        </w:rPr>
        <w:t>法定代表人：</w:t>
      </w:r>
      <w:r>
        <w:rPr>
          <w:rFonts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u w:val="single"/>
          <w:lang w:val="en-US" w:eastAsia="zh-CN"/>
          <w14:textFill>
            <w14:solidFill>
              <w14:schemeClr w14:val="tx1"/>
            </w14:solidFill>
          </w14:textFill>
        </w:rPr>
        <w:t xml:space="preserve"> </w:t>
      </w:r>
      <w:r>
        <w:rPr>
          <w:rFonts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lang w:eastAsia="zh-CN"/>
          <w14:textFill>
            <w14:solidFill>
              <w14:schemeClr w14:val="tx1"/>
            </w14:solidFill>
          </w14:textFill>
        </w:rPr>
        <w:t>（电子签章）</w:t>
      </w:r>
    </w:p>
    <w:p w14:paraId="42F0860D">
      <w:pPr>
        <w:spacing w:line="600" w:lineRule="exact"/>
        <w:ind w:right="-31" w:firstLine="3402" w:firstLineChars="1620"/>
        <w:rPr>
          <w:rFonts w:ascii="宋体" w:hAnsi="宋体" w:cs="宋体"/>
          <w:color w:val="000000" w:themeColor="text1"/>
          <w:kern w:val="1"/>
          <w:szCs w:val="21"/>
          <w14:textFill>
            <w14:solidFill>
              <w14:schemeClr w14:val="tx1"/>
            </w14:solidFill>
          </w14:textFill>
        </w:rPr>
      </w:pPr>
      <w:r>
        <w:rPr>
          <w:rFonts w:ascii="宋体" w:hAnsi="宋体" w:cs="宋体"/>
          <w:color w:val="000000" w:themeColor="text1"/>
          <w:kern w:val="1"/>
          <w:szCs w:val="21"/>
          <w14:textFill>
            <w14:solidFill>
              <w14:schemeClr w14:val="tx1"/>
            </w14:solidFill>
          </w14:textFill>
        </w:rPr>
        <w:t>身份证号码：</w:t>
      </w:r>
      <w:r>
        <w:rPr>
          <w:rFonts w:ascii="宋体" w:hAnsi="宋体" w:cs="宋体"/>
          <w:color w:val="000000" w:themeColor="text1"/>
          <w:kern w:val="1"/>
          <w:szCs w:val="21"/>
          <w:u w:val="single"/>
          <w14:textFill>
            <w14:solidFill>
              <w14:schemeClr w14:val="tx1"/>
            </w14:solidFill>
          </w14:textFill>
        </w:rPr>
        <w:t xml:space="preserve">                                    </w:t>
      </w:r>
    </w:p>
    <w:p w14:paraId="221BDFC3">
      <w:pPr>
        <w:spacing w:line="600" w:lineRule="exact"/>
        <w:ind w:right="-31" w:firstLine="3402" w:firstLineChars="1620"/>
        <w:rPr>
          <w:rFonts w:hint="eastAsia" w:ascii="宋体" w:hAnsi="宋体" w:eastAsia="宋体" w:cs="宋体"/>
          <w:color w:val="000000" w:themeColor="text1"/>
          <w:kern w:val="1"/>
          <w:szCs w:val="21"/>
          <w:lang w:eastAsia="zh-CN"/>
          <w14:textFill>
            <w14:solidFill>
              <w14:schemeClr w14:val="tx1"/>
            </w14:solidFill>
          </w14:textFill>
        </w:rPr>
      </w:pPr>
      <w:r>
        <w:rPr>
          <w:rFonts w:ascii="宋体" w:hAnsi="宋体" w:cs="宋体"/>
          <w:color w:val="000000" w:themeColor="text1"/>
          <w:kern w:val="1"/>
          <w:szCs w:val="21"/>
          <w14:textFill>
            <w14:solidFill>
              <w14:schemeClr w14:val="tx1"/>
            </w14:solidFill>
          </w14:textFill>
        </w:rPr>
        <w:t>委托代理人：</w:t>
      </w:r>
      <w:r>
        <w:rPr>
          <w:rFonts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lang w:eastAsia="zh-CN"/>
          <w14:textFill>
            <w14:solidFill>
              <w14:schemeClr w14:val="tx1"/>
            </w14:solidFill>
          </w14:textFill>
        </w:rPr>
        <w:t>（</w:t>
      </w:r>
      <w:r>
        <w:rPr>
          <w:rFonts w:hint="eastAsia" w:ascii="宋体" w:hAnsi="宋体" w:cs="宋体"/>
          <w:color w:val="000000" w:themeColor="text1"/>
          <w:kern w:val="1"/>
          <w:szCs w:val="21"/>
          <w:lang w:val="en-US" w:eastAsia="zh-CN"/>
          <w14:textFill>
            <w14:solidFill>
              <w14:schemeClr w14:val="tx1"/>
            </w14:solidFill>
          </w14:textFill>
        </w:rPr>
        <w:t>签字</w:t>
      </w:r>
      <w:r>
        <w:rPr>
          <w:rFonts w:hint="eastAsia" w:ascii="宋体" w:hAnsi="宋体" w:cs="宋体"/>
          <w:color w:val="000000" w:themeColor="text1"/>
          <w:kern w:val="1"/>
          <w:szCs w:val="21"/>
          <w:lang w:eastAsia="zh-CN"/>
          <w14:textFill>
            <w14:solidFill>
              <w14:schemeClr w14:val="tx1"/>
            </w14:solidFill>
          </w14:textFill>
        </w:rPr>
        <w:t>）</w:t>
      </w:r>
    </w:p>
    <w:p w14:paraId="28342EF0">
      <w:pPr>
        <w:tabs>
          <w:tab w:val="left" w:pos="8460"/>
        </w:tabs>
        <w:spacing w:line="600" w:lineRule="exact"/>
        <w:ind w:right="-31" w:firstLine="3402" w:firstLineChars="1620"/>
        <w:rPr>
          <w:rFonts w:ascii="宋体" w:hAnsi="宋体" w:cs="宋体"/>
          <w:color w:val="000000" w:themeColor="text1"/>
          <w:kern w:val="1"/>
          <w:szCs w:val="21"/>
          <w:u w:val="single"/>
          <w14:textFill>
            <w14:solidFill>
              <w14:schemeClr w14:val="tx1"/>
            </w14:solidFill>
          </w14:textFill>
        </w:rPr>
      </w:pPr>
      <w:r>
        <w:rPr>
          <w:rFonts w:ascii="宋体" w:hAnsi="宋体" w:cs="宋体"/>
          <w:color w:val="000000" w:themeColor="text1"/>
          <w:kern w:val="1"/>
          <w:szCs w:val="21"/>
          <w14:textFill>
            <w14:solidFill>
              <w14:schemeClr w14:val="tx1"/>
            </w14:solidFill>
          </w14:textFill>
        </w:rPr>
        <w:t>身份证号码：</w:t>
      </w:r>
      <w:r>
        <w:rPr>
          <w:rFonts w:ascii="宋体" w:hAnsi="宋体" w:cs="宋体"/>
          <w:color w:val="000000" w:themeColor="text1"/>
          <w:kern w:val="1"/>
          <w:szCs w:val="21"/>
          <w:u w:val="single"/>
          <w14:textFill>
            <w14:solidFill>
              <w14:schemeClr w14:val="tx1"/>
            </w14:solidFill>
          </w14:textFill>
        </w:rPr>
        <w:t xml:space="preserve">                                    </w:t>
      </w:r>
    </w:p>
    <w:p w14:paraId="72D438F0">
      <w:pPr>
        <w:spacing w:line="600" w:lineRule="exact"/>
        <w:ind w:right="-31" w:firstLine="3402" w:firstLineChars="1620"/>
        <w:rPr>
          <w:rFonts w:ascii="宋体" w:hAnsi="宋体" w:cs="宋体"/>
          <w:color w:val="000000" w:themeColor="text1"/>
          <w:kern w:val="1"/>
          <w:szCs w:val="21"/>
          <w14:textFill>
            <w14:solidFill>
              <w14:schemeClr w14:val="tx1"/>
            </w14:solidFill>
          </w14:textFill>
        </w:rPr>
      </w:pPr>
      <w:r>
        <w:rPr>
          <w:rFonts w:hint="eastAsia"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14:textFill>
            <w14:solidFill>
              <w14:schemeClr w14:val="tx1"/>
            </w14:solidFill>
          </w14:textFill>
        </w:rPr>
        <w:t>年</w:t>
      </w:r>
      <w:r>
        <w:rPr>
          <w:rFonts w:hint="eastAsia"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14:textFill>
            <w14:solidFill>
              <w14:schemeClr w14:val="tx1"/>
            </w14:solidFill>
          </w14:textFill>
        </w:rPr>
        <w:t>月</w:t>
      </w:r>
      <w:r>
        <w:rPr>
          <w:rFonts w:hint="eastAsia" w:ascii="宋体" w:hAnsi="宋体" w:cs="宋体"/>
          <w:color w:val="000000" w:themeColor="text1"/>
          <w:kern w:val="1"/>
          <w:szCs w:val="21"/>
          <w:u w:val="single"/>
          <w14:textFill>
            <w14:solidFill>
              <w14:schemeClr w14:val="tx1"/>
            </w14:solidFill>
          </w14:textFill>
        </w:rPr>
        <w:t xml:space="preserve">       </w:t>
      </w:r>
      <w:r>
        <w:rPr>
          <w:rFonts w:hint="eastAsia" w:ascii="宋体" w:hAnsi="宋体" w:cs="宋体"/>
          <w:color w:val="000000" w:themeColor="text1"/>
          <w:kern w:val="1"/>
          <w:szCs w:val="21"/>
          <w14:textFill>
            <w14:solidFill>
              <w14:schemeClr w14:val="tx1"/>
            </w14:solidFill>
          </w14:textFill>
        </w:rPr>
        <w:t>日</w:t>
      </w:r>
    </w:p>
    <w:p w14:paraId="707AE4B9">
      <w:pPr>
        <w:spacing w:line="480" w:lineRule="auto"/>
        <w:jc w:val="center"/>
        <w:rPr>
          <w:rFonts w:hint="eastAsia" w:ascii="宋体" w:hAnsi="宋体" w:eastAsia="宋体" w:cs="宋体"/>
          <w:color w:val="000000" w:themeColor="text1"/>
          <w:sz w:val="21"/>
          <w:szCs w:val="21"/>
          <w14:textFill>
            <w14:solidFill>
              <w14:schemeClr w14:val="tx1"/>
            </w14:solidFill>
          </w14:textFill>
        </w:rPr>
        <w:sectPr>
          <w:pgSz w:w="11905" w:h="16838"/>
          <w:pgMar w:top="1417" w:right="1417" w:bottom="1417" w:left="1417" w:header="850" w:footer="992" w:gutter="0"/>
          <w:pgNumType w:fmt="decimal"/>
          <w:cols w:space="0" w:num="1"/>
          <w:rtlGutter w:val="0"/>
          <w:docGrid w:type="lines" w:linePitch="317" w:charSpace="0"/>
        </w:sectPr>
      </w:pPr>
    </w:p>
    <w:bookmarkEnd w:id="1682"/>
    <w:bookmarkEnd w:id="1683"/>
    <w:p w14:paraId="1FB9E593">
      <w:pPr>
        <w:spacing w:line="360" w:lineRule="auto"/>
        <w:jc w:val="center"/>
        <w:outlineLvl w:val="3"/>
        <w:rPr>
          <w:rFonts w:hint="eastAsia" w:ascii="宋体" w:hAnsi="宋体" w:eastAsia="宋体"/>
          <w:b/>
          <w:color w:val="000000" w:themeColor="text1"/>
          <w:szCs w:val="21"/>
          <w:lang w:val="en-US" w:eastAsia="zh-CN"/>
          <w14:textFill>
            <w14:solidFill>
              <w14:schemeClr w14:val="tx1"/>
            </w14:solidFill>
          </w14:textFill>
        </w:rPr>
      </w:pPr>
      <w:bookmarkStart w:id="1690" w:name="_Toc173645778"/>
      <w:bookmarkStart w:id="1691" w:name="_Toc24017"/>
      <w:bookmarkStart w:id="1692" w:name="_Toc115254322"/>
      <w:bookmarkStart w:id="1693" w:name="_Toc115254434"/>
      <w:bookmarkStart w:id="1694" w:name="_Toc173645780"/>
      <w:r>
        <w:rPr>
          <w:rFonts w:hint="eastAsia" w:ascii="宋体" w:hAnsi="宋体"/>
          <w:b/>
          <w:color w:val="000000" w:themeColor="text1"/>
          <w:szCs w:val="21"/>
          <w:lang w:val="en-US" w:eastAsia="zh-CN"/>
          <w14:textFill>
            <w14:solidFill>
              <w14:schemeClr w14:val="tx1"/>
            </w14:solidFill>
          </w14:textFill>
        </w:rPr>
        <w:t>四、</w:t>
      </w:r>
      <w:r>
        <w:rPr>
          <w:rFonts w:hint="eastAsia" w:ascii="宋体" w:hAnsi="宋体"/>
          <w:b/>
          <w:color w:val="000000" w:themeColor="text1"/>
          <w:szCs w:val="21"/>
          <w14:textFill>
            <w14:solidFill>
              <w14:schemeClr w14:val="tx1"/>
            </w14:solidFill>
          </w14:textFill>
        </w:rPr>
        <w:t xml:space="preserve">  投标</w:t>
      </w:r>
      <w:bookmarkEnd w:id="1690"/>
      <w:r>
        <w:rPr>
          <w:rFonts w:hint="eastAsia" w:ascii="宋体" w:hAnsi="宋体"/>
          <w:b/>
          <w:color w:val="000000" w:themeColor="text1"/>
          <w:szCs w:val="21"/>
          <w14:textFill>
            <w14:solidFill>
              <w14:schemeClr w14:val="tx1"/>
            </w14:solidFill>
          </w14:textFill>
        </w:rPr>
        <w:t>人基本情况表</w:t>
      </w:r>
      <w:bookmarkEnd w:id="1691"/>
      <w:bookmarkEnd w:id="1692"/>
      <w:bookmarkEnd w:id="1693"/>
    </w:p>
    <w:tbl>
      <w:tblPr>
        <w:tblStyle w:val="23"/>
        <w:tblpPr w:leftFromText="180" w:rightFromText="180" w:vertAnchor="text" w:horzAnchor="page" w:tblpX="1799" w:tblpY="553"/>
        <w:tblOverlap w:val="never"/>
        <w:tblW w:w="5000" w:type="pct"/>
        <w:tblInd w:w="0" w:type="dxa"/>
        <w:tblLayout w:type="fixed"/>
        <w:tblCellMar>
          <w:top w:w="0" w:type="dxa"/>
          <w:left w:w="0" w:type="dxa"/>
          <w:bottom w:w="0" w:type="dxa"/>
          <w:right w:w="0" w:type="dxa"/>
        </w:tblCellMar>
      </w:tblPr>
      <w:tblGrid>
        <w:gridCol w:w="2249"/>
        <w:gridCol w:w="1354"/>
        <w:gridCol w:w="1080"/>
        <w:gridCol w:w="1217"/>
        <w:gridCol w:w="1217"/>
        <w:gridCol w:w="757"/>
        <w:gridCol w:w="1679"/>
      </w:tblGrid>
      <w:tr w14:paraId="7859D786">
        <w:tblPrEx>
          <w:tblCellMar>
            <w:top w:w="0" w:type="dxa"/>
            <w:left w:w="0" w:type="dxa"/>
            <w:bottom w:w="0" w:type="dxa"/>
            <w:right w:w="0" w:type="dxa"/>
          </w:tblCellMar>
        </w:tblPrEx>
        <w:trPr>
          <w:trHeight w:val="603" w:hRule="atLeast"/>
        </w:trPr>
        <w:tc>
          <w:tcPr>
            <w:tcW w:w="1177" w:type="pct"/>
            <w:tcBorders>
              <w:top w:val="single" w:color="000000" w:sz="4" w:space="0"/>
              <w:left w:val="single" w:color="000000" w:sz="4" w:space="0"/>
              <w:bottom w:val="single" w:color="000000" w:sz="4" w:space="0"/>
              <w:right w:val="single" w:color="000000" w:sz="4" w:space="0"/>
            </w:tcBorders>
            <w:noWrap w:val="0"/>
            <w:vAlign w:val="center"/>
          </w:tcPr>
          <w:p w14:paraId="01DA243A">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投标人名称</w:t>
            </w:r>
          </w:p>
        </w:tc>
        <w:tc>
          <w:tcPr>
            <w:tcW w:w="3823" w:type="pct"/>
            <w:gridSpan w:val="6"/>
            <w:tcBorders>
              <w:top w:val="single" w:color="000000" w:sz="4" w:space="0"/>
              <w:left w:val="single" w:color="000000" w:sz="4" w:space="0"/>
              <w:bottom w:val="single" w:color="000000" w:sz="4" w:space="0"/>
              <w:right w:val="single" w:color="000000" w:sz="4" w:space="0"/>
            </w:tcBorders>
            <w:noWrap w:val="0"/>
            <w:vAlign w:val="center"/>
          </w:tcPr>
          <w:p w14:paraId="2A650BEA">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11D7A224">
        <w:tblPrEx>
          <w:tblCellMar>
            <w:top w:w="0" w:type="dxa"/>
            <w:left w:w="0" w:type="dxa"/>
            <w:bottom w:w="0" w:type="dxa"/>
            <w:right w:w="0" w:type="dxa"/>
          </w:tblCellMar>
        </w:tblPrEx>
        <w:trPr>
          <w:trHeight w:val="628" w:hRule="atLeast"/>
        </w:trPr>
        <w:tc>
          <w:tcPr>
            <w:tcW w:w="1177" w:type="pct"/>
            <w:tcBorders>
              <w:top w:val="single" w:color="000000" w:sz="4" w:space="0"/>
              <w:left w:val="single" w:color="000000" w:sz="4" w:space="0"/>
              <w:bottom w:val="single" w:color="000000" w:sz="4" w:space="0"/>
              <w:right w:val="single" w:color="000000" w:sz="4" w:space="0"/>
            </w:tcBorders>
            <w:noWrap w:val="0"/>
            <w:vAlign w:val="center"/>
          </w:tcPr>
          <w:p w14:paraId="7CB91DCE">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注册地址</w:t>
            </w:r>
          </w:p>
        </w:tc>
        <w:tc>
          <w:tcPr>
            <w:tcW w:w="1911" w:type="pct"/>
            <w:gridSpan w:val="3"/>
            <w:tcBorders>
              <w:top w:val="single" w:color="000000" w:sz="4" w:space="0"/>
              <w:left w:val="single" w:color="000000" w:sz="4" w:space="0"/>
              <w:bottom w:val="single" w:color="000000" w:sz="4" w:space="0"/>
              <w:right w:val="single" w:color="000000" w:sz="4" w:space="0"/>
            </w:tcBorders>
            <w:noWrap w:val="0"/>
            <w:vAlign w:val="center"/>
          </w:tcPr>
          <w:p w14:paraId="0CFAD3C8">
            <w:pPr>
              <w:autoSpaceDE w:val="0"/>
              <w:autoSpaceDN w:val="0"/>
              <w:adjustRightInd w:val="0"/>
              <w:snapToGrid w:val="0"/>
              <w:spacing w:line="360" w:lineRule="auto"/>
              <w:jc w:val="center"/>
              <w:rPr>
                <w:rFonts w:ascii="宋体" w:hAnsi="宋体" w:eastAsia="宋体"/>
                <w:color w:val="auto"/>
                <w:kern w:val="0"/>
                <w:sz w:val="21"/>
                <w:szCs w:val="21"/>
                <w:highlight w:val="none"/>
              </w:rPr>
            </w:pPr>
          </w:p>
        </w:tc>
        <w:tc>
          <w:tcPr>
            <w:tcW w:w="1033" w:type="pct"/>
            <w:gridSpan w:val="2"/>
            <w:tcBorders>
              <w:top w:val="single" w:color="000000" w:sz="4" w:space="0"/>
              <w:left w:val="single" w:color="000000" w:sz="4" w:space="0"/>
              <w:bottom w:val="single" w:color="000000" w:sz="4" w:space="0"/>
              <w:right w:val="single" w:color="000000" w:sz="4" w:space="0"/>
            </w:tcBorders>
            <w:noWrap w:val="0"/>
            <w:vAlign w:val="center"/>
          </w:tcPr>
          <w:p w14:paraId="2510646F">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邮政编码</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1E7E82E3">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4E482415">
        <w:tblPrEx>
          <w:tblCellMar>
            <w:top w:w="0" w:type="dxa"/>
            <w:left w:w="0" w:type="dxa"/>
            <w:bottom w:w="0" w:type="dxa"/>
            <w:right w:w="0" w:type="dxa"/>
          </w:tblCellMar>
        </w:tblPrEx>
        <w:trPr>
          <w:trHeight w:val="665" w:hRule="atLeast"/>
        </w:trPr>
        <w:tc>
          <w:tcPr>
            <w:tcW w:w="1177" w:type="pct"/>
            <w:vMerge w:val="restart"/>
            <w:tcBorders>
              <w:top w:val="single" w:color="000000" w:sz="4" w:space="0"/>
              <w:left w:val="single" w:color="000000" w:sz="4" w:space="0"/>
              <w:bottom w:val="single" w:color="000000" w:sz="4" w:space="0"/>
              <w:right w:val="single" w:color="000000" w:sz="4" w:space="0"/>
            </w:tcBorders>
            <w:noWrap w:val="0"/>
            <w:vAlign w:val="center"/>
          </w:tcPr>
          <w:p w14:paraId="0EF7135B">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联系方式</w:t>
            </w:r>
          </w:p>
        </w:tc>
        <w:tc>
          <w:tcPr>
            <w:tcW w:w="709" w:type="pct"/>
            <w:tcBorders>
              <w:top w:val="single" w:color="000000" w:sz="4" w:space="0"/>
              <w:left w:val="single" w:color="000000" w:sz="4" w:space="0"/>
              <w:bottom w:val="single" w:color="000000" w:sz="4" w:space="0"/>
              <w:right w:val="single" w:color="000000" w:sz="4" w:space="0"/>
            </w:tcBorders>
            <w:noWrap w:val="0"/>
            <w:vAlign w:val="center"/>
          </w:tcPr>
          <w:p w14:paraId="622B3690">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联系人</w:t>
            </w:r>
          </w:p>
        </w:tc>
        <w:tc>
          <w:tcPr>
            <w:tcW w:w="1202" w:type="pct"/>
            <w:gridSpan w:val="2"/>
            <w:tcBorders>
              <w:top w:val="single" w:color="000000" w:sz="4" w:space="0"/>
              <w:left w:val="single" w:color="000000" w:sz="4" w:space="0"/>
              <w:bottom w:val="single" w:color="000000" w:sz="4" w:space="0"/>
              <w:right w:val="single" w:color="000000" w:sz="4" w:space="0"/>
            </w:tcBorders>
            <w:noWrap w:val="0"/>
            <w:vAlign w:val="center"/>
          </w:tcPr>
          <w:p w14:paraId="2AB8C1EE">
            <w:pPr>
              <w:autoSpaceDE w:val="0"/>
              <w:autoSpaceDN w:val="0"/>
              <w:adjustRightInd w:val="0"/>
              <w:snapToGrid w:val="0"/>
              <w:spacing w:line="360" w:lineRule="auto"/>
              <w:jc w:val="center"/>
              <w:rPr>
                <w:rFonts w:ascii="宋体" w:hAnsi="宋体" w:eastAsia="宋体"/>
                <w:color w:val="auto"/>
                <w:kern w:val="0"/>
                <w:sz w:val="21"/>
                <w:szCs w:val="21"/>
                <w:highlight w:val="none"/>
              </w:rPr>
            </w:pPr>
          </w:p>
        </w:tc>
        <w:tc>
          <w:tcPr>
            <w:tcW w:w="1033" w:type="pct"/>
            <w:gridSpan w:val="2"/>
            <w:tcBorders>
              <w:top w:val="single" w:color="000000" w:sz="4" w:space="0"/>
              <w:left w:val="single" w:color="000000" w:sz="4" w:space="0"/>
              <w:bottom w:val="single" w:color="000000" w:sz="4" w:space="0"/>
              <w:right w:val="single" w:color="000000" w:sz="4" w:space="0"/>
            </w:tcBorders>
            <w:noWrap w:val="0"/>
            <w:vAlign w:val="center"/>
          </w:tcPr>
          <w:p w14:paraId="310D6D0A">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电话</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0B1E7646">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791A86B3">
        <w:tblPrEx>
          <w:tblCellMar>
            <w:top w:w="0" w:type="dxa"/>
            <w:left w:w="0" w:type="dxa"/>
            <w:bottom w:w="0" w:type="dxa"/>
            <w:right w:w="0" w:type="dxa"/>
          </w:tblCellMar>
        </w:tblPrEx>
        <w:trPr>
          <w:trHeight w:val="652" w:hRule="atLeast"/>
        </w:trPr>
        <w:tc>
          <w:tcPr>
            <w:tcW w:w="11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ACA615">
            <w:pPr>
              <w:autoSpaceDE w:val="0"/>
              <w:autoSpaceDN w:val="0"/>
              <w:adjustRightInd w:val="0"/>
              <w:snapToGrid w:val="0"/>
              <w:spacing w:line="360" w:lineRule="auto"/>
              <w:jc w:val="center"/>
              <w:rPr>
                <w:rFonts w:ascii="宋体" w:hAnsi="宋体" w:eastAsia="宋体"/>
                <w:color w:val="auto"/>
                <w:kern w:val="0"/>
                <w:sz w:val="21"/>
                <w:szCs w:val="21"/>
                <w:highlight w:val="none"/>
              </w:rPr>
            </w:pPr>
          </w:p>
        </w:tc>
        <w:tc>
          <w:tcPr>
            <w:tcW w:w="709" w:type="pct"/>
            <w:tcBorders>
              <w:top w:val="single" w:color="000000" w:sz="4" w:space="0"/>
              <w:left w:val="single" w:color="000000" w:sz="4" w:space="0"/>
              <w:bottom w:val="single" w:color="000000" w:sz="4" w:space="0"/>
              <w:right w:val="single" w:color="000000" w:sz="4" w:space="0"/>
            </w:tcBorders>
            <w:noWrap w:val="0"/>
            <w:vAlign w:val="center"/>
          </w:tcPr>
          <w:p w14:paraId="548EBD75">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传真</w:t>
            </w:r>
          </w:p>
        </w:tc>
        <w:tc>
          <w:tcPr>
            <w:tcW w:w="1202" w:type="pct"/>
            <w:gridSpan w:val="2"/>
            <w:tcBorders>
              <w:top w:val="single" w:color="000000" w:sz="4" w:space="0"/>
              <w:left w:val="single" w:color="000000" w:sz="4" w:space="0"/>
              <w:bottom w:val="single" w:color="000000" w:sz="4" w:space="0"/>
              <w:right w:val="single" w:color="auto" w:sz="4" w:space="0"/>
            </w:tcBorders>
            <w:noWrap w:val="0"/>
            <w:vAlign w:val="center"/>
          </w:tcPr>
          <w:p w14:paraId="1A3258B6">
            <w:pPr>
              <w:autoSpaceDE w:val="0"/>
              <w:autoSpaceDN w:val="0"/>
              <w:adjustRightInd w:val="0"/>
              <w:snapToGrid w:val="0"/>
              <w:spacing w:line="360" w:lineRule="auto"/>
              <w:jc w:val="center"/>
              <w:rPr>
                <w:rFonts w:ascii="宋体" w:hAnsi="宋体" w:eastAsia="宋体"/>
                <w:color w:val="auto"/>
                <w:kern w:val="0"/>
                <w:sz w:val="21"/>
                <w:szCs w:val="21"/>
                <w:highlight w:val="none"/>
              </w:rPr>
            </w:pPr>
          </w:p>
        </w:tc>
        <w:tc>
          <w:tcPr>
            <w:tcW w:w="1033" w:type="pct"/>
            <w:gridSpan w:val="2"/>
            <w:tcBorders>
              <w:top w:val="single" w:color="000000" w:sz="4" w:space="0"/>
              <w:left w:val="single" w:color="auto" w:sz="4" w:space="0"/>
              <w:bottom w:val="single" w:color="000000" w:sz="4" w:space="0"/>
              <w:right w:val="single" w:color="auto" w:sz="4" w:space="0"/>
            </w:tcBorders>
            <w:noWrap w:val="0"/>
            <w:vAlign w:val="center"/>
          </w:tcPr>
          <w:p w14:paraId="393576F9">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网址</w:t>
            </w:r>
          </w:p>
        </w:tc>
        <w:tc>
          <w:tcPr>
            <w:tcW w:w="879" w:type="pct"/>
            <w:tcBorders>
              <w:top w:val="single" w:color="000000" w:sz="4" w:space="0"/>
              <w:left w:val="single" w:color="auto" w:sz="4" w:space="0"/>
              <w:bottom w:val="single" w:color="000000" w:sz="4" w:space="0"/>
              <w:right w:val="single" w:color="000000" w:sz="4" w:space="0"/>
            </w:tcBorders>
            <w:noWrap w:val="0"/>
            <w:vAlign w:val="center"/>
          </w:tcPr>
          <w:p w14:paraId="3364C0F3">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211CE6A1">
        <w:tblPrEx>
          <w:tblCellMar>
            <w:top w:w="0" w:type="dxa"/>
            <w:left w:w="0" w:type="dxa"/>
            <w:bottom w:w="0" w:type="dxa"/>
            <w:right w:w="0" w:type="dxa"/>
          </w:tblCellMar>
        </w:tblPrEx>
        <w:trPr>
          <w:trHeight w:val="591" w:hRule="atLeast"/>
        </w:trPr>
        <w:tc>
          <w:tcPr>
            <w:tcW w:w="1177" w:type="pct"/>
            <w:tcBorders>
              <w:top w:val="single" w:color="000000" w:sz="4" w:space="0"/>
              <w:left w:val="single" w:color="000000" w:sz="4" w:space="0"/>
              <w:bottom w:val="single" w:color="000000" w:sz="4" w:space="0"/>
              <w:right w:val="single" w:color="000000" w:sz="4" w:space="0"/>
            </w:tcBorders>
            <w:noWrap w:val="0"/>
            <w:vAlign w:val="center"/>
          </w:tcPr>
          <w:p w14:paraId="4A4D02C7">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法定代表人</w:t>
            </w:r>
          </w:p>
        </w:tc>
        <w:tc>
          <w:tcPr>
            <w:tcW w:w="709" w:type="pct"/>
            <w:tcBorders>
              <w:top w:val="single" w:color="000000" w:sz="4" w:space="0"/>
              <w:left w:val="single" w:color="000000" w:sz="4" w:space="0"/>
              <w:bottom w:val="single" w:color="000000" w:sz="4" w:space="0"/>
              <w:right w:val="single" w:color="000000" w:sz="4" w:space="0"/>
            </w:tcBorders>
            <w:noWrap w:val="0"/>
            <w:vAlign w:val="center"/>
          </w:tcPr>
          <w:p w14:paraId="66462CD0">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姓名</w:t>
            </w:r>
          </w:p>
        </w:tc>
        <w:tc>
          <w:tcPr>
            <w:tcW w:w="1202" w:type="pct"/>
            <w:gridSpan w:val="2"/>
            <w:tcBorders>
              <w:top w:val="single" w:color="000000" w:sz="4" w:space="0"/>
              <w:left w:val="single" w:color="000000" w:sz="4" w:space="0"/>
              <w:bottom w:val="single" w:color="000000" w:sz="4" w:space="0"/>
              <w:right w:val="single" w:color="auto" w:sz="4" w:space="0"/>
            </w:tcBorders>
            <w:noWrap w:val="0"/>
            <w:vAlign w:val="center"/>
          </w:tcPr>
          <w:p w14:paraId="0DE1AEA0">
            <w:pPr>
              <w:autoSpaceDE w:val="0"/>
              <w:autoSpaceDN w:val="0"/>
              <w:adjustRightInd w:val="0"/>
              <w:snapToGrid w:val="0"/>
              <w:spacing w:line="360" w:lineRule="auto"/>
              <w:jc w:val="center"/>
              <w:rPr>
                <w:rFonts w:ascii="宋体" w:hAnsi="宋体" w:eastAsia="宋体"/>
                <w:color w:val="auto"/>
                <w:kern w:val="0"/>
                <w:sz w:val="21"/>
                <w:szCs w:val="21"/>
                <w:highlight w:val="none"/>
              </w:rPr>
            </w:pPr>
          </w:p>
        </w:tc>
        <w:tc>
          <w:tcPr>
            <w:tcW w:w="1033" w:type="pct"/>
            <w:gridSpan w:val="2"/>
            <w:tcBorders>
              <w:top w:val="single" w:color="000000" w:sz="4" w:space="0"/>
              <w:left w:val="single" w:color="auto" w:sz="4" w:space="0"/>
              <w:bottom w:val="single" w:color="000000" w:sz="4" w:space="0"/>
              <w:right w:val="single" w:color="auto" w:sz="4" w:space="0"/>
            </w:tcBorders>
            <w:noWrap w:val="0"/>
            <w:vAlign w:val="center"/>
          </w:tcPr>
          <w:p w14:paraId="54761658">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电话</w:t>
            </w:r>
          </w:p>
        </w:tc>
        <w:tc>
          <w:tcPr>
            <w:tcW w:w="879" w:type="pct"/>
            <w:tcBorders>
              <w:top w:val="single" w:color="000000" w:sz="4" w:space="0"/>
              <w:left w:val="single" w:color="auto" w:sz="4" w:space="0"/>
              <w:bottom w:val="single" w:color="000000" w:sz="4" w:space="0"/>
              <w:right w:val="single" w:color="000000" w:sz="4" w:space="0"/>
            </w:tcBorders>
            <w:noWrap w:val="0"/>
            <w:vAlign w:val="center"/>
          </w:tcPr>
          <w:p w14:paraId="52FD1214">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29528E5D">
        <w:tblPrEx>
          <w:tblCellMar>
            <w:top w:w="0" w:type="dxa"/>
            <w:left w:w="0" w:type="dxa"/>
            <w:bottom w:w="0" w:type="dxa"/>
            <w:right w:w="0" w:type="dxa"/>
          </w:tblCellMar>
        </w:tblPrEx>
        <w:trPr>
          <w:trHeight w:val="653" w:hRule="atLeast"/>
        </w:trPr>
        <w:tc>
          <w:tcPr>
            <w:tcW w:w="1177" w:type="pct"/>
            <w:tcBorders>
              <w:top w:val="single" w:color="000000" w:sz="4" w:space="0"/>
              <w:left w:val="single" w:color="000000" w:sz="4" w:space="0"/>
              <w:bottom w:val="single" w:color="000000" w:sz="4" w:space="0"/>
              <w:right w:val="single" w:color="000000" w:sz="4" w:space="0"/>
            </w:tcBorders>
            <w:noWrap w:val="0"/>
            <w:vAlign w:val="center"/>
          </w:tcPr>
          <w:p w14:paraId="5E794D07">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技术负责人</w:t>
            </w:r>
          </w:p>
        </w:tc>
        <w:tc>
          <w:tcPr>
            <w:tcW w:w="709" w:type="pct"/>
            <w:tcBorders>
              <w:top w:val="single" w:color="000000" w:sz="4" w:space="0"/>
              <w:left w:val="single" w:color="000000" w:sz="4" w:space="0"/>
              <w:bottom w:val="single" w:color="000000" w:sz="4" w:space="0"/>
              <w:right w:val="single" w:color="000000" w:sz="4" w:space="0"/>
            </w:tcBorders>
            <w:noWrap w:val="0"/>
            <w:vAlign w:val="center"/>
          </w:tcPr>
          <w:p w14:paraId="14929BE5">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姓名</w:t>
            </w:r>
          </w:p>
        </w:tc>
        <w:tc>
          <w:tcPr>
            <w:tcW w:w="1202" w:type="pct"/>
            <w:gridSpan w:val="2"/>
            <w:tcBorders>
              <w:top w:val="single" w:color="000000" w:sz="4" w:space="0"/>
              <w:left w:val="single" w:color="000000" w:sz="4" w:space="0"/>
              <w:bottom w:val="single" w:color="000000" w:sz="4" w:space="0"/>
              <w:right w:val="single" w:color="auto" w:sz="4" w:space="0"/>
            </w:tcBorders>
            <w:noWrap w:val="0"/>
            <w:vAlign w:val="center"/>
          </w:tcPr>
          <w:p w14:paraId="05C106EB">
            <w:pPr>
              <w:autoSpaceDE w:val="0"/>
              <w:autoSpaceDN w:val="0"/>
              <w:adjustRightInd w:val="0"/>
              <w:snapToGrid w:val="0"/>
              <w:spacing w:line="360" w:lineRule="auto"/>
              <w:jc w:val="center"/>
              <w:rPr>
                <w:rFonts w:ascii="宋体" w:hAnsi="宋体" w:eastAsia="宋体"/>
                <w:color w:val="auto"/>
                <w:kern w:val="0"/>
                <w:sz w:val="21"/>
                <w:szCs w:val="21"/>
                <w:highlight w:val="none"/>
              </w:rPr>
            </w:pPr>
          </w:p>
        </w:tc>
        <w:tc>
          <w:tcPr>
            <w:tcW w:w="1033" w:type="pct"/>
            <w:gridSpan w:val="2"/>
            <w:tcBorders>
              <w:top w:val="single" w:color="000000" w:sz="4" w:space="0"/>
              <w:left w:val="single" w:color="auto" w:sz="4" w:space="0"/>
              <w:bottom w:val="single" w:color="000000" w:sz="4" w:space="0"/>
              <w:right w:val="single" w:color="auto" w:sz="4" w:space="0"/>
            </w:tcBorders>
            <w:noWrap w:val="0"/>
            <w:vAlign w:val="center"/>
          </w:tcPr>
          <w:p w14:paraId="2A5FF359">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电话</w:t>
            </w:r>
          </w:p>
        </w:tc>
        <w:tc>
          <w:tcPr>
            <w:tcW w:w="879" w:type="pct"/>
            <w:tcBorders>
              <w:top w:val="single" w:color="000000" w:sz="4" w:space="0"/>
              <w:left w:val="single" w:color="auto" w:sz="4" w:space="0"/>
              <w:bottom w:val="single" w:color="000000" w:sz="4" w:space="0"/>
              <w:right w:val="single" w:color="000000" w:sz="4" w:space="0"/>
            </w:tcBorders>
            <w:noWrap w:val="0"/>
            <w:vAlign w:val="center"/>
          </w:tcPr>
          <w:p w14:paraId="39259D3A">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76CA083A">
        <w:tblPrEx>
          <w:tblCellMar>
            <w:top w:w="0" w:type="dxa"/>
            <w:left w:w="0" w:type="dxa"/>
            <w:bottom w:w="0" w:type="dxa"/>
            <w:right w:w="0" w:type="dxa"/>
          </w:tblCellMar>
        </w:tblPrEx>
        <w:trPr>
          <w:trHeight w:val="628" w:hRule="atLeast"/>
        </w:trPr>
        <w:tc>
          <w:tcPr>
            <w:tcW w:w="1177" w:type="pct"/>
            <w:tcBorders>
              <w:top w:val="single" w:color="000000" w:sz="4" w:space="0"/>
              <w:left w:val="single" w:color="000000" w:sz="4" w:space="0"/>
              <w:bottom w:val="single" w:color="000000" w:sz="4" w:space="0"/>
              <w:right w:val="single" w:color="000000" w:sz="4" w:space="0"/>
            </w:tcBorders>
            <w:noWrap w:val="0"/>
            <w:vAlign w:val="center"/>
          </w:tcPr>
          <w:p w14:paraId="1F3F388E">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企业资质等级</w:t>
            </w:r>
          </w:p>
        </w:tc>
        <w:tc>
          <w:tcPr>
            <w:tcW w:w="3823" w:type="pct"/>
            <w:gridSpan w:val="6"/>
            <w:tcBorders>
              <w:top w:val="single" w:color="000000" w:sz="4" w:space="0"/>
              <w:left w:val="single" w:color="000000" w:sz="4" w:space="0"/>
              <w:bottom w:val="single" w:color="auto" w:sz="4" w:space="0"/>
              <w:right w:val="single" w:color="000000" w:sz="4" w:space="0"/>
            </w:tcBorders>
            <w:noWrap w:val="0"/>
            <w:vAlign w:val="center"/>
          </w:tcPr>
          <w:p w14:paraId="1CACB8F5">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26670C8A">
        <w:tblPrEx>
          <w:tblCellMar>
            <w:top w:w="0" w:type="dxa"/>
            <w:left w:w="0" w:type="dxa"/>
            <w:bottom w:w="0" w:type="dxa"/>
            <w:right w:w="0" w:type="dxa"/>
          </w:tblCellMar>
        </w:tblPrEx>
        <w:trPr>
          <w:trHeight w:val="615" w:hRule="atLeast"/>
        </w:trPr>
        <w:tc>
          <w:tcPr>
            <w:tcW w:w="1177" w:type="pct"/>
            <w:tcBorders>
              <w:top w:val="single" w:color="000000" w:sz="4" w:space="0"/>
              <w:left w:val="single" w:color="000000" w:sz="4" w:space="0"/>
              <w:bottom w:val="single" w:color="000000" w:sz="4" w:space="0"/>
              <w:right w:val="single" w:color="000000" w:sz="4" w:space="0"/>
            </w:tcBorders>
            <w:noWrap w:val="0"/>
            <w:vAlign w:val="center"/>
          </w:tcPr>
          <w:p w14:paraId="0FB5732E">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营业执照号</w:t>
            </w:r>
          </w:p>
        </w:tc>
        <w:tc>
          <w:tcPr>
            <w:tcW w:w="3823" w:type="pct"/>
            <w:gridSpan w:val="6"/>
            <w:tcBorders>
              <w:top w:val="single" w:color="000000" w:sz="4" w:space="0"/>
              <w:left w:val="single" w:color="000000" w:sz="4" w:space="0"/>
              <w:bottom w:val="single" w:color="000000" w:sz="4" w:space="0"/>
              <w:right w:val="single" w:color="000000" w:sz="4" w:space="0"/>
            </w:tcBorders>
            <w:noWrap w:val="0"/>
            <w:vAlign w:val="center"/>
          </w:tcPr>
          <w:p w14:paraId="7661413D">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3C6795DF">
        <w:tblPrEx>
          <w:tblCellMar>
            <w:top w:w="0" w:type="dxa"/>
            <w:left w:w="0" w:type="dxa"/>
            <w:bottom w:w="0" w:type="dxa"/>
            <w:right w:w="0" w:type="dxa"/>
          </w:tblCellMar>
        </w:tblPrEx>
        <w:trPr>
          <w:trHeight w:val="655" w:hRule="atLeast"/>
        </w:trPr>
        <w:tc>
          <w:tcPr>
            <w:tcW w:w="1177" w:type="pct"/>
            <w:tcBorders>
              <w:top w:val="single" w:color="000000" w:sz="4" w:space="0"/>
              <w:left w:val="single" w:color="000000" w:sz="4" w:space="0"/>
              <w:bottom w:val="single" w:color="000000" w:sz="4" w:space="0"/>
              <w:right w:val="single" w:color="000000" w:sz="4" w:space="0"/>
            </w:tcBorders>
            <w:noWrap w:val="0"/>
            <w:vAlign w:val="center"/>
          </w:tcPr>
          <w:p w14:paraId="13D5A2A8">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成立时间</w:t>
            </w:r>
          </w:p>
        </w:tc>
        <w:tc>
          <w:tcPr>
            <w:tcW w:w="1274" w:type="pct"/>
            <w:gridSpan w:val="2"/>
            <w:tcBorders>
              <w:top w:val="single" w:color="000000" w:sz="4" w:space="0"/>
              <w:left w:val="single" w:color="000000" w:sz="4" w:space="0"/>
              <w:bottom w:val="single" w:color="000000" w:sz="4" w:space="0"/>
              <w:right w:val="single" w:color="000000" w:sz="4" w:space="0"/>
            </w:tcBorders>
            <w:noWrap w:val="0"/>
            <w:vAlign w:val="center"/>
          </w:tcPr>
          <w:p w14:paraId="6B5875D8">
            <w:pPr>
              <w:autoSpaceDE w:val="0"/>
              <w:autoSpaceDN w:val="0"/>
              <w:adjustRightInd w:val="0"/>
              <w:snapToGrid w:val="0"/>
              <w:spacing w:line="360" w:lineRule="auto"/>
              <w:jc w:val="center"/>
              <w:rPr>
                <w:rFonts w:ascii="宋体" w:hAnsi="宋体" w:eastAsia="宋体"/>
                <w:color w:val="auto"/>
                <w:kern w:val="0"/>
                <w:sz w:val="21"/>
                <w:szCs w:val="21"/>
                <w:highlight w:val="none"/>
              </w:rPr>
            </w:pPr>
          </w:p>
        </w:tc>
        <w:tc>
          <w:tcPr>
            <w:tcW w:w="1274" w:type="pct"/>
            <w:gridSpan w:val="2"/>
            <w:tcBorders>
              <w:top w:val="single" w:color="000000" w:sz="4" w:space="0"/>
              <w:left w:val="single" w:color="000000" w:sz="4" w:space="0"/>
              <w:bottom w:val="single" w:color="000000" w:sz="4" w:space="0"/>
              <w:right w:val="single" w:color="000000" w:sz="4" w:space="0"/>
            </w:tcBorders>
            <w:noWrap w:val="0"/>
            <w:vAlign w:val="center"/>
          </w:tcPr>
          <w:p w14:paraId="225EA1FF">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注册资金</w:t>
            </w:r>
          </w:p>
        </w:tc>
        <w:tc>
          <w:tcPr>
            <w:tcW w:w="1274" w:type="pct"/>
            <w:gridSpan w:val="2"/>
            <w:tcBorders>
              <w:top w:val="single" w:color="000000" w:sz="4" w:space="0"/>
              <w:left w:val="single" w:color="000000" w:sz="4" w:space="0"/>
              <w:bottom w:val="single" w:color="000000" w:sz="4" w:space="0"/>
              <w:right w:val="single" w:color="000000" w:sz="4" w:space="0"/>
            </w:tcBorders>
            <w:noWrap w:val="0"/>
            <w:vAlign w:val="center"/>
          </w:tcPr>
          <w:p w14:paraId="576538E1">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4CB2FB48">
        <w:tblPrEx>
          <w:tblCellMar>
            <w:top w:w="0" w:type="dxa"/>
            <w:left w:w="0" w:type="dxa"/>
            <w:bottom w:w="0" w:type="dxa"/>
            <w:right w:w="0" w:type="dxa"/>
          </w:tblCellMar>
        </w:tblPrEx>
        <w:trPr>
          <w:trHeight w:val="603" w:hRule="atLeast"/>
        </w:trPr>
        <w:tc>
          <w:tcPr>
            <w:tcW w:w="1177" w:type="pct"/>
            <w:tcBorders>
              <w:top w:val="single" w:color="000000" w:sz="4" w:space="0"/>
              <w:left w:val="single" w:color="000000" w:sz="4" w:space="0"/>
              <w:bottom w:val="single" w:color="000000" w:sz="4" w:space="0"/>
              <w:right w:val="single" w:color="000000" w:sz="4" w:space="0"/>
            </w:tcBorders>
            <w:noWrap w:val="0"/>
            <w:vAlign w:val="center"/>
          </w:tcPr>
          <w:p w14:paraId="668BDD2D">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开户银行</w:t>
            </w:r>
          </w:p>
        </w:tc>
        <w:tc>
          <w:tcPr>
            <w:tcW w:w="1274" w:type="pct"/>
            <w:gridSpan w:val="2"/>
            <w:tcBorders>
              <w:top w:val="single" w:color="000000" w:sz="4" w:space="0"/>
              <w:left w:val="single" w:color="000000" w:sz="4" w:space="0"/>
              <w:bottom w:val="single" w:color="000000" w:sz="4" w:space="0"/>
              <w:right w:val="single" w:color="000000" w:sz="4" w:space="0"/>
            </w:tcBorders>
            <w:noWrap w:val="0"/>
            <w:vAlign w:val="center"/>
          </w:tcPr>
          <w:p w14:paraId="56AE92C3">
            <w:pPr>
              <w:autoSpaceDE w:val="0"/>
              <w:autoSpaceDN w:val="0"/>
              <w:adjustRightInd w:val="0"/>
              <w:snapToGrid w:val="0"/>
              <w:spacing w:line="360" w:lineRule="auto"/>
              <w:jc w:val="center"/>
              <w:rPr>
                <w:rFonts w:ascii="宋体" w:hAnsi="宋体" w:eastAsia="宋体"/>
                <w:color w:val="auto"/>
                <w:kern w:val="0"/>
                <w:sz w:val="21"/>
                <w:szCs w:val="21"/>
                <w:highlight w:val="none"/>
              </w:rPr>
            </w:pPr>
          </w:p>
        </w:tc>
        <w:tc>
          <w:tcPr>
            <w:tcW w:w="1274" w:type="pct"/>
            <w:gridSpan w:val="2"/>
            <w:tcBorders>
              <w:top w:val="single" w:color="000000" w:sz="4" w:space="0"/>
              <w:left w:val="single" w:color="000000" w:sz="4" w:space="0"/>
              <w:bottom w:val="single" w:color="000000" w:sz="4" w:space="0"/>
              <w:right w:val="single" w:color="000000" w:sz="4" w:space="0"/>
            </w:tcBorders>
            <w:noWrap w:val="0"/>
            <w:vAlign w:val="center"/>
          </w:tcPr>
          <w:p w14:paraId="5E9DC51A">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账号</w:t>
            </w:r>
          </w:p>
        </w:tc>
        <w:tc>
          <w:tcPr>
            <w:tcW w:w="1274" w:type="pct"/>
            <w:gridSpan w:val="2"/>
            <w:tcBorders>
              <w:top w:val="single" w:color="000000" w:sz="4" w:space="0"/>
              <w:left w:val="single" w:color="000000" w:sz="4" w:space="0"/>
              <w:bottom w:val="single" w:color="000000" w:sz="4" w:space="0"/>
              <w:right w:val="single" w:color="000000" w:sz="4" w:space="0"/>
            </w:tcBorders>
            <w:noWrap w:val="0"/>
            <w:vAlign w:val="center"/>
          </w:tcPr>
          <w:p w14:paraId="597661BD">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09BF9A3C">
        <w:tblPrEx>
          <w:tblCellMar>
            <w:top w:w="0" w:type="dxa"/>
            <w:left w:w="0" w:type="dxa"/>
            <w:bottom w:w="0" w:type="dxa"/>
            <w:right w:w="0" w:type="dxa"/>
          </w:tblCellMar>
        </w:tblPrEx>
        <w:trPr>
          <w:trHeight w:val="626" w:hRule="atLeast"/>
        </w:trPr>
        <w:tc>
          <w:tcPr>
            <w:tcW w:w="1177" w:type="pct"/>
            <w:tcBorders>
              <w:top w:val="single" w:color="000000" w:sz="4" w:space="0"/>
              <w:left w:val="single" w:color="000000" w:sz="4" w:space="0"/>
              <w:right w:val="single" w:color="000000" w:sz="4" w:space="0"/>
            </w:tcBorders>
            <w:noWrap w:val="0"/>
            <w:vAlign w:val="center"/>
          </w:tcPr>
          <w:p w14:paraId="07028F44">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安全生产许可证</w:t>
            </w:r>
          </w:p>
        </w:tc>
        <w:tc>
          <w:tcPr>
            <w:tcW w:w="3823" w:type="pct"/>
            <w:gridSpan w:val="6"/>
            <w:tcBorders>
              <w:top w:val="single" w:color="000000" w:sz="4" w:space="0"/>
              <w:left w:val="single" w:color="000000" w:sz="4" w:space="0"/>
              <w:right w:val="single" w:color="000000" w:sz="4" w:space="0"/>
            </w:tcBorders>
            <w:noWrap w:val="0"/>
            <w:vAlign w:val="center"/>
          </w:tcPr>
          <w:p w14:paraId="3311A509">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7A0F37EB">
        <w:tblPrEx>
          <w:tblCellMar>
            <w:top w:w="0" w:type="dxa"/>
            <w:left w:w="0" w:type="dxa"/>
            <w:bottom w:w="0" w:type="dxa"/>
            <w:right w:w="0" w:type="dxa"/>
          </w:tblCellMar>
        </w:tblPrEx>
        <w:trPr>
          <w:trHeight w:val="613" w:hRule="atLeast"/>
        </w:trPr>
        <w:tc>
          <w:tcPr>
            <w:tcW w:w="1177" w:type="pct"/>
            <w:tcBorders>
              <w:top w:val="single" w:color="000000" w:sz="4" w:space="0"/>
              <w:left w:val="single" w:color="000000" w:sz="4" w:space="0"/>
              <w:right w:val="single" w:color="000000" w:sz="4" w:space="0"/>
            </w:tcBorders>
            <w:noWrap w:val="0"/>
            <w:vAlign w:val="center"/>
          </w:tcPr>
          <w:p w14:paraId="18AEF4FA">
            <w:pPr>
              <w:autoSpaceDE w:val="0"/>
              <w:autoSpaceDN w:val="0"/>
              <w:adjustRightInd w:val="0"/>
              <w:snapToGrid w:val="0"/>
              <w:spacing w:line="360" w:lineRule="auto"/>
              <w:jc w:val="center"/>
              <w:rPr>
                <w:rFonts w:hint="eastAsia" w:ascii="宋体" w:hAnsi="宋体" w:eastAsia="宋体"/>
                <w:color w:val="auto"/>
                <w:kern w:val="0"/>
                <w:sz w:val="21"/>
                <w:szCs w:val="21"/>
                <w:highlight w:val="none"/>
                <w:lang w:eastAsia="zh-CN"/>
              </w:rPr>
            </w:pPr>
            <w:r>
              <w:rPr>
                <w:rFonts w:hint="eastAsia" w:ascii="宋体" w:hAnsi="宋体" w:eastAsia="宋体"/>
                <w:color w:val="auto"/>
                <w:kern w:val="0"/>
                <w:sz w:val="21"/>
                <w:szCs w:val="21"/>
                <w:highlight w:val="none"/>
                <w:lang w:eastAsia="zh-CN"/>
              </w:rPr>
              <w:t>经营范围</w:t>
            </w:r>
          </w:p>
        </w:tc>
        <w:tc>
          <w:tcPr>
            <w:tcW w:w="3823" w:type="pct"/>
            <w:gridSpan w:val="6"/>
            <w:tcBorders>
              <w:top w:val="single" w:color="000000" w:sz="4" w:space="0"/>
              <w:left w:val="single" w:color="000000" w:sz="4" w:space="0"/>
              <w:right w:val="single" w:color="000000" w:sz="4" w:space="0"/>
            </w:tcBorders>
            <w:noWrap w:val="0"/>
            <w:vAlign w:val="center"/>
          </w:tcPr>
          <w:p w14:paraId="17A74ED5">
            <w:pPr>
              <w:autoSpaceDE w:val="0"/>
              <w:autoSpaceDN w:val="0"/>
              <w:adjustRightInd w:val="0"/>
              <w:snapToGrid w:val="0"/>
              <w:spacing w:line="360" w:lineRule="auto"/>
              <w:jc w:val="center"/>
              <w:rPr>
                <w:rFonts w:ascii="宋体" w:hAnsi="宋体" w:eastAsia="宋体"/>
                <w:color w:val="auto"/>
                <w:kern w:val="0"/>
                <w:sz w:val="21"/>
                <w:szCs w:val="21"/>
                <w:highlight w:val="none"/>
              </w:rPr>
            </w:pPr>
          </w:p>
        </w:tc>
      </w:tr>
      <w:tr w14:paraId="08DF3397">
        <w:tblPrEx>
          <w:tblCellMar>
            <w:top w:w="0" w:type="dxa"/>
            <w:left w:w="0" w:type="dxa"/>
            <w:bottom w:w="0" w:type="dxa"/>
            <w:right w:w="0" w:type="dxa"/>
          </w:tblCellMar>
        </w:tblPrEx>
        <w:trPr>
          <w:trHeight w:val="601" w:hRule="atLeast"/>
        </w:trPr>
        <w:tc>
          <w:tcPr>
            <w:tcW w:w="1177" w:type="pct"/>
            <w:tcBorders>
              <w:top w:val="single" w:color="000000" w:sz="4" w:space="0"/>
              <w:left w:val="single" w:color="000000" w:sz="4" w:space="0"/>
              <w:bottom w:val="single" w:color="000000" w:sz="4" w:space="0"/>
              <w:right w:val="single" w:color="000000" w:sz="4" w:space="0"/>
            </w:tcBorders>
            <w:noWrap w:val="0"/>
            <w:vAlign w:val="center"/>
          </w:tcPr>
          <w:p w14:paraId="0CE93C1C">
            <w:pPr>
              <w:autoSpaceDE w:val="0"/>
              <w:autoSpaceDN w:val="0"/>
              <w:adjustRightInd w:val="0"/>
              <w:snapToGrid w:val="0"/>
              <w:spacing w:line="360" w:lineRule="auto"/>
              <w:jc w:val="center"/>
              <w:rPr>
                <w:rFonts w:ascii="宋体" w:hAnsi="宋体" w:eastAsia="宋体"/>
                <w:color w:val="auto"/>
                <w:kern w:val="0"/>
                <w:sz w:val="21"/>
                <w:szCs w:val="21"/>
                <w:highlight w:val="none"/>
              </w:rPr>
            </w:pPr>
            <w:r>
              <w:rPr>
                <w:rFonts w:ascii="宋体" w:hAnsi="宋体" w:eastAsia="宋体"/>
                <w:color w:val="auto"/>
                <w:kern w:val="0"/>
                <w:sz w:val="21"/>
                <w:szCs w:val="21"/>
                <w:highlight w:val="none"/>
              </w:rPr>
              <w:t>备注</w:t>
            </w:r>
          </w:p>
        </w:tc>
        <w:tc>
          <w:tcPr>
            <w:tcW w:w="3823" w:type="pct"/>
            <w:gridSpan w:val="6"/>
            <w:tcBorders>
              <w:top w:val="single" w:color="000000" w:sz="4" w:space="0"/>
              <w:left w:val="single" w:color="000000" w:sz="4" w:space="0"/>
              <w:bottom w:val="single" w:color="000000" w:sz="4" w:space="0"/>
              <w:right w:val="single" w:color="000000" w:sz="4" w:space="0"/>
            </w:tcBorders>
            <w:noWrap w:val="0"/>
            <w:vAlign w:val="center"/>
          </w:tcPr>
          <w:p w14:paraId="38EFA899">
            <w:pPr>
              <w:adjustRightInd w:val="0"/>
              <w:snapToGrid w:val="0"/>
              <w:spacing w:line="360" w:lineRule="auto"/>
              <w:jc w:val="center"/>
              <w:rPr>
                <w:rFonts w:ascii="宋体" w:hAnsi="宋体" w:eastAsia="宋体"/>
                <w:color w:val="auto"/>
                <w:kern w:val="0"/>
                <w:sz w:val="21"/>
                <w:szCs w:val="21"/>
                <w:highlight w:val="none"/>
              </w:rPr>
            </w:pPr>
          </w:p>
        </w:tc>
      </w:tr>
    </w:tbl>
    <w:p w14:paraId="12AB9F1C">
      <w:pPr>
        <w:spacing w:line="360" w:lineRule="auto"/>
        <w:jc w:val="center"/>
        <w:outlineLvl w:val="3"/>
        <w:rPr>
          <w:rFonts w:hint="eastAsia" w:ascii="宋体" w:hAnsi="宋体" w:eastAsia="宋体"/>
          <w:b/>
          <w:color w:val="000000" w:themeColor="text1"/>
          <w:szCs w:val="21"/>
          <w:lang w:val="en-US" w:eastAsia="zh-CN"/>
          <w14:textFill>
            <w14:solidFill>
              <w14:schemeClr w14:val="tx1"/>
            </w14:solidFill>
          </w14:textFill>
        </w:rPr>
      </w:pPr>
    </w:p>
    <w:p w14:paraId="231324FA">
      <w:pPr>
        <w:spacing w:before="127" w:line="219" w:lineRule="auto"/>
        <w:ind w:left="585"/>
        <w:rPr>
          <w:rFonts w:ascii="新宋体" w:hAnsi="新宋体" w:eastAsia="新宋体" w:cs="新宋体"/>
          <w:sz w:val="22"/>
          <w:szCs w:val="22"/>
        </w:rPr>
        <w:sectPr>
          <w:footerReference r:id="rId14" w:type="default"/>
          <w:pgSz w:w="11905" w:h="16839"/>
          <w:pgMar w:top="1307" w:right="798" w:bottom="1166" w:left="1564" w:header="0" w:footer="987" w:gutter="0"/>
          <w:pgNumType w:fmt="decimal"/>
          <w:cols w:space="720" w:num="1"/>
        </w:sectPr>
      </w:pPr>
      <w:r>
        <w:rPr>
          <w:rFonts w:hint="eastAsia" w:ascii="宋体" w:hAnsi="宋体" w:cs="宋体"/>
          <w:color w:val="000000" w:themeColor="text1"/>
          <w:szCs w:val="21"/>
          <w14:textFill>
            <w14:solidFill>
              <w14:schemeClr w14:val="tx1"/>
            </w14:solidFill>
          </w14:textFill>
        </w:rPr>
        <w:t>注：</w:t>
      </w:r>
      <w:r>
        <w:rPr>
          <w:rFonts w:hint="eastAsia" w:ascii="宋体" w:hAnsi="宋体" w:eastAsia="宋体" w:cs="宋体"/>
          <w:color w:val="000000" w:themeColor="text1"/>
          <w:szCs w:val="21"/>
          <w14:textFill>
            <w14:solidFill>
              <w14:schemeClr w14:val="tx1"/>
            </w14:solidFill>
          </w14:textFill>
        </w:rPr>
        <w:t>1</w:t>
      </w:r>
      <w:r>
        <w:rPr>
          <w:rFonts w:ascii="新宋体" w:hAnsi="新宋体" w:eastAsia="新宋体" w:cs="新宋体"/>
          <w:sz w:val="22"/>
          <w:szCs w:val="22"/>
        </w:rPr>
        <w:t>注：附营业执照副本、资质等级证书副本、安全生产许可证</w:t>
      </w:r>
      <w:r>
        <w:rPr>
          <w:rFonts w:ascii="新宋体" w:hAnsi="新宋体" w:eastAsia="新宋体" w:cs="新宋体"/>
          <w:spacing w:val="-1"/>
          <w:sz w:val="22"/>
          <w:szCs w:val="22"/>
        </w:rPr>
        <w:t>副本等证书复印件。</w:t>
      </w:r>
    </w:p>
    <w:p w14:paraId="42CEE15F">
      <w:pPr>
        <w:spacing w:line="360" w:lineRule="auto"/>
        <w:rPr>
          <w:rFonts w:ascii="宋体" w:hAnsi="宋体" w:cs="宋体"/>
          <w:color w:val="000000" w:themeColor="text1"/>
          <w:szCs w:val="21"/>
          <w14:textFill>
            <w14:solidFill>
              <w14:schemeClr w14:val="tx1"/>
            </w14:solidFill>
          </w14:textFill>
        </w:rPr>
      </w:pPr>
    </w:p>
    <w:bookmarkEnd w:id="1694"/>
    <w:p w14:paraId="6A2D7D66">
      <w:pPr>
        <w:spacing w:line="360" w:lineRule="auto"/>
        <w:jc w:val="center"/>
        <w:rPr>
          <w:rFonts w:ascii="宋体" w:hAnsi="宋体" w:cs="宋体"/>
          <w:b/>
          <w:bCs/>
          <w:color w:val="000000" w:themeColor="text1"/>
          <w:szCs w:val="21"/>
          <w14:textFill>
            <w14:solidFill>
              <w14:schemeClr w14:val="tx1"/>
            </w14:solidFill>
          </w14:textFill>
        </w:rPr>
      </w:pPr>
      <w:bookmarkStart w:id="1695" w:name="_Toc434534310"/>
      <w:bookmarkStart w:id="1696" w:name="_Toc115254332"/>
      <w:bookmarkStart w:id="1697" w:name="_Toc434523655"/>
      <w:bookmarkStart w:id="1698" w:name="_Toc115254444"/>
      <w:bookmarkStart w:id="1699" w:name="_Toc3764"/>
      <w:r>
        <w:rPr>
          <w:rFonts w:hint="eastAsia" w:ascii="宋体" w:hAnsi="宋体" w:cs="宋体"/>
          <w:b/>
          <w:bCs/>
          <w:color w:val="000000" w:themeColor="text1"/>
          <w:szCs w:val="21"/>
          <w:lang w:val="en-US" w:eastAsia="zh-CN"/>
          <w14:textFill>
            <w14:solidFill>
              <w14:schemeClr w14:val="tx1"/>
            </w14:solidFill>
          </w14:textFill>
        </w:rPr>
        <w:t>五、</w:t>
      </w:r>
      <w:r>
        <w:rPr>
          <w:rFonts w:hint="eastAsia" w:ascii="宋体" w:hAnsi="宋体" w:cs="宋体"/>
          <w:b/>
          <w:bCs/>
          <w:color w:val="000000" w:themeColor="text1"/>
          <w:szCs w:val="21"/>
          <w14:textFill>
            <w14:solidFill>
              <w14:schemeClr w14:val="tx1"/>
            </w14:solidFill>
          </w14:textFill>
        </w:rPr>
        <w:t>主要人员简历表</w:t>
      </w:r>
    </w:p>
    <w:p w14:paraId="65BAB713">
      <w:pPr>
        <w:rPr>
          <w:rFonts w:ascii="宋体" w:hAnsi="宋体" w:cs="宋体"/>
          <w:color w:val="000000" w:themeColor="text1"/>
          <w14:textFill>
            <w14:solidFill>
              <w14:schemeClr w14:val="tx1"/>
            </w14:solidFill>
          </w14:textFill>
        </w:rPr>
      </w:pPr>
    </w:p>
    <w:tbl>
      <w:tblPr>
        <w:tblStyle w:val="23"/>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1351"/>
        <w:gridCol w:w="1602"/>
        <w:gridCol w:w="458"/>
        <w:gridCol w:w="843"/>
        <w:gridCol w:w="802"/>
        <w:gridCol w:w="900"/>
        <w:gridCol w:w="1902"/>
        <w:gridCol w:w="1434"/>
      </w:tblGrid>
      <w:tr w14:paraId="7D0346E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01F9836C">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姓名</w:t>
            </w:r>
          </w:p>
        </w:tc>
        <w:tc>
          <w:tcPr>
            <w:tcW w:w="1602" w:type="dxa"/>
            <w:vAlign w:val="center"/>
          </w:tcPr>
          <w:p w14:paraId="170F1C50">
            <w:pPr>
              <w:widowControl/>
              <w:jc w:val="center"/>
              <w:rPr>
                <w:rFonts w:ascii="宋体" w:hAnsi="宋体" w:cs="宋体"/>
                <w:color w:val="000000" w:themeColor="text1"/>
                <w:kern w:val="0"/>
                <w:szCs w:val="21"/>
                <w14:textFill>
                  <w14:solidFill>
                    <w14:schemeClr w14:val="tx1"/>
                  </w14:solidFill>
                </w14:textFill>
              </w:rPr>
            </w:pPr>
          </w:p>
        </w:tc>
        <w:tc>
          <w:tcPr>
            <w:tcW w:w="1301" w:type="dxa"/>
            <w:gridSpan w:val="2"/>
            <w:vAlign w:val="center"/>
          </w:tcPr>
          <w:p w14:paraId="34CD34F6">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年龄</w:t>
            </w:r>
          </w:p>
        </w:tc>
        <w:tc>
          <w:tcPr>
            <w:tcW w:w="1702" w:type="dxa"/>
            <w:gridSpan w:val="2"/>
            <w:vAlign w:val="center"/>
          </w:tcPr>
          <w:p w14:paraId="7739C710">
            <w:pPr>
              <w:widowControl/>
              <w:jc w:val="left"/>
              <w:rPr>
                <w:rFonts w:ascii="宋体" w:hAnsi="宋体" w:cs="宋体"/>
                <w:color w:val="000000" w:themeColor="text1"/>
                <w:kern w:val="0"/>
                <w:szCs w:val="21"/>
                <w14:textFill>
                  <w14:solidFill>
                    <w14:schemeClr w14:val="tx1"/>
                  </w14:solidFill>
                </w14:textFill>
              </w:rPr>
            </w:pPr>
          </w:p>
        </w:tc>
        <w:tc>
          <w:tcPr>
            <w:tcW w:w="1902" w:type="dxa"/>
            <w:vAlign w:val="center"/>
          </w:tcPr>
          <w:p w14:paraId="3FCF1BA3">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学历</w:t>
            </w:r>
          </w:p>
        </w:tc>
        <w:tc>
          <w:tcPr>
            <w:tcW w:w="1434" w:type="dxa"/>
            <w:vAlign w:val="center"/>
          </w:tcPr>
          <w:p w14:paraId="006B9CB1">
            <w:pPr>
              <w:widowControl/>
              <w:jc w:val="left"/>
              <w:rPr>
                <w:rFonts w:ascii="宋体" w:hAnsi="宋体" w:cs="宋体"/>
                <w:color w:val="000000" w:themeColor="text1"/>
                <w:kern w:val="0"/>
                <w:szCs w:val="21"/>
                <w14:textFill>
                  <w14:solidFill>
                    <w14:schemeClr w14:val="tx1"/>
                  </w14:solidFill>
                </w14:textFill>
              </w:rPr>
            </w:pPr>
          </w:p>
        </w:tc>
      </w:tr>
      <w:tr w14:paraId="51BF07B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0009E900">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职称</w:t>
            </w:r>
          </w:p>
        </w:tc>
        <w:tc>
          <w:tcPr>
            <w:tcW w:w="1602" w:type="dxa"/>
            <w:vAlign w:val="center"/>
          </w:tcPr>
          <w:p w14:paraId="7071D37E">
            <w:pPr>
              <w:widowControl/>
              <w:jc w:val="center"/>
              <w:rPr>
                <w:rFonts w:ascii="宋体" w:hAnsi="宋体" w:cs="宋体"/>
                <w:color w:val="000000" w:themeColor="text1"/>
                <w:kern w:val="0"/>
                <w:szCs w:val="21"/>
                <w14:textFill>
                  <w14:solidFill>
                    <w14:schemeClr w14:val="tx1"/>
                  </w14:solidFill>
                </w14:textFill>
              </w:rPr>
            </w:pPr>
          </w:p>
        </w:tc>
        <w:tc>
          <w:tcPr>
            <w:tcW w:w="1301" w:type="dxa"/>
            <w:gridSpan w:val="2"/>
            <w:vAlign w:val="center"/>
          </w:tcPr>
          <w:p w14:paraId="17F95966">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职务</w:t>
            </w:r>
          </w:p>
        </w:tc>
        <w:tc>
          <w:tcPr>
            <w:tcW w:w="1702" w:type="dxa"/>
            <w:gridSpan w:val="2"/>
            <w:vAlign w:val="center"/>
          </w:tcPr>
          <w:p w14:paraId="63535032">
            <w:pPr>
              <w:widowControl/>
              <w:jc w:val="left"/>
              <w:rPr>
                <w:rFonts w:ascii="宋体" w:hAnsi="宋体" w:cs="宋体"/>
                <w:color w:val="000000" w:themeColor="text1"/>
                <w:kern w:val="0"/>
                <w:szCs w:val="21"/>
                <w14:textFill>
                  <w14:solidFill>
                    <w14:schemeClr w14:val="tx1"/>
                  </w14:solidFill>
                </w14:textFill>
              </w:rPr>
            </w:pPr>
          </w:p>
        </w:tc>
        <w:tc>
          <w:tcPr>
            <w:tcW w:w="1902" w:type="dxa"/>
            <w:vAlign w:val="center"/>
          </w:tcPr>
          <w:p w14:paraId="459B0FF5">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拟在本合同任职</w:t>
            </w:r>
          </w:p>
        </w:tc>
        <w:tc>
          <w:tcPr>
            <w:tcW w:w="1434" w:type="dxa"/>
            <w:vAlign w:val="center"/>
          </w:tcPr>
          <w:p w14:paraId="59439043">
            <w:pPr>
              <w:widowControl/>
              <w:jc w:val="left"/>
              <w:rPr>
                <w:rFonts w:ascii="宋体" w:hAnsi="宋体" w:cs="宋体"/>
                <w:color w:val="000000" w:themeColor="text1"/>
                <w:kern w:val="0"/>
                <w:szCs w:val="21"/>
                <w14:textFill>
                  <w14:solidFill>
                    <w14:schemeClr w14:val="tx1"/>
                  </w14:solidFill>
                </w14:textFill>
              </w:rPr>
            </w:pPr>
          </w:p>
        </w:tc>
      </w:tr>
      <w:tr w14:paraId="41C0D8D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2E49F7CB">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毕业学校</w:t>
            </w:r>
          </w:p>
        </w:tc>
        <w:tc>
          <w:tcPr>
            <w:tcW w:w="7941" w:type="dxa"/>
            <w:gridSpan w:val="7"/>
            <w:vAlign w:val="center"/>
          </w:tcPr>
          <w:p w14:paraId="180A7849">
            <w:pPr>
              <w:widowControl/>
              <w:ind w:firstLine="840" w:firstLineChars="4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年毕业于         学校         专业　</w:t>
            </w:r>
          </w:p>
        </w:tc>
      </w:tr>
      <w:tr w14:paraId="47631B9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9292" w:type="dxa"/>
            <w:gridSpan w:val="8"/>
            <w:vAlign w:val="center"/>
          </w:tcPr>
          <w:p w14:paraId="4753C9CB">
            <w:pPr>
              <w:widowControl/>
              <w:ind w:firstLine="525" w:firstLineChars="25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曾参加过类似项目的主要工作经历</w:t>
            </w:r>
          </w:p>
        </w:tc>
      </w:tr>
      <w:tr w14:paraId="1FCA5A8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296DC6D5">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时间</w:t>
            </w:r>
          </w:p>
        </w:tc>
        <w:tc>
          <w:tcPr>
            <w:tcW w:w="2060" w:type="dxa"/>
            <w:gridSpan w:val="2"/>
            <w:vAlign w:val="center"/>
          </w:tcPr>
          <w:p w14:paraId="6A940033">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参加过的类似项目</w:t>
            </w:r>
          </w:p>
        </w:tc>
        <w:tc>
          <w:tcPr>
            <w:tcW w:w="1645" w:type="dxa"/>
            <w:gridSpan w:val="2"/>
            <w:vAlign w:val="center"/>
          </w:tcPr>
          <w:p w14:paraId="229D7017">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担任职务</w:t>
            </w:r>
          </w:p>
        </w:tc>
        <w:tc>
          <w:tcPr>
            <w:tcW w:w="4236" w:type="dxa"/>
            <w:gridSpan w:val="3"/>
            <w:vAlign w:val="center"/>
          </w:tcPr>
          <w:p w14:paraId="59B1D596">
            <w:pPr>
              <w:widowControl/>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发包人及联系电话</w:t>
            </w:r>
          </w:p>
        </w:tc>
      </w:tr>
      <w:tr w14:paraId="57E4A2C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0E5EB016">
            <w:pPr>
              <w:widowControl/>
              <w:jc w:val="left"/>
              <w:rPr>
                <w:rFonts w:ascii="宋体" w:hAnsi="宋体" w:cs="宋体"/>
                <w:color w:val="000000" w:themeColor="text1"/>
                <w:kern w:val="0"/>
                <w:szCs w:val="21"/>
                <w14:textFill>
                  <w14:solidFill>
                    <w14:schemeClr w14:val="tx1"/>
                  </w14:solidFill>
                </w14:textFill>
              </w:rPr>
            </w:pPr>
          </w:p>
        </w:tc>
        <w:tc>
          <w:tcPr>
            <w:tcW w:w="2060" w:type="dxa"/>
            <w:gridSpan w:val="2"/>
            <w:vAlign w:val="center"/>
          </w:tcPr>
          <w:p w14:paraId="277D6815">
            <w:pPr>
              <w:widowControl/>
              <w:jc w:val="center"/>
              <w:rPr>
                <w:rFonts w:ascii="宋体" w:hAnsi="宋体" w:cs="宋体"/>
                <w:color w:val="000000" w:themeColor="text1"/>
                <w:kern w:val="0"/>
                <w:szCs w:val="21"/>
                <w14:textFill>
                  <w14:solidFill>
                    <w14:schemeClr w14:val="tx1"/>
                  </w14:solidFill>
                </w14:textFill>
              </w:rPr>
            </w:pPr>
          </w:p>
        </w:tc>
        <w:tc>
          <w:tcPr>
            <w:tcW w:w="1645" w:type="dxa"/>
            <w:gridSpan w:val="2"/>
            <w:vAlign w:val="center"/>
          </w:tcPr>
          <w:p w14:paraId="43DFCEF4">
            <w:pPr>
              <w:widowControl/>
              <w:jc w:val="left"/>
              <w:rPr>
                <w:rFonts w:ascii="宋体" w:hAnsi="宋体" w:cs="宋体"/>
                <w:color w:val="000000" w:themeColor="text1"/>
                <w:kern w:val="0"/>
                <w:szCs w:val="21"/>
                <w14:textFill>
                  <w14:solidFill>
                    <w14:schemeClr w14:val="tx1"/>
                  </w14:solidFill>
                </w14:textFill>
              </w:rPr>
            </w:pPr>
          </w:p>
        </w:tc>
        <w:tc>
          <w:tcPr>
            <w:tcW w:w="4236" w:type="dxa"/>
            <w:gridSpan w:val="3"/>
            <w:vAlign w:val="center"/>
          </w:tcPr>
          <w:p w14:paraId="49076228">
            <w:pPr>
              <w:widowControl/>
              <w:jc w:val="left"/>
              <w:rPr>
                <w:rFonts w:ascii="宋体" w:hAnsi="宋体" w:cs="宋体"/>
                <w:color w:val="000000" w:themeColor="text1"/>
                <w:kern w:val="0"/>
                <w:szCs w:val="21"/>
                <w14:textFill>
                  <w14:solidFill>
                    <w14:schemeClr w14:val="tx1"/>
                  </w14:solidFill>
                </w14:textFill>
              </w:rPr>
            </w:pPr>
          </w:p>
        </w:tc>
      </w:tr>
      <w:tr w14:paraId="1D73948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71927C9F">
            <w:pPr>
              <w:widowControl/>
              <w:jc w:val="left"/>
              <w:rPr>
                <w:rFonts w:ascii="宋体" w:hAnsi="宋体" w:cs="宋体"/>
                <w:color w:val="000000" w:themeColor="text1"/>
                <w:kern w:val="0"/>
                <w:szCs w:val="21"/>
                <w14:textFill>
                  <w14:solidFill>
                    <w14:schemeClr w14:val="tx1"/>
                  </w14:solidFill>
                </w14:textFill>
              </w:rPr>
            </w:pPr>
          </w:p>
        </w:tc>
        <w:tc>
          <w:tcPr>
            <w:tcW w:w="2060" w:type="dxa"/>
            <w:gridSpan w:val="2"/>
            <w:vAlign w:val="center"/>
          </w:tcPr>
          <w:p w14:paraId="442C4EDA">
            <w:pPr>
              <w:widowControl/>
              <w:jc w:val="center"/>
              <w:rPr>
                <w:rFonts w:ascii="宋体" w:hAnsi="宋体" w:cs="宋体"/>
                <w:color w:val="000000" w:themeColor="text1"/>
                <w:kern w:val="0"/>
                <w:szCs w:val="21"/>
                <w14:textFill>
                  <w14:solidFill>
                    <w14:schemeClr w14:val="tx1"/>
                  </w14:solidFill>
                </w14:textFill>
              </w:rPr>
            </w:pPr>
          </w:p>
        </w:tc>
        <w:tc>
          <w:tcPr>
            <w:tcW w:w="1645" w:type="dxa"/>
            <w:gridSpan w:val="2"/>
            <w:vAlign w:val="center"/>
          </w:tcPr>
          <w:p w14:paraId="707A0654">
            <w:pPr>
              <w:widowControl/>
              <w:jc w:val="left"/>
              <w:rPr>
                <w:rFonts w:ascii="宋体" w:hAnsi="宋体" w:cs="宋体"/>
                <w:color w:val="000000" w:themeColor="text1"/>
                <w:kern w:val="0"/>
                <w:szCs w:val="21"/>
                <w14:textFill>
                  <w14:solidFill>
                    <w14:schemeClr w14:val="tx1"/>
                  </w14:solidFill>
                </w14:textFill>
              </w:rPr>
            </w:pPr>
          </w:p>
        </w:tc>
        <w:tc>
          <w:tcPr>
            <w:tcW w:w="4236" w:type="dxa"/>
            <w:gridSpan w:val="3"/>
            <w:vAlign w:val="center"/>
          </w:tcPr>
          <w:p w14:paraId="112BB6CF">
            <w:pPr>
              <w:widowControl/>
              <w:jc w:val="left"/>
              <w:rPr>
                <w:rFonts w:ascii="宋体" w:hAnsi="宋体" w:cs="宋体"/>
                <w:color w:val="000000" w:themeColor="text1"/>
                <w:kern w:val="0"/>
                <w:szCs w:val="21"/>
                <w14:textFill>
                  <w14:solidFill>
                    <w14:schemeClr w14:val="tx1"/>
                  </w14:solidFill>
                </w14:textFill>
              </w:rPr>
            </w:pPr>
          </w:p>
        </w:tc>
      </w:tr>
      <w:tr w14:paraId="19576995">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689EDD0D">
            <w:pPr>
              <w:widowControl/>
              <w:jc w:val="left"/>
              <w:rPr>
                <w:rFonts w:ascii="宋体" w:hAnsi="宋体" w:cs="宋体"/>
                <w:color w:val="000000" w:themeColor="text1"/>
                <w:kern w:val="0"/>
                <w:szCs w:val="21"/>
                <w14:textFill>
                  <w14:solidFill>
                    <w14:schemeClr w14:val="tx1"/>
                  </w14:solidFill>
                </w14:textFill>
              </w:rPr>
            </w:pPr>
          </w:p>
        </w:tc>
        <w:tc>
          <w:tcPr>
            <w:tcW w:w="2060" w:type="dxa"/>
            <w:gridSpan w:val="2"/>
            <w:vAlign w:val="center"/>
          </w:tcPr>
          <w:p w14:paraId="218E502E">
            <w:pPr>
              <w:widowControl/>
              <w:jc w:val="center"/>
              <w:rPr>
                <w:rFonts w:ascii="宋体" w:hAnsi="宋体" w:cs="宋体"/>
                <w:color w:val="000000" w:themeColor="text1"/>
                <w:kern w:val="0"/>
                <w:szCs w:val="21"/>
                <w14:textFill>
                  <w14:solidFill>
                    <w14:schemeClr w14:val="tx1"/>
                  </w14:solidFill>
                </w14:textFill>
              </w:rPr>
            </w:pPr>
          </w:p>
        </w:tc>
        <w:tc>
          <w:tcPr>
            <w:tcW w:w="1645" w:type="dxa"/>
            <w:gridSpan w:val="2"/>
            <w:vAlign w:val="center"/>
          </w:tcPr>
          <w:p w14:paraId="1F3D9721">
            <w:pPr>
              <w:widowControl/>
              <w:jc w:val="left"/>
              <w:rPr>
                <w:rFonts w:ascii="宋体" w:hAnsi="宋体" w:cs="宋体"/>
                <w:color w:val="000000" w:themeColor="text1"/>
                <w:kern w:val="0"/>
                <w:szCs w:val="21"/>
                <w14:textFill>
                  <w14:solidFill>
                    <w14:schemeClr w14:val="tx1"/>
                  </w14:solidFill>
                </w14:textFill>
              </w:rPr>
            </w:pPr>
          </w:p>
        </w:tc>
        <w:tc>
          <w:tcPr>
            <w:tcW w:w="4236" w:type="dxa"/>
            <w:gridSpan w:val="3"/>
            <w:vAlign w:val="center"/>
          </w:tcPr>
          <w:p w14:paraId="2427D903">
            <w:pPr>
              <w:widowControl/>
              <w:jc w:val="left"/>
              <w:rPr>
                <w:rFonts w:ascii="宋体" w:hAnsi="宋体" w:cs="宋体"/>
                <w:color w:val="000000" w:themeColor="text1"/>
                <w:kern w:val="0"/>
                <w:szCs w:val="21"/>
                <w14:textFill>
                  <w14:solidFill>
                    <w14:schemeClr w14:val="tx1"/>
                  </w14:solidFill>
                </w14:textFill>
              </w:rPr>
            </w:pPr>
          </w:p>
        </w:tc>
      </w:tr>
      <w:tr w14:paraId="0EC7D92E">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6B634466">
            <w:pPr>
              <w:widowControl/>
              <w:jc w:val="left"/>
              <w:rPr>
                <w:rFonts w:ascii="宋体" w:hAnsi="宋体" w:cs="宋体"/>
                <w:color w:val="000000" w:themeColor="text1"/>
                <w:kern w:val="0"/>
                <w:szCs w:val="21"/>
                <w14:textFill>
                  <w14:solidFill>
                    <w14:schemeClr w14:val="tx1"/>
                  </w14:solidFill>
                </w14:textFill>
              </w:rPr>
            </w:pPr>
          </w:p>
        </w:tc>
        <w:tc>
          <w:tcPr>
            <w:tcW w:w="2060" w:type="dxa"/>
            <w:gridSpan w:val="2"/>
            <w:vAlign w:val="center"/>
          </w:tcPr>
          <w:p w14:paraId="0E25B4F7">
            <w:pPr>
              <w:widowControl/>
              <w:jc w:val="center"/>
              <w:rPr>
                <w:rFonts w:ascii="宋体" w:hAnsi="宋体" w:cs="宋体"/>
                <w:color w:val="000000" w:themeColor="text1"/>
                <w:kern w:val="0"/>
                <w:szCs w:val="21"/>
                <w14:textFill>
                  <w14:solidFill>
                    <w14:schemeClr w14:val="tx1"/>
                  </w14:solidFill>
                </w14:textFill>
              </w:rPr>
            </w:pPr>
          </w:p>
        </w:tc>
        <w:tc>
          <w:tcPr>
            <w:tcW w:w="1645" w:type="dxa"/>
            <w:gridSpan w:val="2"/>
            <w:vAlign w:val="center"/>
          </w:tcPr>
          <w:p w14:paraId="77C5F4F6">
            <w:pPr>
              <w:widowControl/>
              <w:jc w:val="left"/>
              <w:rPr>
                <w:rFonts w:ascii="宋体" w:hAnsi="宋体" w:cs="宋体"/>
                <w:color w:val="000000" w:themeColor="text1"/>
                <w:kern w:val="0"/>
                <w:szCs w:val="21"/>
                <w14:textFill>
                  <w14:solidFill>
                    <w14:schemeClr w14:val="tx1"/>
                  </w14:solidFill>
                </w14:textFill>
              </w:rPr>
            </w:pPr>
          </w:p>
        </w:tc>
        <w:tc>
          <w:tcPr>
            <w:tcW w:w="4236" w:type="dxa"/>
            <w:gridSpan w:val="3"/>
            <w:vAlign w:val="center"/>
          </w:tcPr>
          <w:p w14:paraId="774188A8">
            <w:pPr>
              <w:widowControl/>
              <w:jc w:val="left"/>
              <w:rPr>
                <w:rFonts w:ascii="宋体" w:hAnsi="宋体" w:cs="宋体"/>
                <w:color w:val="000000" w:themeColor="text1"/>
                <w:kern w:val="0"/>
                <w:szCs w:val="21"/>
                <w14:textFill>
                  <w14:solidFill>
                    <w14:schemeClr w14:val="tx1"/>
                  </w14:solidFill>
                </w14:textFill>
              </w:rPr>
            </w:pPr>
          </w:p>
        </w:tc>
      </w:tr>
      <w:tr w14:paraId="65A30F1A">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7E9E212A">
            <w:pPr>
              <w:widowControl/>
              <w:jc w:val="left"/>
              <w:rPr>
                <w:rFonts w:ascii="宋体" w:hAnsi="宋体" w:cs="宋体"/>
                <w:color w:val="000000" w:themeColor="text1"/>
                <w:kern w:val="0"/>
                <w:szCs w:val="21"/>
                <w14:textFill>
                  <w14:solidFill>
                    <w14:schemeClr w14:val="tx1"/>
                  </w14:solidFill>
                </w14:textFill>
              </w:rPr>
            </w:pPr>
          </w:p>
        </w:tc>
        <w:tc>
          <w:tcPr>
            <w:tcW w:w="2060" w:type="dxa"/>
            <w:gridSpan w:val="2"/>
            <w:vAlign w:val="center"/>
          </w:tcPr>
          <w:p w14:paraId="382C5D18">
            <w:pPr>
              <w:widowControl/>
              <w:jc w:val="center"/>
              <w:rPr>
                <w:rFonts w:ascii="宋体" w:hAnsi="宋体" w:cs="宋体"/>
                <w:color w:val="000000" w:themeColor="text1"/>
                <w:kern w:val="0"/>
                <w:szCs w:val="21"/>
                <w14:textFill>
                  <w14:solidFill>
                    <w14:schemeClr w14:val="tx1"/>
                  </w14:solidFill>
                </w14:textFill>
              </w:rPr>
            </w:pPr>
          </w:p>
        </w:tc>
        <w:tc>
          <w:tcPr>
            <w:tcW w:w="1645" w:type="dxa"/>
            <w:gridSpan w:val="2"/>
            <w:vAlign w:val="center"/>
          </w:tcPr>
          <w:p w14:paraId="027D58F8">
            <w:pPr>
              <w:widowControl/>
              <w:jc w:val="left"/>
              <w:rPr>
                <w:rFonts w:ascii="宋体" w:hAnsi="宋体" w:cs="宋体"/>
                <w:color w:val="000000" w:themeColor="text1"/>
                <w:kern w:val="0"/>
                <w:szCs w:val="21"/>
                <w14:textFill>
                  <w14:solidFill>
                    <w14:schemeClr w14:val="tx1"/>
                  </w14:solidFill>
                </w14:textFill>
              </w:rPr>
            </w:pPr>
          </w:p>
        </w:tc>
        <w:tc>
          <w:tcPr>
            <w:tcW w:w="4236" w:type="dxa"/>
            <w:gridSpan w:val="3"/>
            <w:vAlign w:val="center"/>
          </w:tcPr>
          <w:p w14:paraId="45EC2C2C">
            <w:pPr>
              <w:widowControl/>
              <w:jc w:val="left"/>
              <w:rPr>
                <w:rFonts w:ascii="宋体" w:hAnsi="宋体" w:cs="宋体"/>
                <w:color w:val="000000" w:themeColor="text1"/>
                <w:kern w:val="0"/>
                <w:szCs w:val="21"/>
                <w14:textFill>
                  <w14:solidFill>
                    <w14:schemeClr w14:val="tx1"/>
                  </w14:solidFill>
                </w14:textFill>
              </w:rPr>
            </w:pPr>
          </w:p>
        </w:tc>
      </w:tr>
      <w:tr w14:paraId="7303D5D5">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22BF957D">
            <w:pPr>
              <w:widowControl/>
              <w:jc w:val="left"/>
              <w:rPr>
                <w:rFonts w:ascii="宋体" w:hAnsi="宋体" w:cs="宋体"/>
                <w:color w:val="000000" w:themeColor="text1"/>
                <w:kern w:val="0"/>
                <w:szCs w:val="21"/>
                <w14:textFill>
                  <w14:solidFill>
                    <w14:schemeClr w14:val="tx1"/>
                  </w14:solidFill>
                </w14:textFill>
              </w:rPr>
            </w:pPr>
          </w:p>
        </w:tc>
        <w:tc>
          <w:tcPr>
            <w:tcW w:w="2060" w:type="dxa"/>
            <w:gridSpan w:val="2"/>
            <w:vAlign w:val="center"/>
          </w:tcPr>
          <w:p w14:paraId="3CBA61B8">
            <w:pPr>
              <w:widowControl/>
              <w:jc w:val="center"/>
              <w:rPr>
                <w:rFonts w:ascii="宋体" w:hAnsi="宋体" w:cs="宋体"/>
                <w:color w:val="000000" w:themeColor="text1"/>
                <w:kern w:val="0"/>
                <w:szCs w:val="21"/>
                <w14:textFill>
                  <w14:solidFill>
                    <w14:schemeClr w14:val="tx1"/>
                  </w14:solidFill>
                </w14:textFill>
              </w:rPr>
            </w:pPr>
          </w:p>
        </w:tc>
        <w:tc>
          <w:tcPr>
            <w:tcW w:w="1645" w:type="dxa"/>
            <w:gridSpan w:val="2"/>
            <w:vAlign w:val="center"/>
          </w:tcPr>
          <w:p w14:paraId="0983E3A7">
            <w:pPr>
              <w:widowControl/>
              <w:jc w:val="left"/>
              <w:rPr>
                <w:rFonts w:ascii="宋体" w:hAnsi="宋体" w:cs="宋体"/>
                <w:color w:val="000000" w:themeColor="text1"/>
                <w:kern w:val="0"/>
                <w:szCs w:val="21"/>
                <w14:textFill>
                  <w14:solidFill>
                    <w14:schemeClr w14:val="tx1"/>
                  </w14:solidFill>
                </w14:textFill>
              </w:rPr>
            </w:pPr>
          </w:p>
        </w:tc>
        <w:tc>
          <w:tcPr>
            <w:tcW w:w="4236" w:type="dxa"/>
            <w:gridSpan w:val="3"/>
            <w:vAlign w:val="center"/>
          </w:tcPr>
          <w:p w14:paraId="56C41016">
            <w:pPr>
              <w:widowControl/>
              <w:jc w:val="left"/>
              <w:rPr>
                <w:rFonts w:ascii="宋体" w:hAnsi="宋体" w:cs="宋体"/>
                <w:color w:val="000000" w:themeColor="text1"/>
                <w:kern w:val="0"/>
                <w:szCs w:val="21"/>
                <w14:textFill>
                  <w14:solidFill>
                    <w14:schemeClr w14:val="tx1"/>
                  </w14:solidFill>
                </w14:textFill>
              </w:rPr>
            </w:pPr>
          </w:p>
        </w:tc>
      </w:tr>
      <w:tr w14:paraId="46799684">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61FB029B">
            <w:pPr>
              <w:widowControl/>
              <w:jc w:val="left"/>
              <w:rPr>
                <w:rFonts w:ascii="宋体" w:hAnsi="宋体" w:cs="宋体"/>
                <w:color w:val="000000" w:themeColor="text1"/>
                <w:kern w:val="0"/>
                <w:szCs w:val="21"/>
                <w14:textFill>
                  <w14:solidFill>
                    <w14:schemeClr w14:val="tx1"/>
                  </w14:solidFill>
                </w14:textFill>
              </w:rPr>
            </w:pPr>
          </w:p>
        </w:tc>
        <w:tc>
          <w:tcPr>
            <w:tcW w:w="2060" w:type="dxa"/>
            <w:gridSpan w:val="2"/>
            <w:vAlign w:val="center"/>
          </w:tcPr>
          <w:p w14:paraId="11007A10">
            <w:pPr>
              <w:widowControl/>
              <w:jc w:val="center"/>
              <w:rPr>
                <w:rFonts w:ascii="宋体" w:hAnsi="宋体" w:cs="宋体"/>
                <w:color w:val="000000" w:themeColor="text1"/>
                <w:kern w:val="0"/>
                <w:szCs w:val="21"/>
                <w14:textFill>
                  <w14:solidFill>
                    <w14:schemeClr w14:val="tx1"/>
                  </w14:solidFill>
                </w14:textFill>
              </w:rPr>
            </w:pPr>
          </w:p>
        </w:tc>
        <w:tc>
          <w:tcPr>
            <w:tcW w:w="1645" w:type="dxa"/>
            <w:gridSpan w:val="2"/>
            <w:vAlign w:val="center"/>
          </w:tcPr>
          <w:p w14:paraId="3FEFE257">
            <w:pPr>
              <w:widowControl/>
              <w:jc w:val="left"/>
              <w:rPr>
                <w:rFonts w:ascii="宋体" w:hAnsi="宋体" w:cs="宋体"/>
                <w:color w:val="000000" w:themeColor="text1"/>
                <w:kern w:val="0"/>
                <w:szCs w:val="21"/>
                <w14:textFill>
                  <w14:solidFill>
                    <w14:schemeClr w14:val="tx1"/>
                  </w14:solidFill>
                </w14:textFill>
              </w:rPr>
            </w:pPr>
          </w:p>
        </w:tc>
        <w:tc>
          <w:tcPr>
            <w:tcW w:w="4236" w:type="dxa"/>
            <w:gridSpan w:val="3"/>
            <w:vAlign w:val="center"/>
          </w:tcPr>
          <w:p w14:paraId="436A8F3A">
            <w:pPr>
              <w:widowControl/>
              <w:jc w:val="left"/>
              <w:rPr>
                <w:rFonts w:ascii="宋体" w:hAnsi="宋体" w:cs="宋体"/>
                <w:color w:val="000000" w:themeColor="text1"/>
                <w:kern w:val="0"/>
                <w:szCs w:val="21"/>
                <w14:textFill>
                  <w14:solidFill>
                    <w14:schemeClr w14:val="tx1"/>
                  </w14:solidFill>
                </w14:textFill>
              </w:rPr>
            </w:pPr>
          </w:p>
        </w:tc>
      </w:tr>
      <w:tr w14:paraId="4A57133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351" w:type="dxa"/>
            <w:vAlign w:val="center"/>
          </w:tcPr>
          <w:p w14:paraId="0746DF6C">
            <w:pPr>
              <w:widowControl/>
              <w:jc w:val="left"/>
              <w:rPr>
                <w:rFonts w:ascii="宋体" w:hAnsi="宋体" w:cs="宋体"/>
                <w:color w:val="000000" w:themeColor="text1"/>
                <w:kern w:val="0"/>
                <w:szCs w:val="21"/>
                <w14:textFill>
                  <w14:solidFill>
                    <w14:schemeClr w14:val="tx1"/>
                  </w14:solidFill>
                </w14:textFill>
              </w:rPr>
            </w:pPr>
          </w:p>
        </w:tc>
        <w:tc>
          <w:tcPr>
            <w:tcW w:w="2060" w:type="dxa"/>
            <w:gridSpan w:val="2"/>
            <w:vAlign w:val="center"/>
          </w:tcPr>
          <w:p w14:paraId="1367D204">
            <w:pPr>
              <w:widowControl/>
              <w:jc w:val="center"/>
              <w:rPr>
                <w:rFonts w:ascii="宋体" w:hAnsi="宋体" w:cs="宋体"/>
                <w:color w:val="000000" w:themeColor="text1"/>
                <w:kern w:val="0"/>
                <w:szCs w:val="21"/>
                <w14:textFill>
                  <w14:solidFill>
                    <w14:schemeClr w14:val="tx1"/>
                  </w14:solidFill>
                </w14:textFill>
              </w:rPr>
            </w:pPr>
          </w:p>
        </w:tc>
        <w:tc>
          <w:tcPr>
            <w:tcW w:w="1645" w:type="dxa"/>
            <w:gridSpan w:val="2"/>
            <w:vAlign w:val="center"/>
          </w:tcPr>
          <w:p w14:paraId="0F651061">
            <w:pPr>
              <w:widowControl/>
              <w:jc w:val="left"/>
              <w:rPr>
                <w:rFonts w:ascii="宋体" w:hAnsi="宋体" w:cs="宋体"/>
                <w:color w:val="000000" w:themeColor="text1"/>
                <w:kern w:val="0"/>
                <w:szCs w:val="21"/>
                <w14:textFill>
                  <w14:solidFill>
                    <w14:schemeClr w14:val="tx1"/>
                  </w14:solidFill>
                </w14:textFill>
              </w:rPr>
            </w:pPr>
          </w:p>
        </w:tc>
        <w:tc>
          <w:tcPr>
            <w:tcW w:w="4236" w:type="dxa"/>
            <w:gridSpan w:val="3"/>
            <w:vAlign w:val="center"/>
          </w:tcPr>
          <w:p w14:paraId="79D5541D">
            <w:pPr>
              <w:widowControl/>
              <w:jc w:val="left"/>
              <w:rPr>
                <w:rFonts w:ascii="宋体" w:hAnsi="宋体" w:cs="宋体"/>
                <w:color w:val="000000" w:themeColor="text1"/>
                <w:kern w:val="0"/>
                <w:szCs w:val="21"/>
                <w14:textFill>
                  <w14:solidFill>
                    <w14:schemeClr w14:val="tx1"/>
                  </w14:solidFill>
                </w14:textFill>
              </w:rPr>
            </w:pPr>
          </w:p>
        </w:tc>
      </w:tr>
    </w:tbl>
    <w:p w14:paraId="0A9BDA7C">
      <w:pPr>
        <w:rPr>
          <w:rFonts w:ascii="宋体" w:hAnsi="宋体" w:cs="宋体"/>
          <w:color w:val="000000" w:themeColor="text1"/>
          <w14:textFill>
            <w14:solidFill>
              <w14:schemeClr w14:val="tx1"/>
            </w14:solidFill>
          </w14:textFill>
        </w:rPr>
      </w:pPr>
    </w:p>
    <w:p w14:paraId="4791A226">
      <w:pPr>
        <w:pStyle w:val="7"/>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注：1.“主要人员”指参加工程施工的项目经理、技术负责人。</w:t>
      </w:r>
    </w:p>
    <w:p w14:paraId="1585BF9F">
      <w:pPr>
        <w:snapToGrid w:val="0"/>
        <w:spacing w:line="360" w:lineRule="exact"/>
        <w:ind w:firstLine="315" w:firstLineChars="15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2.项目经理简历表后应附有身份证、资格证书、社保证明等扫描件。</w:t>
      </w:r>
    </w:p>
    <w:p w14:paraId="7FA67532">
      <w:pPr>
        <w:snapToGrid w:val="0"/>
        <w:spacing w:line="360" w:lineRule="exact"/>
        <w:ind w:firstLine="315" w:firstLineChars="15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3.技术负责人应附身份证、职称证、社保证明等扫描件。</w:t>
      </w:r>
    </w:p>
    <w:p w14:paraId="35819628">
      <w:pPr>
        <w:spacing w:line="360" w:lineRule="auto"/>
        <w:rPr>
          <w:rFonts w:hint="eastAsia" w:ascii="宋体" w:hAnsi="宋体" w:cs="宋体"/>
          <w:color w:val="000000" w:themeColor="text1"/>
          <w:szCs w:val="21"/>
          <w14:textFill>
            <w14:solidFill>
              <w14:schemeClr w14:val="tx1"/>
            </w14:solidFill>
          </w14:textFill>
        </w:rPr>
      </w:pPr>
    </w:p>
    <w:p w14:paraId="3E1C2614">
      <w:pPr>
        <w:pStyle w:val="22"/>
        <w:rPr>
          <w:color w:val="000000" w:themeColor="text1"/>
          <w14:textFill>
            <w14:solidFill>
              <w14:schemeClr w14:val="tx1"/>
            </w14:solidFill>
          </w14:textFill>
        </w:rPr>
      </w:pPr>
    </w:p>
    <w:p w14:paraId="31E26135">
      <w:pPr>
        <w:pStyle w:val="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投标人：</w:t>
      </w:r>
      <w:r>
        <w:rPr>
          <w:rFonts w:hint="eastAsia"/>
          <w:color w:val="000000" w:themeColor="text1"/>
          <w:sz w:val="21"/>
          <w:szCs w:val="21"/>
          <w:u w:val="single"/>
          <w14:textFill>
            <w14:solidFill>
              <w14:schemeClr w14:val="tx1"/>
            </w14:solidFill>
          </w14:textFill>
        </w:rPr>
        <w:t xml:space="preserve">       （单位名称）        </w:t>
      </w:r>
      <w:r>
        <w:rPr>
          <w:rFonts w:hint="eastAsia"/>
          <w:color w:val="000000" w:themeColor="text1"/>
          <w:sz w:val="21"/>
          <w:szCs w:val="21"/>
          <w14:textFill>
            <w14:solidFill>
              <w14:schemeClr w14:val="tx1"/>
            </w14:solidFill>
          </w14:textFill>
        </w:rPr>
        <w:t>（电子签章）</w:t>
      </w:r>
    </w:p>
    <w:p w14:paraId="016F5717">
      <w:pPr>
        <w:pStyle w:val="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法定代表人或其委托代理人：</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（电子签章）</w:t>
      </w:r>
    </w:p>
    <w:p w14:paraId="074B4A89">
      <w:pPr>
        <w:snapToGrid w:val="0"/>
        <w:spacing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r>
        <w:rPr>
          <w:rFonts w:hint="eastAsia" w:ascii="宋体" w:hAnsi="宋体" w:eastAsia="宋体" w:cs="宋体"/>
          <w:color w:val="000000" w:themeColor="text1"/>
          <w:szCs w:val="21"/>
          <w14:textFill>
            <w14:solidFill>
              <w14:schemeClr w14:val="tx1"/>
            </w14:solidFill>
          </w14:textFill>
        </w:rPr>
        <w:t xml:space="preserve">    </w:t>
      </w:r>
    </w:p>
    <w:p w14:paraId="7542D30D">
      <w:pPr>
        <w:spacing w:before="63" w:line="225" w:lineRule="auto"/>
        <w:ind w:left="2820"/>
        <w:rPr>
          <w:rFonts w:ascii="新宋体" w:hAnsi="新宋体" w:eastAsia="新宋体" w:cs="新宋体"/>
          <w:sz w:val="21"/>
          <w:szCs w:val="21"/>
        </w:rPr>
      </w:pPr>
      <w:r>
        <w:rPr>
          <w:rFonts w:hint="eastAsia" w:ascii="宋体" w:hAnsi="宋体" w:eastAsia="宋体" w:cs="宋体"/>
          <w:b w:val="0"/>
          <w:color w:val="000000" w:themeColor="text1"/>
          <w:sz w:val="21"/>
          <w:szCs w:val="21"/>
          <w14:textFill>
            <w14:solidFill>
              <w14:schemeClr w14:val="tx1"/>
            </w14:solidFill>
          </w14:textFill>
        </w:rPr>
        <w:br w:type="page"/>
      </w:r>
      <w:r>
        <w:rPr>
          <w:rFonts w:hint="eastAsia" w:ascii="新宋体" w:hAnsi="新宋体" w:eastAsia="新宋体" w:cs="新宋体"/>
          <w:b/>
          <w:bCs/>
          <w:spacing w:val="3"/>
          <w:sz w:val="21"/>
          <w:szCs w:val="21"/>
          <w:lang w:val="en-US" w:eastAsia="zh-CN"/>
        </w:rPr>
        <w:t>六</w:t>
      </w:r>
      <w:r>
        <w:rPr>
          <w:rFonts w:ascii="新宋体" w:hAnsi="新宋体" w:eastAsia="新宋体" w:cs="新宋体"/>
          <w:b/>
          <w:bCs/>
          <w:spacing w:val="3"/>
          <w:sz w:val="21"/>
          <w:szCs w:val="21"/>
        </w:rPr>
        <w:t>、近三年财务状况表</w:t>
      </w:r>
    </w:p>
    <w:p w14:paraId="39CBD3FB">
      <w:pPr>
        <w:spacing w:line="257" w:lineRule="auto"/>
        <w:rPr>
          <w:rFonts w:ascii="Arial"/>
          <w:sz w:val="21"/>
          <w:szCs w:val="21"/>
        </w:rPr>
      </w:pPr>
    </w:p>
    <w:p w14:paraId="3BC9347F">
      <w:pPr>
        <w:spacing w:line="258" w:lineRule="auto"/>
        <w:rPr>
          <w:rFonts w:ascii="Arial"/>
          <w:sz w:val="21"/>
          <w:szCs w:val="21"/>
        </w:rPr>
      </w:pPr>
    </w:p>
    <w:p w14:paraId="3B84E9C0">
      <w:pPr>
        <w:spacing w:line="258" w:lineRule="auto"/>
        <w:rPr>
          <w:rFonts w:ascii="Arial"/>
          <w:sz w:val="21"/>
          <w:szCs w:val="21"/>
        </w:rPr>
      </w:pPr>
    </w:p>
    <w:p w14:paraId="6C39EE1F">
      <w:pPr>
        <w:spacing w:before="78" w:line="480" w:lineRule="auto"/>
        <w:ind w:firstLine="480"/>
        <w:jc w:val="both"/>
        <w:rPr>
          <w:rFonts w:ascii="新宋体" w:hAnsi="新宋体" w:eastAsia="新宋体" w:cs="新宋体"/>
          <w:sz w:val="21"/>
          <w:szCs w:val="21"/>
        </w:rPr>
      </w:pPr>
      <w:r>
        <w:rPr>
          <w:rFonts w:ascii="新宋体" w:hAnsi="新宋体" w:eastAsia="新宋体" w:cs="新宋体"/>
          <w:spacing w:val="-3"/>
          <w:sz w:val="21"/>
          <w:szCs w:val="21"/>
        </w:rPr>
        <w:t>近年财务状况表指经过会计师事务所或者审计机构的审计的财务会计报表，以下各类报表中反映的财务状况数据应当一致，如果有不一致之处，以不利于投标人的数据为准。</w:t>
      </w:r>
    </w:p>
    <w:p w14:paraId="48546E9F">
      <w:pPr>
        <w:spacing w:line="480" w:lineRule="auto"/>
        <w:rPr>
          <w:rFonts w:ascii="新宋体" w:hAnsi="新宋体" w:eastAsia="新宋体" w:cs="新宋体"/>
          <w:sz w:val="21"/>
          <w:szCs w:val="21"/>
        </w:rPr>
        <w:sectPr>
          <w:footerReference r:id="rId15" w:type="default"/>
          <w:pgSz w:w="11960" w:h="16880"/>
          <w:pgMar w:top="1424" w:right="1419" w:bottom="686" w:left="1765" w:header="0" w:footer="374" w:gutter="0"/>
          <w:pgNumType w:fmt="decimal"/>
          <w:cols w:space="720" w:num="1"/>
        </w:sectPr>
      </w:pPr>
    </w:p>
    <w:p w14:paraId="74077536">
      <w:pPr>
        <w:ind w:firstLine="3162" w:firstLineChars="1500"/>
        <w:rPr>
          <w:rFonts w:hint="eastAsia" w:asciiTheme="minorEastAsia" w:hAnsiTheme="minorEastAsia" w:eastAsiaTheme="minorEastAsia" w:cstheme="minorEastAsia"/>
          <w:color w:val="000000"/>
          <w:kern w:val="0"/>
          <w:sz w:val="21"/>
          <w:szCs w:val="21"/>
          <w:highlight w:val="none"/>
          <w:lang w:val="en-US" w:eastAsia="zh-CN" w:bidi="ar-SA"/>
        </w:rPr>
      </w:pPr>
      <w:r>
        <w:rPr>
          <w:rFonts w:hint="eastAsia" w:ascii="宋体" w:hAnsi="宋体" w:cs="宋体"/>
          <w:b/>
          <w:bCs/>
          <w:color w:val="000000" w:themeColor="text1"/>
          <w:sz w:val="21"/>
          <w:szCs w:val="21"/>
          <w:lang w:val="en-US" w:eastAsia="zh-CN"/>
          <w14:textFill>
            <w14:solidFill>
              <w14:schemeClr w14:val="tx1"/>
            </w14:solidFill>
          </w14:textFill>
        </w:rPr>
        <w:t>七</w:t>
      </w:r>
      <w:r>
        <w:rPr>
          <w:rFonts w:hint="eastAsia" w:ascii="宋体" w:hAnsi="宋体" w:cs="宋体"/>
          <w:b w:val="0"/>
          <w:color w:val="000000" w:themeColor="text1"/>
          <w:sz w:val="21"/>
          <w:szCs w:val="21"/>
          <w:lang w:val="en-US" w:eastAsia="zh-CN"/>
          <w14:textFill>
            <w14:solidFill>
              <w14:schemeClr w14:val="tx1"/>
            </w14:solidFill>
          </w14:textFill>
        </w:rPr>
        <w:t>、</w:t>
      </w:r>
      <w:r>
        <w:rPr>
          <w:rFonts w:hint="eastAsia" w:ascii="宋体" w:hAnsi="宋体"/>
          <w:b/>
          <w:color w:val="000000" w:themeColor="text1"/>
          <w:szCs w:val="21"/>
          <w14:textFill>
            <w14:solidFill>
              <w14:schemeClr w14:val="tx1"/>
            </w14:solidFill>
          </w14:textFill>
        </w:rPr>
        <w:t>其他资料</w:t>
      </w:r>
      <w:bookmarkEnd w:id="1695"/>
      <w:bookmarkEnd w:id="1696"/>
      <w:bookmarkEnd w:id="1697"/>
      <w:bookmarkEnd w:id="1698"/>
      <w:bookmarkEnd w:id="1699"/>
      <w:r>
        <w:rPr>
          <w:rFonts w:hint="eastAsia" w:asciiTheme="minorEastAsia" w:hAnsiTheme="minorEastAsia" w:eastAsiaTheme="minorEastAsia" w:cstheme="minorEastAsia"/>
          <w:color w:val="000000"/>
          <w:kern w:val="0"/>
          <w:sz w:val="21"/>
          <w:szCs w:val="21"/>
          <w:highlight w:val="none"/>
          <w:lang w:val="en-US" w:eastAsia="zh-CN" w:bidi="ar-SA"/>
        </w:rPr>
        <w:fldChar w:fldCharType="begin"/>
      </w:r>
      <w:r>
        <w:rPr>
          <w:rFonts w:hint="eastAsia" w:asciiTheme="minorEastAsia" w:hAnsiTheme="minorEastAsia" w:eastAsiaTheme="minorEastAsia" w:cstheme="minorEastAsia"/>
          <w:color w:val="000000"/>
          <w:kern w:val="0"/>
          <w:sz w:val="21"/>
          <w:szCs w:val="21"/>
          <w:highlight w:val="none"/>
          <w:lang w:val="en-US" w:eastAsia="zh-CN" w:bidi="ar-SA"/>
        </w:rPr>
        <w:instrText xml:space="preserve"> AUTOTEXT  input18 \* MERGEFORMAT </w:instrText>
      </w:r>
      <w:r>
        <w:rPr>
          <w:rFonts w:hint="eastAsia" w:asciiTheme="minorEastAsia" w:hAnsiTheme="minorEastAsia" w:eastAsiaTheme="minorEastAsia" w:cstheme="minorEastAsia"/>
          <w:color w:val="000000"/>
          <w:kern w:val="0"/>
          <w:sz w:val="21"/>
          <w:szCs w:val="21"/>
          <w:highlight w:val="none"/>
          <w:lang w:val="en-US" w:eastAsia="zh-CN" w:bidi="ar-SA"/>
        </w:rPr>
        <w:fldChar w:fldCharType="separate"/>
      </w:r>
    </w:p>
    <w:p w14:paraId="323C4D0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420" w:firstLineChars="200"/>
        <w:textAlignment w:val="auto"/>
        <w:rPr>
          <w:rFonts w:hint="eastAsia" w:asciiTheme="minorEastAsia" w:hAnsiTheme="minorEastAsia" w:eastAsiaTheme="minorEastAsia" w:cstheme="minorEastAsia"/>
          <w:color w:val="000000"/>
          <w:kern w:val="0"/>
          <w:sz w:val="21"/>
          <w:szCs w:val="21"/>
          <w:highlight w:val="none"/>
          <w:lang w:val="en-US" w:eastAsia="zh-CN"/>
        </w:rPr>
      </w:pPr>
      <w:r>
        <w:rPr>
          <w:rFonts w:hint="eastAsia" w:asciiTheme="minorEastAsia" w:hAnsiTheme="minorEastAsia" w:eastAsiaTheme="minorEastAsia" w:cstheme="minorEastAsia"/>
          <w:color w:val="000000"/>
          <w:kern w:val="0"/>
          <w:sz w:val="21"/>
          <w:szCs w:val="21"/>
          <w:highlight w:val="none"/>
          <w:lang w:val="en-US" w:eastAsia="zh-CN"/>
        </w:rPr>
        <w:t>（1）廉洁自律承诺（格式自拟）。</w:t>
      </w:r>
    </w:p>
    <w:p w14:paraId="78D2FEB0">
      <w:pPr>
        <w:keepNext w:val="0"/>
        <w:keepLines w:val="0"/>
        <w:pageBreakBefore w:val="0"/>
        <w:widowControl w:val="0"/>
        <w:numPr>
          <w:ilvl w:val="0"/>
          <w:numId w:val="0"/>
        </w:numPr>
        <w:kinsoku/>
        <w:wordWrap/>
        <w:overflowPunct/>
        <w:topLinePunct w:val="0"/>
        <w:autoSpaceDE/>
        <w:autoSpaceDN/>
        <w:bidi w:val="0"/>
        <w:adjustRightInd/>
        <w:snapToGrid/>
        <w:spacing w:before="91" w:line="360" w:lineRule="auto"/>
        <w:ind w:right="80" w:rightChars="0" w:firstLine="420" w:firstLineChars="200"/>
        <w:textAlignment w:val="auto"/>
        <w:rPr>
          <w:rFonts w:hint="eastAsia" w:asciiTheme="minorEastAsia" w:hAnsiTheme="minorEastAsia" w:eastAsiaTheme="minorEastAsia" w:cstheme="minorEastAsia"/>
          <w:color w:val="000000"/>
          <w:kern w:val="0"/>
          <w:sz w:val="21"/>
          <w:szCs w:val="21"/>
          <w:highlight w:val="none"/>
          <w:lang w:val="en-US" w:eastAsia="zh-CN"/>
        </w:rPr>
      </w:pPr>
      <w:r>
        <w:rPr>
          <w:rFonts w:hint="eastAsia" w:asciiTheme="minorEastAsia" w:hAnsiTheme="minorEastAsia" w:eastAsiaTheme="minorEastAsia" w:cstheme="minorEastAsia"/>
          <w:color w:val="000000"/>
          <w:kern w:val="0"/>
          <w:sz w:val="21"/>
          <w:szCs w:val="21"/>
          <w:highlight w:val="none"/>
          <w:lang w:val="en-US" w:eastAsia="zh-CN"/>
        </w:rPr>
        <w:t>（2）人员配备满足本工程的需要，拟派往本项目的项目负责人及其他主要管理人员无特殊情况不得更改,并出具承诺（格式自拟）。</w:t>
      </w:r>
    </w:p>
    <w:p w14:paraId="502546F1">
      <w:pPr>
        <w:pageBreakBefore w:val="0"/>
        <w:kinsoku/>
        <w:wordWrap/>
        <w:topLinePunct w:val="0"/>
        <w:bidi w:val="0"/>
        <w:spacing w:line="360" w:lineRule="auto"/>
        <w:ind w:firstLine="420" w:firstLineChars="200"/>
        <w:jc w:val="left"/>
        <w:textAlignment w:val="auto"/>
        <w:rPr>
          <w:rFonts w:hint="eastAsia" w:asciiTheme="minorEastAsia" w:hAnsiTheme="minorEastAsia" w:eastAsiaTheme="minorEastAsia" w:cstheme="minorEastAsia"/>
          <w:color w:val="000000"/>
          <w:kern w:val="0"/>
          <w:sz w:val="21"/>
          <w:szCs w:val="21"/>
          <w:highlight w:val="none"/>
          <w:lang w:val="en-US" w:eastAsia="zh-CN" w:bidi="ar-SA"/>
        </w:rPr>
      </w:pPr>
      <w:r>
        <w:rPr>
          <w:rFonts w:hint="eastAsia" w:asciiTheme="minorEastAsia" w:hAnsiTheme="minorEastAsia" w:eastAsiaTheme="minorEastAsia" w:cstheme="minorEastAsia"/>
          <w:color w:val="000000"/>
          <w:kern w:val="0"/>
          <w:sz w:val="21"/>
          <w:szCs w:val="21"/>
          <w:highlight w:val="none"/>
          <w:lang w:val="en-US" w:eastAsia="zh-CN" w:bidi="ar-SA"/>
        </w:rPr>
        <w:t>（3）投标人出具所提供的证件、证明材料等的真实性、有效性、合法性承担法律责任的承诺</w:t>
      </w:r>
      <w:r>
        <w:rPr>
          <w:rFonts w:hint="eastAsia" w:asciiTheme="minorEastAsia" w:hAnsiTheme="minorEastAsia" w:eastAsiaTheme="minorEastAsia" w:cstheme="minorEastAsia"/>
          <w:color w:val="000000"/>
          <w:kern w:val="0"/>
          <w:sz w:val="21"/>
          <w:szCs w:val="21"/>
          <w:highlight w:val="none"/>
          <w:lang w:val="en-US" w:eastAsia="zh-CN"/>
        </w:rPr>
        <w:t>（格式自拟）</w:t>
      </w:r>
      <w:r>
        <w:rPr>
          <w:rFonts w:hint="eastAsia" w:asciiTheme="minorEastAsia" w:hAnsiTheme="minorEastAsia" w:eastAsiaTheme="minorEastAsia" w:cstheme="minorEastAsia"/>
          <w:color w:val="000000"/>
          <w:kern w:val="0"/>
          <w:sz w:val="21"/>
          <w:szCs w:val="21"/>
          <w:highlight w:val="none"/>
          <w:lang w:val="en-US" w:eastAsia="zh-CN" w:bidi="ar-SA"/>
        </w:rPr>
        <w:t>。</w:t>
      </w:r>
    </w:p>
    <w:p w14:paraId="20071525">
      <w:pPr>
        <w:pageBreakBefore w:val="0"/>
        <w:kinsoku/>
        <w:wordWrap/>
        <w:topLinePunct w:val="0"/>
        <w:bidi w:val="0"/>
        <w:spacing w:line="360" w:lineRule="auto"/>
        <w:ind w:firstLine="420" w:firstLineChars="200"/>
        <w:jc w:val="left"/>
        <w:textAlignment w:val="auto"/>
        <w:rPr>
          <w:rFonts w:hint="eastAsia" w:asciiTheme="minorEastAsia" w:hAnsiTheme="minorEastAsia" w:eastAsiaTheme="minorEastAsia" w:cstheme="minorEastAsia"/>
          <w:color w:val="000000"/>
          <w:kern w:val="0"/>
          <w:sz w:val="21"/>
          <w:szCs w:val="21"/>
          <w:u w:val="none"/>
        </w:rPr>
      </w:pPr>
      <w:r>
        <w:rPr>
          <w:rFonts w:hint="eastAsia" w:asciiTheme="minorEastAsia" w:hAnsiTheme="minorEastAsia" w:eastAsiaTheme="minorEastAsia" w:cstheme="minorEastAsia"/>
          <w:color w:val="000000"/>
          <w:kern w:val="0"/>
          <w:sz w:val="21"/>
          <w:szCs w:val="21"/>
          <w:highlight w:val="none"/>
          <w:lang w:val="en-US" w:eastAsia="zh-CN" w:bidi="ar-SA"/>
        </w:rPr>
        <w:t>（4）</w:t>
      </w:r>
      <w:r>
        <w:rPr>
          <w:rFonts w:hint="eastAsia" w:asciiTheme="minorEastAsia" w:hAnsiTheme="minorEastAsia" w:eastAsiaTheme="minorEastAsia" w:cstheme="minorEastAsia"/>
          <w:color w:val="000000"/>
          <w:kern w:val="0"/>
          <w:sz w:val="21"/>
          <w:szCs w:val="21"/>
          <w:highlight w:val="none"/>
          <w:lang w:val="en-US" w:eastAsia="zh-CN" w:bidi="ar-SA"/>
        </w:rPr>
        <w:fldChar w:fldCharType="end"/>
      </w:r>
      <w:r>
        <w:rPr>
          <w:rFonts w:hint="eastAsia" w:asciiTheme="minorEastAsia" w:hAnsiTheme="minorEastAsia" w:eastAsiaTheme="minorEastAsia" w:cstheme="minorEastAsia"/>
          <w:color w:val="000000"/>
          <w:kern w:val="0"/>
          <w:sz w:val="21"/>
          <w:szCs w:val="21"/>
          <w:highlight w:val="none"/>
          <w:lang w:val="en-US" w:eastAsia="zh-CN" w:bidi="ar-SA"/>
        </w:rPr>
        <w:t>投标人须按月足额支付农民工工资和项目实行人工费与其他工程款分账管理；投标人须根据《云南省人民政府办公厅关于进一步构</w:t>
      </w:r>
      <w:r>
        <w:rPr>
          <w:rFonts w:hint="eastAsia" w:asciiTheme="minorEastAsia" w:hAnsiTheme="minorEastAsia" w:eastAsiaTheme="minorEastAsia" w:cstheme="minorEastAsia"/>
          <w:color w:val="000000"/>
          <w:kern w:val="0"/>
          <w:sz w:val="21"/>
          <w:szCs w:val="21"/>
          <w:u w:val="none"/>
          <w:lang w:val="en-US" w:eastAsia="zh-CN"/>
        </w:rPr>
        <w:t>建解决农民工工资拖欠长效机制的若干意见》（云政办发（2017）60 号），在投标文件中提供：在项目实施过程中按月足额支付农民工工资和项目实行人工费与其他工程款分账管理的承诺</w:t>
      </w:r>
      <w:r>
        <w:rPr>
          <w:rFonts w:hint="eastAsia" w:asciiTheme="minorEastAsia" w:hAnsiTheme="minorEastAsia" w:eastAsiaTheme="minorEastAsia" w:cstheme="minorEastAsia"/>
          <w:color w:val="000000"/>
          <w:kern w:val="0"/>
          <w:sz w:val="21"/>
          <w:szCs w:val="21"/>
          <w:u w:val="none"/>
        </w:rPr>
        <w:t>。</w:t>
      </w:r>
    </w:p>
    <w:p w14:paraId="78584B75">
      <w:pPr>
        <w:pStyle w:val="10"/>
        <w:spacing w:line="360" w:lineRule="auto"/>
        <w:ind w:left="0" w:leftChars="0" w:firstLine="630" w:firstLineChars="300"/>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1"/>
          <w:lang w:val="en-US" w:eastAsia="zh-CN" w:bidi="ar-SA"/>
          <w14:textFill>
            <w14:solidFill>
              <w14:schemeClr w14:val="tx1"/>
            </w14:solidFill>
          </w14:textFill>
        </w:rPr>
        <w:t>6、投标人认为有必要提供的其它资料</w:t>
      </w:r>
    </w:p>
    <w:p w14:paraId="5CD0E900">
      <w:pPr>
        <w:spacing w:line="360" w:lineRule="auto"/>
        <w:jc w:val="center"/>
        <w:rPr>
          <w:rFonts w:ascii="宋体" w:hAnsi="宋体" w:cs="宋体"/>
          <w:b/>
          <w:color w:val="000000" w:themeColor="text1"/>
          <w:szCs w:val="21"/>
          <w14:textFill>
            <w14:solidFill>
              <w14:schemeClr w14:val="tx1"/>
            </w14:solidFill>
          </w14:textFill>
        </w:rPr>
      </w:pPr>
      <w:r>
        <w:rPr>
          <w:snapToGrid w:val="0"/>
          <w:color w:val="000000" w:themeColor="text1"/>
          <w:kern w:val="0"/>
          <w14:textFill>
            <w14:solidFill>
              <w14:schemeClr w14:val="tx1"/>
            </w14:solidFill>
          </w14:textFill>
        </w:rPr>
        <w:br w:type="page"/>
      </w:r>
      <w:r>
        <w:rPr>
          <w:rFonts w:ascii="宋体" w:hAnsi="宋体" w:cs="宋体"/>
          <w:b/>
          <w:color w:val="000000" w:themeColor="text1"/>
          <w:szCs w:val="21"/>
          <w14:textFill>
            <w14:solidFill>
              <w14:schemeClr w14:val="tx1"/>
            </w14:solidFill>
          </w14:textFill>
        </w:rPr>
        <w:t>会泽县公共资源交易投标人供应商竞买人事前信用承诺书</w:t>
      </w:r>
    </w:p>
    <w:p w14:paraId="54B02E0C">
      <w:pPr>
        <w:pStyle w:val="34"/>
        <w:widowControl/>
        <w:tabs>
          <w:tab w:val="left" w:pos="983"/>
        </w:tabs>
        <w:autoSpaceDE w:val="0"/>
        <w:autoSpaceDN w:val="0"/>
        <w:spacing w:line="360" w:lineRule="auto"/>
        <w:ind w:firstLine="408"/>
        <w:rPr>
          <w:rFonts w:hint="eastAsia" w:ascii="宋体" w:hAnsi="宋体" w:cs="宋体"/>
          <w:color w:val="000000" w:themeColor="text1"/>
          <w:spacing w:val="-3"/>
          <w:szCs w:val="21"/>
          <w:lang w:val="zh-CN" w:bidi="zh-CN"/>
          <w14:textFill>
            <w14:solidFill>
              <w14:schemeClr w14:val="tx1"/>
            </w14:solidFill>
          </w14:textFill>
        </w:rPr>
      </w:pPr>
      <w:bookmarkStart w:id="1700" w:name="_Hlk60755535"/>
    </w:p>
    <w:p w14:paraId="3AD2B160">
      <w:pPr>
        <w:pStyle w:val="34"/>
        <w:widowControl/>
        <w:tabs>
          <w:tab w:val="left" w:pos="983"/>
        </w:tabs>
        <w:autoSpaceDE w:val="0"/>
        <w:autoSpaceDN w:val="0"/>
        <w:spacing w:line="360" w:lineRule="auto"/>
        <w:ind w:firstLine="408"/>
        <w:rPr>
          <w:rFonts w:ascii="宋体" w:hAnsi="宋体" w:cs="宋体"/>
          <w:color w:val="000000" w:themeColor="text1"/>
          <w:spacing w:val="-3"/>
          <w:szCs w:val="21"/>
          <w:lang w:val="zh-CN" w:bidi="zh-CN"/>
          <w14:textFill>
            <w14:solidFill>
              <w14:schemeClr w14:val="tx1"/>
            </w14:solidFill>
          </w14:textFill>
        </w:rPr>
      </w:pPr>
      <w:r>
        <w:rPr>
          <w:rFonts w:ascii="宋体" w:hAnsi="宋体" w:cs="宋体"/>
          <w:color w:val="000000" w:themeColor="text1"/>
          <w:spacing w:val="-3"/>
          <w:szCs w:val="21"/>
          <w:lang w:val="zh-CN" w:bidi="zh-CN"/>
          <w14:textFill>
            <w14:solidFill>
              <w14:schemeClr w14:val="tx1"/>
            </w14:solidFill>
          </w14:textFill>
        </w:rPr>
        <w:t>本单位：</w:t>
      </w:r>
      <w:r>
        <w:rPr>
          <w:rFonts w:hint="eastAsia" w:ascii="宋体" w:hAnsi="宋体" w:cs="宋体"/>
          <w:color w:val="000000" w:themeColor="text1"/>
          <w:spacing w:val="-3"/>
          <w:szCs w:val="21"/>
          <w:u w:val="single"/>
          <w:lang w:val="zh-CN" w:bidi="zh-CN"/>
          <w14:textFill>
            <w14:solidFill>
              <w14:schemeClr w14:val="tx1"/>
            </w14:solidFill>
          </w14:textFill>
        </w:rPr>
        <w:t xml:space="preserve"> </w:t>
      </w:r>
      <w:r>
        <w:rPr>
          <w:rFonts w:ascii="宋体" w:hAnsi="宋体" w:cs="宋体"/>
          <w:color w:val="000000" w:themeColor="text1"/>
          <w:spacing w:val="-3"/>
          <w:szCs w:val="21"/>
          <w:u w:val="single"/>
          <w:lang w:val="zh-CN" w:bidi="zh-CN"/>
          <w14:textFill>
            <w14:solidFill>
              <w14:schemeClr w14:val="tx1"/>
            </w14:solidFill>
          </w14:textFill>
        </w:rPr>
        <w:t xml:space="preserve">                      </w:t>
      </w:r>
      <w:r>
        <w:rPr>
          <w:rFonts w:ascii="宋体" w:hAnsi="宋体" w:cs="宋体"/>
          <w:color w:val="000000" w:themeColor="text1"/>
          <w:spacing w:val="-3"/>
          <w:szCs w:val="21"/>
          <w:lang w:val="zh-CN" w:bidi="zh-CN"/>
          <w14:textFill>
            <w14:solidFill>
              <w14:schemeClr w14:val="tx1"/>
            </w14:solidFill>
          </w14:textFill>
        </w:rPr>
        <w:t>，统一社会信用代码：</w:t>
      </w:r>
      <w:r>
        <w:rPr>
          <w:rFonts w:ascii="宋体" w:hAnsi="宋体" w:cs="宋体"/>
          <w:color w:val="000000" w:themeColor="text1"/>
          <w:spacing w:val="-3"/>
          <w:szCs w:val="21"/>
          <w:u w:val="single"/>
          <w:lang w:val="zh-CN" w:bidi="zh-CN"/>
          <w14:textFill>
            <w14:solidFill>
              <w14:schemeClr w14:val="tx1"/>
            </w14:solidFill>
          </w14:textFill>
        </w:rPr>
        <w:t xml:space="preserve">                    </w:t>
      </w:r>
      <w:r>
        <w:rPr>
          <w:rFonts w:ascii="宋体" w:hAnsi="宋体" w:cs="宋体"/>
          <w:color w:val="000000" w:themeColor="text1"/>
          <w:spacing w:val="-3"/>
          <w:szCs w:val="21"/>
          <w:lang w:val="zh-CN" w:bidi="zh-CN"/>
          <w14:textFill>
            <w14:solidFill>
              <w14:schemeClr w14:val="tx1"/>
            </w14:solidFill>
          </w14:textFill>
        </w:rPr>
        <w:t>，为推进社会信用体系建设，营造我县公开、公平、公正、诚实守信的公共资源交易环境，树立诚信守法、公平竞争交易的形象。本人代表本单位（机构）作出以下诚信承诺</w:t>
      </w:r>
      <w:bookmarkEnd w:id="1700"/>
      <w:r>
        <w:rPr>
          <w:rFonts w:ascii="宋体" w:hAnsi="宋体" w:cs="宋体"/>
          <w:color w:val="000000" w:themeColor="text1"/>
          <w:spacing w:val="-3"/>
          <w:szCs w:val="21"/>
          <w:lang w:val="zh-CN" w:bidi="zh-CN"/>
          <w14:textFill>
            <w14:solidFill>
              <w14:schemeClr w14:val="tx1"/>
            </w14:solidFill>
          </w14:textFill>
        </w:rPr>
        <w:t>：</w:t>
      </w:r>
    </w:p>
    <w:p w14:paraId="070859DF">
      <w:pPr>
        <w:pStyle w:val="34"/>
        <w:widowControl/>
        <w:tabs>
          <w:tab w:val="left" w:pos="983"/>
        </w:tabs>
        <w:autoSpaceDE w:val="0"/>
        <w:autoSpaceDN w:val="0"/>
        <w:spacing w:line="360" w:lineRule="auto"/>
        <w:ind w:firstLine="408"/>
        <w:rPr>
          <w:rFonts w:ascii="宋体" w:hAnsi="宋体" w:cs="宋体"/>
          <w:color w:val="000000" w:themeColor="text1"/>
          <w:spacing w:val="-3"/>
          <w:szCs w:val="21"/>
          <w:lang w:val="zh-CN" w:bidi="zh-CN"/>
          <w14:textFill>
            <w14:solidFill>
              <w14:schemeClr w14:val="tx1"/>
            </w14:solidFill>
          </w14:textFill>
        </w:rPr>
      </w:pPr>
      <w:r>
        <w:rPr>
          <w:rFonts w:hint="eastAsia" w:ascii="宋体" w:hAnsi="宋体" w:cs="宋体"/>
          <w:color w:val="000000" w:themeColor="text1"/>
          <w:spacing w:val="-3"/>
          <w:szCs w:val="21"/>
          <w:lang w:val="zh-CN" w:bidi="zh-CN"/>
          <w14:textFill>
            <w14:solidFill>
              <w14:schemeClr w14:val="tx1"/>
            </w14:solidFill>
          </w14:textFill>
        </w:rPr>
        <w:t>1.</w:t>
      </w:r>
      <w:r>
        <w:rPr>
          <w:rFonts w:ascii="宋体" w:hAnsi="宋体" w:cs="宋体"/>
          <w:color w:val="000000" w:themeColor="text1"/>
          <w:spacing w:val="-3"/>
          <w:szCs w:val="21"/>
          <w:lang w:val="zh-CN" w:bidi="zh-CN"/>
          <w14:textFill>
            <w14:solidFill>
              <w14:schemeClr w14:val="tx1"/>
            </w14:solidFill>
          </w14:textFill>
        </w:rPr>
        <w:t>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3A8A77E">
      <w:pPr>
        <w:pStyle w:val="34"/>
        <w:widowControl/>
        <w:tabs>
          <w:tab w:val="left" w:pos="983"/>
        </w:tabs>
        <w:autoSpaceDE w:val="0"/>
        <w:autoSpaceDN w:val="0"/>
        <w:spacing w:line="360" w:lineRule="auto"/>
        <w:ind w:firstLine="408"/>
        <w:rPr>
          <w:rFonts w:ascii="宋体" w:hAnsi="宋体" w:cs="宋体"/>
          <w:color w:val="000000" w:themeColor="text1"/>
          <w:spacing w:val="-3"/>
          <w:szCs w:val="21"/>
          <w:lang w:val="zh-CN" w:bidi="zh-CN"/>
          <w14:textFill>
            <w14:solidFill>
              <w14:schemeClr w14:val="tx1"/>
            </w14:solidFill>
          </w14:textFill>
        </w:rPr>
      </w:pPr>
      <w:r>
        <w:rPr>
          <w:rFonts w:hint="eastAsia" w:ascii="宋体" w:hAnsi="宋体" w:cs="宋体"/>
          <w:color w:val="000000" w:themeColor="text1"/>
          <w:spacing w:val="-3"/>
          <w:szCs w:val="21"/>
          <w:lang w:val="zh-CN" w:bidi="zh-CN"/>
          <w14:textFill>
            <w14:solidFill>
              <w14:schemeClr w14:val="tx1"/>
            </w14:solidFill>
          </w14:textFill>
        </w:rPr>
        <w:t>2.</w:t>
      </w:r>
      <w:r>
        <w:rPr>
          <w:rFonts w:ascii="宋体" w:hAnsi="宋体" w:cs="宋体"/>
          <w:color w:val="000000" w:themeColor="text1"/>
          <w:spacing w:val="-3"/>
          <w:szCs w:val="21"/>
          <w:lang w:val="zh-CN" w:bidi="zh-CN"/>
          <w14:textFill>
            <w14:solidFill>
              <w14:schemeClr w14:val="tx1"/>
            </w14:solidFill>
          </w14:textFill>
        </w:rPr>
        <w:t>严格依照国家、省、市、县关于公共资源交易的法律、法规、规章、规范性文件等，参加公共资源交易活动；积极履行社会责任，促进廉政建设。</w:t>
      </w:r>
    </w:p>
    <w:p w14:paraId="3BB53F96">
      <w:pPr>
        <w:pStyle w:val="34"/>
        <w:widowControl/>
        <w:tabs>
          <w:tab w:val="left" w:pos="983"/>
        </w:tabs>
        <w:autoSpaceDE w:val="0"/>
        <w:autoSpaceDN w:val="0"/>
        <w:spacing w:line="360" w:lineRule="auto"/>
        <w:ind w:firstLine="408"/>
        <w:rPr>
          <w:rFonts w:ascii="宋体" w:hAnsi="宋体" w:cs="宋体"/>
          <w:color w:val="000000" w:themeColor="text1"/>
          <w:spacing w:val="-3"/>
          <w:szCs w:val="21"/>
          <w:lang w:val="zh-CN" w:bidi="zh-CN"/>
          <w14:textFill>
            <w14:solidFill>
              <w14:schemeClr w14:val="tx1"/>
            </w14:solidFill>
          </w14:textFill>
        </w:rPr>
      </w:pPr>
      <w:r>
        <w:rPr>
          <w:rFonts w:hint="eastAsia" w:ascii="宋体" w:hAnsi="宋体" w:cs="宋体"/>
          <w:color w:val="000000" w:themeColor="text1"/>
          <w:spacing w:val="-3"/>
          <w:szCs w:val="21"/>
          <w:lang w:val="zh-CN" w:bidi="zh-CN"/>
          <w14:textFill>
            <w14:solidFill>
              <w14:schemeClr w14:val="tx1"/>
            </w14:solidFill>
          </w14:textFill>
        </w:rPr>
        <w:t>3.</w:t>
      </w:r>
      <w:r>
        <w:rPr>
          <w:rFonts w:ascii="宋体" w:hAnsi="宋体" w:cs="宋体"/>
          <w:color w:val="000000" w:themeColor="text1"/>
          <w:spacing w:val="-3"/>
          <w:szCs w:val="21"/>
          <w:lang w:val="zh-CN" w:bidi="zh-CN"/>
          <w14:textFill>
            <w14:solidFill>
              <w14:schemeClr w14:val="tx1"/>
            </w14:solidFill>
          </w14:textFill>
        </w:rPr>
        <w:t>严格遵守即时信息公示规定，及时更新曲靖市公共资源交易电子服务系统主体信息中内容。</w:t>
      </w:r>
    </w:p>
    <w:p w14:paraId="63079305">
      <w:pPr>
        <w:pStyle w:val="34"/>
        <w:widowControl/>
        <w:tabs>
          <w:tab w:val="left" w:pos="983"/>
        </w:tabs>
        <w:autoSpaceDE w:val="0"/>
        <w:autoSpaceDN w:val="0"/>
        <w:spacing w:line="360" w:lineRule="auto"/>
        <w:ind w:firstLine="408"/>
        <w:rPr>
          <w:rFonts w:ascii="宋体" w:hAnsi="宋体" w:cs="宋体"/>
          <w:color w:val="000000" w:themeColor="text1"/>
          <w:spacing w:val="-3"/>
          <w:szCs w:val="21"/>
          <w:lang w:val="zh-CN" w:bidi="zh-CN"/>
          <w14:textFill>
            <w14:solidFill>
              <w14:schemeClr w14:val="tx1"/>
            </w14:solidFill>
          </w14:textFill>
        </w:rPr>
      </w:pPr>
      <w:r>
        <w:rPr>
          <w:rFonts w:hint="eastAsia" w:ascii="宋体" w:hAnsi="宋体" w:cs="宋体"/>
          <w:color w:val="000000" w:themeColor="text1"/>
          <w:spacing w:val="-3"/>
          <w:szCs w:val="21"/>
          <w:lang w:val="zh-CN" w:bidi="zh-CN"/>
          <w14:textFill>
            <w14:solidFill>
              <w14:schemeClr w14:val="tx1"/>
            </w14:solidFill>
          </w14:textFill>
        </w:rPr>
        <w:t>4.</w:t>
      </w:r>
      <w:r>
        <w:rPr>
          <w:rFonts w:ascii="宋体" w:hAnsi="宋体" w:cs="宋体"/>
          <w:color w:val="000000" w:themeColor="text1"/>
          <w:spacing w:val="-3"/>
          <w:szCs w:val="21"/>
          <w:lang w:val="zh-CN" w:bidi="zh-CN"/>
          <w14:textFill>
            <w14:solidFill>
              <w14:schemeClr w14:val="tx1"/>
            </w14:solidFill>
          </w14:textFill>
        </w:rPr>
        <w:t>本单位（机构）法人或负责人承诺自我约束、自我管理，守合同、重信用，并承诺为非失信被执行人；不规避招标，泄露保密资料，排斥歧视潜在投标人、不参与围标串标、弄虚作假、干扰评标、违约毁约，自觉维护公共资源交易的良好秩序。</w:t>
      </w:r>
    </w:p>
    <w:p w14:paraId="371CF835">
      <w:pPr>
        <w:pStyle w:val="34"/>
        <w:widowControl/>
        <w:tabs>
          <w:tab w:val="left" w:pos="982"/>
        </w:tabs>
        <w:autoSpaceDE w:val="0"/>
        <w:autoSpaceDN w:val="0"/>
        <w:spacing w:line="360" w:lineRule="auto"/>
        <w:ind w:firstLine="408"/>
        <w:rPr>
          <w:rFonts w:ascii="宋体" w:hAnsi="宋体" w:cs="宋体"/>
          <w:color w:val="000000" w:themeColor="text1"/>
          <w:spacing w:val="-3"/>
          <w:szCs w:val="21"/>
          <w:lang w:val="zh-CN" w:bidi="zh-CN"/>
          <w14:textFill>
            <w14:solidFill>
              <w14:schemeClr w14:val="tx1"/>
            </w14:solidFill>
          </w14:textFill>
        </w:rPr>
      </w:pPr>
      <w:r>
        <w:rPr>
          <w:rFonts w:hint="eastAsia" w:ascii="宋体" w:hAnsi="宋体" w:cs="宋体"/>
          <w:color w:val="000000" w:themeColor="text1"/>
          <w:spacing w:val="-3"/>
          <w:szCs w:val="21"/>
          <w:lang w:val="zh-CN" w:bidi="zh-CN"/>
          <w14:textFill>
            <w14:solidFill>
              <w14:schemeClr w14:val="tx1"/>
            </w14:solidFill>
          </w14:textFill>
        </w:rPr>
        <w:t>5.</w:t>
      </w:r>
      <w:r>
        <w:rPr>
          <w:rFonts w:ascii="宋体" w:hAnsi="宋体" w:cs="宋体"/>
          <w:color w:val="000000" w:themeColor="text1"/>
          <w:spacing w:val="-3"/>
          <w:szCs w:val="21"/>
          <w:lang w:val="zh-CN" w:bidi="zh-CN"/>
          <w14:textFill>
            <w14:solidFill>
              <w14:schemeClr w14:val="tx1"/>
            </w14:solidFill>
          </w14:textFill>
        </w:rPr>
        <w:t>不向招标人（采购人、出让人、处置人）、招标（集采、拍卖、评估）代理机构人员、评标委员会成员、监督人员行贿、吃请、送礼或赠送有价证券，不组织其他有可能影响公正交易的活动。</w:t>
      </w:r>
    </w:p>
    <w:p w14:paraId="2A94E47A">
      <w:pPr>
        <w:pStyle w:val="34"/>
        <w:widowControl/>
        <w:tabs>
          <w:tab w:val="left" w:pos="982"/>
        </w:tabs>
        <w:autoSpaceDE w:val="0"/>
        <w:autoSpaceDN w:val="0"/>
        <w:spacing w:line="360" w:lineRule="auto"/>
        <w:ind w:firstLine="408"/>
        <w:rPr>
          <w:rFonts w:ascii="宋体" w:hAnsi="宋体" w:cs="宋体"/>
          <w:color w:val="000000" w:themeColor="text1"/>
          <w:spacing w:val="-3"/>
          <w:szCs w:val="21"/>
          <w:lang w:val="zh-CN" w:bidi="zh-CN"/>
          <w14:textFill>
            <w14:solidFill>
              <w14:schemeClr w14:val="tx1"/>
            </w14:solidFill>
          </w14:textFill>
        </w:rPr>
      </w:pPr>
      <w:r>
        <w:rPr>
          <w:rFonts w:hint="eastAsia" w:ascii="宋体" w:hAnsi="宋体" w:cs="宋体"/>
          <w:color w:val="000000" w:themeColor="text1"/>
          <w:spacing w:val="-3"/>
          <w:szCs w:val="21"/>
          <w:lang w:val="zh-CN" w:bidi="zh-CN"/>
          <w14:textFill>
            <w14:solidFill>
              <w14:schemeClr w14:val="tx1"/>
            </w14:solidFill>
          </w14:textFill>
        </w:rPr>
        <w:t>6.</w:t>
      </w:r>
      <w:r>
        <w:rPr>
          <w:rFonts w:ascii="宋体" w:hAnsi="宋体" w:cs="宋体"/>
          <w:color w:val="000000" w:themeColor="text1"/>
          <w:spacing w:val="-3"/>
          <w:szCs w:val="21"/>
          <w:lang w:val="zh-CN" w:bidi="zh-CN"/>
          <w14:textFill>
            <w14:solidFill>
              <w14:schemeClr w14:val="tx1"/>
            </w14:solidFill>
          </w14:textFill>
        </w:rPr>
        <w:t>自觉接受政府、行业组织、社会公众、新闻舆论的监督。</w:t>
      </w:r>
    </w:p>
    <w:p w14:paraId="4E8EA0CE">
      <w:pPr>
        <w:pStyle w:val="34"/>
        <w:widowControl/>
        <w:tabs>
          <w:tab w:val="left" w:pos="983"/>
        </w:tabs>
        <w:autoSpaceDE w:val="0"/>
        <w:autoSpaceDN w:val="0"/>
        <w:spacing w:line="360" w:lineRule="auto"/>
        <w:ind w:firstLine="408"/>
        <w:rPr>
          <w:rFonts w:ascii="宋体" w:hAnsi="宋体" w:cs="宋体"/>
          <w:color w:val="000000" w:themeColor="text1"/>
          <w:spacing w:val="-3"/>
          <w:szCs w:val="21"/>
          <w:lang w:val="zh-CN" w:bidi="zh-CN"/>
          <w14:textFill>
            <w14:solidFill>
              <w14:schemeClr w14:val="tx1"/>
            </w14:solidFill>
          </w14:textFill>
        </w:rPr>
      </w:pPr>
      <w:r>
        <w:rPr>
          <w:rFonts w:hint="eastAsia" w:ascii="宋体" w:hAnsi="宋体" w:cs="宋体"/>
          <w:color w:val="000000" w:themeColor="text1"/>
          <w:spacing w:val="-3"/>
          <w:szCs w:val="21"/>
          <w:lang w:val="zh-CN" w:bidi="zh-CN"/>
          <w14:textFill>
            <w14:solidFill>
              <w14:schemeClr w14:val="tx1"/>
            </w14:solidFill>
          </w14:textFill>
        </w:rPr>
        <w:t>7.</w:t>
      </w:r>
      <w:r>
        <w:rPr>
          <w:rFonts w:ascii="宋体" w:hAnsi="宋体" w:cs="宋体"/>
          <w:color w:val="000000" w:themeColor="text1"/>
          <w:spacing w:val="-3"/>
          <w:szCs w:val="21"/>
          <w:lang w:val="zh-CN" w:bidi="zh-CN"/>
          <w14:textFill>
            <w14:solidFill>
              <w14:schemeClr w14:val="tx1"/>
            </w14:solidFill>
          </w14:textFill>
        </w:rPr>
        <w:t>本单位自愿接受公共资源交易综合监督管理机构和有关行政监督部门、行业主管部门的依法检查。如发生违法违规或不良 行为，自愿接受公共资源交易综合监督管理机构和有关行政监督 部门、行业主管部门依法给予的行政处罚（处理），并依法承担赔偿责任和刑事责任。</w:t>
      </w:r>
    </w:p>
    <w:p w14:paraId="0E20050D">
      <w:pPr>
        <w:pStyle w:val="34"/>
        <w:widowControl/>
        <w:tabs>
          <w:tab w:val="left" w:pos="983"/>
        </w:tabs>
        <w:autoSpaceDE w:val="0"/>
        <w:autoSpaceDN w:val="0"/>
        <w:spacing w:line="360" w:lineRule="auto"/>
        <w:ind w:firstLine="408"/>
        <w:rPr>
          <w:rFonts w:ascii="宋体" w:hAnsi="宋体" w:cs="宋体"/>
          <w:color w:val="000000" w:themeColor="text1"/>
          <w:spacing w:val="-3"/>
          <w:szCs w:val="21"/>
          <w:lang w:val="zh-CN" w:bidi="zh-CN"/>
          <w14:textFill>
            <w14:solidFill>
              <w14:schemeClr w14:val="tx1"/>
            </w14:solidFill>
          </w14:textFill>
        </w:rPr>
      </w:pPr>
      <w:r>
        <w:rPr>
          <w:rFonts w:hint="eastAsia" w:ascii="宋体" w:hAnsi="宋体" w:cs="宋体"/>
          <w:color w:val="000000" w:themeColor="text1"/>
          <w:spacing w:val="-3"/>
          <w:szCs w:val="21"/>
          <w:lang w:val="zh-CN" w:bidi="zh-CN"/>
          <w14:textFill>
            <w14:solidFill>
              <w14:schemeClr w14:val="tx1"/>
            </w14:solidFill>
          </w14:textFill>
        </w:rPr>
        <w:t>8.</w:t>
      </w:r>
      <w:r>
        <w:rPr>
          <w:rFonts w:ascii="宋体" w:hAnsi="宋体" w:cs="宋体"/>
          <w:color w:val="000000" w:themeColor="text1"/>
          <w:spacing w:val="-3"/>
          <w:szCs w:val="21"/>
          <w:lang w:val="zh-CN" w:bidi="zh-CN"/>
          <w14:textFill>
            <w14:solidFill>
              <w14:schemeClr w14:val="tx1"/>
            </w14:solidFill>
          </w14:textFill>
        </w:rPr>
        <w:t>本人已认真阅读了上述承诺，并向本单位员工作了宣传教育</w:t>
      </w:r>
      <w:r>
        <w:rPr>
          <w:rFonts w:hint="eastAsia" w:ascii="宋体" w:hAnsi="宋体" w:cs="宋体"/>
          <w:color w:val="000000" w:themeColor="text1"/>
          <w:spacing w:val="-3"/>
          <w:szCs w:val="21"/>
          <w:lang w:val="zh-CN" w:bidi="zh-CN"/>
          <w14:textFill>
            <w14:solidFill>
              <w14:schemeClr w14:val="tx1"/>
            </w14:solidFill>
          </w14:textFill>
        </w:rPr>
        <w:t>。</w:t>
      </w:r>
    </w:p>
    <w:p w14:paraId="6DF534C7">
      <w:pPr>
        <w:widowControl/>
        <w:spacing w:line="360" w:lineRule="auto"/>
        <w:ind w:firstLine="420" w:firstLineChars="200"/>
        <w:rPr>
          <w:rFonts w:ascii="宋体" w:hAnsi="宋体" w:cs="宋体"/>
          <w:color w:val="000000" w:themeColor="text1"/>
          <w:kern w:val="0"/>
          <w:szCs w:val="21"/>
          <w14:textFill>
            <w14:solidFill>
              <w14:schemeClr w14:val="tx1"/>
            </w14:solidFill>
          </w14:textFill>
        </w:rPr>
      </w:pPr>
    </w:p>
    <w:p w14:paraId="4D145E3B">
      <w:pPr>
        <w:pStyle w:val="7"/>
        <w:widowControl/>
        <w:spacing w:line="360" w:lineRule="auto"/>
        <w:rPr>
          <w:bCs/>
          <w:color w:val="000000" w:themeColor="text1"/>
          <w:spacing w:val="-3"/>
          <w:sz w:val="21"/>
          <w:szCs w:val="21"/>
          <w14:textFill>
            <w14:solidFill>
              <w14:schemeClr w14:val="tx1"/>
            </w14:solidFill>
          </w14:textFill>
        </w:rPr>
      </w:pPr>
      <w:r>
        <w:rPr>
          <w:rFonts w:ascii="宋体" w:hAnsi="宋体" w:cs="宋体"/>
          <w:bCs/>
          <w:color w:val="000000" w:themeColor="text1"/>
          <w:spacing w:val="-3"/>
          <w:sz w:val="21"/>
          <w:szCs w:val="21"/>
          <w:lang w:val="zh-CN" w:bidi="zh-CN"/>
          <w14:textFill>
            <w14:solidFill>
              <w14:schemeClr w14:val="tx1"/>
            </w14:solidFill>
          </w14:textFill>
        </w:rPr>
        <w:t>承诺人：</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（电子签章）</w:t>
      </w:r>
    </w:p>
    <w:p w14:paraId="02F4A4AC">
      <w:pPr>
        <w:pStyle w:val="7"/>
        <w:widowControl/>
        <w:spacing w:line="360" w:lineRule="auto"/>
        <w:rPr>
          <w:bCs/>
          <w:color w:val="000000" w:themeColor="text1"/>
          <w:spacing w:val="-3"/>
          <w:sz w:val="21"/>
          <w:szCs w:val="21"/>
          <w14:textFill>
            <w14:solidFill>
              <w14:schemeClr w14:val="tx1"/>
            </w14:solidFill>
          </w14:textFill>
        </w:rPr>
      </w:pPr>
      <w:r>
        <w:rPr>
          <w:rFonts w:hint="eastAsia" w:ascii="宋体" w:hAnsi="宋体" w:cs="宋体"/>
          <w:bCs/>
          <w:color w:val="000000" w:themeColor="text1"/>
          <w:spacing w:val="-3"/>
          <w:sz w:val="21"/>
          <w:szCs w:val="21"/>
          <w:lang w:val="zh-CN" w:bidi="zh-CN"/>
          <w14:textFill>
            <w14:solidFill>
              <w14:schemeClr w14:val="tx1"/>
            </w14:solidFill>
          </w14:textFill>
        </w:rPr>
        <w:t>投标人</w:t>
      </w:r>
      <w:r>
        <w:rPr>
          <w:rFonts w:ascii="宋体" w:hAnsi="宋体" w:cs="宋体"/>
          <w:bCs/>
          <w:color w:val="000000" w:themeColor="text1"/>
          <w:spacing w:val="-3"/>
          <w:sz w:val="21"/>
          <w:szCs w:val="21"/>
          <w:lang w:val="zh-CN" w:bidi="zh-CN"/>
          <w14:textFill>
            <w14:solidFill>
              <w14:schemeClr w14:val="tx1"/>
            </w14:solidFill>
          </w14:textFill>
        </w:rPr>
        <w:t>：</w:t>
      </w:r>
      <w:r>
        <w:rPr>
          <w:rFonts w:hint="eastAsia"/>
          <w:color w:val="000000" w:themeColor="text1"/>
          <w:sz w:val="21"/>
          <w:szCs w:val="21"/>
          <w:u w:val="single"/>
          <w14:textFill>
            <w14:solidFill>
              <w14:schemeClr w14:val="tx1"/>
            </w14:solidFill>
          </w14:textFill>
        </w:rPr>
        <w:t xml:space="preserve">    （单位名称）    </w:t>
      </w:r>
      <w:r>
        <w:rPr>
          <w:rFonts w:hint="eastAsia"/>
          <w:color w:val="000000" w:themeColor="text1"/>
          <w:sz w:val="21"/>
          <w:szCs w:val="21"/>
          <w14:textFill>
            <w14:solidFill>
              <w14:schemeClr w14:val="tx1"/>
            </w14:solidFill>
          </w14:textFill>
        </w:rPr>
        <w:t>（电子签章）</w:t>
      </w:r>
    </w:p>
    <w:p w14:paraId="23DBB68E">
      <w:pPr>
        <w:widowControl/>
        <w:spacing w:line="360" w:lineRule="auto"/>
        <w:rPr>
          <w:rFonts w:ascii="宋体" w:hAnsi="宋体"/>
          <w:color w:val="000000" w:themeColor="text1"/>
          <w:szCs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日</w:t>
      </w:r>
      <w:bookmarkEnd w:id="1681"/>
    </w:p>
    <w:p w14:paraId="3426641F">
      <w:pPr>
        <w:spacing w:line="360" w:lineRule="auto"/>
        <w:jc w:val="center"/>
        <w:rPr>
          <w:rFonts w:ascii="宋体" w:hAnsi="宋体"/>
          <w:color w:val="000000" w:themeColor="text1"/>
          <w:szCs w:val="24"/>
          <w14:textFill>
            <w14:solidFill>
              <w14:schemeClr w14:val="tx1"/>
            </w14:solidFill>
          </w14:textFill>
        </w:rPr>
      </w:pPr>
    </w:p>
    <w:p w14:paraId="03267019">
      <w:pPr>
        <w:spacing w:line="360" w:lineRule="auto"/>
        <w:jc w:val="center"/>
        <w:rPr>
          <w:rFonts w:ascii="宋体" w:hAnsi="宋体"/>
          <w:color w:val="000000" w:themeColor="text1"/>
          <w:szCs w:val="24"/>
          <w14:textFill>
            <w14:solidFill>
              <w14:schemeClr w14:val="tx1"/>
            </w14:solidFill>
          </w14:textFill>
        </w:rPr>
      </w:pPr>
    </w:p>
    <w:p w14:paraId="444126C3">
      <w:pPr>
        <w:spacing w:line="360" w:lineRule="auto"/>
        <w:jc w:val="center"/>
        <w:rPr>
          <w:rFonts w:ascii="宋体" w:hAnsi="宋体"/>
          <w:color w:val="000000" w:themeColor="text1"/>
          <w:szCs w:val="24"/>
          <w14:textFill>
            <w14:solidFill>
              <w14:schemeClr w14:val="tx1"/>
            </w14:solidFill>
          </w14:textFill>
        </w:rPr>
      </w:pPr>
    </w:p>
    <w:p w14:paraId="1DF4DE89">
      <w:pPr>
        <w:widowControl/>
        <w:spacing w:before="100" w:beforeAutospacing="1" w:after="100" w:afterAutospacing="1" w:line="360" w:lineRule="auto"/>
        <w:jc w:val="center"/>
        <w:outlineLvl w:val="1"/>
        <w:rPr>
          <w:rFonts w:ascii="宋体" w:hAnsi="宋体"/>
          <w:b/>
          <w:bCs/>
          <w:color w:val="000000" w:themeColor="text1"/>
          <w:kern w:val="0"/>
          <w:sz w:val="44"/>
          <w:szCs w:val="44"/>
          <w14:textFill>
            <w14:solidFill>
              <w14:schemeClr w14:val="tx1"/>
            </w14:solidFill>
          </w14:textFill>
        </w:rPr>
      </w:pPr>
      <w:bookmarkStart w:id="1701" w:name="_Toc15239643"/>
    </w:p>
    <w:p w14:paraId="492C2243">
      <w:pPr>
        <w:widowControl/>
        <w:spacing w:before="100" w:beforeAutospacing="1" w:after="100" w:afterAutospacing="1" w:line="360" w:lineRule="auto"/>
        <w:jc w:val="center"/>
        <w:outlineLvl w:val="1"/>
        <w:rPr>
          <w:rFonts w:ascii="宋体" w:hAnsi="宋体"/>
          <w:b/>
          <w:bCs/>
          <w:color w:val="000000" w:themeColor="text1"/>
          <w:kern w:val="0"/>
          <w:sz w:val="44"/>
          <w:szCs w:val="44"/>
          <w14:textFill>
            <w14:solidFill>
              <w14:schemeClr w14:val="tx1"/>
            </w14:solidFill>
          </w14:textFill>
        </w:rPr>
      </w:pPr>
    </w:p>
    <w:p w14:paraId="25D13B9C">
      <w:pPr>
        <w:widowControl/>
        <w:spacing w:before="100" w:beforeAutospacing="1" w:after="100" w:afterAutospacing="1" w:line="360" w:lineRule="auto"/>
        <w:jc w:val="center"/>
        <w:outlineLvl w:val="1"/>
        <w:rPr>
          <w:rFonts w:ascii="宋体" w:hAnsi="宋体"/>
          <w:b/>
          <w:bCs/>
          <w:color w:val="000000" w:themeColor="text1"/>
          <w:kern w:val="0"/>
          <w:sz w:val="44"/>
          <w:szCs w:val="44"/>
          <w14:textFill>
            <w14:solidFill>
              <w14:schemeClr w14:val="tx1"/>
            </w14:solidFill>
          </w14:textFill>
        </w:rPr>
      </w:pPr>
    </w:p>
    <w:p w14:paraId="4EE80651">
      <w:pPr>
        <w:widowControl/>
        <w:spacing w:before="100" w:beforeAutospacing="1" w:after="100" w:afterAutospacing="1" w:line="360" w:lineRule="auto"/>
        <w:jc w:val="center"/>
        <w:outlineLvl w:val="1"/>
        <w:rPr>
          <w:rFonts w:ascii="宋体" w:hAnsi="宋体"/>
          <w:b/>
          <w:bCs/>
          <w:color w:val="000000" w:themeColor="text1"/>
          <w:kern w:val="0"/>
          <w:sz w:val="44"/>
          <w:szCs w:val="44"/>
          <w14:textFill>
            <w14:solidFill>
              <w14:schemeClr w14:val="tx1"/>
            </w14:solidFill>
          </w14:textFill>
        </w:rPr>
      </w:pPr>
    </w:p>
    <w:p w14:paraId="36DF3F05">
      <w:pPr>
        <w:widowControl/>
        <w:spacing w:before="100" w:beforeAutospacing="1" w:after="100" w:afterAutospacing="1" w:line="360" w:lineRule="auto"/>
        <w:jc w:val="center"/>
        <w:outlineLvl w:val="1"/>
        <w:rPr>
          <w:rFonts w:ascii="宋体" w:hAnsi="宋体"/>
          <w:b/>
          <w:bCs/>
          <w:color w:val="000000" w:themeColor="text1"/>
          <w:kern w:val="0"/>
          <w:sz w:val="44"/>
          <w:szCs w:val="44"/>
          <w14:textFill>
            <w14:solidFill>
              <w14:schemeClr w14:val="tx1"/>
            </w14:solidFill>
          </w14:textFill>
        </w:rPr>
      </w:pPr>
    </w:p>
    <w:p w14:paraId="63BD2859">
      <w:pPr>
        <w:widowControl/>
        <w:spacing w:before="100" w:beforeAutospacing="1" w:after="100" w:afterAutospacing="1" w:line="360" w:lineRule="auto"/>
        <w:jc w:val="center"/>
        <w:outlineLvl w:val="1"/>
        <w:rPr>
          <w:rFonts w:ascii="宋体" w:hAnsi="宋体"/>
          <w:b/>
          <w:bCs/>
          <w:color w:val="000000" w:themeColor="text1"/>
          <w:kern w:val="0"/>
          <w:sz w:val="44"/>
          <w:szCs w:val="44"/>
          <w14:textFill>
            <w14:solidFill>
              <w14:schemeClr w14:val="tx1"/>
            </w14:solidFill>
          </w14:textFill>
        </w:rPr>
      </w:pPr>
      <w:r>
        <w:rPr>
          <w:rFonts w:ascii="宋体" w:hAnsi="宋体"/>
          <w:b/>
          <w:bCs/>
          <w:color w:val="000000" w:themeColor="text1"/>
          <w:kern w:val="0"/>
          <w:sz w:val="44"/>
          <w:szCs w:val="44"/>
          <w14:textFill>
            <w14:solidFill>
              <w14:schemeClr w14:val="tx1"/>
            </w14:solidFill>
          </w14:textFill>
        </w:rPr>
        <w:t>技术部分</w:t>
      </w:r>
      <w:bookmarkEnd w:id="1701"/>
    </w:p>
    <w:p w14:paraId="791BBC10">
      <w:pPr>
        <w:spacing w:line="360" w:lineRule="auto"/>
        <w:jc w:val="both"/>
        <w:rPr>
          <w:rFonts w:ascii="宋体" w:hAnsi="宋体"/>
          <w:color w:val="000000" w:themeColor="text1"/>
          <w:sz w:val="24"/>
          <w:szCs w:val="24"/>
          <w14:textFill>
            <w14:solidFill>
              <w14:schemeClr w14:val="tx1"/>
            </w14:solidFill>
          </w14:textFill>
        </w:rPr>
      </w:pPr>
    </w:p>
    <w:p w14:paraId="1CBE287B">
      <w:pPr>
        <w:spacing w:line="360" w:lineRule="auto"/>
        <w:jc w:val="both"/>
        <w:rPr>
          <w:rFonts w:ascii="宋体" w:hAnsi="宋体"/>
          <w:color w:val="000000" w:themeColor="text1"/>
          <w:sz w:val="24"/>
          <w:szCs w:val="24"/>
          <w14:textFill>
            <w14:solidFill>
              <w14:schemeClr w14:val="tx1"/>
            </w14:solidFill>
          </w14:textFill>
        </w:rPr>
      </w:pPr>
    </w:p>
    <w:p w14:paraId="01C6E059">
      <w:pPr>
        <w:spacing w:line="360" w:lineRule="auto"/>
        <w:jc w:val="both"/>
        <w:rPr>
          <w:rFonts w:ascii="宋体" w:hAnsi="宋体"/>
          <w:color w:val="000000" w:themeColor="text1"/>
          <w:sz w:val="24"/>
          <w:szCs w:val="24"/>
          <w14:textFill>
            <w14:solidFill>
              <w14:schemeClr w14:val="tx1"/>
            </w14:solidFill>
          </w14:textFill>
        </w:rPr>
      </w:pPr>
    </w:p>
    <w:p w14:paraId="3088FB75">
      <w:pPr>
        <w:spacing w:line="360" w:lineRule="auto"/>
        <w:jc w:val="both"/>
        <w:rPr>
          <w:rFonts w:ascii="宋体" w:hAnsi="宋体"/>
          <w:color w:val="000000" w:themeColor="text1"/>
          <w:sz w:val="24"/>
          <w:szCs w:val="24"/>
          <w14:textFill>
            <w14:solidFill>
              <w14:schemeClr w14:val="tx1"/>
            </w14:solidFill>
          </w14:textFill>
        </w:rPr>
      </w:pPr>
    </w:p>
    <w:p w14:paraId="7E590E3A">
      <w:pPr>
        <w:spacing w:line="360" w:lineRule="auto"/>
        <w:jc w:val="both"/>
        <w:rPr>
          <w:rFonts w:ascii="宋体" w:hAnsi="宋体"/>
          <w:color w:val="000000" w:themeColor="text1"/>
          <w:sz w:val="24"/>
          <w:szCs w:val="24"/>
          <w14:textFill>
            <w14:solidFill>
              <w14:schemeClr w14:val="tx1"/>
            </w14:solidFill>
          </w14:textFill>
        </w:rPr>
      </w:pPr>
    </w:p>
    <w:p w14:paraId="66F57A5C">
      <w:pPr>
        <w:spacing w:line="360" w:lineRule="auto"/>
        <w:jc w:val="both"/>
        <w:rPr>
          <w:rFonts w:ascii="宋体" w:hAnsi="宋体"/>
          <w:color w:val="000000" w:themeColor="text1"/>
          <w:sz w:val="24"/>
          <w:szCs w:val="24"/>
          <w14:textFill>
            <w14:solidFill>
              <w14:schemeClr w14:val="tx1"/>
            </w14:solidFill>
          </w14:textFill>
        </w:rPr>
      </w:pPr>
    </w:p>
    <w:p w14:paraId="57D05213">
      <w:pPr>
        <w:spacing w:line="360" w:lineRule="auto"/>
        <w:jc w:val="both"/>
        <w:rPr>
          <w:rFonts w:ascii="宋体" w:hAnsi="宋体"/>
          <w:color w:val="000000" w:themeColor="text1"/>
          <w:sz w:val="24"/>
          <w:szCs w:val="24"/>
          <w14:textFill>
            <w14:solidFill>
              <w14:schemeClr w14:val="tx1"/>
            </w14:solidFill>
          </w14:textFill>
        </w:rPr>
      </w:pPr>
    </w:p>
    <w:p w14:paraId="1B0EDBA4">
      <w:pPr>
        <w:spacing w:line="360" w:lineRule="auto"/>
        <w:jc w:val="both"/>
        <w:rPr>
          <w:rFonts w:ascii="宋体" w:hAnsi="宋体"/>
          <w:color w:val="000000" w:themeColor="text1"/>
          <w:sz w:val="24"/>
          <w:szCs w:val="24"/>
          <w14:textFill>
            <w14:solidFill>
              <w14:schemeClr w14:val="tx1"/>
            </w14:solidFill>
          </w14:textFill>
        </w:rPr>
      </w:pPr>
    </w:p>
    <w:p w14:paraId="35F54CDE">
      <w:pPr>
        <w:spacing w:line="360" w:lineRule="auto"/>
        <w:jc w:val="both"/>
        <w:rPr>
          <w:rFonts w:ascii="宋体" w:hAnsi="宋体"/>
          <w:color w:val="000000" w:themeColor="text1"/>
          <w:sz w:val="24"/>
          <w:szCs w:val="24"/>
          <w14:textFill>
            <w14:solidFill>
              <w14:schemeClr w14:val="tx1"/>
            </w14:solidFill>
          </w14:textFill>
        </w:rPr>
      </w:pPr>
    </w:p>
    <w:p w14:paraId="3738928D">
      <w:pPr>
        <w:spacing w:line="360" w:lineRule="auto"/>
        <w:jc w:val="both"/>
        <w:rPr>
          <w:rFonts w:hint="eastAsia" w:ascii="宋体" w:hAnsi="宋体"/>
          <w:b/>
          <w:color w:val="000000" w:themeColor="text1"/>
          <w:sz w:val="22"/>
          <w:szCs w:val="22"/>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b/>
          <w:color w:val="000000" w:themeColor="text1"/>
          <w:sz w:val="22"/>
          <w:szCs w:val="22"/>
          <w14:textFill>
            <w14:solidFill>
              <w14:schemeClr w14:val="tx1"/>
            </w14:solidFill>
          </w14:textFill>
        </w:rPr>
        <w:t>施工组织设计</w:t>
      </w:r>
    </w:p>
    <w:p w14:paraId="71C0584E">
      <w:pPr>
        <w:numPr>
          <w:ilvl w:val="0"/>
          <w:numId w:val="5"/>
        </w:numPr>
        <w:spacing w:line="360" w:lineRule="auto"/>
        <w:ind w:firstLine="371" w:firstLineChars="17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应编制施工组织设计，编制具体要求：编制时应采用文字并结合图表形式说明各分部分项工程的施工方法；拟投入的主要施工机械设备情况、劳动力计划等；结合招标工程特点提出切实可行的工程质量、安全生产、文明施工、工程进度、技术组织措施，同时应对关键工序、复杂环节重点提出相应技术措施，如冬雨季施工技术措施、减少扰民噪音、降低环境污染技术措施、地下管线及其他地上地下设施的保护加固措施等。</w:t>
      </w:r>
    </w:p>
    <w:p w14:paraId="1AF42909">
      <w:pPr>
        <w:spacing w:line="360" w:lineRule="auto"/>
        <w:ind w:firstLine="735" w:firstLineChars="3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技术部分应包括以下内容：</w:t>
      </w:r>
    </w:p>
    <w:p w14:paraId="10F5505E">
      <w:pPr>
        <w:spacing w:line="360" w:lineRule="auto"/>
        <w:ind w:firstLine="735" w:firstLineChars="350"/>
        <w:jc w:val="lef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施工</w:t>
      </w:r>
      <w:r>
        <w:rPr>
          <w:rFonts w:hint="eastAsia" w:asciiTheme="minorEastAsia" w:hAnsiTheme="minorEastAsia" w:eastAsiaTheme="minorEastAsia" w:cstheme="minorEastAsia"/>
          <w:szCs w:val="21"/>
          <w:lang w:val="en-US" w:eastAsia="zh-CN"/>
        </w:rPr>
        <w:t>方案与技术措施</w:t>
      </w:r>
    </w:p>
    <w:p w14:paraId="6876E580">
      <w:pPr>
        <w:spacing w:line="360" w:lineRule="auto"/>
        <w:ind w:firstLine="735" w:firstLineChars="3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质量</w:t>
      </w:r>
      <w:r>
        <w:rPr>
          <w:rFonts w:hint="eastAsia" w:asciiTheme="minorEastAsia" w:hAnsiTheme="minorEastAsia" w:eastAsiaTheme="minorEastAsia" w:cstheme="minorEastAsia"/>
          <w:szCs w:val="21"/>
          <w:lang w:val="en-US" w:eastAsia="zh-CN"/>
        </w:rPr>
        <w:t>管理体系与</w:t>
      </w:r>
      <w:r>
        <w:rPr>
          <w:rFonts w:hint="eastAsia" w:asciiTheme="minorEastAsia" w:hAnsiTheme="minorEastAsia" w:eastAsiaTheme="minorEastAsia" w:cstheme="minorEastAsia"/>
          <w:szCs w:val="21"/>
        </w:rPr>
        <w:t>措施</w:t>
      </w:r>
    </w:p>
    <w:p w14:paraId="34BFAB63">
      <w:pPr>
        <w:spacing w:line="360" w:lineRule="auto"/>
        <w:ind w:firstLine="735" w:firstLineChars="3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安全</w:t>
      </w:r>
      <w:r>
        <w:rPr>
          <w:rFonts w:hint="eastAsia" w:asciiTheme="minorEastAsia" w:hAnsiTheme="minorEastAsia" w:eastAsiaTheme="minorEastAsia" w:cstheme="minorEastAsia"/>
          <w:szCs w:val="21"/>
          <w:lang w:val="en-US" w:eastAsia="zh-CN"/>
        </w:rPr>
        <w:t>管理体系与</w:t>
      </w:r>
      <w:r>
        <w:rPr>
          <w:rFonts w:hint="eastAsia" w:asciiTheme="minorEastAsia" w:hAnsiTheme="minorEastAsia" w:eastAsiaTheme="minorEastAsia" w:cstheme="minorEastAsia"/>
          <w:szCs w:val="21"/>
        </w:rPr>
        <w:t>措施</w:t>
      </w:r>
    </w:p>
    <w:p w14:paraId="4C34324D">
      <w:pPr>
        <w:spacing w:line="360" w:lineRule="auto"/>
        <w:ind w:firstLine="735" w:firstLineChars="3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工程进度计划与</w:t>
      </w:r>
      <w:r>
        <w:rPr>
          <w:rFonts w:hint="eastAsia" w:asciiTheme="minorEastAsia" w:hAnsiTheme="minorEastAsia" w:eastAsiaTheme="minorEastAsia" w:cstheme="minorEastAsia"/>
          <w:szCs w:val="21"/>
        </w:rPr>
        <w:t>措施</w:t>
      </w:r>
    </w:p>
    <w:p w14:paraId="17E87E37">
      <w:pPr>
        <w:spacing w:line="360" w:lineRule="auto"/>
        <w:ind w:firstLine="735" w:firstLineChars="3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施工机械</w:t>
      </w:r>
    </w:p>
    <w:p w14:paraId="32BA8E53">
      <w:pPr>
        <w:spacing w:line="360" w:lineRule="auto"/>
        <w:ind w:firstLine="735" w:firstLineChars="350"/>
        <w:jc w:val="lef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项目管理人员配置</w:t>
      </w:r>
    </w:p>
    <w:p w14:paraId="677B7782">
      <w:pPr>
        <w:spacing w:line="360" w:lineRule="auto"/>
        <w:ind w:firstLine="735" w:firstLineChars="3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lang w:val="en-US" w:eastAsia="zh-CN"/>
        </w:rPr>
        <w:t>7</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施工总平面图</w:t>
      </w:r>
    </w:p>
    <w:p w14:paraId="1B297958">
      <w:pPr>
        <w:spacing w:line="360" w:lineRule="auto"/>
        <w:ind w:firstLine="735" w:firstLineChars="350"/>
        <w:jc w:val="left"/>
        <w:rPr>
          <w:rFonts w:hint="eastAsia" w:ascii="宋体" w:hAnsi="宋体"/>
          <w:color w:val="000000" w:themeColor="text1"/>
          <w:szCs w:val="21"/>
          <w14:textFill>
            <w14:solidFill>
              <w14:schemeClr w14:val="tx1"/>
            </w14:solidFill>
          </w14:textFill>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8</w:t>
      </w:r>
      <w:r>
        <w:rPr>
          <w:rFonts w:hint="eastAsia" w:asciiTheme="minorEastAsia" w:hAnsiTheme="minorEastAsia" w:eastAsiaTheme="minorEastAsia" w:cstheme="minorEastAsia"/>
          <w:szCs w:val="21"/>
        </w:rPr>
        <w:t>） 其他需说明的内容</w:t>
      </w:r>
    </w:p>
    <w:p w14:paraId="6ECDBE6B">
      <w:pPr>
        <w:spacing w:line="360" w:lineRule="auto"/>
        <w:ind w:firstLine="371" w:firstLineChars="17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2、施工组织设计除采用文字表述外应附下列图表，图表及格式要求附后。</w:t>
      </w:r>
    </w:p>
    <w:p w14:paraId="5F73DABB">
      <w:pPr>
        <w:spacing w:line="360" w:lineRule="auto"/>
        <w:ind w:firstLine="371" w:firstLineChars="17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附表一：拟投入的主要施工机械设备表</w:t>
      </w:r>
    </w:p>
    <w:p w14:paraId="5AB495D2">
      <w:pPr>
        <w:spacing w:line="360" w:lineRule="auto"/>
        <w:ind w:firstLine="371" w:firstLineChars="177"/>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附表二：劳动力计划表</w:t>
      </w:r>
    </w:p>
    <w:p w14:paraId="4DF2A244">
      <w:pPr>
        <w:spacing w:line="360" w:lineRule="auto"/>
        <w:ind w:firstLine="371" w:firstLineChars="177"/>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附表三：</w:t>
      </w:r>
      <w:r>
        <w:rPr>
          <w:rFonts w:hint="eastAsia" w:ascii="宋体" w:hAnsi="宋体"/>
          <w:color w:val="000000" w:themeColor="text1"/>
          <w:szCs w:val="21"/>
          <w:lang w:val="en-US" w:eastAsia="zh-CN"/>
          <w14:textFill>
            <w14:solidFill>
              <w14:schemeClr w14:val="tx1"/>
            </w14:solidFill>
          </w14:textFill>
        </w:rPr>
        <w:t>项目管理机构</w:t>
      </w:r>
    </w:p>
    <w:p w14:paraId="4EF0D928">
      <w:pPr>
        <w:spacing w:line="360" w:lineRule="auto"/>
        <w:ind w:firstLine="371" w:firstLineChars="177"/>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附表四：施工</w:t>
      </w:r>
      <w:r>
        <w:rPr>
          <w:rFonts w:hint="eastAsia" w:ascii="宋体" w:hAnsi="宋体"/>
          <w:color w:val="000000" w:themeColor="text1"/>
          <w:szCs w:val="21"/>
          <w:lang w:val="en-US" w:eastAsia="zh-CN"/>
          <w14:textFill>
            <w14:solidFill>
              <w14:schemeClr w14:val="tx1"/>
            </w14:solidFill>
          </w14:textFill>
        </w:rPr>
        <w:t>进度计划图</w:t>
      </w:r>
    </w:p>
    <w:p w14:paraId="221F3CFA">
      <w:pPr>
        <w:pStyle w:val="2"/>
        <w:spacing w:line="360" w:lineRule="auto"/>
        <w:ind w:firstLine="420" w:firstLineChars="200"/>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附表五：施工总平面图</w:t>
      </w:r>
    </w:p>
    <w:p w14:paraId="568DB297">
      <w:pPr>
        <w:adjustRightInd w:val="0"/>
        <w:snapToGrid w:val="0"/>
        <w:spacing w:line="360" w:lineRule="auto"/>
        <w:ind w:firstLine="420" w:firstLineChars="200"/>
        <w:jc w:val="left"/>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附表六：临时用地表</w:t>
      </w:r>
    </w:p>
    <w:p w14:paraId="0845C12D">
      <w:pPr>
        <w:rPr>
          <w:rFonts w:hint="default"/>
          <w:lang w:val="en-US" w:eastAsia="zh-CN"/>
        </w:rPr>
      </w:pPr>
    </w:p>
    <w:p w14:paraId="445BA487">
      <w:pPr>
        <w:spacing w:line="360" w:lineRule="auto"/>
        <w:ind w:firstLine="424" w:firstLineChars="177"/>
        <w:outlineLvl w:val="0"/>
        <w:rPr>
          <w:rFonts w:ascii="宋体" w:hAnsi="宋体"/>
          <w:color w:val="000000" w:themeColor="text1"/>
          <w:sz w:val="24"/>
          <w:szCs w:val="24"/>
          <w14:textFill>
            <w14:solidFill>
              <w14:schemeClr w14:val="tx1"/>
            </w14:solidFill>
          </w14:textFill>
        </w:rPr>
      </w:pPr>
    </w:p>
    <w:p w14:paraId="3AE298FD">
      <w:pPr>
        <w:spacing w:line="360" w:lineRule="auto"/>
        <w:ind w:firstLine="480" w:firstLineChars="200"/>
        <w:rPr>
          <w:rFonts w:ascii="宋体" w:hAnsi="宋体"/>
          <w:color w:val="000000" w:themeColor="text1"/>
          <w:sz w:val="24"/>
          <w:szCs w:val="24"/>
          <w14:textFill>
            <w14:solidFill>
              <w14:schemeClr w14:val="tx1"/>
            </w14:solidFill>
          </w14:textFill>
        </w:rPr>
      </w:pPr>
    </w:p>
    <w:p w14:paraId="15C9051B">
      <w:pPr>
        <w:spacing w:line="360" w:lineRule="auto"/>
        <w:ind w:firstLine="480" w:firstLineChars="200"/>
        <w:rPr>
          <w:rFonts w:ascii="宋体" w:hAnsi="宋体"/>
          <w:color w:val="000000" w:themeColor="text1"/>
          <w:sz w:val="24"/>
          <w:szCs w:val="24"/>
          <w14:textFill>
            <w14:solidFill>
              <w14:schemeClr w14:val="tx1"/>
            </w14:solidFill>
          </w14:textFill>
        </w:rPr>
      </w:pPr>
    </w:p>
    <w:p w14:paraId="14FB9732">
      <w:pPr>
        <w:spacing w:line="360" w:lineRule="auto"/>
        <w:ind w:firstLine="480" w:firstLineChars="200"/>
        <w:rPr>
          <w:rFonts w:ascii="宋体" w:hAnsi="宋体"/>
          <w:color w:val="000000" w:themeColor="text1"/>
          <w:sz w:val="24"/>
          <w:szCs w:val="24"/>
          <w14:textFill>
            <w14:solidFill>
              <w14:schemeClr w14:val="tx1"/>
            </w14:solidFill>
          </w14:textFill>
        </w:rPr>
      </w:pPr>
    </w:p>
    <w:p w14:paraId="586A8DFF">
      <w:pPr>
        <w:spacing w:line="360" w:lineRule="auto"/>
        <w:jc w:val="left"/>
        <w:outlineLvl w:val="3"/>
        <w:rPr>
          <w:rFonts w:ascii="宋体" w:hAnsi="宋体"/>
          <w:b/>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r>
        <w:rPr>
          <w:rFonts w:ascii="宋体" w:hAnsi="宋体"/>
          <w:b/>
          <w:bCs/>
          <w:color w:val="000000" w:themeColor="text1"/>
          <w:sz w:val="24"/>
          <w:szCs w:val="24"/>
          <w14:textFill>
            <w14:solidFill>
              <w14:schemeClr w14:val="tx1"/>
            </w14:solidFill>
          </w14:textFill>
        </w:rPr>
        <w:t>附件一：拟投入本工程的主要施工设备表</w:t>
      </w:r>
    </w:p>
    <w:tbl>
      <w:tblPr>
        <w:tblStyle w:val="23"/>
        <w:tblW w:w="8870" w:type="dxa"/>
        <w:jc w:val="center"/>
        <w:tblLayout w:type="autofit"/>
        <w:tblCellMar>
          <w:top w:w="0" w:type="dxa"/>
          <w:left w:w="108" w:type="dxa"/>
          <w:bottom w:w="0" w:type="dxa"/>
          <w:right w:w="108" w:type="dxa"/>
        </w:tblCellMar>
      </w:tblPr>
      <w:tblGrid>
        <w:gridCol w:w="1212"/>
        <w:gridCol w:w="1716"/>
        <w:gridCol w:w="1136"/>
        <w:gridCol w:w="1407"/>
        <w:gridCol w:w="1184"/>
        <w:gridCol w:w="1413"/>
        <w:gridCol w:w="802"/>
      </w:tblGrid>
      <w:tr w14:paraId="5B06AED0">
        <w:tblPrEx>
          <w:tblCellMar>
            <w:top w:w="0" w:type="dxa"/>
            <w:left w:w="108" w:type="dxa"/>
            <w:bottom w:w="0" w:type="dxa"/>
            <w:right w:w="108" w:type="dxa"/>
          </w:tblCellMar>
        </w:tblPrEx>
        <w:trPr>
          <w:trHeight w:val="527" w:hRule="atLeast"/>
          <w:jc w:val="center"/>
        </w:trPr>
        <w:tc>
          <w:tcPr>
            <w:tcW w:w="1212" w:type="dxa"/>
            <w:tcBorders>
              <w:top w:val="single" w:color="000000" w:sz="8" w:space="0"/>
              <w:left w:val="single" w:color="000000" w:sz="8" w:space="0"/>
              <w:bottom w:val="single" w:color="000000" w:sz="4" w:space="0"/>
              <w:right w:val="single" w:color="000000" w:sz="4" w:space="0"/>
            </w:tcBorders>
            <w:noWrap w:val="0"/>
            <w:vAlign w:val="center"/>
          </w:tcPr>
          <w:p w14:paraId="2C640671">
            <w:pPr>
              <w:jc w:val="center"/>
              <w:rPr>
                <w:rFonts w:ascii="宋体" w:hAnsi="宋体" w:eastAsia="宋体" w:cs="宋体"/>
                <w:color w:val="000000" w:themeColor="text1"/>
                <w:kern w:val="1"/>
                <w:szCs w:val="21"/>
                <w14:textFill>
                  <w14:solidFill>
                    <w14:schemeClr w14:val="tx1"/>
                  </w14:solidFill>
                </w14:textFill>
              </w:rPr>
            </w:pPr>
            <w:r>
              <w:rPr>
                <w:rFonts w:ascii="宋体" w:hAnsi="宋体" w:eastAsia="宋体" w:cs="宋体"/>
                <w:color w:val="000000" w:themeColor="text1"/>
                <w:kern w:val="1"/>
                <w:szCs w:val="21"/>
                <w14:textFill>
                  <w14:solidFill>
                    <w14:schemeClr w14:val="tx1"/>
                  </w14:solidFill>
                </w14:textFill>
              </w:rPr>
              <w:t>机械设备名称</w:t>
            </w:r>
          </w:p>
        </w:tc>
        <w:tc>
          <w:tcPr>
            <w:tcW w:w="1716" w:type="dxa"/>
            <w:tcBorders>
              <w:top w:val="single" w:color="000000" w:sz="8" w:space="0"/>
              <w:left w:val="single" w:color="000000" w:sz="4" w:space="0"/>
              <w:bottom w:val="single" w:color="000000" w:sz="4" w:space="0"/>
              <w:right w:val="single" w:color="000000" w:sz="4" w:space="0"/>
            </w:tcBorders>
            <w:noWrap w:val="0"/>
            <w:vAlign w:val="center"/>
          </w:tcPr>
          <w:p w14:paraId="15464760">
            <w:pPr>
              <w:jc w:val="center"/>
              <w:rPr>
                <w:rFonts w:ascii="宋体" w:hAnsi="宋体" w:eastAsia="宋体" w:cs="宋体"/>
                <w:color w:val="000000" w:themeColor="text1"/>
                <w:kern w:val="1"/>
                <w:szCs w:val="21"/>
                <w14:textFill>
                  <w14:solidFill>
                    <w14:schemeClr w14:val="tx1"/>
                  </w14:solidFill>
                </w14:textFill>
              </w:rPr>
            </w:pPr>
            <w:r>
              <w:rPr>
                <w:rFonts w:ascii="宋体" w:hAnsi="宋体" w:eastAsia="宋体" w:cs="宋体"/>
                <w:color w:val="000000" w:themeColor="text1"/>
                <w:kern w:val="1"/>
                <w:szCs w:val="21"/>
                <w14:textFill>
                  <w14:solidFill>
                    <w14:schemeClr w14:val="tx1"/>
                  </w14:solidFill>
                </w14:textFill>
              </w:rPr>
              <w:t>型号规格</w:t>
            </w:r>
          </w:p>
        </w:tc>
        <w:tc>
          <w:tcPr>
            <w:tcW w:w="1136" w:type="dxa"/>
            <w:tcBorders>
              <w:top w:val="single" w:color="000000" w:sz="8" w:space="0"/>
              <w:left w:val="single" w:color="000000" w:sz="4" w:space="0"/>
              <w:bottom w:val="single" w:color="000000" w:sz="4" w:space="0"/>
              <w:right w:val="single" w:color="000000" w:sz="4" w:space="0"/>
            </w:tcBorders>
            <w:noWrap w:val="0"/>
            <w:vAlign w:val="center"/>
          </w:tcPr>
          <w:p w14:paraId="143B55DF">
            <w:pPr>
              <w:jc w:val="center"/>
              <w:rPr>
                <w:rFonts w:ascii="宋体" w:hAnsi="宋体" w:eastAsia="宋体" w:cs="宋体"/>
                <w:color w:val="000000" w:themeColor="text1"/>
                <w:kern w:val="1"/>
                <w:szCs w:val="21"/>
                <w14:textFill>
                  <w14:solidFill>
                    <w14:schemeClr w14:val="tx1"/>
                  </w14:solidFill>
                </w14:textFill>
              </w:rPr>
            </w:pPr>
            <w:r>
              <w:rPr>
                <w:rFonts w:ascii="宋体" w:hAnsi="宋体" w:eastAsia="宋体" w:cs="宋体"/>
                <w:color w:val="000000" w:themeColor="text1"/>
                <w:kern w:val="1"/>
                <w:szCs w:val="21"/>
                <w14:textFill>
                  <w14:solidFill>
                    <w14:schemeClr w14:val="tx1"/>
                  </w14:solidFill>
                </w14:textFill>
              </w:rPr>
              <w:t>数量</w:t>
            </w:r>
          </w:p>
        </w:tc>
        <w:tc>
          <w:tcPr>
            <w:tcW w:w="1407" w:type="dxa"/>
            <w:tcBorders>
              <w:top w:val="single" w:color="000000" w:sz="8" w:space="0"/>
              <w:left w:val="single" w:color="000000" w:sz="4" w:space="0"/>
              <w:bottom w:val="single" w:color="000000" w:sz="4" w:space="0"/>
              <w:right w:val="single" w:color="000000" w:sz="4" w:space="0"/>
            </w:tcBorders>
            <w:noWrap w:val="0"/>
            <w:vAlign w:val="center"/>
          </w:tcPr>
          <w:p w14:paraId="644192E4">
            <w:pPr>
              <w:jc w:val="center"/>
              <w:rPr>
                <w:rFonts w:ascii="宋体" w:hAnsi="宋体" w:eastAsia="宋体" w:cs="宋体"/>
                <w:color w:val="000000" w:themeColor="text1"/>
                <w:kern w:val="1"/>
                <w:szCs w:val="21"/>
                <w14:textFill>
                  <w14:solidFill>
                    <w14:schemeClr w14:val="tx1"/>
                  </w14:solidFill>
                </w14:textFill>
              </w:rPr>
            </w:pPr>
            <w:r>
              <w:rPr>
                <w:rFonts w:ascii="宋体" w:hAnsi="宋体" w:eastAsia="宋体" w:cs="宋体"/>
                <w:color w:val="000000" w:themeColor="text1"/>
                <w:kern w:val="1"/>
                <w:szCs w:val="21"/>
                <w14:textFill>
                  <w14:solidFill>
                    <w14:schemeClr w14:val="tx1"/>
                  </w14:solidFill>
                </w14:textFill>
              </w:rPr>
              <w:t>目前状况</w:t>
            </w:r>
          </w:p>
        </w:tc>
        <w:tc>
          <w:tcPr>
            <w:tcW w:w="1184" w:type="dxa"/>
            <w:tcBorders>
              <w:top w:val="single" w:color="000000" w:sz="8" w:space="0"/>
              <w:left w:val="single" w:color="000000" w:sz="4" w:space="0"/>
              <w:bottom w:val="single" w:color="000000" w:sz="4" w:space="0"/>
              <w:right w:val="single" w:color="000000" w:sz="4" w:space="0"/>
            </w:tcBorders>
            <w:noWrap w:val="0"/>
            <w:vAlign w:val="center"/>
          </w:tcPr>
          <w:p w14:paraId="3871B284">
            <w:pPr>
              <w:jc w:val="center"/>
              <w:rPr>
                <w:rFonts w:ascii="宋体" w:hAnsi="宋体" w:eastAsia="宋体" w:cs="宋体"/>
                <w:color w:val="000000" w:themeColor="text1"/>
                <w:kern w:val="1"/>
                <w:szCs w:val="21"/>
                <w14:textFill>
                  <w14:solidFill>
                    <w14:schemeClr w14:val="tx1"/>
                  </w14:solidFill>
                </w14:textFill>
              </w:rPr>
            </w:pPr>
            <w:r>
              <w:rPr>
                <w:rFonts w:ascii="宋体" w:hAnsi="宋体" w:eastAsia="宋体" w:cs="宋体"/>
                <w:color w:val="000000" w:themeColor="text1"/>
                <w:kern w:val="1"/>
                <w:szCs w:val="21"/>
                <w14:textFill>
                  <w14:solidFill>
                    <w14:schemeClr w14:val="tx1"/>
                  </w14:solidFill>
                </w14:textFill>
              </w:rPr>
              <w:t>来源</w:t>
            </w:r>
          </w:p>
        </w:tc>
        <w:tc>
          <w:tcPr>
            <w:tcW w:w="1413" w:type="dxa"/>
            <w:tcBorders>
              <w:top w:val="single" w:color="000000" w:sz="8" w:space="0"/>
              <w:left w:val="single" w:color="000000" w:sz="4" w:space="0"/>
              <w:bottom w:val="single" w:color="000000" w:sz="4" w:space="0"/>
              <w:right w:val="single" w:color="000000" w:sz="4" w:space="0"/>
            </w:tcBorders>
            <w:noWrap w:val="0"/>
            <w:vAlign w:val="center"/>
          </w:tcPr>
          <w:p w14:paraId="037BE81D">
            <w:pPr>
              <w:jc w:val="center"/>
              <w:rPr>
                <w:rFonts w:ascii="宋体" w:hAnsi="宋体" w:eastAsia="宋体" w:cs="宋体"/>
                <w:color w:val="000000" w:themeColor="text1"/>
                <w:kern w:val="1"/>
                <w:szCs w:val="21"/>
                <w14:textFill>
                  <w14:solidFill>
                    <w14:schemeClr w14:val="tx1"/>
                  </w14:solidFill>
                </w14:textFill>
              </w:rPr>
            </w:pPr>
            <w:r>
              <w:rPr>
                <w:rFonts w:ascii="宋体" w:hAnsi="宋体" w:eastAsia="宋体" w:cs="宋体"/>
                <w:color w:val="000000" w:themeColor="text1"/>
                <w:kern w:val="1"/>
                <w:szCs w:val="21"/>
                <w14:textFill>
                  <w14:solidFill>
                    <w14:schemeClr w14:val="tx1"/>
                  </w14:solidFill>
                </w14:textFill>
              </w:rPr>
              <w:t>现停放地点</w:t>
            </w:r>
          </w:p>
        </w:tc>
        <w:tc>
          <w:tcPr>
            <w:tcW w:w="802" w:type="dxa"/>
            <w:tcBorders>
              <w:top w:val="single" w:color="000000" w:sz="8" w:space="0"/>
              <w:left w:val="single" w:color="000000" w:sz="4" w:space="0"/>
              <w:bottom w:val="single" w:color="000000" w:sz="4" w:space="0"/>
              <w:right w:val="single" w:color="000000" w:sz="8" w:space="0"/>
            </w:tcBorders>
            <w:noWrap w:val="0"/>
            <w:vAlign w:val="center"/>
          </w:tcPr>
          <w:p w14:paraId="727492F5">
            <w:pPr>
              <w:jc w:val="center"/>
              <w:rPr>
                <w:rFonts w:ascii="宋体" w:hAnsi="宋体" w:eastAsia="宋体" w:cs="宋体"/>
                <w:color w:val="000000" w:themeColor="text1"/>
                <w:kern w:val="1"/>
                <w:szCs w:val="21"/>
                <w14:textFill>
                  <w14:solidFill>
                    <w14:schemeClr w14:val="tx1"/>
                  </w14:solidFill>
                </w14:textFill>
              </w:rPr>
            </w:pPr>
            <w:r>
              <w:rPr>
                <w:rFonts w:hint="eastAsia" w:ascii="宋体" w:hAnsi="宋体" w:eastAsia="宋体" w:cs="宋体"/>
                <w:color w:val="000000" w:themeColor="text1"/>
                <w:kern w:val="1"/>
                <w:szCs w:val="21"/>
                <w14:textFill>
                  <w14:solidFill>
                    <w14:schemeClr w14:val="tx1"/>
                  </w14:solidFill>
                </w14:textFill>
              </w:rPr>
              <w:t>备注</w:t>
            </w:r>
          </w:p>
        </w:tc>
      </w:tr>
      <w:tr w14:paraId="272D1881">
        <w:tblPrEx>
          <w:tblCellMar>
            <w:top w:w="0" w:type="dxa"/>
            <w:left w:w="108" w:type="dxa"/>
            <w:bottom w:w="0" w:type="dxa"/>
            <w:right w:w="108" w:type="dxa"/>
          </w:tblCellMar>
        </w:tblPrEx>
        <w:trPr>
          <w:trHeight w:val="529"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243D5C91">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0BBE625E">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3D7C989F">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39651CC6">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56D635A0">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0CBFDFB3">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3AF1A816">
            <w:pPr>
              <w:jc w:val="center"/>
              <w:rPr>
                <w:rFonts w:ascii="宋体" w:hAnsi="宋体" w:eastAsia="宋体" w:cs="宋体"/>
                <w:color w:val="000000" w:themeColor="text1"/>
                <w:kern w:val="1"/>
                <w:szCs w:val="21"/>
                <w14:textFill>
                  <w14:solidFill>
                    <w14:schemeClr w14:val="tx1"/>
                  </w14:solidFill>
                </w14:textFill>
              </w:rPr>
            </w:pPr>
          </w:p>
        </w:tc>
      </w:tr>
      <w:tr w14:paraId="0537548C">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1D81C1DD">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29EFF87F">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28B28571">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12C4E1CD">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367C0F74">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3D4406F9">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32F04106">
            <w:pPr>
              <w:jc w:val="center"/>
              <w:rPr>
                <w:rFonts w:ascii="宋体" w:hAnsi="宋体" w:eastAsia="宋体" w:cs="宋体"/>
                <w:color w:val="000000" w:themeColor="text1"/>
                <w:kern w:val="1"/>
                <w:szCs w:val="21"/>
                <w14:textFill>
                  <w14:solidFill>
                    <w14:schemeClr w14:val="tx1"/>
                  </w14:solidFill>
                </w14:textFill>
              </w:rPr>
            </w:pPr>
          </w:p>
        </w:tc>
      </w:tr>
      <w:tr w14:paraId="377B881E">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553ADF82">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7A19570C">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4626ABE5">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248ED845">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213A2402">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63F38EA1">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5B439DC5">
            <w:pPr>
              <w:jc w:val="center"/>
              <w:rPr>
                <w:rFonts w:ascii="宋体" w:hAnsi="宋体" w:eastAsia="宋体" w:cs="宋体"/>
                <w:color w:val="000000" w:themeColor="text1"/>
                <w:kern w:val="1"/>
                <w:szCs w:val="21"/>
                <w14:textFill>
                  <w14:solidFill>
                    <w14:schemeClr w14:val="tx1"/>
                  </w14:solidFill>
                </w14:textFill>
              </w:rPr>
            </w:pPr>
          </w:p>
        </w:tc>
      </w:tr>
      <w:tr w14:paraId="4500929D">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2FE1925E">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09A2F68A">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4EEC86C9">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403FEC56">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60C27422">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02943078">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694B3CC6">
            <w:pPr>
              <w:jc w:val="center"/>
              <w:rPr>
                <w:rFonts w:ascii="宋体" w:hAnsi="宋体" w:eastAsia="宋体" w:cs="宋体"/>
                <w:color w:val="000000" w:themeColor="text1"/>
                <w:kern w:val="1"/>
                <w:szCs w:val="21"/>
                <w14:textFill>
                  <w14:solidFill>
                    <w14:schemeClr w14:val="tx1"/>
                  </w14:solidFill>
                </w14:textFill>
              </w:rPr>
            </w:pPr>
          </w:p>
        </w:tc>
      </w:tr>
      <w:tr w14:paraId="14991161">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001A51D2">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3C8B7FCF">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0793F3E0">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73A7F139">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2FC67F63">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2DE71B21">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4762CCD6">
            <w:pPr>
              <w:jc w:val="center"/>
              <w:rPr>
                <w:rFonts w:ascii="宋体" w:hAnsi="宋体" w:eastAsia="宋体" w:cs="宋体"/>
                <w:color w:val="000000" w:themeColor="text1"/>
                <w:kern w:val="1"/>
                <w:szCs w:val="21"/>
                <w14:textFill>
                  <w14:solidFill>
                    <w14:schemeClr w14:val="tx1"/>
                  </w14:solidFill>
                </w14:textFill>
              </w:rPr>
            </w:pPr>
          </w:p>
        </w:tc>
      </w:tr>
      <w:tr w14:paraId="5936EEE1">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12BD6094">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024DCBAB">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3CAB4214">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67493BA9">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40505231">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6C5F976C">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27EA9118">
            <w:pPr>
              <w:jc w:val="center"/>
              <w:rPr>
                <w:rFonts w:ascii="宋体" w:hAnsi="宋体" w:eastAsia="宋体" w:cs="宋体"/>
                <w:color w:val="000000" w:themeColor="text1"/>
                <w:kern w:val="1"/>
                <w:szCs w:val="21"/>
                <w14:textFill>
                  <w14:solidFill>
                    <w14:schemeClr w14:val="tx1"/>
                  </w14:solidFill>
                </w14:textFill>
              </w:rPr>
            </w:pPr>
          </w:p>
        </w:tc>
      </w:tr>
      <w:tr w14:paraId="20A62092">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538893D9">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40065EA0">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7AEA460E">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70CE699B">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63EF9FBE">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11569AD4">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3092BF9A">
            <w:pPr>
              <w:jc w:val="center"/>
              <w:rPr>
                <w:rFonts w:ascii="宋体" w:hAnsi="宋体" w:eastAsia="宋体" w:cs="宋体"/>
                <w:color w:val="000000" w:themeColor="text1"/>
                <w:kern w:val="1"/>
                <w:szCs w:val="21"/>
                <w14:textFill>
                  <w14:solidFill>
                    <w14:schemeClr w14:val="tx1"/>
                  </w14:solidFill>
                </w14:textFill>
              </w:rPr>
            </w:pPr>
          </w:p>
        </w:tc>
      </w:tr>
      <w:tr w14:paraId="484F9AB0">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6E93E3A4">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0014B2A7">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39917FCB">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782EBFF6">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6CB4A064">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6F89A912">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71995234">
            <w:pPr>
              <w:jc w:val="center"/>
              <w:rPr>
                <w:rFonts w:ascii="宋体" w:hAnsi="宋体" w:eastAsia="宋体" w:cs="宋体"/>
                <w:color w:val="000000" w:themeColor="text1"/>
                <w:kern w:val="1"/>
                <w:szCs w:val="21"/>
                <w14:textFill>
                  <w14:solidFill>
                    <w14:schemeClr w14:val="tx1"/>
                  </w14:solidFill>
                </w14:textFill>
              </w:rPr>
            </w:pPr>
          </w:p>
        </w:tc>
      </w:tr>
      <w:tr w14:paraId="279FDD95">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24A6109B">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30DC4983">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6EE25CB4">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03B80507">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40463746">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613CC9A5">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67E619E7">
            <w:pPr>
              <w:jc w:val="center"/>
              <w:rPr>
                <w:rFonts w:ascii="宋体" w:hAnsi="宋体" w:eastAsia="宋体" w:cs="宋体"/>
                <w:color w:val="000000" w:themeColor="text1"/>
                <w:kern w:val="1"/>
                <w:szCs w:val="21"/>
                <w14:textFill>
                  <w14:solidFill>
                    <w14:schemeClr w14:val="tx1"/>
                  </w14:solidFill>
                </w14:textFill>
              </w:rPr>
            </w:pPr>
          </w:p>
        </w:tc>
      </w:tr>
      <w:tr w14:paraId="45684F87">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1FCBC146">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5F74BD73">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68A61F77">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70C49895">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647B8C84">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1A444002">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5B207F2C">
            <w:pPr>
              <w:jc w:val="center"/>
              <w:rPr>
                <w:rFonts w:ascii="宋体" w:hAnsi="宋体" w:eastAsia="宋体" w:cs="宋体"/>
                <w:color w:val="000000" w:themeColor="text1"/>
                <w:kern w:val="1"/>
                <w:szCs w:val="21"/>
                <w14:textFill>
                  <w14:solidFill>
                    <w14:schemeClr w14:val="tx1"/>
                  </w14:solidFill>
                </w14:textFill>
              </w:rPr>
            </w:pPr>
          </w:p>
        </w:tc>
      </w:tr>
      <w:tr w14:paraId="17CA0D27">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00677C41">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08A5DE10">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340E8112">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29A0BE87">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155A4DDF">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4234D107">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189D473C">
            <w:pPr>
              <w:jc w:val="center"/>
              <w:rPr>
                <w:rFonts w:ascii="宋体" w:hAnsi="宋体" w:eastAsia="宋体" w:cs="宋体"/>
                <w:color w:val="000000" w:themeColor="text1"/>
                <w:kern w:val="1"/>
                <w:szCs w:val="21"/>
                <w14:textFill>
                  <w14:solidFill>
                    <w14:schemeClr w14:val="tx1"/>
                  </w14:solidFill>
                </w14:textFill>
              </w:rPr>
            </w:pPr>
          </w:p>
        </w:tc>
      </w:tr>
      <w:tr w14:paraId="68984F16">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7DF81729">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3A3993ED">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30EA0027">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04BB89B3">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7DCFA44F">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493473B0">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37594468">
            <w:pPr>
              <w:jc w:val="center"/>
              <w:rPr>
                <w:rFonts w:ascii="宋体" w:hAnsi="宋体" w:eastAsia="宋体" w:cs="宋体"/>
                <w:color w:val="000000" w:themeColor="text1"/>
                <w:kern w:val="1"/>
                <w:szCs w:val="21"/>
                <w14:textFill>
                  <w14:solidFill>
                    <w14:schemeClr w14:val="tx1"/>
                  </w14:solidFill>
                </w14:textFill>
              </w:rPr>
            </w:pPr>
          </w:p>
        </w:tc>
      </w:tr>
      <w:tr w14:paraId="672EB21D">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04046830">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1DF616D2">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04D3B588">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2AFD1F98">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4BE0AD24">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1A940883">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2958D57E">
            <w:pPr>
              <w:jc w:val="center"/>
              <w:rPr>
                <w:rFonts w:ascii="宋体" w:hAnsi="宋体" w:eastAsia="宋体" w:cs="宋体"/>
                <w:color w:val="000000" w:themeColor="text1"/>
                <w:kern w:val="1"/>
                <w:szCs w:val="21"/>
                <w14:textFill>
                  <w14:solidFill>
                    <w14:schemeClr w14:val="tx1"/>
                  </w14:solidFill>
                </w14:textFill>
              </w:rPr>
            </w:pPr>
          </w:p>
        </w:tc>
      </w:tr>
      <w:tr w14:paraId="59D3DE71">
        <w:tblPrEx>
          <w:tblCellMar>
            <w:top w:w="0" w:type="dxa"/>
            <w:left w:w="108" w:type="dxa"/>
            <w:bottom w:w="0" w:type="dxa"/>
            <w:right w:w="108" w:type="dxa"/>
          </w:tblCellMar>
        </w:tblPrEx>
        <w:trPr>
          <w:trHeight w:val="527" w:hRule="atLeast"/>
          <w:jc w:val="center"/>
        </w:trPr>
        <w:tc>
          <w:tcPr>
            <w:tcW w:w="1212" w:type="dxa"/>
            <w:tcBorders>
              <w:top w:val="single" w:color="000000" w:sz="4" w:space="0"/>
              <w:left w:val="single" w:color="000000" w:sz="8" w:space="0"/>
              <w:bottom w:val="single" w:color="000000" w:sz="4" w:space="0"/>
              <w:right w:val="single" w:color="000000" w:sz="4" w:space="0"/>
            </w:tcBorders>
            <w:noWrap w:val="0"/>
            <w:vAlign w:val="center"/>
          </w:tcPr>
          <w:p w14:paraId="7523EF63">
            <w:pPr>
              <w:jc w:val="center"/>
              <w:rPr>
                <w:rFonts w:ascii="宋体" w:hAnsi="宋体" w:eastAsia="宋体" w:cs="宋体"/>
                <w:color w:val="000000" w:themeColor="text1"/>
                <w:kern w:val="1"/>
                <w:szCs w:val="21"/>
                <w14:textFill>
                  <w14:solidFill>
                    <w14:schemeClr w14:val="tx1"/>
                  </w14:solidFill>
                </w14:textFill>
              </w:rPr>
            </w:pPr>
          </w:p>
        </w:tc>
        <w:tc>
          <w:tcPr>
            <w:tcW w:w="1716" w:type="dxa"/>
            <w:tcBorders>
              <w:top w:val="single" w:color="000000" w:sz="4" w:space="0"/>
              <w:left w:val="single" w:color="000000" w:sz="4" w:space="0"/>
              <w:bottom w:val="single" w:color="000000" w:sz="4" w:space="0"/>
              <w:right w:val="single" w:color="000000" w:sz="4" w:space="0"/>
            </w:tcBorders>
            <w:noWrap w:val="0"/>
            <w:vAlign w:val="center"/>
          </w:tcPr>
          <w:p w14:paraId="3E529405">
            <w:pPr>
              <w:jc w:val="center"/>
              <w:rPr>
                <w:rFonts w:ascii="宋体" w:hAnsi="宋体" w:eastAsia="宋体" w:cs="宋体"/>
                <w:color w:val="000000" w:themeColor="text1"/>
                <w:kern w:val="1"/>
                <w:szCs w:val="21"/>
                <w14:textFill>
                  <w14:solidFill>
                    <w14:schemeClr w14:val="tx1"/>
                  </w14:solidFill>
                </w14:textFill>
              </w:rPr>
            </w:pPr>
          </w:p>
        </w:tc>
        <w:tc>
          <w:tcPr>
            <w:tcW w:w="1136" w:type="dxa"/>
            <w:tcBorders>
              <w:top w:val="single" w:color="000000" w:sz="4" w:space="0"/>
              <w:left w:val="single" w:color="000000" w:sz="4" w:space="0"/>
              <w:bottom w:val="single" w:color="000000" w:sz="4" w:space="0"/>
              <w:right w:val="single" w:color="000000" w:sz="4" w:space="0"/>
            </w:tcBorders>
            <w:noWrap w:val="0"/>
            <w:vAlign w:val="center"/>
          </w:tcPr>
          <w:p w14:paraId="40FD3411">
            <w:pPr>
              <w:jc w:val="center"/>
              <w:rPr>
                <w:rFonts w:ascii="宋体" w:hAnsi="宋体" w:eastAsia="宋体" w:cs="宋体"/>
                <w:color w:val="000000" w:themeColor="text1"/>
                <w:kern w:val="1"/>
                <w:szCs w:val="21"/>
                <w14:textFill>
                  <w14:solidFill>
                    <w14:schemeClr w14:val="tx1"/>
                  </w14:solidFill>
                </w14:textFill>
              </w:rPr>
            </w:pPr>
          </w:p>
        </w:tc>
        <w:tc>
          <w:tcPr>
            <w:tcW w:w="1407" w:type="dxa"/>
            <w:tcBorders>
              <w:top w:val="single" w:color="000000" w:sz="4" w:space="0"/>
              <w:left w:val="single" w:color="000000" w:sz="4" w:space="0"/>
              <w:bottom w:val="single" w:color="000000" w:sz="4" w:space="0"/>
              <w:right w:val="single" w:color="000000" w:sz="4" w:space="0"/>
            </w:tcBorders>
            <w:noWrap w:val="0"/>
            <w:vAlign w:val="center"/>
          </w:tcPr>
          <w:p w14:paraId="4497B677">
            <w:pPr>
              <w:jc w:val="center"/>
              <w:rPr>
                <w:rFonts w:ascii="宋体" w:hAnsi="宋体" w:eastAsia="宋体" w:cs="宋体"/>
                <w:color w:val="000000" w:themeColor="text1"/>
                <w:kern w:val="1"/>
                <w:szCs w:val="21"/>
                <w14:textFill>
                  <w14:solidFill>
                    <w14:schemeClr w14:val="tx1"/>
                  </w14:solidFill>
                </w14:textFill>
              </w:rPr>
            </w:pP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6CE5ED6D">
            <w:pPr>
              <w:jc w:val="center"/>
              <w:rPr>
                <w:rFonts w:ascii="宋体" w:hAnsi="宋体" w:eastAsia="宋体" w:cs="宋体"/>
                <w:color w:val="000000" w:themeColor="text1"/>
                <w:kern w:val="1"/>
                <w:szCs w:val="21"/>
                <w14:textFill>
                  <w14:solidFill>
                    <w14:schemeClr w14:val="tx1"/>
                  </w14:solidFill>
                </w14:textFill>
              </w:rPr>
            </w:pPr>
          </w:p>
        </w:tc>
        <w:tc>
          <w:tcPr>
            <w:tcW w:w="1413" w:type="dxa"/>
            <w:tcBorders>
              <w:top w:val="single" w:color="000000" w:sz="4" w:space="0"/>
              <w:left w:val="single" w:color="000000" w:sz="4" w:space="0"/>
              <w:bottom w:val="single" w:color="000000" w:sz="4" w:space="0"/>
              <w:right w:val="single" w:color="000000" w:sz="4" w:space="0"/>
            </w:tcBorders>
            <w:noWrap w:val="0"/>
            <w:vAlign w:val="center"/>
          </w:tcPr>
          <w:p w14:paraId="152DEAB5">
            <w:pPr>
              <w:jc w:val="center"/>
              <w:rPr>
                <w:rFonts w:ascii="宋体" w:hAnsi="宋体" w:eastAsia="宋体" w:cs="宋体"/>
                <w:color w:val="000000" w:themeColor="text1"/>
                <w:kern w:val="1"/>
                <w:szCs w:val="21"/>
                <w14:textFill>
                  <w14:solidFill>
                    <w14:schemeClr w14:val="tx1"/>
                  </w14:solidFill>
                </w14:textFill>
              </w:rPr>
            </w:pPr>
          </w:p>
        </w:tc>
        <w:tc>
          <w:tcPr>
            <w:tcW w:w="802" w:type="dxa"/>
            <w:tcBorders>
              <w:top w:val="single" w:color="000000" w:sz="4" w:space="0"/>
              <w:left w:val="single" w:color="000000" w:sz="4" w:space="0"/>
              <w:bottom w:val="single" w:color="000000" w:sz="4" w:space="0"/>
              <w:right w:val="single" w:color="000000" w:sz="8" w:space="0"/>
            </w:tcBorders>
            <w:noWrap w:val="0"/>
            <w:vAlign w:val="center"/>
          </w:tcPr>
          <w:p w14:paraId="4CE1507B">
            <w:pPr>
              <w:jc w:val="center"/>
              <w:rPr>
                <w:rFonts w:ascii="宋体" w:hAnsi="宋体" w:eastAsia="宋体" w:cs="宋体"/>
                <w:color w:val="000000" w:themeColor="text1"/>
                <w:kern w:val="1"/>
                <w:szCs w:val="21"/>
                <w14:textFill>
                  <w14:solidFill>
                    <w14:schemeClr w14:val="tx1"/>
                  </w14:solidFill>
                </w14:textFill>
              </w:rPr>
            </w:pPr>
          </w:p>
        </w:tc>
      </w:tr>
    </w:tbl>
    <w:p w14:paraId="1BCF2D4F">
      <w:pPr>
        <w:rPr>
          <w:rFonts w:ascii="宋体" w:hAnsi="宋体" w:eastAsia="宋体" w:cs="宋体"/>
          <w:color w:val="000000" w:themeColor="text1"/>
          <w:kern w:val="1"/>
          <w:szCs w:val="21"/>
          <w14:textFill>
            <w14:solidFill>
              <w14:schemeClr w14:val="tx1"/>
            </w14:solidFill>
          </w14:textFill>
        </w:rPr>
      </w:pPr>
      <w:r>
        <w:rPr>
          <w:rFonts w:ascii="宋体" w:hAnsi="宋体" w:eastAsia="宋体" w:cs="宋体"/>
          <w:color w:val="000000" w:themeColor="text1"/>
          <w:kern w:val="1"/>
          <w:szCs w:val="21"/>
          <w14:textFill>
            <w14:solidFill>
              <w14:schemeClr w14:val="tx1"/>
            </w14:solidFill>
          </w14:textFill>
        </w:rPr>
        <w:t>备注：</w:t>
      </w:r>
    </w:p>
    <w:p w14:paraId="05F14E75">
      <w:pPr>
        <w:numPr>
          <w:ilvl w:val="0"/>
          <w:numId w:val="6"/>
        </w:numPr>
        <w:rPr>
          <w:rFonts w:ascii="宋体" w:hAnsi="宋体" w:eastAsia="宋体" w:cs="宋体"/>
          <w:color w:val="000000" w:themeColor="text1"/>
          <w:kern w:val="1"/>
          <w:szCs w:val="21"/>
          <w14:textFill>
            <w14:solidFill>
              <w14:schemeClr w14:val="tx1"/>
            </w14:solidFill>
          </w14:textFill>
        </w:rPr>
      </w:pPr>
      <w:r>
        <w:rPr>
          <w:rFonts w:ascii="宋体" w:hAnsi="宋体" w:eastAsia="宋体" w:cs="宋体"/>
          <w:color w:val="000000" w:themeColor="text1"/>
          <w:kern w:val="1"/>
          <w:szCs w:val="21"/>
          <w14:textFill>
            <w14:solidFill>
              <w14:schemeClr w14:val="tx1"/>
            </w14:solidFill>
          </w14:textFill>
        </w:rPr>
        <w:t>“目前状况”应说明已使用所限、是否完好以及目前是否正在使用，“来源”分为“自有”和“市场租赁”两种情况，正在使用中的设备应在“备注”中注明何时能够投入本项目</w:t>
      </w:r>
      <w:r>
        <w:rPr>
          <w:rFonts w:hint="eastAsia" w:ascii="宋体" w:hAnsi="宋体" w:cs="宋体"/>
          <w:color w:val="000000" w:themeColor="text1"/>
          <w:kern w:val="1"/>
          <w:szCs w:val="21"/>
          <w:lang w:eastAsia="zh-CN"/>
          <w14:textFill>
            <w14:solidFill>
              <w14:schemeClr w14:val="tx1"/>
            </w14:solidFill>
          </w14:textFill>
        </w:rPr>
        <w:t>。</w:t>
      </w:r>
    </w:p>
    <w:p w14:paraId="235C44A6">
      <w:pPr>
        <w:pStyle w:val="7"/>
        <w:rPr>
          <w:color w:val="000000" w:themeColor="text1"/>
          <w14:textFill>
            <w14:solidFill>
              <w14:schemeClr w14:val="tx1"/>
            </w14:solidFill>
          </w14:textFill>
        </w:rPr>
      </w:pPr>
    </w:p>
    <w:p w14:paraId="461DA81A">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p>
    <w:p w14:paraId="63CA8302">
      <w:pPr>
        <w:spacing w:line="360" w:lineRule="auto"/>
        <w:jc w:val="left"/>
        <w:outlineLvl w:val="3"/>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附件</w:t>
      </w:r>
      <w:r>
        <w:rPr>
          <w:rFonts w:hint="eastAsia" w:ascii="宋体" w:hAnsi="宋体"/>
          <w:b/>
          <w:bCs/>
          <w:color w:val="000000" w:themeColor="text1"/>
          <w:sz w:val="24"/>
          <w:szCs w:val="24"/>
          <w:lang w:eastAsia="zh-CN"/>
          <w14:textFill>
            <w14:solidFill>
              <w14:schemeClr w14:val="tx1"/>
            </w14:solidFill>
          </w14:textFill>
        </w:rPr>
        <w:t>二</w:t>
      </w:r>
      <w:r>
        <w:rPr>
          <w:rFonts w:ascii="宋体" w:hAnsi="宋体"/>
          <w:b/>
          <w:bCs/>
          <w:color w:val="000000" w:themeColor="text1"/>
          <w:sz w:val="24"/>
          <w:szCs w:val="24"/>
          <w14:textFill>
            <w14:solidFill>
              <w14:schemeClr w14:val="tx1"/>
            </w14:solidFill>
          </w14:textFill>
        </w:rPr>
        <w:t>：劳动力计划表</w:t>
      </w:r>
    </w:p>
    <w:p w14:paraId="5DCC742D">
      <w:pPr>
        <w:wordWrap w:val="0"/>
        <w:spacing w:line="420" w:lineRule="exact"/>
        <w:ind w:right="105"/>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单位：人   </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474"/>
        <w:gridCol w:w="1105"/>
        <w:gridCol w:w="1105"/>
        <w:gridCol w:w="1105"/>
        <w:gridCol w:w="1105"/>
        <w:gridCol w:w="1105"/>
        <w:gridCol w:w="1105"/>
      </w:tblGrid>
      <w:tr w14:paraId="4281A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37" w:type="dxa"/>
            <w:noWrap w:val="0"/>
            <w:vAlign w:val="center"/>
          </w:tcPr>
          <w:p w14:paraId="0A45D395">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工种</w:t>
            </w:r>
          </w:p>
        </w:tc>
        <w:tc>
          <w:tcPr>
            <w:tcW w:w="8104" w:type="dxa"/>
            <w:gridSpan w:val="7"/>
            <w:noWrap w:val="0"/>
            <w:vAlign w:val="center"/>
          </w:tcPr>
          <w:p w14:paraId="1C0D5B24">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按工程施工阶段投入劳动力情况</w:t>
            </w:r>
          </w:p>
        </w:tc>
      </w:tr>
      <w:tr w14:paraId="3607D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166F46AB">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30EED4D1">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42CE4C8">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5D425DC">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F233165">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5478293">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EAA62EB">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9E93469">
            <w:pPr>
              <w:jc w:val="center"/>
              <w:rPr>
                <w:rFonts w:ascii="宋体" w:hAnsi="宋体"/>
                <w:color w:val="000000" w:themeColor="text1"/>
                <w:szCs w:val="21"/>
                <w14:textFill>
                  <w14:solidFill>
                    <w14:schemeClr w14:val="tx1"/>
                  </w14:solidFill>
                </w14:textFill>
              </w:rPr>
            </w:pPr>
          </w:p>
        </w:tc>
      </w:tr>
      <w:tr w14:paraId="1932D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15DC38BF">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484E58D8">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92C562E">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990E307">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BE5506A">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2100A267">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E11B88B">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6EFD2738">
            <w:pPr>
              <w:jc w:val="center"/>
              <w:rPr>
                <w:rFonts w:ascii="宋体" w:hAnsi="宋体"/>
                <w:color w:val="000000" w:themeColor="text1"/>
                <w:szCs w:val="21"/>
                <w14:textFill>
                  <w14:solidFill>
                    <w14:schemeClr w14:val="tx1"/>
                  </w14:solidFill>
                </w14:textFill>
              </w:rPr>
            </w:pPr>
          </w:p>
        </w:tc>
      </w:tr>
      <w:tr w14:paraId="7A81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6B6F6A94">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69527C12">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362559F">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88A2120">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479B08DC">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4580529A">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0379DBE">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03AF081">
            <w:pPr>
              <w:jc w:val="center"/>
              <w:rPr>
                <w:rFonts w:ascii="宋体" w:hAnsi="宋体"/>
                <w:color w:val="000000" w:themeColor="text1"/>
                <w:szCs w:val="21"/>
                <w14:textFill>
                  <w14:solidFill>
                    <w14:schemeClr w14:val="tx1"/>
                  </w14:solidFill>
                </w14:textFill>
              </w:rPr>
            </w:pPr>
          </w:p>
        </w:tc>
      </w:tr>
      <w:tr w14:paraId="7A712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42C0F67A">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0E47A4F2">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9893845">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5BDD7F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808573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6536DAC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69D15E33">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AEC2346">
            <w:pPr>
              <w:jc w:val="center"/>
              <w:rPr>
                <w:rFonts w:ascii="宋体" w:hAnsi="宋体"/>
                <w:color w:val="000000" w:themeColor="text1"/>
                <w:szCs w:val="21"/>
                <w14:textFill>
                  <w14:solidFill>
                    <w14:schemeClr w14:val="tx1"/>
                  </w14:solidFill>
                </w14:textFill>
              </w:rPr>
            </w:pPr>
          </w:p>
        </w:tc>
      </w:tr>
      <w:tr w14:paraId="502F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4E1903C0">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5AA8B04B">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0E681D4">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AF26AE5">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6067DCF7">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6F3D11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DF42BB5">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AEA5D0F">
            <w:pPr>
              <w:jc w:val="center"/>
              <w:rPr>
                <w:rFonts w:ascii="宋体" w:hAnsi="宋体"/>
                <w:color w:val="000000" w:themeColor="text1"/>
                <w:szCs w:val="21"/>
                <w14:textFill>
                  <w14:solidFill>
                    <w14:schemeClr w14:val="tx1"/>
                  </w14:solidFill>
                </w14:textFill>
              </w:rPr>
            </w:pPr>
          </w:p>
        </w:tc>
      </w:tr>
      <w:tr w14:paraId="1116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0B489F24">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271B8DC2">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0C32843">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8E1FB69">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BAE1225">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C506BC3">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CD6EA20">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A06C826">
            <w:pPr>
              <w:jc w:val="center"/>
              <w:rPr>
                <w:rFonts w:ascii="宋体" w:hAnsi="宋体"/>
                <w:color w:val="000000" w:themeColor="text1"/>
                <w:szCs w:val="21"/>
                <w14:textFill>
                  <w14:solidFill>
                    <w14:schemeClr w14:val="tx1"/>
                  </w14:solidFill>
                </w14:textFill>
              </w:rPr>
            </w:pPr>
          </w:p>
        </w:tc>
      </w:tr>
      <w:tr w14:paraId="5B204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75B940C5">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637ECD0F">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288B4341">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9CB5A35">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65311007">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D87A88E">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6AAA1AD">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6BDBF59">
            <w:pPr>
              <w:jc w:val="center"/>
              <w:rPr>
                <w:rFonts w:ascii="宋体" w:hAnsi="宋体"/>
                <w:color w:val="000000" w:themeColor="text1"/>
                <w:szCs w:val="21"/>
                <w14:textFill>
                  <w14:solidFill>
                    <w14:schemeClr w14:val="tx1"/>
                  </w14:solidFill>
                </w14:textFill>
              </w:rPr>
            </w:pPr>
          </w:p>
        </w:tc>
      </w:tr>
      <w:tr w14:paraId="40A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285EA030">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7260C9FB">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B4CE039">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D8A58AB">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4FB28020">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AA2B043">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4377890">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DEF0E4A">
            <w:pPr>
              <w:jc w:val="center"/>
              <w:rPr>
                <w:rFonts w:ascii="宋体" w:hAnsi="宋体"/>
                <w:color w:val="000000" w:themeColor="text1"/>
                <w:szCs w:val="21"/>
                <w14:textFill>
                  <w14:solidFill>
                    <w14:schemeClr w14:val="tx1"/>
                  </w14:solidFill>
                </w14:textFill>
              </w:rPr>
            </w:pPr>
          </w:p>
        </w:tc>
      </w:tr>
      <w:tr w14:paraId="1A3C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1E18538A">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28083D5E">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2EDBE88C">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DBAB548">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6601DFAE">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64875C4">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69382864">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06536F0">
            <w:pPr>
              <w:jc w:val="center"/>
              <w:rPr>
                <w:rFonts w:ascii="宋体" w:hAnsi="宋体"/>
                <w:color w:val="000000" w:themeColor="text1"/>
                <w:szCs w:val="21"/>
                <w14:textFill>
                  <w14:solidFill>
                    <w14:schemeClr w14:val="tx1"/>
                  </w14:solidFill>
                </w14:textFill>
              </w:rPr>
            </w:pPr>
          </w:p>
        </w:tc>
      </w:tr>
      <w:tr w14:paraId="33EF0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6CE110AF">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43026FC1">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60039D5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AC1376F">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03652B4">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41215CB">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7A388C9">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73F2244">
            <w:pPr>
              <w:jc w:val="center"/>
              <w:rPr>
                <w:rFonts w:ascii="宋体" w:hAnsi="宋体"/>
                <w:color w:val="000000" w:themeColor="text1"/>
                <w:szCs w:val="21"/>
                <w14:textFill>
                  <w14:solidFill>
                    <w14:schemeClr w14:val="tx1"/>
                  </w14:solidFill>
                </w14:textFill>
              </w:rPr>
            </w:pPr>
          </w:p>
        </w:tc>
      </w:tr>
      <w:tr w14:paraId="492A8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7301C057">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41E76FE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2DC040A">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422198C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4934F36C">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BF3F69E">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0E2FF17">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28E5463A">
            <w:pPr>
              <w:jc w:val="center"/>
              <w:rPr>
                <w:rFonts w:ascii="宋体" w:hAnsi="宋体"/>
                <w:color w:val="000000" w:themeColor="text1"/>
                <w:szCs w:val="21"/>
                <w14:textFill>
                  <w14:solidFill>
                    <w14:schemeClr w14:val="tx1"/>
                  </w14:solidFill>
                </w14:textFill>
              </w:rPr>
            </w:pPr>
          </w:p>
        </w:tc>
      </w:tr>
      <w:tr w14:paraId="2B05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7B0EDA6D">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44DB2D13">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4F0C8B5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26E6054D">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E296CC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24BCE533">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F0BB2A7">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2EF4EDF6">
            <w:pPr>
              <w:jc w:val="center"/>
              <w:rPr>
                <w:rFonts w:ascii="宋体" w:hAnsi="宋体"/>
                <w:color w:val="000000" w:themeColor="text1"/>
                <w:szCs w:val="21"/>
                <w14:textFill>
                  <w14:solidFill>
                    <w14:schemeClr w14:val="tx1"/>
                  </w14:solidFill>
                </w14:textFill>
              </w:rPr>
            </w:pPr>
          </w:p>
        </w:tc>
      </w:tr>
      <w:tr w14:paraId="49FF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5AB0E481">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7B797249">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7CB307B">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423013A4">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E4CD12F">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7FB2D706">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00C2A369">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2FAE3A23">
            <w:pPr>
              <w:jc w:val="center"/>
              <w:rPr>
                <w:rFonts w:ascii="宋体" w:hAnsi="宋体"/>
                <w:color w:val="000000" w:themeColor="text1"/>
                <w:szCs w:val="21"/>
                <w14:textFill>
                  <w14:solidFill>
                    <w14:schemeClr w14:val="tx1"/>
                  </w14:solidFill>
                </w14:textFill>
              </w:rPr>
            </w:pPr>
          </w:p>
        </w:tc>
      </w:tr>
      <w:tr w14:paraId="6AC41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7" w:type="dxa"/>
            <w:noWrap w:val="0"/>
            <w:vAlign w:val="center"/>
          </w:tcPr>
          <w:p w14:paraId="30013100">
            <w:pPr>
              <w:jc w:val="center"/>
              <w:rPr>
                <w:rFonts w:ascii="宋体" w:hAnsi="宋体"/>
                <w:color w:val="000000" w:themeColor="text1"/>
                <w:szCs w:val="21"/>
                <w14:textFill>
                  <w14:solidFill>
                    <w14:schemeClr w14:val="tx1"/>
                  </w14:solidFill>
                </w14:textFill>
              </w:rPr>
            </w:pPr>
          </w:p>
        </w:tc>
        <w:tc>
          <w:tcPr>
            <w:tcW w:w="1474" w:type="dxa"/>
            <w:noWrap w:val="0"/>
            <w:vAlign w:val="center"/>
          </w:tcPr>
          <w:p w14:paraId="29C2CA02">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430D8E5F">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449E9270">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33BD0690">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D5CF88E">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1D17850A">
            <w:pPr>
              <w:jc w:val="center"/>
              <w:rPr>
                <w:rFonts w:ascii="宋体" w:hAnsi="宋体"/>
                <w:color w:val="000000" w:themeColor="text1"/>
                <w:szCs w:val="21"/>
                <w14:textFill>
                  <w14:solidFill>
                    <w14:schemeClr w14:val="tx1"/>
                  </w14:solidFill>
                </w14:textFill>
              </w:rPr>
            </w:pPr>
          </w:p>
        </w:tc>
        <w:tc>
          <w:tcPr>
            <w:tcW w:w="1105" w:type="dxa"/>
            <w:noWrap w:val="0"/>
            <w:vAlign w:val="center"/>
          </w:tcPr>
          <w:p w14:paraId="5820CCEA">
            <w:pPr>
              <w:jc w:val="center"/>
              <w:rPr>
                <w:rFonts w:ascii="宋体" w:hAnsi="宋体"/>
                <w:color w:val="000000" w:themeColor="text1"/>
                <w:szCs w:val="21"/>
                <w14:textFill>
                  <w14:solidFill>
                    <w14:schemeClr w14:val="tx1"/>
                  </w14:solidFill>
                </w14:textFill>
              </w:rPr>
            </w:pPr>
          </w:p>
        </w:tc>
      </w:tr>
    </w:tbl>
    <w:p w14:paraId="4A1B9DCE">
      <w:pPr>
        <w:rPr>
          <w:rFonts w:ascii="宋体" w:hAnsi="宋体"/>
          <w:b/>
          <w:bCs/>
          <w:color w:val="000000" w:themeColor="text1"/>
          <w:sz w:val="24"/>
          <w:szCs w:val="24"/>
          <w14:textFill>
            <w14:solidFill>
              <w14:schemeClr w14:val="tx1"/>
            </w14:solidFill>
          </w14:textFill>
        </w:rPr>
      </w:pPr>
      <w:bookmarkStart w:id="1702" w:name="_Toc28898"/>
      <w:r>
        <w:rPr>
          <w:rFonts w:ascii="宋体" w:hAnsi="宋体"/>
          <w:b/>
          <w:bCs/>
          <w:color w:val="000000" w:themeColor="text1"/>
          <w:sz w:val="24"/>
          <w:szCs w:val="24"/>
          <w14:textFill>
            <w14:solidFill>
              <w14:schemeClr w14:val="tx1"/>
            </w14:solidFill>
          </w14:textFill>
        </w:rPr>
        <w:br w:type="page"/>
      </w:r>
    </w:p>
    <w:p w14:paraId="12FA6F33">
      <w:pPr>
        <w:spacing w:line="360" w:lineRule="auto"/>
        <w:jc w:val="left"/>
        <w:outlineLvl w:val="3"/>
        <w:rPr>
          <w:rFonts w:hint="eastAsia"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附件</w:t>
      </w:r>
      <w:r>
        <w:rPr>
          <w:rFonts w:hint="eastAsia" w:ascii="宋体" w:hAnsi="宋体"/>
          <w:b/>
          <w:bCs/>
          <w:color w:val="000000" w:themeColor="text1"/>
          <w:sz w:val="24"/>
          <w:szCs w:val="24"/>
          <w:lang w:eastAsia="zh-CN"/>
          <w14:textFill>
            <w14:solidFill>
              <w14:schemeClr w14:val="tx1"/>
            </w14:solidFill>
          </w14:textFill>
        </w:rPr>
        <w:t>三</w:t>
      </w:r>
      <w:r>
        <w:rPr>
          <w:rFonts w:hint="eastAsia" w:ascii="宋体" w:hAnsi="宋体"/>
          <w:b/>
          <w:bCs/>
          <w:color w:val="000000" w:themeColor="text1"/>
          <w:sz w:val="24"/>
          <w:szCs w:val="24"/>
          <w14:textFill>
            <w14:solidFill>
              <w14:schemeClr w14:val="tx1"/>
            </w14:solidFill>
          </w14:textFill>
        </w:rPr>
        <w:t>：</w:t>
      </w:r>
    </w:p>
    <w:p w14:paraId="0993DDE1">
      <w:pPr>
        <w:spacing w:line="360" w:lineRule="auto"/>
        <w:jc w:val="center"/>
        <w:outlineLvl w:val="3"/>
        <w:rPr>
          <w:rFonts w:ascii="宋体" w:hAnsi="宋体"/>
          <w:b/>
          <w:color w:val="000000" w:themeColor="text1"/>
          <w:szCs w:val="21"/>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（一）</w:t>
      </w:r>
      <w:r>
        <w:rPr>
          <w:rFonts w:ascii="宋体" w:hAnsi="宋体"/>
          <w:b/>
          <w:bCs/>
          <w:color w:val="000000" w:themeColor="text1"/>
          <w:sz w:val="24"/>
          <w:szCs w:val="24"/>
          <w14:textFill>
            <w14:solidFill>
              <w14:schemeClr w14:val="tx1"/>
            </w14:solidFill>
          </w14:textFill>
        </w:rPr>
        <w:t>项目管理机构</w:t>
      </w:r>
      <w:bookmarkEnd w:id="1702"/>
    </w:p>
    <w:tbl>
      <w:tblPr>
        <w:tblStyle w:val="23"/>
        <w:tblW w:w="813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311"/>
        <w:gridCol w:w="1276"/>
        <w:gridCol w:w="1276"/>
        <w:gridCol w:w="1276"/>
        <w:gridCol w:w="1767"/>
        <w:gridCol w:w="1229"/>
      </w:tblGrid>
      <w:tr w14:paraId="3D6FCD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3FA3AD6A">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拟任职务</w:t>
            </w:r>
          </w:p>
        </w:tc>
        <w:tc>
          <w:tcPr>
            <w:tcW w:w="1276" w:type="dxa"/>
            <w:vAlign w:val="center"/>
          </w:tcPr>
          <w:p w14:paraId="44A7BD27">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姓名</w:t>
            </w:r>
          </w:p>
        </w:tc>
        <w:tc>
          <w:tcPr>
            <w:tcW w:w="1276" w:type="dxa"/>
            <w:vAlign w:val="center"/>
          </w:tcPr>
          <w:p w14:paraId="6660A475">
            <w:pPr>
              <w:autoSpaceDE w:val="0"/>
              <w:autoSpaceDN w:val="0"/>
              <w:spacing w:line="360" w:lineRule="auto"/>
              <w:jc w:val="center"/>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性别</w:t>
            </w:r>
          </w:p>
        </w:tc>
        <w:tc>
          <w:tcPr>
            <w:tcW w:w="1276" w:type="dxa"/>
            <w:vAlign w:val="center"/>
          </w:tcPr>
          <w:p w14:paraId="77E6575D">
            <w:pPr>
              <w:autoSpaceDE w:val="0"/>
              <w:autoSpaceDN w:val="0"/>
              <w:spacing w:line="360" w:lineRule="auto"/>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年龄</w:t>
            </w:r>
          </w:p>
        </w:tc>
        <w:tc>
          <w:tcPr>
            <w:tcW w:w="1767" w:type="dxa"/>
            <w:vAlign w:val="center"/>
          </w:tcPr>
          <w:p w14:paraId="100CD8F4">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资格证书编号</w:t>
            </w:r>
          </w:p>
        </w:tc>
        <w:tc>
          <w:tcPr>
            <w:tcW w:w="1229" w:type="dxa"/>
            <w:vAlign w:val="center"/>
          </w:tcPr>
          <w:p w14:paraId="0D90FAC1">
            <w:pPr>
              <w:autoSpaceDE w:val="0"/>
              <w:autoSpaceDN w:val="0"/>
              <w:spacing w:line="360" w:lineRule="auto"/>
              <w:jc w:val="center"/>
              <w:rPr>
                <w:rFonts w:hint="default" w:ascii="宋体" w:hAnsi="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备注</w:t>
            </w:r>
          </w:p>
        </w:tc>
      </w:tr>
      <w:tr w14:paraId="5DDBE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0F4F8C8F">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33F91E05">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000D3795">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1575595F">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0BF387E7">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75AFD227">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r w14:paraId="36A17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4834D051">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38034BAD">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23FE72DE">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448F1E15">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5F196BB4">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6B161958">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r w14:paraId="15C7C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69FB02CF">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326EF599">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4B76BEF3">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01C415E1">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45D7CC64">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104606BE">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r w14:paraId="40586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46233130">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045EF392">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2947DBEF">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48797439">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2C22AA8F">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2A759127">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r w14:paraId="1E28A9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5608D2DE">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45E9E838">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4E0C0F8B">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451E911D">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5380B460">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1710A4BE">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r w14:paraId="452CD3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14C18EF4">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4FA1A570">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54C578B6">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36984DDB">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06FBD8C9">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388BD0E7">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r w14:paraId="2E1EDF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28823889">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3AE99D79">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28456816">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37E42079">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239999F0">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2327C99D">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r w14:paraId="39242F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34C74D9F">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5DE507C8">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0B192CEE">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04D4C482">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39D2CE9F">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4AA34544">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r w14:paraId="0B238E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39231B17">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61FA65DA">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3DEF1DBB">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69EDB8CB">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31BF9921">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206070FB">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r w14:paraId="35356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0" w:hRule="atLeast"/>
          <w:jc w:val="center"/>
        </w:trPr>
        <w:tc>
          <w:tcPr>
            <w:tcW w:w="1311" w:type="dxa"/>
            <w:vAlign w:val="center"/>
          </w:tcPr>
          <w:p w14:paraId="4AF36942">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11574811">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6BFD0048">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76" w:type="dxa"/>
            <w:vAlign w:val="center"/>
          </w:tcPr>
          <w:p w14:paraId="5454ECC6">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767" w:type="dxa"/>
            <w:vAlign w:val="center"/>
          </w:tcPr>
          <w:p w14:paraId="123C46B6">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c>
          <w:tcPr>
            <w:tcW w:w="1229" w:type="dxa"/>
            <w:vAlign w:val="center"/>
          </w:tcPr>
          <w:p w14:paraId="5477B382">
            <w:pPr>
              <w:autoSpaceDE w:val="0"/>
              <w:autoSpaceDN w:val="0"/>
              <w:spacing w:line="360" w:lineRule="auto"/>
              <w:jc w:val="center"/>
              <w:rPr>
                <w:rFonts w:ascii="宋体" w:hAnsi="宋体" w:cs="宋体"/>
                <w:color w:val="000000" w:themeColor="text1"/>
                <w:kern w:val="0"/>
                <w:szCs w:val="21"/>
                <w14:textFill>
                  <w14:solidFill>
                    <w14:schemeClr w14:val="tx1"/>
                  </w14:solidFill>
                </w14:textFill>
              </w:rPr>
            </w:pPr>
          </w:p>
        </w:tc>
      </w:tr>
    </w:tbl>
    <w:p w14:paraId="081007AE">
      <w:pPr>
        <w:spacing w:line="360" w:lineRule="auto"/>
        <w:jc w:val="lef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Cs w:val="21"/>
          <w14:textFill>
            <w14:solidFill>
              <w14:schemeClr w14:val="tx1"/>
            </w14:solidFill>
          </w14:textFill>
        </w:rPr>
        <w:t>注：</w:t>
      </w:r>
      <w:r>
        <w:rPr>
          <w:rFonts w:ascii="宋体" w:hAnsi="宋体" w:cs="宋体"/>
          <w:color w:val="000000" w:themeColor="text1"/>
          <w:sz w:val="21"/>
          <w:szCs w:val="21"/>
          <w14:textFill>
            <w14:solidFill>
              <w14:schemeClr w14:val="tx1"/>
            </w14:solidFill>
          </w14:textFill>
        </w:rPr>
        <w:t>附相应</w:t>
      </w:r>
      <w:r>
        <w:rPr>
          <w:rFonts w:hint="eastAsia" w:ascii="宋体" w:hAnsi="宋体" w:cs="Times New Roman"/>
          <w:color w:val="000000" w:themeColor="text1"/>
          <w:kern w:val="0"/>
          <w:sz w:val="21"/>
          <w:szCs w:val="21"/>
          <w:lang w:val="en-US" w:eastAsia="zh-CN"/>
          <w14:textFill>
            <w14:solidFill>
              <w14:schemeClr w14:val="tx1"/>
            </w14:solidFill>
          </w14:textFill>
        </w:rPr>
        <w:t>人员的</w:t>
      </w:r>
      <w:r>
        <w:rPr>
          <w:rFonts w:hint="eastAsia" w:ascii="宋体" w:hAnsi="宋体" w:eastAsia="宋体" w:cs="Times New Roman"/>
          <w:color w:val="000000" w:themeColor="text1"/>
          <w:kern w:val="0"/>
          <w:sz w:val="21"/>
          <w:szCs w:val="21"/>
          <w14:textFill>
            <w14:solidFill>
              <w14:schemeClr w14:val="tx1"/>
            </w14:solidFill>
          </w14:textFill>
        </w:rPr>
        <w:t>身份证、</w:t>
      </w:r>
      <w:r>
        <w:rPr>
          <w:rFonts w:hint="eastAsia" w:ascii="宋体" w:hAnsi="宋体" w:cs="Times New Roman"/>
          <w:color w:val="000000" w:themeColor="text1"/>
          <w:kern w:val="0"/>
          <w:sz w:val="21"/>
          <w:szCs w:val="21"/>
          <w:lang w:val="en-US" w:eastAsia="zh-CN"/>
          <w14:textFill>
            <w14:solidFill>
              <w14:schemeClr w14:val="tx1"/>
            </w14:solidFill>
          </w14:textFill>
        </w:rPr>
        <w:t>学历证</w:t>
      </w:r>
      <w:r>
        <w:rPr>
          <w:rFonts w:hint="eastAsia" w:ascii="宋体" w:hAnsi="宋体" w:eastAsia="宋体" w:cs="Times New Roman"/>
          <w:color w:val="000000" w:themeColor="text1"/>
          <w:kern w:val="0"/>
          <w:sz w:val="21"/>
          <w:szCs w:val="21"/>
          <w:lang w:val="en-US" w:eastAsia="zh-CN"/>
          <w14:textFill>
            <w14:solidFill>
              <w14:schemeClr w14:val="tx1"/>
            </w14:solidFill>
          </w14:textFill>
        </w:rPr>
        <w:t>、</w:t>
      </w:r>
      <w:r>
        <w:rPr>
          <w:rFonts w:hint="eastAsia" w:ascii="宋体" w:hAnsi="宋体" w:eastAsia="宋体" w:cs="Times New Roman"/>
          <w:color w:val="000000" w:themeColor="text1"/>
          <w:kern w:val="0"/>
          <w:sz w:val="21"/>
          <w:szCs w:val="21"/>
          <w14:textFill>
            <w14:solidFill>
              <w14:schemeClr w14:val="tx1"/>
            </w14:solidFill>
          </w14:textFill>
        </w:rPr>
        <w:t>资格证、与投标企业签订的有效劳动合同</w:t>
      </w:r>
      <w:r>
        <w:rPr>
          <w:rFonts w:hint="eastAsia" w:ascii="宋体" w:hAnsi="宋体" w:cs="Times New Roman"/>
          <w:color w:val="000000" w:themeColor="text1"/>
          <w:kern w:val="0"/>
          <w:sz w:val="21"/>
          <w:szCs w:val="21"/>
          <w:lang w:val="en-US" w:eastAsia="zh-CN"/>
          <w14:textFill>
            <w14:solidFill>
              <w14:schemeClr w14:val="tx1"/>
            </w14:solidFill>
          </w14:textFill>
        </w:rPr>
        <w:t>或</w:t>
      </w:r>
      <w:r>
        <w:rPr>
          <w:rFonts w:hint="eastAsia" w:ascii="宋体" w:hAnsi="宋体" w:eastAsia="宋体" w:cs="Times New Roman"/>
          <w:color w:val="000000" w:themeColor="text1"/>
          <w:kern w:val="0"/>
          <w:sz w:val="21"/>
          <w:szCs w:val="21"/>
          <w14:textFill>
            <w14:solidFill>
              <w14:schemeClr w14:val="tx1"/>
            </w14:solidFill>
          </w14:textFill>
        </w:rPr>
        <w:t>有效社保证明材料</w:t>
      </w:r>
      <w:r>
        <w:rPr>
          <w:rFonts w:hint="eastAsia" w:ascii="宋体" w:hAnsi="宋体" w:eastAsia="宋体" w:cs="宋体"/>
          <w:color w:val="000000" w:themeColor="text1"/>
          <w:szCs w:val="21"/>
          <w14:textFill>
            <w14:solidFill>
              <w14:schemeClr w14:val="tx1"/>
            </w14:solidFill>
          </w14:textFill>
        </w:rPr>
        <w:t>等</w:t>
      </w:r>
      <w:r>
        <w:rPr>
          <w:rFonts w:hint="eastAsia" w:ascii="宋体" w:hAnsi="宋体" w:cs="宋体"/>
          <w:color w:val="000000" w:themeColor="text1"/>
          <w:szCs w:val="21"/>
          <w14:textFill>
            <w14:solidFill>
              <w14:schemeClr w14:val="tx1"/>
            </w14:solidFill>
          </w14:textFill>
        </w:rPr>
        <w:t>扫描件。</w:t>
      </w:r>
    </w:p>
    <w:p w14:paraId="0A7D0026">
      <w:pPr>
        <w:autoSpaceDE w:val="0"/>
        <w:autoSpaceDN w:val="0"/>
        <w:adjustRightInd w:val="0"/>
        <w:jc w:val="left"/>
        <w:rPr>
          <w:rFonts w:hint="eastAsia" w:ascii="宋体" w:hAnsi="宋体" w:eastAsia="宋体" w:cs="宋体"/>
          <w:color w:val="000000" w:themeColor="text1"/>
          <w:kern w:val="0"/>
          <w:szCs w:val="21"/>
          <w14:textFill>
            <w14:solidFill>
              <w14:schemeClr w14:val="tx1"/>
            </w14:solidFill>
          </w14:textFill>
        </w:rPr>
      </w:pPr>
    </w:p>
    <w:p w14:paraId="7C96E2C3">
      <w:pPr>
        <w:snapToGrid w:val="0"/>
        <w:spacing w:line="360" w:lineRule="exact"/>
        <w:jc w:val="left"/>
        <w:rPr>
          <w:rFonts w:hint="eastAsia" w:ascii="宋体" w:hAnsi="宋体" w:eastAsia="宋体" w:cs="宋体"/>
          <w:color w:val="000000" w:themeColor="text1"/>
          <w:szCs w:val="21"/>
          <w14:textFill>
            <w14:solidFill>
              <w14:schemeClr w14:val="tx1"/>
            </w14:solidFill>
          </w14:textFill>
        </w:rPr>
      </w:pPr>
    </w:p>
    <w:p w14:paraId="74F128E3">
      <w:pPr>
        <w:spacing w:line="360" w:lineRule="auto"/>
        <w:ind w:firstLine="480" w:firstLineChars="200"/>
        <w:rPr>
          <w:rFonts w:ascii="宋体" w:hAnsi="宋体"/>
          <w:color w:val="000000" w:themeColor="text1"/>
          <w:sz w:val="24"/>
          <w:szCs w:val="24"/>
          <w14:textFill>
            <w14:solidFill>
              <w14:schemeClr w14:val="tx1"/>
            </w14:solidFill>
          </w14:textFill>
        </w:rPr>
      </w:pPr>
    </w:p>
    <w:p w14:paraId="17249EC3">
      <w:pPr>
        <w:rPr>
          <w:rFonts w:ascii="宋体" w:hAnsi="宋体"/>
          <w:b/>
          <w:bCs/>
          <w:color w:val="000000" w:themeColor="text1"/>
          <w:kern w:val="0"/>
          <w:sz w:val="24"/>
          <w:szCs w:val="28"/>
          <w14:textFill>
            <w14:solidFill>
              <w14:schemeClr w14:val="tx1"/>
            </w14:solidFill>
          </w14:textFill>
        </w:rPr>
      </w:pPr>
      <w:r>
        <w:rPr>
          <w:rFonts w:ascii="宋体" w:hAnsi="宋体"/>
          <w:b/>
          <w:bCs/>
          <w:color w:val="000000" w:themeColor="text1"/>
          <w:kern w:val="0"/>
          <w:sz w:val="24"/>
          <w:szCs w:val="28"/>
          <w14:textFill>
            <w14:solidFill>
              <w14:schemeClr w14:val="tx1"/>
            </w14:solidFill>
          </w14:textFill>
        </w:rPr>
        <w:br w:type="page"/>
      </w:r>
    </w:p>
    <w:p w14:paraId="01E3CD87">
      <w:pPr>
        <w:rPr>
          <w:rFonts w:ascii="宋体" w:hAnsi="宋体"/>
          <w:b/>
          <w:bCs/>
          <w:color w:val="000000" w:themeColor="text1"/>
          <w:kern w:val="0"/>
          <w:sz w:val="24"/>
          <w:szCs w:val="28"/>
          <w14:textFill>
            <w14:solidFill>
              <w14:schemeClr w14:val="tx1"/>
            </w14:solidFill>
          </w14:textFill>
        </w:rPr>
      </w:pPr>
    </w:p>
    <w:p w14:paraId="3102DD5E">
      <w:pPr>
        <w:spacing w:line="360" w:lineRule="auto"/>
        <w:jc w:val="center"/>
        <w:rPr>
          <w:rFonts w:ascii="宋体" w:hAnsi="宋体"/>
          <w:b/>
          <w:bCs/>
          <w:color w:val="000000" w:themeColor="text1"/>
          <w:kern w:val="0"/>
          <w:sz w:val="28"/>
          <w:szCs w:val="28"/>
          <w14:textFill>
            <w14:solidFill>
              <w14:schemeClr w14:val="tx1"/>
            </w14:solidFill>
          </w14:textFill>
        </w:rPr>
      </w:pPr>
      <w:r>
        <w:rPr>
          <w:rFonts w:ascii="宋体" w:hAnsi="宋体"/>
          <w:b/>
          <w:bCs/>
          <w:color w:val="000000" w:themeColor="text1"/>
          <w:kern w:val="0"/>
          <w:sz w:val="28"/>
          <w:szCs w:val="28"/>
          <w14:textFill>
            <w14:solidFill>
              <w14:schemeClr w14:val="tx1"/>
            </w14:solidFill>
          </w14:textFill>
        </w:rPr>
        <w:t>拟派项目经理无在建、待建项目责任承诺</w:t>
      </w:r>
    </w:p>
    <w:p w14:paraId="4E86D793">
      <w:pPr>
        <w:spacing w:line="480" w:lineRule="auto"/>
        <w:rPr>
          <w:rFonts w:ascii="宋体" w:hAnsi="宋体"/>
          <w:b/>
          <w:bCs/>
          <w:color w:val="000000" w:themeColor="text1"/>
          <w:kern w:val="0"/>
          <w:sz w:val="28"/>
          <w:szCs w:val="28"/>
          <w14:textFill>
            <w14:solidFill>
              <w14:schemeClr w14:val="tx1"/>
            </w14:solidFill>
          </w14:textFill>
        </w:rPr>
      </w:pPr>
    </w:p>
    <w:p w14:paraId="376088BB">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（招标人名称）：</w:t>
      </w:r>
    </w:p>
    <w:p w14:paraId="3B55B3B0">
      <w:pPr>
        <w:spacing w:line="48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根据《建筑施工项目经理质量安全责任十项规定》的第一条:</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建筑施工项目经理不得违反规定同时在两个及以上的工程项目担任项目经理</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的规定。为确保项目经理正常履职，本公司郑重承诺：我方拟派往</w:t>
      </w:r>
      <w:r>
        <w:rPr>
          <w:rFonts w:ascii="宋体" w:hAnsi="宋体"/>
          <w:color w:val="000000" w:themeColor="text1"/>
          <w:sz w:val="24"/>
          <w:szCs w:val="24"/>
          <w:u w:val="single"/>
          <w14:textFill>
            <w14:solidFill>
              <w14:schemeClr w14:val="tx1"/>
            </w14:solidFill>
          </w14:textFill>
        </w:rPr>
        <w:t xml:space="preserve">           （项目名称）</w:t>
      </w:r>
      <w:r>
        <w:rPr>
          <w:rFonts w:ascii="宋体" w:hAnsi="宋体"/>
          <w:color w:val="000000" w:themeColor="text1"/>
          <w:sz w:val="24"/>
          <w:szCs w:val="24"/>
          <w14:textFill>
            <w14:solidFill>
              <w14:schemeClr w14:val="tx1"/>
            </w14:solidFill>
          </w14:textFill>
        </w:rPr>
        <w:t>工程项目投标的项目</w:t>
      </w:r>
      <w:r>
        <w:rPr>
          <w:rFonts w:hint="eastAsia" w:ascii="宋体" w:hAnsi="宋体"/>
          <w:color w:val="000000" w:themeColor="text1"/>
          <w:sz w:val="24"/>
          <w:szCs w:val="24"/>
          <w:lang w:val="en-US" w:eastAsia="zh-CN"/>
          <w14:textFill>
            <w14:solidFill>
              <w14:schemeClr w14:val="tx1"/>
            </w14:solidFill>
          </w14:textFill>
        </w:rPr>
        <w:t>负责人</w:t>
      </w:r>
      <w:r>
        <w:rPr>
          <w:rFonts w:ascii="宋体" w:hAnsi="宋体"/>
          <w:color w:val="000000" w:themeColor="text1"/>
          <w:sz w:val="24"/>
          <w:szCs w:val="24"/>
          <w:u w:val="single"/>
          <w14:textFill>
            <w14:solidFill>
              <w14:schemeClr w14:val="tx1"/>
            </w14:solidFill>
          </w14:textFill>
        </w:rPr>
        <w:t xml:space="preserve">       （姓名）</w:t>
      </w:r>
      <w:r>
        <w:rPr>
          <w:rFonts w:ascii="宋体" w:hAnsi="宋体"/>
          <w:color w:val="000000" w:themeColor="text1"/>
          <w:sz w:val="24"/>
          <w:szCs w:val="24"/>
          <w14:textFill>
            <w14:solidFill>
              <w14:schemeClr w14:val="tx1"/>
            </w14:solidFill>
          </w14:textFill>
        </w:rPr>
        <w:t>，现阶段没有在建、待建项目。如在开标前，职能部门一旦核实该项目经理还在其他工程项目担任了项目经理，我公司将自动退出本项目投标，招标人有权拒绝接受我方投标文件。如我公司有幸在本项目中标，自中标之日起招标人如接到该项目经理有在建的举报投诉，职能部门一旦核实该项目经理还在其他工程项目担任了项目经理的，我公司自动放弃中标资格，并承担因我公司就此弄虚作假所引起的一切法律后果，并承担违约责任。</w:t>
      </w:r>
    </w:p>
    <w:p w14:paraId="376D5556">
      <w:pPr>
        <w:spacing w:line="48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特此承诺</w:t>
      </w:r>
    </w:p>
    <w:p w14:paraId="4D75F34A">
      <w:pPr>
        <w:spacing w:line="360" w:lineRule="auto"/>
        <w:ind w:firstLine="2318" w:firstLineChars="966"/>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投标人：</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电子签章</w:t>
      </w:r>
      <w:r>
        <w:rPr>
          <w:rFonts w:ascii="宋体" w:hAnsi="宋体"/>
          <w:color w:val="000000" w:themeColor="text1"/>
          <w:sz w:val="24"/>
          <w:szCs w:val="24"/>
          <w14:textFill>
            <w14:solidFill>
              <w14:schemeClr w14:val="tx1"/>
            </w14:solidFill>
          </w14:textFill>
        </w:rPr>
        <w:t>）</w:t>
      </w:r>
    </w:p>
    <w:p w14:paraId="5756F556">
      <w:pPr>
        <w:spacing w:line="360" w:lineRule="auto"/>
        <w:ind w:firstLine="2318" w:firstLineChars="966"/>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法定代表人：</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（签字）</w:t>
      </w:r>
    </w:p>
    <w:p w14:paraId="7B8A0FF0">
      <w:pPr>
        <w:wordWrap w:val="0"/>
        <w:spacing w:line="360" w:lineRule="auto"/>
        <w:ind w:right="1004" w:firstLine="2318" w:firstLineChars="966"/>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身份证号码：</w:t>
      </w:r>
      <w:r>
        <w:rPr>
          <w:rFonts w:ascii="宋体" w:hAnsi="宋体"/>
          <w:color w:val="000000" w:themeColor="text1"/>
          <w:sz w:val="24"/>
          <w:szCs w:val="24"/>
          <w:u w:val="single"/>
          <w14:textFill>
            <w14:solidFill>
              <w14:schemeClr w14:val="tx1"/>
            </w14:solidFill>
          </w14:textFill>
        </w:rPr>
        <w:t xml:space="preserve">                              </w:t>
      </w:r>
    </w:p>
    <w:p w14:paraId="1877A016">
      <w:pPr>
        <w:spacing w:line="360" w:lineRule="auto"/>
        <w:ind w:firstLine="2318" w:firstLineChars="966"/>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项目</w:t>
      </w:r>
      <w:r>
        <w:rPr>
          <w:rFonts w:hint="eastAsia" w:ascii="宋体" w:hAnsi="宋体"/>
          <w:color w:val="000000" w:themeColor="text1"/>
          <w:sz w:val="24"/>
          <w:szCs w:val="24"/>
          <w:lang w:val="en-US" w:eastAsia="zh-CN"/>
          <w14:textFill>
            <w14:solidFill>
              <w14:schemeClr w14:val="tx1"/>
            </w14:solidFill>
          </w14:textFill>
        </w:rPr>
        <w:t>负责人</w:t>
      </w:r>
      <w:r>
        <w:rPr>
          <w:rFonts w:ascii="宋体" w:hAnsi="宋体"/>
          <w:color w:val="000000" w:themeColor="text1"/>
          <w:sz w:val="24"/>
          <w:szCs w:val="24"/>
          <w14:textFill>
            <w14:solidFill>
              <w14:schemeClr w14:val="tx1"/>
            </w14:solidFill>
          </w14:textFill>
        </w:rPr>
        <w:t>：</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（签字）</w:t>
      </w:r>
    </w:p>
    <w:p w14:paraId="153EB6E7">
      <w:pPr>
        <w:tabs>
          <w:tab w:val="left" w:pos="8460"/>
        </w:tabs>
        <w:wordWrap w:val="0"/>
        <w:spacing w:line="360" w:lineRule="auto"/>
        <w:ind w:right="1244" w:firstLine="2318" w:firstLineChars="966"/>
        <w:jc w:val="left"/>
        <w:rPr>
          <w:rFonts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14:textFill>
            <w14:solidFill>
              <w14:schemeClr w14:val="tx1"/>
            </w14:solidFill>
          </w14:textFill>
        </w:rPr>
        <w:t>身份证号码：</w:t>
      </w:r>
      <w:r>
        <w:rPr>
          <w:rFonts w:ascii="宋体" w:hAnsi="宋体"/>
          <w:color w:val="000000" w:themeColor="text1"/>
          <w:sz w:val="24"/>
          <w:szCs w:val="24"/>
          <w:u w:val="single"/>
          <w14:textFill>
            <w14:solidFill>
              <w14:schemeClr w14:val="tx1"/>
            </w14:solidFill>
          </w14:textFill>
        </w:rPr>
        <w:t xml:space="preserve">                            </w:t>
      </w:r>
    </w:p>
    <w:p w14:paraId="2445B898">
      <w:pPr>
        <w:spacing w:line="360" w:lineRule="auto"/>
        <w:ind w:right="420" w:firstLine="3780" w:firstLineChars="1575"/>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年</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月</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日</w:t>
      </w:r>
    </w:p>
    <w:p w14:paraId="025A2583">
      <w:pPr>
        <w:ind w:firstLine="420" w:firstLineChars="200"/>
        <w:jc w:val="left"/>
        <w:rPr>
          <w:rFonts w:ascii="宋体" w:hAnsi="宋体"/>
          <w:bCs/>
          <w:color w:val="000000" w:themeColor="text1"/>
          <w:szCs w:val="21"/>
          <w14:textFill>
            <w14:solidFill>
              <w14:schemeClr w14:val="tx1"/>
            </w14:solidFill>
          </w14:textFill>
        </w:rPr>
      </w:pPr>
    </w:p>
    <w:p w14:paraId="3BC48357">
      <w:pPr>
        <w:rPr>
          <w:rFonts w:ascii="宋体" w:hAnsi="宋体"/>
          <w:color w:val="000000" w:themeColor="text1"/>
          <w:sz w:val="24"/>
          <w:szCs w:val="24"/>
          <w14:textFill>
            <w14:solidFill>
              <w14:schemeClr w14:val="tx1"/>
            </w14:solidFill>
          </w14:textFill>
        </w:rPr>
      </w:pPr>
    </w:p>
    <w:p w14:paraId="3D23F4C6">
      <w:pPr>
        <w:spacing w:line="360" w:lineRule="auto"/>
        <w:ind w:firstLine="482" w:firstLineChars="200"/>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br w:type="page"/>
      </w:r>
      <w:r>
        <w:rPr>
          <w:rFonts w:ascii="宋体" w:hAnsi="宋体"/>
          <w:b/>
          <w:bCs/>
          <w:color w:val="000000" w:themeColor="text1"/>
          <w:sz w:val="24"/>
          <w:szCs w:val="24"/>
          <w14:textFill>
            <w14:solidFill>
              <w14:schemeClr w14:val="tx1"/>
            </w14:solidFill>
          </w14:textFill>
        </w:rPr>
        <w:t>附件</w:t>
      </w:r>
      <w:r>
        <w:rPr>
          <w:rFonts w:hint="eastAsia" w:ascii="宋体" w:hAnsi="宋体"/>
          <w:b/>
          <w:bCs/>
          <w:color w:val="000000" w:themeColor="text1"/>
          <w:sz w:val="24"/>
          <w:szCs w:val="24"/>
          <w:lang w:eastAsia="zh-CN"/>
          <w14:textFill>
            <w14:solidFill>
              <w14:schemeClr w14:val="tx1"/>
            </w14:solidFill>
          </w14:textFill>
        </w:rPr>
        <w:t>四</w:t>
      </w:r>
      <w:r>
        <w:rPr>
          <w:rFonts w:ascii="宋体" w:hAnsi="宋体"/>
          <w:b/>
          <w:bCs/>
          <w:color w:val="000000" w:themeColor="text1"/>
          <w:sz w:val="24"/>
          <w:szCs w:val="24"/>
          <w14:textFill>
            <w14:solidFill>
              <w14:schemeClr w14:val="tx1"/>
            </w14:solidFill>
          </w14:textFill>
        </w:rPr>
        <w:t>：计划开、竣工日期和施工进度网络图</w:t>
      </w:r>
    </w:p>
    <w:p w14:paraId="564D3C1D">
      <w:pPr>
        <w:spacing w:line="360" w:lineRule="auto"/>
        <w:rPr>
          <w:rFonts w:hint="eastAsia" w:ascii="宋体" w:hAnsi="宋体"/>
          <w:b w:val="0"/>
          <w:bCs w:val="0"/>
          <w:color w:val="000000" w:themeColor="text1"/>
          <w:sz w:val="24"/>
          <w:szCs w:val="24"/>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1.投标人应递交施工进度网络图或施工进度表，说明按招标文件要求的计划工期进行施工的各个关键日期。</w:t>
      </w:r>
    </w:p>
    <w:p w14:paraId="1B78F89E">
      <w:pPr>
        <w:spacing w:line="360" w:lineRule="auto"/>
        <w:rPr>
          <w:rFonts w:hint="eastAsia" w:ascii="宋体" w:hAnsi="宋体"/>
          <w:b w:val="0"/>
          <w:bCs w:val="0"/>
          <w:color w:val="000000" w:themeColor="text1"/>
          <w:sz w:val="24"/>
          <w:szCs w:val="24"/>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2.施工进度表可采用网络图（或横道图）表示。</w:t>
      </w:r>
    </w:p>
    <w:p w14:paraId="251C64FA">
      <w:pPr>
        <w:spacing w:line="360" w:lineRule="auto"/>
        <w:rPr>
          <w:rFonts w:ascii="宋体" w:hAnsi="宋体"/>
          <w:b/>
          <w:bCs/>
          <w:color w:val="000000" w:themeColor="text1"/>
          <w:sz w:val="24"/>
          <w:szCs w:val="24"/>
          <w14:textFill>
            <w14:solidFill>
              <w14:schemeClr w14:val="tx1"/>
            </w14:solidFill>
          </w14:textFill>
        </w:rPr>
      </w:pPr>
    </w:p>
    <w:p w14:paraId="3D8B4A16">
      <w:pPr>
        <w:widowControl/>
        <w:spacing w:line="360" w:lineRule="auto"/>
        <w:rPr>
          <w:rFonts w:ascii="宋体" w:hAnsi="宋体" w:cs="宋体"/>
          <w:color w:val="000000" w:themeColor="text1"/>
          <w:kern w:val="0"/>
          <w:szCs w:val="21"/>
          <w14:textFill>
            <w14:solidFill>
              <w14:schemeClr w14:val="tx1"/>
            </w14:solidFill>
          </w14:textFill>
        </w:rPr>
      </w:pPr>
      <w:r>
        <w:rPr>
          <w:rFonts w:ascii="宋体" w:hAnsi="宋体"/>
          <w:color w:val="000000" w:themeColor="text1"/>
          <w:kern w:val="0"/>
          <w:sz w:val="24"/>
          <w:szCs w:val="28"/>
          <w14:textFill>
            <w14:solidFill>
              <w14:schemeClr w14:val="tx1"/>
            </w14:solidFill>
          </w14:textFill>
        </w:rPr>
        <w:br w:type="page"/>
      </w:r>
    </w:p>
    <w:p w14:paraId="471B355C">
      <w:pPr>
        <w:rPr>
          <w:rFonts w:ascii="宋体" w:hAnsi="宋体"/>
          <w:b/>
          <w:bCs/>
          <w:color w:val="000000" w:themeColor="text1"/>
          <w:kern w:val="0"/>
          <w:sz w:val="40"/>
          <w:szCs w:val="40"/>
          <w14:textFill>
            <w14:solidFill>
              <w14:schemeClr w14:val="tx1"/>
            </w14:solidFill>
          </w14:textFill>
        </w:rPr>
      </w:pPr>
    </w:p>
    <w:p w14:paraId="5649EDCA">
      <w:pPr>
        <w:adjustRightInd w:val="0"/>
        <w:snapToGrid w:val="0"/>
        <w:spacing w:line="360" w:lineRule="auto"/>
        <w:jc w:val="left"/>
        <w:outlineLvl w:val="0"/>
        <w:rPr>
          <w:rFonts w:ascii="宋体" w:hAnsi="宋体" w:eastAsia="宋体"/>
          <w:color w:val="000000"/>
          <w:kern w:val="0"/>
          <w:sz w:val="28"/>
          <w:szCs w:val="28"/>
          <w:highlight w:val="none"/>
        </w:rPr>
      </w:pPr>
      <w:bookmarkStart w:id="1703" w:name="_Toc10554"/>
      <w:r>
        <w:rPr>
          <w:rFonts w:hint="eastAsia" w:ascii="宋体" w:hAnsi="宋体" w:eastAsia="宋体"/>
          <w:color w:val="000000"/>
          <w:kern w:val="0"/>
          <w:sz w:val="28"/>
          <w:szCs w:val="28"/>
          <w:highlight w:val="none"/>
        </w:rPr>
        <w:t>附表五：施工总平面图</w:t>
      </w:r>
      <w:bookmarkEnd w:id="1703"/>
    </w:p>
    <w:p w14:paraId="6FA127D7">
      <w:pPr>
        <w:adjustRightInd w:val="0"/>
        <w:snapToGrid w:val="0"/>
        <w:spacing w:line="360" w:lineRule="auto"/>
        <w:jc w:val="left"/>
        <w:rPr>
          <w:rFonts w:ascii="宋体" w:hAnsi="宋体" w:eastAsia="宋体"/>
          <w:color w:val="000000"/>
          <w:kern w:val="0"/>
          <w:szCs w:val="21"/>
          <w:highlight w:val="none"/>
        </w:rPr>
      </w:pPr>
    </w:p>
    <w:p w14:paraId="3FBB7420">
      <w:pPr>
        <w:adjustRightInd w:val="0"/>
        <w:snapToGrid w:val="0"/>
        <w:spacing w:line="360" w:lineRule="auto"/>
        <w:ind w:firstLine="420" w:firstLineChars="200"/>
        <w:jc w:val="left"/>
        <w:rPr>
          <w:rFonts w:ascii="宋体" w:hAnsi="宋体" w:eastAsia="宋体"/>
          <w:color w:val="000000"/>
          <w:kern w:val="0"/>
          <w:szCs w:val="21"/>
          <w:highlight w:val="none"/>
        </w:rPr>
      </w:pPr>
      <w:r>
        <w:rPr>
          <w:rFonts w:hint="eastAsia" w:ascii="宋体" w:hAnsi="宋体" w:eastAsia="宋体"/>
          <w:color w:val="000000"/>
          <w:kern w:val="0"/>
          <w:szCs w:val="21"/>
          <w:highlight w:val="none"/>
        </w:rPr>
        <w:t>投标人应递交一份施工总平面图，绘出现场临时设施布置图表并附文字说明，说明临时设施、加工车间、现场办公、设备及仓储、供电、供水、卫生、生活、道路、消防等设施的情况和布置。</w:t>
      </w:r>
    </w:p>
    <w:p w14:paraId="00D6543D">
      <w:pPr>
        <w:adjustRightInd w:val="0"/>
        <w:snapToGrid w:val="0"/>
        <w:jc w:val="left"/>
        <w:rPr>
          <w:rFonts w:ascii="宋体" w:hAnsi="宋体" w:eastAsia="宋体"/>
          <w:color w:val="000000"/>
          <w:highlight w:val="none"/>
        </w:rPr>
      </w:pPr>
      <w:r>
        <w:rPr>
          <w:rFonts w:ascii="宋体" w:hAnsi="宋体" w:eastAsia="宋体"/>
          <w:color w:val="000000"/>
          <w:highlight w:val="none"/>
        </w:rPr>
        <w:br w:type="page"/>
      </w:r>
    </w:p>
    <w:p w14:paraId="7E4CD6E1">
      <w:pPr>
        <w:adjustRightInd w:val="0"/>
        <w:snapToGrid w:val="0"/>
        <w:spacing w:line="360" w:lineRule="auto"/>
        <w:jc w:val="left"/>
        <w:rPr>
          <w:rFonts w:ascii="宋体" w:hAnsi="宋体" w:eastAsia="宋体"/>
          <w:color w:val="000000"/>
          <w:kern w:val="0"/>
          <w:sz w:val="28"/>
          <w:szCs w:val="28"/>
          <w:highlight w:val="none"/>
        </w:rPr>
      </w:pPr>
      <w:r>
        <w:rPr>
          <w:rFonts w:hint="eastAsia" w:ascii="宋体" w:hAnsi="宋体" w:eastAsia="宋体"/>
          <w:color w:val="000000"/>
          <w:kern w:val="0"/>
          <w:sz w:val="28"/>
          <w:szCs w:val="28"/>
          <w:highlight w:val="none"/>
        </w:rPr>
        <w:t>附表六：临时用地表</w:t>
      </w:r>
    </w:p>
    <w:p w14:paraId="292D0DFF">
      <w:pPr>
        <w:adjustRightInd w:val="0"/>
        <w:snapToGrid w:val="0"/>
        <w:spacing w:line="360" w:lineRule="auto"/>
        <w:jc w:val="left"/>
        <w:rPr>
          <w:rFonts w:ascii="宋体" w:hAnsi="宋体" w:eastAsia="宋体"/>
          <w:color w:val="000000"/>
          <w:kern w:val="0"/>
          <w:szCs w:val="21"/>
          <w:highlight w:val="none"/>
        </w:rPr>
      </w:pPr>
    </w:p>
    <w:tbl>
      <w:tblPr>
        <w:tblStyle w:val="2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12"/>
        <w:gridCol w:w="2442"/>
        <w:gridCol w:w="2442"/>
        <w:gridCol w:w="2291"/>
      </w:tblGrid>
      <w:tr w14:paraId="76352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4D872764">
            <w:pPr>
              <w:adjustRightInd w:val="0"/>
              <w:snapToGrid w:val="0"/>
              <w:spacing w:line="360" w:lineRule="auto"/>
              <w:jc w:val="center"/>
              <w:rPr>
                <w:rFonts w:ascii="宋体" w:hAnsi="宋体" w:eastAsia="宋体"/>
                <w:color w:val="000000"/>
                <w:kern w:val="0"/>
                <w:szCs w:val="21"/>
                <w:highlight w:val="none"/>
              </w:rPr>
            </w:pPr>
            <w:r>
              <w:rPr>
                <w:rFonts w:hint="eastAsia" w:ascii="宋体" w:hAnsi="宋体" w:eastAsia="宋体"/>
                <w:color w:val="000000"/>
                <w:kern w:val="0"/>
                <w:szCs w:val="21"/>
                <w:highlight w:val="none"/>
              </w:rPr>
              <w:t>用途</w:t>
            </w:r>
          </w:p>
        </w:tc>
        <w:tc>
          <w:tcPr>
            <w:tcW w:w="1315" w:type="pct"/>
            <w:noWrap w:val="0"/>
            <w:vAlign w:val="center"/>
          </w:tcPr>
          <w:p w14:paraId="4B70CF07">
            <w:pPr>
              <w:adjustRightInd w:val="0"/>
              <w:snapToGrid w:val="0"/>
              <w:spacing w:line="360" w:lineRule="auto"/>
              <w:jc w:val="center"/>
              <w:rPr>
                <w:rFonts w:ascii="宋体" w:hAnsi="宋体" w:eastAsia="宋体"/>
                <w:color w:val="000000"/>
                <w:kern w:val="0"/>
                <w:szCs w:val="21"/>
                <w:highlight w:val="none"/>
              </w:rPr>
            </w:pPr>
            <w:r>
              <w:rPr>
                <w:rFonts w:hint="eastAsia" w:ascii="宋体" w:hAnsi="宋体" w:eastAsia="宋体"/>
                <w:color w:val="000000"/>
                <w:kern w:val="0"/>
                <w:szCs w:val="21"/>
                <w:highlight w:val="none"/>
              </w:rPr>
              <w:t>面积（平方米）</w:t>
            </w:r>
          </w:p>
        </w:tc>
        <w:tc>
          <w:tcPr>
            <w:tcW w:w="1315" w:type="pct"/>
            <w:noWrap w:val="0"/>
            <w:vAlign w:val="center"/>
          </w:tcPr>
          <w:p w14:paraId="2E7B6080">
            <w:pPr>
              <w:adjustRightInd w:val="0"/>
              <w:snapToGrid w:val="0"/>
              <w:spacing w:line="360" w:lineRule="auto"/>
              <w:jc w:val="center"/>
              <w:rPr>
                <w:rFonts w:ascii="宋体" w:hAnsi="宋体" w:eastAsia="宋体"/>
                <w:color w:val="000000"/>
                <w:kern w:val="0"/>
                <w:szCs w:val="21"/>
                <w:highlight w:val="none"/>
              </w:rPr>
            </w:pPr>
            <w:r>
              <w:rPr>
                <w:rFonts w:hint="eastAsia" w:ascii="宋体" w:hAnsi="宋体" w:eastAsia="宋体"/>
                <w:color w:val="000000"/>
                <w:kern w:val="0"/>
                <w:szCs w:val="21"/>
                <w:highlight w:val="none"/>
              </w:rPr>
              <w:t>位置</w:t>
            </w:r>
          </w:p>
        </w:tc>
        <w:tc>
          <w:tcPr>
            <w:tcW w:w="1233" w:type="pct"/>
            <w:noWrap w:val="0"/>
            <w:vAlign w:val="center"/>
          </w:tcPr>
          <w:p w14:paraId="2AEFE22A">
            <w:pPr>
              <w:adjustRightInd w:val="0"/>
              <w:snapToGrid w:val="0"/>
              <w:spacing w:line="360" w:lineRule="auto"/>
              <w:jc w:val="center"/>
              <w:rPr>
                <w:rFonts w:ascii="宋体" w:hAnsi="宋体" w:eastAsia="宋体"/>
                <w:color w:val="000000"/>
                <w:kern w:val="0"/>
                <w:szCs w:val="21"/>
                <w:highlight w:val="none"/>
              </w:rPr>
            </w:pPr>
            <w:r>
              <w:rPr>
                <w:rFonts w:hint="eastAsia" w:ascii="宋体" w:hAnsi="宋体" w:eastAsia="宋体"/>
                <w:color w:val="000000"/>
                <w:kern w:val="0"/>
                <w:szCs w:val="21"/>
                <w:highlight w:val="none"/>
              </w:rPr>
              <w:t>需用时间</w:t>
            </w:r>
          </w:p>
        </w:tc>
      </w:tr>
      <w:tr w14:paraId="69A50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5BD7CDC9">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0843D835">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024186A0">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62467A28">
            <w:pPr>
              <w:adjustRightInd w:val="0"/>
              <w:snapToGrid w:val="0"/>
              <w:spacing w:line="360" w:lineRule="auto"/>
              <w:jc w:val="center"/>
              <w:rPr>
                <w:rFonts w:ascii="宋体" w:hAnsi="宋体" w:eastAsia="宋体"/>
                <w:color w:val="000000"/>
                <w:kern w:val="0"/>
                <w:szCs w:val="21"/>
                <w:highlight w:val="none"/>
              </w:rPr>
            </w:pPr>
          </w:p>
        </w:tc>
      </w:tr>
      <w:tr w14:paraId="3C284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0C20648F">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4431F0B6">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4C92D60C">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511D1CFA">
            <w:pPr>
              <w:adjustRightInd w:val="0"/>
              <w:snapToGrid w:val="0"/>
              <w:spacing w:line="360" w:lineRule="auto"/>
              <w:jc w:val="center"/>
              <w:rPr>
                <w:rFonts w:ascii="宋体" w:hAnsi="宋体" w:eastAsia="宋体"/>
                <w:color w:val="000000"/>
                <w:kern w:val="0"/>
                <w:szCs w:val="21"/>
                <w:highlight w:val="none"/>
              </w:rPr>
            </w:pPr>
          </w:p>
        </w:tc>
      </w:tr>
      <w:tr w14:paraId="1F2AA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7D92C74B">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32EEF177">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73354365">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32465230">
            <w:pPr>
              <w:adjustRightInd w:val="0"/>
              <w:snapToGrid w:val="0"/>
              <w:spacing w:line="360" w:lineRule="auto"/>
              <w:jc w:val="center"/>
              <w:rPr>
                <w:rFonts w:ascii="宋体" w:hAnsi="宋体" w:eastAsia="宋体"/>
                <w:color w:val="000000"/>
                <w:kern w:val="0"/>
                <w:szCs w:val="21"/>
                <w:highlight w:val="none"/>
              </w:rPr>
            </w:pPr>
          </w:p>
        </w:tc>
      </w:tr>
      <w:tr w14:paraId="26367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4E63CA60">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259398FD">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7BED1DD3">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0DCA3463">
            <w:pPr>
              <w:adjustRightInd w:val="0"/>
              <w:snapToGrid w:val="0"/>
              <w:spacing w:line="360" w:lineRule="auto"/>
              <w:jc w:val="center"/>
              <w:rPr>
                <w:rFonts w:ascii="宋体" w:hAnsi="宋体" w:eastAsia="宋体"/>
                <w:color w:val="000000"/>
                <w:kern w:val="0"/>
                <w:szCs w:val="21"/>
                <w:highlight w:val="none"/>
              </w:rPr>
            </w:pPr>
          </w:p>
        </w:tc>
      </w:tr>
      <w:tr w14:paraId="7143D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0225B274">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3E76930B">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7D9346D7">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55FC1102">
            <w:pPr>
              <w:adjustRightInd w:val="0"/>
              <w:snapToGrid w:val="0"/>
              <w:spacing w:line="360" w:lineRule="auto"/>
              <w:jc w:val="center"/>
              <w:rPr>
                <w:rFonts w:ascii="宋体" w:hAnsi="宋体" w:eastAsia="宋体"/>
                <w:color w:val="000000"/>
                <w:kern w:val="0"/>
                <w:szCs w:val="21"/>
                <w:highlight w:val="none"/>
              </w:rPr>
            </w:pPr>
          </w:p>
        </w:tc>
      </w:tr>
      <w:tr w14:paraId="1DE55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0466D1F8">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46EC06A0">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2DA5959B">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49CB30D5">
            <w:pPr>
              <w:adjustRightInd w:val="0"/>
              <w:snapToGrid w:val="0"/>
              <w:spacing w:line="360" w:lineRule="auto"/>
              <w:jc w:val="center"/>
              <w:rPr>
                <w:rFonts w:ascii="宋体" w:hAnsi="宋体" w:eastAsia="宋体"/>
                <w:color w:val="000000"/>
                <w:kern w:val="0"/>
                <w:szCs w:val="21"/>
                <w:highlight w:val="none"/>
              </w:rPr>
            </w:pPr>
          </w:p>
        </w:tc>
      </w:tr>
      <w:tr w14:paraId="71DF0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130FF466">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1FCA9210">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010014C6">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33270665">
            <w:pPr>
              <w:adjustRightInd w:val="0"/>
              <w:snapToGrid w:val="0"/>
              <w:spacing w:line="360" w:lineRule="auto"/>
              <w:jc w:val="center"/>
              <w:rPr>
                <w:rFonts w:ascii="宋体" w:hAnsi="宋体" w:eastAsia="宋体"/>
                <w:color w:val="000000"/>
                <w:kern w:val="0"/>
                <w:szCs w:val="21"/>
                <w:highlight w:val="none"/>
              </w:rPr>
            </w:pPr>
          </w:p>
        </w:tc>
      </w:tr>
      <w:tr w14:paraId="13712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7D014E85">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46DBAF74">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19C879F6">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52792D9C">
            <w:pPr>
              <w:adjustRightInd w:val="0"/>
              <w:snapToGrid w:val="0"/>
              <w:spacing w:line="360" w:lineRule="auto"/>
              <w:jc w:val="center"/>
              <w:rPr>
                <w:rFonts w:ascii="宋体" w:hAnsi="宋体" w:eastAsia="宋体"/>
                <w:color w:val="000000"/>
                <w:kern w:val="0"/>
                <w:szCs w:val="21"/>
                <w:highlight w:val="none"/>
              </w:rPr>
            </w:pPr>
          </w:p>
        </w:tc>
      </w:tr>
      <w:tr w14:paraId="0EA0F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5E3F2F69">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70F5B0CC">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03C04A28">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49A4A4AB">
            <w:pPr>
              <w:adjustRightInd w:val="0"/>
              <w:snapToGrid w:val="0"/>
              <w:spacing w:line="360" w:lineRule="auto"/>
              <w:jc w:val="center"/>
              <w:rPr>
                <w:rFonts w:ascii="宋体" w:hAnsi="宋体" w:eastAsia="宋体"/>
                <w:color w:val="000000"/>
                <w:kern w:val="0"/>
                <w:szCs w:val="21"/>
                <w:highlight w:val="none"/>
              </w:rPr>
            </w:pPr>
          </w:p>
        </w:tc>
      </w:tr>
      <w:tr w14:paraId="31C3B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6F6AA256">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6792E9E0">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100994AF">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03775B3B">
            <w:pPr>
              <w:adjustRightInd w:val="0"/>
              <w:snapToGrid w:val="0"/>
              <w:spacing w:line="360" w:lineRule="auto"/>
              <w:jc w:val="center"/>
              <w:rPr>
                <w:rFonts w:ascii="宋体" w:hAnsi="宋体" w:eastAsia="宋体"/>
                <w:color w:val="000000"/>
                <w:kern w:val="0"/>
                <w:szCs w:val="21"/>
                <w:highlight w:val="none"/>
              </w:rPr>
            </w:pPr>
          </w:p>
        </w:tc>
      </w:tr>
      <w:tr w14:paraId="64E80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7F651990">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0619C927">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6F03CA6A">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685E33B2">
            <w:pPr>
              <w:adjustRightInd w:val="0"/>
              <w:snapToGrid w:val="0"/>
              <w:spacing w:line="360" w:lineRule="auto"/>
              <w:jc w:val="center"/>
              <w:rPr>
                <w:rFonts w:ascii="宋体" w:hAnsi="宋体" w:eastAsia="宋体"/>
                <w:color w:val="000000"/>
                <w:kern w:val="0"/>
                <w:szCs w:val="21"/>
                <w:highlight w:val="none"/>
              </w:rPr>
            </w:pPr>
          </w:p>
        </w:tc>
      </w:tr>
      <w:tr w14:paraId="7B021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42AFE276">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77385FA6">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5E80C389">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3EEFE329">
            <w:pPr>
              <w:adjustRightInd w:val="0"/>
              <w:snapToGrid w:val="0"/>
              <w:spacing w:line="360" w:lineRule="auto"/>
              <w:jc w:val="center"/>
              <w:rPr>
                <w:rFonts w:ascii="宋体" w:hAnsi="宋体" w:eastAsia="宋体"/>
                <w:color w:val="000000"/>
                <w:kern w:val="0"/>
                <w:szCs w:val="21"/>
                <w:highlight w:val="none"/>
              </w:rPr>
            </w:pPr>
          </w:p>
        </w:tc>
      </w:tr>
      <w:tr w14:paraId="3A346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0D3901E5">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3FA07390">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481F5930">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4FEE9ACE">
            <w:pPr>
              <w:adjustRightInd w:val="0"/>
              <w:snapToGrid w:val="0"/>
              <w:spacing w:line="360" w:lineRule="auto"/>
              <w:jc w:val="center"/>
              <w:rPr>
                <w:rFonts w:ascii="宋体" w:hAnsi="宋体" w:eastAsia="宋体"/>
                <w:color w:val="000000"/>
                <w:kern w:val="0"/>
                <w:szCs w:val="21"/>
                <w:highlight w:val="none"/>
              </w:rPr>
            </w:pPr>
          </w:p>
        </w:tc>
      </w:tr>
      <w:tr w14:paraId="18F61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2E0BA3A9">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51E6EA0F">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72DFEEF9">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4F488992">
            <w:pPr>
              <w:adjustRightInd w:val="0"/>
              <w:snapToGrid w:val="0"/>
              <w:spacing w:line="360" w:lineRule="auto"/>
              <w:jc w:val="center"/>
              <w:rPr>
                <w:rFonts w:ascii="宋体" w:hAnsi="宋体" w:eastAsia="宋体"/>
                <w:color w:val="000000"/>
                <w:kern w:val="0"/>
                <w:szCs w:val="21"/>
                <w:highlight w:val="none"/>
              </w:rPr>
            </w:pPr>
          </w:p>
        </w:tc>
      </w:tr>
      <w:tr w14:paraId="1EF33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28A394E8">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5304EE65">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77EA80E3">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1471F168">
            <w:pPr>
              <w:adjustRightInd w:val="0"/>
              <w:snapToGrid w:val="0"/>
              <w:spacing w:line="360" w:lineRule="auto"/>
              <w:jc w:val="center"/>
              <w:rPr>
                <w:rFonts w:ascii="宋体" w:hAnsi="宋体" w:eastAsia="宋体"/>
                <w:color w:val="000000"/>
                <w:kern w:val="0"/>
                <w:szCs w:val="21"/>
                <w:highlight w:val="none"/>
              </w:rPr>
            </w:pPr>
          </w:p>
        </w:tc>
      </w:tr>
      <w:tr w14:paraId="7A9BA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19279BDF">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7D380D8E">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3EE0BC6B">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19ACF625">
            <w:pPr>
              <w:adjustRightInd w:val="0"/>
              <w:snapToGrid w:val="0"/>
              <w:spacing w:line="360" w:lineRule="auto"/>
              <w:jc w:val="center"/>
              <w:rPr>
                <w:rFonts w:ascii="宋体" w:hAnsi="宋体" w:eastAsia="宋体"/>
                <w:color w:val="000000"/>
                <w:kern w:val="0"/>
                <w:szCs w:val="21"/>
                <w:highlight w:val="none"/>
              </w:rPr>
            </w:pPr>
          </w:p>
        </w:tc>
      </w:tr>
      <w:tr w14:paraId="2BF1D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57096022">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558E72A2">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21141DC8">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20AA69DD">
            <w:pPr>
              <w:adjustRightInd w:val="0"/>
              <w:snapToGrid w:val="0"/>
              <w:spacing w:line="360" w:lineRule="auto"/>
              <w:jc w:val="center"/>
              <w:rPr>
                <w:rFonts w:ascii="宋体" w:hAnsi="宋体" w:eastAsia="宋体"/>
                <w:color w:val="000000"/>
                <w:kern w:val="0"/>
                <w:szCs w:val="21"/>
                <w:highlight w:val="none"/>
              </w:rPr>
            </w:pPr>
          </w:p>
        </w:tc>
      </w:tr>
      <w:tr w14:paraId="3167E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2D1606FB">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41C78E19">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28E436EB">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503D07E2">
            <w:pPr>
              <w:adjustRightInd w:val="0"/>
              <w:snapToGrid w:val="0"/>
              <w:spacing w:line="360" w:lineRule="auto"/>
              <w:jc w:val="center"/>
              <w:rPr>
                <w:rFonts w:ascii="宋体" w:hAnsi="宋体" w:eastAsia="宋体"/>
                <w:color w:val="000000"/>
                <w:kern w:val="0"/>
                <w:szCs w:val="21"/>
                <w:highlight w:val="none"/>
              </w:rPr>
            </w:pPr>
          </w:p>
        </w:tc>
      </w:tr>
      <w:tr w14:paraId="5D8E0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7D4EAA1F">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39EEECA1">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37776E92">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42A05844">
            <w:pPr>
              <w:adjustRightInd w:val="0"/>
              <w:snapToGrid w:val="0"/>
              <w:spacing w:line="360" w:lineRule="auto"/>
              <w:jc w:val="center"/>
              <w:rPr>
                <w:rFonts w:ascii="宋体" w:hAnsi="宋体" w:eastAsia="宋体"/>
                <w:color w:val="000000"/>
                <w:kern w:val="0"/>
                <w:szCs w:val="21"/>
                <w:highlight w:val="none"/>
              </w:rPr>
            </w:pPr>
          </w:p>
        </w:tc>
      </w:tr>
      <w:tr w14:paraId="4D676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033C7CD9">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1D3CB7D3">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57B21C44">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6EEEFDC3">
            <w:pPr>
              <w:adjustRightInd w:val="0"/>
              <w:snapToGrid w:val="0"/>
              <w:spacing w:line="360" w:lineRule="auto"/>
              <w:jc w:val="center"/>
              <w:rPr>
                <w:rFonts w:ascii="宋体" w:hAnsi="宋体" w:eastAsia="宋体"/>
                <w:color w:val="000000"/>
                <w:kern w:val="0"/>
                <w:szCs w:val="21"/>
                <w:highlight w:val="none"/>
              </w:rPr>
            </w:pPr>
          </w:p>
        </w:tc>
      </w:tr>
      <w:tr w14:paraId="2582B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37" w:type="pct"/>
            <w:noWrap w:val="0"/>
            <w:vAlign w:val="center"/>
          </w:tcPr>
          <w:p w14:paraId="23DDE5E2">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6748651D">
            <w:pPr>
              <w:adjustRightInd w:val="0"/>
              <w:snapToGrid w:val="0"/>
              <w:spacing w:line="360" w:lineRule="auto"/>
              <w:jc w:val="center"/>
              <w:rPr>
                <w:rFonts w:ascii="宋体" w:hAnsi="宋体" w:eastAsia="宋体"/>
                <w:color w:val="000000"/>
                <w:kern w:val="0"/>
                <w:szCs w:val="21"/>
                <w:highlight w:val="none"/>
              </w:rPr>
            </w:pPr>
          </w:p>
        </w:tc>
        <w:tc>
          <w:tcPr>
            <w:tcW w:w="1315" w:type="pct"/>
            <w:noWrap w:val="0"/>
            <w:vAlign w:val="center"/>
          </w:tcPr>
          <w:p w14:paraId="65578738">
            <w:pPr>
              <w:adjustRightInd w:val="0"/>
              <w:snapToGrid w:val="0"/>
              <w:spacing w:line="360" w:lineRule="auto"/>
              <w:jc w:val="center"/>
              <w:rPr>
                <w:rFonts w:ascii="宋体" w:hAnsi="宋体" w:eastAsia="宋体"/>
                <w:color w:val="000000"/>
                <w:kern w:val="0"/>
                <w:szCs w:val="21"/>
                <w:highlight w:val="none"/>
              </w:rPr>
            </w:pPr>
          </w:p>
        </w:tc>
        <w:tc>
          <w:tcPr>
            <w:tcW w:w="1233" w:type="pct"/>
            <w:noWrap w:val="0"/>
            <w:vAlign w:val="center"/>
          </w:tcPr>
          <w:p w14:paraId="0B70AB70">
            <w:pPr>
              <w:adjustRightInd w:val="0"/>
              <w:snapToGrid w:val="0"/>
              <w:spacing w:line="360" w:lineRule="auto"/>
              <w:jc w:val="center"/>
              <w:rPr>
                <w:rFonts w:ascii="宋体" w:hAnsi="宋体" w:eastAsia="宋体"/>
                <w:color w:val="000000"/>
                <w:kern w:val="0"/>
                <w:szCs w:val="21"/>
                <w:highlight w:val="none"/>
              </w:rPr>
            </w:pPr>
          </w:p>
        </w:tc>
      </w:tr>
    </w:tbl>
    <w:p w14:paraId="77628991">
      <w:pPr>
        <w:rPr>
          <w:rFonts w:ascii="宋体" w:hAnsi="宋体"/>
          <w:b/>
          <w:bCs/>
          <w:color w:val="000000" w:themeColor="text1"/>
          <w:kern w:val="0"/>
          <w:sz w:val="40"/>
          <w:szCs w:val="40"/>
          <w14:textFill>
            <w14:solidFill>
              <w14:schemeClr w14:val="tx1"/>
            </w14:solidFill>
          </w14:textFill>
        </w:rPr>
      </w:pPr>
      <w:r>
        <w:rPr>
          <w:rFonts w:ascii="宋体" w:hAnsi="宋体" w:eastAsia="宋体"/>
          <w:color w:val="000000"/>
          <w:highlight w:val="none"/>
        </w:rPr>
        <w:br w:type="page"/>
      </w:r>
    </w:p>
    <w:p w14:paraId="121AC9C1">
      <w:pPr>
        <w:widowControl/>
        <w:spacing w:before="100" w:beforeAutospacing="1" w:after="100" w:afterAutospacing="1" w:line="360" w:lineRule="auto"/>
        <w:jc w:val="center"/>
        <w:outlineLvl w:val="1"/>
        <w:rPr>
          <w:rFonts w:ascii="宋体" w:hAnsi="宋体"/>
          <w:b/>
          <w:bCs/>
          <w:color w:val="000000" w:themeColor="text1"/>
          <w:kern w:val="0"/>
          <w:sz w:val="40"/>
          <w:szCs w:val="40"/>
          <w14:textFill>
            <w14:solidFill>
              <w14:schemeClr w14:val="tx1"/>
            </w14:solidFill>
          </w14:textFill>
        </w:rPr>
      </w:pPr>
    </w:p>
    <w:p w14:paraId="0B2F0227">
      <w:pPr>
        <w:widowControl/>
        <w:spacing w:before="100" w:beforeAutospacing="1" w:after="100" w:afterAutospacing="1" w:line="360" w:lineRule="auto"/>
        <w:jc w:val="center"/>
        <w:outlineLvl w:val="1"/>
        <w:rPr>
          <w:rFonts w:ascii="宋体" w:hAnsi="宋体"/>
          <w:b/>
          <w:bCs/>
          <w:color w:val="000000" w:themeColor="text1"/>
          <w:kern w:val="0"/>
          <w:sz w:val="40"/>
          <w:szCs w:val="40"/>
          <w14:textFill>
            <w14:solidFill>
              <w14:schemeClr w14:val="tx1"/>
            </w14:solidFill>
          </w14:textFill>
        </w:rPr>
      </w:pPr>
    </w:p>
    <w:p w14:paraId="65CCDDD9">
      <w:pPr>
        <w:widowControl/>
        <w:spacing w:before="100" w:beforeAutospacing="1" w:after="100" w:afterAutospacing="1" w:line="360" w:lineRule="auto"/>
        <w:jc w:val="center"/>
        <w:outlineLvl w:val="1"/>
        <w:rPr>
          <w:rFonts w:ascii="宋体" w:hAnsi="宋体"/>
          <w:b/>
          <w:bCs/>
          <w:color w:val="000000" w:themeColor="text1"/>
          <w:kern w:val="0"/>
          <w:sz w:val="40"/>
          <w:szCs w:val="40"/>
          <w14:textFill>
            <w14:solidFill>
              <w14:schemeClr w14:val="tx1"/>
            </w14:solidFill>
          </w14:textFill>
        </w:rPr>
      </w:pPr>
    </w:p>
    <w:p w14:paraId="22B5068D">
      <w:pPr>
        <w:widowControl/>
        <w:spacing w:before="100" w:beforeAutospacing="1" w:after="100" w:afterAutospacing="1" w:line="360" w:lineRule="auto"/>
        <w:jc w:val="center"/>
        <w:outlineLvl w:val="1"/>
        <w:rPr>
          <w:rFonts w:ascii="宋体" w:hAnsi="宋体"/>
          <w:b/>
          <w:bCs/>
          <w:color w:val="000000" w:themeColor="text1"/>
          <w:kern w:val="0"/>
          <w:sz w:val="40"/>
          <w:szCs w:val="40"/>
          <w14:textFill>
            <w14:solidFill>
              <w14:schemeClr w14:val="tx1"/>
            </w14:solidFill>
          </w14:textFill>
        </w:rPr>
      </w:pPr>
    </w:p>
    <w:p w14:paraId="3018D727">
      <w:pPr>
        <w:widowControl/>
        <w:spacing w:before="100" w:beforeAutospacing="1" w:after="100" w:afterAutospacing="1" w:line="360" w:lineRule="auto"/>
        <w:jc w:val="center"/>
        <w:outlineLvl w:val="1"/>
        <w:rPr>
          <w:rFonts w:ascii="宋体" w:hAnsi="宋体"/>
          <w:b/>
          <w:bCs/>
          <w:color w:val="000000" w:themeColor="text1"/>
          <w:kern w:val="0"/>
          <w:sz w:val="40"/>
          <w:szCs w:val="40"/>
          <w14:textFill>
            <w14:solidFill>
              <w14:schemeClr w14:val="tx1"/>
            </w14:solidFill>
          </w14:textFill>
        </w:rPr>
      </w:pPr>
    </w:p>
    <w:p w14:paraId="7D5BA381">
      <w:pPr>
        <w:widowControl/>
        <w:spacing w:before="100" w:beforeAutospacing="1" w:after="100" w:afterAutospacing="1" w:line="360" w:lineRule="auto"/>
        <w:jc w:val="center"/>
        <w:outlineLvl w:val="1"/>
        <w:rPr>
          <w:rFonts w:ascii="宋体" w:hAnsi="宋体"/>
          <w:b/>
          <w:bCs/>
          <w:color w:val="000000" w:themeColor="text1"/>
          <w:kern w:val="0"/>
          <w:sz w:val="40"/>
          <w:szCs w:val="40"/>
          <w14:textFill>
            <w14:solidFill>
              <w14:schemeClr w14:val="tx1"/>
            </w14:solidFill>
          </w14:textFill>
        </w:rPr>
      </w:pPr>
    </w:p>
    <w:p w14:paraId="6084311C">
      <w:pPr>
        <w:widowControl/>
        <w:spacing w:before="100" w:beforeAutospacing="1" w:after="100" w:afterAutospacing="1" w:line="360" w:lineRule="auto"/>
        <w:jc w:val="center"/>
        <w:outlineLvl w:val="1"/>
        <w:rPr>
          <w:rFonts w:ascii="宋体" w:hAnsi="宋体"/>
          <w:b/>
          <w:bCs/>
          <w:color w:val="000000" w:themeColor="text1"/>
          <w:kern w:val="0"/>
          <w:sz w:val="40"/>
          <w:szCs w:val="40"/>
          <w14:textFill>
            <w14:solidFill>
              <w14:schemeClr w14:val="tx1"/>
            </w14:solidFill>
          </w14:textFill>
        </w:rPr>
      </w:pPr>
      <w:r>
        <w:rPr>
          <w:rFonts w:ascii="宋体" w:hAnsi="宋体"/>
          <w:b/>
          <w:bCs/>
          <w:color w:val="000000" w:themeColor="text1"/>
          <w:kern w:val="0"/>
          <w:sz w:val="40"/>
          <w:szCs w:val="40"/>
          <w14:textFill>
            <w14:solidFill>
              <w14:schemeClr w14:val="tx1"/>
            </w14:solidFill>
          </w14:textFill>
        </w:rPr>
        <w:t>商务部分</w:t>
      </w:r>
    </w:p>
    <w:p w14:paraId="6D8ACE4A">
      <w:pPr>
        <w:keepNext w:val="0"/>
        <w:keepLines w:val="0"/>
        <w:pageBreakBefore w:val="0"/>
        <w:widowControl/>
        <w:kinsoku/>
        <w:wordWrap/>
        <w:overflowPunct/>
        <w:topLinePunct w:val="0"/>
        <w:autoSpaceDE/>
        <w:autoSpaceDN/>
        <w:bidi w:val="0"/>
        <w:adjustRightInd/>
        <w:snapToGrid/>
        <w:spacing w:before="100" w:beforeAutospacing="1" w:after="100" w:afterAutospacing="1" w:line="240" w:lineRule="auto"/>
        <w:jc w:val="center"/>
        <w:textAlignment w:val="auto"/>
        <w:outlineLvl w:val="2"/>
        <w:rPr>
          <w:rFonts w:ascii="宋体" w:hAnsi="宋体"/>
          <w:b/>
          <w:bCs/>
          <w:color w:val="000000" w:themeColor="text1"/>
          <w:kern w:val="0"/>
          <w:sz w:val="24"/>
          <w:szCs w:val="24"/>
          <w14:textFill>
            <w14:solidFill>
              <w14:schemeClr w14:val="tx1"/>
            </w14:solidFill>
          </w14:textFill>
        </w:rPr>
      </w:pPr>
      <w:r>
        <w:rPr>
          <w:rFonts w:ascii="宋体" w:hAnsi="宋体"/>
          <w:color w:val="000000" w:themeColor="text1"/>
          <w:kern w:val="0"/>
          <w:sz w:val="24"/>
          <w:szCs w:val="24"/>
          <w14:textFill>
            <w14:solidFill>
              <w14:schemeClr w14:val="tx1"/>
            </w14:solidFill>
          </w14:textFill>
        </w:rPr>
        <w:br w:type="page"/>
      </w:r>
      <w:bookmarkStart w:id="1704" w:name="_Toc15239639"/>
      <w:r>
        <w:rPr>
          <w:rFonts w:ascii="宋体" w:hAnsi="宋体"/>
          <w:b/>
          <w:bCs/>
          <w:color w:val="000000" w:themeColor="text1"/>
          <w:kern w:val="0"/>
          <w:sz w:val="24"/>
          <w:szCs w:val="24"/>
          <w14:textFill>
            <w14:solidFill>
              <w14:schemeClr w14:val="tx1"/>
            </w14:solidFill>
          </w14:textFill>
        </w:rPr>
        <w:t>一、投标函</w:t>
      </w:r>
      <w:bookmarkEnd w:id="1704"/>
    </w:p>
    <w:p w14:paraId="73E50A3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致：</w:t>
      </w:r>
      <w:r>
        <w:rPr>
          <w:rFonts w:hint="eastAsia" w:ascii="宋体" w:hAnsi="宋体" w:eastAsia="宋体" w:cs="宋体"/>
          <w:color w:val="000000" w:themeColor="text1"/>
          <w:szCs w:val="21"/>
          <w:u w:val="single"/>
          <w14:textFill>
            <w14:solidFill>
              <w14:schemeClr w14:val="tx1"/>
            </w14:solidFill>
          </w14:textFill>
        </w:rPr>
        <w:t xml:space="preserve">   (招标人名称)    </w:t>
      </w:r>
    </w:p>
    <w:p w14:paraId="136295D2">
      <w:pPr>
        <w:spacing w:line="360" w:lineRule="auto"/>
        <w:ind w:firstLine="420" w:firstLineChars="200"/>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1.我方已仔细研究了</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（标段名称）招标文件的全部内容，愿意以人民币（大写</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元</w:t>
      </w:r>
      <w:r>
        <w:rPr>
          <w:rFonts w:hint="eastAsia" w:ascii="宋体" w:hAnsi="宋体" w:cs="宋体"/>
          <w:color w:val="000000" w:themeColor="text1"/>
          <w:szCs w:val="21"/>
          <w:lang w:val="en-US" w:eastAsia="zh-CN"/>
          <w14:textFill>
            <w14:solidFill>
              <w14:schemeClr w14:val="tx1"/>
            </w14:solidFill>
          </w14:textFill>
        </w:rPr>
        <w:t xml:space="preserve">  小写</w:t>
      </w:r>
      <w:r>
        <w:rPr>
          <w:rFonts w:hint="eastAsia" w:ascii="宋体" w:hAnsi="宋体" w:eastAsia="宋体" w:cs="宋体"/>
          <w:color w:val="000000" w:themeColor="text1"/>
          <w:szCs w:val="21"/>
          <w14:textFill>
            <w14:solidFill>
              <w14:schemeClr w14:val="tx1"/>
            </w14:solidFill>
          </w14:textFill>
        </w:rPr>
        <w:t>￥</w:t>
      </w:r>
      <w:r>
        <w:rPr>
          <w:rFonts w:hint="eastAsia" w:ascii="宋体" w:hAnsi="宋体" w:cs="宋体"/>
          <w:i/>
          <w:iCs/>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）的投标总报价，工期</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日历天，按合同约定实施和完成承包工程，修补工程中的任何缺陷，工程质量达到</w:t>
      </w:r>
      <w:r>
        <w:rPr>
          <w:rFonts w:hint="eastAsia" w:ascii="宋体" w:hAnsi="宋体" w:cs="宋体"/>
          <w:color w:val="000000" w:themeColor="text1"/>
          <w:szCs w:val="21"/>
          <w:lang w:val="en-US" w:eastAsia="zh-CN"/>
          <w14:textFill>
            <w14:solidFill>
              <w14:schemeClr w14:val="tx1"/>
            </w14:solidFill>
          </w14:textFill>
        </w:rPr>
        <w:t>:</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w:t>
      </w:r>
    </w:p>
    <w:p w14:paraId="45F2FA78">
      <w:pP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2.我方承诺在投标有效期内不修改、撤销投标文件。</w:t>
      </w:r>
    </w:p>
    <w:p w14:paraId="4166B784">
      <w:pP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.如我方中标：</w:t>
      </w:r>
    </w:p>
    <w:p w14:paraId="21A26241">
      <w:pPr>
        <w:spacing w:line="360" w:lineRule="auto"/>
        <w:jc w:val="left"/>
        <w:rPr>
          <w:rFonts w:hint="eastAsia" w:ascii="宋体" w:hAnsi="宋体" w:eastAsia="宋体" w:cs="宋体"/>
          <w:color w:val="000000" w:themeColor="text1"/>
          <w:spacing w:val="-14"/>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pacing w:val="-14"/>
          <w:szCs w:val="21"/>
          <w14:textFill>
            <w14:solidFill>
              <w14:schemeClr w14:val="tx1"/>
            </w14:solidFill>
          </w14:textFill>
        </w:rPr>
        <w:t>我方承诺在收到中标通知书后，在中标通知书规定的期限内与你方签订合同。</w:t>
      </w:r>
    </w:p>
    <w:p w14:paraId="38C0EF89">
      <w:pPr>
        <w:spacing w:line="360" w:lineRule="auto"/>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（2）随同本投标函递交的投标函附录属于合同文件的组成部分。</w:t>
      </w:r>
    </w:p>
    <w:p w14:paraId="48BA064D">
      <w:pPr>
        <w:spacing w:line="360" w:lineRule="auto"/>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（3）我方承诺按照招标文件规定向你方递交履约担保。</w:t>
      </w:r>
    </w:p>
    <w:p w14:paraId="5EFB02A3">
      <w:pPr>
        <w:spacing w:line="360" w:lineRule="auto"/>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（4）我方承诺在合同约定的期限内完成并移交全部合同工程。</w:t>
      </w:r>
    </w:p>
    <w:p w14:paraId="63C1485E">
      <w:pPr>
        <w:spacing w:line="360" w:lineRule="auto"/>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我方承诺拟定的项目经理在投标及如果中标后的施工过程中不产生变更；如果因特殊情况需要变更的，将提请你方审批，对由此造成的影响，我方负完全责任，并接受你方的处理，同时我方保证应投入的机械能及时到位，项目经理在现场实行考勤制，在施工期内须有三分之二以上时间在工地现场，每差一天罚款600元。</w:t>
      </w:r>
    </w:p>
    <w:p w14:paraId="5B71B23B">
      <w:pP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w:t>
      </w:r>
      <w:r>
        <w:rPr>
          <w:rFonts w:hint="eastAsia" w:ascii="宋体" w:hAnsi="宋体" w:eastAsia="宋体" w:cs="宋体"/>
          <w:color w:val="000000" w:themeColor="text1"/>
          <w:szCs w:val="21"/>
          <w14:textFill>
            <w14:solidFill>
              <w14:schemeClr w14:val="tx1"/>
            </w14:solidFill>
          </w14:textFill>
        </w:rPr>
        <w:t>.在合同协议书正式签署生效之前，本投标函连同你方的中标通知书将构成我们双方之间共同遵守的合同文件，对双方具有约束力。</w:t>
      </w:r>
    </w:p>
    <w:p w14:paraId="3D8852F9">
      <w:pPr>
        <w:spacing w:line="360" w:lineRule="auto"/>
        <w:ind w:firstLine="420" w:firstLineChars="200"/>
        <w:rPr>
          <w:rFonts w:hint="eastAsia" w:ascii="宋体" w:hAnsi="宋体" w:eastAsia="宋体" w:cs="宋体"/>
          <w:bCs/>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5</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bCs/>
          <w:color w:val="000000" w:themeColor="text1"/>
          <w:szCs w:val="21"/>
          <w14:textFill>
            <w14:solidFill>
              <w14:schemeClr w14:val="tx1"/>
            </w14:solidFill>
          </w14:textFill>
        </w:rPr>
        <w:t>我们同意在从规定的开标之日起</w:t>
      </w:r>
      <w:r>
        <w:rPr>
          <w:rFonts w:hint="eastAsia" w:ascii="宋体" w:hAnsi="宋体" w:eastAsia="宋体" w:cs="宋体"/>
          <w:bCs/>
          <w:color w:val="000000" w:themeColor="text1"/>
          <w:szCs w:val="21"/>
          <w:u w:val="single"/>
          <w14:textFill>
            <w14:solidFill>
              <w14:schemeClr w14:val="tx1"/>
            </w14:solidFill>
          </w14:textFill>
        </w:rPr>
        <w:t xml:space="preserve">     日历天</w:t>
      </w:r>
      <w:r>
        <w:rPr>
          <w:rFonts w:hint="eastAsia" w:ascii="宋体" w:hAnsi="宋体" w:eastAsia="宋体" w:cs="宋体"/>
          <w:bCs/>
          <w:color w:val="000000" w:themeColor="text1"/>
          <w:szCs w:val="21"/>
          <w14:textFill>
            <w14:solidFill>
              <w14:schemeClr w14:val="tx1"/>
            </w14:solidFill>
          </w14:textFill>
        </w:rPr>
        <w:t>的投标文件有效期内严格遵守本投标函的各项承诺。在此期限届满之前，本投标函始终对我方具有约束力，并随时接受中标。</w:t>
      </w:r>
    </w:p>
    <w:p w14:paraId="5503E1B6">
      <w:pPr>
        <w:spacing w:line="360" w:lineRule="auto"/>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6</w:t>
      </w:r>
      <w:r>
        <w:rPr>
          <w:rFonts w:hint="eastAsia" w:ascii="宋体" w:hAnsi="宋体" w:eastAsia="宋体" w:cs="宋体"/>
          <w:color w:val="000000" w:themeColor="text1"/>
          <w:szCs w:val="21"/>
          <w14:textFill>
            <w14:solidFill>
              <w14:schemeClr w14:val="tx1"/>
            </w14:solidFill>
          </w14:textFill>
        </w:rPr>
        <w:t>.如果我们在本投标文件有效期内撤回投标文件；或拒绝接受按投标人须知规定的对投标文件中细微偏差进行澄清与补正；或提交了虚假材料；或在接到中标通知书后的7天内未能或拒绝签订合同协议书；或未能提交履约担保；或在中标公示期间表明将放弃中标；或拒绝接受不平衡报价调整，你单位有权没收投标担保金，另选中标单位。</w:t>
      </w:r>
    </w:p>
    <w:p w14:paraId="3C655C4F">
      <w:pPr>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7</w:t>
      </w:r>
      <w:r>
        <w:rPr>
          <w:rFonts w:hint="eastAsia" w:ascii="宋体" w:hAnsi="宋体" w:eastAsia="宋体" w:cs="宋体"/>
          <w:color w:val="000000" w:themeColor="text1"/>
          <w:szCs w:val="21"/>
          <w14:textFill>
            <w14:solidFill>
              <w14:schemeClr w14:val="tx1"/>
            </w14:solidFill>
          </w14:textFill>
        </w:rPr>
        <w:t>.我方在此声明，所递交的投标文件及有关资料内容完整、真实和准确。</w:t>
      </w:r>
    </w:p>
    <w:p w14:paraId="7571E992">
      <w:pPr>
        <w:spacing w:line="360" w:lineRule="auto"/>
        <w:jc w:val="lef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投 标 人：</w:t>
      </w:r>
      <w:r>
        <w:rPr>
          <w:rFonts w:hint="eastAsia" w:ascii="宋体" w:hAnsi="宋体" w:eastAsia="宋体" w:cs="宋体"/>
          <w:color w:val="000000" w:themeColor="text1"/>
          <w:szCs w:val="21"/>
          <w:u w:val="single"/>
          <w14:textFill>
            <w14:solidFill>
              <w14:schemeClr w14:val="tx1"/>
            </w14:solidFill>
          </w14:textFill>
        </w:rPr>
        <w:t xml:space="preserve">                              （电子签章）</w:t>
      </w:r>
    </w:p>
    <w:p w14:paraId="314B5295">
      <w:pPr>
        <w:spacing w:line="360" w:lineRule="auto"/>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法定代表人或其委托代理人：</w:t>
      </w:r>
      <w:r>
        <w:rPr>
          <w:rFonts w:hint="eastAsia" w:ascii="宋体" w:hAnsi="宋体" w:eastAsia="宋体" w:cs="宋体"/>
          <w:color w:val="000000" w:themeColor="text1"/>
          <w:szCs w:val="21"/>
          <w:u w:val="single"/>
          <w14:textFill>
            <w14:solidFill>
              <w14:schemeClr w14:val="tx1"/>
            </w14:solidFill>
          </w14:textFill>
        </w:rPr>
        <w:t xml:space="preserve">              （电子签章）</w:t>
      </w:r>
    </w:p>
    <w:p w14:paraId="6C7EFE71">
      <w:pPr>
        <w:spacing w:line="360" w:lineRule="auto"/>
        <w:ind w:firstLine="2100" w:firstLineChars="1000"/>
        <w:jc w:val="left"/>
        <w:rPr>
          <w:rFonts w:hint="eastAsia" w:ascii="宋体" w:hAnsi="宋体" w:cs="宋体"/>
          <w:color w:val="000000" w:themeColor="text1"/>
          <w:szCs w:val="21"/>
          <w:u w:val="single"/>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单位地址：</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p>
    <w:p w14:paraId="7B68BC80">
      <w:pPr>
        <w:spacing w:line="360" w:lineRule="auto"/>
        <w:ind w:firstLine="2100" w:firstLineChars="1000"/>
        <w:jc w:val="left"/>
        <w:rPr>
          <w:rFonts w:hint="default" w:ascii="宋体" w:hAnsi="宋体" w:eastAsia="宋体" w:cs="宋体"/>
          <w:color w:val="000000" w:themeColor="text1"/>
          <w:szCs w:val="21"/>
          <w:u w:val="single"/>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联系电话：</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p>
    <w:p w14:paraId="48562E0F">
      <w:pPr>
        <w:spacing w:line="360" w:lineRule="auto"/>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日期：</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年</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月</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日</w:t>
      </w:r>
    </w:p>
    <w:p w14:paraId="739BEB23">
      <w:pPr>
        <w:widowControl/>
        <w:spacing w:line="360" w:lineRule="auto"/>
        <w:jc w:val="center"/>
        <w:outlineLvl w:val="2"/>
        <w:rPr>
          <w:rFonts w:ascii="宋体" w:hAnsi="宋体"/>
          <w:b/>
          <w:bCs/>
          <w:color w:val="000000" w:themeColor="text1"/>
          <w:kern w:val="0"/>
          <w:sz w:val="24"/>
          <w14:textFill>
            <w14:solidFill>
              <w14:schemeClr w14:val="tx1"/>
            </w14:solidFill>
          </w14:textFill>
        </w:rPr>
      </w:pPr>
      <w:bookmarkStart w:id="1705" w:name="_Toc115254296"/>
      <w:bookmarkStart w:id="1706" w:name="_Toc530"/>
      <w:bookmarkStart w:id="1707" w:name="_Toc117868030"/>
      <w:r>
        <w:rPr>
          <w:rFonts w:hint="eastAsia" w:ascii="宋体" w:hAnsi="宋体"/>
          <w:b/>
          <w:bCs/>
          <w:color w:val="000000" w:themeColor="text1"/>
          <w:kern w:val="0"/>
          <w:sz w:val="24"/>
          <w14:textFill>
            <w14:solidFill>
              <w14:schemeClr w14:val="tx1"/>
            </w14:solidFill>
          </w14:textFill>
        </w:rPr>
        <w:t>二、投标函附录</w:t>
      </w:r>
      <w:bookmarkEnd w:id="1705"/>
      <w:bookmarkEnd w:id="1706"/>
      <w:bookmarkEnd w:id="1707"/>
    </w:p>
    <w:tbl>
      <w:tblPr>
        <w:tblStyle w:val="23"/>
        <w:tblW w:w="89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2545"/>
        <w:gridCol w:w="3402"/>
        <w:gridCol w:w="2203"/>
      </w:tblGrid>
      <w:tr w14:paraId="700A1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4" w:type="dxa"/>
            <w:vAlign w:val="center"/>
          </w:tcPr>
          <w:p w14:paraId="6315B33C">
            <w:pPr>
              <w:pStyle w:val="20"/>
              <w:spacing w:before="0" w:beforeAutospacing="0" w:after="0" w:afterAutospacing="0" w:line="360" w:lineRule="auto"/>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序号</w:t>
            </w:r>
          </w:p>
        </w:tc>
        <w:tc>
          <w:tcPr>
            <w:tcW w:w="2545" w:type="dxa"/>
            <w:vAlign w:val="center"/>
          </w:tcPr>
          <w:p w14:paraId="7C6BA204">
            <w:pPr>
              <w:pStyle w:val="20"/>
              <w:spacing w:before="0" w:beforeAutospacing="0" w:after="0" w:afterAutospacing="0" w:line="360" w:lineRule="auto"/>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条款名称</w:t>
            </w:r>
          </w:p>
        </w:tc>
        <w:tc>
          <w:tcPr>
            <w:tcW w:w="3402" w:type="dxa"/>
            <w:vAlign w:val="center"/>
          </w:tcPr>
          <w:p w14:paraId="6A2676A9">
            <w:pPr>
              <w:pStyle w:val="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招标人约定内容</w:t>
            </w:r>
          </w:p>
        </w:tc>
        <w:tc>
          <w:tcPr>
            <w:tcW w:w="2203" w:type="dxa"/>
            <w:vAlign w:val="center"/>
          </w:tcPr>
          <w:p w14:paraId="1AD98317">
            <w:pPr>
              <w:pStyle w:val="20"/>
              <w:spacing w:before="0" w:beforeAutospacing="0" w:after="0" w:afterAutospacing="0" w:line="360" w:lineRule="auto"/>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投标人承诺内容</w:t>
            </w:r>
          </w:p>
        </w:tc>
      </w:tr>
      <w:tr w14:paraId="2F70C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4" w:type="dxa"/>
            <w:vAlign w:val="center"/>
          </w:tcPr>
          <w:p w14:paraId="4403191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2545" w:type="dxa"/>
            <w:vAlign w:val="center"/>
          </w:tcPr>
          <w:p w14:paraId="3111EBC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项目负责人</w:t>
            </w:r>
          </w:p>
        </w:tc>
        <w:tc>
          <w:tcPr>
            <w:tcW w:w="3402" w:type="dxa"/>
            <w:vAlign w:val="center"/>
          </w:tcPr>
          <w:p w14:paraId="75438BD7">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p w14:paraId="102F3D91">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证书号：</w:t>
            </w:r>
          </w:p>
        </w:tc>
        <w:tc>
          <w:tcPr>
            <w:tcW w:w="2203" w:type="dxa"/>
            <w:vAlign w:val="center"/>
          </w:tcPr>
          <w:p w14:paraId="6367AD41">
            <w:pPr>
              <w:spacing w:line="360" w:lineRule="auto"/>
              <w:jc w:val="center"/>
              <w:rPr>
                <w:rFonts w:ascii="宋体" w:hAnsi="宋体" w:cs="宋体"/>
                <w:color w:val="000000" w:themeColor="text1"/>
                <w:szCs w:val="21"/>
                <w14:textFill>
                  <w14:solidFill>
                    <w14:schemeClr w14:val="tx1"/>
                  </w14:solidFill>
                </w14:textFill>
              </w:rPr>
            </w:pPr>
          </w:p>
        </w:tc>
      </w:tr>
      <w:tr w14:paraId="5C903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4" w:type="dxa"/>
            <w:vAlign w:val="center"/>
          </w:tcPr>
          <w:p w14:paraId="247DE41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2545" w:type="dxa"/>
            <w:vAlign w:val="center"/>
          </w:tcPr>
          <w:p w14:paraId="61D9142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工期</w:t>
            </w:r>
          </w:p>
        </w:tc>
        <w:tc>
          <w:tcPr>
            <w:tcW w:w="3402" w:type="dxa"/>
            <w:vAlign w:val="center"/>
          </w:tcPr>
          <w:p w14:paraId="2C6FEAE5">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工期：</w:t>
            </w:r>
            <w:r>
              <w:rPr>
                <w:rFonts w:hint="eastAsia" w:ascii="宋体" w:hAnsi="宋体" w:cs="宋体"/>
                <w:color w:val="000000" w:themeColor="text1"/>
                <w:szCs w:val="21"/>
                <w:u w:val="single"/>
                <w:lang w:val="en-US" w:eastAsia="zh-CN"/>
                <w14:textFill>
                  <w14:solidFill>
                    <w14:schemeClr w14:val="tx1"/>
                  </w14:solidFill>
                </w14:textFill>
              </w:rPr>
              <w:t xml:space="preserve">    日历天</w:t>
            </w:r>
            <w:r>
              <w:rPr>
                <w:rFonts w:hint="eastAsia" w:ascii="宋体" w:hAnsi="宋体" w:cs="宋体"/>
                <w:color w:val="000000" w:themeColor="text1"/>
                <w:szCs w:val="21"/>
                <w14:textFill>
                  <w14:solidFill>
                    <w14:schemeClr w14:val="tx1"/>
                  </w14:solidFill>
                </w14:textFill>
              </w:rPr>
              <w:t>，并提交合格的完工资料。</w:t>
            </w:r>
          </w:p>
        </w:tc>
        <w:tc>
          <w:tcPr>
            <w:tcW w:w="2203" w:type="dxa"/>
            <w:vAlign w:val="center"/>
          </w:tcPr>
          <w:p w14:paraId="51C65BF4">
            <w:pPr>
              <w:spacing w:line="360" w:lineRule="auto"/>
              <w:jc w:val="center"/>
              <w:rPr>
                <w:rFonts w:ascii="宋体" w:hAnsi="宋体" w:cs="宋体"/>
                <w:color w:val="000000" w:themeColor="text1"/>
                <w:szCs w:val="21"/>
                <w14:textFill>
                  <w14:solidFill>
                    <w14:schemeClr w14:val="tx1"/>
                  </w14:solidFill>
                </w14:textFill>
              </w:rPr>
            </w:pPr>
          </w:p>
        </w:tc>
      </w:tr>
      <w:tr w14:paraId="5CC92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4" w:type="dxa"/>
            <w:vAlign w:val="center"/>
          </w:tcPr>
          <w:p w14:paraId="656B18E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2545" w:type="dxa"/>
            <w:vAlign w:val="center"/>
          </w:tcPr>
          <w:p w14:paraId="09C77D1C">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缺陷责任期</w:t>
            </w:r>
          </w:p>
          <w:p w14:paraId="2EE5279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工程质量保修期</w:t>
            </w:r>
          </w:p>
        </w:tc>
        <w:tc>
          <w:tcPr>
            <w:tcW w:w="3402" w:type="dxa"/>
            <w:vAlign w:val="center"/>
          </w:tcPr>
          <w:p w14:paraId="620DAFC5">
            <w:pPr>
              <w:spacing w:line="360" w:lineRule="auto"/>
              <w:ind w:left="840" w:hanging="840" w:hangingChars="4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本合同工程质量保修期为一年。</w:t>
            </w:r>
          </w:p>
        </w:tc>
        <w:tc>
          <w:tcPr>
            <w:tcW w:w="2203" w:type="dxa"/>
            <w:vAlign w:val="center"/>
          </w:tcPr>
          <w:p w14:paraId="5F3373BA">
            <w:pPr>
              <w:spacing w:line="360" w:lineRule="auto"/>
              <w:jc w:val="center"/>
              <w:rPr>
                <w:rFonts w:ascii="宋体" w:hAnsi="宋体" w:cs="宋体"/>
                <w:color w:val="000000" w:themeColor="text1"/>
                <w:szCs w:val="21"/>
                <w14:textFill>
                  <w14:solidFill>
                    <w14:schemeClr w14:val="tx1"/>
                  </w14:solidFill>
                </w14:textFill>
              </w:rPr>
            </w:pPr>
          </w:p>
        </w:tc>
      </w:tr>
      <w:tr w14:paraId="79D52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4" w:type="dxa"/>
            <w:vAlign w:val="center"/>
          </w:tcPr>
          <w:p w14:paraId="56FEF3B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2545" w:type="dxa"/>
            <w:vAlign w:val="center"/>
          </w:tcPr>
          <w:p w14:paraId="4F75DBF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质量要求</w:t>
            </w:r>
          </w:p>
        </w:tc>
        <w:tc>
          <w:tcPr>
            <w:tcW w:w="3402" w:type="dxa"/>
            <w:vAlign w:val="center"/>
          </w:tcPr>
          <w:p w14:paraId="22435B0C">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详见投标须知前附表</w:t>
            </w:r>
          </w:p>
        </w:tc>
        <w:tc>
          <w:tcPr>
            <w:tcW w:w="2203" w:type="dxa"/>
            <w:vAlign w:val="center"/>
          </w:tcPr>
          <w:p w14:paraId="6AB4F9E4">
            <w:pPr>
              <w:spacing w:line="360" w:lineRule="auto"/>
              <w:jc w:val="center"/>
              <w:rPr>
                <w:rFonts w:ascii="宋体" w:hAnsi="宋体" w:cs="宋体"/>
                <w:color w:val="000000" w:themeColor="text1"/>
                <w:szCs w:val="21"/>
                <w14:textFill>
                  <w14:solidFill>
                    <w14:schemeClr w14:val="tx1"/>
                  </w14:solidFill>
                </w14:textFill>
              </w:rPr>
            </w:pPr>
          </w:p>
        </w:tc>
      </w:tr>
      <w:tr w14:paraId="6BD6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4" w:type="dxa"/>
            <w:vAlign w:val="center"/>
          </w:tcPr>
          <w:p w14:paraId="2DCF644B">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2545" w:type="dxa"/>
            <w:vAlign w:val="center"/>
          </w:tcPr>
          <w:p w14:paraId="5C316EAC">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未付款额的利率</w:t>
            </w:r>
          </w:p>
        </w:tc>
        <w:tc>
          <w:tcPr>
            <w:tcW w:w="3402" w:type="dxa"/>
            <w:vAlign w:val="center"/>
          </w:tcPr>
          <w:p w14:paraId="70FFFE99">
            <w:pPr>
              <w:spacing w:line="360" w:lineRule="auto"/>
              <w:jc w:val="left"/>
              <w:rPr>
                <w:rFonts w:hint="eastAsia" w:ascii="宋体" w:hAnsi="宋体" w:eastAsia="宋体" w:cs="宋体"/>
                <w:b/>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不支付利息</w:t>
            </w:r>
          </w:p>
        </w:tc>
        <w:tc>
          <w:tcPr>
            <w:tcW w:w="2203" w:type="dxa"/>
            <w:vAlign w:val="center"/>
          </w:tcPr>
          <w:p w14:paraId="0D2A9285">
            <w:pPr>
              <w:spacing w:line="360" w:lineRule="auto"/>
              <w:jc w:val="center"/>
              <w:rPr>
                <w:rFonts w:ascii="宋体" w:hAnsi="宋体" w:cs="宋体"/>
                <w:color w:val="000000" w:themeColor="text1"/>
                <w:szCs w:val="21"/>
                <w14:textFill>
                  <w14:solidFill>
                    <w14:schemeClr w14:val="tx1"/>
                  </w14:solidFill>
                </w14:textFill>
              </w:rPr>
            </w:pPr>
          </w:p>
        </w:tc>
      </w:tr>
      <w:tr w14:paraId="21D27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4" w:type="dxa"/>
            <w:vAlign w:val="center"/>
          </w:tcPr>
          <w:p w14:paraId="381548F0">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2545" w:type="dxa"/>
            <w:vAlign w:val="center"/>
          </w:tcPr>
          <w:p w14:paraId="5409AD50">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逾期完工违约金</w:t>
            </w:r>
          </w:p>
        </w:tc>
        <w:tc>
          <w:tcPr>
            <w:tcW w:w="3402" w:type="dxa"/>
            <w:vAlign w:val="center"/>
          </w:tcPr>
          <w:p w14:paraId="5DF90E0A">
            <w:pPr>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违约天数×</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元/天</w:t>
            </w:r>
          </w:p>
        </w:tc>
        <w:tc>
          <w:tcPr>
            <w:tcW w:w="2203" w:type="dxa"/>
            <w:vAlign w:val="center"/>
          </w:tcPr>
          <w:p w14:paraId="5CA96AE9">
            <w:pPr>
              <w:spacing w:line="360" w:lineRule="auto"/>
              <w:jc w:val="center"/>
              <w:rPr>
                <w:rFonts w:ascii="宋体" w:hAnsi="宋体" w:cs="宋体"/>
                <w:color w:val="000000" w:themeColor="text1"/>
                <w:szCs w:val="21"/>
                <w14:textFill>
                  <w14:solidFill>
                    <w14:schemeClr w14:val="tx1"/>
                  </w14:solidFill>
                </w14:textFill>
              </w:rPr>
            </w:pPr>
          </w:p>
        </w:tc>
      </w:tr>
      <w:tr w14:paraId="56FB6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4" w:type="dxa"/>
            <w:vAlign w:val="center"/>
          </w:tcPr>
          <w:p w14:paraId="077CD7F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2545" w:type="dxa"/>
            <w:vAlign w:val="center"/>
          </w:tcPr>
          <w:p w14:paraId="415246C2">
            <w:pPr>
              <w:pStyle w:val="20"/>
              <w:spacing w:before="0" w:beforeAutospacing="0" w:after="0" w:afterAutospacing="0" w:line="360" w:lineRule="auto"/>
              <w:jc w:val="center"/>
              <w:rPr>
                <w:rFonts w:ascii="宋体" w:hAnsi="宋体" w:cs="宋体"/>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逾期完工违约金限额</w:t>
            </w:r>
          </w:p>
        </w:tc>
        <w:tc>
          <w:tcPr>
            <w:tcW w:w="3402" w:type="dxa"/>
            <w:vAlign w:val="center"/>
          </w:tcPr>
          <w:p w14:paraId="2FC4B9EF">
            <w:pPr>
              <w:pStyle w:val="20"/>
              <w:spacing w:before="0" w:beforeAutospacing="0" w:after="0" w:afterAutospacing="0" w:line="360" w:lineRule="auto"/>
              <w:rPr>
                <w:rFonts w:ascii="宋体" w:hAnsi="宋体" w:cs="宋体"/>
                <w:color w:val="000000" w:themeColor="text1"/>
                <w:szCs w:val="21"/>
                <w14:textFill>
                  <w14:solidFill>
                    <w14:schemeClr w14:val="tx1"/>
                  </w14:solidFill>
                </w14:textFill>
              </w:rPr>
            </w:pPr>
            <w:r>
              <w:rPr>
                <w:rFonts w:hint="eastAsia"/>
                <w:color w:val="000000" w:themeColor="text1"/>
                <w:sz w:val="21"/>
                <w:szCs w:val="21"/>
                <w:u w:val="single"/>
                <w:lang w:val="en-US" w:eastAsia="zh-CN"/>
                <w14:textFill>
                  <w14:solidFill>
                    <w14:schemeClr w14:val="tx1"/>
                  </w14:solidFill>
                </w14:textFill>
              </w:rPr>
              <w:t xml:space="preserve">       </w:t>
            </w:r>
            <w:r>
              <w:rPr>
                <w:rFonts w:hint="eastAsia"/>
                <w:color w:val="000000" w:themeColor="text1"/>
                <w:sz w:val="21"/>
                <w:szCs w:val="21"/>
                <w14:textFill>
                  <w14:solidFill>
                    <w14:schemeClr w14:val="tx1"/>
                  </w14:solidFill>
                </w14:textFill>
              </w:rPr>
              <w:t>%签约合同价</w:t>
            </w:r>
          </w:p>
        </w:tc>
        <w:tc>
          <w:tcPr>
            <w:tcW w:w="2203" w:type="dxa"/>
            <w:vAlign w:val="center"/>
          </w:tcPr>
          <w:p w14:paraId="25CD0FAA">
            <w:pPr>
              <w:spacing w:line="360" w:lineRule="auto"/>
              <w:jc w:val="center"/>
              <w:rPr>
                <w:rFonts w:ascii="宋体" w:hAnsi="宋体" w:cs="宋体"/>
                <w:color w:val="000000" w:themeColor="text1"/>
                <w:szCs w:val="21"/>
                <w14:textFill>
                  <w14:solidFill>
                    <w14:schemeClr w14:val="tx1"/>
                  </w14:solidFill>
                </w14:textFill>
              </w:rPr>
            </w:pPr>
          </w:p>
        </w:tc>
      </w:tr>
    </w:tbl>
    <w:p w14:paraId="25484ABF">
      <w:pPr>
        <w:spacing w:line="360" w:lineRule="auto"/>
        <w:rPr>
          <w:rFonts w:hint="eastAsia" w:ascii="宋体" w:hAnsi="宋体" w:eastAsia="宋体" w:cs="宋体"/>
          <w:b/>
          <w:color w:val="000000" w:themeColor="text1"/>
          <w:sz w:val="24"/>
          <w:highlight w:val="none"/>
          <w14:textFill>
            <w14:solidFill>
              <w14:schemeClr w14:val="tx1"/>
            </w14:solidFill>
          </w14:textFill>
        </w:rPr>
      </w:pPr>
    </w:p>
    <w:p w14:paraId="03BE56A7">
      <w:pPr>
        <w:spacing w:line="360" w:lineRule="auto"/>
        <w:jc w:val="center"/>
        <w:rPr>
          <w:rFonts w:hint="eastAsia" w:ascii="宋体" w:hAnsi="宋体" w:eastAsia="宋体" w:cs="宋体"/>
          <w:b/>
          <w:color w:val="000000" w:themeColor="text1"/>
          <w:sz w:val="36"/>
          <w:szCs w:val="36"/>
          <w:highlight w:val="none"/>
          <w14:textFill>
            <w14:solidFill>
              <w14:schemeClr w14:val="tx1"/>
            </w14:solidFill>
          </w14:textFill>
        </w:rPr>
      </w:pPr>
    </w:p>
    <w:p w14:paraId="3E2B2CF6">
      <w:pPr>
        <w:spacing w:line="360" w:lineRule="auto"/>
        <w:ind w:left="998" w:leftChars="475" w:firstLine="1200" w:firstLineChars="5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 标 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（电子签章）</w:t>
      </w:r>
    </w:p>
    <w:p w14:paraId="5BC1D157">
      <w:pPr>
        <w:spacing w:line="360" w:lineRule="auto"/>
        <w:ind w:left="998"/>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法定代表人或其委托代理人：</w:t>
      </w:r>
      <w:r>
        <w:rPr>
          <w:rFonts w:hint="eastAsia" w:ascii="宋体" w:hAnsi="宋体" w:eastAsia="宋体" w:cs="宋体"/>
          <w:color w:val="000000" w:themeColor="text1"/>
          <w:szCs w:val="21"/>
          <w:u w:val="single"/>
          <w14:textFill>
            <w14:solidFill>
              <w14:schemeClr w14:val="tx1"/>
            </w14:solidFill>
          </w14:textFill>
        </w:rPr>
        <w:t>（电子签章）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65688E4F">
      <w:pPr>
        <w:spacing w:line="360" w:lineRule="auto"/>
        <w:ind w:left="99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    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6DE09910">
      <w:pPr>
        <w:pStyle w:val="20"/>
        <w:spacing w:line="380" w:lineRule="exact"/>
        <w:rPr>
          <w:rFonts w:hint="eastAsia" w:ascii="宋体" w:hAnsi="宋体" w:eastAsia="宋体" w:cs="宋体"/>
          <w:b/>
          <w:color w:val="000000" w:themeColor="text1"/>
          <w:sz w:val="21"/>
          <w:szCs w:val="21"/>
          <w14:textFill>
            <w14:solidFill>
              <w14:schemeClr w14:val="tx1"/>
            </w14:solidFill>
          </w14:textFill>
        </w:rPr>
      </w:pPr>
    </w:p>
    <w:p w14:paraId="5089DF3F">
      <w:pPr>
        <w:widowControl/>
        <w:spacing w:before="100" w:beforeAutospacing="1" w:after="100" w:afterAutospacing="1" w:line="360" w:lineRule="auto"/>
        <w:jc w:val="center"/>
        <w:outlineLvl w:val="2"/>
        <w:rPr>
          <w:rFonts w:ascii="宋体" w:hAnsi="宋体"/>
          <w:b/>
          <w:bCs/>
          <w:color w:val="000000" w:themeColor="text1"/>
          <w:kern w:val="0"/>
          <w:sz w:val="24"/>
          <w:szCs w:val="24"/>
          <w14:textFill>
            <w14:solidFill>
              <w14:schemeClr w14:val="tx1"/>
            </w14:solidFill>
          </w14:textFill>
        </w:rPr>
      </w:pPr>
      <w:r>
        <w:rPr>
          <w:rFonts w:ascii="宋体" w:hAnsi="宋体"/>
          <w:color w:val="000000" w:themeColor="text1"/>
          <w:kern w:val="0"/>
          <w:sz w:val="24"/>
          <w:szCs w:val="24"/>
          <w14:textFill>
            <w14:solidFill>
              <w14:schemeClr w14:val="tx1"/>
            </w14:solidFill>
          </w14:textFill>
        </w:rPr>
        <w:br w:type="page"/>
      </w:r>
      <w:bookmarkStart w:id="1708" w:name="_Toc15239640"/>
      <w:r>
        <w:rPr>
          <w:rFonts w:hint="eastAsia" w:ascii="宋体" w:hAnsi="宋体"/>
          <w:b/>
          <w:bCs/>
          <w:color w:val="000000" w:themeColor="text1"/>
          <w:kern w:val="0"/>
          <w:sz w:val="24"/>
          <w:szCs w:val="24"/>
          <w:lang w:eastAsia="zh-CN"/>
          <w14:textFill>
            <w14:solidFill>
              <w14:schemeClr w14:val="tx1"/>
            </w14:solidFill>
          </w14:textFill>
        </w:rPr>
        <w:t>三</w:t>
      </w:r>
      <w:r>
        <w:rPr>
          <w:rFonts w:ascii="宋体" w:hAnsi="宋体"/>
          <w:b/>
          <w:bCs/>
          <w:color w:val="000000" w:themeColor="text1"/>
          <w:kern w:val="0"/>
          <w:sz w:val="24"/>
          <w:szCs w:val="24"/>
          <w14:textFill>
            <w14:solidFill>
              <w14:schemeClr w14:val="tx1"/>
            </w14:solidFill>
          </w14:textFill>
        </w:rPr>
        <w:t>、法定代表人身份证明书</w:t>
      </w:r>
      <w:bookmarkEnd w:id="1708"/>
    </w:p>
    <w:p w14:paraId="6A6D65A9">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单位名称：</w:t>
      </w:r>
      <w:r>
        <w:rPr>
          <w:rFonts w:ascii="宋体" w:hAnsi="宋体"/>
          <w:color w:val="000000" w:themeColor="text1"/>
          <w:sz w:val="24"/>
          <w:szCs w:val="24"/>
          <w:u w:val="single"/>
          <w14:textFill>
            <w14:solidFill>
              <w14:schemeClr w14:val="tx1"/>
            </w14:solidFill>
          </w14:textFill>
        </w:rPr>
        <w:t xml:space="preserve">                                     </w:t>
      </w:r>
    </w:p>
    <w:p w14:paraId="1652B51B">
      <w:pPr>
        <w:spacing w:line="480" w:lineRule="auto"/>
        <w:rPr>
          <w:rFonts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14:textFill>
            <w14:solidFill>
              <w14:schemeClr w14:val="tx1"/>
            </w14:solidFill>
          </w14:textFill>
        </w:rPr>
        <w:t>单位性质：</w:t>
      </w:r>
      <w:r>
        <w:rPr>
          <w:rFonts w:ascii="宋体" w:hAnsi="宋体"/>
          <w:color w:val="000000" w:themeColor="text1"/>
          <w:sz w:val="24"/>
          <w:szCs w:val="24"/>
          <w:u w:val="single"/>
          <w14:textFill>
            <w14:solidFill>
              <w14:schemeClr w14:val="tx1"/>
            </w14:solidFill>
          </w14:textFill>
        </w:rPr>
        <w:t xml:space="preserve">                                     </w:t>
      </w:r>
    </w:p>
    <w:p w14:paraId="18EDDB34">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地    址：</w:t>
      </w:r>
      <w:r>
        <w:rPr>
          <w:rFonts w:ascii="宋体" w:hAnsi="宋体"/>
          <w:color w:val="000000" w:themeColor="text1"/>
          <w:sz w:val="24"/>
          <w:szCs w:val="24"/>
          <w:u w:val="single"/>
          <w14:textFill>
            <w14:solidFill>
              <w14:schemeClr w14:val="tx1"/>
            </w14:solidFill>
          </w14:textFill>
        </w:rPr>
        <w:t xml:space="preserve">                                     </w:t>
      </w:r>
    </w:p>
    <w:p w14:paraId="7611FD5A">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成立时间：</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年</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月</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日</w:t>
      </w:r>
    </w:p>
    <w:p w14:paraId="72AE2C5F">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经营期限：</w:t>
      </w:r>
      <w:r>
        <w:rPr>
          <w:rFonts w:ascii="宋体" w:hAnsi="宋体"/>
          <w:color w:val="000000" w:themeColor="text1"/>
          <w:sz w:val="24"/>
          <w:szCs w:val="24"/>
          <w:u w:val="single"/>
          <w14:textFill>
            <w14:solidFill>
              <w14:schemeClr w14:val="tx1"/>
            </w14:solidFill>
          </w14:textFill>
        </w:rPr>
        <w:t xml:space="preserve">                                      </w:t>
      </w:r>
    </w:p>
    <w:p w14:paraId="2BE71AC8">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姓    名：</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性    别：</w:t>
      </w:r>
      <w:r>
        <w:rPr>
          <w:rFonts w:ascii="宋体" w:hAnsi="宋体"/>
          <w:color w:val="000000" w:themeColor="text1"/>
          <w:sz w:val="24"/>
          <w:szCs w:val="24"/>
          <w:u w:val="single"/>
          <w14:textFill>
            <w14:solidFill>
              <w14:schemeClr w14:val="tx1"/>
            </w14:solidFill>
          </w14:textFill>
        </w:rPr>
        <w:t xml:space="preserve">               </w:t>
      </w:r>
    </w:p>
    <w:p w14:paraId="6700A747">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年    龄：</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职    务：</w:t>
      </w:r>
      <w:r>
        <w:rPr>
          <w:rFonts w:ascii="宋体" w:hAnsi="宋体"/>
          <w:color w:val="000000" w:themeColor="text1"/>
          <w:sz w:val="24"/>
          <w:szCs w:val="24"/>
          <w:u w:val="single"/>
          <w14:textFill>
            <w14:solidFill>
              <w14:schemeClr w14:val="tx1"/>
            </w14:solidFill>
          </w14:textFill>
        </w:rPr>
        <w:t xml:space="preserve">               </w:t>
      </w:r>
    </w:p>
    <w:p w14:paraId="0118B5F3">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系</w:t>
      </w:r>
      <w:r>
        <w:rPr>
          <w:rFonts w:ascii="宋体" w:hAnsi="宋体"/>
          <w:color w:val="000000" w:themeColor="text1"/>
          <w:sz w:val="24"/>
          <w:szCs w:val="24"/>
          <w:u w:val="single"/>
          <w14:textFill>
            <w14:solidFill>
              <w14:schemeClr w14:val="tx1"/>
            </w14:solidFill>
          </w14:textFill>
        </w:rPr>
        <w:t xml:space="preserve">              （投标人名称）           </w:t>
      </w:r>
      <w:r>
        <w:rPr>
          <w:rFonts w:ascii="宋体" w:hAnsi="宋体"/>
          <w:color w:val="000000" w:themeColor="text1"/>
          <w:sz w:val="24"/>
          <w:szCs w:val="24"/>
          <w14:textFill>
            <w14:solidFill>
              <w14:schemeClr w14:val="tx1"/>
            </w14:solidFill>
          </w14:textFill>
        </w:rPr>
        <w:t>的法定代表人。</w:t>
      </w:r>
    </w:p>
    <w:p w14:paraId="75891413">
      <w:pPr>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特此证明。</w:t>
      </w:r>
    </w:p>
    <w:p w14:paraId="4D4CC82D">
      <w:pPr>
        <w:spacing w:line="3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附：法定代表人身份证</w:t>
      </w:r>
      <w:r>
        <w:rPr>
          <w:rFonts w:ascii="宋体" w:hAnsi="宋体"/>
          <w:bCs/>
          <w:color w:val="000000" w:themeColor="text1"/>
          <w:sz w:val="24"/>
          <w:szCs w:val="24"/>
          <w14:textFill>
            <w14:solidFill>
              <w14:schemeClr w14:val="tx1"/>
            </w14:solidFill>
          </w14:textFill>
        </w:rPr>
        <w:t>复印件</w:t>
      </w:r>
      <w:r>
        <w:rPr>
          <w:rFonts w:ascii="宋体" w:hAnsi="宋体"/>
          <w:color w:val="000000" w:themeColor="text1"/>
          <w:sz w:val="24"/>
          <w:szCs w:val="24"/>
          <w14:textFill>
            <w14:solidFill>
              <w14:schemeClr w14:val="tx1"/>
            </w14:solidFill>
          </w14:textFill>
        </w:rPr>
        <w:t>（正、反两面）</w:t>
      </w:r>
    </w:p>
    <w:p w14:paraId="17AC938A">
      <w:pPr>
        <w:spacing w:line="480" w:lineRule="auto"/>
        <w:rPr>
          <w:rFonts w:ascii="宋体" w:hAnsi="宋体"/>
          <w:color w:val="000000" w:themeColor="text1"/>
          <w:sz w:val="24"/>
          <w:szCs w:val="24"/>
          <w14:textFill>
            <w14:solidFill>
              <w14:schemeClr w14:val="tx1"/>
            </w14:solidFill>
          </w14:textFill>
        </w:rPr>
      </w:pPr>
    </w:p>
    <w:p w14:paraId="5F4F15D7">
      <w:pPr>
        <w:spacing w:line="480" w:lineRule="auto"/>
        <w:ind w:firstLine="960" w:firstLineChars="400"/>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投标人名称：</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电子签章</w:t>
      </w:r>
      <w:r>
        <w:rPr>
          <w:rFonts w:ascii="宋体" w:hAnsi="宋体"/>
          <w:color w:val="000000" w:themeColor="text1"/>
          <w:sz w:val="24"/>
          <w:szCs w:val="24"/>
          <w14:textFill>
            <w14:solidFill>
              <w14:schemeClr w14:val="tx1"/>
            </w14:solidFill>
          </w14:textFill>
        </w:rPr>
        <w:t>）</w:t>
      </w:r>
    </w:p>
    <w:p w14:paraId="23D87499">
      <w:pPr>
        <w:spacing w:line="480" w:lineRule="auto"/>
        <w:ind w:firstLine="960" w:firstLineChars="400"/>
        <w:jc w:val="center"/>
        <w:rPr>
          <w:rFonts w:ascii="宋体" w:hAnsi="宋体"/>
          <w:bCs/>
          <w:color w:val="000000" w:themeColor="text1"/>
          <w:sz w:val="32"/>
          <w:szCs w:val="32"/>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日  期：</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年</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月</w:t>
      </w:r>
      <w:r>
        <w:rPr>
          <w:rFonts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日</w:t>
      </w:r>
    </w:p>
    <w:p w14:paraId="02D7303F">
      <w:pPr>
        <w:spacing w:line="360" w:lineRule="auto"/>
        <w:jc w:val="center"/>
        <w:rPr>
          <w:rFonts w:ascii="宋体" w:hAnsi="宋体"/>
          <w:bCs/>
          <w:color w:val="000000" w:themeColor="text1"/>
          <w:sz w:val="32"/>
          <w:szCs w:val="32"/>
          <w14:textFill>
            <w14:solidFill>
              <w14:schemeClr w14:val="tx1"/>
            </w14:solidFill>
          </w14:textFill>
        </w:rPr>
      </w:pPr>
    </w:p>
    <w:p w14:paraId="5F9E8AD8">
      <w:pPr>
        <w:spacing w:line="360" w:lineRule="auto"/>
        <w:jc w:val="center"/>
        <w:rPr>
          <w:rFonts w:ascii="宋体" w:hAnsi="宋体"/>
          <w:bCs/>
          <w:color w:val="000000" w:themeColor="text1"/>
          <w:sz w:val="32"/>
          <w:szCs w:val="32"/>
          <w14:textFill>
            <w14:solidFill>
              <w14:schemeClr w14:val="tx1"/>
            </w14:solidFill>
          </w14:textFill>
        </w:rPr>
      </w:pPr>
    </w:p>
    <w:p w14:paraId="03C35CB7">
      <w:pPr>
        <w:spacing w:line="360" w:lineRule="auto"/>
        <w:jc w:val="center"/>
        <w:rPr>
          <w:rFonts w:ascii="宋体" w:hAnsi="宋体"/>
          <w:bCs/>
          <w:color w:val="000000" w:themeColor="text1"/>
          <w:sz w:val="32"/>
          <w:szCs w:val="32"/>
          <w14:textFill>
            <w14:solidFill>
              <w14:schemeClr w14:val="tx1"/>
            </w14:solidFill>
          </w14:textFill>
        </w:rPr>
      </w:pPr>
    </w:p>
    <w:p w14:paraId="53CBA04F">
      <w:pPr>
        <w:widowControl/>
        <w:spacing w:before="100" w:beforeAutospacing="1" w:after="100" w:afterAutospacing="1" w:line="360" w:lineRule="auto"/>
        <w:jc w:val="center"/>
        <w:outlineLvl w:val="2"/>
        <w:rPr>
          <w:rFonts w:ascii="宋体" w:hAnsi="宋体"/>
          <w:b/>
          <w:bCs/>
          <w:color w:val="000000" w:themeColor="text1"/>
          <w:kern w:val="0"/>
          <w:sz w:val="24"/>
          <w:szCs w:val="24"/>
          <w14:textFill>
            <w14:solidFill>
              <w14:schemeClr w14:val="tx1"/>
            </w14:solidFill>
          </w14:textFill>
        </w:rPr>
      </w:pPr>
      <w:r>
        <w:rPr>
          <w:rFonts w:ascii="宋体" w:hAnsi="宋体"/>
          <w:color w:val="000000" w:themeColor="text1"/>
          <w:kern w:val="0"/>
          <w:sz w:val="24"/>
          <w:szCs w:val="24"/>
          <w14:textFill>
            <w14:solidFill>
              <w14:schemeClr w14:val="tx1"/>
            </w14:solidFill>
          </w14:textFill>
        </w:rPr>
        <w:br w:type="page"/>
      </w:r>
      <w:bookmarkStart w:id="1709" w:name="_Toc15239641"/>
      <w:r>
        <w:rPr>
          <w:rFonts w:hint="eastAsia" w:ascii="宋体" w:hAnsi="宋体"/>
          <w:b/>
          <w:bCs/>
          <w:color w:val="000000" w:themeColor="text1"/>
          <w:kern w:val="0"/>
          <w:sz w:val="24"/>
          <w:szCs w:val="24"/>
          <w:lang w:eastAsia="zh-CN"/>
          <w14:textFill>
            <w14:solidFill>
              <w14:schemeClr w14:val="tx1"/>
            </w14:solidFill>
          </w14:textFill>
        </w:rPr>
        <w:t>四</w:t>
      </w:r>
      <w:r>
        <w:rPr>
          <w:rFonts w:ascii="宋体" w:hAnsi="宋体"/>
          <w:b/>
          <w:bCs/>
          <w:color w:val="000000" w:themeColor="text1"/>
          <w:kern w:val="0"/>
          <w:sz w:val="24"/>
          <w:szCs w:val="24"/>
          <w14:textFill>
            <w14:solidFill>
              <w14:schemeClr w14:val="tx1"/>
            </w14:solidFill>
          </w14:textFill>
        </w:rPr>
        <w:t>、法定代表人授权委托书</w:t>
      </w:r>
      <w:bookmarkEnd w:id="1709"/>
    </w:p>
    <w:p w14:paraId="3F3E7939">
      <w:pPr>
        <w:rPr>
          <w:rFonts w:ascii="宋体" w:hAnsi="宋体"/>
          <w:color w:val="000000" w:themeColor="text1"/>
          <w:szCs w:val="24"/>
          <w14:textFill>
            <w14:solidFill>
              <w14:schemeClr w14:val="tx1"/>
            </w14:solidFill>
          </w14:textFill>
        </w:rPr>
      </w:pPr>
    </w:p>
    <w:p w14:paraId="4E984255">
      <w:pPr>
        <w:spacing w:line="48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本人</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（姓名）系</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（投标人名称）的法定代表人，现委托</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（姓名）为我方代理人。代理人根据授权，以我方名义签署、澄清、说明、补正、递交、撤回、修改</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（项目名称）施工招标投标文件</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签订合同和处理有关事宜，其法律后果由我方承担。</w:t>
      </w:r>
    </w:p>
    <w:p w14:paraId="160BD7D9">
      <w:pPr>
        <w:spacing w:line="48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委托期限：</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w:t>
      </w:r>
    </w:p>
    <w:p w14:paraId="27B468C4">
      <w:pPr>
        <w:spacing w:line="48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代理人无转委托权。</w:t>
      </w:r>
    </w:p>
    <w:p w14:paraId="7FCDFAD3">
      <w:pPr>
        <w:spacing w:line="48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附：授权委托人身份证复印件（正、反两面）。</w:t>
      </w:r>
    </w:p>
    <w:p w14:paraId="0C26ABC8">
      <w:pPr>
        <w:ind w:firstLine="480" w:firstLineChars="200"/>
        <w:rPr>
          <w:rFonts w:ascii="宋体" w:hAnsi="宋体"/>
          <w:color w:val="000000" w:themeColor="text1"/>
          <w:sz w:val="24"/>
          <w:szCs w:val="24"/>
          <w14:textFill>
            <w14:solidFill>
              <w14:schemeClr w14:val="tx1"/>
            </w14:solidFill>
          </w14:textFill>
        </w:rPr>
      </w:pPr>
    </w:p>
    <w:p w14:paraId="37915457">
      <w:pPr>
        <w:ind w:firstLine="480" w:firstLineChars="200"/>
        <w:rPr>
          <w:rFonts w:ascii="宋体" w:hAnsi="宋体"/>
          <w:color w:val="000000" w:themeColor="text1"/>
          <w:sz w:val="24"/>
          <w:szCs w:val="24"/>
          <w14:textFill>
            <w14:solidFill>
              <w14:schemeClr w14:val="tx1"/>
            </w14:solidFill>
          </w14:textFill>
        </w:rPr>
      </w:pPr>
    </w:p>
    <w:p w14:paraId="357BDE9B">
      <w:pPr>
        <w:spacing w:line="600" w:lineRule="exact"/>
        <w:ind w:firstLine="2520" w:firstLineChars="1050"/>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投 标 人：</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电子签章</w:t>
      </w:r>
      <w:r>
        <w:rPr>
          <w:rFonts w:ascii="宋体" w:hAnsi="宋体"/>
          <w:color w:val="000000" w:themeColor="text1"/>
          <w:sz w:val="24"/>
          <w:szCs w:val="24"/>
          <w14:textFill>
            <w14:solidFill>
              <w14:schemeClr w14:val="tx1"/>
            </w14:solidFill>
          </w14:textFill>
        </w:rPr>
        <w:t>）</w:t>
      </w:r>
    </w:p>
    <w:p w14:paraId="444145BA">
      <w:pPr>
        <w:spacing w:line="600" w:lineRule="exact"/>
        <w:ind w:firstLine="2520" w:firstLineChars="1050"/>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法定代表人：</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电子签章</w:t>
      </w:r>
      <w:r>
        <w:rPr>
          <w:rFonts w:ascii="宋体" w:hAnsi="宋体"/>
          <w:color w:val="000000" w:themeColor="text1"/>
          <w:sz w:val="24"/>
          <w:szCs w:val="24"/>
          <w14:textFill>
            <w14:solidFill>
              <w14:schemeClr w14:val="tx1"/>
            </w14:solidFill>
          </w14:textFill>
        </w:rPr>
        <w:t>）</w:t>
      </w:r>
    </w:p>
    <w:p w14:paraId="68BEE908">
      <w:pPr>
        <w:wordWrap w:val="0"/>
        <w:spacing w:line="600" w:lineRule="exact"/>
        <w:ind w:right="1004" w:firstLine="2520" w:firstLineChars="1050"/>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身份证号码：</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p>
    <w:p w14:paraId="7A811ADB">
      <w:pPr>
        <w:spacing w:line="600" w:lineRule="exact"/>
        <w:ind w:firstLine="2520" w:firstLineChars="1050"/>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委托代理人：</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（签字）</w:t>
      </w:r>
    </w:p>
    <w:p w14:paraId="636A96CC">
      <w:pPr>
        <w:tabs>
          <w:tab w:val="left" w:pos="8460"/>
        </w:tabs>
        <w:wordWrap w:val="0"/>
        <w:spacing w:line="600" w:lineRule="exact"/>
        <w:ind w:right="1244" w:firstLine="2520" w:firstLineChars="1050"/>
        <w:jc w:val="left"/>
        <w:rPr>
          <w:rFonts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14:textFill>
            <w14:solidFill>
              <w14:schemeClr w14:val="tx1"/>
            </w14:solidFill>
          </w14:textFill>
        </w:rPr>
        <w:t>身份证号码：</w:t>
      </w:r>
      <w:r>
        <w:rPr>
          <w:rFonts w:ascii="宋体" w:hAnsi="宋体"/>
          <w:color w:val="000000" w:themeColor="text1"/>
          <w:sz w:val="24"/>
          <w:szCs w:val="24"/>
          <w:u w:val="single"/>
          <w14:textFill>
            <w14:solidFill>
              <w14:schemeClr w14:val="tx1"/>
            </w14:solidFill>
          </w14:textFill>
        </w:rPr>
        <w:t xml:space="preserve">                          </w:t>
      </w:r>
    </w:p>
    <w:p w14:paraId="2C8E40BB">
      <w:pPr>
        <w:spacing w:line="600" w:lineRule="exact"/>
        <w:ind w:right="420" w:firstLine="2520" w:firstLineChars="1050"/>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年</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月</w:t>
      </w:r>
      <w:r>
        <w:rPr>
          <w:rFonts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日</w:t>
      </w:r>
    </w:p>
    <w:p w14:paraId="6EF8A973">
      <w:pPr>
        <w:jc w:val="left"/>
        <w:rPr>
          <w:rFonts w:ascii="宋体" w:hAnsi="宋体"/>
          <w:color w:val="000000" w:themeColor="text1"/>
          <w:szCs w:val="21"/>
          <w14:textFill>
            <w14:solidFill>
              <w14:schemeClr w14:val="tx1"/>
            </w14:solidFill>
          </w14:textFill>
        </w:rPr>
      </w:pPr>
    </w:p>
    <w:p w14:paraId="22AF4B5F">
      <w:pPr>
        <w:rPr>
          <w:rFonts w:ascii="宋体" w:hAnsi="宋体"/>
          <w:color w:val="000000" w:themeColor="text1"/>
          <w:szCs w:val="21"/>
          <w14:textFill>
            <w14:solidFill>
              <w14:schemeClr w14:val="tx1"/>
            </w14:solidFill>
          </w14:textFill>
        </w:rPr>
      </w:pPr>
    </w:p>
    <w:p w14:paraId="7BB73CB0">
      <w:pPr>
        <w:rPr>
          <w:rFonts w:ascii="宋体" w:hAnsi="宋体"/>
          <w:color w:val="000000" w:themeColor="text1"/>
          <w:szCs w:val="21"/>
          <w14:textFill>
            <w14:solidFill>
              <w14:schemeClr w14:val="tx1"/>
            </w14:solidFill>
          </w14:textFill>
        </w:rPr>
      </w:pPr>
    </w:p>
    <w:p w14:paraId="2CFE3B99">
      <w:pPr>
        <w:widowControl/>
        <w:spacing w:before="100" w:beforeAutospacing="1" w:after="100" w:afterAutospacing="1" w:line="360" w:lineRule="auto"/>
        <w:jc w:val="center"/>
        <w:outlineLvl w:val="2"/>
        <w:rPr>
          <w:rFonts w:ascii="宋体" w:hAnsi="宋体"/>
          <w:color w:val="000000" w:themeColor="text1"/>
          <w:kern w:val="0"/>
          <w:sz w:val="24"/>
          <w:szCs w:val="24"/>
          <w14:textFill>
            <w14:solidFill>
              <w14:schemeClr w14:val="tx1"/>
            </w14:solidFill>
          </w14:textFill>
        </w:rPr>
      </w:pPr>
    </w:p>
    <w:p w14:paraId="65B52D59">
      <w:pPr>
        <w:widowControl/>
        <w:spacing w:before="100" w:beforeAutospacing="1" w:after="100" w:afterAutospacing="1" w:line="360" w:lineRule="auto"/>
        <w:jc w:val="center"/>
        <w:outlineLvl w:val="2"/>
        <w:rPr>
          <w:rFonts w:ascii="宋体" w:hAnsi="宋体"/>
          <w:color w:val="000000" w:themeColor="text1"/>
          <w:kern w:val="0"/>
          <w:sz w:val="24"/>
          <w:szCs w:val="24"/>
          <w14:textFill>
            <w14:solidFill>
              <w14:schemeClr w14:val="tx1"/>
            </w14:solidFill>
          </w14:textFill>
        </w:rPr>
        <w:sectPr>
          <w:pgSz w:w="11905" w:h="16838"/>
          <w:pgMar w:top="1417" w:right="1417" w:bottom="1417" w:left="1417" w:header="850" w:footer="992" w:gutter="0"/>
          <w:pgNumType w:fmt="decimal"/>
          <w:cols w:space="0" w:num="1"/>
          <w:rtlGutter w:val="0"/>
          <w:docGrid w:type="lines" w:linePitch="317" w:charSpace="0"/>
        </w:sectPr>
      </w:pPr>
    </w:p>
    <w:p w14:paraId="74054A8D">
      <w:pPr>
        <w:widowControl/>
        <w:spacing w:before="100" w:beforeAutospacing="1" w:after="100" w:afterAutospacing="1" w:line="360" w:lineRule="auto"/>
        <w:jc w:val="center"/>
        <w:outlineLvl w:val="2"/>
        <w:rPr>
          <w:rFonts w:hint="default" w:ascii="宋体" w:hAnsi="宋体" w:eastAsia="宋体"/>
          <w:b/>
          <w:bCs/>
          <w:color w:val="000000" w:themeColor="text1"/>
          <w:kern w:val="0"/>
          <w:sz w:val="24"/>
          <w:szCs w:val="24"/>
          <w:lang w:val="en-US" w:eastAsia="zh-CN"/>
          <w14:textFill>
            <w14:solidFill>
              <w14:schemeClr w14:val="tx1"/>
            </w14:solidFill>
          </w14:textFill>
        </w:rPr>
      </w:pPr>
      <w:r>
        <w:rPr>
          <w:rFonts w:hint="eastAsia" w:ascii="宋体" w:hAnsi="宋体"/>
          <w:b/>
          <w:bCs/>
          <w:color w:val="000000" w:themeColor="text1"/>
          <w:kern w:val="0"/>
          <w:sz w:val="24"/>
          <w:szCs w:val="24"/>
          <w:lang w:val="en-US" w:eastAsia="zh-CN"/>
          <w14:textFill>
            <w14:solidFill>
              <w14:schemeClr w14:val="tx1"/>
            </w14:solidFill>
          </w14:textFill>
        </w:rPr>
        <w:t>五</w:t>
      </w:r>
      <w:r>
        <w:rPr>
          <w:rFonts w:ascii="宋体" w:hAnsi="宋体"/>
          <w:b/>
          <w:bCs/>
          <w:color w:val="000000" w:themeColor="text1"/>
          <w:kern w:val="0"/>
          <w:sz w:val="24"/>
          <w:szCs w:val="24"/>
          <w14:textFill>
            <w14:solidFill>
              <w14:schemeClr w14:val="tx1"/>
            </w14:solidFill>
          </w14:textFill>
        </w:rPr>
        <w:t>、已标价工程量清单</w:t>
      </w:r>
      <w:r>
        <w:rPr>
          <w:rFonts w:hint="eastAsia" w:ascii="宋体" w:hAnsi="宋体"/>
          <w:b/>
          <w:bCs/>
          <w:color w:val="000000" w:themeColor="text1"/>
          <w:kern w:val="0"/>
          <w:sz w:val="24"/>
          <w:szCs w:val="24"/>
          <w:lang w:val="en-US" w:eastAsia="zh-CN"/>
          <w14:textFill>
            <w14:solidFill>
              <w14:schemeClr w14:val="tx1"/>
            </w14:solidFill>
          </w14:textFill>
        </w:rPr>
        <w:t xml:space="preserve">                                          </w:t>
      </w:r>
    </w:p>
    <w:p w14:paraId="24CC22EA">
      <w:pPr>
        <w:pStyle w:val="22"/>
        <w:ind w:left="0" w:leftChars="0" w:firstLine="0" w:firstLineChars="0"/>
        <w:rPr>
          <w:rFonts w:hint="default" w:ascii="方正仿宋_GBK" w:hAnsi="方正仿宋_GBK" w:eastAsia="方正仿宋_GBK" w:cs="方正仿宋_GBK"/>
          <w:color w:val="000000" w:themeColor="text1"/>
          <w:kern w:val="0"/>
          <w:sz w:val="18"/>
          <w:szCs w:val="18"/>
          <w:lang w:val="en-US" w:eastAsia="zh-CN" w:bidi="ar"/>
          <w14:textFill>
            <w14:solidFill>
              <w14:schemeClr w14:val="tx1"/>
            </w14:solidFill>
          </w14:textFill>
        </w:rPr>
      </w:pPr>
      <w:r>
        <w:rPr>
          <w:rFonts w:ascii="宋体" w:hAnsi="宋体"/>
          <w:color w:val="000000" w:themeColor="text1"/>
          <w:sz w:val="24"/>
          <w:szCs w:val="24"/>
          <w14:textFill>
            <w14:solidFill>
              <w14:schemeClr w14:val="tx1"/>
            </w14:solidFill>
          </w14:textFill>
        </w:rPr>
        <w:t>说明：已标价工程量清单按“招标工程量清单、招标控制价公布表”格式</w:t>
      </w:r>
    </w:p>
    <w:p w14:paraId="086BECA0">
      <w:pPr>
        <w:pStyle w:val="22"/>
        <w:rPr>
          <w:color w:val="000000" w:themeColor="text1"/>
          <w14:textFill>
            <w14:solidFill>
              <w14:schemeClr w14:val="tx1"/>
            </w14:solidFill>
          </w14:textFill>
        </w:rPr>
      </w:pPr>
    </w:p>
    <w:p w14:paraId="540AAF99">
      <w:pPr>
        <w:rPr>
          <w:color w:val="000000" w:themeColor="text1"/>
          <w14:textFill>
            <w14:solidFill>
              <w14:schemeClr w14:val="tx1"/>
            </w14:solidFill>
          </w14:textFill>
        </w:rPr>
      </w:pPr>
    </w:p>
    <w:p w14:paraId="7BEBAA32"/>
    <w:p w14:paraId="3475C6C7"/>
    <w:p w14:paraId="718278F3">
      <w:pPr>
        <w:widowControl/>
        <w:spacing w:before="100" w:beforeAutospacing="1" w:after="100" w:afterAutospacing="1" w:line="360" w:lineRule="auto"/>
        <w:jc w:val="both"/>
        <w:outlineLvl w:val="2"/>
        <w:rPr>
          <w:rFonts w:hint="default" w:ascii="宋体" w:hAnsi="宋体"/>
          <w:b/>
          <w:bCs/>
          <w:color w:val="000000" w:themeColor="text1"/>
          <w:kern w:val="0"/>
          <w:sz w:val="24"/>
          <w:szCs w:val="24"/>
          <w:lang w:val="en-US" w:eastAsia="zh-CN"/>
          <w14:textFill>
            <w14:solidFill>
              <w14:schemeClr w14:val="tx1"/>
            </w14:solidFill>
          </w14:textFill>
        </w:rPr>
      </w:pPr>
    </w:p>
    <w:sectPr>
      <w:pgSz w:w="11905" w:h="16838"/>
      <w:pgMar w:top="1417" w:right="1417" w:bottom="1417" w:left="1417" w:header="850" w:footer="992" w:gutter="0"/>
      <w:pgNumType w:fmt="decimal"/>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简体">
    <w:altName w:val="宋体"/>
    <w:panose1 w:val="02010601030101010101"/>
    <w:charset w:val="86"/>
    <w:family w:val="auto"/>
    <w:pitch w:val="default"/>
    <w:sig w:usb0="00000000" w:usb1="00000000" w:usb2="00000000" w:usb3="00000000" w:csb0="00040000" w:csb1="00000000"/>
  </w:font>
  <w:font w:name="HiddenHorzOCR">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ambria">
    <w:panose1 w:val="02040503050406030204"/>
    <w:charset w:val="00"/>
    <w:family w:val="roman"/>
    <w:pitch w:val="default"/>
    <w:sig w:usb0="E00006FF" w:usb1="420024FF" w:usb2="0200000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6BDD6">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FE3EE">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A86E7B">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AA86E7B">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5A1A4">
    <w:pPr>
      <w:pStyle w:val="13"/>
      <w:rPr>
        <w:rFonts w:hint="eastAsia"/>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B8BDBD">
                          <w:pPr>
                            <w:pStyle w:val="1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4B8BDBD">
                    <w:pPr>
                      <w:pStyle w:val="13"/>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24BC3">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08FAC">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DD64B">
    <w:pPr>
      <w:pStyle w:val="1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37E5FC">
                          <w:pPr>
                            <w:pStyle w:val="13"/>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7037E5FC">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49685">
    <w:pPr>
      <w:pStyle w:val="13"/>
      <w:rPr>
        <w:rFonts w:hint="eastAsia"/>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D97811">
                          <w:pPr>
                            <w:pStyle w:val="13"/>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6D97811">
                    <w:pPr>
                      <w:pStyle w:val="13"/>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696AA">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7DB97D">
                          <w:pPr>
                            <w:pStyle w:val="13"/>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E7DB97D">
                    <w:pPr>
                      <w:pStyle w:val="13"/>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F855C">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10CF40">
                          <w:pPr>
                            <w:pStyle w:val="13"/>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210CF40">
                    <w:pPr>
                      <w:pStyle w:val="13"/>
                    </w:pPr>
                    <w:r>
                      <w:fldChar w:fldCharType="begin"/>
                    </w:r>
                    <w:r>
                      <w:instrText xml:space="preserve"> PAGE  \* MERGEFORMAT </w:instrText>
                    </w:r>
                    <w:r>
                      <w:fldChar w:fldCharType="separate"/>
                    </w:r>
                    <w:r>
                      <w:t>81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0ED4F">
    <w:pPr>
      <w:pStyle w:val="14"/>
      <w:pBdr>
        <w:bottom w:val="none" w:color="auto" w:sz="0" w:space="1"/>
      </w:pBd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53145">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062B7">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A0ECB">
    <w:pPr>
      <w:pStyle w:val="14"/>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D0E81B"/>
    <w:multiLevelType w:val="singleLevel"/>
    <w:tmpl w:val="9BD0E81B"/>
    <w:lvl w:ilvl="0" w:tentative="0">
      <w:start w:val="7"/>
      <w:numFmt w:val="chineseCounting"/>
      <w:suff w:val="space"/>
      <w:lvlText w:val="第%1章"/>
      <w:lvlJc w:val="left"/>
      <w:rPr>
        <w:rFonts w:hint="eastAsia"/>
      </w:rPr>
    </w:lvl>
  </w:abstractNum>
  <w:abstractNum w:abstractNumId="1">
    <w:nsid w:val="A297E73E"/>
    <w:multiLevelType w:val="singleLevel"/>
    <w:tmpl w:val="A297E73E"/>
    <w:lvl w:ilvl="0" w:tentative="0">
      <w:start w:val="4"/>
      <w:numFmt w:val="chineseCounting"/>
      <w:suff w:val="space"/>
      <w:lvlText w:val="第%1章"/>
      <w:lvlJc w:val="left"/>
      <w:rPr>
        <w:rFonts w:hint="eastAsia"/>
        <w:sz w:val="32"/>
        <w:szCs w:val="32"/>
      </w:rPr>
    </w:lvl>
  </w:abstractNum>
  <w:abstractNum w:abstractNumId="2">
    <w:nsid w:val="C05EC1A8"/>
    <w:multiLevelType w:val="singleLevel"/>
    <w:tmpl w:val="C05EC1A8"/>
    <w:lvl w:ilvl="0" w:tentative="0">
      <w:start w:val="3"/>
      <w:numFmt w:val="chineseCounting"/>
      <w:suff w:val="nothing"/>
      <w:lvlText w:val="%1、"/>
      <w:lvlJc w:val="left"/>
      <w:rPr>
        <w:rFonts w:hint="eastAsia"/>
      </w:rPr>
    </w:lvl>
  </w:abstractNum>
  <w:abstractNum w:abstractNumId="3">
    <w:nsid w:val="F538D661"/>
    <w:multiLevelType w:val="singleLevel"/>
    <w:tmpl w:val="F538D661"/>
    <w:lvl w:ilvl="0" w:tentative="0">
      <w:start w:val="1"/>
      <w:numFmt w:val="decimal"/>
      <w:lvlText w:val="%1."/>
      <w:lvlJc w:val="left"/>
      <w:pPr>
        <w:tabs>
          <w:tab w:val="left" w:pos="312"/>
        </w:tabs>
      </w:pPr>
    </w:lvl>
  </w:abstractNum>
  <w:abstractNum w:abstractNumId="4">
    <w:nsid w:val="18DC4D5C"/>
    <w:multiLevelType w:val="singleLevel"/>
    <w:tmpl w:val="18DC4D5C"/>
    <w:lvl w:ilvl="0" w:tentative="0">
      <w:start w:val="1"/>
      <w:numFmt w:val="decimal"/>
      <w:suff w:val="nothing"/>
      <w:lvlText w:val="%1、"/>
      <w:lvlJc w:val="left"/>
    </w:lvl>
  </w:abstractNum>
  <w:abstractNum w:abstractNumId="5">
    <w:nsid w:val="191351ED"/>
    <w:multiLevelType w:val="multilevel"/>
    <w:tmpl w:val="191351ED"/>
    <w:lvl w:ilvl="0" w:tentative="0">
      <w:start w:val="2"/>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1YWJjMzYyM2U5NDRhNTJhMTA5N2IwZjI2NTljMTEifQ=="/>
  </w:docVars>
  <w:rsids>
    <w:rsidRoot w:val="00000000"/>
    <w:rsid w:val="007D6A53"/>
    <w:rsid w:val="00AB1812"/>
    <w:rsid w:val="00AC3062"/>
    <w:rsid w:val="00AE4E5E"/>
    <w:rsid w:val="00CC4F74"/>
    <w:rsid w:val="01B464A4"/>
    <w:rsid w:val="01CE3A0A"/>
    <w:rsid w:val="01D37272"/>
    <w:rsid w:val="020E02AA"/>
    <w:rsid w:val="02AC55FB"/>
    <w:rsid w:val="02B0310F"/>
    <w:rsid w:val="02E64D83"/>
    <w:rsid w:val="03047E35"/>
    <w:rsid w:val="032A089D"/>
    <w:rsid w:val="03404493"/>
    <w:rsid w:val="03896DEE"/>
    <w:rsid w:val="039B39A0"/>
    <w:rsid w:val="03B804CE"/>
    <w:rsid w:val="03C51FC2"/>
    <w:rsid w:val="03EE57FA"/>
    <w:rsid w:val="040E4592"/>
    <w:rsid w:val="041C59C7"/>
    <w:rsid w:val="041F679F"/>
    <w:rsid w:val="04245B63"/>
    <w:rsid w:val="04300A3C"/>
    <w:rsid w:val="043F3109"/>
    <w:rsid w:val="04581CB1"/>
    <w:rsid w:val="048E56D2"/>
    <w:rsid w:val="04966335"/>
    <w:rsid w:val="04B40BA7"/>
    <w:rsid w:val="04DF5F2E"/>
    <w:rsid w:val="04EB2559"/>
    <w:rsid w:val="04FC4F44"/>
    <w:rsid w:val="051756C8"/>
    <w:rsid w:val="051A51B8"/>
    <w:rsid w:val="0545362F"/>
    <w:rsid w:val="054A50F2"/>
    <w:rsid w:val="056A3A4A"/>
    <w:rsid w:val="056F10B3"/>
    <w:rsid w:val="05706B86"/>
    <w:rsid w:val="057559AF"/>
    <w:rsid w:val="059960DD"/>
    <w:rsid w:val="05AA653C"/>
    <w:rsid w:val="05D65617"/>
    <w:rsid w:val="05E25CD6"/>
    <w:rsid w:val="064C314F"/>
    <w:rsid w:val="066E7569"/>
    <w:rsid w:val="06B5432E"/>
    <w:rsid w:val="06BB2083"/>
    <w:rsid w:val="06E94E42"/>
    <w:rsid w:val="070C4535"/>
    <w:rsid w:val="07770178"/>
    <w:rsid w:val="07B70A9C"/>
    <w:rsid w:val="07BD0BB8"/>
    <w:rsid w:val="07E15B19"/>
    <w:rsid w:val="08157D0A"/>
    <w:rsid w:val="08534C69"/>
    <w:rsid w:val="085602B5"/>
    <w:rsid w:val="087E15BA"/>
    <w:rsid w:val="08AC4379"/>
    <w:rsid w:val="092642D9"/>
    <w:rsid w:val="0972111F"/>
    <w:rsid w:val="09A137B2"/>
    <w:rsid w:val="09AA4D5C"/>
    <w:rsid w:val="09AD03A9"/>
    <w:rsid w:val="09D66005"/>
    <w:rsid w:val="09E6794E"/>
    <w:rsid w:val="09EA6F07"/>
    <w:rsid w:val="0A03621B"/>
    <w:rsid w:val="0A1E3055"/>
    <w:rsid w:val="0A250DA1"/>
    <w:rsid w:val="0A2772B7"/>
    <w:rsid w:val="0A434869"/>
    <w:rsid w:val="0A4E22FB"/>
    <w:rsid w:val="0A7136E4"/>
    <w:rsid w:val="0A7F55A7"/>
    <w:rsid w:val="0ACB31DC"/>
    <w:rsid w:val="0AFE2C02"/>
    <w:rsid w:val="0B097861"/>
    <w:rsid w:val="0B2E6DF8"/>
    <w:rsid w:val="0B64718D"/>
    <w:rsid w:val="0B6902FF"/>
    <w:rsid w:val="0B720CBA"/>
    <w:rsid w:val="0B8615FF"/>
    <w:rsid w:val="0B8D30CC"/>
    <w:rsid w:val="0BA269D3"/>
    <w:rsid w:val="0BBC0D77"/>
    <w:rsid w:val="0BF70001"/>
    <w:rsid w:val="0C360B29"/>
    <w:rsid w:val="0C721436"/>
    <w:rsid w:val="0C74749D"/>
    <w:rsid w:val="0C9926ED"/>
    <w:rsid w:val="0CF90411"/>
    <w:rsid w:val="0D171C3E"/>
    <w:rsid w:val="0D790AD4"/>
    <w:rsid w:val="0D882DBC"/>
    <w:rsid w:val="0D894C75"/>
    <w:rsid w:val="0D907DC5"/>
    <w:rsid w:val="0D9F0985"/>
    <w:rsid w:val="0D9F3606"/>
    <w:rsid w:val="0E0B7D94"/>
    <w:rsid w:val="0E146C48"/>
    <w:rsid w:val="0E1E7AC7"/>
    <w:rsid w:val="0E266744"/>
    <w:rsid w:val="0E356BBF"/>
    <w:rsid w:val="0E397EAB"/>
    <w:rsid w:val="0E4310F3"/>
    <w:rsid w:val="0E552DBD"/>
    <w:rsid w:val="0E603C3C"/>
    <w:rsid w:val="0E63197E"/>
    <w:rsid w:val="0E7D2A40"/>
    <w:rsid w:val="0EC432E2"/>
    <w:rsid w:val="0EDC703A"/>
    <w:rsid w:val="0EE77EB9"/>
    <w:rsid w:val="0EEE5C97"/>
    <w:rsid w:val="0EF03389"/>
    <w:rsid w:val="0EF44384"/>
    <w:rsid w:val="0F31382A"/>
    <w:rsid w:val="0F386966"/>
    <w:rsid w:val="0F3F5F47"/>
    <w:rsid w:val="0F45435A"/>
    <w:rsid w:val="0F7554C5"/>
    <w:rsid w:val="0F7F4595"/>
    <w:rsid w:val="0F916BCD"/>
    <w:rsid w:val="0FE32D76"/>
    <w:rsid w:val="0FE73EE9"/>
    <w:rsid w:val="0FF22FB9"/>
    <w:rsid w:val="0FF32122"/>
    <w:rsid w:val="102A1DC3"/>
    <w:rsid w:val="10393BF3"/>
    <w:rsid w:val="10A8098E"/>
    <w:rsid w:val="10A867D5"/>
    <w:rsid w:val="10B93AD7"/>
    <w:rsid w:val="112076B2"/>
    <w:rsid w:val="112703F2"/>
    <w:rsid w:val="113D64B6"/>
    <w:rsid w:val="11603F53"/>
    <w:rsid w:val="11D67341"/>
    <w:rsid w:val="12130FC5"/>
    <w:rsid w:val="122356AC"/>
    <w:rsid w:val="12463148"/>
    <w:rsid w:val="127263BE"/>
    <w:rsid w:val="1274141C"/>
    <w:rsid w:val="12D40754"/>
    <w:rsid w:val="12EE67A1"/>
    <w:rsid w:val="12F8636F"/>
    <w:rsid w:val="132A67FB"/>
    <w:rsid w:val="13427DB4"/>
    <w:rsid w:val="13491142"/>
    <w:rsid w:val="138008DC"/>
    <w:rsid w:val="138C7281"/>
    <w:rsid w:val="13914897"/>
    <w:rsid w:val="13916645"/>
    <w:rsid w:val="139828D3"/>
    <w:rsid w:val="1407332A"/>
    <w:rsid w:val="144813FA"/>
    <w:rsid w:val="14795A57"/>
    <w:rsid w:val="14A34882"/>
    <w:rsid w:val="15107A3E"/>
    <w:rsid w:val="15155054"/>
    <w:rsid w:val="151C4634"/>
    <w:rsid w:val="152A4FA3"/>
    <w:rsid w:val="15415E49"/>
    <w:rsid w:val="15937713"/>
    <w:rsid w:val="15B4676B"/>
    <w:rsid w:val="15E038B4"/>
    <w:rsid w:val="15EB4733"/>
    <w:rsid w:val="15FD4466"/>
    <w:rsid w:val="15FF01DE"/>
    <w:rsid w:val="16027CCE"/>
    <w:rsid w:val="161517B0"/>
    <w:rsid w:val="16465E0D"/>
    <w:rsid w:val="165921FC"/>
    <w:rsid w:val="16692350"/>
    <w:rsid w:val="169F72CB"/>
    <w:rsid w:val="16B10A5D"/>
    <w:rsid w:val="16B5089D"/>
    <w:rsid w:val="16C539EC"/>
    <w:rsid w:val="16CD5BE6"/>
    <w:rsid w:val="16DA5F29"/>
    <w:rsid w:val="16E3187B"/>
    <w:rsid w:val="17312619"/>
    <w:rsid w:val="173A3ED7"/>
    <w:rsid w:val="174114E0"/>
    <w:rsid w:val="1767428D"/>
    <w:rsid w:val="176A1687"/>
    <w:rsid w:val="17DD5A4A"/>
    <w:rsid w:val="17DF7415"/>
    <w:rsid w:val="18147845"/>
    <w:rsid w:val="182C2DE0"/>
    <w:rsid w:val="18437AB9"/>
    <w:rsid w:val="18495740"/>
    <w:rsid w:val="18AA6D0D"/>
    <w:rsid w:val="18B02996"/>
    <w:rsid w:val="18DF7E53"/>
    <w:rsid w:val="18EF12AF"/>
    <w:rsid w:val="192D0BBE"/>
    <w:rsid w:val="194276D1"/>
    <w:rsid w:val="195B507D"/>
    <w:rsid w:val="19CF2323"/>
    <w:rsid w:val="19EA6AAF"/>
    <w:rsid w:val="1A200723"/>
    <w:rsid w:val="1A3D07EC"/>
    <w:rsid w:val="1A472154"/>
    <w:rsid w:val="1A4E4B9A"/>
    <w:rsid w:val="1A6B5E67"/>
    <w:rsid w:val="1A777D51"/>
    <w:rsid w:val="1A7840BB"/>
    <w:rsid w:val="1ADC289C"/>
    <w:rsid w:val="1AE506FB"/>
    <w:rsid w:val="1AE84E32"/>
    <w:rsid w:val="1B19589E"/>
    <w:rsid w:val="1B324BB2"/>
    <w:rsid w:val="1B4A1757"/>
    <w:rsid w:val="1B4D72F6"/>
    <w:rsid w:val="1B5E4E57"/>
    <w:rsid w:val="1BC3580A"/>
    <w:rsid w:val="1BF43C15"/>
    <w:rsid w:val="1C00080C"/>
    <w:rsid w:val="1C59220B"/>
    <w:rsid w:val="1C940F54"/>
    <w:rsid w:val="1C9F6277"/>
    <w:rsid w:val="1CA76EDA"/>
    <w:rsid w:val="1CAA49F4"/>
    <w:rsid w:val="1CDD6D9F"/>
    <w:rsid w:val="1CEB03FA"/>
    <w:rsid w:val="1D715F27"/>
    <w:rsid w:val="1D742739"/>
    <w:rsid w:val="1D905BC0"/>
    <w:rsid w:val="1D9456B0"/>
    <w:rsid w:val="1DD11B67"/>
    <w:rsid w:val="1E03382C"/>
    <w:rsid w:val="1E0565AE"/>
    <w:rsid w:val="1E081BFA"/>
    <w:rsid w:val="1E164317"/>
    <w:rsid w:val="1E2A7DC2"/>
    <w:rsid w:val="1E995EE6"/>
    <w:rsid w:val="1EB57EA7"/>
    <w:rsid w:val="1EC51899"/>
    <w:rsid w:val="1EC64C1D"/>
    <w:rsid w:val="1EDC730E"/>
    <w:rsid w:val="1EE66FF8"/>
    <w:rsid w:val="1F3B22B0"/>
    <w:rsid w:val="1F572E39"/>
    <w:rsid w:val="1F833C2E"/>
    <w:rsid w:val="1F9F3F6D"/>
    <w:rsid w:val="1FEE4792"/>
    <w:rsid w:val="20211FF7"/>
    <w:rsid w:val="207B2B57"/>
    <w:rsid w:val="207D242B"/>
    <w:rsid w:val="20E93F65"/>
    <w:rsid w:val="21731A80"/>
    <w:rsid w:val="217E73D6"/>
    <w:rsid w:val="219537A4"/>
    <w:rsid w:val="21E8421C"/>
    <w:rsid w:val="21FC1A76"/>
    <w:rsid w:val="2230171F"/>
    <w:rsid w:val="22441747"/>
    <w:rsid w:val="22806203"/>
    <w:rsid w:val="2288155B"/>
    <w:rsid w:val="22910410"/>
    <w:rsid w:val="22965A26"/>
    <w:rsid w:val="22D816FD"/>
    <w:rsid w:val="22E54C87"/>
    <w:rsid w:val="230C5CE8"/>
    <w:rsid w:val="232E2103"/>
    <w:rsid w:val="2335523F"/>
    <w:rsid w:val="237D2742"/>
    <w:rsid w:val="239041F6"/>
    <w:rsid w:val="23A6613D"/>
    <w:rsid w:val="23A93537"/>
    <w:rsid w:val="23BD5235"/>
    <w:rsid w:val="23D06D16"/>
    <w:rsid w:val="23D24657"/>
    <w:rsid w:val="23DF6B39"/>
    <w:rsid w:val="23F13D6D"/>
    <w:rsid w:val="24150BCD"/>
    <w:rsid w:val="241C01E1"/>
    <w:rsid w:val="245018BB"/>
    <w:rsid w:val="247B1377"/>
    <w:rsid w:val="249917FE"/>
    <w:rsid w:val="249B7048"/>
    <w:rsid w:val="24B01693"/>
    <w:rsid w:val="24C4163D"/>
    <w:rsid w:val="24EC7B7F"/>
    <w:rsid w:val="24F54236"/>
    <w:rsid w:val="24F904EE"/>
    <w:rsid w:val="25483A81"/>
    <w:rsid w:val="25493224"/>
    <w:rsid w:val="25513E86"/>
    <w:rsid w:val="25824A66"/>
    <w:rsid w:val="25BC39F6"/>
    <w:rsid w:val="25D4054F"/>
    <w:rsid w:val="26037179"/>
    <w:rsid w:val="26111A6E"/>
    <w:rsid w:val="26215F4F"/>
    <w:rsid w:val="26431CC0"/>
    <w:rsid w:val="264C20D4"/>
    <w:rsid w:val="268169ED"/>
    <w:rsid w:val="26967419"/>
    <w:rsid w:val="26BB3CAD"/>
    <w:rsid w:val="27046069"/>
    <w:rsid w:val="27383550"/>
    <w:rsid w:val="2749750B"/>
    <w:rsid w:val="277B343D"/>
    <w:rsid w:val="27980F2F"/>
    <w:rsid w:val="27A6495D"/>
    <w:rsid w:val="27E92A9C"/>
    <w:rsid w:val="28123DA1"/>
    <w:rsid w:val="28645599"/>
    <w:rsid w:val="288307FB"/>
    <w:rsid w:val="288E455E"/>
    <w:rsid w:val="28E0583E"/>
    <w:rsid w:val="28F5575E"/>
    <w:rsid w:val="29017971"/>
    <w:rsid w:val="29620EFF"/>
    <w:rsid w:val="296248B4"/>
    <w:rsid w:val="29BA649E"/>
    <w:rsid w:val="29BD5F8E"/>
    <w:rsid w:val="29C72969"/>
    <w:rsid w:val="29CE3CF8"/>
    <w:rsid w:val="2A0A3428"/>
    <w:rsid w:val="2A547AA6"/>
    <w:rsid w:val="2A6E7289"/>
    <w:rsid w:val="2A804804"/>
    <w:rsid w:val="2AB16C58"/>
    <w:rsid w:val="2AB94FB3"/>
    <w:rsid w:val="2ADA4045"/>
    <w:rsid w:val="2AF61758"/>
    <w:rsid w:val="2B132858"/>
    <w:rsid w:val="2BB05DAB"/>
    <w:rsid w:val="2BFD6B16"/>
    <w:rsid w:val="2BFE2F99"/>
    <w:rsid w:val="2C065BC9"/>
    <w:rsid w:val="2C271DE5"/>
    <w:rsid w:val="2C332538"/>
    <w:rsid w:val="2C60493C"/>
    <w:rsid w:val="2C6646BB"/>
    <w:rsid w:val="2C6944BA"/>
    <w:rsid w:val="2CDD1E91"/>
    <w:rsid w:val="2CED26E7"/>
    <w:rsid w:val="2D546C0A"/>
    <w:rsid w:val="2D5B1D46"/>
    <w:rsid w:val="2D9F7082"/>
    <w:rsid w:val="2DBA2FCF"/>
    <w:rsid w:val="2DC9494B"/>
    <w:rsid w:val="2DCE3044"/>
    <w:rsid w:val="2E2C723F"/>
    <w:rsid w:val="2E3D3954"/>
    <w:rsid w:val="2EA17C2D"/>
    <w:rsid w:val="2EBE44A5"/>
    <w:rsid w:val="2EC75DC5"/>
    <w:rsid w:val="2ED973C6"/>
    <w:rsid w:val="2EFA558F"/>
    <w:rsid w:val="2EFF26DD"/>
    <w:rsid w:val="2F455E76"/>
    <w:rsid w:val="2F720302"/>
    <w:rsid w:val="2F9C6646"/>
    <w:rsid w:val="2FC32C4B"/>
    <w:rsid w:val="2FC801A5"/>
    <w:rsid w:val="305D1B42"/>
    <w:rsid w:val="30624481"/>
    <w:rsid w:val="30675B5C"/>
    <w:rsid w:val="307279A7"/>
    <w:rsid w:val="30A47560"/>
    <w:rsid w:val="30BE0263"/>
    <w:rsid w:val="30D4278E"/>
    <w:rsid w:val="30E169D3"/>
    <w:rsid w:val="31131B51"/>
    <w:rsid w:val="3143321D"/>
    <w:rsid w:val="314D19A6"/>
    <w:rsid w:val="315B638E"/>
    <w:rsid w:val="319770C5"/>
    <w:rsid w:val="31AF5251"/>
    <w:rsid w:val="320E4FAA"/>
    <w:rsid w:val="321A0E4A"/>
    <w:rsid w:val="321F3C37"/>
    <w:rsid w:val="32270FDF"/>
    <w:rsid w:val="322D17D7"/>
    <w:rsid w:val="322F72FD"/>
    <w:rsid w:val="3268280F"/>
    <w:rsid w:val="327F35F8"/>
    <w:rsid w:val="32AC094E"/>
    <w:rsid w:val="32B31CDC"/>
    <w:rsid w:val="32BE6E8B"/>
    <w:rsid w:val="32CD1855"/>
    <w:rsid w:val="33460DA3"/>
    <w:rsid w:val="33541711"/>
    <w:rsid w:val="33590AD6"/>
    <w:rsid w:val="337551E4"/>
    <w:rsid w:val="33A37FA3"/>
    <w:rsid w:val="33B73A72"/>
    <w:rsid w:val="33CB3534"/>
    <w:rsid w:val="33D3451A"/>
    <w:rsid w:val="340B29F3"/>
    <w:rsid w:val="3434509F"/>
    <w:rsid w:val="346624C6"/>
    <w:rsid w:val="34A83E43"/>
    <w:rsid w:val="34E5087A"/>
    <w:rsid w:val="34F14D3E"/>
    <w:rsid w:val="350E769E"/>
    <w:rsid w:val="352820B5"/>
    <w:rsid w:val="35352E7D"/>
    <w:rsid w:val="358E6A31"/>
    <w:rsid w:val="35B44335"/>
    <w:rsid w:val="35E93C67"/>
    <w:rsid w:val="362912AA"/>
    <w:rsid w:val="36392E40"/>
    <w:rsid w:val="36401C52"/>
    <w:rsid w:val="36761C77"/>
    <w:rsid w:val="36772B09"/>
    <w:rsid w:val="36785717"/>
    <w:rsid w:val="369B1405"/>
    <w:rsid w:val="36A173CD"/>
    <w:rsid w:val="36B4763B"/>
    <w:rsid w:val="36BE7493"/>
    <w:rsid w:val="36C95F72"/>
    <w:rsid w:val="36E57702"/>
    <w:rsid w:val="36F86858"/>
    <w:rsid w:val="36FA2888"/>
    <w:rsid w:val="37492C0F"/>
    <w:rsid w:val="376932B2"/>
    <w:rsid w:val="376D741A"/>
    <w:rsid w:val="37B4661B"/>
    <w:rsid w:val="37EF546A"/>
    <w:rsid w:val="380E66AF"/>
    <w:rsid w:val="382C4A0B"/>
    <w:rsid w:val="384D5DAC"/>
    <w:rsid w:val="388E2615"/>
    <w:rsid w:val="38AA423A"/>
    <w:rsid w:val="38D5662A"/>
    <w:rsid w:val="38FB7F9C"/>
    <w:rsid w:val="38FC2CE6"/>
    <w:rsid w:val="396B1CA3"/>
    <w:rsid w:val="39943C53"/>
    <w:rsid w:val="39F15D39"/>
    <w:rsid w:val="39FA28E7"/>
    <w:rsid w:val="3A015A23"/>
    <w:rsid w:val="3A1133C9"/>
    <w:rsid w:val="3A3E6C77"/>
    <w:rsid w:val="3A445910"/>
    <w:rsid w:val="3A5E2E76"/>
    <w:rsid w:val="3A614714"/>
    <w:rsid w:val="3AA91F9C"/>
    <w:rsid w:val="3AC60B17"/>
    <w:rsid w:val="3AE07D2F"/>
    <w:rsid w:val="3AF262A6"/>
    <w:rsid w:val="3B272E44"/>
    <w:rsid w:val="3B402DDF"/>
    <w:rsid w:val="3B9052B1"/>
    <w:rsid w:val="3B9C3C56"/>
    <w:rsid w:val="3BD57ACA"/>
    <w:rsid w:val="3C1E28BD"/>
    <w:rsid w:val="3C3519B4"/>
    <w:rsid w:val="3C4A3275"/>
    <w:rsid w:val="3C686F62"/>
    <w:rsid w:val="3C77021F"/>
    <w:rsid w:val="3C9413CE"/>
    <w:rsid w:val="3C9A7CFB"/>
    <w:rsid w:val="3CB94393"/>
    <w:rsid w:val="3CC03974"/>
    <w:rsid w:val="3CDD2778"/>
    <w:rsid w:val="3CFD60FD"/>
    <w:rsid w:val="3D361E88"/>
    <w:rsid w:val="3D474095"/>
    <w:rsid w:val="3D597DAE"/>
    <w:rsid w:val="3D956D88"/>
    <w:rsid w:val="3DEE4628"/>
    <w:rsid w:val="3E053189"/>
    <w:rsid w:val="3E361BEF"/>
    <w:rsid w:val="3E686071"/>
    <w:rsid w:val="3E9E32CB"/>
    <w:rsid w:val="3ED150D8"/>
    <w:rsid w:val="3EE1655F"/>
    <w:rsid w:val="3F0B4D59"/>
    <w:rsid w:val="3F4756C9"/>
    <w:rsid w:val="3F6A31A9"/>
    <w:rsid w:val="3F72278F"/>
    <w:rsid w:val="3F7B10E6"/>
    <w:rsid w:val="3F8E7D59"/>
    <w:rsid w:val="3F9D61EE"/>
    <w:rsid w:val="3FC400EB"/>
    <w:rsid w:val="3FD36AE7"/>
    <w:rsid w:val="3FEF133C"/>
    <w:rsid w:val="401C5365"/>
    <w:rsid w:val="410A78B3"/>
    <w:rsid w:val="412505A3"/>
    <w:rsid w:val="41401527"/>
    <w:rsid w:val="414D154E"/>
    <w:rsid w:val="41A01FC6"/>
    <w:rsid w:val="41C65B02"/>
    <w:rsid w:val="41F8595E"/>
    <w:rsid w:val="42044303"/>
    <w:rsid w:val="420542C3"/>
    <w:rsid w:val="42091919"/>
    <w:rsid w:val="42620507"/>
    <w:rsid w:val="428471F1"/>
    <w:rsid w:val="42903EB7"/>
    <w:rsid w:val="42BC2E2F"/>
    <w:rsid w:val="42C341BE"/>
    <w:rsid w:val="42F500EF"/>
    <w:rsid w:val="42FC147E"/>
    <w:rsid w:val="42FE6FA4"/>
    <w:rsid w:val="430C4B74"/>
    <w:rsid w:val="4323397D"/>
    <w:rsid w:val="4368266F"/>
    <w:rsid w:val="43E066A9"/>
    <w:rsid w:val="43FE23D9"/>
    <w:rsid w:val="440D0743"/>
    <w:rsid w:val="44150A49"/>
    <w:rsid w:val="441D5B50"/>
    <w:rsid w:val="44223166"/>
    <w:rsid w:val="446E50D1"/>
    <w:rsid w:val="4470139D"/>
    <w:rsid w:val="44F7014F"/>
    <w:rsid w:val="45012D7B"/>
    <w:rsid w:val="45A302DA"/>
    <w:rsid w:val="45B37F60"/>
    <w:rsid w:val="45B61945"/>
    <w:rsid w:val="45EC7588"/>
    <w:rsid w:val="45F35F5D"/>
    <w:rsid w:val="46330E48"/>
    <w:rsid w:val="46546BB9"/>
    <w:rsid w:val="46563A52"/>
    <w:rsid w:val="467557CF"/>
    <w:rsid w:val="46B163BF"/>
    <w:rsid w:val="46B8390E"/>
    <w:rsid w:val="46C978C9"/>
    <w:rsid w:val="46E666CD"/>
    <w:rsid w:val="477A0BC3"/>
    <w:rsid w:val="4783398F"/>
    <w:rsid w:val="47BC3B1C"/>
    <w:rsid w:val="47C70402"/>
    <w:rsid w:val="4803505C"/>
    <w:rsid w:val="482C575E"/>
    <w:rsid w:val="484228B6"/>
    <w:rsid w:val="48531B40"/>
    <w:rsid w:val="48843EED"/>
    <w:rsid w:val="48C04CFB"/>
    <w:rsid w:val="48D34A2F"/>
    <w:rsid w:val="48D94EB3"/>
    <w:rsid w:val="48E63BE7"/>
    <w:rsid w:val="48F86243"/>
    <w:rsid w:val="49373210"/>
    <w:rsid w:val="4949520A"/>
    <w:rsid w:val="494D6F0F"/>
    <w:rsid w:val="494F2F9A"/>
    <w:rsid w:val="495042D1"/>
    <w:rsid w:val="4A007AA5"/>
    <w:rsid w:val="4A01737A"/>
    <w:rsid w:val="4A2C4985"/>
    <w:rsid w:val="4A6A13C3"/>
    <w:rsid w:val="4A7B0EA7"/>
    <w:rsid w:val="4A980FA5"/>
    <w:rsid w:val="4ABB2B3D"/>
    <w:rsid w:val="4AE66C9B"/>
    <w:rsid w:val="4AF479E0"/>
    <w:rsid w:val="4B1D6844"/>
    <w:rsid w:val="4B3C76DA"/>
    <w:rsid w:val="4B413ED2"/>
    <w:rsid w:val="4B517E8D"/>
    <w:rsid w:val="4B5D6832"/>
    <w:rsid w:val="4BDC009E"/>
    <w:rsid w:val="4BE77467"/>
    <w:rsid w:val="4C2B6930"/>
    <w:rsid w:val="4C3F33FA"/>
    <w:rsid w:val="4C410209"/>
    <w:rsid w:val="4C7B1665"/>
    <w:rsid w:val="4C83051A"/>
    <w:rsid w:val="4C8C494F"/>
    <w:rsid w:val="4C9D5A7F"/>
    <w:rsid w:val="4CB92492"/>
    <w:rsid w:val="4D04165B"/>
    <w:rsid w:val="4D2717ED"/>
    <w:rsid w:val="4D3A3FEE"/>
    <w:rsid w:val="4D626381"/>
    <w:rsid w:val="4D7B7443"/>
    <w:rsid w:val="4D844BA7"/>
    <w:rsid w:val="4D901140"/>
    <w:rsid w:val="4D907392"/>
    <w:rsid w:val="4DB7491F"/>
    <w:rsid w:val="4DC54551"/>
    <w:rsid w:val="4E064746"/>
    <w:rsid w:val="4E241889"/>
    <w:rsid w:val="4E265601"/>
    <w:rsid w:val="4E2C7DDD"/>
    <w:rsid w:val="4E5A52AA"/>
    <w:rsid w:val="4E6A7BE3"/>
    <w:rsid w:val="4E767CFB"/>
    <w:rsid w:val="4E7E543D"/>
    <w:rsid w:val="4E9E163B"/>
    <w:rsid w:val="4F2F5EBE"/>
    <w:rsid w:val="4F315AB8"/>
    <w:rsid w:val="4F6A2024"/>
    <w:rsid w:val="4F8A6B7C"/>
    <w:rsid w:val="4F9D18F3"/>
    <w:rsid w:val="4FA47125"/>
    <w:rsid w:val="4FA837F3"/>
    <w:rsid w:val="4FC438CF"/>
    <w:rsid w:val="4FF419EA"/>
    <w:rsid w:val="500E224E"/>
    <w:rsid w:val="50256650"/>
    <w:rsid w:val="50615016"/>
    <w:rsid w:val="50760AC1"/>
    <w:rsid w:val="50BC224C"/>
    <w:rsid w:val="50BE5FC4"/>
    <w:rsid w:val="50C57353"/>
    <w:rsid w:val="50EA6DB9"/>
    <w:rsid w:val="51222B5B"/>
    <w:rsid w:val="514B561F"/>
    <w:rsid w:val="518641C1"/>
    <w:rsid w:val="51890380"/>
    <w:rsid w:val="519A258E"/>
    <w:rsid w:val="51A056CA"/>
    <w:rsid w:val="51A56223"/>
    <w:rsid w:val="51A87D86"/>
    <w:rsid w:val="51A96C75"/>
    <w:rsid w:val="51B83165"/>
    <w:rsid w:val="51D32C9A"/>
    <w:rsid w:val="51DC5197"/>
    <w:rsid w:val="51DE56BE"/>
    <w:rsid w:val="51E75623"/>
    <w:rsid w:val="51F7178E"/>
    <w:rsid w:val="520E0886"/>
    <w:rsid w:val="5264494A"/>
    <w:rsid w:val="529A534D"/>
    <w:rsid w:val="52A236EC"/>
    <w:rsid w:val="52B56FEB"/>
    <w:rsid w:val="52F537F4"/>
    <w:rsid w:val="5340683A"/>
    <w:rsid w:val="5354676C"/>
    <w:rsid w:val="53620E89"/>
    <w:rsid w:val="5382461A"/>
    <w:rsid w:val="53AE0572"/>
    <w:rsid w:val="53C25DCC"/>
    <w:rsid w:val="53F561A1"/>
    <w:rsid w:val="5411465D"/>
    <w:rsid w:val="54336CC9"/>
    <w:rsid w:val="546450D5"/>
    <w:rsid w:val="5481052E"/>
    <w:rsid w:val="5488491F"/>
    <w:rsid w:val="549715EC"/>
    <w:rsid w:val="54AC4B1D"/>
    <w:rsid w:val="54AE00FE"/>
    <w:rsid w:val="54D538DD"/>
    <w:rsid w:val="54D73AF9"/>
    <w:rsid w:val="54F637AE"/>
    <w:rsid w:val="55254864"/>
    <w:rsid w:val="55630150"/>
    <w:rsid w:val="55AC288F"/>
    <w:rsid w:val="55AE4859"/>
    <w:rsid w:val="55D41DE6"/>
    <w:rsid w:val="55DC2E54"/>
    <w:rsid w:val="55E055C2"/>
    <w:rsid w:val="560501F2"/>
    <w:rsid w:val="56075D18"/>
    <w:rsid w:val="560E70A6"/>
    <w:rsid w:val="56DE0939"/>
    <w:rsid w:val="57517B5F"/>
    <w:rsid w:val="578102C7"/>
    <w:rsid w:val="57C3194A"/>
    <w:rsid w:val="57C47530"/>
    <w:rsid w:val="57D85BBE"/>
    <w:rsid w:val="57F4051E"/>
    <w:rsid w:val="57FF007B"/>
    <w:rsid w:val="5838665C"/>
    <w:rsid w:val="58975A79"/>
    <w:rsid w:val="589E07BD"/>
    <w:rsid w:val="58A212FD"/>
    <w:rsid w:val="58C12AF6"/>
    <w:rsid w:val="58CC70CF"/>
    <w:rsid w:val="58E467E4"/>
    <w:rsid w:val="591473B3"/>
    <w:rsid w:val="593A47F2"/>
    <w:rsid w:val="593E5B77"/>
    <w:rsid w:val="59A85A64"/>
    <w:rsid w:val="5A0A4028"/>
    <w:rsid w:val="5A0E1D6B"/>
    <w:rsid w:val="5A2A6479"/>
    <w:rsid w:val="5A4B1886"/>
    <w:rsid w:val="5AB42EF7"/>
    <w:rsid w:val="5ABE7E68"/>
    <w:rsid w:val="5AF62316"/>
    <w:rsid w:val="5B1864E8"/>
    <w:rsid w:val="5B1E422F"/>
    <w:rsid w:val="5B2E3D47"/>
    <w:rsid w:val="5B791466"/>
    <w:rsid w:val="5B793214"/>
    <w:rsid w:val="5BE11389"/>
    <w:rsid w:val="5BF925A6"/>
    <w:rsid w:val="5C386BF8"/>
    <w:rsid w:val="5C700ABB"/>
    <w:rsid w:val="5C894690"/>
    <w:rsid w:val="5C966047"/>
    <w:rsid w:val="5CB4329C"/>
    <w:rsid w:val="5CCB3F43"/>
    <w:rsid w:val="5CCE1C4B"/>
    <w:rsid w:val="5CD902D4"/>
    <w:rsid w:val="5D76556D"/>
    <w:rsid w:val="5D7719D5"/>
    <w:rsid w:val="5D772752"/>
    <w:rsid w:val="5D9E6F62"/>
    <w:rsid w:val="5DA808EB"/>
    <w:rsid w:val="5E167440"/>
    <w:rsid w:val="5E190CDE"/>
    <w:rsid w:val="5E6C3614"/>
    <w:rsid w:val="5EA66427"/>
    <w:rsid w:val="5EB427B5"/>
    <w:rsid w:val="5EF64B7B"/>
    <w:rsid w:val="5F801435"/>
    <w:rsid w:val="5F830B05"/>
    <w:rsid w:val="5F8577A9"/>
    <w:rsid w:val="5F93686E"/>
    <w:rsid w:val="5F9C1BC7"/>
    <w:rsid w:val="5FE34159"/>
    <w:rsid w:val="5FF4730D"/>
    <w:rsid w:val="5FF621B6"/>
    <w:rsid w:val="5FFE5EFF"/>
    <w:rsid w:val="60352F29"/>
    <w:rsid w:val="60575AEE"/>
    <w:rsid w:val="60730B79"/>
    <w:rsid w:val="60952414"/>
    <w:rsid w:val="609C53F8"/>
    <w:rsid w:val="60D62EB6"/>
    <w:rsid w:val="60D75919"/>
    <w:rsid w:val="611F03B9"/>
    <w:rsid w:val="61251748"/>
    <w:rsid w:val="61317B79"/>
    <w:rsid w:val="615F2EAC"/>
    <w:rsid w:val="618F130D"/>
    <w:rsid w:val="62210161"/>
    <w:rsid w:val="624C10A9"/>
    <w:rsid w:val="62662C31"/>
    <w:rsid w:val="62735116"/>
    <w:rsid w:val="62872B64"/>
    <w:rsid w:val="62AF0244"/>
    <w:rsid w:val="62C90F25"/>
    <w:rsid w:val="62CF1F42"/>
    <w:rsid w:val="62D458C9"/>
    <w:rsid w:val="62E823F0"/>
    <w:rsid w:val="633A242D"/>
    <w:rsid w:val="637C47E5"/>
    <w:rsid w:val="63A05968"/>
    <w:rsid w:val="63F44E92"/>
    <w:rsid w:val="64267CB1"/>
    <w:rsid w:val="643B3538"/>
    <w:rsid w:val="64471BA9"/>
    <w:rsid w:val="644D348F"/>
    <w:rsid w:val="645A199E"/>
    <w:rsid w:val="64B259E8"/>
    <w:rsid w:val="64BF3A95"/>
    <w:rsid w:val="65240694"/>
    <w:rsid w:val="652E1513"/>
    <w:rsid w:val="65476131"/>
    <w:rsid w:val="657F58CB"/>
    <w:rsid w:val="659868BE"/>
    <w:rsid w:val="65D8147F"/>
    <w:rsid w:val="65F75D76"/>
    <w:rsid w:val="661119B1"/>
    <w:rsid w:val="66126B84"/>
    <w:rsid w:val="661A3845"/>
    <w:rsid w:val="661F2C0A"/>
    <w:rsid w:val="66484F0E"/>
    <w:rsid w:val="66511B75"/>
    <w:rsid w:val="66686923"/>
    <w:rsid w:val="668754BE"/>
    <w:rsid w:val="668F1B3D"/>
    <w:rsid w:val="66C50FA1"/>
    <w:rsid w:val="66DC6D4D"/>
    <w:rsid w:val="672F0020"/>
    <w:rsid w:val="673F17B5"/>
    <w:rsid w:val="675E48FC"/>
    <w:rsid w:val="6778340B"/>
    <w:rsid w:val="678B5F0A"/>
    <w:rsid w:val="679802CD"/>
    <w:rsid w:val="67B6759E"/>
    <w:rsid w:val="67CA7F40"/>
    <w:rsid w:val="67D619EE"/>
    <w:rsid w:val="67EC244A"/>
    <w:rsid w:val="67F65BEC"/>
    <w:rsid w:val="67FF2CF3"/>
    <w:rsid w:val="680E73DA"/>
    <w:rsid w:val="68F121A1"/>
    <w:rsid w:val="696054A0"/>
    <w:rsid w:val="696C43B8"/>
    <w:rsid w:val="69B21E13"/>
    <w:rsid w:val="69C4183E"/>
    <w:rsid w:val="69D424AE"/>
    <w:rsid w:val="69E62FB0"/>
    <w:rsid w:val="6A1D56B2"/>
    <w:rsid w:val="6A4E61B3"/>
    <w:rsid w:val="6A5224AC"/>
    <w:rsid w:val="6A58493C"/>
    <w:rsid w:val="6A677BCE"/>
    <w:rsid w:val="6A8E035E"/>
    <w:rsid w:val="6AF92781"/>
    <w:rsid w:val="6B0A032C"/>
    <w:rsid w:val="6B1571EE"/>
    <w:rsid w:val="6B19056F"/>
    <w:rsid w:val="6B2C2051"/>
    <w:rsid w:val="6B6C069F"/>
    <w:rsid w:val="6B7E7E55"/>
    <w:rsid w:val="6BA72A9F"/>
    <w:rsid w:val="6BB868A5"/>
    <w:rsid w:val="6BE24E05"/>
    <w:rsid w:val="6C14254C"/>
    <w:rsid w:val="6C270A6A"/>
    <w:rsid w:val="6C305B70"/>
    <w:rsid w:val="6C692E30"/>
    <w:rsid w:val="6C6C46CF"/>
    <w:rsid w:val="6CA1197E"/>
    <w:rsid w:val="6CAE4B7E"/>
    <w:rsid w:val="6CC560F4"/>
    <w:rsid w:val="6CEB7CE9"/>
    <w:rsid w:val="6D5F3209"/>
    <w:rsid w:val="6DE16CBD"/>
    <w:rsid w:val="6DF6620D"/>
    <w:rsid w:val="6DFD7CD4"/>
    <w:rsid w:val="6E0C170B"/>
    <w:rsid w:val="6E1B4FBE"/>
    <w:rsid w:val="6E1F7C4B"/>
    <w:rsid w:val="6E207944"/>
    <w:rsid w:val="6E697E1B"/>
    <w:rsid w:val="6E9D5013"/>
    <w:rsid w:val="6EAF63DD"/>
    <w:rsid w:val="6EC27B0B"/>
    <w:rsid w:val="6EF54E4F"/>
    <w:rsid w:val="6EFC7F8C"/>
    <w:rsid w:val="6EFE1F56"/>
    <w:rsid w:val="6F092D4D"/>
    <w:rsid w:val="6F6F7D41"/>
    <w:rsid w:val="6F7F1C3C"/>
    <w:rsid w:val="6F975F07"/>
    <w:rsid w:val="6F9B59F7"/>
    <w:rsid w:val="6FD04DCA"/>
    <w:rsid w:val="70215479"/>
    <w:rsid w:val="70520D9D"/>
    <w:rsid w:val="705F6A24"/>
    <w:rsid w:val="70690614"/>
    <w:rsid w:val="706A5611"/>
    <w:rsid w:val="70C943A3"/>
    <w:rsid w:val="70DD24B6"/>
    <w:rsid w:val="70DD6CD5"/>
    <w:rsid w:val="710475CC"/>
    <w:rsid w:val="717402AD"/>
    <w:rsid w:val="71864485"/>
    <w:rsid w:val="71D35E24"/>
    <w:rsid w:val="71E774EA"/>
    <w:rsid w:val="7216013B"/>
    <w:rsid w:val="7256112E"/>
    <w:rsid w:val="72AF5315"/>
    <w:rsid w:val="72C708B1"/>
    <w:rsid w:val="72DA05E4"/>
    <w:rsid w:val="72E31AD1"/>
    <w:rsid w:val="73064479"/>
    <w:rsid w:val="733573AE"/>
    <w:rsid w:val="738641F2"/>
    <w:rsid w:val="738922E8"/>
    <w:rsid w:val="73927111"/>
    <w:rsid w:val="73A6496A"/>
    <w:rsid w:val="73B16901"/>
    <w:rsid w:val="743401C8"/>
    <w:rsid w:val="744609A5"/>
    <w:rsid w:val="74477EFB"/>
    <w:rsid w:val="744E4298"/>
    <w:rsid w:val="74D94AF0"/>
    <w:rsid w:val="74E07399"/>
    <w:rsid w:val="7513602F"/>
    <w:rsid w:val="754A398B"/>
    <w:rsid w:val="75631C32"/>
    <w:rsid w:val="75640639"/>
    <w:rsid w:val="758807CB"/>
    <w:rsid w:val="759636AE"/>
    <w:rsid w:val="75E874BC"/>
    <w:rsid w:val="75F220E9"/>
    <w:rsid w:val="75F75951"/>
    <w:rsid w:val="76191423"/>
    <w:rsid w:val="76197675"/>
    <w:rsid w:val="7621477C"/>
    <w:rsid w:val="76236746"/>
    <w:rsid w:val="76277FE4"/>
    <w:rsid w:val="76B5566B"/>
    <w:rsid w:val="76DA5057"/>
    <w:rsid w:val="76DE1AC6"/>
    <w:rsid w:val="76E00193"/>
    <w:rsid w:val="771D3195"/>
    <w:rsid w:val="77311F73"/>
    <w:rsid w:val="773504DF"/>
    <w:rsid w:val="77495D38"/>
    <w:rsid w:val="775A186C"/>
    <w:rsid w:val="775B5298"/>
    <w:rsid w:val="77844FC2"/>
    <w:rsid w:val="77C626B6"/>
    <w:rsid w:val="781C6C28"/>
    <w:rsid w:val="782F7959"/>
    <w:rsid w:val="784D7AAA"/>
    <w:rsid w:val="78672625"/>
    <w:rsid w:val="796310E4"/>
    <w:rsid w:val="79935991"/>
    <w:rsid w:val="79983B31"/>
    <w:rsid w:val="799C0C9B"/>
    <w:rsid w:val="79CE4C1B"/>
    <w:rsid w:val="79EA2AC8"/>
    <w:rsid w:val="7A044199"/>
    <w:rsid w:val="7A215418"/>
    <w:rsid w:val="7A2465E9"/>
    <w:rsid w:val="7A345EA8"/>
    <w:rsid w:val="7A4E3666"/>
    <w:rsid w:val="7A736153"/>
    <w:rsid w:val="7ACD72E8"/>
    <w:rsid w:val="7AD85D51"/>
    <w:rsid w:val="7B0A5F54"/>
    <w:rsid w:val="7B191EC6"/>
    <w:rsid w:val="7B242D44"/>
    <w:rsid w:val="7B291F85"/>
    <w:rsid w:val="7B3D7962"/>
    <w:rsid w:val="7B4231CA"/>
    <w:rsid w:val="7B4F1153"/>
    <w:rsid w:val="7B6A2721"/>
    <w:rsid w:val="7B735A7A"/>
    <w:rsid w:val="7BA5733A"/>
    <w:rsid w:val="7BA856CA"/>
    <w:rsid w:val="7BAE6A85"/>
    <w:rsid w:val="7BBD6CF5"/>
    <w:rsid w:val="7BCE2CB0"/>
    <w:rsid w:val="7C122B9D"/>
    <w:rsid w:val="7C476FF1"/>
    <w:rsid w:val="7C774026"/>
    <w:rsid w:val="7CB30D67"/>
    <w:rsid w:val="7CB43C54"/>
    <w:rsid w:val="7CC83BA3"/>
    <w:rsid w:val="7CF14EFE"/>
    <w:rsid w:val="7D43322A"/>
    <w:rsid w:val="7D480840"/>
    <w:rsid w:val="7D537911"/>
    <w:rsid w:val="7D6E64F9"/>
    <w:rsid w:val="7D733325"/>
    <w:rsid w:val="7D73477A"/>
    <w:rsid w:val="7D9A72EE"/>
    <w:rsid w:val="7DB55ED6"/>
    <w:rsid w:val="7DCF1553"/>
    <w:rsid w:val="7E927FC5"/>
    <w:rsid w:val="7EF7251E"/>
    <w:rsid w:val="7EFC60F6"/>
    <w:rsid w:val="7F616B6E"/>
    <w:rsid w:val="7F6C0483"/>
    <w:rsid w:val="7F8B2654"/>
    <w:rsid w:val="7FAB6AAA"/>
    <w:rsid w:val="7FC00B62"/>
    <w:rsid w:val="7FC30AAF"/>
    <w:rsid w:val="7FC71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bCs/>
      <w:kern w:val="44"/>
      <w:sz w:val="44"/>
      <w:szCs w:val="44"/>
    </w:rPr>
  </w:style>
  <w:style w:type="paragraph" w:styleId="3">
    <w:name w:val="heading 2"/>
    <w:basedOn w:val="1"/>
    <w:next w:val="1"/>
    <w:qFormat/>
    <w:uiPriority w:val="0"/>
    <w:pPr>
      <w:keepNext/>
      <w:keepLines/>
      <w:spacing w:line="413" w:lineRule="auto"/>
      <w:jc w:val="center"/>
      <w:outlineLvl w:val="1"/>
    </w:pPr>
    <w:rPr>
      <w:rFonts w:eastAsia="黑体"/>
      <w:sz w:val="32"/>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25">
    <w:name w:val="Default Paragraph Font"/>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3"/>
    <w:basedOn w:val="1"/>
    <w:qFormat/>
    <w:uiPriority w:val="0"/>
    <w:rPr>
      <w:rFonts w:ascii="宋体"/>
      <w:sz w:val="24"/>
      <w:szCs w:val="20"/>
    </w:rPr>
  </w:style>
  <w:style w:type="paragraph" w:styleId="7">
    <w:name w:val="Body Text"/>
    <w:basedOn w:val="1"/>
    <w:next w:val="8"/>
    <w:autoRedefine/>
    <w:qFormat/>
    <w:uiPriority w:val="0"/>
    <w:rPr>
      <w:sz w:val="28"/>
      <w:szCs w:val="20"/>
    </w:rPr>
  </w:style>
  <w:style w:type="paragraph" w:styleId="8">
    <w:name w:val="Plain Text"/>
    <w:basedOn w:val="7"/>
    <w:autoRedefine/>
    <w:qFormat/>
    <w:uiPriority w:val="0"/>
    <w:rPr>
      <w:rFonts w:ascii="宋体" w:hAnsi="Courier New"/>
      <w:color w:val="000000"/>
      <w:szCs w:val="20"/>
    </w:rPr>
  </w:style>
  <w:style w:type="paragraph" w:styleId="9">
    <w:name w:val="Body Text Indent"/>
    <w:basedOn w:val="1"/>
    <w:qFormat/>
    <w:uiPriority w:val="0"/>
    <w:pPr>
      <w:ind w:left="420" w:leftChars="200"/>
    </w:pPr>
  </w:style>
  <w:style w:type="paragraph" w:styleId="10">
    <w:name w:val="toc 5"/>
    <w:basedOn w:val="1"/>
    <w:next w:val="1"/>
    <w:autoRedefine/>
    <w:qFormat/>
    <w:uiPriority w:val="39"/>
    <w:pPr>
      <w:ind w:left="1680" w:leftChars="800"/>
    </w:pPr>
  </w:style>
  <w:style w:type="paragraph" w:styleId="11">
    <w:name w:val="toc 3"/>
    <w:basedOn w:val="1"/>
    <w:next w:val="1"/>
    <w:autoRedefine/>
    <w:qFormat/>
    <w:uiPriority w:val="39"/>
    <w:pPr>
      <w:ind w:left="840" w:leftChars="400"/>
    </w:pPr>
  </w:style>
  <w:style w:type="paragraph" w:styleId="12">
    <w:name w:val="Body Text Indent 2"/>
    <w:basedOn w:val="1"/>
    <w:qFormat/>
    <w:uiPriority w:val="0"/>
    <w:pPr>
      <w:spacing w:after="120" w:line="480" w:lineRule="auto"/>
      <w:ind w:left="420" w:leftChars="200"/>
    </w:pPr>
    <w:rPr>
      <w:rFonts w:eastAsia="方正楷体简体"/>
    </w:rPr>
  </w:style>
  <w:style w:type="paragraph" w:styleId="13">
    <w:name w:val="footer"/>
    <w:basedOn w:val="1"/>
    <w:autoRedefine/>
    <w:qFormat/>
    <w:uiPriority w:val="0"/>
    <w:pPr>
      <w:tabs>
        <w:tab w:val="center" w:pos="4153"/>
        <w:tab w:val="right" w:pos="8306"/>
      </w:tabs>
      <w:snapToGrid w:val="0"/>
      <w:jc w:val="left"/>
    </w:pPr>
    <w:rPr>
      <w:sz w:val="18"/>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39"/>
    <w:pPr>
      <w:tabs>
        <w:tab w:val="right" w:leader="dot" w:pos="9231"/>
      </w:tabs>
    </w:pPr>
    <w:rPr>
      <w:rFonts w:ascii="宋体" w:hAnsi="宋体" w:cs="HiddenHorzOCR"/>
      <w:kern w:val="0"/>
    </w:rPr>
  </w:style>
  <w:style w:type="paragraph" w:styleId="16">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7">
    <w:name w:val="List 5"/>
    <w:basedOn w:val="1"/>
    <w:next w:val="18"/>
    <w:autoRedefine/>
    <w:qFormat/>
    <w:uiPriority w:val="99"/>
    <w:pPr>
      <w:widowControl w:val="0"/>
      <w:ind w:left="100" w:leftChars="800" w:hanging="200" w:hangingChars="200"/>
      <w:jc w:val="both"/>
    </w:pPr>
    <w:rPr>
      <w:kern w:val="2"/>
      <w:sz w:val="21"/>
      <w:szCs w:val="24"/>
    </w:rPr>
  </w:style>
  <w:style w:type="paragraph" w:customStyle="1" w:styleId="18">
    <w:name w:val="目录 51"/>
    <w:basedOn w:val="1"/>
    <w:next w:val="1"/>
    <w:autoRedefine/>
    <w:qFormat/>
    <w:uiPriority w:val="0"/>
    <w:pPr>
      <w:ind w:left="630"/>
    </w:pPr>
  </w:style>
  <w:style w:type="paragraph" w:styleId="19">
    <w:name w:val="toc 2"/>
    <w:basedOn w:val="1"/>
    <w:next w:val="1"/>
    <w:autoRedefine/>
    <w:qFormat/>
    <w:uiPriority w:val="39"/>
    <w:pPr>
      <w:ind w:left="420" w:leftChars="200"/>
    </w:pPr>
  </w:style>
  <w:style w:type="paragraph" w:styleId="2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1">
    <w:name w:val="Body Text First Indent"/>
    <w:basedOn w:val="7"/>
    <w:next w:val="1"/>
    <w:unhideWhenUsed/>
    <w:qFormat/>
    <w:uiPriority w:val="0"/>
    <w:pPr>
      <w:ind w:firstLine="420" w:firstLineChars="100"/>
    </w:pPr>
  </w:style>
  <w:style w:type="paragraph" w:styleId="22">
    <w:name w:val="Body Text First Indent 2"/>
    <w:basedOn w:val="9"/>
    <w:autoRedefine/>
    <w:unhideWhenUsed/>
    <w:qFormat/>
    <w:uiPriority w:val="99"/>
    <w:pPr>
      <w:ind w:firstLine="420" w:firstLineChars="200"/>
    </w:pPr>
  </w:style>
  <w:style w:type="table" w:styleId="24">
    <w:name w:val="Table Grid"/>
    <w:basedOn w:val="2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Hyperlink"/>
    <w:autoRedefine/>
    <w:qFormat/>
    <w:uiPriority w:val="99"/>
    <w:rPr>
      <w:color w:val="0000FF"/>
      <w:u w:val="single"/>
    </w:rPr>
  </w:style>
  <w:style w:type="paragraph" w:customStyle="1" w:styleId="28">
    <w:name w:val="XW正文"/>
    <w:basedOn w:val="9"/>
    <w:autoRedefine/>
    <w:qFormat/>
    <w:uiPriority w:val="0"/>
    <w:pPr>
      <w:adjustRightInd w:val="0"/>
      <w:snapToGrid w:val="0"/>
      <w:spacing w:line="300" w:lineRule="auto"/>
      <w:ind w:left="0" w:leftChars="0" w:firstLine="520" w:firstLineChars="200"/>
      <w:jc w:val="left"/>
    </w:pPr>
    <w:rPr>
      <w:kern w:val="0"/>
    </w:rPr>
  </w:style>
  <w:style w:type="paragraph" w:customStyle="1" w:styleId="29">
    <w:name w:val="正文_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
    <w:name w:val="正文缩进1"/>
    <w:basedOn w:val="1"/>
    <w:next w:val="17"/>
    <w:autoRedefine/>
    <w:qFormat/>
    <w:uiPriority w:val="0"/>
    <w:pPr>
      <w:ind w:firstLine="420"/>
    </w:pPr>
  </w:style>
  <w:style w:type="paragraph" w:customStyle="1" w:styleId="31">
    <w:name w:val="范本-正文"/>
    <w:autoRedefine/>
    <w:qFormat/>
    <w:uiPriority w:val="0"/>
    <w:pPr>
      <w:spacing w:line="360" w:lineRule="auto"/>
      <w:ind w:firstLine="420"/>
    </w:pPr>
    <w:rPr>
      <w:rFonts w:ascii="Times New Roman" w:hAnsi="Times New Roman" w:eastAsia="宋体" w:cs="Times New Roman"/>
      <w:iCs/>
      <w:kern w:val="2"/>
      <w:sz w:val="24"/>
      <w:szCs w:val="21"/>
      <w:lang w:val="en-US" w:eastAsia="zh-CN" w:bidi="ar-SA"/>
    </w:rPr>
  </w:style>
  <w:style w:type="paragraph" w:customStyle="1" w:styleId="32">
    <w:name w:val="Heading #1|1"/>
    <w:basedOn w:val="1"/>
    <w:autoRedefine/>
    <w:qFormat/>
    <w:uiPriority w:val="0"/>
    <w:pPr>
      <w:widowControl w:val="0"/>
      <w:shd w:val="clear" w:color="auto" w:fill="auto"/>
      <w:spacing w:before="200" w:after="80"/>
      <w:jc w:val="center"/>
      <w:outlineLvl w:val="0"/>
    </w:pPr>
    <w:rPr>
      <w:rFonts w:ascii="宋体" w:hAnsi="宋体" w:eastAsia="宋体" w:cs="宋体"/>
      <w:sz w:val="32"/>
      <w:szCs w:val="32"/>
      <w:u w:val="none"/>
      <w:shd w:val="clear" w:color="auto" w:fill="auto"/>
      <w:lang w:val="zh-TW" w:eastAsia="zh-TW" w:bidi="zh-TW"/>
    </w:rPr>
  </w:style>
  <w:style w:type="paragraph" w:customStyle="1" w:styleId="33">
    <w:name w:val="Body text|1"/>
    <w:basedOn w:val="1"/>
    <w:autoRedefine/>
    <w:qFormat/>
    <w:uiPriority w:val="0"/>
    <w:pPr>
      <w:widowControl w:val="0"/>
      <w:shd w:val="clear" w:color="auto" w:fill="auto"/>
      <w:spacing w:line="480" w:lineRule="auto"/>
      <w:ind w:firstLine="400"/>
    </w:pPr>
    <w:rPr>
      <w:rFonts w:ascii="宋体" w:hAnsi="宋体" w:eastAsia="宋体" w:cs="宋体"/>
      <w:sz w:val="20"/>
      <w:szCs w:val="20"/>
      <w:u w:val="none"/>
      <w:shd w:val="clear" w:color="auto" w:fill="auto"/>
      <w:lang w:val="zh-TW" w:eastAsia="zh-TW" w:bidi="zh-TW"/>
    </w:rPr>
  </w:style>
  <w:style w:type="paragraph" w:customStyle="1" w:styleId="34">
    <w:name w:val="_Style 25"/>
    <w:basedOn w:val="1"/>
    <w:next w:val="35"/>
    <w:autoRedefine/>
    <w:qFormat/>
    <w:uiPriority w:val="1"/>
    <w:pPr>
      <w:ind w:firstLine="420" w:firstLineChars="200"/>
    </w:pPr>
    <w:rPr>
      <w:rFonts w:ascii="Calibri" w:hAnsi="Calibri"/>
      <w:szCs w:val="22"/>
    </w:rPr>
  </w:style>
  <w:style w:type="paragraph" w:styleId="35">
    <w:name w:val="List Paragraph"/>
    <w:basedOn w:val="1"/>
    <w:autoRedefine/>
    <w:qFormat/>
    <w:uiPriority w:val="0"/>
    <w:pPr>
      <w:ind w:left="102" w:firstLine="480"/>
    </w:pPr>
  </w:style>
  <w:style w:type="paragraph" w:customStyle="1" w:styleId="36">
    <w:name w:val="Table Text"/>
    <w:basedOn w:val="1"/>
    <w:autoRedefine/>
    <w:semiHidden/>
    <w:qFormat/>
    <w:uiPriority w:val="0"/>
    <w:rPr>
      <w:rFonts w:ascii="宋体" w:hAnsi="宋体" w:eastAsia="宋体" w:cs="宋体"/>
      <w:sz w:val="17"/>
      <w:szCs w:val="17"/>
      <w:lang w:val="en-US" w:eastAsia="en-US" w:bidi="ar-SA"/>
    </w:rPr>
  </w:style>
  <w:style w:type="table" w:customStyle="1" w:styleId="37">
    <w:name w:val="Table Normal_0"/>
    <w:autoRedefine/>
    <w:semiHidden/>
    <w:unhideWhenUsed/>
    <w:qFormat/>
    <w:uiPriority w:val="0"/>
    <w:tblPr>
      <w:tblCellMar>
        <w:top w:w="0" w:type="dxa"/>
        <w:left w:w="0" w:type="dxa"/>
        <w:bottom w:w="0" w:type="dxa"/>
        <w:right w:w="0" w:type="dxa"/>
      </w:tblCellMar>
    </w:tblPr>
  </w:style>
  <w:style w:type="character" w:customStyle="1" w:styleId="38">
    <w:name w:val="NormalCharacter"/>
    <w:qFormat/>
    <w:uiPriority w:val="0"/>
  </w:style>
  <w:style w:type="table" w:customStyle="1" w:styleId="39">
    <w:name w:val="Table Normal"/>
    <w:semiHidden/>
    <w:unhideWhenUsed/>
    <w:qFormat/>
    <w:uiPriority w:val="0"/>
    <w:tblPr>
      <w:tblCellMar>
        <w:top w:w="0" w:type="dxa"/>
        <w:left w:w="0" w:type="dxa"/>
        <w:bottom w:w="0" w:type="dxa"/>
        <w:right w:w="0" w:type="dxa"/>
      </w:tblCellMar>
    </w:tblPr>
  </w:style>
  <w:style w:type="paragraph" w:customStyle="1" w:styleId="40">
    <w:name w:val="KM正文"/>
    <w:qFormat/>
    <w:uiPriority w:val="0"/>
    <w:pPr>
      <w:adjustRightInd w:val="0"/>
      <w:snapToGrid w:val="0"/>
      <w:spacing w:line="360" w:lineRule="auto"/>
      <w:ind w:firstLine="200" w:firstLineChars="200"/>
      <w:jc w:val="both"/>
    </w:pPr>
    <w:rPr>
      <w:rFonts w:ascii="Times New Roman" w:hAnsi="Times New Roman" w:eastAsia="宋体"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8.wmf"/><Relationship Id="rId30" Type="http://schemas.openxmlformats.org/officeDocument/2006/relationships/oleObject" Target="embeddings/oleObject7.bin"/><Relationship Id="rId3" Type="http://schemas.openxmlformats.org/officeDocument/2006/relationships/footer" Target="footer1.xml"/><Relationship Id="rId29" Type="http://schemas.openxmlformats.org/officeDocument/2006/relationships/image" Target="media/image7.wmf"/><Relationship Id="rId28" Type="http://schemas.openxmlformats.org/officeDocument/2006/relationships/oleObject" Target="embeddings/oleObject6.bin"/><Relationship Id="rId27" Type="http://schemas.openxmlformats.org/officeDocument/2006/relationships/image" Target="media/image6.wmf"/><Relationship Id="rId26" Type="http://schemas.openxmlformats.org/officeDocument/2006/relationships/oleObject" Target="embeddings/oleObject5.bin"/><Relationship Id="rId25" Type="http://schemas.openxmlformats.org/officeDocument/2006/relationships/image" Target="media/image5.wmf"/><Relationship Id="rId24" Type="http://schemas.openxmlformats.org/officeDocument/2006/relationships/oleObject" Target="embeddings/oleObject4.bin"/><Relationship Id="rId23" Type="http://schemas.openxmlformats.org/officeDocument/2006/relationships/image" Target="media/image4.wmf"/><Relationship Id="rId22" Type="http://schemas.openxmlformats.org/officeDocument/2006/relationships/oleObject" Target="embeddings/oleObject3.bin"/><Relationship Id="rId21" Type="http://schemas.openxmlformats.org/officeDocument/2006/relationships/image" Target="media/image3.w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2.wmf"/><Relationship Id="rId18" Type="http://schemas.openxmlformats.org/officeDocument/2006/relationships/oleObject" Target="embeddings/oleObject1.bin"/><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99</Pages>
  <Words>17892</Words>
  <Characters>19779</Characters>
  <Lines>0</Lines>
  <Paragraphs>0</Paragraphs>
  <TotalTime>0</TotalTime>
  <ScaleCrop>false</ScaleCrop>
  <LinksUpToDate>false</LinksUpToDate>
  <CharactersWithSpaces>21039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2021-03-24T07:36:00Z</dcterms:created>
  <dc:creator>Administrator</dc:creator>
  <cp:lastModifiedBy>苟雨丹</cp:lastModifiedBy>
  <cp:lastPrinted>2026-03-25T01:21:00Z</cp:lastPrinted>
  <dcterms:modified xsi:type="dcterms:W3CDTF">2026-05-09T06:58:37Z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FC01A84A8A1248B8AD33976B5E0064C8_13</vt:lpwstr>
  </property>
  <property fmtid="{D5CDD505-2E9C-101B-9397-08002B2CF9AE}" pid="3" name="KSOProductBuildVer">
    <vt:lpwstr>2052-12.1.0.26375</vt:lpwstr>
  </property>
  <property fmtid="{D5CDD505-2E9C-101B-9397-08002B2CF9AE}" pid="4" name="KSOTemplateDocerSaveRecord">
    <vt:lpwstr>eyJoZGlkIjoiOWRjOWM1MjU3OGZkODQwNjQyY2VhMmZkNmMwNTEyOWQiLCJ1c2VySWQiOiIxNjAxMzg0OTE1In0=</vt:lpwstr>
  </property>
</Properties>
</file>