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黑体" w:hAnsi="黑体" w:eastAsia="黑体" w:cs="黑体"/>
          <w:b/>
          <w:bCs/>
          <w:color w:val="auto"/>
          <w:spacing w:val="0"/>
          <w:sz w:val="48"/>
          <w:szCs w:val="48"/>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黑体" w:hAnsi="黑体" w:eastAsia="黑体" w:cs="黑体"/>
          <w:b/>
          <w:color w:val="auto"/>
          <w:sz w:val="48"/>
          <w:szCs w:val="48"/>
          <w:highlight w:val="none"/>
        </w:rPr>
      </w:pPr>
      <w:r>
        <w:rPr>
          <w:rFonts w:hint="eastAsia" w:ascii="黑体" w:hAnsi="黑体" w:eastAsia="黑体" w:cs="黑体"/>
          <w:b/>
          <w:bCs/>
          <w:color w:val="auto"/>
          <w:spacing w:val="0"/>
          <w:sz w:val="48"/>
          <w:szCs w:val="48"/>
          <w:highlight w:val="none"/>
          <w:lang w:eastAsia="zh-CN"/>
        </w:rPr>
        <w:t>双江自治县第一完全中学高中部百货店经营权承包项目招标代理机构服务</w:t>
      </w:r>
      <w:r>
        <w:rPr>
          <w:rFonts w:hint="eastAsia" w:ascii="黑体" w:hAnsi="黑体" w:eastAsia="黑体" w:cs="黑体"/>
          <w:b/>
          <w:color w:val="auto"/>
          <w:sz w:val="48"/>
          <w:szCs w:val="48"/>
          <w:highlight w:val="none"/>
        </w:rPr>
        <w:t xml:space="preserve"> </w:t>
      </w:r>
    </w:p>
    <w:p>
      <w:pPr>
        <w:spacing w:line="1880" w:lineRule="exact"/>
        <w:jc w:val="center"/>
        <w:outlineLvl w:val="9"/>
        <w:rPr>
          <w:rFonts w:hint="eastAsia" w:ascii="黑体" w:hAnsi="黑体" w:eastAsia="黑体" w:cs="黑体"/>
          <w:b/>
          <w:color w:val="auto"/>
          <w:sz w:val="84"/>
          <w:szCs w:val="84"/>
          <w:highlight w:val="none"/>
        </w:rPr>
      </w:pPr>
    </w:p>
    <w:p>
      <w:pPr>
        <w:spacing w:line="1880" w:lineRule="exact"/>
        <w:jc w:val="center"/>
        <w:outlineLvl w:val="9"/>
        <w:rPr>
          <w:rFonts w:hint="eastAsia" w:ascii="黑体" w:hAnsi="黑体" w:eastAsia="黑体" w:cs="黑体"/>
          <w:b/>
          <w:color w:val="auto"/>
          <w:sz w:val="72"/>
          <w:szCs w:val="96"/>
          <w:highlight w:val="none"/>
        </w:rPr>
      </w:pPr>
      <w:bookmarkStart w:id="0" w:name="_Toc30870"/>
      <w:bookmarkStart w:id="1" w:name="_Toc14124"/>
      <w:bookmarkStart w:id="2" w:name="_Toc1177"/>
      <w:r>
        <w:rPr>
          <w:rFonts w:hint="eastAsia" w:ascii="黑体" w:hAnsi="黑体" w:eastAsia="黑体" w:cs="黑体"/>
          <w:b/>
          <w:color w:val="auto"/>
          <w:sz w:val="84"/>
          <w:szCs w:val="84"/>
          <w:highlight w:val="none"/>
          <w:lang w:eastAsia="zh-CN"/>
        </w:rPr>
        <w:t>招</w:t>
      </w:r>
      <w:r>
        <w:rPr>
          <w:rFonts w:hint="eastAsia" w:ascii="黑体" w:hAnsi="黑体" w:eastAsia="黑体" w:cs="黑体"/>
          <w:b/>
          <w:color w:val="auto"/>
          <w:sz w:val="84"/>
          <w:szCs w:val="84"/>
          <w:highlight w:val="none"/>
          <w:lang w:val="en-US" w:eastAsia="zh-CN"/>
        </w:rPr>
        <w:t xml:space="preserve"> </w:t>
      </w:r>
      <w:r>
        <w:rPr>
          <w:rFonts w:hint="eastAsia" w:ascii="黑体" w:hAnsi="黑体" w:eastAsia="黑体" w:cs="黑体"/>
          <w:b/>
          <w:color w:val="auto"/>
          <w:sz w:val="84"/>
          <w:szCs w:val="84"/>
          <w:highlight w:val="none"/>
          <w:lang w:eastAsia="zh-CN"/>
        </w:rPr>
        <w:t>标</w:t>
      </w:r>
      <w:r>
        <w:rPr>
          <w:rFonts w:hint="eastAsia" w:ascii="黑体" w:hAnsi="黑体" w:eastAsia="黑体" w:cs="黑体"/>
          <w:b/>
          <w:color w:val="auto"/>
          <w:sz w:val="84"/>
          <w:szCs w:val="84"/>
          <w:highlight w:val="none"/>
          <w:lang w:val="en-US" w:eastAsia="zh-CN"/>
        </w:rPr>
        <w:t xml:space="preserve"> </w:t>
      </w:r>
      <w:r>
        <w:rPr>
          <w:rFonts w:hint="eastAsia" w:ascii="黑体" w:hAnsi="黑体" w:eastAsia="黑体" w:cs="黑体"/>
          <w:b/>
          <w:color w:val="auto"/>
          <w:sz w:val="84"/>
          <w:szCs w:val="84"/>
          <w:highlight w:val="none"/>
        </w:rPr>
        <w:t>文</w:t>
      </w:r>
      <w:r>
        <w:rPr>
          <w:rFonts w:hint="eastAsia" w:ascii="黑体" w:hAnsi="黑体" w:eastAsia="黑体" w:cs="黑体"/>
          <w:b/>
          <w:color w:val="auto"/>
          <w:sz w:val="84"/>
          <w:szCs w:val="84"/>
          <w:highlight w:val="none"/>
          <w:lang w:val="en-US" w:eastAsia="zh-CN"/>
        </w:rPr>
        <w:t xml:space="preserve"> </w:t>
      </w:r>
      <w:r>
        <w:rPr>
          <w:rFonts w:hint="eastAsia" w:ascii="黑体" w:hAnsi="黑体" w:eastAsia="黑体" w:cs="黑体"/>
          <w:b/>
          <w:color w:val="auto"/>
          <w:sz w:val="84"/>
          <w:szCs w:val="84"/>
          <w:highlight w:val="none"/>
        </w:rPr>
        <w:t>件</w:t>
      </w:r>
      <w:bookmarkEnd w:id="0"/>
      <w:bookmarkEnd w:id="1"/>
      <w:bookmarkEnd w:id="2"/>
    </w:p>
    <w:p>
      <w:pPr>
        <w:pStyle w:val="14"/>
        <w:jc w:val="center"/>
        <w:outlineLvl w:val="9"/>
        <w:rPr>
          <w:rFonts w:hint="eastAsia" w:ascii="黑体" w:hAnsi="黑体" w:eastAsia="黑体" w:cs="黑体"/>
          <w:b/>
          <w:bCs/>
          <w:color w:val="auto"/>
          <w:sz w:val="28"/>
          <w:szCs w:val="28"/>
          <w:highlight w:val="none"/>
        </w:rPr>
      </w:pPr>
    </w:p>
    <w:p>
      <w:pPr>
        <w:pStyle w:val="14"/>
        <w:jc w:val="center"/>
        <w:outlineLvl w:val="9"/>
        <w:rPr>
          <w:rFonts w:hint="default" w:ascii="黑体" w:hAnsi="黑体" w:eastAsia="黑体" w:cs="黑体"/>
          <w:b/>
          <w:bCs/>
          <w:color w:val="auto"/>
          <w:sz w:val="24"/>
          <w:szCs w:val="24"/>
          <w:highlight w:val="none"/>
          <w:lang w:val="en-US" w:eastAsia="zh-CN"/>
        </w:rPr>
      </w:pPr>
      <w:bookmarkStart w:id="3" w:name="_Toc24072"/>
      <w:bookmarkStart w:id="4" w:name="_Toc18687"/>
      <w:bookmarkStart w:id="5" w:name="_Toc6341"/>
      <w:r>
        <w:rPr>
          <w:rFonts w:hint="eastAsia" w:ascii="黑体" w:hAnsi="黑体" w:eastAsia="黑体" w:cs="黑体"/>
          <w:b/>
          <w:bCs/>
          <w:color w:val="auto"/>
          <w:sz w:val="28"/>
          <w:szCs w:val="28"/>
          <w:highlight w:val="none"/>
        </w:rPr>
        <w:t>项目编号</w:t>
      </w:r>
      <w:r>
        <w:rPr>
          <w:rFonts w:hint="eastAsia" w:ascii="黑体" w:hAnsi="黑体" w:eastAsia="黑体" w:cs="黑体"/>
          <w:b/>
          <w:bCs/>
          <w:color w:val="auto"/>
          <w:sz w:val="28"/>
          <w:szCs w:val="28"/>
          <w:highlight w:val="none"/>
          <w:lang w:eastAsia="zh-CN"/>
        </w:rPr>
        <w:t>：</w:t>
      </w:r>
      <w:r>
        <w:rPr>
          <w:rFonts w:hint="eastAsia" w:ascii="黑体" w:hAnsi="黑体" w:eastAsia="黑体" w:cs="黑体"/>
          <w:b/>
          <w:bCs/>
          <w:color w:val="auto"/>
          <w:sz w:val="28"/>
          <w:szCs w:val="28"/>
          <w:highlight w:val="none"/>
        </w:rPr>
        <w:t xml:space="preserve"> </w:t>
      </w:r>
      <w:bookmarkEnd w:id="3"/>
      <w:bookmarkEnd w:id="4"/>
      <w:bookmarkEnd w:id="5"/>
      <w:r>
        <w:rPr>
          <w:rFonts w:hint="eastAsia" w:ascii="黑体" w:hAnsi="黑体" w:eastAsia="黑体" w:cs="黑体"/>
          <w:b/>
          <w:bCs/>
          <w:color w:val="auto"/>
          <w:sz w:val="28"/>
          <w:szCs w:val="28"/>
          <w:highlight w:val="none"/>
          <w:lang w:eastAsia="zh-CN"/>
        </w:rPr>
        <w:t>ZH530100202600018001001</w:t>
      </w:r>
    </w:p>
    <w:p>
      <w:pPr>
        <w:pStyle w:val="20"/>
        <w:outlineLvl w:val="9"/>
        <w:rPr>
          <w:rFonts w:hint="eastAsia" w:ascii="黑体" w:hAnsi="黑体" w:eastAsia="黑体" w:cs="黑体"/>
          <w:color w:val="auto"/>
          <w:highlight w:val="none"/>
        </w:rPr>
      </w:pPr>
    </w:p>
    <w:p>
      <w:pPr>
        <w:tabs>
          <w:tab w:val="left" w:pos="1473"/>
          <w:tab w:val="left" w:pos="1709"/>
        </w:tabs>
        <w:spacing w:line="720" w:lineRule="exact"/>
        <w:ind w:firstLine="2673" w:firstLineChars="951"/>
        <w:jc w:val="left"/>
        <w:outlineLvl w:val="9"/>
        <w:rPr>
          <w:rFonts w:hint="eastAsia" w:ascii="黑体" w:hAnsi="黑体" w:eastAsia="黑体" w:cs="黑体"/>
          <w:b/>
          <w:color w:val="auto"/>
          <w:sz w:val="28"/>
          <w:highlight w:val="none"/>
        </w:rPr>
      </w:pPr>
    </w:p>
    <w:p>
      <w:pPr>
        <w:tabs>
          <w:tab w:val="left" w:pos="1473"/>
          <w:tab w:val="left" w:pos="1709"/>
        </w:tabs>
        <w:spacing w:line="720" w:lineRule="exact"/>
        <w:jc w:val="left"/>
        <w:outlineLvl w:val="9"/>
        <w:rPr>
          <w:rFonts w:hint="eastAsia" w:ascii="黑体" w:hAnsi="黑体" w:eastAsia="黑体" w:cs="黑体"/>
          <w:b/>
          <w:color w:val="auto"/>
          <w:sz w:val="28"/>
          <w:highlight w:val="none"/>
        </w:rPr>
      </w:pPr>
    </w:p>
    <w:p>
      <w:pPr>
        <w:spacing w:line="480" w:lineRule="auto"/>
        <w:jc w:val="both"/>
        <w:outlineLvl w:val="9"/>
        <w:rPr>
          <w:rFonts w:hint="eastAsia" w:ascii="黑体" w:hAnsi="黑体" w:eastAsia="黑体" w:cs="黑体"/>
          <w:b/>
          <w:color w:val="auto"/>
          <w:sz w:val="32"/>
          <w:szCs w:val="32"/>
          <w:highlight w:val="none"/>
        </w:rPr>
      </w:pPr>
    </w:p>
    <w:p>
      <w:pPr>
        <w:spacing w:line="480" w:lineRule="auto"/>
        <w:ind w:firstLine="643" w:firstLineChars="200"/>
        <w:jc w:val="both"/>
        <w:outlineLvl w:val="9"/>
        <w:rPr>
          <w:rFonts w:hint="eastAsia" w:ascii="黑体" w:hAnsi="黑体" w:eastAsia="黑体" w:cs="黑体"/>
          <w:b/>
          <w:color w:val="auto"/>
          <w:sz w:val="32"/>
          <w:szCs w:val="32"/>
          <w:highlight w:val="none"/>
          <w:lang w:val="en-US" w:eastAsia="zh-CN"/>
        </w:rPr>
      </w:pPr>
      <w:bookmarkStart w:id="6" w:name="_Toc19112"/>
      <w:bookmarkStart w:id="7" w:name="_Toc16091"/>
      <w:bookmarkStart w:id="8" w:name="_Toc12434"/>
    </w:p>
    <w:p>
      <w:pPr>
        <w:spacing w:line="480" w:lineRule="auto"/>
        <w:ind w:firstLine="643" w:firstLineChars="200"/>
        <w:jc w:val="center"/>
        <w:outlineLvl w:val="9"/>
        <w:rPr>
          <w:rFonts w:hint="eastAsia" w:ascii="黑体" w:hAnsi="黑体" w:eastAsia="黑体" w:cs="黑体"/>
          <w:b/>
          <w:color w:val="auto"/>
          <w:sz w:val="32"/>
          <w:szCs w:val="32"/>
          <w:highlight w:val="none"/>
          <w:u w:val="single"/>
        </w:rPr>
      </w:pPr>
      <w:r>
        <w:rPr>
          <w:rFonts w:hint="eastAsia" w:ascii="黑体" w:hAnsi="黑体" w:eastAsia="黑体" w:cs="黑体"/>
          <w:b/>
          <w:color w:val="auto"/>
          <w:sz w:val="32"/>
          <w:szCs w:val="32"/>
          <w:highlight w:val="none"/>
          <w:lang w:val="en-US" w:eastAsia="zh-CN"/>
        </w:rPr>
        <w:t>招标</w:t>
      </w:r>
      <w:r>
        <w:rPr>
          <w:rFonts w:hint="eastAsia" w:ascii="黑体" w:hAnsi="黑体" w:eastAsia="黑体" w:cs="黑体"/>
          <w:b/>
          <w:color w:val="auto"/>
          <w:sz w:val="32"/>
          <w:szCs w:val="32"/>
          <w:highlight w:val="none"/>
        </w:rPr>
        <w:t>人：</w:t>
      </w:r>
      <w:bookmarkEnd w:id="6"/>
      <w:bookmarkEnd w:id="7"/>
      <w:bookmarkEnd w:id="8"/>
      <w:r>
        <w:rPr>
          <w:rFonts w:hint="eastAsia" w:ascii="黑体" w:hAnsi="黑体" w:eastAsia="黑体" w:cs="黑体"/>
          <w:b/>
          <w:color w:val="auto"/>
          <w:sz w:val="32"/>
          <w:szCs w:val="32"/>
          <w:highlight w:val="none"/>
          <w:u w:val="single"/>
          <w:lang w:eastAsia="zh-CN"/>
        </w:rPr>
        <w:t>双江自治县第一完全中学</w:t>
      </w:r>
    </w:p>
    <w:p>
      <w:pPr>
        <w:spacing w:line="480" w:lineRule="auto"/>
        <w:ind w:firstLine="643" w:firstLineChars="200"/>
        <w:jc w:val="center"/>
        <w:outlineLvl w:val="9"/>
        <w:rPr>
          <w:rFonts w:hint="eastAsia" w:ascii="黑体" w:hAnsi="黑体" w:eastAsia="黑体" w:cs="黑体"/>
          <w:b/>
          <w:color w:val="auto"/>
          <w:sz w:val="32"/>
          <w:szCs w:val="32"/>
          <w:highlight w:val="none"/>
          <w:u w:val="none"/>
        </w:rPr>
      </w:pPr>
      <w:bookmarkStart w:id="9" w:name="_Toc5967"/>
      <w:bookmarkStart w:id="10" w:name="_Toc16938"/>
      <w:bookmarkStart w:id="11" w:name="_Toc3713"/>
      <w:r>
        <w:rPr>
          <w:rFonts w:hint="eastAsia" w:ascii="黑体" w:hAnsi="黑体" w:eastAsia="黑体" w:cs="黑体"/>
          <w:b/>
          <w:color w:val="auto"/>
          <w:sz w:val="32"/>
          <w:szCs w:val="32"/>
          <w:highlight w:val="none"/>
          <w:u w:val="none"/>
        </w:rPr>
        <w:t>202</w:t>
      </w:r>
      <w:r>
        <w:rPr>
          <w:rFonts w:hint="eastAsia" w:ascii="黑体" w:hAnsi="黑体" w:eastAsia="黑体" w:cs="黑体"/>
          <w:b/>
          <w:color w:val="auto"/>
          <w:sz w:val="32"/>
          <w:szCs w:val="32"/>
          <w:highlight w:val="none"/>
          <w:u w:val="none"/>
          <w:lang w:val="en-US" w:eastAsia="zh-CN"/>
        </w:rPr>
        <w:t>6</w:t>
      </w:r>
      <w:r>
        <w:rPr>
          <w:rFonts w:hint="eastAsia" w:ascii="黑体" w:hAnsi="黑体" w:eastAsia="黑体" w:cs="黑体"/>
          <w:b/>
          <w:color w:val="auto"/>
          <w:sz w:val="32"/>
          <w:szCs w:val="32"/>
          <w:highlight w:val="none"/>
          <w:u w:val="none"/>
        </w:rPr>
        <w:t>年</w:t>
      </w:r>
      <w:r>
        <w:rPr>
          <w:rFonts w:hint="eastAsia" w:ascii="黑体" w:hAnsi="黑体" w:eastAsia="黑体" w:cs="黑体"/>
          <w:b/>
          <w:color w:val="auto"/>
          <w:sz w:val="32"/>
          <w:szCs w:val="32"/>
          <w:highlight w:val="none"/>
          <w:u w:val="none"/>
          <w:lang w:val="en-US" w:eastAsia="zh-CN"/>
        </w:rPr>
        <w:t>1</w:t>
      </w:r>
      <w:r>
        <w:rPr>
          <w:rFonts w:hint="eastAsia" w:ascii="黑体" w:hAnsi="黑体" w:eastAsia="黑体" w:cs="黑体"/>
          <w:b/>
          <w:color w:val="auto"/>
          <w:sz w:val="32"/>
          <w:szCs w:val="32"/>
          <w:highlight w:val="none"/>
          <w:u w:val="none"/>
        </w:rPr>
        <w:t>月</w:t>
      </w:r>
      <w:bookmarkEnd w:id="9"/>
      <w:bookmarkEnd w:id="10"/>
      <w:bookmarkEnd w:id="11"/>
    </w:p>
    <w:p>
      <w:pPr>
        <w:tabs>
          <w:tab w:val="left" w:pos="1709"/>
        </w:tabs>
        <w:spacing w:line="720" w:lineRule="exact"/>
        <w:jc w:val="center"/>
        <w:outlineLvl w:val="9"/>
        <w:rPr>
          <w:rFonts w:hint="eastAsia" w:ascii="黑体" w:hAnsi="黑体" w:eastAsia="黑体" w:cs="黑体"/>
          <w:b/>
          <w:color w:val="auto"/>
          <w:sz w:val="44"/>
          <w:highlight w:val="none"/>
          <w:u w:val="none"/>
        </w:rPr>
        <w:sectPr>
          <w:headerReference r:id="rId6" w:type="first"/>
          <w:footerReference r:id="rId9" w:type="first"/>
          <w:headerReference r:id="rId5" w:type="default"/>
          <w:footerReference r:id="rId7" w:type="default"/>
          <w:footerReference r:id="rId8" w:type="even"/>
          <w:pgSz w:w="11906" w:h="16838"/>
          <w:pgMar w:top="1440" w:right="1080" w:bottom="1440" w:left="1080" w:header="1077" w:footer="851" w:gutter="0"/>
          <w:pgNumType w:fmt="numberInDash" w:start="0"/>
          <w:cols w:space="720" w:num="1"/>
          <w:titlePg/>
          <w:docGrid w:linePitch="312" w:charSpace="0"/>
        </w:sectPr>
      </w:pPr>
    </w:p>
    <w:p>
      <w:pPr>
        <w:spacing w:before="0" w:beforeLines="0" w:after="0" w:afterLines="0" w:line="240" w:lineRule="auto"/>
        <w:ind w:left="0" w:leftChars="0" w:right="0" w:rightChars="0" w:firstLine="0" w:firstLineChars="0"/>
        <w:jc w:val="center"/>
        <w:rPr>
          <w:color w:val="auto"/>
          <w:sz w:val="36"/>
          <w:szCs w:val="36"/>
          <w:highlight w:val="none"/>
        </w:rPr>
      </w:pPr>
      <w:bookmarkStart w:id="12" w:name="_Toc21736"/>
      <w:bookmarkStart w:id="13" w:name="_Toc28351"/>
      <w:r>
        <w:rPr>
          <w:rFonts w:ascii="宋体" w:hAnsi="宋体" w:eastAsia="宋体"/>
          <w:b/>
          <w:bCs/>
          <w:color w:val="auto"/>
          <w:sz w:val="36"/>
          <w:szCs w:val="36"/>
          <w:highlight w:val="none"/>
        </w:rPr>
        <w:t>目</w:t>
      </w:r>
      <w:r>
        <w:rPr>
          <w:rFonts w:hint="eastAsia" w:ascii="宋体" w:hAnsi="宋体" w:eastAsia="宋体"/>
          <w:b/>
          <w:bCs/>
          <w:color w:val="auto"/>
          <w:sz w:val="36"/>
          <w:szCs w:val="36"/>
          <w:highlight w:val="none"/>
          <w:lang w:val="en-US" w:eastAsia="zh-CN"/>
        </w:rPr>
        <w:t xml:space="preserve"> </w:t>
      </w:r>
      <w:r>
        <w:rPr>
          <w:rFonts w:ascii="宋体" w:hAnsi="宋体" w:eastAsia="宋体"/>
          <w:b/>
          <w:bCs/>
          <w:color w:val="auto"/>
          <w:sz w:val="36"/>
          <w:szCs w:val="36"/>
          <w:highlight w:val="none"/>
        </w:rPr>
        <w:t>录</w:t>
      </w:r>
    </w:p>
    <w:p>
      <w:pPr>
        <w:pStyle w:val="22"/>
        <w:tabs>
          <w:tab w:val="right" w:leader="dot" w:pos="9746"/>
          <w:tab w:val="clear" w:pos="9628"/>
        </w:tabs>
        <w:rPr>
          <w:color w:val="auto"/>
          <w:highlight w:val="none"/>
        </w:rPr>
      </w:pPr>
      <w:r>
        <w:rPr>
          <w:rFonts w:hint="eastAsia" w:ascii="宋体" w:hAnsi="宋体" w:eastAsia="宋体"/>
          <w:b/>
          <w:bCs/>
          <w:color w:val="auto"/>
          <w:szCs w:val="52"/>
          <w:highlight w:val="none"/>
        </w:rPr>
        <w:fldChar w:fldCharType="begin"/>
      </w:r>
      <w:r>
        <w:rPr>
          <w:rFonts w:hint="eastAsia" w:ascii="宋体" w:hAnsi="宋体" w:eastAsia="宋体"/>
          <w:b/>
          <w:bCs/>
          <w:color w:val="auto"/>
          <w:szCs w:val="52"/>
          <w:highlight w:val="none"/>
        </w:rPr>
        <w:instrText xml:space="preserve">TOC \o "1-2" \h \u </w:instrText>
      </w:r>
      <w:r>
        <w:rPr>
          <w:rFonts w:hint="eastAsia" w:ascii="宋体" w:hAnsi="宋体" w:eastAsia="宋体"/>
          <w:b/>
          <w:bCs/>
          <w:color w:val="auto"/>
          <w:szCs w:val="52"/>
          <w:highlight w:val="none"/>
        </w:rPr>
        <w:fldChar w:fldCharType="separate"/>
      </w: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_Toc27197 </w:instrText>
      </w:r>
      <w:r>
        <w:rPr>
          <w:rFonts w:hint="eastAsia" w:ascii="宋体" w:hAnsi="宋体" w:eastAsia="宋体"/>
          <w:bCs/>
          <w:color w:val="auto"/>
          <w:szCs w:val="52"/>
          <w:highlight w:val="none"/>
        </w:rPr>
        <w:fldChar w:fldCharType="separate"/>
      </w:r>
      <w:r>
        <w:rPr>
          <w:rFonts w:hint="eastAsia" w:ascii="黑体" w:hAnsi="黑体" w:eastAsia="黑体" w:cs="黑体"/>
          <w:bCs/>
          <w:color w:val="auto"/>
          <w:szCs w:val="52"/>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_Toc27197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_Toc17126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szCs w:val="21"/>
          <w:highlight w:val="none"/>
        </w:rPr>
        <w:t>1.招标条件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_Toc17126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_Toc20018 </w:instrText>
      </w:r>
      <w:r>
        <w:rPr>
          <w:rFonts w:hint="eastAsia" w:ascii="宋体" w:hAnsi="宋体" w:eastAsia="宋体" w:cs="宋体"/>
          <w:bCs/>
          <w:color w:val="auto"/>
          <w:szCs w:val="52"/>
          <w:highlight w:val="none"/>
        </w:rPr>
        <w:fldChar w:fldCharType="separate"/>
      </w:r>
      <w:r>
        <w:rPr>
          <w:rFonts w:hint="eastAsia" w:ascii="宋体" w:hAnsi="宋体" w:eastAsia="宋体" w:cs="宋体"/>
          <w:bCs/>
          <w:color w:val="auto"/>
          <w:kern w:val="0"/>
          <w:szCs w:val="21"/>
          <w:highlight w:val="none"/>
          <w:lang w:val="en-US" w:eastAsia="zh-CN"/>
        </w:rPr>
        <w:t>2.</w:t>
      </w:r>
      <w:r>
        <w:rPr>
          <w:rFonts w:hint="eastAsia" w:ascii="宋体" w:hAnsi="宋体" w:eastAsia="宋体" w:cs="宋体"/>
          <w:bCs/>
          <w:color w:val="auto"/>
          <w:kern w:val="0"/>
          <w:szCs w:val="21"/>
          <w:highlight w:val="none"/>
        </w:rPr>
        <w:t>项目概况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_Toc20018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_Toc9193 </w:instrText>
      </w:r>
      <w:r>
        <w:rPr>
          <w:rFonts w:hint="eastAsia" w:ascii="宋体" w:hAnsi="宋体" w:eastAsia="宋体" w:cs="宋体"/>
          <w:bCs/>
          <w:color w:val="auto"/>
          <w:szCs w:val="52"/>
          <w:highlight w:val="none"/>
        </w:rPr>
        <w:fldChar w:fldCharType="separate"/>
      </w:r>
      <w:r>
        <w:rPr>
          <w:rFonts w:hint="eastAsia" w:ascii="宋体" w:hAnsi="宋体" w:eastAsia="宋体" w:cs="宋体"/>
          <w:bCs/>
          <w:color w:val="auto"/>
          <w:kern w:val="0"/>
          <w:szCs w:val="21"/>
          <w:highlight w:val="none"/>
          <w:lang w:val="en-US" w:eastAsia="zh-CN"/>
        </w:rPr>
        <w:t>3.</w:t>
      </w:r>
      <w:r>
        <w:rPr>
          <w:rFonts w:hint="eastAsia" w:ascii="宋体" w:hAnsi="宋体" w:eastAsia="宋体" w:cs="宋体"/>
          <w:bCs/>
          <w:color w:val="auto"/>
          <w:kern w:val="0"/>
          <w:szCs w:val="21"/>
          <w:highlight w:val="none"/>
          <w:lang w:eastAsia="zh-CN"/>
        </w:rPr>
        <w:t>投标人</w:t>
      </w:r>
      <w:r>
        <w:rPr>
          <w:rFonts w:hint="eastAsia" w:ascii="宋体" w:hAnsi="宋体" w:eastAsia="宋体" w:cs="宋体"/>
          <w:bCs/>
          <w:color w:val="auto"/>
          <w:kern w:val="0"/>
          <w:szCs w:val="21"/>
          <w:highlight w:val="none"/>
        </w:rPr>
        <w:t>的资格要求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_Toc9193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_Toc21924 </w:instrText>
      </w:r>
      <w:r>
        <w:rPr>
          <w:rFonts w:hint="eastAsia" w:ascii="宋体" w:hAnsi="宋体" w:eastAsia="宋体" w:cs="宋体"/>
          <w:bCs/>
          <w:color w:val="auto"/>
          <w:szCs w:val="52"/>
          <w:highlight w:val="none"/>
        </w:rPr>
        <w:fldChar w:fldCharType="separate"/>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招标文件的获取</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_Toc21924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_Toc6850 </w:instrText>
      </w:r>
      <w:r>
        <w:rPr>
          <w:rFonts w:hint="eastAsia" w:ascii="宋体" w:hAnsi="宋体" w:eastAsia="宋体" w:cs="宋体"/>
          <w:bCs/>
          <w:color w:val="auto"/>
          <w:szCs w:val="52"/>
          <w:highlight w:val="none"/>
        </w:rPr>
        <w:fldChar w:fldCharType="separate"/>
      </w: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lang w:eastAsia="zh-CN"/>
        </w:rPr>
        <w:t>投标文件</w:t>
      </w:r>
      <w:r>
        <w:rPr>
          <w:rFonts w:hint="eastAsia" w:ascii="宋体" w:hAnsi="宋体" w:eastAsia="宋体" w:cs="宋体"/>
          <w:bCs/>
          <w:color w:val="auto"/>
          <w:szCs w:val="21"/>
          <w:highlight w:val="none"/>
        </w:rPr>
        <w:t>提交</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_Toc6850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_Toc9128 </w:instrText>
      </w:r>
      <w:r>
        <w:rPr>
          <w:rFonts w:hint="eastAsia" w:ascii="宋体" w:hAnsi="宋体" w:eastAsia="宋体" w:cs="宋体"/>
          <w:bCs/>
          <w:color w:val="auto"/>
          <w:szCs w:val="52"/>
          <w:highlight w:val="none"/>
        </w:rPr>
        <w:fldChar w:fldCharType="separate"/>
      </w:r>
      <w:r>
        <w:rPr>
          <w:rFonts w:hint="eastAsia" w:ascii="宋体" w:hAnsi="宋体" w:eastAsia="宋体" w:cs="宋体"/>
          <w:bCs/>
          <w:color w:val="auto"/>
          <w:szCs w:val="21"/>
          <w:highlight w:val="none"/>
          <w:lang w:val="en-US" w:eastAsia="zh-CN"/>
        </w:rPr>
        <w:t>6.</w:t>
      </w:r>
      <w:r>
        <w:rPr>
          <w:rFonts w:hint="eastAsia" w:ascii="宋体" w:hAnsi="宋体" w:eastAsia="宋体" w:cs="宋体"/>
          <w:bCs/>
          <w:color w:val="auto"/>
          <w:szCs w:val="21"/>
          <w:highlight w:val="none"/>
        </w:rPr>
        <w:t>开启</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_Toc9128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_Toc2726 </w:instrText>
      </w:r>
      <w:r>
        <w:rPr>
          <w:rFonts w:hint="eastAsia" w:ascii="宋体" w:hAnsi="宋体" w:eastAsia="宋体" w:cs="宋体"/>
          <w:bCs/>
          <w:color w:val="auto"/>
          <w:szCs w:val="52"/>
          <w:highlight w:val="none"/>
        </w:rPr>
        <w:fldChar w:fldCharType="separate"/>
      </w:r>
      <w:r>
        <w:rPr>
          <w:rFonts w:hint="eastAsia" w:ascii="宋体" w:hAnsi="宋体" w:eastAsia="宋体" w:cs="宋体"/>
          <w:bCs/>
          <w:color w:val="auto"/>
          <w:szCs w:val="21"/>
          <w:highlight w:val="none"/>
          <w:lang w:val="en-US" w:eastAsia="zh-CN"/>
        </w:rPr>
        <w:t>7.</w:t>
      </w:r>
      <w:r>
        <w:rPr>
          <w:rFonts w:hint="eastAsia" w:ascii="宋体" w:hAnsi="宋体" w:eastAsia="宋体" w:cs="宋体"/>
          <w:bCs/>
          <w:color w:val="auto"/>
          <w:szCs w:val="21"/>
          <w:highlight w:val="none"/>
          <w:lang w:eastAsia="zh-CN"/>
        </w:rPr>
        <w:t>公告期限</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_Toc2726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_Toc29002 </w:instrText>
      </w:r>
      <w:r>
        <w:rPr>
          <w:rFonts w:hint="eastAsia" w:ascii="宋体" w:hAnsi="宋体" w:eastAsia="宋体" w:cs="宋体"/>
          <w:bCs/>
          <w:color w:val="auto"/>
          <w:szCs w:val="52"/>
          <w:highlight w:val="none"/>
        </w:rPr>
        <w:fldChar w:fldCharType="separate"/>
      </w:r>
      <w:r>
        <w:rPr>
          <w:rFonts w:hint="eastAsia" w:ascii="宋体" w:hAnsi="宋体" w:eastAsia="宋体" w:cs="宋体"/>
          <w:bCs/>
          <w:color w:val="auto"/>
          <w:szCs w:val="21"/>
          <w:highlight w:val="none"/>
          <w:lang w:val="en-US" w:eastAsia="zh-CN"/>
        </w:rPr>
        <w:t>8.</w:t>
      </w:r>
      <w:r>
        <w:rPr>
          <w:rFonts w:hint="eastAsia" w:ascii="宋体" w:hAnsi="宋体" w:eastAsia="宋体" w:cs="宋体"/>
          <w:bCs/>
          <w:color w:val="auto"/>
          <w:szCs w:val="21"/>
          <w:highlight w:val="none"/>
          <w:lang w:eastAsia="zh-CN"/>
        </w:rPr>
        <w:t>发布公告的媒体</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_Toc29002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_Toc18548 </w:instrText>
      </w:r>
      <w:r>
        <w:rPr>
          <w:rFonts w:hint="eastAsia" w:ascii="宋体" w:hAnsi="宋体" w:eastAsia="宋体" w:cs="宋体"/>
          <w:bCs/>
          <w:color w:val="auto"/>
          <w:szCs w:val="52"/>
          <w:highlight w:val="none"/>
        </w:rPr>
        <w:fldChar w:fldCharType="separate"/>
      </w:r>
      <w:r>
        <w:rPr>
          <w:rFonts w:hint="eastAsia" w:ascii="宋体" w:hAnsi="宋体" w:eastAsia="宋体" w:cs="宋体"/>
          <w:bCs/>
          <w:color w:val="auto"/>
          <w:kern w:val="2"/>
          <w:szCs w:val="24"/>
          <w:highlight w:val="none"/>
          <w:lang w:val="en-US" w:eastAsia="zh-CN" w:bidi="ar-SA"/>
        </w:rPr>
        <w:t>9.</w:t>
      </w:r>
      <w:r>
        <w:rPr>
          <w:rFonts w:hint="eastAsia" w:ascii="宋体" w:hAnsi="宋体" w:eastAsia="宋体" w:cs="宋体"/>
          <w:bCs/>
          <w:color w:val="auto"/>
          <w:szCs w:val="24"/>
          <w:highlight w:val="none"/>
          <w:lang w:eastAsia="zh-CN"/>
        </w:rPr>
        <w:t>联系方式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_Toc18548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2"/>
        <w:tabs>
          <w:tab w:val="right" w:leader="dot" w:pos="9746"/>
          <w:tab w:val="clear" w:pos="9628"/>
        </w:tabs>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_Toc18410 </w:instrText>
      </w:r>
      <w:r>
        <w:rPr>
          <w:rFonts w:hint="eastAsia" w:ascii="宋体" w:hAnsi="宋体" w:eastAsia="宋体"/>
          <w:bCs/>
          <w:color w:val="auto"/>
          <w:szCs w:val="52"/>
          <w:highlight w:val="none"/>
        </w:rPr>
        <w:fldChar w:fldCharType="separate"/>
      </w:r>
      <w:r>
        <w:rPr>
          <w:rFonts w:hint="eastAsia" w:ascii="黑体" w:hAnsi="黑体" w:eastAsia="黑体" w:cs="黑体"/>
          <w:bCs/>
          <w:color w:val="auto"/>
          <w:szCs w:val="52"/>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_Toc18410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_Toc2073 </w:instrText>
      </w:r>
      <w:r>
        <w:rPr>
          <w:rFonts w:hint="eastAsia" w:ascii="宋体" w:hAnsi="宋体" w:eastAsia="宋体"/>
          <w:bCs/>
          <w:color w:val="auto"/>
          <w:szCs w:val="52"/>
          <w:highlight w:val="none"/>
        </w:rPr>
        <w:fldChar w:fldCharType="separate"/>
      </w:r>
      <w:r>
        <w:rPr>
          <w:rFonts w:hint="eastAsia" w:ascii="宋体" w:hAnsi="宋体"/>
          <w:bCs/>
          <w:color w:val="auto"/>
          <w:szCs w:val="28"/>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_Toc2073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_Toc25477 </w:instrText>
      </w:r>
      <w:r>
        <w:rPr>
          <w:rFonts w:hint="eastAsia" w:ascii="宋体" w:hAnsi="宋体" w:eastAsia="宋体"/>
          <w:bCs/>
          <w:color w:val="auto"/>
          <w:szCs w:val="52"/>
          <w:highlight w:val="none"/>
        </w:rPr>
        <w:fldChar w:fldCharType="separate"/>
      </w:r>
      <w:r>
        <w:rPr>
          <w:rFonts w:hint="eastAsia" w:ascii="宋体" w:hAnsi="宋体" w:eastAsia="宋体"/>
          <w:color w:val="auto"/>
          <w:highlight w:val="none"/>
          <w:lang w:eastAsia="zh-CN"/>
        </w:rPr>
        <w:t>投标人须知</w:t>
      </w:r>
      <w:r>
        <w:rPr>
          <w:color w:val="auto"/>
          <w:highlight w:val="none"/>
        </w:rPr>
        <w:tab/>
      </w:r>
      <w:r>
        <w:rPr>
          <w:color w:val="auto"/>
          <w:highlight w:val="none"/>
        </w:rPr>
        <w:fldChar w:fldCharType="begin"/>
      </w:r>
      <w:r>
        <w:rPr>
          <w:color w:val="auto"/>
          <w:highlight w:val="none"/>
        </w:rPr>
        <w:instrText xml:space="preserve"> PAGEREF _Toc25477 \h </w:instrText>
      </w:r>
      <w:r>
        <w:rPr>
          <w:color w:val="auto"/>
          <w:highlight w:val="none"/>
        </w:rPr>
        <w:fldChar w:fldCharType="separate"/>
      </w:r>
      <w:r>
        <w:rPr>
          <w:color w:val="auto"/>
          <w:highlight w:val="none"/>
        </w:rPr>
        <w:t>9</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_Toc13894 </w:instrText>
      </w:r>
      <w:r>
        <w:rPr>
          <w:rFonts w:hint="eastAsia" w:ascii="宋体" w:hAnsi="宋体" w:eastAsia="宋体"/>
          <w:bCs/>
          <w:color w:val="auto"/>
          <w:szCs w:val="52"/>
          <w:highlight w:val="none"/>
        </w:rPr>
        <w:fldChar w:fldCharType="separate"/>
      </w:r>
      <w:r>
        <w:rPr>
          <w:rFonts w:hint="eastAsia" w:ascii="宋体" w:hAnsi="宋体" w:eastAsia="宋体" w:cs="宋体"/>
          <w:bCs/>
          <w:color w:val="auto"/>
          <w:kern w:val="2"/>
          <w:szCs w:val="21"/>
          <w:highlight w:val="none"/>
          <w:lang w:val="en-US" w:eastAsia="zh-CN" w:bidi="ar-SA"/>
        </w:rPr>
        <w:t>1. 总则</w:t>
      </w:r>
      <w:r>
        <w:rPr>
          <w:color w:val="auto"/>
          <w:highlight w:val="none"/>
        </w:rPr>
        <w:tab/>
      </w:r>
      <w:r>
        <w:rPr>
          <w:color w:val="auto"/>
          <w:highlight w:val="none"/>
        </w:rPr>
        <w:fldChar w:fldCharType="begin"/>
      </w:r>
      <w:r>
        <w:rPr>
          <w:color w:val="auto"/>
          <w:highlight w:val="none"/>
        </w:rPr>
        <w:instrText xml:space="preserve"> PAGEREF _Toc13894 \h </w:instrText>
      </w:r>
      <w:r>
        <w:rPr>
          <w:color w:val="auto"/>
          <w:highlight w:val="none"/>
        </w:rPr>
        <w:fldChar w:fldCharType="separate"/>
      </w:r>
      <w:r>
        <w:rPr>
          <w:color w:val="auto"/>
          <w:highlight w:val="none"/>
        </w:rPr>
        <w:t>9</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_Toc9256 </w:instrText>
      </w:r>
      <w:r>
        <w:rPr>
          <w:rFonts w:hint="eastAsia" w:ascii="宋体" w:hAnsi="宋体" w:eastAsia="宋体"/>
          <w:bCs/>
          <w:color w:val="auto"/>
          <w:szCs w:val="52"/>
          <w:highlight w:val="none"/>
        </w:rPr>
        <w:fldChar w:fldCharType="separate"/>
      </w:r>
      <w:r>
        <w:rPr>
          <w:rFonts w:hint="eastAsia" w:ascii="宋体" w:hAnsi="宋体" w:eastAsia="宋体" w:cs="宋体"/>
          <w:bCs/>
          <w:color w:val="auto"/>
          <w:kern w:val="2"/>
          <w:szCs w:val="21"/>
          <w:highlight w:val="none"/>
          <w:lang w:val="en-US" w:eastAsia="zh-CN" w:bidi="ar-SA"/>
        </w:rPr>
        <w:t>2. 招标文</w:t>
      </w:r>
      <w:r>
        <w:rPr>
          <w:rFonts w:hint="eastAsia" w:ascii="宋体" w:hAnsi="宋体" w:eastAsia="宋体" w:cs="宋体"/>
          <w:bCs w:val="0"/>
          <w:color w:val="auto"/>
          <w:kern w:val="2"/>
          <w:szCs w:val="21"/>
          <w:highlight w:val="none"/>
          <w:lang w:val="en-US" w:eastAsia="zh-CN" w:bidi="ar-SA"/>
        </w:rPr>
        <w:t>件</w:t>
      </w:r>
      <w:r>
        <w:rPr>
          <w:color w:val="auto"/>
          <w:highlight w:val="none"/>
        </w:rPr>
        <w:tab/>
      </w:r>
      <w:r>
        <w:rPr>
          <w:color w:val="auto"/>
          <w:highlight w:val="none"/>
        </w:rPr>
        <w:fldChar w:fldCharType="begin"/>
      </w:r>
      <w:r>
        <w:rPr>
          <w:color w:val="auto"/>
          <w:highlight w:val="none"/>
        </w:rPr>
        <w:instrText xml:space="preserve"> PAGEREF _Toc9256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_Toc10370 </w:instrText>
      </w:r>
      <w:r>
        <w:rPr>
          <w:rFonts w:hint="eastAsia" w:ascii="宋体" w:hAnsi="宋体" w:eastAsia="宋体"/>
          <w:bCs/>
          <w:color w:val="auto"/>
          <w:szCs w:val="52"/>
          <w:highlight w:val="none"/>
        </w:rPr>
        <w:fldChar w:fldCharType="separate"/>
      </w:r>
      <w:r>
        <w:rPr>
          <w:rFonts w:hint="eastAsia" w:ascii="宋体" w:hAnsi="宋体" w:eastAsia="宋体" w:cs="宋体"/>
          <w:bCs/>
          <w:color w:val="auto"/>
          <w:kern w:val="2"/>
          <w:szCs w:val="21"/>
          <w:highlight w:val="none"/>
          <w:lang w:val="en-US" w:eastAsia="zh-CN" w:bidi="ar-SA"/>
        </w:rPr>
        <w:t>3. 投标文件</w:t>
      </w:r>
      <w:r>
        <w:rPr>
          <w:color w:val="auto"/>
          <w:highlight w:val="none"/>
        </w:rPr>
        <w:tab/>
      </w:r>
      <w:r>
        <w:rPr>
          <w:color w:val="auto"/>
          <w:highlight w:val="none"/>
        </w:rPr>
        <w:fldChar w:fldCharType="begin"/>
      </w:r>
      <w:r>
        <w:rPr>
          <w:color w:val="auto"/>
          <w:highlight w:val="none"/>
        </w:rPr>
        <w:instrText xml:space="preserve"> PAGEREF _Toc10370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_Toc28707 </w:instrText>
      </w:r>
      <w:r>
        <w:rPr>
          <w:rFonts w:hint="eastAsia" w:ascii="宋体" w:hAnsi="宋体" w:eastAsia="宋体"/>
          <w:bCs/>
          <w:color w:val="auto"/>
          <w:szCs w:val="52"/>
          <w:highlight w:val="none"/>
        </w:rPr>
        <w:fldChar w:fldCharType="separate"/>
      </w:r>
      <w:r>
        <w:rPr>
          <w:rFonts w:hint="eastAsia" w:ascii="宋体" w:hAnsi="宋体" w:eastAsia="宋体" w:cs="宋体"/>
          <w:bCs/>
          <w:color w:val="auto"/>
          <w:kern w:val="2"/>
          <w:szCs w:val="21"/>
          <w:highlight w:val="none"/>
          <w:lang w:val="en-US" w:eastAsia="zh-CN" w:bidi="ar-SA"/>
        </w:rPr>
        <w:t>4. 投标</w:t>
      </w:r>
      <w:r>
        <w:rPr>
          <w:color w:val="auto"/>
          <w:highlight w:val="none"/>
        </w:rPr>
        <w:tab/>
      </w:r>
      <w:r>
        <w:rPr>
          <w:color w:val="auto"/>
          <w:highlight w:val="none"/>
        </w:rPr>
        <w:fldChar w:fldCharType="begin"/>
      </w:r>
      <w:r>
        <w:rPr>
          <w:color w:val="auto"/>
          <w:highlight w:val="none"/>
        </w:rPr>
        <w:instrText xml:space="preserve"> PAGEREF _Toc28707 \h </w:instrText>
      </w:r>
      <w:r>
        <w:rPr>
          <w:color w:val="auto"/>
          <w:highlight w:val="none"/>
        </w:rPr>
        <w:fldChar w:fldCharType="separate"/>
      </w:r>
      <w:r>
        <w:rPr>
          <w:color w:val="auto"/>
          <w:highlight w:val="none"/>
        </w:rPr>
        <w:t>12</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_Toc7969 </w:instrText>
      </w:r>
      <w:r>
        <w:rPr>
          <w:rFonts w:hint="eastAsia" w:ascii="宋体" w:hAnsi="宋体" w:eastAsia="宋体"/>
          <w:bCs/>
          <w:color w:val="auto"/>
          <w:szCs w:val="52"/>
          <w:highlight w:val="none"/>
        </w:rPr>
        <w:fldChar w:fldCharType="separate"/>
      </w:r>
      <w:r>
        <w:rPr>
          <w:rFonts w:hint="eastAsia" w:ascii="宋体" w:hAnsi="宋体" w:eastAsia="宋体" w:cs="宋体"/>
          <w:bCs/>
          <w:color w:val="auto"/>
          <w:kern w:val="2"/>
          <w:szCs w:val="21"/>
          <w:highlight w:val="none"/>
          <w:lang w:val="en-US" w:eastAsia="zh-CN" w:bidi="ar-SA"/>
        </w:rPr>
        <w:t>6. 评标</w:t>
      </w:r>
      <w:r>
        <w:rPr>
          <w:color w:val="auto"/>
          <w:highlight w:val="none"/>
        </w:rPr>
        <w:tab/>
      </w:r>
      <w:r>
        <w:rPr>
          <w:color w:val="auto"/>
          <w:highlight w:val="none"/>
        </w:rPr>
        <w:fldChar w:fldCharType="begin"/>
      </w:r>
      <w:r>
        <w:rPr>
          <w:color w:val="auto"/>
          <w:highlight w:val="none"/>
        </w:rPr>
        <w:instrText xml:space="preserve"> PAGEREF _Toc7969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_Toc13497 </w:instrText>
      </w:r>
      <w:r>
        <w:rPr>
          <w:rFonts w:hint="eastAsia" w:ascii="宋体" w:hAnsi="宋体" w:eastAsia="宋体"/>
          <w:bCs/>
          <w:color w:val="auto"/>
          <w:szCs w:val="52"/>
          <w:highlight w:val="none"/>
        </w:rPr>
        <w:fldChar w:fldCharType="separate"/>
      </w:r>
      <w:r>
        <w:rPr>
          <w:rFonts w:hint="eastAsia" w:ascii="宋体" w:hAnsi="宋体" w:eastAsia="宋体" w:cs="宋体"/>
          <w:bCs/>
          <w:color w:val="auto"/>
          <w:kern w:val="2"/>
          <w:szCs w:val="21"/>
          <w:highlight w:val="none"/>
          <w:lang w:val="en-US" w:eastAsia="zh-CN" w:bidi="ar-SA"/>
        </w:rPr>
        <w:t>7. 合同授予</w:t>
      </w:r>
      <w:r>
        <w:rPr>
          <w:color w:val="auto"/>
          <w:highlight w:val="none"/>
        </w:rPr>
        <w:tab/>
      </w:r>
      <w:r>
        <w:rPr>
          <w:color w:val="auto"/>
          <w:highlight w:val="none"/>
        </w:rPr>
        <w:fldChar w:fldCharType="begin"/>
      </w:r>
      <w:r>
        <w:rPr>
          <w:color w:val="auto"/>
          <w:highlight w:val="none"/>
        </w:rPr>
        <w:instrText xml:space="preserve"> PAGEREF _Toc13497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_Toc12202 </w:instrText>
      </w:r>
      <w:r>
        <w:rPr>
          <w:rFonts w:hint="eastAsia" w:ascii="宋体" w:hAnsi="宋体" w:eastAsia="宋体"/>
          <w:bCs/>
          <w:color w:val="auto"/>
          <w:szCs w:val="52"/>
          <w:highlight w:val="none"/>
        </w:rPr>
        <w:fldChar w:fldCharType="separate"/>
      </w:r>
      <w:r>
        <w:rPr>
          <w:rFonts w:hint="eastAsia" w:ascii="宋体" w:hAnsi="宋体" w:eastAsia="宋体" w:cs="宋体"/>
          <w:bCs/>
          <w:color w:val="auto"/>
          <w:kern w:val="2"/>
          <w:szCs w:val="21"/>
          <w:highlight w:val="none"/>
          <w:lang w:val="en-US" w:eastAsia="zh-CN" w:bidi="ar-SA"/>
        </w:rPr>
        <w:t>8. 重新招标或不再招标</w:t>
      </w:r>
      <w:r>
        <w:rPr>
          <w:color w:val="auto"/>
          <w:highlight w:val="none"/>
        </w:rPr>
        <w:tab/>
      </w:r>
      <w:r>
        <w:rPr>
          <w:color w:val="auto"/>
          <w:highlight w:val="none"/>
        </w:rPr>
        <w:fldChar w:fldCharType="begin"/>
      </w:r>
      <w:r>
        <w:rPr>
          <w:color w:val="auto"/>
          <w:highlight w:val="none"/>
        </w:rPr>
        <w:instrText xml:space="preserve"> PAGEREF _Toc12202 \h </w:instrText>
      </w:r>
      <w:r>
        <w:rPr>
          <w:color w:val="auto"/>
          <w:highlight w:val="none"/>
        </w:rPr>
        <w:fldChar w:fldCharType="separate"/>
      </w:r>
      <w:r>
        <w:rPr>
          <w:color w:val="auto"/>
          <w:highlight w:val="none"/>
        </w:rPr>
        <w:t>15</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_Toc24923 </w:instrText>
      </w:r>
      <w:r>
        <w:rPr>
          <w:rFonts w:hint="eastAsia" w:ascii="宋体" w:hAnsi="宋体" w:eastAsia="宋体"/>
          <w:bCs/>
          <w:color w:val="auto"/>
          <w:szCs w:val="52"/>
          <w:highlight w:val="none"/>
        </w:rPr>
        <w:fldChar w:fldCharType="separate"/>
      </w:r>
      <w:r>
        <w:rPr>
          <w:rFonts w:hint="eastAsia" w:ascii="宋体" w:hAnsi="宋体" w:eastAsia="宋体" w:cs="宋体"/>
          <w:bCs/>
          <w:color w:val="auto"/>
          <w:kern w:val="2"/>
          <w:szCs w:val="21"/>
          <w:highlight w:val="none"/>
          <w:lang w:val="en-US" w:eastAsia="zh-CN" w:bidi="ar-SA"/>
        </w:rPr>
        <w:t>9. 纪律和监督</w:t>
      </w:r>
      <w:r>
        <w:rPr>
          <w:color w:val="auto"/>
          <w:highlight w:val="none"/>
        </w:rPr>
        <w:tab/>
      </w:r>
      <w:r>
        <w:rPr>
          <w:color w:val="auto"/>
          <w:highlight w:val="none"/>
        </w:rPr>
        <w:fldChar w:fldCharType="begin"/>
      </w:r>
      <w:r>
        <w:rPr>
          <w:color w:val="auto"/>
          <w:highlight w:val="none"/>
        </w:rPr>
        <w:instrText xml:space="preserve"> PAGEREF _Toc24923 \h </w:instrText>
      </w:r>
      <w:r>
        <w:rPr>
          <w:color w:val="auto"/>
          <w:highlight w:val="none"/>
        </w:rPr>
        <w:fldChar w:fldCharType="separate"/>
      </w:r>
      <w:r>
        <w:rPr>
          <w:color w:val="auto"/>
          <w:highlight w:val="none"/>
        </w:rPr>
        <w:t>15</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_Toc9133 </w:instrText>
      </w:r>
      <w:r>
        <w:rPr>
          <w:rFonts w:hint="eastAsia" w:ascii="宋体" w:hAnsi="宋体" w:eastAsia="宋体"/>
          <w:bCs/>
          <w:color w:val="auto"/>
          <w:szCs w:val="52"/>
          <w:highlight w:val="none"/>
        </w:rPr>
        <w:fldChar w:fldCharType="separate"/>
      </w:r>
      <w:r>
        <w:rPr>
          <w:rFonts w:hint="eastAsia" w:ascii="宋体" w:hAnsi="宋体" w:eastAsia="宋体" w:cs="宋体"/>
          <w:bCs/>
          <w:color w:val="auto"/>
          <w:kern w:val="2"/>
          <w:szCs w:val="21"/>
          <w:highlight w:val="none"/>
          <w:lang w:val="en-US" w:eastAsia="zh-CN" w:bidi="ar-SA"/>
        </w:rPr>
        <w:t>10.需要补充的其他内容</w:t>
      </w:r>
      <w:r>
        <w:rPr>
          <w:color w:val="auto"/>
          <w:highlight w:val="none"/>
        </w:rPr>
        <w:tab/>
      </w:r>
      <w:r>
        <w:rPr>
          <w:color w:val="auto"/>
          <w:highlight w:val="none"/>
        </w:rPr>
        <w:fldChar w:fldCharType="begin"/>
      </w:r>
      <w:r>
        <w:rPr>
          <w:color w:val="auto"/>
          <w:highlight w:val="none"/>
        </w:rPr>
        <w:instrText xml:space="preserve"> PAGEREF _Toc9133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eastAsia="宋体"/>
          <w:bCs/>
          <w:color w:val="auto"/>
          <w:szCs w:val="52"/>
          <w:highlight w:val="none"/>
        </w:rPr>
        <w:fldChar w:fldCharType="end"/>
      </w:r>
    </w:p>
    <w:p>
      <w:pPr>
        <w:pStyle w:val="22"/>
        <w:tabs>
          <w:tab w:val="right" w:leader="dot" w:pos="9746"/>
          <w:tab w:val="clear" w:pos="9628"/>
        </w:tabs>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_Toc22962 </w:instrText>
      </w:r>
      <w:r>
        <w:rPr>
          <w:rFonts w:hint="eastAsia" w:ascii="宋体" w:hAnsi="宋体" w:eastAsia="宋体"/>
          <w:bCs/>
          <w:color w:val="auto"/>
          <w:szCs w:val="52"/>
          <w:highlight w:val="none"/>
        </w:rPr>
        <w:fldChar w:fldCharType="separate"/>
      </w:r>
      <w:r>
        <w:rPr>
          <w:rFonts w:hint="eastAsia" w:ascii="黑体" w:hAnsi="黑体" w:eastAsia="黑体" w:cs="黑体"/>
          <w:bCs/>
          <w:color w:val="auto"/>
          <w:szCs w:val="52"/>
          <w:highlight w:val="none"/>
        </w:rPr>
        <w:t>第</w:t>
      </w:r>
      <w:r>
        <w:rPr>
          <w:rFonts w:hint="eastAsia" w:ascii="黑体" w:hAnsi="黑体" w:cs="黑体"/>
          <w:bCs/>
          <w:color w:val="auto"/>
          <w:szCs w:val="52"/>
          <w:highlight w:val="none"/>
          <w:lang w:val="en-US" w:eastAsia="zh-CN"/>
        </w:rPr>
        <w:t>三</w:t>
      </w:r>
      <w:r>
        <w:rPr>
          <w:rFonts w:hint="eastAsia" w:ascii="黑体" w:hAnsi="黑体" w:eastAsia="黑体" w:cs="黑体"/>
          <w:bCs/>
          <w:color w:val="auto"/>
          <w:szCs w:val="52"/>
          <w:highlight w:val="none"/>
        </w:rPr>
        <w:t>章</w:t>
      </w:r>
      <w:r>
        <w:rPr>
          <w:rFonts w:hint="eastAsia" w:ascii="黑体" w:hAnsi="黑体" w:cs="黑体"/>
          <w:bCs/>
          <w:color w:val="auto"/>
          <w:szCs w:val="52"/>
          <w:highlight w:val="none"/>
          <w:lang w:val="en-US" w:eastAsia="zh-CN"/>
        </w:rPr>
        <w:t xml:space="preserve">  </w:t>
      </w:r>
      <w:r>
        <w:rPr>
          <w:rFonts w:hint="eastAsia" w:ascii="黑体" w:hAnsi="黑体" w:eastAsia="黑体" w:cs="黑体"/>
          <w:bCs/>
          <w:color w:val="auto"/>
          <w:szCs w:val="52"/>
          <w:highlight w:val="none"/>
        </w:rPr>
        <w:t>评标方法（</w:t>
      </w:r>
      <w:r>
        <w:rPr>
          <w:rFonts w:hint="eastAsia" w:ascii="黑体" w:hAnsi="黑体" w:cs="黑体"/>
          <w:bCs/>
          <w:color w:val="auto"/>
          <w:szCs w:val="52"/>
          <w:highlight w:val="none"/>
          <w:lang w:eastAsia="zh-CN"/>
        </w:rPr>
        <w:t>综合评估法</w:t>
      </w:r>
      <w:r>
        <w:rPr>
          <w:rFonts w:hint="eastAsia" w:ascii="黑体" w:hAnsi="黑体" w:eastAsia="黑体" w:cs="黑体"/>
          <w:bCs/>
          <w:color w:val="auto"/>
          <w:szCs w:val="52"/>
          <w:highlight w:val="none"/>
        </w:rPr>
        <w:t>）</w:t>
      </w:r>
      <w:r>
        <w:rPr>
          <w:color w:val="auto"/>
          <w:highlight w:val="none"/>
        </w:rPr>
        <w:tab/>
      </w:r>
      <w:r>
        <w:rPr>
          <w:color w:val="auto"/>
          <w:highlight w:val="none"/>
        </w:rPr>
        <w:fldChar w:fldCharType="begin"/>
      </w:r>
      <w:r>
        <w:rPr>
          <w:color w:val="auto"/>
          <w:highlight w:val="none"/>
        </w:rPr>
        <w:instrText xml:space="preserve"> PAGEREF _Toc22962 \h </w:instrText>
      </w:r>
      <w:r>
        <w:rPr>
          <w:color w:val="auto"/>
          <w:highlight w:val="none"/>
        </w:rPr>
        <w:fldChar w:fldCharType="separate"/>
      </w:r>
      <w:r>
        <w:rPr>
          <w:color w:val="auto"/>
          <w:highlight w:val="none"/>
        </w:rPr>
        <w:t>19</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_Toc30498 </w:instrText>
      </w:r>
      <w:r>
        <w:rPr>
          <w:rFonts w:hint="eastAsia" w:ascii="宋体" w:hAnsi="宋体" w:eastAsia="宋体"/>
          <w:bCs/>
          <w:color w:val="auto"/>
          <w:szCs w:val="52"/>
          <w:highlight w:val="none"/>
        </w:rPr>
        <w:fldChar w:fldCharType="separate"/>
      </w:r>
      <w:r>
        <w:rPr>
          <w:rFonts w:hint="eastAsia" w:ascii="黑体" w:hAnsi="黑体" w:eastAsia="黑体" w:cs="黑体"/>
          <w:color w:val="auto"/>
          <w:szCs w:val="28"/>
          <w:highlight w:val="none"/>
        </w:rPr>
        <w:t>评标方法前附表</w:t>
      </w:r>
      <w:r>
        <w:rPr>
          <w:color w:val="auto"/>
          <w:highlight w:val="none"/>
        </w:rPr>
        <w:tab/>
      </w:r>
      <w:r>
        <w:rPr>
          <w:color w:val="auto"/>
          <w:highlight w:val="none"/>
        </w:rPr>
        <w:fldChar w:fldCharType="begin"/>
      </w:r>
      <w:r>
        <w:rPr>
          <w:color w:val="auto"/>
          <w:highlight w:val="none"/>
        </w:rPr>
        <w:instrText xml:space="preserve"> PAGEREF _Toc30498 \h </w:instrText>
      </w:r>
      <w:r>
        <w:rPr>
          <w:color w:val="auto"/>
          <w:highlight w:val="none"/>
        </w:rPr>
        <w:fldChar w:fldCharType="separate"/>
      </w:r>
      <w:r>
        <w:rPr>
          <w:color w:val="auto"/>
          <w:highlight w:val="none"/>
        </w:rPr>
        <w:t>19</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_Toc32004 </w:instrText>
      </w:r>
      <w:r>
        <w:rPr>
          <w:rFonts w:hint="eastAsia" w:ascii="宋体" w:hAnsi="宋体" w:eastAsia="宋体"/>
          <w:bCs/>
          <w:color w:val="auto"/>
          <w:szCs w:val="52"/>
          <w:highlight w:val="none"/>
        </w:rPr>
        <w:fldChar w:fldCharType="separate"/>
      </w:r>
      <w:r>
        <w:rPr>
          <w:rFonts w:ascii="Times New Roman" w:hAnsi="Times New Roman" w:eastAsia="宋体"/>
          <w:iCs/>
          <w:color w:val="auto"/>
          <w:kern w:val="0"/>
          <w:szCs w:val="24"/>
          <w:highlight w:val="none"/>
          <w:lang w:bidi="en-US"/>
        </w:rPr>
        <w:t>评标办法正文</w:t>
      </w:r>
      <w:r>
        <w:rPr>
          <w:color w:val="auto"/>
          <w:highlight w:val="none"/>
        </w:rPr>
        <w:tab/>
      </w:r>
      <w:r>
        <w:rPr>
          <w:color w:val="auto"/>
          <w:highlight w:val="none"/>
        </w:rPr>
        <w:fldChar w:fldCharType="begin"/>
      </w:r>
      <w:r>
        <w:rPr>
          <w:color w:val="auto"/>
          <w:highlight w:val="none"/>
        </w:rPr>
        <w:instrText xml:space="preserve"> PAGEREF _Toc32004 \h </w:instrText>
      </w:r>
      <w:r>
        <w:rPr>
          <w:color w:val="auto"/>
          <w:highlight w:val="none"/>
        </w:rPr>
        <w:fldChar w:fldCharType="separate"/>
      </w:r>
      <w:r>
        <w:rPr>
          <w:color w:val="auto"/>
          <w:highlight w:val="none"/>
        </w:rPr>
        <w:t>23</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_Toc15034 </w:instrText>
      </w:r>
      <w:r>
        <w:rPr>
          <w:rFonts w:hint="eastAsia" w:ascii="宋体" w:hAnsi="宋体" w:eastAsia="宋体"/>
          <w:bCs/>
          <w:color w:val="auto"/>
          <w:szCs w:val="52"/>
          <w:highlight w:val="none"/>
        </w:rPr>
        <w:fldChar w:fldCharType="separate"/>
      </w:r>
      <w:r>
        <w:rPr>
          <w:rFonts w:hint="eastAsia" w:ascii="宋体" w:hAnsi="宋体" w:eastAsia="宋体" w:cs="宋体"/>
          <w:bCs/>
          <w:color w:val="auto"/>
          <w:kern w:val="0"/>
          <w:szCs w:val="21"/>
          <w:highlight w:val="none"/>
          <w:lang w:bidi="en-US"/>
        </w:rPr>
        <w:t>1．评标方法</w:t>
      </w:r>
      <w:r>
        <w:rPr>
          <w:color w:val="auto"/>
          <w:highlight w:val="none"/>
        </w:rPr>
        <w:tab/>
      </w:r>
      <w:r>
        <w:rPr>
          <w:color w:val="auto"/>
          <w:highlight w:val="none"/>
        </w:rPr>
        <w:fldChar w:fldCharType="begin"/>
      </w:r>
      <w:r>
        <w:rPr>
          <w:color w:val="auto"/>
          <w:highlight w:val="none"/>
        </w:rPr>
        <w:instrText xml:space="preserve"> PAGEREF _Toc15034 \h </w:instrText>
      </w:r>
      <w:r>
        <w:rPr>
          <w:color w:val="auto"/>
          <w:highlight w:val="none"/>
        </w:rPr>
        <w:fldChar w:fldCharType="separate"/>
      </w:r>
      <w:r>
        <w:rPr>
          <w:color w:val="auto"/>
          <w:highlight w:val="none"/>
        </w:rPr>
        <w:t>23</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_Toc5560 </w:instrText>
      </w:r>
      <w:r>
        <w:rPr>
          <w:rFonts w:hint="eastAsia" w:ascii="宋体" w:hAnsi="宋体" w:eastAsia="宋体"/>
          <w:bCs/>
          <w:color w:val="auto"/>
          <w:szCs w:val="52"/>
          <w:highlight w:val="none"/>
        </w:rPr>
        <w:fldChar w:fldCharType="separate"/>
      </w:r>
      <w:r>
        <w:rPr>
          <w:rFonts w:hint="eastAsia" w:ascii="宋体" w:hAnsi="宋体" w:eastAsia="宋体" w:cs="宋体"/>
          <w:bCs/>
          <w:color w:val="auto"/>
          <w:kern w:val="0"/>
          <w:szCs w:val="21"/>
          <w:highlight w:val="none"/>
          <w:lang w:bidi="en-US"/>
        </w:rPr>
        <w:t>2．评审标准</w:t>
      </w:r>
      <w:r>
        <w:rPr>
          <w:color w:val="auto"/>
          <w:highlight w:val="none"/>
        </w:rPr>
        <w:tab/>
      </w:r>
      <w:r>
        <w:rPr>
          <w:color w:val="auto"/>
          <w:highlight w:val="none"/>
        </w:rPr>
        <w:fldChar w:fldCharType="begin"/>
      </w:r>
      <w:r>
        <w:rPr>
          <w:color w:val="auto"/>
          <w:highlight w:val="none"/>
        </w:rPr>
        <w:instrText xml:space="preserve"> PAGEREF _Toc5560 \h </w:instrText>
      </w:r>
      <w:r>
        <w:rPr>
          <w:color w:val="auto"/>
          <w:highlight w:val="none"/>
        </w:rPr>
        <w:fldChar w:fldCharType="separate"/>
      </w:r>
      <w:r>
        <w:rPr>
          <w:color w:val="auto"/>
          <w:highlight w:val="none"/>
        </w:rPr>
        <w:t>24</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_Toc463 </w:instrText>
      </w:r>
      <w:r>
        <w:rPr>
          <w:rFonts w:hint="eastAsia" w:ascii="宋体" w:hAnsi="宋体" w:eastAsia="宋体"/>
          <w:bCs/>
          <w:color w:val="auto"/>
          <w:szCs w:val="52"/>
          <w:highlight w:val="none"/>
        </w:rPr>
        <w:fldChar w:fldCharType="separate"/>
      </w:r>
      <w:r>
        <w:rPr>
          <w:rFonts w:hint="eastAsia" w:ascii="宋体" w:hAnsi="宋体" w:eastAsia="宋体" w:cs="宋体"/>
          <w:bCs/>
          <w:color w:val="auto"/>
          <w:kern w:val="0"/>
          <w:szCs w:val="21"/>
          <w:highlight w:val="none"/>
          <w:lang w:bidi="en-US"/>
        </w:rPr>
        <w:t>3．评标程序</w:t>
      </w:r>
      <w:r>
        <w:rPr>
          <w:color w:val="auto"/>
          <w:highlight w:val="none"/>
        </w:rPr>
        <w:tab/>
      </w:r>
      <w:r>
        <w:rPr>
          <w:color w:val="auto"/>
          <w:highlight w:val="none"/>
        </w:rPr>
        <w:fldChar w:fldCharType="begin"/>
      </w:r>
      <w:r>
        <w:rPr>
          <w:color w:val="auto"/>
          <w:highlight w:val="none"/>
        </w:rPr>
        <w:instrText xml:space="preserve"> PAGEREF _Toc463 \h </w:instrText>
      </w:r>
      <w:r>
        <w:rPr>
          <w:color w:val="auto"/>
          <w:highlight w:val="none"/>
        </w:rPr>
        <w:fldChar w:fldCharType="separate"/>
      </w:r>
      <w:r>
        <w:rPr>
          <w:color w:val="auto"/>
          <w:highlight w:val="none"/>
        </w:rPr>
        <w:t>24</w:t>
      </w:r>
      <w:r>
        <w:rPr>
          <w:color w:val="auto"/>
          <w:highlight w:val="none"/>
        </w:rPr>
        <w:fldChar w:fldCharType="end"/>
      </w:r>
      <w:r>
        <w:rPr>
          <w:rFonts w:hint="eastAsia" w:ascii="宋体" w:hAnsi="宋体" w:eastAsia="宋体"/>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600" w:firstLineChars="300"/>
        <w:textAlignment w:val="auto"/>
        <w:rPr>
          <w:color w:val="auto"/>
          <w:highlight w:val="none"/>
        </w:rPr>
      </w:pPr>
      <w:r>
        <w:rPr>
          <w:rFonts w:hint="eastAsia" w:ascii="宋体" w:hAnsi="宋体" w:eastAsia="宋体"/>
          <w:b w:val="0"/>
          <w:bCs w:val="0"/>
          <w:color w:val="auto"/>
          <w:szCs w:val="52"/>
          <w:highlight w:val="none"/>
        </w:rPr>
        <w:fldChar w:fldCharType="begin"/>
      </w:r>
      <w:r>
        <w:rPr>
          <w:rFonts w:hint="eastAsia" w:ascii="宋体" w:hAnsi="宋体" w:eastAsia="宋体"/>
          <w:b w:val="0"/>
          <w:bCs w:val="0"/>
          <w:color w:val="auto"/>
          <w:szCs w:val="52"/>
          <w:highlight w:val="none"/>
        </w:rPr>
        <w:instrText xml:space="preserve"> HYPERLINK \l _Toc23045 </w:instrText>
      </w:r>
      <w:r>
        <w:rPr>
          <w:rFonts w:hint="eastAsia" w:ascii="宋体" w:hAnsi="宋体" w:eastAsia="宋体"/>
          <w:b w:val="0"/>
          <w:bCs w:val="0"/>
          <w:color w:val="auto"/>
          <w:szCs w:val="52"/>
          <w:highlight w:val="none"/>
        </w:rPr>
        <w:fldChar w:fldCharType="separate"/>
      </w:r>
      <w:r>
        <w:rPr>
          <w:rFonts w:hint="eastAsia" w:ascii="宋体" w:hAnsi="宋体" w:eastAsia="宋体" w:cs="宋体"/>
          <w:b w:val="0"/>
          <w:bCs w:val="0"/>
          <w:color w:val="auto"/>
          <w:kern w:val="0"/>
          <w:szCs w:val="21"/>
          <w:highlight w:val="none"/>
          <w:lang w:bidi="en-US"/>
        </w:rPr>
        <w:t>附件A：评标详细程序</w:t>
      </w:r>
      <w:r>
        <w:rPr>
          <w:b w:val="0"/>
          <w:bCs w:val="0"/>
          <w:color w:val="auto"/>
          <w:highlight w:val="none"/>
        </w:rPr>
        <w:tab/>
      </w:r>
      <w:r>
        <w:rPr>
          <w:b w:val="0"/>
          <w:bCs w:val="0"/>
          <w:color w:val="auto"/>
          <w:highlight w:val="none"/>
        </w:rPr>
        <w:fldChar w:fldCharType="begin"/>
      </w:r>
      <w:r>
        <w:rPr>
          <w:b w:val="0"/>
          <w:bCs w:val="0"/>
          <w:color w:val="auto"/>
          <w:highlight w:val="none"/>
        </w:rPr>
        <w:instrText xml:space="preserve"> PAGEREF _Toc23045 \h </w:instrText>
      </w:r>
      <w:r>
        <w:rPr>
          <w:b w:val="0"/>
          <w:bCs w:val="0"/>
          <w:color w:val="auto"/>
          <w:highlight w:val="none"/>
        </w:rPr>
        <w:fldChar w:fldCharType="separate"/>
      </w:r>
      <w:r>
        <w:rPr>
          <w:b w:val="0"/>
          <w:bCs w:val="0"/>
          <w:color w:val="auto"/>
          <w:highlight w:val="none"/>
        </w:rPr>
        <w:t>27</w:t>
      </w:r>
      <w:r>
        <w:rPr>
          <w:b w:val="0"/>
          <w:bCs w:val="0"/>
          <w:color w:val="auto"/>
          <w:highlight w:val="none"/>
        </w:rPr>
        <w:fldChar w:fldCharType="end"/>
      </w:r>
      <w:r>
        <w:rPr>
          <w:rFonts w:hint="eastAsia" w:ascii="宋体" w:hAnsi="宋体" w:eastAsia="宋体"/>
          <w:b w:val="0"/>
          <w:bCs w:val="0"/>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_Toc223 </w:instrText>
      </w:r>
      <w:r>
        <w:rPr>
          <w:rFonts w:hint="eastAsia" w:ascii="宋体" w:hAnsi="宋体" w:eastAsia="宋体"/>
          <w:bCs/>
          <w:color w:val="auto"/>
          <w:szCs w:val="52"/>
          <w:highlight w:val="none"/>
        </w:rPr>
        <w:fldChar w:fldCharType="separate"/>
      </w:r>
      <w:r>
        <w:rPr>
          <w:rFonts w:hint="eastAsia" w:ascii="宋体" w:hAnsi="宋体" w:eastAsia="宋体" w:cs="宋体"/>
          <w:bCs/>
          <w:color w:val="auto"/>
          <w:kern w:val="0"/>
          <w:szCs w:val="21"/>
          <w:highlight w:val="none"/>
          <w:lang w:bidi="en-US"/>
        </w:rPr>
        <w:t>附件B：否决投标条件</w:t>
      </w:r>
      <w:r>
        <w:rPr>
          <w:color w:val="auto"/>
          <w:highlight w:val="none"/>
        </w:rPr>
        <w:tab/>
      </w:r>
      <w:r>
        <w:rPr>
          <w:color w:val="auto"/>
          <w:highlight w:val="none"/>
        </w:rPr>
        <w:fldChar w:fldCharType="begin"/>
      </w:r>
      <w:r>
        <w:rPr>
          <w:color w:val="auto"/>
          <w:highlight w:val="none"/>
        </w:rPr>
        <w:instrText xml:space="preserve"> PAGEREF _Toc223 \h </w:instrText>
      </w:r>
      <w:r>
        <w:rPr>
          <w:color w:val="auto"/>
          <w:highlight w:val="none"/>
        </w:rPr>
        <w:fldChar w:fldCharType="separate"/>
      </w:r>
      <w:r>
        <w:rPr>
          <w:color w:val="auto"/>
          <w:highlight w:val="none"/>
        </w:rPr>
        <w:t>32</w:t>
      </w:r>
      <w:r>
        <w:rPr>
          <w:color w:val="auto"/>
          <w:highlight w:val="none"/>
        </w:rPr>
        <w:fldChar w:fldCharType="end"/>
      </w:r>
      <w:r>
        <w:rPr>
          <w:rFonts w:hint="eastAsia" w:ascii="宋体" w:hAnsi="宋体" w:eastAsia="宋体"/>
          <w:bCs/>
          <w:color w:val="auto"/>
          <w:szCs w:val="52"/>
          <w:highlight w:val="none"/>
        </w:rPr>
        <w:fldChar w:fldCharType="end"/>
      </w:r>
    </w:p>
    <w:p>
      <w:pPr>
        <w:pStyle w:val="22"/>
        <w:tabs>
          <w:tab w:val="right" w:leader="dot" w:pos="9746"/>
          <w:tab w:val="clear" w:pos="9628"/>
        </w:tabs>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_Toc12050 </w:instrText>
      </w:r>
      <w:r>
        <w:rPr>
          <w:rFonts w:hint="eastAsia" w:ascii="宋体" w:hAnsi="宋体" w:eastAsia="宋体"/>
          <w:bCs/>
          <w:color w:val="auto"/>
          <w:szCs w:val="52"/>
          <w:highlight w:val="none"/>
        </w:rPr>
        <w:fldChar w:fldCharType="separate"/>
      </w:r>
      <w:r>
        <w:rPr>
          <w:rFonts w:hint="eastAsia" w:ascii="黑体" w:hAnsi="黑体" w:eastAsia="黑体" w:cs="黑体"/>
          <w:bCs/>
          <w:color w:val="auto"/>
          <w:szCs w:val="52"/>
          <w:highlight w:val="none"/>
          <w:lang w:val="en-US" w:eastAsia="zh-CN"/>
        </w:rPr>
        <w:t xml:space="preserve">第四章 </w:t>
      </w:r>
      <w:r>
        <w:rPr>
          <w:rFonts w:hint="eastAsia" w:ascii="黑体" w:hAnsi="黑体" w:eastAsia="黑体" w:cs="黑体"/>
          <w:bCs/>
          <w:color w:val="auto"/>
          <w:szCs w:val="52"/>
          <w:highlight w:val="none"/>
          <w:lang w:eastAsia="zh-CN"/>
        </w:rPr>
        <w:t>招标内容及要求</w:t>
      </w:r>
      <w:r>
        <w:rPr>
          <w:color w:val="auto"/>
          <w:highlight w:val="none"/>
        </w:rPr>
        <w:tab/>
      </w:r>
      <w:r>
        <w:rPr>
          <w:color w:val="auto"/>
          <w:highlight w:val="none"/>
        </w:rPr>
        <w:fldChar w:fldCharType="begin"/>
      </w:r>
      <w:r>
        <w:rPr>
          <w:color w:val="auto"/>
          <w:highlight w:val="none"/>
        </w:rPr>
        <w:instrText xml:space="preserve"> PAGEREF _Toc12050 \h </w:instrText>
      </w:r>
      <w:r>
        <w:rPr>
          <w:color w:val="auto"/>
          <w:highlight w:val="none"/>
        </w:rPr>
        <w:fldChar w:fldCharType="separate"/>
      </w:r>
      <w:r>
        <w:rPr>
          <w:color w:val="auto"/>
          <w:highlight w:val="none"/>
        </w:rPr>
        <w:t>34</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b w:val="0"/>
          <w:bCs w:val="0"/>
          <w:color w:val="auto"/>
          <w:highlight w:val="none"/>
        </w:rPr>
      </w:pPr>
      <w:r>
        <w:rPr>
          <w:rFonts w:hint="eastAsia" w:ascii="宋体" w:hAnsi="宋体" w:eastAsia="宋体" w:cs="宋体"/>
          <w:b w:val="0"/>
          <w:bCs w:val="0"/>
          <w:color w:val="auto"/>
          <w:szCs w:val="52"/>
          <w:highlight w:val="none"/>
        </w:rPr>
        <w:fldChar w:fldCharType="begin"/>
      </w:r>
      <w:r>
        <w:rPr>
          <w:rFonts w:hint="eastAsia" w:ascii="宋体" w:hAnsi="宋体" w:eastAsia="宋体" w:cs="宋体"/>
          <w:b w:val="0"/>
          <w:bCs w:val="0"/>
          <w:color w:val="auto"/>
          <w:szCs w:val="52"/>
          <w:highlight w:val="none"/>
        </w:rPr>
        <w:instrText xml:space="preserve"> HYPERLINK \l _Toc26791 </w:instrText>
      </w:r>
      <w:r>
        <w:rPr>
          <w:rFonts w:hint="eastAsia" w:ascii="宋体" w:hAnsi="宋体" w:eastAsia="宋体" w:cs="宋体"/>
          <w:b w:val="0"/>
          <w:bCs w:val="0"/>
          <w:color w:val="auto"/>
          <w:szCs w:val="52"/>
          <w:highlight w:val="none"/>
        </w:rPr>
        <w:fldChar w:fldCharType="separate"/>
      </w:r>
      <w:r>
        <w:rPr>
          <w:rFonts w:hint="eastAsia" w:ascii="宋体" w:hAnsi="宋体" w:eastAsia="宋体" w:cs="宋体"/>
          <w:b w:val="0"/>
          <w:bCs w:val="0"/>
          <w:color w:val="auto"/>
          <w:highlight w:val="none"/>
          <w:lang w:val="en-US" w:eastAsia="zh-CN"/>
        </w:rPr>
        <w:t>一、项目概况</w:t>
      </w:r>
      <w:r>
        <w:rPr>
          <w:rFonts w:hint="eastAsia" w:ascii="宋体" w:hAnsi="宋体" w:eastAsia="宋体" w:cs="宋体"/>
          <w:b w:val="0"/>
          <w:bCs w:val="0"/>
          <w:color w:val="auto"/>
          <w:highlight w:val="none"/>
        </w:rPr>
        <w:tab/>
      </w: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PAGEREF _Toc26791 \h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t>34</w:t>
      </w:r>
      <w:r>
        <w:rPr>
          <w:rFonts w:hint="eastAsia" w:ascii="宋体" w:hAnsi="宋体" w:eastAsia="宋体" w:cs="宋体"/>
          <w:b w:val="0"/>
          <w:bCs w:val="0"/>
          <w:color w:val="auto"/>
          <w:highlight w:val="none"/>
        </w:rPr>
        <w:fldChar w:fldCharType="end"/>
      </w:r>
      <w:r>
        <w:rPr>
          <w:rFonts w:hint="eastAsia" w:ascii="宋体" w:hAnsi="宋体" w:eastAsia="宋体" w:cs="宋体"/>
          <w:b w:val="0"/>
          <w:bCs w:val="0"/>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b w:val="0"/>
          <w:bCs w:val="0"/>
          <w:color w:val="auto"/>
          <w:highlight w:val="none"/>
        </w:rPr>
      </w:pPr>
      <w:r>
        <w:rPr>
          <w:rFonts w:hint="eastAsia" w:ascii="宋体" w:hAnsi="宋体" w:eastAsia="宋体" w:cs="宋体"/>
          <w:b w:val="0"/>
          <w:bCs w:val="0"/>
          <w:color w:val="auto"/>
          <w:szCs w:val="52"/>
          <w:highlight w:val="none"/>
        </w:rPr>
        <w:fldChar w:fldCharType="begin"/>
      </w:r>
      <w:r>
        <w:rPr>
          <w:rFonts w:hint="eastAsia" w:ascii="宋体" w:hAnsi="宋体" w:eastAsia="宋体" w:cs="宋体"/>
          <w:b w:val="0"/>
          <w:bCs w:val="0"/>
          <w:color w:val="auto"/>
          <w:szCs w:val="52"/>
          <w:highlight w:val="none"/>
        </w:rPr>
        <w:instrText xml:space="preserve"> HYPERLINK \l _Toc10765 </w:instrText>
      </w:r>
      <w:r>
        <w:rPr>
          <w:rFonts w:hint="eastAsia" w:ascii="宋体" w:hAnsi="宋体" w:eastAsia="宋体" w:cs="宋体"/>
          <w:b w:val="0"/>
          <w:bCs w:val="0"/>
          <w:color w:val="auto"/>
          <w:szCs w:val="52"/>
          <w:highlight w:val="none"/>
        </w:rPr>
        <w:fldChar w:fldCharType="separate"/>
      </w:r>
      <w:r>
        <w:rPr>
          <w:rFonts w:hint="eastAsia" w:ascii="宋体" w:hAnsi="宋体" w:eastAsia="宋体" w:cs="宋体"/>
          <w:b w:val="0"/>
          <w:bCs w:val="0"/>
          <w:color w:val="auto"/>
          <w:highlight w:val="none"/>
          <w:lang w:val="en-US" w:eastAsia="zh-CN"/>
        </w:rPr>
        <w:t>二、管理制度</w:t>
      </w:r>
      <w:r>
        <w:rPr>
          <w:rFonts w:hint="eastAsia" w:ascii="宋体" w:hAnsi="宋体" w:eastAsia="宋体" w:cs="宋体"/>
          <w:b w:val="0"/>
          <w:bCs w:val="0"/>
          <w:color w:val="auto"/>
          <w:highlight w:val="none"/>
        </w:rPr>
        <w:tab/>
      </w: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PAGEREF _Toc10765 \h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t>34</w:t>
      </w:r>
      <w:r>
        <w:rPr>
          <w:rFonts w:hint="eastAsia" w:ascii="宋体" w:hAnsi="宋体" w:eastAsia="宋体" w:cs="宋体"/>
          <w:b w:val="0"/>
          <w:bCs w:val="0"/>
          <w:color w:val="auto"/>
          <w:highlight w:val="none"/>
        </w:rPr>
        <w:fldChar w:fldCharType="end"/>
      </w:r>
      <w:r>
        <w:rPr>
          <w:rFonts w:hint="eastAsia" w:ascii="宋体" w:hAnsi="宋体" w:eastAsia="宋体" w:cs="宋体"/>
          <w:b w:val="0"/>
          <w:bCs w:val="0"/>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b w:val="0"/>
          <w:bCs w:val="0"/>
          <w:color w:val="auto"/>
          <w:highlight w:val="none"/>
        </w:rPr>
      </w:pPr>
      <w:r>
        <w:rPr>
          <w:rFonts w:hint="eastAsia" w:ascii="宋体" w:hAnsi="宋体" w:eastAsia="宋体" w:cs="宋体"/>
          <w:b w:val="0"/>
          <w:bCs w:val="0"/>
          <w:color w:val="auto"/>
          <w:szCs w:val="52"/>
          <w:highlight w:val="none"/>
        </w:rPr>
        <w:fldChar w:fldCharType="begin"/>
      </w:r>
      <w:r>
        <w:rPr>
          <w:rFonts w:hint="eastAsia" w:ascii="宋体" w:hAnsi="宋体" w:eastAsia="宋体" w:cs="宋体"/>
          <w:b w:val="0"/>
          <w:bCs w:val="0"/>
          <w:color w:val="auto"/>
          <w:szCs w:val="52"/>
          <w:highlight w:val="none"/>
        </w:rPr>
        <w:instrText xml:space="preserve"> HYPERLINK \l _Toc11104 </w:instrText>
      </w:r>
      <w:r>
        <w:rPr>
          <w:rFonts w:hint="eastAsia" w:ascii="宋体" w:hAnsi="宋体" w:eastAsia="宋体" w:cs="宋体"/>
          <w:b w:val="0"/>
          <w:bCs w:val="0"/>
          <w:color w:val="auto"/>
          <w:szCs w:val="52"/>
          <w:highlight w:val="none"/>
        </w:rPr>
        <w:fldChar w:fldCharType="separate"/>
      </w:r>
      <w:r>
        <w:rPr>
          <w:rFonts w:hint="eastAsia" w:ascii="宋体" w:hAnsi="宋体" w:eastAsia="宋体" w:cs="宋体"/>
          <w:b w:val="0"/>
          <w:bCs w:val="0"/>
          <w:color w:val="auto"/>
          <w:kern w:val="2"/>
          <w:highlight w:val="none"/>
          <w:lang w:val="en-US" w:eastAsia="zh-CN" w:bidi="ar-SA"/>
        </w:rPr>
        <w:t>三、道德要求</w:t>
      </w:r>
      <w:r>
        <w:rPr>
          <w:rFonts w:hint="eastAsia" w:ascii="宋体" w:hAnsi="宋体" w:eastAsia="宋体" w:cs="宋体"/>
          <w:b w:val="0"/>
          <w:bCs w:val="0"/>
          <w:color w:val="auto"/>
          <w:highlight w:val="none"/>
        </w:rPr>
        <w:tab/>
      </w: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PAGEREF _Toc11104 \h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t>34</w:t>
      </w:r>
      <w:r>
        <w:rPr>
          <w:rFonts w:hint="eastAsia" w:ascii="宋体" w:hAnsi="宋体" w:eastAsia="宋体" w:cs="宋体"/>
          <w:b w:val="0"/>
          <w:bCs w:val="0"/>
          <w:color w:val="auto"/>
          <w:highlight w:val="none"/>
        </w:rPr>
        <w:fldChar w:fldCharType="end"/>
      </w:r>
      <w:r>
        <w:rPr>
          <w:rFonts w:hint="eastAsia" w:ascii="宋体" w:hAnsi="宋体" w:eastAsia="宋体" w:cs="宋体"/>
          <w:b w:val="0"/>
          <w:bCs w:val="0"/>
          <w:color w:val="auto"/>
          <w:szCs w:val="52"/>
          <w:highlight w:val="none"/>
        </w:rPr>
        <w:fldChar w:fldCharType="end"/>
      </w:r>
    </w:p>
    <w:p>
      <w:pPr>
        <w:pStyle w:val="22"/>
        <w:tabs>
          <w:tab w:val="right" w:leader="dot" w:pos="9746"/>
          <w:tab w:val="clear" w:pos="9628"/>
        </w:tabs>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_Toc26370 </w:instrText>
      </w:r>
      <w:r>
        <w:rPr>
          <w:rFonts w:hint="eastAsia" w:ascii="宋体" w:hAnsi="宋体" w:eastAsia="宋体"/>
          <w:bCs/>
          <w:color w:val="auto"/>
          <w:szCs w:val="52"/>
          <w:highlight w:val="none"/>
        </w:rPr>
        <w:fldChar w:fldCharType="separate"/>
      </w:r>
      <w:r>
        <w:rPr>
          <w:rFonts w:hint="eastAsia" w:ascii="黑体" w:hAnsi="黑体" w:eastAsia="黑体" w:cs="黑体"/>
          <w:bCs/>
          <w:color w:val="auto"/>
          <w:szCs w:val="52"/>
          <w:highlight w:val="none"/>
        </w:rPr>
        <w:t>第</w:t>
      </w:r>
      <w:r>
        <w:rPr>
          <w:rFonts w:hint="eastAsia" w:ascii="黑体" w:hAnsi="黑体" w:eastAsia="黑体" w:cs="黑体"/>
          <w:bCs/>
          <w:color w:val="auto"/>
          <w:szCs w:val="52"/>
          <w:highlight w:val="none"/>
          <w:lang w:val="en-US" w:eastAsia="zh-CN"/>
        </w:rPr>
        <w:t>五</w:t>
      </w:r>
      <w:r>
        <w:rPr>
          <w:rFonts w:hint="eastAsia" w:ascii="黑体" w:hAnsi="黑体" w:eastAsia="黑体" w:cs="黑体"/>
          <w:bCs/>
          <w:color w:val="auto"/>
          <w:szCs w:val="52"/>
          <w:highlight w:val="none"/>
        </w:rPr>
        <w:t>章 合同格式及主要条款</w:t>
      </w:r>
      <w:r>
        <w:rPr>
          <w:color w:val="auto"/>
          <w:highlight w:val="none"/>
        </w:rPr>
        <w:tab/>
      </w:r>
      <w:r>
        <w:rPr>
          <w:color w:val="auto"/>
          <w:highlight w:val="none"/>
        </w:rPr>
        <w:fldChar w:fldCharType="begin"/>
      </w:r>
      <w:r>
        <w:rPr>
          <w:color w:val="auto"/>
          <w:highlight w:val="none"/>
        </w:rPr>
        <w:instrText xml:space="preserve"> PAGEREF _Toc26370 \h </w:instrText>
      </w:r>
      <w:r>
        <w:rPr>
          <w:color w:val="auto"/>
          <w:highlight w:val="none"/>
        </w:rPr>
        <w:fldChar w:fldCharType="separate"/>
      </w:r>
      <w:r>
        <w:rPr>
          <w:color w:val="auto"/>
          <w:highlight w:val="none"/>
        </w:rPr>
        <w:t>35</w:t>
      </w:r>
      <w:r>
        <w:rPr>
          <w:color w:val="auto"/>
          <w:highlight w:val="none"/>
        </w:rPr>
        <w:fldChar w:fldCharType="end"/>
      </w:r>
      <w:r>
        <w:rPr>
          <w:rFonts w:hint="eastAsia" w:ascii="宋体" w:hAnsi="宋体" w:eastAsia="宋体"/>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_Toc1205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一、项目概况</w:t>
      </w:r>
      <w:r>
        <w:rPr>
          <w:b w:val="0"/>
          <w:bCs/>
          <w:color w:val="auto"/>
          <w:highlight w:val="none"/>
        </w:rPr>
        <w:tab/>
      </w:r>
      <w:r>
        <w:rPr>
          <w:b w:val="0"/>
          <w:bCs/>
          <w:color w:val="auto"/>
          <w:highlight w:val="none"/>
        </w:rPr>
        <w:fldChar w:fldCharType="begin"/>
      </w:r>
      <w:r>
        <w:rPr>
          <w:b w:val="0"/>
          <w:bCs/>
          <w:color w:val="auto"/>
          <w:highlight w:val="none"/>
        </w:rPr>
        <w:instrText xml:space="preserve"> PAGEREF _Toc1205 \h </w:instrText>
      </w:r>
      <w:r>
        <w:rPr>
          <w:b w:val="0"/>
          <w:bCs/>
          <w:color w:val="auto"/>
          <w:highlight w:val="none"/>
        </w:rPr>
        <w:fldChar w:fldCharType="separate"/>
      </w:r>
      <w:r>
        <w:rPr>
          <w:b w:val="0"/>
          <w:bCs/>
          <w:color w:val="auto"/>
          <w:highlight w:val="none"/>
        </w:rPr>
        <w:t>36</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_Toc19332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二、服务期限及内容</w:t>
      </w:r>
      <w:r>
        <w:rPr>
          <w:b w:val="0"/>
          <w:bCs/>
          <w:color w:val="auto"/>
          <w:highlight w:val="none"/>
        </w:rPr>
        <w:tab/>
      </w:r>
      <w:r>
        <w:rPr>
          <w:b w:val="0"/>
          <w:bCs/>
          <w:color w:val="auto"/>
          <w:highlight w:val="none"/>
        </w:rPr>
        <w:fldChar w:fldCharType="begin"/>
      </w:r>
      <w:r>
        <w:rPr>
          <w:b w:val="0"/>
          <w:bCs/>
          <w:color w:val="auto"/>
          <w:highlight w:val="none"/>
        </w:rPr>
        <w:instrText xml:space="preserve"> PAGEREF _Toc19332 \h </w:instrText>
      </w:r>
      <w:r>
        <w:rPr>
          <w:b w:val="0"/>
          <w:bCs/>
          <w:color w:val="auto"/>
          <w:highlight w:val="none"/>
        </w:rPr>
        <w:fldChar w:fldCharType="separate"/>
      </w:r>
      <w:r>
        <w:rPr>
          <w:b w:val="0"/>
          <w:bCs/>
          <w:color w:val="auto"/>
          <w:highlight w:val="none"/>
        </w:rPr>
        <w:t>36</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_Toc8789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三、适用法律</w:t>
      </w:r>
      <w:r>
        <w:rPr>
          <w:b w:val="0"/>
          <w:bCs/>
          <w:color w:val="auto"/>
          <w:highlight w:val="none"/>
        </w:rPr>
        <w:tab/>
      </w:r>
      <w:r>
        <w:rPr>
          <w:b w:val="0"/>
          <w:bCs/>
          <w:color w:val="auto"/>
          <w:highlight w:val="none"/>
        </w:rPr>
        <w:fldChar w:fldCharType="begin"/>
      </w:r>
      <w:r>
        <w:rPr>
          <w:b w:val="0"/>
          <w:bCs/>
          <w:color w:val="auto"/>
          <w:highlight w:val="none"/>
        </w:rPr>
        <w:instrText xml:space="preserve"> PAGEREF _Toc8789 \h </w:instrText>
      </w:r>
      <w:r>
        <w:rPr>
          <w:b w:val="0"/>
          <w:bCs/>
          <w:color w:val="auto"/>
          <w:highlight w:val="none"/>
        </w:rPr>
        <w:fldChar w:fldCharType="separate"/>
      </w:r>
      <w:r>
        <w:rPr>
          <w:b w:val="0"/>
          <w:bCs/>
          <w:color w:val="auto"/>
          <w:highlight w:val="none"/>
        </w:rPr>
        <w:t>37</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_Toc15190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四、委托人代表与受托人项目组</w:t>
      </w:r>
      <w:r>
        <w:rPr>
          <w:b w:val="0"/>
          <w:bCs/>
          <w:color w:val="auto"/>
          <w:highlight w:val="none"/>
        </w:rPr>
        <w:tab/>
      </w:r>
      <w:r>
        <w:rPr>
          <w:b w:val="0"/>
          <w:bCs/>
          <w:color w:val="auto"/>
          <w:highlight w:val="none"/>
        </w:rPr>
        <w:fldChar w:fldCharType="begin"/>
      </w:r>
      <w:r>
        <w:rPr>
          <w:b w:val="0"/>
          <w:bCs/>
          <w:color w:val="auto"/>
          <w:highlight w:val="none"/>
        </w:rPr>
        <w:instrText xml:space="preserve"> PAGEREF _Toc15190 \h </w:instrText>
      </w:r>
      <w:r>
        <w:rPr>
          <w:b w:val="0"/>
          <w:bCs/>
          <w:color w:val="auto"/>
          <w:highlight w:val="none"/>
        </w:rPr>
        <w:fldChar w:fldCharType="separate"/>
      </w:r>
      <w:r>
        <w:rPr>
          <w:b w:val="0"/>
          <w:bCs/>
          <w:color w:val="auto"/>
          <w:highlight w:val="none"/>
        </w:rPr>
        <w:t>37</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_Toc31331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五、委托人的权利和义务</w:t>
      </w:r>
      <w:r>
        <w:rPr>
          <w:b w:val="0"/>
          <w:bCs/>
          <w:color w:val="auto"/>
          <w:highlight w:val="none"/>
        </w:rPr>
        <w:tab/>
      </w:r>
      <w:r>
        <w:rPr>
          <w:b w:val="0"/>
          <w:bCs/>
          <w:color w:val="auto"/>
          <w:highlight w:val="none"/>
        </w:rPr>
        <w:fldChar w:fldCharType="begin"/>
      </w:r>
      <w:r>
        <w:rPr>
          <w:b w:val="0"/>
          <w:bCs/>
          <w:color w:val="auto"/>
          <w:highlight w:val="none"/>
        </w:rPr>
        <w:instrText xml:space="preserve"> PAGEREF _Toc31331 \h </w:instrText>
      </w:r>
      <w:r>
        <w:rPr>
          <w:b w:val="0"/>
          <w:bCs/>
          <w:color w:val="auto"/>
          <w:highlight w:val="none"/>
        </w:rPr>
        <w:fldChar w:fldCharType="separate"/>
      </w:r>
      <w:r>
        <w:rPr>
          <w:b w:val="0"/>
          <w:bCs/>
          <w:color w:val="auto"/>
          <w:highlight w:val="none"/>
        </w:rPr>
        <w:t>38</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_Toc14273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六、受托人的权利和义务</w:t>
      </w:r>
      <w:r>
        <w:rPr>
          <w:b w:val="0"/>
          <w:bCs/>
          <w:color w:val="auto"/>
          <w:highlight w:val="none"/>
        </w:rPr>
        <w:tab/>
      </w:r>
      <w:r>
        <w:rPr>
          <w:b w:val="0"/>
          <w:bCs/>
          <w:color w:val="auto"/>
          <w:highlight w:val="none"/>
        </w:rPr>
        <w:fldChar w:fldCharType="begin"/>
      </w:r>
      <w:r>
        <w:rPr>
          <w:b w:val="0"/>
          <w:bCs/>
          <w:color w:val="auto"/>
          <w:highlight w:val="none"/>
        </w:rPr>
        <w:instrText xml:space="preserve"> PAGEREF _Toc14273 \h </w:instrText>
      </w:r>
      <w:r>
        <w:rPr>
          <w:b w:val="0"/>
          <w:bCs/>
          <w:color w:val="auto"/>
          <w:highlight w:val="none"/>
        </w:rPr>
        <w:fldChar w:fldCharType="separate"/>
      </w:r>
      <w:r>
        <w:rPr>
          <w:b w:val="0"/>
          <w:bCs/>
          <w:color w:val="auto"/>
          <w:highlight w:val="none"/>
        </w:rPr>
        <w:t>39</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_Toc1545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七、委托代理报酬与收取</w:t>
      </w:r>
      <w:r>
        <w:rPr>
          <w:b w:val="0"/>
          <w:bCs/>
          <w:color w:val="auto"/>
          <w:highlight w:val="none"/>
        </w:rPr>
        <w:tab/>
      </w:r>
      <w:r>
        <w:rPr>
          <w:b w:val="0"/>
          <w:bCs/>
          <w:color w:val="auto"/>
          <w:highlight w:val="none"/>
        </w:rPr>
        <w:fldChar w:fldCharType="begin"/>
      </w:r>
      <w:r>
        <w:rPr>
          <w:b w:val="0"/>
          <w:bCs/>
          <w:color w:val="auto"/>
          <w:highlight w:val="none"/>
        </w:rPr>
        <w:instrText xml:space="preserve"> PAGEREF _Toc1545 \h </w:instrText>
      </w:r>
      <w:r>
        <w:rPr>
          <w:b w:val="0"/>
          <w:bCs/>
          <w:color w:val="auto"/>
          <w:highlight w:val="none"/>
        </w:rPr>
        <w:fldChar w:fldCharType="separate"/>
      </w:r>
      <w:r>
        <w:rPr>
          <w:b w:val="0"/>
          <w:bCs/>
          <w:color w:val="auto"/>
          <w:highlight w:val="none"/>
        </w:rPr>
        <w:t>40</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_Toc26170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八、保密</w:t>
      </w:r>
      <w:r>
        <w:rPr>
          <w:b w:val="0"/>
          <w:bCs/>
          <w:color w:val="auto"/>
          <w:highlight w:val="none"/>
        </w:rPr>
        <w:tab/>
      </w:r>
      <w:r>
        <w:rPr>
          <w:b w:val="0"/>
          <w:bCs/>
          <w:color w:val="auto"/>
          <w:highlight w:val="none"/>
        </w:rPr>
        <w:fldChar w:fldCharType="begin"/>
      </w:r>
      <w:r>
        <w:rPr>
          <w:b w:val="0"/>
          <w:bCs/>
          <w:color w:val="auto"/>
          <w:highlight w:val="none"/>
        </w:rPr>
        <w:instrText xml:space="preserve"> PAGEREF _Toc26170 \h </w:instrText>
      </w:r>
      <w:r>
        <w:rPr>
          <w:b w:val="0"/>
          <w:bCs/>
          <w:color w:val="auto"/>
          <w:highlight w:val="none"/>
        </w:rPr>
        <w:fldChar w:fldCharType="separate"/>
      </w:r>
      <w:r>
        <w:rPr>
          <w:b w:val="0"/>
          <w:bCs/>
          <w:color w:val="auto"/>
          <w:highlight w:val="none"/>
        </w:rPr>
        <w:t>42</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_Toc2552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九、违约责任</w:t>
      </w:r>
      <w:r>
        <w:rPr>
          <w:b w:val="0"/>
          <w:bCs/>
          <w:color w:val="auto"/>
          <w:highlight w:val="none"/>
        </w:rPr>
        <w:tab/>
      </w:r>
      <w:r>
        <w:rPr>
          <w:b w:val="0"/>
          <w:bCs/>
          <w:color w:val="auto"/>
          <w:highlight w:val="none"/>
        </w:rPr>
        <w:fldChar w:fldCharType="begin"/>
      </w:r>
      <w:r>
        <w:rPr>
          <w:b w:val="0"/>
          <w:bCs/>
          <w:color w:val="auto"/>
          <w:highlight w:val="none"/>
        </w:rPr>
        <w:instrText xml:space="preserve"> PAGEREF _Toc2552 \h </w:instrText>
      </w:r>
      <w:r>
        <w:rPr>
          <w:b w:val="0"/>
          <w:bCs/>
          <w:color w:val="auto"/>
          <w:highlight w:val="none"/>
        </w:rPr>
        <w:fldChar w:fldCharType="separate"/>
      </w:r>
      <w:r>
        <w:rPr>
          <w:b w:val="0"/>
          <w:bCs/>
          <w:color w:val="auto"/>
          <w:highlight w:val="none"/>
        </w:rPr>
        <w:t>42</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_Toc8573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十、合同变更与终止</w:t>
      </w:r>
      <w:r>
        <w:rPr>
          <w:b w:val="0"/>
          <w:bCs/>
          <w:color w:val="auto"/>
          <w:highlight w:val="none"/>
        </w:rPr>
        <w:tab/>
      </w:r>
      <w:r>
        <w:rPr>
          <w:b w:val="0"/>
          <w:bCs/>
          <w:color w:val="auto"/>
          <w:highlight w:val="none"/>
        </w:rPr>
        <w:fldChar w:fldCharType="begin"/>
      </w:r>
      <w:r>
        <w:rPr>
          <w:b w:val="0"/>
          <w:bCs/>
          <w:color w:val="auto"/>
          <w:highlight w:val="none"/>
        </w:rPr>
        <w:instrText xml:space="preserve"> PAGEREF _Toc8573 \h </w:instrText>
      </w:r>
      <w:r>
        <w:rPr>
          <w:b w:val="0"/>
          <w:bCs/>
          <w:color w:val="auto"/>
          <w:highlight w:val="none"/>
        </w:rPr>
        <w:fldChar w:fldCharType="separate"/>
      </w:r>
      <w:r>
        <w:rPr>
          <w:b w:val="0"/>
          <w:bCs/>
          <w:color w:val="auto"/>
          <w:highlight w:val="none"/>
        </w:rPr>
        <w:t>43</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_Toc9121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十一、索赔</w:t>
      </w:r>
      <w:r>
        <w:rPr>
          <w:b w:val="0"/>
          <w:bCs/>
          <w:color w:val="auto"/>
          <w:highlight w:val="none"/>
        </w:rPr>
        <w:tab/>
      </w:r>
      <w:r>
        <w:rPr>
          <w:b w:val="0"/>
          <w:bCs/>
          <w:color w:val="auto"/>
          <w:highlight w:val="none"/>
        </w:rPr>
        <w:fldChar w:fldCharType="begin"/>
      </w:r>
      <w:r>
        <w:rPr>
          <w:b w:val="0"/>
          <w:bCs/>
          <w:color w:val="auto"/>
          <w:highlight w:val="none"/>
        </w:rPr>
        <w:instrText xml:space="preserve"> PAGEREF _Toc9121 \h </w:instrText>
      </w:r>
      <w:r>
        <w:rPr>
          <w:b w:val="0"/>
          <w:bCs/>
          <w:color w:val="auto"/>
          <w:highlight w:val="none"/>
        </w:rPr>
        <w:fldChar w:fldCharType="separate"/>
      </w:r>
      <w:r>
        <w:rPr>
          <w:b w:val="0"/>
          <w:bCs/>
          <w:color w:val="auto"/>
          <w:highlight w:val="none"/>
        </w:rPr>
        <w:t>45</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_Toc4176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十二、争议解决</w:t>
      </w:r>
      <w:r>
        <w:rPr>
          <w:b w:val="0"/>
          <w:bCs/>
          <w:color w:val="auto"/>
          <w:highlight w:val="none"/>
        </w:rPr>
        <w:tab/>
      </w:r>
      <w:r>
        <w:rPr>
          <w:b w:val="0"/>
          <w:bCs/>
          <w:color w:val="auto"/>
          <w:highlight w:val="none"/>
        </w:rPr>
        <w:fldChar w:fldCharType="begin"/>
      </w:r>
      <w:r>
        <w:rPr>
          <w:b w:val="0"/>
          <w:bCs/>
          <w:color w:val="auto"/>
          <w:highlight w:val="none"/>
        </w:rPr>
        <w:instrText xml:space="preserve"> PAGEREF _Toc4176 \h </w:instrText>
      </w:r>
      <w:r>
        <w:rPr>
          <w:b w:val="0"/>
          <w:bCs/>
          <w:color w:val="auto"/>
          <w:highlight w:val="none"/>
        </w:rPr>
        <w:fldChar w:fldCharType="separate"/>
      </w:r>
      <w:r>
        <w:rPr>
          <w:b w:val="0"/>
          <w:bCs/>
          <w:color w:val="auto"/>
          <w:highlight w:val="none"/>
        </w:rPr>
        <w:t>45</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_Toc18784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十三、其他</w:t>
      </w:r>
      <w:r>
        <w:rPr>
          <w:b w:val="0"/>
          <w:bCs/>
          <w:color w:val="auto"/>
          <w:highlight w:val="none"/>
        </w:rPr>
        <w:tab/>
      </w:r>
      <w:r>
        <w:rPr>
          <w:b w:val="0"/>
          <w:bCs/>
          <w:color w:val="auto"/>
          <w:highlight w:val="none"/>
        </w:rPr>
        <w:fldChar w:fldCharType="begin"/>
      </w:r>
      <w:r>
        <w:rPr>
          <w:b w:val="0"/>
          <w:bCs/>
          <w:color w:val="auto"/>
          <w:highlight w:val="none"/>
        </w:rPr>
        <w:instrText xml:space="preserve"> PAGEREF _Toc18784 \h </w:instrText>
      </w:r>
      <w:r>
        <w:rPr>
          <w:b w:val="0"/>
          <w:bCs/>
          <w:color w:val="auto"/>
          <w:highlight w:val="none"/>
        </w:rPr>
        <w:fldChar w:fldCharType="separate"/>
      </w:r>
      <w:r>
        <w:rPr>
          <w:b w:val="0"/>
          <w:bCs/>
          <w:color w:val="auto"/>
          <w:highlight w:val="none"/>
        </w:rPr>
        <w:t>46</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_Toc22407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十四、合同订立</w:t>
      </w:r>
      <w:r>
        <w:rPr>
          <w:b w:val="0"/>
          <w:bCs/>
          <w:color w:val="auto"/>
          <w:highlight w:val="none"/>
        </w:rPr>
        <w:tab/>
      </w:r>
      <w:r>
        <w:rPr>
          <w:b w:val="0"/>
          <w:bCs/>
          <w:color w:val="auto"/>
          <w:highlight w:val="none"/>
        </w:rPr>
        <w:fldChar w:fldCharType="begin"/>
      </w:r>
      <w:r>
        <w:rPr>
          <w:b w:val="0"/>
          <w:bCs/>
          <w:color w:val="auto"/>
          <w:highlight w:val="none"/>
        </w:rPr>
        <w:instrText xml:space="preserve"> PAGEREF _Toc22407 \h </w:instrText>
      </w:r>
      <w:r>
        <w:rPr>
          <w:b w:val="0"/>
          <w:bCs/>
          <w:color w:val="auto"/>
          <w:highlight w:val="none"/>
        </w:rPr>
        <w:fldChar w:fldCharType="separate"/>
      </w:r>
      <w:r>
        <w:rPr>
          <w:b w:val="0"/>
          <w:bCs/>
          <w:color w:val="auto"/>
          <w:highlight w:val="none"/>
        </w:rPr>
        <w:t>46</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keepNext w:val="0"/>
        <w:keepLines w:val="0"/>
        <w:pageBreakBefore w:val="0"/>
        <w:widowControl w:val="0"/>
        <w:tabs>
          <w:tab w:val="right" w:leader="dot" w:pos="9746"/>
          <w:tab w:val="clear" w:pos="9628"/>
        </w:tabs>
        <w:kinsoku/>
        <w:wordWrap/>
        <w:overflowPunct/>
        <w:topLinePunct w:val="0"/>
        <w:autoSpaceDE/>
        <w:autoSpaceDN/>
        <w:bidi w:val="0"/>
        <w:adjustRightInd/>
        <w:snapToGrid/>
        <w:ind w:firstLine="400" w:firstLineChars="200"/>
        <w:textAlignment w:val="auto"/>
        <w:rPr>
          <w:b w:val="0"/>
          <w:bCs/>
          <w:color w:val="auto"/>
          <w:highlight w:val="none"/>
        </w:rPr>
      </w:pPr>
      <w:r>
        <w:rPr>
          <w:rFonts w:hint="eastAsia" w:ascii="宋体" w:hAnsi="宋体" w:eastAsia="宋体"/>
          <w:b w:val="0"/>
          <w:bCs/>
          <w:color w:val="auto"/>
          <w:szCs w:val="52"/>
          <w:highlight w:val="none"/>
        </w:rPr>
        <w:fldChar w:fldCharType="begin"/>
      </w:r>
      <w:r>
        <w:rPr>
          <w:rFonts w:hint="eastAsia" w:ascii="宋体" w:hAnsi="宋体" w:eastAsia="宋体"/>
          <w:b w:val="0"/>
          <w:bCs/>
          <w:color w:val="auto"/>
          <w:szCs w:val="52"/>
          <w:highlight w:val="none"/>
        </w:rPr>
        <w:instrText xml:space="preserve"> HYPERLINK \l _Toc7422 </w:instrText>
      </w:r>
      <w:r>
        <w:rPr>
          <w:rFonts w:hint="eastAsia" w:ascii="宋体" w:hAnsi="宋体" w:eastAsia="宋体"/>
          <w:b w:val="0"/>
          <w:bCs/>
          <w:color w:val="auto"/>
          <w:szCs w:val="52"/>
          <w:highlight w:val="none"/>
        </w:rPr>
        <w:fldChar w:fldCharType="separate"/>
      </w:r>
      <w:r>
        <w:rPr>
          <w:rFonts w:hint="eastAsia" w:ascii="宋体" w:hAnsi="宋体" w:eastAsia="宋体" w:cs="宋体"/>
          <w:b w:val="0"/>
          <w:bCs/>
          <w:color w:val="auto"/>
          <w:szCs w:val="21"/>
          <w:highlight w:val="none"/>
          <w:lang w:eastAsia="zh-CN"/>
        </w:rPr>
        <w:t>十五、合同生效</w:t>
      </w:r>
      <w:r>
        <w:rPr>
          <w:b w:val="0"/>
          <w:bCs/>
          <w:color w:val="auto"/>
          <w:highlight w:val="none"/>
        </w:rPr>
        <w:tab/>
      </w:r>
      <w:r>
        <w:rPr>
          <w:b w:val="0"/>
          <w:bCs/>
          <w:color w:val="auto"/>
          <w:highlight w:val="none"/>
        </w:rPr>
        <w:fldChar w:fldCharType="begin"/>
      </w:r>
      <w:r>
        <w:rPr>
          <w:b w:val="0"/>
          <w:bCs/>
          <w:color w:val="auto"/>
          <w:highlight w:val="none"/>
        </w:rPr>
        <w:instrText xml:space="preserve"> PAGEREF _Toc7422 \h </w:instrText>
      </w:r>
      <w:r>
        <w:rPr>
          <w:b w:val="0"/>
          <w:bCs/>
          <w:color w:val="auto"/>
          <w:highlight w:val="none"/>
        </w:rPr>
        <w:fldChar w:fldCharType="separate"/>
      </w:r>
      <w:r>
        <w:rPr>
          <w:b w:val="0"/>
          <w:bCs/>
          <w:color w:val="auto"/>
          <w:highlight w:val="none"/>
        </w:rPr>
        <w:t>46</w:t>
      </w:r>
      <w:r>
        <w:rPr>
          <w:b w:val="0"/>
          <w:bCs/>
          <w:color w:val="auto"/>
          <w:highlight w:val="none"/>
        </w:rPr>
        <w:fldChar w:fldCharType="end"/>
      </w:r>
      <w:r>
        <w:rPr>
          <w:rFonts w:hint="eastAsia" w:ascii="宋体" w:hAnsi="宋体" w:eastAsia="宋体"/>
          <w:b w:val="0"/>
          <w:bCs/>
          <w:color w:val="auto"/>
          <w:szCs w:val="52"/>
          <w:highlight w:val="none"/>
        </w:rPr>
        <w:fldChar w:fldCharType="end"/>
      </w:r>
    </w:p>
    <w:p>
      <w:pPr>
        <w:pStyle w:val="22"/>
        <w:tabs>
          <w:tab w:val="right" w:leader="dot" w:pos="9746"/>
          <w:tab w:val="clear" w:pos="9628"/>
        </w:tabs>
        <w:rPr>
          <w:color w:val="auto"/>
          <w:highlight w:val="none"/>
        </w:rPr>
      </w:pPr>
      <w:r>
        <w:rPr>
          <w:rFonts w:hint="eastAsia" w:ascii="宋体" w:hAnsi="宋体" w:eastAsia="宋体"/>
          <w:bCs/>
          <w:color w:val="auto"/>
          <w:szCs w:val="52"/>
          <w:highlight w:val="none"/>
        </w:rPr>
        <w:fldChar w:fldCharType="begin"/>
      </w:r>
      <w:r>
        <w:rPr>
          <w:rFonts w:hint="eastAsia" w:ascii="宋体" w:hAnsi="宋体" w:eastAsia="宋体"/>
          <w:bCs/>
          <w:color w:val="auto"/>
          <w:szCs w:val="52"/>
          <w:highlight w:val="none"/>
        </w:rPr>
        <w:instrText xml:space="preserve"> HYPERLINK \l _Toc26883 </w:instrText>
      </w:r>
      <w:r>
        <w:rPr>
          <w:rFonts w:hint="eastAsia" w:ascii="宋体" w:hAnsi="宋体" w:eastAsia="宋体"/>
          <w:bCs/>
          <w:color w:val="auto"/>
          <w:szCs w:val="52"/>
          <w:highlight w:val="none"/>
        </w:rPr>
        <w:fldChar w:fldCharType="separate"/>
      </w:r>
      <w:r>
        <w:rPr>
          <w:rFonts w:hint="eastAsia" w:ascii="黑体" w:hAnsi="黑体" w:eastAsia="黑体" w:cs="黑体"/>
          <w:vanish w:val="0"/>
          <w:color w:val="auto"/>
          <w:szCs w:val="52"/>
          <w:highlight w:val="none"/>
          <w:lang w:val="en-US" w:eastAsia="zh-CN"/>
        </w:rPr>
        <w:t>第</w:t>
      </w:r>
      <w:r>
        <w:rPr>
          <w:rFonts w:hint="eastAsia" w:ascii="黑体" w:hAnsi="黑体" w:eastAsia="黑体" w:cs="黑体"/>
          <w:color w:val="auto"/>
          <w:szCs w:val="52"/>
          <w:highlight w:val="none"/>
          <w:lang w:val="en-US" w:eastAsia="zh-CN"/>
        </w:rPr>
        <w:t>六</w:t>
      </w:r>
      <w:r>
        <w:rPr>
          <w:rFonts w:hint="eastAsia" w:ascii="黑体" w:hAnsi="黑体" w:eastAsia="黑体" w:cs="黑体"/>
          <w:vanish w:val="0"/>
          <w:color w:val="auto"/>
          <w:szCs w:val="52"/>
          <w:highlight w:val="none"/>
          <w:lang w:val="en-US" w:eastAsia="zh-CN"/>
        </w:rPr>
        <w:t>章  投标文件格式</w:t>
      </w:r>
      <w:r>
        <w:rPr>
          <w:color w:val="auto"/>
          <w:highlight w:val="none"/>
        </w:rPr>
        <w:tab/>
      </w:r>
      <w:r>
        <w:rPr>
          <w:color w:val="auto"/>
          <w:highlight w:val="none"/>
        </w:rPr>
        <w:fldChar w:fldCharType="begin"/>
      </w:r>
      <w:r>
        <w:rPr>
          <w:color w:val="auto"/>
          <w:highlight w:val="none"/>
        </w:rPr>
        <w:instrText xml:space="preserve"> PAGEREF _Toc26883 \h </w:instrText>
      </w:r>
      <w:r>
        <w:rPr>
          <w:color w:val="auto"/>
          <w:highlight w:val="none"/>
        </w:rPr>
        <w:fldChar w:fldCharType="separate"/>
      </w:r>
      <w:r>
        <w:rPr>
          <w:color w:val="auto"/>
          <w:highlight w:val="none"/>
        </w:rPr>
        <w:t>49</w:t>
      </w:r>
      <w:r>
        <w:rPr>
          <w:color w:val="auto"/>
          <w:highlight w:val="none"/>
        </w:rPr>
        <w:fldChar w:fldCharType="end"/>
      </w:r>
      <w:r>
        <w:rPr>
          <w:rFonts w:hint="eastAsia" w:ascii="宋体" w:hAnsi="宋体" w:eastAsia="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_Toc11052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szCs w:val="32"/>
          <w:highlight w:val="none"/>
          <w:lang w:eastAsia="zh-CN"/>
        </w:rPr>
        <w:t>一</w:t>
      </w:r>
      <w:r>
        <w:rPr>
          <w:rFonts w:hint="eastAsia" w:ascii="宋体" w:hAnsi="宋体" w:eastAsia="宋体" w:cs="宋体"/>
          <w:color w:val="auto"/>
          <w:szCs w:val="32"/>
          <w:highlight w:val="none"/>
        </w:rPr>
        <w:t>、</w:t>
      </w:r>
      <w:r>
        <w:rPr>
          <w:rFonts w:hint="eastAsia" w:ascii="宋体" w:hAnsi="宋体" w:eastAsia="宋体" w:cs="宋体"/>
          <w:color w:val="auto"/>
          <w:szCs w:val="32"/>
          <w:highlight w:val="none"/>
          <w:lang w:eastAsia="zh-CN"/>
        </w:rPr>
        <w:t>开标（唱标）</w:t>
      </w:r>
      <w:r>
        <w:rPr>
          <w:rFonts w:hint="eastAsia" w:ascii="宋体" w:hAnsi="宋体" w:eastAsia="宋体" w:cs="宋体"/>
          <w:color w:val="auto"/>
          <w:szCs w:val="32"/>
          <w:highlight w:val="none"/>
        </w:rPr>
        <w:t>一览表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_Toc11052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50</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_Toc16314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kern w:val="2"/>
          <w:szCs w:val="32"/>
          <w:highlight w:val="none"/>
          <w:lang w:val="en-US" w:eastAsia="zh-CN" w:bidi="ar-SA"/>
        </w:rPr>
        <w:t>二、资格审查资料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_Toc16314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51</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_Toc18404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szCs w:val="28"/>
          <w:highlight w:val="none"/>
          <w:lang w:val="en-US" w:eastAsia="zh-CN"/>
        </w:rPr>
        <w:t>（一）投标人基本情况表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_Toc18404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51</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_Toc6424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kern w:val="2"/>
          <w:szCs w:val="28"/>
          <w:highlight w:val="none"/>
          <w:lang w:val="en-US" w:eastAsia="zh-CN" w:bidi="ar-SA"/>
        </w:rPr>
        <w:t>（二）财务要求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_Toc6424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52</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_Toc30425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kern w:val="2"/>
          <w:szCs w:val="28"/>
          <w:highlight w:val="none"/>
          <w:lang w:val="en-US" w:eastAsia="zh-CN" w:bidi="ar-SA"/>
        </w:rPr>
        <w:t>（三）具有履行合同所必需的设备和专业技术能力</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_Toc30425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53</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_Toc32301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kern w:val="2"/>
          <w:szCs w:val="28"/>
          <w:highlight w:val="none"/>
          <w:lang w:val="en-US" w:eastAsia="zh-CN" w:bidi="ar-SA"/>
        </w:rPr>
        <w:t>（四）有依法缴纳税收的良好记录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_Toc32301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54</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_Toc2139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kern w:val="2"/>
          <w:szCs w:val="28"/>
          <w:highlight w:val="none"/>
          <w:lang w:val="en-US" w:eastAsia="zh-CN" w:bidi="ar-SA"/>
        </w:rPr>
        <w:t>（五）有依法缴纳社会保障资金的良好记录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_Toc2139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55</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_Toc17285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kern w:val="2"/>
          <w:szCs w:val="28"/>
          <w:highlight w:val="none"/>
          <w:lang w:val="en-US" w:eastAsia="zh-CN" w:bidi="ar-SA"/>
        </w:rPr>
        <w:t>（六）参加投标活动前三年内，在经营活动中没有重大违法记录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_Toc17285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56</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_Toc5717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kern w:val="2"/>
          <w:szCs w:val="28"/>
          <w:highlight w:val="none"/>
          <w:lang w:val="en-US" w:eastAsia="zh-CN" w:bidi="ar-SA"/>
        </w:rPr>
        <w:t>（七）法律、行政法规规定的其他条件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_Toc5717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57</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_Toc7337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kern w:val="2"/>
          <w:szCs w:val="28"/>
          <w:highlight w:val="none"/>
          <w:lang w:val="en-US" w:eastAsia="zh-CN" w:bidi="ar-SA"/>
        </w:rPr>
        <w:t>（八）本项目的特定资格要求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_Toc7337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58</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_Toc10837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kern w:val="2"/>
          <w:szCs w:val="28"/>
          <w:highlight w:val="none"/>
          <w:lang w:val="en-US" w:eastAsia="zh-CN" w:bidi="ar-SA"/>
        </w:rPr>
        <w:t>三、法定代表人身份证明书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_Toc10837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59</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_Toc2183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kern w:val="2"/>
          <w:szCs w:val="28"/>
          <w:highlight w:val="none"/>
          <w:lang w:val="en-US" w:eastAsia="zh-CN" w:bidi="ar-SA"/>
        </w:rPr>
        <w:t>四、授权委托书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_Toc2183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60</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_Toc23743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kern w:val="2"/>
          <w:szCs w:val="32"/>
          <w:highlight w:val="none"/>
          <w:lang w:val="en-US" w:eastAsia="zh-CN" w:bidi="ar-SA"/>
        </w:rPr>
        <w:t>五、商务部分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_Toc23743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_Toc18016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szCs w:val="28"/>
          <w:highlight w:val="none"/>
          <w:lang w:eastAsia="zh-CN"/>
        </w:rPr>
        <w:t>（一）</w:t>
      </w:r>
      <w:r>
        <w:rPr>
          <w:rFonts w:hint="eastAsia" w:ascii="宋体" w:hAnsi="宋体" w:eastAsia="宋体" w:cs="宋体"/>
          <w:color w:val="auto"/>
          <w:szCs w:val="28"/>
          <w:highlight w:val="none"/>
        </w:rPr>
        <w:t>投标函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_Toc18016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_Toc32402 </w:instrText>
      </w:r>
      <w:r>
        <w:rPr>
          <w:rFonts w:hint="eastAsia" w:ascii="宋体" w:hAnsi="宋体" w:eastAsia="宋体" w:cs="宋体"/>
          <w:bCs/>
          <w:color w:val="auto"/>
          <w:szCs w:val="52"/>
          <w:highlight w:val="none"/>
        </w:rPr>
        <w:fldChar w:fldCharType="separate"/>
      </w:r>
      <w:r>
        <w:rPr>
          <w:rFonts w:hint="eastAsia" w:ascii="宋体" w:hAnsi="宋体" w:eastAsia="宋体" w:cs="宋体"/>
          <w:bCs/>
          <w:color w:val="auto"/>
          <w:szCs w:val="22"/>
          <w:highlight w:val="none"/>
        </w:rPr>
        <w:t>（二）投标函附录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_Toc32402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62</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_Toc16111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kern w:val="2"/>
          <w:szCs w:val="32"/>
          <w:highlight w:val="none"/>
          <w:lang w:val="en-US" w:eastAsia="zh-CN" w:bidi="ar-SA"/>
        </w:rPr>
        <w:t>六、技术部分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_Toc16111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63</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_Toc10862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一</w:t>
      </w:r>
      <w:r>
        <w:rPr>
          <w:rFonts w:hint="eastAsia" w:ascii="宋体" w:hAnsi="宋体" w:eastAsia="宋体" w:cs="宋体"/>
          <w:color w:val="auto"/>
          <w:szCs w:val="24"/>
          <w:highlight w:val="none"/>
          <w:lang w:eastAsia="zh-CN"/>
        </w:rPr>
        <w:t>）招标代理服务方案</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_Toc10862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63</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_Toc27611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kern w:val="2"/>
          <w:szCs w:val="24"/>
          <w:highlight w:val="none"/>
          <w:lang w:val="en-US" w:eastAsia="zh-CN" w:bidi="ar-SA"/>
        </w:rPr>
        <w:t>（二）服务质量承诺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_Toc27611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63</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_Toc16065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三</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保密、廉洁管理措施及承诺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_Toc16065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63</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_Toc22460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四</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质疑、投诉解决方案</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_Toc22460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63</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_Toc4662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五</w:t>
      </w:r>
      <w:r>
        <w:rPr>
          <w:rFonts w:hint="eastAsia" w:ascii="宋体" w:hAnsi="宋体" w:eastAsia="宋体" w:cs="宋体"/>
          <w:color w:val="auto"/>
          <w:szCs w:val="24"/>
          <w:highlight w:val="none"/>
          <w:lang w:eastAsia="zh-CN"/>
        </w:rPr>
        <w:t>）</w:t>
      </w:r>
      <w:r>
        <w:rPr>
          <w:rFonts w:hint="eastAsia" w:ascii="宋体" w:hAnsi="宋体" w:eastAsia="宋体" w:cs="宋体"/>
          <w:color w:val="auto"/>
          <w:kern w:val="2"/>
          <w:szCs w:val="24"/>
          <w:highlight w:val="none"/>
          <w:lang w:val="en-US" w:eastAsia="zh-CN" w:bidi="ar-SA"/>
        </w:rPr>
        <w:t>类似项目情况表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_Toc4662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63</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4"/>
        <w:keepNext w:val="0"/>
        <w:keepLines w:val="0"/>
        <w:pageBreakBefore w:val="0"/>
        <w:widowControl w:val="0"/>
        <w:tabs>
          <w:tab w:val="right" w:leader="dot" w:pos="9746"/>
          <w:tab w:val="clear" w:pos="9628"/>
        </w:tabs>
        <w:kinsoku/>
        <w:wordWrap/>
        <w:overflowPunct/>
        <w:topLinePunct w:val="0"/>
        <w:autoSpaceDE/>
        <w:autoSpaceDN/>
        <w:bidi w:val="0"/>
        <w:adjustRightInd/>
        <w:snapToGrid/>
        <w:ind w:left="210" w:firstLine="400" w:firstLineChars="200"/>
        <w:textAlignment w:val="auto"/>
        <w:rPr>
          <w:rFonts w:hint="eastAsia" w:ascii="宋体" w:hAnsi="宋体" w:eastAsia="宋体" w:cs="宋体"/>
          <w:color w:val="auto"/>
          <w:highlight w:val="none"/>
        </w:rPr>
      </w:pPr>
      <w:r>
        <w:rPr>
          <w:rFonts w:hint="eastAsia" w:ascii="宋体" w:hAnsi="宋体" w:eastAsia="宋体" w:cs="宋体"/>
          <w:bCs/>
          <w:color w:val="auto"/>
          <w:szCs w:val="52"/>
          <w:highlight w:val="none"/>
        </w:rPr>
        <w:fldChar w:fldCharType="begin"/>
      </w:r>
      <w:r>
        <w:rPr>
          <w:rFonts w:hint="eastAsia" w:ascii="宋体" w:hAnsi="宋体" w:eastAsia="宋体" w:cs="宋体"/>
          <w:bCs/>
          <w:color w:val="auto"/>
          <w:szCs w:val="52"/>
          <w:highlight w:val="none"/>
        </w:rPr>
        <w:instrText xml:space="preserve"> HYPERLINK \l _Toc25397 </w:instrText>
      </w:r>
      <w:r>
        <w:rPr>
          <w:rFonts w:hint="eastAsia" w:ascii="宋体" w:hAnsi="宋体" w:eastAsia="宋体" w:cs="宋体"/>
          <w:bCs/>
          <w:color w:val="auto"/>
          <w:szCs w:val="52"/>
          <w:highlight w:val="none"/>
        </w:rPr>
        <w:fldChar w:fldCharType="separate"/>
      </w:r>
      <w:r>
        <w:rPr>
          <w:rFonts w:hint="eastAsia" w:ascii="宋体" w:hAnsi="宋体" w:eastAsia="宋体" w:cs="宋体"/>
          <w:color w:val="auto"/>
          <w:kern w:val="2"/>
          <w:szCs w:val="32"/>
          <w:highlight w:val="none"/>
          <w:lang w:val="en-US" w:eastAsia="zh-CN" w:bidi="ar-SA"/>
        </w:rPr>
        <w:t>七、构成投标文件的其他资料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_Toc25397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64</w:t>
      </w:r>
      <w:r>
        <w:rPr>
          <w:rFonts w:hint="eastAsia" w:ascii="宋体" w:hAnsi="宋体" w:eastAsia="宋体" w:cs="宋体"/>
          <w:color w:val="auto"/>
          <w:highlight w:val="none"/>
        </w:rPr>
        <w:fldChar w:fldCharType="end"/>
      </w:r>
      <w:r>
        <w:rPr>
          <w:rFonts w:hint="eastAsia" w:ascii="宋体" w:hAnsi="宋体" w:eastAsia="宋体" w:cs="宋体"/>
          <w:bCs/>
          <w:color w:val="auto"/>
          <w:szCs w:val="52"/>
          <w:highlight w:val="none"/>
        </w:rPr>
        <w:fldChar w:fldCharType="end"/>
      </w:r>
    </w:p>
    <w:p>
      <w:pPr>
        <w:pStyle w:val="2"/>
        <w:pageBreakBefore w:val="0"/>
        <w:widowControl w:val="0"/>
        <w:kinsoku/>
        <w:wordWrap/>
        <w:overflowPunct/>
        <w:topLinePunct w:val="0"/>
        <w:autoSpaceDE/>
        <w:autoSpaceDN/>
        <w:bidi w:val="0"/>
        <w:snapToGrid/>
        <w:spacing w:line="360" w:lineRule="auto"/>
        <w:ind w:left="0" w:firstLine="0"/>
        <w:jc w:val="both"/>
        <w:rPr>
          <w:rFonts w:hint="eastAsia" w:ascii="宋体" w:hAnsi="宋体" w:eastAsia="宋体"/>
          <w:b/>
          <w:bCs/>
          <w:color w:val="auto"/>
          <w:szCs w:val="52"/>
          <w:highlight w:val="none"/>
        </w:rPr>
      </w:pPr>
      <w:r>
        <w:rPr>
          <w:rFonts w:hint="eastAsia" w:ascii="宋体" w:hAnsi="宋体" w:eastAsia="宋体"/>
          <w:bCs/>
          <w:color w:val="auto"/>
          <w:szCs w:val="52"/>
          <w:highlight w:val="none"/>
        </w:rPr>
        <w:fldChar w:fldCharType="end"/>
      </w: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sectPr>
          <w:headerReference r:id="rId10" w:type="default"/>
          <w:footerReference r:id="rId11" w:type="default"/>
          <w:pgSz w:w="11906" w:h="16838"/>
          <w:pgMar w:top="1440" w:right="1080" w:bottom="1440" w:left="1080" w:header="1077" w:footer="851" w:gutter="0"/>
          <w:pgBorders>
            <w:top w:val="none" w:sz="0" w:space="0"/>
            <w:left w:val="none" w:sz="0" w:space="0"/>
            <w:bottom w:val="none" w:sz="0" w:space="0"/>
            <w:right w:val="none" w:sz="0" w:space="0"/>
          </w:pgBorders>
          <w:pgNumType w:fmt="decimal" w:start="1" w:chapSep="hyphen"/>
          <w:cols w:space="708" w:num="1"/>
          <w:docGrid w:type="linesAndChars" w:linePitch="312" w:charSpace="0"/>
        </w:sectPr>
      </w:pPr>
    </w:p>
    <w:p>
      <w:pPr>
        <w:pStyle w:val="2"/>
        <w:ind w:left="0" w:firstLine="0"/>
        <w:jc w:val="center"/>
        <w:rPr>
          <w:rFonts w:hint="eastAsia" w:ascii="黑体" w:hAnsi="黑体" w:eastAsia="黑体" w:cs="黑体"/>
          <w:bCs/>
          <w:color w:val="auto"/>
          <w:sz w:val="52"/>
          <w:szCs w:val="52"/>
          <w:highlight w:val="none"/>
        </w:rPr>
      </w:pPr>
      <w:bookmarkStart w:id="14" w:name="_Toc19505"/>
      <w:bookmarkStart w:id="15" w:name="_Toc5369"/>
      <w:bookmarkStart w:id="16" w:name="_Toc27197"/>
      <w:bookmarkStart w:id="17" w:name="_Toc29479"/>
      <w:bookmarkStart w:id="18" w:name="_Toc11893"/>
      <w:r>
        <w:rPr>
          <w:rFonts w:hint="eastAsia" w:ascii="黑体" w:hAnsi="黑体" w:eastAsia="黑体" w:cs="黑体"/>
          <w:bCs/>
          <w:color w:val="auto"/>
          <w:sz w:val="52"/>
          <w:szCs w:val="52"/>
          <w:highlight w:val="none"/>
        </w:rPr>
        <w:t>第一章 招标公告</w:t>
      </w:r>
      <w:bookmarkEnd w:id="12"/>
      <w:bookmarkEnd w:id="13"/>
      <w:bookmarkEnd w:id="14"/>
      <w:bookmarkEnd w:id="15"/>
      <w:bookmarkEnd w:id="16"/>
      <w:bookmarkEnd w:id="17"/>
      <w:bookmarkEnd w:id="18"/>
    </w:p>
    <w:p>
      <w:pPr>
        <w:widowControl/>
        <w:spacing w:line="360" w:lineRule="auto"/>
        <w:jc w:val="center"/>
        <w:outlineLvl w:val="9"/>
        <w:rPr>
          <w:rFonts w:hint="eastAsia" w:ascii="黑体" w:hAnsi="黑体" w:eastAsia="黑体" w:cs="黑体"/>
          <w:b/>
          <w:bCs/>
          <w:color w:val="auto"/>
          <w:kern w:val="0"/>
          <w:sz w:val="36"/>
          <w:szCs w:val="36"/>
          <w:highlight w:val="none"/>
          <w:lang w:eastAsia="zh-CN"/>
        </w:rPr>
      </w:pPr>
      <w:commentRangeStart w:id="0"/>
      <w:bookmarkStart w:id="19" w:name="_Toc30581"/>
      <w:bookmarkStart w:id="20" w:name="_Toc17999"/>
      <w:bookmarkStart w:id="21" w:name="_Toc16444"/>
      <w:bookmarkStart w:id="22" w:name="_Toc373244498"/>
      <w:bookmarkStart w:id="23" w:name="_Toc337822203"/>
      <w:r>
        <w:rPr>
          <w:rFonts w:hint="eastAsia" w:ascii="黑体" w:hAnsi="黑体" w:eastAsia="黑体" w:cs="黑体"/>
          <w:b/>
          <w:bCs/>
          <w:color w:val="auto"/>
          <w:kern w:val="0"/>
          <w:sz w:val="36"/>
          <w:szCs w:val="36"/>
          <w:highlight w:val="none"/>
          <w:lang w:eastAsia="zh-CN"/>
        </w:rPr>
        <w:t>双江自治县第一完全中学高中部百货店经营权承包项目</w:t>
      </w:r>
    </w:p>
    <w:p>
      <w:pPr>
        <w:widowControl/>
        <w:spacing w:line="360" w:lineRule="auto"/>
        <w:jc w:val="center"/>
        <w:outlineLvl w:val="9"/>
        <w:rPr>
          <w:rFonts w:hint="eastAsia" w:ascii="宋体" w:hAnsi="宋体" w:cs="宋体"/>
          <w:b/>
          <w:bCs/>
          <w:color w:val="auto"/>
          <w:kern w:val="0"/>
          <w:sz w:val="48"/>
          <w:szCs w:val="48"/>
          <w:highlight w:val="none"/>
          <w:lang w:eastAsia="zh-CN"/>
        </w:rPr>
      </w:pPr>
      <w:r>
        <w:rPr>
          <w:rFonts w:hint="eastAsia" w:ascii="黑体" w:hAnsi="黑体" w:eastAsia="黑体" w:cs="黑体"/>
          <w:b/>
          <w:bCs/>
          <w:color w:val="auto"/>
          <w:kern w:val="0"/>
          <w:sz w:val="36"/>
          <w:szCs w:val="36"/>
          <w:highlight w:val="none"/>
          <w:lang w:eastAsia="zh-CN"/>
        </w:rPr>
        <w:t>招标代理机构服务招标公告</w:t>
      </w:r>
      <w:commentRangeEnd w:id="0"/>
      <w:r>
        <w:rPr>
          <w:color w:val="auto"/>
          <w:highlight w:val="none"/>
        </w:rPr>
        <w:commentReference w:id="0"/>
      </w:r>
      <w:bookmarkEnd w:id="19"/>
      <w:bookmarkEnd w:id="20"/>
      <w:bookmarkEnd w:id="21"/>
    </w:p>
    <w:p>
      <w:pPr>
        <w:keepNext w:val="0"/>
        <w:keepLines w:val="0"/>
        <w:pageBreakBefore w:val="0"/>
        <w:widowControl/>
        <w:kinsoku/>
        <w:overflowPunct/>
        <w:topLinePunct w:val="0"/>
        <w:autoSpaceDE/>
        <w:autoSpaceDN/>
        <w:bidi w:val="0"/>
        <w:adjustRightInd/>
        <w:snapToGrid/>
        <w:spacing w:line="339" w:lineRule="auto"/>
        <w:ind w:firstLine="420" w:firstLineChars="200"/>
        <w:jc w:val="left"/>
        <w:textAlignment w:val="auto"/>
        <w:outlineLvl w:val="1"/>
        <w:rPr>
          <w:rFonts w:hint="eastAsia" w:ascii="宋体" w:hAnsi="宋体" w:cs="宋体"/>
          <w:b w:val="0"/>
          <w:bCs w:val="0"/>
          <w:color w:val="auto"/>
          <w:kern w:val="0"/>
          <w:sz w:val="21"/>
          <w:szCs w:val="21"/>
          <w:highlight w:val="none"/>
          <w:u w:val="single"/>
          <w:lang w:eastAsia="zh-CN"/>
        </w:rPr>
      </w:pPr>
      <w:bookmarkStart w:id="24" w:name="_Toc14832"/>
      <w:bookmarkStart w:id="25" w:name="_Toc28753"/>
      <w:bookmarkStart w:id="26" w:name="_Toc1544"/>
      <w:bookmarkStart w:id="27" w:name="_Toc17126"/>
      <w:r>
        <w:rPr>
          <w:rFonts w:hint="eastAsia" w:ascii="黑体" w:hAnsi="黑体" w:eastAsia="黑体" w:cs="黑体"/>
          <w:b/>
          <w:color w:val="auto"/>
          <w:sz w:val="21"/>
          <w:szCs w:val="21"/>
          <w:highlight w:val="none"/>
        </w:rPr>
        <w:t>1.招标条件</w:t>
      </w:r>
      <w:bookmarkEnd w:id="24"/>
      <w:bookmarkEnd w:id="25"/>
      <w:bookmarkEnd w:id="26"/>
      <w:bookmarkEnd w:id="27"/>
    </w:p>
    <w:p>
      <w:pPr>
        <w:keepNext w:val="0"/>
        <w:keepLines w:val="0"/>
        <w:pageBreakBefore w:val="0"/>
        <w:widowControl/>
        <w:kinsoku/>
        <w:overflowPunct/>
        <w:topLinePunct w:val="0"/>
        <w:autoSpaceDE/>
        <w:autoSpaceDN/>
        <w:bidi w:val="0"/>
        <w:adjustRightInd/>
        <w:snapToGrid/>
        <w:spacing w:line="339" w:lineRule="auto"/>
        <w:ind w:firstLine="420" w:firstLineChars="200"/>
        <w:jc w:val="left"/>
        <w:textAlignment w:val="auto"/>
        <w:rPr>
          <w:rFonts w:ascii="宋体" w:hAnsi="宋体" w:cs="宋体"/>
          <w:color w:val="auto"/>
          <w:kern w:val="0"/>
          <w:sz w:val="21"/>
          <w:szCs w:val="21"/>
          <w:highlight w:val="none"/>
        </w:rPr>
      </w:pPr>
      <w:r>
        <w:rPr>
          <w:rFonts w:hint="eastAsia" w:ascii="宋体" w:hAnsi="宋体" w:eastAsia="宋体" w:cs="宋体"/>
          <w:color w:val="auto"/>
          <w:sz w:val="21"/>
          <w:szCs w:val="21"/>
          <w:highlight w:val="none"/>
        </w:rPr>
        <w:t>本招标项目</w:t>
      </w:r>
      <w:r>
        <w:rPr>
          <w:rFonts w:hint="eastAsia" w:ascii="宋体" w:hAnsi="宋体" w:cs="宋体"/>
          <w:b w:val="0"/>
          <w:bCs w:val="0"/>
          <w:color w:val="auto"/>
          <w:kern w:val="0"/>
          <w:sz w:val="21"/>
          <w:szCs w:val="21"/>
          <w:highlight w:val="none"/>
          <w:u w:val="single"/>
          <w:lang w:eastAsia="zh-CN"/>
        </w:rPr>
        <w:t>双江自治县第一完全中学高中部百货店经营权承包项目招标代理机构服务</w:t>
      </w:r>
      <w:r>
        <w:rPr>
          <w:rFonts w:hint="eastAsia" w:ascii="宋体" w:hAnsi="宋体" w:cs="宋体"/>
          <w:b w:val="0"/>
          <w:bCs w:val="0"/>
          <w:color w:val="auto"/>
          <w:kern w:val="0"/>
          <w:sz w:val="21"/>
          <w:szCs w:val="21"/>
          <w:highlight w:val="none"/>
          <w:u w:val="none"/>
          <w:lang w:val="en-US" w:eastAsia="zh-CN"/>
        </w:rPr>
        <w:t>已由</w:t>
      </w:r>
      <w:r>
        <w:rPr>
          <w:rFonts w:hint="eastAsia" w:ascii="宋体" w:hAnsi="宋体" w:cs="宋体"/>
          <w:b w:val="0"/>
          <w:bCs w:val="0"/>
          <w:color w:val="auto"/>
          <w:kern w:val="0"/>
          <w:sz w:val="21"/>
          <w:szCs w:val="21"/>
          <w:highlight w:val="none"/>
          <w:u w:val="single"/>
          <w:lang w:val="en-US" w:eastAsia="zh-CN"/>
        </w:rPr>
        <w:t>双江自治县教育体育局</w:t>
      </w:r>
      <w:r>
        <w:rPr>
          <w:rFonts w:hint="eastAsia" w:ascii="宋体" w:hAnsi="宋体" w:cs="宋体"/>
          <w:b w:val="0"/>
          <w:bCs w:val="0"/>
          <w:color w:val="auto"/>
          <w:kern w:val="0"/>
          <w:sz w:val="21"/>
          <w:szCs w:val="21"/>
          <w:highlight w:val="none"/>
          <w:u w:val="none"/>
          <w:lang w:val="en-US" w:eastAsia="zh-CN"/>
        </w:rPr>
        <w:t>以</w:t>
      </w:r>
      <w:r>
        <w:rPr>
          <w:rFonts w:hint="eastAsia" w:ascii="宋体" w:hAnsi="宋体" w:cs="宋体"/>
          <w:b w:val="0"/>
          <w:bCs w:val="0"/>
          <w:color w:val="auto"/>
          <w:kern w:val="0"/>
          <w:sz w:val="21"/>
          <w:szCs w:val="21"/>
          <w:highlight w:val="none"/>
          <w:u w:val="single"/>
          <w:lang w:val="en-US" w:eastAsia="zh-CN"/>
        </w:rPr>
        <w:t>双江自治县第一完全中学发布高中部百货店经营权承包项目代理机构招标计划请示的批复 双教体复﹝2026﹞20号</w:t>
      </w:r>
      <w:r>
        <w:rPr>
          <w:rFonts w:hint="eastAsia" w:ascii="宋体" w:hAnsi="宋体" w:cs="宋体"/>
          <w:b w:val="0"/>
          <w:bCs w:val="0"/>
          <w:color w:val="auto"/>
          <w:kern w:val="0"/>
          <w:sz w:val="21"/>
          <w:szCs w:val="21"/>
          <w:highlight w:val="none"/>
          <w:u w:val="none"/>
          <w:lang w:val="en-US" w:eastAsia="zh-CN"/>
        </w:rPr>
        <w:t>批准</w:t>
      </w:r>
      <w:r>
        <w:rPr>
          <w:rFonts w:hint="eastAsia" w:ascii="宋体" w:hAnsi="宋体" w:cs="宋体"/>
          <w:b w:val="0"/>
          <w:bCs w:val="0"/>
          <w:color w:val="auto"/>
          <w:kern w:val="0"/>
          <w:sz w:val="21"/>
          <w:szCs w:val="21"/>
          <w:highlight w:val="none"/>
          <w:lang w:eastAsia="zh-CN"/>
        </w:rPr>
        <w:t>，</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为</w:t>
      </w:r>
      <w:r>
        <w:rPr>
          <w:rFonts w:hint="eastAsia" w:ascii="宋体" w:hAnsi="宋体" w:cs="宋体"/>
          <w:b w:val="0"/>
          <w:bCs w:val="0"/>
          <w:color w:val="auto"/>
          <w:kern w:val="0"/>
          <w:sz w:val="21"/>
          <w:szCs w:val="21"/>
          <w:highlight w:val="none"/>
          <w:u w:val="single"/>
          <w:lang w:eastAsia="zh-CN"/>
        </w:rPr>
        <w:t>双江自治县第一完全中学</w:t>
      </w:r>
      <w:r>
        <w:rPr>
          <w:rFonts w:hint="eastAsia" w:ascii="宋体" w:hAnsi="宋体" w:cs="宋体"/>
          <w:b w:val="0"/>
          <w:bCs w:val="0"/>
          <w:color w:val="auto"/>
          <w:kern w:val="0"/>
          <w:sz w:val="21"/>
          <w:szCs w:val="21"/>
          <w:highlight w:val="none"/>
          <w:u w:val="none"/>
          <w:lang w:eastAsia="zh-CN"/>
        </w:rPr>
        <w:t>，项目</w:t>
      </w:r>
      <w:r>
        <w:rPr>
          <w:rFonts w:hint="eastAsia" w:ascii="宋体" w:hAnsi="宋体" w:cs="宋体"/>
          <w:b w:val="0"/>
          <w:bCs w:val="0"/>
          <w:color w:val="auto"/>
          <w:kern w:val="0"/>
          <w:sz w:val="21"/>
          <w:szCs w:val="21"/>
          <w:highlight w:val="none"/>
          <w:u w:val="none"/>
          <w:lang w:val="en-US" w:eastAsia="zh-CN"/>
        </w:rPr>
        <w:t>现</w:t>
      </w:r>
      <w:r>
        <w:rPr>
          <w:rFonts w:hint="eastAsia" w:ascii="宋体" w:hAnsi="宋体" w:cs="宋体"/>
          <w:b w:val="0"/>
          <w:bCs w:val="0"/>
          <w:color w:val="auto"/>
          <w:kern w:val="0"/>
          <w:sz w:val="21"/>
          <w:szCs w:val="21"/>
          <w:highlight w:val="none"/>
          <w:u w:val="none"/>
          <w:lang w:eastAsia="zh-CN"/>
        </w:rPr>
        <w:t>已具备招标条件。</w:t>
      </w:r>
      <w:r>
        <w:rPr>
          <w:rFonts w:hint="eastAsia" w:ascii="宋体" w:hAnsi="宋体" w:cs="宋体"/>
          <w:b w:val="0"/>
          <w:bCs w:val="0"/>
          <w:color w:val="auto"/>
          <w:kern w:val="0"/>
          <w:sz w:val="21"/>
          <w:szCs w:val="21"/>
          <w:highlight w:val="none"/>
          <w:u w:val="none"/>
          <w:lang w:val="en-US" w:eastAsia="zh-CN"/>
        </w:rPr>
        <w:t>现</w:t>
      </w:r>
      <w:r>
        <w:rPr>
          <w:rFonts w:hint="eastAsia" w:ascii="宋体" w:hAnsi="宋体" w:eastAsia="宋体" w:cs="宋体"/>
          <w:color w:val="auto"/>
          <w:sz w:val="21"/>
          <w:szCs w:val="21"/>
          <w:highlight w:val="none"/>
        </w:rPr>
        <w:t>对</w:t>
      </w:r>
      <w:r>
        <w:rPr>
          <w:rFonts w:hint="eastAsia" w:ascii="宋体" w:hAnsi="宋体" w:cs="宋体"/>
          <w:b w:val="0"/>
          <w:bCs w:val="0"/>
          <w:color w:val="auto"/>
          <w:kern w:val="0"/>
          <w:sz w:val="21"/>
          <w:szCs w:val="21"/>
          <w:highlight w:val="none"/>
          <w:u w:val="single"/>
          <w:lang w:eastAsia="zh-CN"/>
        </w:rPr>
        <w:t>双江自治县第一完全中学高中部百货店经营权承包项目招标代理机构服务</w:t>
      </w:r>
      <w:r>
        <w:rPr>
          <w:rFonts w:hint="eastAsia" w:ascii="宋体" w:hAnsi="宋体" w:cs="宋体"/>
          <w:b w:val="0"/>
          <w:bCs w:val="0"/>
          <w:color w:val="auto"/>
          <w:kern w:val="0"/>
          <w:sz w:val="21"/>
          <w:szCs w:val="21"/>
          <w:highlight w:val="none"/>
          <w:u w:val="none"/>
          <w:lang w:val="en-US" w:eastAsia="zh-CN"/>
        </w:rPr>
        <w:t>项目</w:t>
      </w:r>
      <w:r>
        <w:rPr>
          <w:rFonts w:hint="eastAsia" w:ascii="宋体" w:hAnsi="宋体" w:eastAsia="宋体" w:cs="宋体"/>
          <w:color w:val="auto"/>
          <w:sz w:val="21"/>
          <w:szCs w:val="21"/>
          <w:highlight w:val="none"/>
          <w:u w:val="none"/>
        </w:rPr>
        <w:t>采</w:t>
      </w:r>
      <w:r>
        <w:rPr>
          <w:rFonts w:hint="eastAsia" w:ascii="宋体" w:hAnsi="宋体" w:eastAsia="宋体" w:cs="宋体"/>
          <w:color w:val="auto"/>
          <w:sz w:val="21"/>
          <w:szCs w:val="21"/>
          <w:highlight w:val="none"/>
        </w:rPr>
        <w:t>用公开招标的方式选定合格</w:t>
      </w:r>
      <w:r>
        <w:rPr>
          <w:rFonts w:hint="eastAsia" w:ascii="宋体" w:hAnsi="宋体" w:cs="宋体"/>
          <w:color w:val="auto"/>
          <w:sz w:val="21"/>
          <w:szCs w:val="21"/>
          <w:highlight w:val="none"/>
          <w:lang w:val="en-US" w:eastAsia="zh-CN"/>
        </w:rPr>
        <w:t>服务机构</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组织方式为自行招标，</w:t>
      </w:r>
      <w:r>
        <w:rPr>
          <w:rFonts w:hint="eastAsia" w:ascii="宋体" w:hAnsi="宋体" w:eastAsia="宋体" w:cs="宋体"/>
          <w:color w:val="auto"/>
          <w:sz w:val="21"/>
          <w:szCs w:val="21"/>
          <w:highlight w:val="none"/>
        </w:rPr>
        <w:t>欢迎具有相应资格和实力的投标人参加本次</w:t>
      </w:r>
      <w:r>
        <w:rPr>
          <w:rFonts w:hint="eastAsia" w:ascii="宋体" w:hAnsi="宋体" w:eastAsia="宋体" w:cs="宋体"/>
          <w:color w:val="auto"/>
          <w:sz w:val="21"/>
          <w:szCs w:val="21"/>
          <w:highlight w:val="none"/>
          <w:lang w:val="en-US" w:eastAsia="zh-CN"/>
        </w:rPr>
        <w:t>项目招标活动</w:t>
      </w:r>
      <w:r>
        <w:rPr>
          <w:rFonts w:hint="eastAsia" w:ascii="宋体" w:hAnsi="宋体" w:cs="宋体"/>
          <w:b w:val="0"/>
          <w:bCs w:val="0"/>
          <w:color w:val="auto"/>
          <w:kern w:val="0"/>
          <w:sz w:val="21"/>
          <w:szCs w:val="21"/>
          <w:highlight w:val="none"/>
        </w:rPr>
        <w:t>。</w:t>
      </w:r>
    </w:p>
    <w:p>
      <w:pPr>
        <w:keepNext w:val="0"/>
        <w:keepLines w:val="0"/>
        <w:pageBreakBefore w:val="0"/>
        <w:widowControl/>
        <w:numPr>
          <w:ilvl w:val="0"/>
          <w:numId w:val="0"/>
        </w:numPr>
        <w:kinsoku/>
        <w:wordWrap/>
        <w:overflowPunct/>
        <w:topLinePunct w:val="0"/>
        <w:autoSpaceDE/>
        <w:autoSpaceDN/>
        <w:bidi w:val="0"/>
        <w:adjustRightInd/>
        <w:snapToGrid/>
        <w:spacing w:line="339" w:lineRule="auto"/>
        <w:ind w:firstLine="420" w:firstLineChars="200"/>
        <w:jc w:val="left"/>
        <w:textAlignment w:val="auto"/>
        <w:outlineLvl w:val="1"/>
        <w:rPr>
          <w:rFonts w:hint="eastAsia" w:ascii="宋体" w:hAnsi="宋体" w:cs="宋体"/>
          <w:b/>
          <w:bCs/>
          <w:color w:val="auto"/>
          <w:kern w:val="0"/>
          <w:sz w:val="21"/>
          <w:szCs w:val="21"/>
          <w:highlight w:val="none"/>
        </w:rPr>
      </w:pPr>
      <w:bookmarkStart w:id="28" w:name="_Toc15822"/>
      <w:bookmarkStart w:id="29" w:name="_Toc128"/>
      <w:bookmarkStart w:id="30" w:name="_Toc15182"/>
      <w:bookmarkStart w:id="31" w:name="_Toc20018"/>
      <w:r>
        <w:rPr>
          <w:rFonts w:hint="eastAsia" w:ascii="黑体" w:hAnsi="黑体" w:eastAsia="黑体" w:cs="黑体"/>
          <w:b/>
          <w:bCs/>
          <w:color w:val="auto"/>
          <w:kern w:val="0"/>
          <w:sz w:val="21"/>
          <w:szCs w:val="21"/>
          <w:highlight w:val="none"/>
          <w:lang w:val="en-US" w:eastAsia="zh-CN"/>
        </w:rPr>
        <w:t>2.</w:t>
      </w:r>
      <w:r>
        <w:rPr>
          <w:rFonts w:hint="eastAsia" w:ascii="黑体" w:hAnsi="黑体" w:eastAsia="黑体" w:cs="黑体"/>
          <w:b/>
          <w:bCs/>
          <w:color w:val="auto"/>
          <w:kern w:val="0"/>
          <w:sz w:val="21"/>
          <w:szCs w:val="21"/>
          <w:highlight w:val="none"/>
        </w:rPr>
        <w:t>项目概况</w:t>
      </w:r>
      <w:bookmarkEnd w:id="28"/>
      <w:bookmarkEnd w:id="29"/>
      <w:bookmarkEnd w:id="30"/>
      <w:bookmarkEnd w:id="31"/>
    </w:p>
    <w:p>
      <w:pPr>
        <w:keepNext w:val="0"/>
        <w:keepLines w:val="0"/>
        <w:pageBreakBefore w:val="0"/>
        <w:widowControl/>
        <w:numPr>
          <w:ilvl w:val="0"/>
          <w:numId w:val="0"/>
        </w:numPr>
        <w:kinsoku/>
        <w:wordWrap/>
        <w:overflowPunct/>
        <w:topLinePunct w:val="0"/>
        <w:autoSpaceDE/>
        <w:autoSpaceDN/>
        <w:bidi w:val="0"/>
        <w:adjustRightInd/>
        <w:snapToGrid/>
        <w:spacing w:line="339" w:lineRule="auto"/>
        <w:ind w:firstLine="420" w:firstLineChars="200"/>
        <w:jc w:val="left"/>
        <w:textAlignment w:val="auto"/>
        <w:rPr>
          <w:rFonts w:hint="eastAsia"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2.1招标内容：</w:t>
      </w:r>
      <w:r>
        <w:rPr>
          <w:rFonts w:hint="eastAsia" w:ascii="宋体" w:hAnsi="宋体" w:cs="宋体"/>
          <w:b w:val="0"/>
          <w:bCs w:val="0"/>
          <w:color w:val="auto"/>
          <w:kern w:val="0"/>
          <w:sz w:val="21"/>
          <w:szCs w:val="21"/>
          <w:highlight w:val="none"/>
          <w:u w:val="single"/>
          <w:lang w:val="en-US" w:eastAsia="zh-CN"/>
        </w:rPr>
        <w:t>完成本项目经营权承包招标的全流程代理服务，包括但不限于：协助招标人编制招标工作方案、起草并审核招标文件、公平竞争审查、发布招标公告、组织投标报名、组织开标评标活动、协助处理质疑与投诉、整理招标归档资料、协助签订承包合同等相关工作</w:t>
      </w:r>
      <w:r>
        <w:rPr>
          <w:rFonts w:hint="eastAsia" w:ascii="宋体" w:hAnsi="宋体" w:cs="宋体"/>
          <w:b w:val="0"/>
          <w:bCs w:val="0"/>
          <w:color w:val="auto"/>
          <w:kern w:val="0"/>
          <w:sz w:val="21"/>
          <w:szCs w:val="21"/>
          <w:highlight w:val="none"/>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line="339" w:lineRule="auto"/>
        <w:ind w:firstLine="420" w:firstLineChars="200"/>
        <w:jc w:val="left"/>
        <w:textAlignment w:val="auto"/>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2.2预算金额（最高限价）：</w:t>
      </w:r>
      <w:r>
        <w:rPr>
          <w:rFonts w:hint="eastAsia" w:ascii="宋体" w:hAnsi="宋体" w:cs="宋体"/>
          <w:b w:val="0"/>
          <w:bCs w:val="0"/>
          <w:color w:val="auto"/>
          <w:kern w:val="0"/>
          <w:sz w:val="21"/>
          <w:szCs w:val="21"/>
          <w:highlight w:val="none"/>
          <w:u w:val="single"/>
          <w:lang w:val="en-US" w:eastAsia="zh-CN"/>
        </w:rPr>
        <w:t>37100.00元，本项目</w:t>
      </w:r>
      <w:r>
        <w:rPr>
          <w:rFonts w:hint="eastAsia" w:ascii="宋体" w:hAnsi="宋体" w:cs="宋体"/>
          <w:color w:val="auto"/>
          <w:kern w:val="0"/>
          <w:sz w:val="21"/>
          <w:szCs w:val="21"/>
          <w:highlight w:val="none"/>
          <w:u w:val="single"/>
          <w:lang w:val="en-US" w:eastAsia="zh-CN" w:bidi="en-US"/>
        </w:rPr>
        <w:t>中标服务费</w:t>
      </w:r>
      <w:r>
        <w:rPr>
          <w:rFonts w:hint="eastAsia" w:ascii="宋体" w:hAnsi="宋体" w:eastAsia="宋体" w:cs="宋体"/>
          <w:color w:val="auto"/>
          <w:kern w:val="0"/>
          <w:sz w:val="21"/>
          <w:szCs w:val="21"/>
          <w:highlight w:val="none"/>
          <w:u w:val="single"/>
          <w:lang w:eastAsia="zh-CN" w:bidi="en-US"/>
        </w:rPr>
        <w:t>均由百货店经营权项目的中标方支付</w:t>
      </w:r>
      <w:r>
        <w:rPr>
          <w:rFonts w:hint="eastAsia" w:ascii="宋体" w:hAnsi="宋体" w:cs="宋体"/>
          <w:color w:val="auto"/>
          <w:kern w:val="0"/>
          <w:sz w:val="21"/>
          <w:szCs w:val="21"/>
          <w:highlight w:val="none"/>
          <w:lang w:eastAsia="zh-CN" w:bidi="en-US"/>
        </w:rPr>
        <w:t>。</w:t>
      </w:r>
    </w:p>
    <w:p>
      <w:pPr>
        <w:keepNext w:val="0"/>
        <w:keepLines w:val="0"/>
        <w:pageBreakBefore w:val="0"/>
        <w:widowControl/>
        <w:numPr>
          <w:ilvl w:val="0"/>
          <w:numId w:val="0"/>
        </w:numPr>
        <w:kinsoku/>
        <w:wordWrap/>
        <w:overflowPunct/>
        <w:topLinePunct w:val="0"/>
        <w:autoSpaceDE/>
        <w:autoSpaceDN/>
        <w:bidi w:val="0"/>
        <w:adjustRightInd/>
        <w:snapToGrid/>
        <w:spacing w:line="339" w:lineRule="auto"/>
        <w:ind w:firstLine="420" w:firstLineChars="200"/>
        <w:jc w:val="left"/>
        <w:textAlignment w:val="auto"/>
        <w:rPr>
          <w:rFonts w:hint="eastAsia" w:ascii="宋体" w:hAnsi="宋体" w:eastAsia="宋体" w:cs="宋体"/>
          <w:b w:val="0"/>
          <w:bCs w:val="0"/>
          <w:color w:val="auto"/>
          <w:kern w:val="0"/>
          <w:sz w:val="21"/>
          <w:szCs w:val="21"/>
          <w:highlight w:val="none"/>
          <w:u w:val="single"/>
          <w:lang w:val="en-US" w:eastAsia="zh-CN"/>
        </w:rPr>
      </w:pPr>
      <w:r>
        <w:rPr>
          <w:rFonts w:hint="eastAsia" w:ascii="宋体" w:hAnsi="宋体" w:cs="宋体"/>
          <w:b w:val="0"/>
          <w:bCs w:val="0"/>
          <w:color w:val="auto"/>
          <w:kern w:val="0"/>
          <w:sz w:val="21"/>
          <w:szCs w:val="21"/>
          <w:highlight w:val="none"/>
          <w:lang w:val="en-US" w:eastAsia="zh-CN"/>
        </w:rPr>
        <w:t>2.3服务周期：</w:t>
      </w:r>
      <w:r>
        <w:rPr>
          <w:rFonts w:hint="eastAsia" w:ascii="宋体" w:hAnsi="宋体" w:cs="宋体"/>
          <w:b w:val="0"/>
          <w:bCs w:val="0"/>
          <w:color w:val="auto"/>
          <w:kern w:val="0"/>
          <w:sz w:val="21"/>
          <w:szCs w:val="21"/>
          <w:highlight w:val="none"/>
          <w:u w:val="single"/>
          <w:lang w:val="en-US" w:eastAsia="zh-CN"/>
        </w:rPr>
        <w:t>自合同签订之日起至项目招标工作结束，移交全部汇编资料止</w:t>
      </w:r>
      <w:r>
        <w:rPr>
          <w:rFonts w:hint="eastAsia" w:ascii="宋体" w:hAnsi="宋体" w:eastAsia="宋体" w:cs="宋体"/>
          <w:b w:val="0"/>
          <w:bCs w:val="0"/>
          <w:color w:val="auto"/>
          <w:kern w:val="0"/>
          <w:sz w:val="21"/>
          <w:szCs w:val="21"/>
          <w:highlight w:val="none"/>
          <w:u w:val="none"/>
          <w:lang w:val="en-US" w:eastAsia="zh-CN"/>
        </w:rPr>
        <w:t>。</w:t>
      </w:r>
    </w:p>
    <w:p>
      <w:pPr>
        <w:pStyle w:val="8"/>
        <w:keepNext w:val="0"/>
        <w:keepLines w:val="0"/>
        <w:pageBreakBefore w:val="0"/>
        <w:widowControl w:val="0"/>
        <w:kinsoku/>
        <w:wordWrap/>
        <w:overflowPunct/>
        <w:topLinePunct w:val="0"/>
        <w:autoSpaceDE/>
        <w:autoSpaceDN/>
        <w:bidi w:val="0"/>
        <w:adjustRightInd/>
        <w:snapToGrid/>
        <w:spacing w:line="339" w:lineRule="auto"/>
        <w:ind w:firstLine="420" w:firstLineChars="200"/>
        <w:textAlignment w:val="auto"/>
        <w:rPr>
          <w:rFonts w:hint="eastAsia" w:ascii="宋体" w:hAnsi="宋体" w:cs="宋体"/>
          <w:b w:val="0"/>
          <w:bCs w:val="0"/>
          <w:color w:val="auto"/>
          <w:kern w:val="0"/>
          <w:sz w:val="21"/>
          <w:szCs w:val="21"/>
          <w:highlight w:val="none"/>
          <w:lang w:eastAsia="zh-CN"/>
        </w:rPr>
      </w:pPr>
      <w:r>
        <w:rPr>
          <w:rFonts w:hint="eastAsia" w:ascii="宋体" w:hAnsi="宋体" w:eastAsia="宋体" w:cs="宋体"/>
          <w:b w:val="0"/>
          <w:bCs w:val="0"/>
          <w:color w:val="auto"/>
          <w:kern w:val="0"/>
          <w:sz w:val="21"/>
          <w:szCs w:val="21"/>
          <w:highlight w:val="none"/>
          <w:lang w:val="en-US" w:eastAsia="zh-CN"/>
        </w:rPr>
        <w:t>2.</w:t>
      </w:r>
      <w:r>
        <w:rPr>
          <w:rFonts w:hint="eastAsia" w:ascii="宋体" w:hAnsi="宋体" w:cs="宋体"/>
          <w:b w:val="0"/>
          <w:bCs w:val="0"/>
          <w:color w:val="auto"/>
          <w:kern w:val="0"/>
          <w:sz w:val="21"/>
          <w:szCs w:val="21"/>
          <w:highlight w:val="none"/>
          <w:lang w:val="en-US" w:eastAsia="zh-CN"/>
        </w:rPr>
        <w:t>4</w:t>
      </w:r>
      <w:r>
        <w:rPr>
          <w:rFonts w:hint="eastAsia" w:ascii="宋体" w:hAnsi="宋体" w:eastAsia="宋体" w:cs="宋体"/>
          <w:b w:val="0"/>
          <w:bCs w:val="0"/>
          <w:color w:val="auto"/>
          <w:kern w:val="0"/>
          <w:sz w:val="21"/>
          <w:szCs w:val="21"/>
          <w:highlight w:val="none"/>
          <w:lang w:eastAsia="zh-CN"/>
        </w:rPr>
        <w:t>实施地点：</w:t>
      </w:r>
      <w:r>
        <w:rPr>
          <w:rFonts w:hint="eastAsia" w:ascii="宋体" w:hAnsi="宋体" w:cs="宋体"/>
          <w:b w:val="0"/>
          <w:bCs w:val="0"/>
          <w:color w:val="auto"/>
          <w:kern w:val="0"/>
          <w:sz w:val="21"/>
          <w:szCs w:val="21"/>
          <w:highlight w:val="none"/>
          <w:lang w:val="en-US" w:eastAsia="zh-CN"/>
        </w:rPr>
        <w:t>招标人指定地点（</w:t>
      </w:r>
      <w:r>
        <w:rPr>
          <w:rFonts w:hint="eastAsia" w:ascii="宋体" w:hAnsi="宋体" w:eastAsia="宋体" w:cs="宋体"/>
          <w:b w:val="0"/>
          <w:bCs w:val="0"/>
          <w:color w:val="auto"/>
          <w:kern w:val="0"/>
          <w:sz w:val="21"/>
          <w:szCs w:val="21"/>
          <w:highlight w:val="none"/>
          <w:u w:val="single"/>
          <w:lang w:eastAsia="zh-CN"/>
        </w:rPr>
        <w:t>以招标人通知为准</w:t>
      </w:r>
      <w:r>
        <w:rPr>
          <w:rFonts w:hint="eastAsia" w:ascii="宋体" w:hAnsi="宋体" w:cs="宋体"/>
          <w:b w:val="0"/>
          <w:bCs w:val="0"/>
          <w:color w:val="auto"/>
          <w:kern w:val="0"/>
          <w:sz w:val="21"/>
          <w:szCs w:val="21"/>
          <w:highlight w:val="none"/>
          <w:lang w:val="en-US" w:eastAsia="zh-CN"/>
        </w:rPr>
        <w:t>）</w:t>
      </w:r>
      <w:r>
        <w:rPr>
          <w:rFonts w:hint="eastAsia" w:ascii="宋体" w:hAnsi="宋体" w:eastAsia="宋体" w:cs="宋体"/>
          <w:b w:val="0"/>
          <w:bCs w:val="0"/>
          <w:color w:val="auto"/>
          <w:kern w:val="0"/>
          <w:sz w:val="21"/>
          <w:szCs w:val="21"/>
          <w:highlight w:val="none"/>
          <w:lang w:eastAsia="zh-CN"/>
        </w:rPr>
        <w:t>。</w:t>
      </w:r>
    </w:p>
    <w:p>
      <w:pPr>
        <w:pStyle w:val="8"/>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cs="宋体"/>
          <w:b w:val="0"/>
          <w:bCs w:val="0"/>
          <w:color w:val="auto"/>
          <w:kern w:val="0"/>
          <w:sz w:val="21"/>
          <w:szCs w:val="21"/>
          <w:highlight w:val="none"/>
          <w:lang w:eastAsia="zh-CN"/>
        </w:rPr>
      </w:pPr>
      <w:r>
        <w:rPr>
          <w:rFonts w:hint="eastAsia" w:ascii="宋体" w:hAnsi="宋体" w:cs="宋体"/>
          <w:b w:val="0"/>
          <w:bCs w:val="0"/>
          <w:color w:val="auto"/>
          <w:kern w:val="0"/>
          <w:sz w:val="21"/>
          <w:szCs w:val="21"/>
          <w:highlight w:val="none"/>
          <w:lang w:val="en-US" w:eastAsia="zh-CN"/>
        </w:rPr>
        <w:t>2.5</w:t>
      </w:r>
      <w:r>
        <w:rPr>
          <w:rFonts w:hint="eastAsia" w:ascii="宋体" w:hAnsi="宋体" w:cs="宋体"/>
          <w:b w:val="0"/>
          <w:bCs w:val="0"/>
          <w:color w:val="auto"/>
          <w:kern w:val="0"/>
          <w:sz w:val="21"/>
          <w:szCs w:val="21"/>
          <w:highlight w:val="none"/>
          <w:lang w:eastAsia="zh-CN"/>
        </w:rPr>
        <w:t>服务质量要求：</w:t>
      </w:r>
      <w:r>
        <w:rPr>
          <w:rFonts w:hint="eastAsia" w:ascii="宋体" w:hAnsi="宋体" w:cs="宋体"/>
          <w:b w:val="0"/>
          <w:bCs w:val="0"/>
          <w:color w:val="auto"/>
          <w:kern w:val="0"/>
          <w:sz w:val="21"/>
          <w:szCs w:val="21"/>
          <w:highlight w:val="none"/>
          <w:u w:val="single"/>
          <w:lang w:eastAsia="zh-CN"/>
        </w:rPr>
        <w:t>严格</w:t>
      </w:r>
      <w:r>
        <w:rPr>
          <w:rFonts w:hint="eastAsia" w:ascii="宋体" w:hAnsi="宋体" w:cs="宋体"/>
          <w:b w:val="0"/>
          <w:bCs w:val="0"/>
          <w:color w:val="auto"/>
          <w:kern w:val="0"/>
          <w:sz w:val="21"/>
          <w:szCs w:val="21"/>
          <w:highlight w:val="none"/>
          <w:u w:val="single"/>
          <w:lang w:val="en-US" w:eastAsia="zh-CN"/>
        </w:rPr>
        <w:t>执行《招标代理服务规范》（GB/T 38357-2019），</w:t>
      </w:r>
      <w:r>
        <w:rPr>
          <w:rFonts w:hint="eastAsia" w:ascii="宋体" w:hAnsi="宋体" w:cs="宋体"/>
          <w:b w:val="0"/>
          <w:bCs w:val="0"/>
          <w:color w:val="auto"/>
          <w:kern w:val="0"/>
          <w:sz w:val="21"/>
          <w:szCs w:val="21"/>
          <w:highlight w:val="none"/>
          <w:u w:val="single"/>
          <w:lang w:eastAsia="zh-CN"/>
        </w:rPr>
        <w:t>遵守国家法律法规和政策，认真践行公开、公平、公正和诚实信用的原则， 自觉维护国家、社会公共利益和招标投标当事人的合法权益</w:t>
      </w:r>
      <w:r>
        <w:rPr>
          <w:rFonts w:hint="eastAsia" w:ascii="宋体" w:hAnsi="宋体" w:cs="宋体"/>
          <w:b w:val="0"/>
          <w:bCs w:val="0"/>
          <w:color w:val="auto"/>
          <w:kern w:val="0"/>
          <w:sz w:val="21"/>
          <w:szCs w:val="21"/>
          <w:highlight w:val="none"/>
          <w:lang w:eastAsia="zh-CN"/>
        </w:rPr>
        <w:t>。</w:t>
      </w:r>
    </w:p>
    <w:p>
      <w:pPr>
        <w:pStyle w:val="8"/>
        <w:keepNext w:val="0"/>
        <w:keepLines w:val="0"/>
        <w:pageBreakBefore w:val="0"/>
        <w:widowControl w:val="0"/>
        <w:kinsoku/>
        <w:wordWrap/>
        <w:overflowPunct/>
        <w:topLinePunct w:val="0"/>
        <w:autoSpaceDE/>
        <w:autoSpaceDN/>
        <w:bidi w:val="0"/>
        <w:adjustRightInd/>
        <w:snapToGrid/>
        <w:spacing w:line="339" w:lineRule="auto"/>
        <w:ind w:firstLine="420" w:firstLineChars="200"/>
        <w:textAlignment w:val="auto"/>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2.6本项目不接受联合体投标。</w:t>
      </w:r>
    </w:p>
    <w:p>
      <w:pPr>
        <w:keepNext w:val="0"/>
        <w:keepLines w:val="0"/>
        <w:pageBreakBefore w:val="0"/>
        <w:widowControl/>
        <w:kinsoku/>
        <w:wordWrap/>
        <w:overflowPunct/>
        <w:topLinePunct w:val="0"/>
        <w:autoSpaceDE/>
        <w:autoSpaceDN/>
        <w:bidi w:val="0"/>
        <w:adjustRightInd/>
        <w:snapToGrid/>
        <w:spacing w:line="339" w:lineRule="auto"/>
        <w:ind w:firstLine="420" w:firstLineChars="200"/>
        <w:jc w:val="left"/>
        <w:textAlignment w:val="auto"/>
        <w:outlineLvl w:val="1"/>
        <w:rPr>
          <w:rFonts w:ascii="宋体" w:hAnsi="宋体" w:cs="宋体"/>
          <w:b/>
          <w:bCs/>
          <w:color w:val="auto"/>
          <w:kern w:val="0"/>
          <w:sz w:val="21"/>
          <w:szCs w:val="21"/>
          <w:highlight w:val="none"/>
        </w:rPr>
      </w:pPr>
      <w:bookmarkStart w:id="32" w:name="_Toc14612"/>
      <w:bookmarkStart w:id="33" w:name="_Toc31497"/>
      <w:bookmarkStart w:id="34" w:name="_Toc31580"/>
      <w:bookmarkStart w:id="35" w:name="_Toc28204"/>
      <w:bookmarkStart w:id="36" w:name="_Toc9193"/>
      <w:r>
        <w:rPr>
          <w:rFonts w:hint="eastAsia" w:ascii="黑体" w:hAnsi="黑体" w:eastAsia="黑体" w:cs="黑体"/>
          <w:b/>
          <w:bCs/>
          <w:color w:val="auto"/>
          <w:kern w:val="0"/>
          <w:sz w:val="21"/>
          <w:szCs w:val="21"/>
          <w:highlight w:val="none"/>
          <w:lang w:val="en-US" w:eastAsia="zh-CN"/>
        </w:rPr>
        <w:t>3.</w:t>
      </w:r>
      <w:r>
        <w:rPr>
          <w:rFonts w:hint="eastAsia" w:ascii="黑体" w:hAnsi="黑体" w:eastAsia="黑体" w:cs="黑体"/>
          <w:b/>
          <w:bCs/>
          <w:color w:val="auto"/>
          <w:kern w:val="0"/>
          <w:sz w:val="21"/>
          <w:szCs w:val="21"/>
          <w:highlight w:val="none"/>
          <w:lang w:eastAsia="zh-CN"/>
        </w:rPr>
        <w:t>投标人</w:t>
      </w:r>
      <w:r>
        <w:rPr>
          <w:rFonts w:hint="eastAsia" w:ascii="黑体" w:hAnsi="黑体" w:eastAsia="黑体" w:cs="黑体"/>
          <w:b/>
          <w:bCs/>
          <w:color w:val="auto"/>
          <w:kern w:val="0"/>
          <w:sz w:val="21"/>
          <w:szCs w:val="21"/>
          <w:highlight w:val="none"/>
        </w:rPr>
        <w:t>的资格要求</w:t>
      </w:r>
      <w:bookmarkEnd w:id="32"/>
      <w:bookmarkEnd w:id="33"/>
      <w:bookmarkEnd w:id="34"/>
      <w:bookmarkEnd w:id="35"/>
      <w:bookmarkEnd w:id="36"/>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3.1在中华人民共和国境内注册，具有独立承担民事责任能力的法人或其他组织，提供有效的营业执照。</w:t>
      </w:r>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eastAsia="zh-CN"/>
        </w:rPr>
        <w:t>提供2024年或2025年</w:t>
      </w:r>
      <w:commentRangeStart w:id="1"/>
      <w:r>
        <w:rPr>
          <w:rFonts w:hint="eastAsia" w:ascii="宋体" w:hAnsi="宋体" w:eastAsia="宋体" w:cs="宋体"/>
          <w:color w:val="auto"/>
          <w:sz w:val="21"/>
          <w:szCs w:val="21"/>
          <w:highlight w:val="none"/>
          <w:lang w:eastAsia="zh-CN"/>
        </w:rPr>
        <w:t>经审计的财务报告</w:t>
      </w:r>
      <w:commentRangeEnd w:id="1"/>
      <w:r>
        <w:rPr>
          <w:color w:val="auto"/>
          <w:highlight w:val="none"/>
        </w:rPr>
        <w:commentReference w:id="1"/>
      </w:r>
      <w:r>
        <w:rPr>
          <w:rFonts w:hint="eastAsia" w:ascii="宋体" w:hAnsi="宋体" w:eastAsia="宋体" w:cs="宋体"/>
          <w:color w:val="auto"/>
          <w:sz w:val="21"/>
          <w:szCs w:val="21"/>
          <w:highlight w:val="none"/>
          <w:lang w:eastAsia="zh-CN"/>
        </w:rPr>
        <w:t>（复印件）或近三个月内基本开户银行出具的资信证明（原件或</w:t>
      </w:r>
      <w:r>
        <w:rPr>
          <w:rFonts w:hint="eastAsia" w:ascii="宋体" w:hAnsi="宋体" w:cs="宋体"/>
          <w:color w:val="auto"/>
          <w:sz w:val="21"/>
          <w:szCs w:val="21"/>
          <w:highlight w:val="none"/>
          <w:lang w:val="en-US" w:eastAsia="zh-CN"/>
        </w:rPr>
        <w:t>扫描</w:t>
      </w:r>
      <w:r>
        <w:rPr>
          <w:rFonts w:hint="eastAsia" w:ascii="宋体" w:hAnsi="宋体" w:eastAsia="宋体" w:cs="宋体"/>
          <w:color w:val="auto"/>
          <w:sz w:val="21"/>
          <w:szCs w:val="21"/>
          <w:highlight w:val="none"/>
          <w:lang w:eastAsia="zh-CN"/>
        </w:rPr>
        <w:t>件）（成立时间不足一年的，可提供近三个月内基本开户银行出具的资信证明或自成立至今经第三方审计的财务报告）。</w:t>
      </w:r>
    </w:p>
    <w:p>
      <w:pPr>
        <w:keepNext w:val="0"/>
        <w:keepLines w:val="0"/>
        <w:pageBreakBefore w:val="0"/>
        <w:numPr>
          <w:ilvl w:val="0"/>
          <w:numId w:val="0"/>
        </w:numPr>
        <w:kinsoku/>
        <w:wordWrap w:val="0"/>
        <w:overflowPunct/>
        <w:topLinePunct w:val="0"/>
        <w:autoSpaceDE/>
        <w:autoSpaceDN/>
        <w:bidi w:val="0"/>
        <w:adjustRightInd/>
        <w:snapToGrid/>
        <w:spacing w:line="339" w:lineRule="auto"/>
        <w:ind w:left="0" w:right="0" w:firstLine="420" w:firstLineChars="200"/>
        <w:textAlignment w:val="auto"/>
        <w:rPr>
          <w:rFonts w:hint="eastAsia" w:ascii="宋体" w:hAnsi="宋体" w:cs="宋体"/>
          <w:b w:val="0"/>
          <w:color w:val="auto"/>
          <w:kern w:val="2"/>
          <w:sz w:val="21"/>
          <w:szCs w:val="21"/>
          <w:highlight w:val="none"/>
          <w:lang w:val="en-US" w:eastAsia="zh-CN" w:bidi="ar-SA"/>
        </w:rPr>
      </w:pPr>
      <w:r>
        <w:rPr>
          <w:rFonts w:hint="eastAsia" w:ascii="宋体" w:hAnsi="宋体" w:cs="宋体"/>
          <w:b w:val="0"/>
          <w:color w:val="auto"/>
          <w:kern w:val="2"/>
          <w:sz w:val="21"/>
          <w:szCs w:val="21"/>
          <w:highlight w:val="none"/>
          <w:lang w:val="en-US" w:eastAsia="zh-CN" w:bidi="ar-SA"/>
        </w:rPr>
        <w:t>3.3具有履行合同所必需的设备和专业技术能力（提供证明材料或承诺）；</w:t>
      </w:r>
    </w:p>
    <w:p>
      <w:pPr>
        <w:keepNext w:val="0"/>
        <w:keepLines w:val="0"/>
        <w:pageBreakBefore w:val="0"/>
        <w:numPr>
          <w:ilvl w:val="0"/>
          <w:numId w:val="0"/>
        </w:numPr>
        <w:kinsoku/>
        <w:wordWrap w:val="0"/>
        <w:overflowPunct/>
        <w:topLinePunct w:val="0"/>
        <w:autoSpaceDE/>
        <w:autoSpaceDN/>
        <w:bidi w:val="0"/>
        <w:adjustRightInd/>
        <w:snapToGrid/>
        <w:spacing w:line="339" w:lineRule="auto"/>
        <w:ind w:left="0" w:right="0" w:firstLine="420" w:firstLineChars="200"/>
        <w:textAlignment w:val="auto"/>
        <w:rPr>
          <w:rFonts w:hint="eastAsia" w:ascii="宋体" w:hAnsi="宋体" w:cs="宋体"/>
          <w:b w:val="0"/>
          <w:color w:val="auto"/>
          <w:kern w:val="2"/>
          <w:sz w:val="21"/>
          <w:szCs w:val="21"/>
          <w:highlight w:val="none"/>
          <w:lang w:val="en-US" w:eastAsia="zh-CN" w:bidi="ar-SA"/>
        </w:rPr>
      </w:pPr>
      <w:r>
        <w:rPr>
          <w:rFonts w:hint="eastAsia" w:ascii="宋体" w:hAnsi="宋体" w:cs="宋体"/>
          <w:b w:val="0"/>
          <w:color w:val="auto"/>
          <w:kern w:val="2"/>
          <w:sz w:val="21"/>
          <w:szCs w:val="21"/>
          <w:highlight w:val="none"/>
          <w:lang w:val="en-US" w:eastAsia="zh-CN" w:bidi="ar-SA"/>
        </w:rPr>
        <w:t>3.4有依法缴纳税收的良好记录：缴税所属时间在2024年1月至开标截止日期前连续3个月的税务局税收通用缴款书复印件或银行电子缴税（费）凭证复印件或税务局出具纳税情况的相关证明复印件（成立未满3个月地提供成立以来的相关证明或相关情况说明；依法免税的，应提供相应文件证明其依法免税）（扫描件加盖投标人单位公章）；</w:t>
      </w:r>
    </w:p>
    <w:p>
      <w:pPr>
        <w:keepNext w:val="0"/>
        <w:keepLines w:val="0"/>
        <w:pageBreakBefore w:val="0"/>
        <w:numPr>
          <w:ilvl w:val="0"/>
          <w:numId w:val="0"/>
        </w:numPr>
        <w:kinsoku/>
        <w:wordWrap w:val="0"/>
        <w:overflowPunct/>
        <w:topLinePunct w:val="0"/>
        <w:autoSpaceDE/>
        <w:autoSpaceDN/>
        <w:bidi w:val="0"/>
        <w:adjustRightInd/>
        <w:snapToGrid/>
        <w:spacing w:line="339" w:lineRule="auto"/>
        <w:ind w:left="0" w:right="0" w:firstLine="420" w:firstLineChars="200"/>
        <w:textAlignment w:val="auto"/>
        <w:rPr>
          <w:rFonts w:hint="default" w:ascii="宋体" w:hAnsi="宋体" w:eastAsia="宋体" w:cs="宋体"/>
          <w:b w:val="0"/>
          <w:color w:val="auto"/>
          <w:kern w:val="2"/>
          <w:sz w:val="21"/>
          <w:szCs w:val="21"/>
          <w:highlight w:val="none"/>
          <w:lang w:val="en-US" w:eastAsia="zh-CN" w:bidi="ar-SA"/>
        </w:rPr>
      </w:pPr>
      <w:bookmarkStart w:id="37" w:name="_Toc2015"/>
      <w:bookmarkStart w:id="38" w:name="_Toc8869"/>
      <w:bookmarkStart w:id="39" w:name="_Toc29042"/>
      <w:bookmarkStart w:id="40" w:name="_Toc28084"/>
      <w:r>
        <w:rPr>
          <w:rFonts w:hint="eastAsia" w:ascii="宋体" w:hAnsi="宋体" w:eastAsia="宋体" w:cs="宋体"/>
          <w:b w:val="0"/>
          <w:color w:val="auto"/>
          <w:kern w:val="2"/>
          <w:sz w:val="21"/>
          <w:szCs w:val="21"/>
          <w:highlight w:val="none"/>
          <w:lang w:val="en-US" w:eastAsia="zh-CN" w:bidi="ar-SA"/>
        </w:rPr>
        <w:t>3.5有依法缴纳社会保障资金的良好记录：缴费所属时间在2024年1月至开标截止日期前连续3个月的社会保险费缴款书复印件或银行电子缴税（费）凭证复印件或社保管理部门出具的有效的缴款证明复印件（成立未满3个月的提供成立以来的社会保险费缴纳证明或相关情况说明；不需要缴纳社会保险费的，应提供相应文件证明其不需要缴纳社会保险费）（</w:t>
      </w:r>
      <w:r>
        <w:rPr>
          <w:rFonts w:hint="eastAsia" w:ascii="宋体" w:hAnsi="宋体" w:cs="宋体"/>
          <w:b w:val="0"/>
          <w:color w:val="auto"/>
          <w:kern w:val="2"/>
          <w:sz w:val="21"/>
          <w:szCs w:val="21"/>
          <w:highlight w:val="none"/>
          <w:lang w:val="en-US" w:eastAsia="zh-CN" w:bidi="ar-SA"/>
        </w:rPr>
        <w:t>扫描</w:t>
      </w:r>
      <w:r>
        <w:rPr>
          <w:rFonts w:hint="eastAsia" w:ascii="宋体" w:hAnsi="宋体" w:eastAsia="宋体" w:cs="宋体"/>
          <w:b w:val="0"/>
          <w:color w:val="auto"/>
          <w:kern w:val="2"/>
          <w:sz w:val="21"/>
          <w:szCs w:val="21"/>
          <w:highlight w:val="none"/>
          <w:lang w:val="en-US" w:eastAsia="zh-CN" w:bidi="ar-SA"/>
        </w:rPr>
        <w:t>件加盖投标人单位公章）；</w:t>
      </w:r>
    </w:p>
    <w:p>
      <w:pPr>
        <w:keepNext w:val="0"/>
        <w:keepLines w:val="0"/>
        <w:pageBreakBefore w:val="0"/>
        <w:numPr>
          <w:ilvl w:val="0"/>
          <w:numId w:val="0"/>
        </w:numPr>
        <w:kinsoku/>
        <w:wordWrap w:val="0"/>
        <w:overflowPunct/>
        <w:topLinePunct w:val="0"/>
        <w:autoSpaceDE/>
        <w:autoSpaceDN/>
        <w:bidi w:val="0"/>
        <w:adjustRightInd/>
        <w:snapToGrid/>
        <w:spacing w:line="339" w:lineRule="auto"/>
        <w:ind w:left="0" w:right="0"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3.6参加投标活动前三年内，在经营活动中没有重大违法记录：提供参加采购活动前3年内在经营活动中没有重大违法记录的声明（重大违法记录，是指投标人因违法经营受到刑事处罚或者责令停产停业、吊销许可证或者执照、较大数额罚款等行政处罚）；</w:t>
      </w:r>
    </w:p>
    <w:p>
      <w:pPr>
        <w:keepNext w:val="0"/>
        <w:keepLines w:val="0"/>
        <w:pageBreakBefore w:val="0"/>
        <w:numPr>
          <w:ilvl w:val="0"/>
          <w:numId w:val="0"/>
        </w:numPr>
        <w:kinsoku/>
        <w:wordWrap w:val="0"/>
        <w:overflowPunct/>
        <w:topLinePunct w:val="0"/>
        <w:autoSpaceDE/>
        <w:autoSpaceDN/>
        <w:bidi w:val="0"/>
        <w:adjustRightInd/>
        <w:snapToGrid/>
        <w:spacing w:line="339" w:lineRule="auto"/>
        <w:ind w:left="0" w:right="0"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3.7法律、行政法规规定的其他条件（提供声明函或证明材料）；</w:t>
      </w:r>
    </w:p>
    <w:p>
      <w:pPr>
        <w:keepNext w:val="0"/>
        <w:keepLines w:val="0"/>
        <w:pageBreakBefore w:val="0"/>
        <w:numPr>
          <w:ilvl w:val="0"/>
          <w:numId w:val="0"/>
        </w:numPr>
        <w:kinsoku/>
        <w:wordWrap w:val="0"/>
        <w:overflowPunct/>
        <w:topLinePunct w:val="0"/>
        <w:autoSpaceDE/>
        <w:autoSpaceDN/>
        <w:bidi w:val="0"/>
        <w:adjustRightInd/>
        <w:snapToGrid/>
        <w:spacing w:line="339" w:lineRule="auto"/>
        <w:ind w:left="0" w:right="0"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cs="宋体"/>
          <w:b w:val="0"/>
          <w:color w:val="auto"/>
          <w:kern w:val="2"/>
          <w:sz w:val="21"/>
          <w:szCs w:val="21"/>
          <w:highlight w:val="none"/>
          <w:lang w:val="en-US" w:eastAsia="zh-CN" w:bidi="ar-SA"/>
        </w:rPr>
        <w:t>3.8</w:t>
      </w:r>
      <w:r>
        <w:rPr>
          <w:rFonts w:hint="eastAsia" w:ascii="宋体" w:hAnsi="宋体" w:eastAsia="宋体" w:cs="宋体"/>
          <w:b w:val="0"/>
          <w:color w:val="auto"/>
          <w:kern w:val="2"/>
          <w:sz w:val="21"/>
          <w:szCs w:val="21"/>
          <w:highlight w:val="none"/>
          <w:lang w:val="en-US" w:eastAsia="zh-CN" w:bidi="ar-SA"/>
        </w:rPr>
        <w:t>本项目的特定资格要求：</w:t>
      </w:r>
    </w:p>
    <w:p>
      <w:pPr>
        <w:keepNext w:val="0"/>
        <w:keepLines w:val="0"/>
        <w:pageBreakBefore w:val="0"/>
        <w:numPr>
          <w:ilvl w:val="0"/>
          <w:numId w:val="0"/>
        </w:numPr>
        <w:kinsoku/>
        <w:wordWrap w:val="0"/>
        <w:overflowPunct/>
        <w:topLinePunct w:val="0"/>
        <w:autoSpaceDE/>
        <w:autoSpaceDN/>
        <w:bidi w:val="0"/>
        <w:adjustRightInd/>
        <w:snapToGrid/>
        <w:spacing w:line="339" w:lineRule="auto"/>
        <w:ind w:left="0" w:right="0"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cs="宋体"/>
          <w:b w:val="0"/>
          <w:color w:val="auto"/>
          <w:kern w:val="2"/>
          <w:sz w:val="21"/>
          <w:szCs w:val="21"/>
          <w:highlight w:val="none"/>
          <w:lang w:val="en-US" w:eastAsia="zh-CN" w:bidi="ar-SA"/>
        </w:rPr>
        <w:t>3.8.1</w:t>
      </w:r>
      <w:r>
        <w:rPr>
          <w:rFonts w:hint="eastAsia" w:ascii="宋体" w:hAnsi="宋体" w:eastAsia="宋体" w:cs="宋体"/>
          <w:b w:val="0"/>
          <w:color w:val="auto"/>
          <w:kern w:val="2"/>
          <w:sz w:val="21"/>
          <w:szCs w:val="21"/>
          <w:highlight w:val="none"/>
          <w:lang w:val="en-US" w:eastAsia="zh-CN" w:bidi="ar-SA"/>
        </w:rPr>
        <w:t>办理我单位招标的项目负责人、</w:t>
      </w:r>
      <w:commentRangeStart w:id="2"/>
      <w:r>
        <w:rPr>
          <w:rFonts w:hint="eastAsia" w:ascii="宋体" w:hAnsi="宋体" w:eastAsia="宋体" w:cs="宋体"/>
          <w:b w:val="0"/>
          <w:color w:val="auto"/>
          <w:kern w:val="2"/>
          <w:sz w:val="21"/>
          <w:szCs w:val="21"/>
          <w:highlight w:val="none"/>
          <w:lang w:val="en-US" w:eastAsia="zh-CN" w:bidi="ar-SA"/>
        </w:rPr>
        <w:t>技术负责人</w:t>
      </w:r>
      <w:commentRangeEnd w:id="2"/>
      <w:r>
        <w:rPr>
          <w:color w:val="auto"/>
          <w:highlight w:val="none"/>
        </w:rPr>
        <w:commentReference w:id="2"/>
      </w:r>
      <w:r>
        <w:rPr>
          <w:rFonts w:hint="eastAsia" w:ascii="宋体" w:hAnsi="宋体" w:eastAsia="宋体" w:cs="宋体"/>
          <w:b w:val="0"/>
          <w:color w:val="auto"/>
          <w:kern w:val="2"/>
          <w:sz w:val="21"/>
          <w:szCs w:val="21"/>
          <w:highlight w:val="none"/>
          <w:lang w:val="en-US" w:eastAsia="zh-CN" w:bidi="ar-SA"/>
        </w:rPr>
        <w:t>及拟投入本项目主要人员必须全部为代理机构正式员工【即由代理机构直接与项目负责人、技术负责人、拟投入本项目主要人员签订合法有效的劳动合同并为其缴纳社会保险，提供劳动合同复印件及连续3个月以上（含3个月）社会保险缴纳证明材料；成立未满3个月的提供劳动合同复印件及成立以来的社会保险费缴纳证明或相关情况说明；不需要缴纳社会保险费的，应提供劳动合同及相应文件证明其不需要缴纳社会保险费】，服务期间未经招标人同意不得更换（提供承诺函）。</w:t>
      </w:r>
    </w:p>
    <w:p>
      <w:pPr>
        <w:keepNext w:val="0"/>
        <w:keepLines w:val="0"/>
        <w:pageBreakBefore w:val="0"/>
        <w:numPr>
          <w:ilvl w:val="0"/>
          <w:numId w:val="0"/>
        </w:numPr>
        <w:kinsoku/>
        <w:wordWrap w:val="0"/>
        <w:overflowPunct/>
        <w:topLinePunct w:val="0"/>
        <w:autoSpaceDE/>
        <w:autoSpaceDN/>
        <w:bidi w:val="0"/>
        <w:adjustRightInd/>
        <w:snapToGrid/>
        <w:spacing w:line="339" w:lineRule="auto"/>
        <w:ind w:left="0" w:right="0"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3.8.</w:t>
      </w:r>
      <w:r>
        <w:rPr>
          <w:rFonts w:hint="eastAsia" w:ascii="宋体" w:hAnsi="宋体" w:cs="宋体"/>
          <w:b w:val="0"/>
          <w:color w:val="auto"/>
          <w:kern w:val="2"/>
          <w:sz w:val="21"/>
          <w:szCs w:val="21"/>
          <w:highlight w:val="none"/>
          <w:lang w:val="en-US" w:eastAsia="zh-CN" w:bidi="ar-SA"/>
        </w:rPr>
        <w:t>2</w:t>
      </w:r>
      <w:r>
        <w:rPr>
          <w:rFonts w:hint="eastAsia" w:ascii="宋体" w:hAnsi="宋体" w:eastAsia="宋体" w:cs="宋体"/>
          <w:b w:val="0"/>
          <w:color w:val="auto"/>
          <w:kern w:val="2"/>
          <w:sz w:val="21"/>
          <w:szCs w:val="21"/>
          <w:highlight w:val="none"/>
          <w:lang w:val="en-US" w:eastAsia="zh-CN" w:bidi="ar-SA"/>
        </w:rPr>
        <w:t>投标人、法定代表人及拟投入本项目的团队人员在近三年内经营活动、采购活动中无行贿受贿犯罪记录（提供承诺函）。</w:t>
      </w:r>
    </w:p>
    <w:p>
      <w:pPr>
        <w:keepNext w:val="0"/>
        <w:keepLines w:val="0"/>
        <w:pageBreakBefore w:val="0"/>
        <w:numPr>
          <w:ilvl w:val="0"/>
          <w:numId w:val="0"/>
        </w:numPr>
        <w:kinsoku/>
        <w:wordWrap w:val="0"/>
        <w:overflowPunct/>
        <w:topLinePunct w:val="0"/>
        <w:autoSpaceDE/>
        <w:autoSpaceDN/>
        <w:bidi w:val="0"/>
        <w:adjustRightInd/>
        <w:snapToGrid/>
        <w:spacing w:line="339" w:lineRule="auto"/>
        <w:ind w:left="0" w:right="0"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3.8.</w:t>
      </w:r>
      <w:r>
        <w:rPr>
          <w:rFonts w:hint="eastAsia" w:ascii="宋体" w:hAnsi="宋体" w:cs="宋体"/>
          <w:b w:val="0"/>
          <w:color w:val="auto"/>
          <w:kern w:val="2"/>
          <w:sz w:val="21"/>
          <w:szCs w:val="21"/>
          <w:highlight w:val="none"/>
          <w:lang w:val="en-US" w:eastAsia="zh-CN" w:bidi="ar-SA"/>
        </w:rPr>
        <w:t>3</w:t>
      </w:r>
      <w:r>
        <w:rPr>
          <w:rFonts w:hint="eastAsia" w:ascii="宋体" w:hAnsi="宋体" w:eastAsia="宋体" w:cs="宋体"/>
          <w:b w:val="0"/>
          <w:color w:val="auto"/>
          <w:kern w:val="2"/>
          <w:sz w:val="21"/>
          <w:szCs w:val="21"/>
          <w:highlight w:val="none"/>
          <w:lang w:val="en-US" w:eastAsia="zh-CN" w:bidi="ar-SA"/>
        </w:rPr>
        <w:t>投标人、法定代表人及拟投入本项目的团队人员在近三年内采购活动中无泄密、违法违规干预正常采购行为记录（提供承诺函）。</w:t>
      </w:r>
    </w:p>
    <w:p>
      <w:pPr>
        <w:keepNext w:val="0"/>
        <w:keepLines w:val="0"/>
        <w:pageBreakBefore w:val="0"/>
        <w:numPr>
          <w:ilvl w:val="0"/>
          <w:numId w:val="0"/>
        </w:numPr>
        <w:kinsoku/>
        <w:wordWrap w:val="0"/>
        <w:overflowPunct/>
        <w:topLinePunct w:val="0"/>
        <w:autoSpaceDE/>
        <w:autoSpaceDN/>
        <w:bidi w:val="0"/>
        <w:adjustRightInd/>
        <w:snapToGrid/>
        <w:spacing w:line="339" w:lineRule="auto"/>
        <w:ind w:left="0" w:right="0"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3.8.</w:t>
      </w:r>
      <w:r>
        <w:rPr>
          <w:rFonts w:hint="eastAsia" w:ascii="宋体" w:hAnsi="宋体" w:cs="宋体"/>
          <w:b w:val="0"/>
          <w:color w:val="auto"/>
          <w:kern w:val="2"/>
          <w:sz w:val="21"/>
          <w:szCs w:val="21"/>
          <w:highlight w:val="none"/>
          <w:lang w:val="en-US" w:eastAsia="zh-CN" w:bidi="ar-SA"/>
        </w:rPr>
        <w:t>4</w:t>
      </w:r>
      <w:r>
        <w:rPr>
          <w:rFonts w:hint="eastAsia" w:ascii="宋体" w:hAnsi="宋体" w:eastAsia="宋体" w:cs="宋体"/>
          <w:b w:val="0"/>
          <w:color w:val="auto"/>
          <w:kern w:val="2"/>
          <w:sz w:val="21"/>
          <w:szCs w:val="21"/>
          <w:highlight w:val="none"/>
          <w:lang w:val="en-US" w:eastAsia="zh-CN" w:bidi="ar-SA"/>
        </w:rPr>
        <w:t>招标人将于评审前在“信用中国”网站（www.creditchina.gov.cn）失信被执行人、重大税收违法失信主体名单及中国政府采购网（www.ccgp.gov.cn）“政府采购严重违法失信行为信息记录”对投标人进行信用信息查询。查询记录为上述网站信用信息查询结果的网页截图或网页打印稿。投标人存在不良信用记录的，不得参与本次采购活动（招标人于评审开始前查询）。</w:t>
      </w:r>
    </w:p>
    <w:p>
      <w:pPr>
        <w:keepNext w:val="0"/>
        <w:keepLines w:val="0"/>
        <w:pageBreakBefore w:val="0"/>
        <w:numPr>
          <w:ilvl w:val="0"/>
          <w:numId w:val="0"/>
        </w:numPr>
        <w:kinsoku/>
        <w:wordWrap w:val="0"/>
        <w:overflowPunct/>
        <w:topLinePunct w:val="0"/>
        <w:autoSpaceDE/>
        <w:autoSpaceDN/>
        <w:bidi w:val="0"/>
        <w:adjustRightInd/>
        <w:snapToGrid/>
        <w:spacing w:line="339" w:lineRule="auto"/>
        <w:ind w:left="0" w:right="0"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3.8.</w:t>
      </w:r>
      <w:r>
        <w:rPr>
          <w:rFonts w:hint="eastAsia" w:ascii="宋体" w:hAnsi="宋体" w:cs="宋体"/>
          <w:b w:val="0"/>
          <w:color w:val="auto"/>
          <w:kern w:val="2"/>
          <w:sz w:val="21"/>
          <w:szCs w:val="21"/>
          <w:highlight w:val="none"/>
          <w:lang w:val="en-US" w:eastAsia="zh-CN" w:bidi="ar-SA"/>
        </w:rPr>
        <w:t>5</w:t>
      </w:r>
      <w:r>
        <w:rPr>
          <w:rFonts w:hint="eastAsia" w:ascii="宋体" w:hAnsi="宋体" w:eastAsia="宋体" w:cs="宋体"/>
          <w:b w:val="0"/>
          <w:color w:val="auto"/>
          <w:kern w:val="2"/>
          <w:sz w:val="21"/>
          <w:szCs w:val="21"/>
          <w:highlight w:val="none"/>
          <w:lang w:val="en-US" w:eastAsia="zh-CN" w:bidi="ar-SA"/>
        </w:rPr>
        <w:t>单位负责人为同一人或者存在直接控股、管理关系的不同投标人，不得参加同一合同项下的采购活动。为本项目或本单位项目提供整体设计、规范编制、咨询或者项目管理、监理、检测等服务的投标人，不得再参加本项目的采购活动（提供承诺函）。</w:t>
      </w:r>
    </w:p>
    <w:p>
      <w:pPr>
        <w:keepNext w:val="0"/>
        <w:keepLines w:val="0"/>
        <w:pageBreakBefore w:val="0"/>
        <w:numPr>
          <w:ilvl w:val="0"/>
          <w:numId w:val="0"/>
        </w:numPr>
        <w:kinsoku/>
        <w:wordWrap w:val="0"/>
        <w:overflowPunct/>
        <w:topLinePunct w:val="0"/>
        <w:autoSpaceDE/>
        <w:autoSpaceDN/>
        <w:bidi w:val="0"/>
        <w:adjustRightInd/>
        <w:snapToGrid/>
        <w:spacing w:line="339" w:lineRule="auto"/>
        <w:ind w:left="0" w:right="0"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3.8.</w:t>
      </w:r>
      <w:r>
        <w:rPr>
          <w:rFonts w:hint="eastAsia" w:ascii="宋体" w:hAnsi="宋体" w:cs="宋体"/>
          <w:b w:val="0"/>
          <w:color w:val="auto"/>
          <w:kern w:val="2"/>
          <w:sz w:val="21"/>
          <w:szCs w:val="21"/>
          <w:highlight w:val="none"/>
          <w:lang w:val="en-US" w:eastAsia="zh-CN" w:bidi="ar-SA"/>
        </w:rPr>
        <w:t>6</w:t>
      </w:r>
      <w:r>
        <w:rPr>
          <w:rFonts w:hint="eastAsia" w:ascii="宋体" w:hAnsi="宋体" w:eastAsia="宋体" w:cs="宋体"/>
          <w:b w:val="0"/>
          <w:color w:val="auto"/>
          <w:kern w:val="2"/>
          <w:sz w:val="21"/>
          <w:szCs w:val="21"/>
          <w:highlight w:val="none"/>
          <w:lang w:val="en-US" w:eastAsia="zh-CN" w:bidi="ar-SA"/>
        </w:rPr>
        <w:t>本项目不</w:t>
      </w:r>
      <w:r>
        <w:rPr>
          <w:rFonts w:hint="eastAsia" w:ascii="宋体" w:hAnsi="宋体" w:cs="宋体"/>
          <w:b w:val="0"/>
          <w:color w:val="auto"/>
          <w:kern w:val="2"/>
          <w:sz w:val="21"/>
          <w:szCs w:val="21"/>
          <w:highlight w:val="none"/>
          <w:lang w:val="en-US" w:eastAsia="zh-CN" w:bidi="ar-SA"/>
        </w:rPr>
        <w:t>允许</w:t>
      </w:r>
      <w:r>
        <w:rPr>
          <w:rFonts w:hint="eastAsia" w:ascii="宋体" w:hAnsi="宋体" w:eastAsia="宋体" w:cs="宋体"/>
          <w:b w:val="0"/>
          <w:color w:val="auto"/>
          <w:kern w:val="2"/>
          <w:sz w:val="21"/>
          <w:szCs w:val="21"/>
          <w:highlight w:val="none"/>
          <w:lang w:val="en-US" w:eastAsia="zh-CN" w:bidi="ar-SA"/>
        </w:rPr>
        <w:t>分包</w:t>
      </w:r>
      <w:r>
        <w:rPr>
          <w:rFonts w:hint="eastAsia" w:ascii="宋体" w:hAnsi="宋体" w:cs="宋体"/>
          <w:b w:val="0"/>
          <w:color w:val="auto"/>
          <w:kern w:val="2"/>
          <w:sz w:val="21"/>
          <w:szCs w:val="21"/>
          <w:highlight w:val="none"/>
          <w:lang w:val="en-US" w:eastAsia="zh-CN" w:bidi="ar-SA"/>
        </w:rPr>
        <w:t>、转包</w:t>
      </w:r>
      <w:r>
        <w:rPr>
          <w:rFonts w:hint="eastAsia" w:ascii="宋体" w:hAnsi="宋体" w:eastAsia="宋体" w:cs="宋体"/>
          <w:b w:val="0"/>
          <w:color w:val="auto"/>
          <w:kern w:val="2"/>
          <w:sz w:val="21"/>
          <w:szCs w:val="21"/>
          <w:highlight w:val="none"/>
          <w:lang w:val="en-US" w:eastAsia="zh-CN" w:bidi="ar-SA"/>
        </w:rPr>
        <w:t>，不得将本项目确定的</w:t>
      </w:r>
      <w:r>
        <w:rPr>
          <w:rFonts w:hint="eastAsia" w:ascii="宋体" w:hAnsi="宋体" w:cs="宋体"/>
          <w:b w:val="0"/>
          <w:color w:val="auto"/>
          <w:kern w:val="2"/>
          <w:sz w:val="21"/>
          <w:szCs w:val="21"/>
          <w:highlight w:val="none"/>
          <w:lang w:val="en-US" w:eastAsia="zh-CN" w:bidi="ar-SA"/>
        </w:rPr>
        <w:t>招标</w:t>
      </w:r>
      <w:r>
        <w:rPr>
          <w:rFonts w:hint="eastAsia" w:ascii="宋体" w:hAnsi="宋体" w:eastAsia="宋体" w:cs="宋体"/>
          <w:b w:val="0"/>
          <w:color w:val="auto"/>
          <w:kern w:val="2"/>
          <w:sz w:val="21"/>
          <w:szCs w:val="21"/>
          <w:highlight w:val="none"/>
          <w:lang w:val="en-US" w:eastAsia="zh-CN" w:bidi="ar-SA"/>
        </w:rPr>
        <w:t>代理服务转让给第三方（提供承诺函）。</w:t>
      </w:r>
      <w:bookmarkEnd w:id="37"/>
      <w:bookmarkEnd w:id="38"/>
      <w:bookmarkEnd w:id="39"/>
      <w:bookmarkEnd w:id="40"/>
    </w:p>
    <w:p>
      <w:pPr>
        <w:keepNext w:val="0"/>
        <w:keepLines w:val="0"/>
        <w:pageBreakBefore w:val="0"/>
        <w:widowControl/>
        <w:kinsoku/>
        <w:wordWrap/>
        <w:overflowPunct/>
        <w:topLinePunct w:val="0"/>
        <w:autoSpaceDE/>
        <w:autoSpaceDN/>
        <w:bidi w:val="0"/>
        <w:adjustRightInd/>
        <w:snapToGrid/>
        <w:spacing w:line="339" w:lineRule="auto"/>
        <w:ind w:firstLine="420" w:firstLineChars="200"/>
        <w:jc w:val="left"/>
        <w:textAlignment w:val="auto"/>
        <w:outlineLvl w:val="1"/>
        <w:rPr>
          <w:rFonts w:hint="eastAsia" w:ascii="黑体" w:hAnsi="黑体" w:eastAsia="黑体" w:cs="黑体"/>
          <w:b/>
          <w:bCs/>
          <w:color w:val="auto"/>
          <w:sz w:val="21"/>
          <w:szCs w:val="21"/>
          <w:highlight w:val="none"/>
        </w:rPr>
      </w:pPr>
      <w:bookmarkStart w:id="41" w:name="_Toc24369"/>
      <w:bookmarkStart w:id="42" w:name="_Toc27131"/>
      <w:bookmarkStart w:id="43" w:name="_Toc12988"/>
      <w:bookmarkStart w:id="44" w:name="_Toc18199"/>
      <w:bookmarkStart w:id="45" w:name="_Toc21924"/>
      <w:r>
        <w:rPr>
          <w:rFonts w:hint="eastAsia" w:ascii="黑体" w:hAnsi="黑体" w:eastAsia="黑体" w:cs="黑体"/>
          <w:b/>
          <w:bCs/>
          <w:color w:val="auto"/>
          <w:sz w:val="21"/>
          <w:szCs w:val="21"/>
          <w:highlight w:val="none"/>
          <w:lang w:val="en-US" w:eastAsia="zh-CN"/>
        </w:rPr>
        <w:t>4.</w:t>
      </w:r>
      <w:r>
        <w:rPr>
          <w:rFonts w:hint="eastAsia" w:ascii="黑体" w:hAnsi="黑体" w:eastAsia="黑体" w:cs="黑体"/>
          <w:b/>
          <w:bCs/>
          <w:color w:val="auto"/>
          <w:sz w:val="21"/>
          <w:szCs w:val="21"/>
          <w:highlight w:val="none"/>
        </w:rPr>
        <w:t>招标文件的获取</w:t>
      </w:r>
      <w:bookmarkEnd w:id="41"/>
      <w:bookmarkEnd w:id="42"/>
      <w:bookmarkEnd w:id="43"/>
      <w:bookmarkEnd w:id="44"/>
      <w:bookmarkEnd w:id="45"/>
    </w:p>
    <w:p>
      <w:pPr>
        <w:keepNext w:val="0"/>
        <w:keepLines w:val="0"/>
        <w:pageBreakBefore w:val="0"/>
        <w:widowControl/>
        <w:kinsoku/>
        <w:overflowPunct/>
        <w:topLinePunct w:val="0"/>
        <w:autoSpaceDE/>
        <w:autoSpaceDN/>
        <w:bidi w:val="0"/>
        <w:adjustRightInd/>
        <w:snapToGrid/>
        <w:spacing w:line="339" w:lineRule="auto"/>
        <w:ind w:firstLine="420" w:firstLineChars="200"/>
        <w:jc w:val="left"/>
        <w:textAlignment w:val="auto"/>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lang w:val="en-US" w:eastAsia="zh-CN"/>
        </w:rPr>
        <w:t>时间：</w:t>
      </w:r>
      <w:r>
        <w:rPr>
          <w:rFonts w:hint="eastAsia" w:ascii="宋体" w:hAnsi="宋体" w:cs="宋体"/>
          <w:color w:val="auto"/>
          <w:sz w:val="21"/>
          <w:szCs w:val="21"/>
          <w:highlight w:val="none"/>
          <w:u w:val="single"/>
          <w:lang w:val="en-US" w:eastAsia="zh-CN"/>
        </w:rPr>
        <w:t>2026年4月 1 日18时00分至2026年4月8日23时59分</w:t>
      </w:r>
    </w:p>
    <w:p>
      <w:pPr>
        <w:keepNext w:val="0"/>
        <w:keepLines w:val="0"/>
        <w:pageBreakBefore w:val="0"/>
        <w:widowControl/>
        <w:kinsoku/>
        <w:overflowPunct/>
        <w:topLinePunct w:val="0"/>
        <w:autoSpaceDE/>
        <w:autoSpaceDN/>
        <w:bidi w:val="0"/>
        <w:adjustRightInd/>
        <w:snapToGrid/>
        <w:spacing w:line="339" w:lineRule="auto"/>
        <w:ind w:firstLine="420" w:firstLineChars="200"/>
        <w:jc w:val="left"/>
        <w:textAlignment w:val="auto"/>
        <w:rPr>
          <w:rFonts w:hint="eastAsia" w:ascii="宋体" w:hAnsi="宋体" w:cs="宋体"/>
          <w:color w:val="auto"/>
          <w:sz w:val="21"/>
          <w:szCs w:val="21"/>
          <w:highlight w:val="none"/>
          <w:lang w:val="en-US" w:eastAsia="zh-CN"/>
        </w:rPr>
      </w:pPr>
      <w:bookmarkStart w:id="46" w:name="OLE_LINK3"/>
      <w:r>
        <w:rPr>
          <w:rFonts w:hint="eastAsia" w:ascii="宋体" w:hAnsi="宋体" w:cs="宋体"/>
          <w:color w:val="auto"/>
          <w:sz w:val="21"/>
          <w:szCs w:val="21"/>
          <w:highlight w:val="none"/>
          <w:lang w:val="en-US" w:eastAsia="zh-CN"/>
        </w:rPr>
        <w:t>地点：</w:t>
      </w:r>
      <w:r>
        <w:rPr>
          <w:rFonts w:hint="eastAsia" w:ascii="宋体" w:hAnsi="宋体" w:cs="宋体"/>
          <w:color w:val="auto"/>
          <w:sz w:val="21"/>
          <w:szCs w:val="21"/>
          <w:highlight w:val="none"/>
          <w:u w:val="single"/>
          <w:lang w:val="en-US" w:eastAsia="zh-CN"/>
        </w:rPr>
        <w:t>云南省公共资源交易信息网（http://ggzy.yn.gov.cn/）</w:t>
      </w:r>
    </w:p>
    <w:p>
      <w:pPr>
        <w:keepNext w:val="0"/>
        <w:keepLines w:val="0"/>
        <w:pageBreakBefore w:val="0"/>
        <w:widowControl/>
        <w:kinsoku/>
        <w:overflowPunct/>
        <w:topLinePunct w:val="0"/>
        <w:autoSpaceDE/>
        <w:autoSpaceDN/>
        <w:bidi w:val="0"/>
        <w:adjustRightInd/>
        <w:snapToGrid/>
        <w:spacing w:line="339" w:lineRule="auto"/>
        <w:ind w:firstLine="420" w:firstLineChars="200"/>
        <w:jc w:val="left"/>
        <w:textAlignment w:val="auto"/>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lang w:val="en-US" w:eastAsia="zh-CN"/>
        </w:rPr>
        <w:t>方式：</w:t>
      </w:r>
      <w:r>
        <w:rPr>
          <w:rFonts w:hint="eastAsia" w:ascii="宋体" w:hAnsi="宋体" w:cs="宋体"/>
          <w:color w:val="auto"/>
          <w:sz w:val="21"/>
          <w:szCs w:val="21"/>
          <w:highlight w:val="none"/>
          <w:u w:val="single"/>
          <w:lang w:val="en-US" w:eastAsia="zh-CN"/>
        </w:rPr>
        <w:t>网上获取</w:t>
      </w:r>
    </w:p>
    <w:p>
      <w:pPr>
        <w:keepNext w:val="0"/>
        <w:keepLines w:val="0"/>
        <w:pageBreakBefore w:val="0"/>
        <w:widowControl/>
        <w:kinsoku/>
        <w:overflowPunct/>
        <w:topLinePunct w:val="0"/>
        <w:autoSpaceDE/>
        <w:autoSpaceDN/>
        <w:bidi w:val="0"/>
        <w:adjustRightInd/>
        <w:snapToGrid/>
        <w:spacing w:line="339" w:lineRule="auto"/>
        <w:ind w:firstLine="420" w:firstLineChars="200"/>
        <w:jc w:val="lef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凭企业数字证书（CA）在网上报名并获取招标文件及其他招标资料（含电子招标文件，格式为*.ZCZBJ）；未办理企业数字证书（CA）的企业需要按照云南省公共资源交易电子认证的要求，办理企业数字证书（CA），登录云南省公共资源交易信息网（http://ggzy.yn.gov.cn/）完成注册通过并在网上申请数字证书，便可获取招标文件，此为获取招标文件的唯一途径。</w:t>
      </w:r>
    </w:p>
    <w:p>
      <w:pPr>
        <w:keepNext w:val="0"/>
        <w:keepLines w:val="0"/>
        <w:pageBreakBefore w:val="0"/>
        <w:widowControl/>
        <w:kinsoku/>
        <w:overflowPunct/>
        <w:topLinePunct w:val="0"/>
        <w:autoSpaceDE/>
        <w:autoSpaceDN/>
        <w:bidi w:val="0"/>
        <w:adjustRightInd/>
        <w:snapToGrid/>
        <w:spacing w:line="339" w:lineRule="auto"/>
        <w:ind w:firstLine="420" w:firstLineChars="200"/>
        <w:jc w:val="lef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各投标人应当登录门户网站云南省公共资源交易信息网（http://ggzy.yn.gov.cn/），在“下载专区”——“工具下载”中下载最新的“驱动程序安装包”，并正确安装该驱动程序，以保证CA证书能正常登录。关于办理数字证书（CA）的相关问题或CA不能登录的，请联系临沧市数字证书（CA）办理点进行咨询（关于CA证书相关问题咨询电话：0871-65385613、0883-2155710，24小时客服热线: 400-6727-666）</w:t>
      </w:r>
      <w:bookmarkEnd w:id="46"/>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39" w:lineRule="auto"/>
        <w:ind w:firstLine="420" w:firstLineChars="200"/>
        <w:textAlignment w:val="auto"/>
        <w:outlineLvl w:val="1"/>
        <w:rPr>
          <w:rFonts w:hint="eastAsia" w:ascii="宋体" w:hAnsi="宋体" w:eastAsia="宋体" w:cs="宋体"/>
          <w:b/>
          <w:bCs/>
          <w:color w:val="auto"/>
          <w:sz w:val="21"/>
          <w:szCs w:val="21"/>
          <w:highlight w:val="none"/>
        </w:rPr>
      </w:pPr>
      <w:bookmarkStart w:id="47" w:name="_Toc10807"/>
      <w:bookmarkStart w:id="48" w:name="_Toc7220"/>
      <w:bookmarkStart w:id="49" w:name="_Toc28359015"/>
      <w:bookmarkStart w:id="50" w:name="_Toc28359092"/>
      <w:bookmarkStart w:id="51" w:name="_Toc7375"/>
      <w:bookmarkStart w:id="52" w:name="_Toc35393801"/>
      <w:bookmarkStart w:id="53" w:name="_Toc6850"/>
      <w:bookmarkStart w:id="54" w:name="_Toc8256"/>
      <w:bookmarkStart w:id="55" w:name="_Toc35393632"/>
      <w:r>
        <w:rPr>
          <w:rFonts w:hint="eastAsia" w:ascii="黑体" w:hAnsi="黑体" w:eastAsia="黑体" w:cs="黑体"/>
          <w:b/>
          <w:bCs/>
          <w:color w:val="auto"/>
          <w:sz w:val="21"/>
          <w:szCs w:val="21"/>
          <w:highlight w:val="none"/>
          <w:lang w:val="en-US" w:eastAsia="zh-CN"/>
        </w:rPr>
        <w:t>5.</w:t>
      </w:r>
      <w:r>
        <w:rPr>
          <w:rFonts w:hint="eastAsia" w:ascii="黑体" w:hAnsi="黑体" w:eastAsia="黑体" w:cs="黑体"/>
          <w:b/>
          <w:bCs/>
          <w:color w:val="auto"/>
          <w:sz w:val="21"/>
          <w:szCs w:val="21"/>
          <w:highlight w:val="none"/>
          <w:lang w:eastAsia="zh-CN"/>
        </w:rPr>
        <w:t>投标文件</w:t>
      </w:r>
      <w:r>
        <w:rPr>
          <w:rFonts w:hint="eastAsia" w:ascii="黑体" w:hAnsi="黑体" w:eastAsia="黑体" w:cs="黑体"/>
          <w:b/>
          <w:bCs/>
          <w:color w:val="auto"/>
          <w:sz w:val="21"/>
          <w:szCs w:val="21"/>
          <w:highlight w:val="none"/>
        </w:rPr>
        <w:t>提交</w:t>
      </w:r>
      <w:bookmarkEnd w:id="47"/>
      <w:bookmarkEnd w:id="48"/>
      <w:bookmarkEnd w:id="49"/>
      <w:bookmarkEnd w:id="50"/>
      <w:bookmarkEnd w:id="51"/>
      <w:bookmarkEnd w:id="52"/>
      <w:bookmarkEnd w:id="53"/>
      <w:bookmarkEnd w:id="54"/>
      <w:bookmarkEnd w:id="55"/>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递交</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文件截止时间：</w:t>
      </w:r>
      <w:r>
        <w:rPr>
          <w:rFonts w:hint="eastAsia" w:ascii="宋体" w:hAnsi="宋体" w:eastAsia="宋体" w:cs="宋体"/>
          <w:color w:val="auto"/>
          <w:sz w:val="21"/>
          <w:szCs w:val="21"/>
          <w:highlight w:val="none"/>
          <w:u w:val="single"/>
        </w:rPr>
        <w:t>202</w:t>
      </w:r>
      <w:r>
        <w:rPr>
          <w:rFonts w:hint="eastAsia" w:ascii="宋体" w:hAnsi="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23</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u w:val="single"/>
          <w:lang w:val="en-US" w:eastAsia="zh-CN"/>
        </w:rPr>
        <w:t>09</w:t>
      </w:r>
      <w:r>
        <w:rPr>
          <w:rFonts w:hint="eastAsia" w:ascii="宋体" w:hAnsi="宋体" w:eastAsia="宋体" w:cs="宋体"/>
          <w:color w:val="auto"/>
          <w:sz w:val="21"/>
          <w:szCs w:val="21"/>
          <w:highlight w:val="none"/>
          <w:u w:val="single"/>
        </w:rPr>
        <w:t>时</w:t>
      </w:r>
      <w:r>
        <w:rPr>
          <w:rFonts w:hint="eastAsia" w:ascii="宋体" w:hAnsi="宋体" w:eastAsia="宋体" w:cs="宋体"/>
          <w:color w:val="auto"/>
          <w:sz w:val="21"/>
          <w:szCs w:val="21"/>
          <w:highlight w:val="none"/>
          <w:u w:val="single"/>
          <w:lang w:val="en-US" w:eastAsia="zh-CN"/>
        </w:rPr>
        <w:t>00</w:t>
      </w:r>
      <w:r>
        <w:rPr>
          <w:rFonts w:hint="eastAsia" w:ascii="宋体" w:hAnsi="宋体" w:eastAsia="宋体" w:cs="宋体"/>
          <w:color w:val="auto"/>
          <w:sz w:val="21"/>
          <w:szCs w:val="21"/>
          <w:highlight w:val="none"/>
          <w:u w:val="single"/>
        </w:rPr>
        <w:t>分</w:t>
      </w:r>
      <w:bookmarkStart w:id="662" w:name="_GoBack"/>
      <w:bookmarkEnd w:id="662"/>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递交</w:t>
      </w: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u w:val="single"/>
          <w:lang w:eastAsia="zh-CN"/>
        </w:rPr>
        <w:t>云南省公共资源交易信息网（http://ggzy.yn.gov.cn/）</w:t>
      </w:r>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eastAsia="宋体" w:cs="宋体"/>
          <w:color w:val="auto"/>
          <w:sz w:val="21"/>
          <w:szCs w:val="21"/>
          <w:highlight w:val="none"/>
        </w:rPr>
      </w:pPr>
      <w:bookmarkStart w:id="56" w:name="OLE_LINK4"/>
      <w:r>
        <w:rPr>
          <w:rFonts w:hint="eastAsia" w:ascii="宋体" w:hAnsi="宋体" w:eastAsia="宋体" w:cs="宋体"/>
          <w:color w:val="auto"/>
          <w:sz w:val="21"/>
          <w:szCs w:val="21"/>
          <w:highlight w:val="none"/>
          <w:lang w:val="en-US" w:eastAsia="zh-CN"/>
        </w:rPr>
        <w:t>注：</w:t>
      </w:r>
      <w:r>
        <w:rPr>
          <w:rFonts w:hint="eastAsia" w:ascii="宋体" w:hAnsi="宋体" w:eastAsia="宋体" w:cs="宋体"/>
          <w:color w:val="auto"/>
          <w:sz w:val="21"/>
          <w:szCs w:val="21"/>
          <w:highlight w:val="none"/>
        </w:rPr>
        <w:t>（1）电子文件开标顺序：按交易平台自动提取投标人的顺序当众开标。</w:t>
      </w:r>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（2）招标人宣布开启电子投标文件后，投标人按照电子文件的开标顺序</w:t>
      </w:r>
      <w:r>
        <w:rPr>
          <w:rFonts w:hint="eastAsia" w:ascii="宋体" w:hAnsi="宋体" w:cs="宋体"/>
          <w:color w:val="auto"/>
          <w:sz w:val="21"/>
          <w:szCs w:val="21"/>
          <w:highlight w:val="none"/>
          <w:lang w:eastAsia="zh-CN"/>
        </w:rPr>
        <w:t>，远程</w:t>
      </w:r>
      <w:r>
        <w:rPr>
          <w:rFonts w:hint="eastAsia" w:ascii="宋体" w:hAnsi="宋体" w:eastAsia="宋体" w:cs="宋体"/>
          <w:color w:val="auto"/>
          <w:sz w:val="21"/>
          <w:szCs w:val="21"/>
          <w:highlight w:val="none"/>
        </w:rPr>
        <w:t>使用投标人编制投标文件时的加密数字证书对投标文件进行解密。</w:t>
      </w:r>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（3）投标人登录云南省公共资源交易信息网（网址：</w:t>
      </w:r>
      <w:r>
        <w:rPr>
          <w:rFonts w:hint="eastAsia" w:ascii="宋体" w:hAnsi="宋体" w:eastAsia="宋体" w:cs="宋体"/>
          <w:color w:val="auto"/>
          <w:sz w:val="21"/>
          <w:szCs w:val="21"/>
          <w:highlight w:val="none"/>
          <w:lang w:val="en-US" w:eastAsia="zh-CN"/>
        </w:rPr>
        <w:t>http://ggzy.yn.gov.cn/</w:t>
      </w:r>
      <w:r>
        <w:rPr>
          <w:rFonts w:hint="eastAsia" w:ascii="宋体" w:hAnsi="宋体" w:eastAsia="宋体" w:cs="宋体"/>
          <w:color w:val="auto"/>
          <w:sz w:val="21"/>
          <w:szCs w:val="21"/>
          <w:highlight w:val="none"/>
        </w:rPr>
        <w:t>），按照《网上智能开标远程解密操作指南（投标人）》完成远程解密、查看开标一览表等相关操作。本项目解密时间为1小时，若投标人未在规定时间完成所有投标文件解密，则视为无效投标，不再进入评标阶段。</w:t>
      </w:r>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（4）因开标系统、开标现场网络、设备及其他特殊原因，导致不能正常解密投标文件的，经核实和上报相关部门同意后，可再次下达网上解密指令来延长解密时间。</w:t>
      </w:r>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（5）开标过程中如有问题，可以在线提出异议，由</w:t>
      </w:r>
      <w:r>
        <w:rPr>
          <w:rFonts w:hint="eastAsia" w:ascii="宋体" w:hAnsi="宋体" w:cs="宋体"/>
          <w:color w:val="auto"/>
          <w:sz w:val="21"/>
          <w:szCs w:val="21"/>
          <w:highlight w:val="none"/>
          <w:lang w:val="en-US" w:eastAsia="zh-CN"/>
        </w:rPr>
        <w:t>招标人</w:t>
      </w:r>
      <w:r>
        <w:rPr>
          <w:rFonts w:hint="eastAsia" w:ascii="宋体" w:hAnsi="宋体" w:eastAsia="宋体" w:cs="宋体"/>
          <w:color w:val="auto"/>
          <w:sz w:val="21"/>
          <w:szCs w:val="21"/>
          <w:highlight w:val="none"/>
        </w:rPr>
        <w:t>给予回复。在规定的异议询问时间内未提出异议的，则视为对开标结果无异议。</w:t>
      </w:r>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因投标人未及时查看相关信息或未按要求参与开标，且影响其开标结果的，由投标人自行承担一切不利后果。投标人若对本项目在线开标过程有任何异议，应在开标结束指令下达前提出。否则，视为投标人对本项目开标过程无任何异议。投标人未参加本项目远程在线开标的，视同认可开标结果。技术操作咨询：北京筑龙信息技术有限公司010—86483801。</w:t>
      </w:r>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（7）各投标人应自行登录云南省公共资源交易信息网（</w:t>
      </w:r>
      <w:r>
        <w:rPr>
          <w:rFonts w:hint="eastAsia" w:ascii="宋体" w:hAnsi="宋体" w:eastAsia="宋体" w:cs="宋体"/>
          <w:color w:val="auto"/>
          <w:sz w:val="21"/>
          <w:szCs w:val="21"/>
          <w:highlight w:val="none"/>
          <w:lang w:val="en-US" w:eastAsia="zh-CN"/>
        </w:rPr>
        <w:t>http://ggzy.yn.gov.cn/</w:t>
      </w:r>
      <w:r>
        <w:rPr>
          <w:rFonts w:hint="eastAsia" w:ascii="宋体" w:hAnsi="宋体" w:eastAsia="宋体" w:cs="宋体"/>
          <w:color w:val="auto"/>
          <w:sz w:val="21"/>
          <w:szCs w:val="21"/>
          <w:highlight w:val="none"/>
        </w:rPr>
        <w:t>），在“办事指南”——“我是投标人/投标人”中下载学习“云南省公共资源交易电子化平台智能开标系统培训教材”。</w:t>
      </w:r>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（8）逾期上传的或者未上传</w:t>
      </w:r>
      <w:r>
        <w:rPr>
          <w:rFonts w:hint="eastAsia" w:ascii="宋体" w:hAnsi="宋体" w:cs="宋体"/>
          <w:color w:val="auto"/>
          <w:sz w:val="21"/>
          <w:szCs w:val="21"/>
          <w:highlight w:val="none"/>
          <w:lang w:eastAsia="zh-CN"/>
        </w:rPr>
        <w:t>至云南省</w:t>
      </w:r>
      <w:r>
        <w:rPr>
          <w:rFonts w:hint="eastAsia" w:ascii="宋体" w:hAnsi="宋体" w:eastAsia="宋体" w:cs="宋体"/>
          <w:color w:val="auto"/>
          <w:sz w:val="21"/>
          <w:szCs w:val="21"/>
          <w:highlight w:val="none"/>
        </w:rPr>
        <w:t>公共资源交易信息网（</w:t>
      </w:r>
      <w:r>
        <w:rPr>
          <w:rFonts w:hint="eastAsia" w:ascii="宋体" w:hAnsi="宋体" w:eastAsia="宋体" w:cs="宋体"/>
          <w:color w:val="auto"/>
          <w:sz w:val="21"/>
          <w:szCs w:val="21"/>
          <w:highlight w:val="none"/>
          <w:lang w:val="en-US" w:eastAsia="zh-CN"/>
        </w:rPr>
        <w:t>http://ggzy.yn.gov.cn/</w:t>
      </w:r>
      <w:r>
        <w:rPr>
          <w:rFonts w:hint="eastAsia" w:ascii="宋体" w:hAnsi="宋体" w:cs="宋体"/>
          <w:color w:val="auto"/>
          <w:sz w:val="21"/>
          <w:szCs w:val="21"/>
          <w:highlight w:val="none"/>
          <w:lang w:eastAsia="zh-CN"/>
        </w:rPr>
        <w:t>）的</w:t>
      </w:r>
      <w:r>
        <w:rPr>
          <w:rFonts w:hint="eastAsia" w:ascii="宋体" w:hAnsi="宋体" w:eastAsia="宋体" w:cs="宋体"/>
          <w:color w:val="auto"/>
          <w:sz w:val="21"/>
          <w:szCs w:val="21"/>
          <w:highlight w:val="none"/>
        </w:rPr>
        <w:t>投标文件，招标人不予受理</w:t>
      </w:r>
      <w:bookmarkEnd w:id="56"/>
      <w:r>
        <w:rPr>
          <w:rFonts w:hint="eastAsia" w:ascii="宋体" w:hAnsi="宋体" w:eastAsia="宋体" w:cs="宋体"/>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339" w:lineRule="auto"/>
        <w:ind w:firstLine="420" w:firstLineChars="200"/>
        <w:textAlignment w:val="auto"/>
        <w:outlineLvl w:val="1"/>
        <w:rPr>
          <w:rFonts w:hint="eastAsia" w:ascii="宋体" w:hAnsi="宋体" w:eastAsia="宋体" w:cs="宋体"/>
          <w:b/>
          <w:bCs/>
          <w:color w:val="auto"/>
          <w:sz w:val="21"/>
          <w:szCs w:val="21"/>
          <w:highlight w:val="none"/>
        </w:rPr>
      </w:pPr>
      <w:bookmarkStart w:id="57" w:name="_Toc14665"/>
      <w:bookmarkStart w:id="58" w:name="_Toc35393633"/>
      <w:bookmarkStart w:id="59" w:name="_Toc28359016"/>
      <w:bookmarkStart w:id="60" w:name="_Toc35393802"/>
      <w:bookmarkStart w:id="61" w:name="_Toc28359093"/>
      <w:bookmarkStart w:id="62" w:name="_Toc32669"/>
      <w:bookmarkStart w:id="63" w:name="_Toc30774"/>
      <w:bookmarkStart w:id="64" w:name="_Toc9128"/>
      <w:bookmarkStart w:id="65" w:name="_Toc16789"/>
      <w:r>
        <w:rPr>
          <w:rFonts w:hint="eastAsia" w:ascii="黑体" w:hAnsi="黑体" w:eastAsia="黑体" w:cs="黑体"/>
          <w:b/>
          <w:bCs/>
          <w:color w:val="auto"/>
          <w:sz w:val="21"/>
          <w:szCs w:val="21"/>
          <w:highlight w:val="none"/>
          <w:lang w:val="en-US" w:eastAsia="zh-CN"/>
        </w:rPr>
        <w:t>6.</w:t>
      </w:r>
      <w:r>
        <w:rPr>
          <w:rFonts w:hint="eastAsia" w:ascii="黑体" w:hAnsi="黑体" w:eastAsia="黑体" w:cs="黑体"/>
          <w:b/>
          <w:bCs/>
          <w:color w:val="auto"/>
          <w:sz w:val="21"/>
          <w:szCs w:val="21"/>
          <w:highlight w:val="none"/>
        </w:rPr>
        <w:t>开启</w:t>
      </w:r>
      <w:bookmarkEnd w:id="57"/>
      <w:bookmarkEnd w:id="58"/>
      <w:bookmarkEnd w:id="59"/>
      <w:bookmarkEnd w:id="60"/>
      <w:bookmarkEnd w:id="61"/>
      <w:bookmarkEnd w:id="62"/>
      <w:bookmarkEnd w:id="63"/>
      <w:bookmarkEnd w:id="64"/>
      <w:bookmarkEnd w:id="65"/>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u w:val="single"/>
        </w:rPr>
        <w:t>202</w:t>
      </w:r>
      <w:r>
        <w:rPr>
          <w:rFonts w:hint="eastAsia" w:ascii="宋体" w:hAnsi="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23</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u w:val="single"/>
          <w:lang w:val="en-US" w:eastAsia="zh-CN"/>
        </w:rPr>
        <w:t>09</w:t>
      </w:r>
      <w:r>
        <w:rPr>
          <w:rFonts w:hint="eastAsia" w:ascii="宋体" w:hAnsi="宋体" w:eastAsia="宋体" w:cs="宋体"/>
          <w:color w:val="auto"/>
          <w:sz w:val="21"/>
          <w:szCs w:val="21"/>
          <w:highlight w:val="none"/>
          <w:u w:val="single"/>
        </w:rPr>
        <w:t>时</w:t>
      </w:r>
      <w:r>
        <w:rPr>
          <w:rFonts w:hint="eastAsia" w:ascii="宋体" w:hAnsi="宋体" w:eastAsia="宋体" w:cs="宋体"/>
          <w:color w:val="auto"/>
          <w:sz w:val="21"/>
          <w:szCs w:val="21"/>
          <w:highlight w:val="none"/>
          <w:u w:val="single"/>
          <w:lang w:val="en-US" w:eastAsia="zh-CN"/>
        </w:rPr>
        <w:t>00</w:t>
      </w:r>
      <w:r>
        <w:rPr>
          <w:rFonts w:hint="eastAsia" w:ascii="宋体" w:hAnsi="宋体" w:eastAsia="宋体" w:cs="宋体"/>
          <w:color w:val="auto"/>
          <w:sz w:val="21"/>
          <w:szCs w:val="21"/>
          <w:highlight w:val="none"/>
          <w:u w:val="single"/>
        </w:rPr>
        <w:t>分（北京时间）</w:t>
      </w:r>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u w:val="single"/>
          <w:lang w:eastAsia="zh-CN"/>
        </w:rPr>
        <w:t>云南省公共资源交易信息网（</w:t>
      </w:r>
      <w:r>
        <w:rPr>
          <w:rFonts w:hint="eastAsia" w:ascii="宋体" w:hAnsi="宋体" w:eastAsia="宋体" w:cs="宋体"/>
          <w:color w:val="auto"/>
          <w:sz w:val="21"/>
          <w:szCs w:val="21"/>
          <w:highlight w:val="none"/>
          <w:u w:val="single"/>
          <w:lang w:val="en-US" w:eastAsia="zh-CN"/>
        </w:rPr>
        <w:t>http://ggzy.yn.gov.cn/</w:t>
      </w:r>
      <w:r>
        <w:rPr>
          <w:rFonts w:hint="eastAsia" w:ascii="宋体" w:hAnsi="宋体" w:eastAsia="宋体" w:cs="宋体"/>
          <w:color w:val="auto"/>
          <w:sz w:val="21"/>
          <w:szCs w:val="21"/>
          <w:highlight w:val="none"/>
          <w:u w:val="single"/>
          <w:lang w:eastAsia="zh-CN"/>
        </w:rPr>
        <w:t>）</w:t>
      </w:r>
    </w:p>
    <w:p>
      <w:pPr>
        <w:keepNext w:val="0"/>
        <w:keepLines w:val="0"/>
        <w:pageBreakBefore w:val="0"/>
        <w:widowControl w:val="0"/>
        <w:kinsoku/>
        <w:wordWrap/>
        <w:overflowPunct/>
        <w:topLinePunct w:val="0"/>
        <w:autoSpaceDE/>
        <w:autoSpaceDN/>
        <w:bidi w:val="0"/>
        <w:adjustRightInd/>
        <w:snapToGrid/>
        <w:spacing w:line="339" w:lineRule="auto"/>
        <w:ind w:firstLine="420" w:firstLineChars="200"/>
        <w:textAlignment w:val="auto"/>
        <w:outlineLvl w:val="1"/>
        <w:rPr>
          <w:rFonts w:hint="eastAsia" w:ascii="宋体" w:hAnsi="宋体" w:eastAsia="宋体" w:cs="宋体"/>
          <w:b/>
          <w:bCs/>
          <w:color w:val="auto"/>
          <w:sz w:val="21"/>
          <w:szCs w:val="21"/>
          <w:highlight w:val="none"/>
          <w:lang w:eastAsia="zh-CN"/>
        </w:rPr>
      </w:pPr>
      <w:bookmarkStart w:id="66" w:name="_Toc15548"/>
      <w:bookmarkStart w:id="67" w:name="_Toc35393634"/>
      <w:bookmarkStart w:id="68" w:name="_Toc28359017"/>
      <w:bookmarkStart w:id="69" w:name="_Toc35393803"/>
      <w:bookmarkStart w:id="70" w:name="_Toc2726"/>
      <w:bookmarkStart w:id="71" w:name="_Toc23065"/>
      <w:bookmarkStart w:id="72" w:name="_Toc1370"/>
      <w:bookmarkStart w:id="73" w:name="_Toc28359094"/>
      <w:bookmarkStart w:id="74" w:name="_Toc938"/>
      <w:r>
        <w:rPr>
          <w:rFonts w:hint="eastAsia" w:ascii="黑体" w:hAnsi="黑体" w:eastAsia="黑体" w:cs="黑体"/>
          <w:b/>
          <w:bCs/>
          <w:color w:val="auto"/>
          <w:sz w:val="21"/>
          <w:szCs w:val="21"/>
          <w:highlight w:val="none"/>
          <w:lang w:val="en-US" w:eastAsia="zh-CN"/>
        </w:rPr>
        <w:t>7.</w:t>
      </w:r>
      <w:r>
        <w:rPr>
          <w:rFonts w:hint="eastAsia" w:ascii="黑体" w:hAnsi="黑体" w:eastAsia="黑体" w:cs="黑体"/>
          <w:b/>
          <w:bCs/>
          <w:color w:val="auto"/>
          <w:sz w:val="21"/>
          <w:szCs w:val="21"/>
          <w:highlight w:val="none"/>
          <w:lang w:eastAsia="zh-CN"/>
        </w:rPr>
        <w:t>公告期限</w:t>
      </w:r>
      <w:bookmarkEnd w:id="66"/>
      <w:bookmarkEnd w:id="67"/>
      <w:bookmarkEnd w:id="68"/>
      <w:bookmarkEnd w:id="69"/>
      <w:bookmarkEnd w:id="70"/>
      <w:bookmarkEnd w:id="71"/>
      <w:bookmarkEnd w:id="72"/>
      <w:bookmarkEnd w:id="73"/>
      <w:bookmarkEnd w:id="74"/>
    </w:p>
    <w:p>
      <w:pPr>
        <w:keepNext w:val="0"/>
        <w:keepLines w:val="0"/>
        <w:pageBreakBefore w:val="0"/>
        <w:kinsoku/>
        <w:wordWrap/>
        <w:overflowPunct/>
        <w:topLinePunct w:val="0"/>
        <w:autoSpaceDE/>
        <w:autoSpaceDN/>
        <w:bidi w:val="0"/>
        <w:adjustRightInd/>
        <w:snapToGrid/>
        <w:spacing w:line="339" w:lineRule="auto"/>
        <w:ind w:firstLine="420" w:firstLineChars="200"/>
        <w:textAlignment w:val="auto"/>
        <w:rPr>
          <w:rFonts w:ascii="宋体" w:hAnsi="宋体" w:cs="宋体"/>
          <w:color w:val="auto"/>
          <w:sz w:val="21"/>
          <w:szCs w:val="21"/>
          <w:highlight w:val="none"/>
        </w:rPr>
      </w:pPr>
      <w:r>
        <w:rPr>
          <w:rFonts w:hint="eastAsia" w:ascii="宋体" w:hAnsi="宋体" w:eastAsia="宋体" w:cs="宋体"/>
          <w:color w:val="auto"/>
          <w:sz w:val="21"/>
          <w:szCs w:val="21"/>
          <w:highlight w:val="none"/>
        </w:rPr>
        <w:t>自本公告发布之日起</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日。</w:t>
      </w:r>
    </w:p>
    <w:p>
      <w:pPr>
        <w:keepNext w:val="0"/>
        <w:keepLines w:val="0"/>
        <w:pageBreakBefore w:val="0"/>
        <w:widowControl w:val="0"/>
        <w:kinsoku/>
        <w:wordWrap/>
        <w:overflowPunct/>
        <w:topLinePunct w:val="0"/>
        <w:autoSpaceDE/>
        <w:autoSpaceDN/>
        <w:bidi w:val="0"/>
        <w:adjustRightInd/>
        <w:snapToGrid/>
        <w:spacing w:line="339" w:lineRule="auto"/>
        <w:ind w:firstLine="420" w:firstLineChars="200"/>
        <w:textAlignment w:val="auto"/>
        <w:outlineLvl w:val="1"/>
        <w:rPr>
          <w:rFonts w:hint="eastAsia" w:ascii="宋体" w:hAnsi="宋体" w:eastAsia="宋体" w:cs="宋体"/>
          <w:b/>
          <w:bCs/>
          <w:color w:val="auto"/>
          <w:sz w:val="21"/>
          <w:szCs w:val="21"/>
          <w:highlight w:val="none"/>
          <w:lang w:eastAsia="zh-CN"/>
        </w:rPr>
      </w:pPr>
      <w:bookmarkStart w:id="75" w:name="_Toc23784"/>
      <w:bookmarkStart w:id="76" w:name="_Toc20192"/>
      <w:bookmarkStart w:id="77" w:name="_Toc29002"/>
      <w:bookmarkStart w:id="78" w:name="_Toc23765"/>
      <w:bookmarkStart w:id="79" w:name="_Toc10500"/>
      <w:r>
        <w:rPr>
          <w:rFonts w:hint="eastAsia" w:ascii="黑体" w:hAnsi="黑体" w:eastAsia="黑体" w:cs="黑体"/>
          <w:b/>
          <w:bCs/>
          <w:color w:val="auto"/>
          <w:sz w:val="21"/>
          <w:szCs w:val="21"/>
          <w:highlight w:val="none"/>
          <w:lang w:val="en-US" w:eastAsia="zh-CN"/>
        </w:rPr>
        <w:t>8.</w:t>
      </w:r>
      <w:r>
        <w:rPr>
          <w:rFonts w:hint="eastAsia" w:ascii="黑体" w:hAnsi="黑体" w:eastAsia="黑体" w:cs="黑体"/>
          <w:b/>
          <w:bCs/>
          <w:color w:val="auto"/>
          <w:sz w:val="21"/>
          <w:szCs w:val="21"/>
          <w:highlight w:val="none"/>
          <w:lang w:eastAsia="zh-CN"/>
        </w:rPr>
        <w:t>发布公告的媒体</w:t>
      </w:r>
      <w:bookmarkEnd w:id="75"/>
      <w:bookmarkEnd w:id="76"/>
      <w:bookmarkEnd w:id="77"/>
      <w:bookmarkEnd w:id="78"/>
      <w:bookmarkEnd w:id="79"/>
    </w:p>
    <w:p>
      <w:pPr>
        <w:keepNext w:val="0"/>
        <w:keepLines w:val="0"/>
        <w:pageBreakBefore w:val="0"/>
        <w:widowControl w:val="0"/>
        <w:kinsoku/>
        <w:wordWrap w:val="0"/>
        <w:overflowPunct/>
        <w:topLinePunct w:val="0"/>
        <w:autoSpaceDE/>
        <w:autoSpaceDN/>
        <w:bidi w:val="0"/>
        <w:adjustRightInd/>
        <w:snapToGrid/>
        <w:spacing w:line="339" w:lineRule="auto"/>
        <w:ind w:firstLine="420" w:firstLineChars="200"/>
        <w:textAlignment w:val="auto"/>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本项目招标公告在“云南省公共资源交易信息网（http://ggzy.yn.gov.cn/）”上发布，请投标人在递交投标文件前随时查看，以获取最新信息。因投标人不留意网站公告，导致结果由其自行负责，招标人不承担任何责任。招标人对其他网站发布的同类信息不承担任何责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1"/>
        <w:rPr>
          <w:rFonts w:hint="eastAsia" w:ascii="黑体" w:hAnsi="黑体" w:eastAsia="黑体" w:cs="黑体"/>
          <w:b/>
          <w:bCs/>
          <w:color w:val="auto"/>
          <w:sz w:val="24"/>
          <w:szCs w:val="24"/>
          <w:highlight w:val="none"/>
          <w:lang w:eastAsia="zh-CN"/>
        </w:rPr>
      </w:pPr>
      <w:bookmarkStart w:id="80" w:name="_Toc30424"/>
      <w:bookmarkStart w:id="81" w:name="_Toc7334"/>
      <w:bookmarkStart w:id="82" w:name="_Toc18548"/>
      <w:bookmarkStart w:id="83" w:name="_Toc12383"/>
      <w:bookmarkStart w:id="84" w:name="_Toc25133"/>
      <w:r>
        <w:rPr>
          <w:rFonts w:hint="eastAsia" w:ascii="黑体" w:hAnsi="黑体" w:eastAsia="黑体" w:cs="黑体"/>
          <w:b/>
          <w:bCs/>
          <w:color w:val="auto"/>
          <w:kern w:val="2"/>
          <w:sz w:val="24"/>
          <w:szCs w:val="24"/>
          <w:highlight w:val="none"/>
          <w:lang w:val="en-US" w:eastAsia="zh-CN" w:bidi="ar-SA"/>
        </w:rPr>
        <w:t>9.</w:t>
      </w:r>
      <w:r>
        <w:rPr>
          <w:rFonts w:hint="eastAsia" w:ascii="黑体" w:hAnsi="黑体" w:eastAsia="黑体" w:cs="黑体"/>
          <w:b/>
          <w:bCs/>
          <w:color w:val="auto"/>
          <w:sz w:val="24"/>
          <w:szCs w:val="24"/>
          <w:highlight w:val="none"/>
          <w:lang w:eastAsia="zh-CN"/>
        </w:rPr>
        <w:t>联系方式</w:t>
      </w:r>
      <w:bookmarkEnd w:id="80"/>
      <w:bookmarkEnd w:id="81"/>
      <w:bookmarkEnd w:id="82"/>
      <w:bookmarkEnd w:id="83"/>
      <w:bookmarkEnd w:id="84"/>
    </w:p>
    <w:tbl>
      <w:tblPr>
        <w:tblStyle w:val="36"/>
        <w:tblW w:w="9627"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40" w:hRule="atLeast"/>
          <w:jc w:val="center"/>
        </w:trPr>
        <w:tc>
          <w:tcPr>
            <w:tcW w:w="9627" w:type="dxa"/>
            <w:tcBorders>
              <w:tl2br w:val="nil"/>
              <w:tr2bl w:val="nil"/>
            </w:tcBorders>
            <w:vAlign w:val="center"/>
          </w:tcPr>
          <w:p>
            <w:pPr>
              <w:pStyle w:val="84"/>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lang w:eastAsia="zh-CN"/>
              </w:rPr>
              <w:t>招标人：</w:t>
            </w:r>
            <w:r>
              <w:rPr>
                <w:rFonts w:hint="eastAsia" w:ascii="宋体" w:hAnsi="宋体" w:cs="宋体"/>
                <w:color w:val="auto"/>
                <w:highlight w:val="none"/>
                <w:u w:val="none"/>
                <w:lang w:eastAsia="zh-CN"/>
              </w:rPr>
              <w:t>双江自治县第一完全中学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40" w:hRule="atLeast"/>
          <w:jc w:val="center"/>
        </w:trPr>
        <w:tc>
          <w:tcPr>
            <w:tcW w:w="9627" w:type="dxa"/>
            <w:tcBorders>
              <w:tl2br w:val="nil"/>
              <w:tr2bl w:val="nil"/>
            </w:tcBorders>
            <w:vAlign w:val="center"/>
          </w:tcPr>
          <w:p>
            <w:pPr>
              <w:pStyle w:val="84"/>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lang w:eastAsia="zh-CN"/>
              </w:rPr>
              <w:t>地址：</w:t>
            </w:r>
            <w:r>
              <w:rPr>
                <w:rFonts w:hint="eastAsia" w:ascii="宋体" w:hAnsi="宋体" w:cs="宋体"/>
                <w:color w:val="auto"/>
                <w:highlight w:val="none"/>
                <w:u w:val="none"/>
                <w:lang w:eastAsia="zh-CN"/>
              </w:rPr>
              <w:t>双江自治县勐勐镇育才路61号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40" w:hRule="atLeast"/>
          <w:jc w:val="center"/>
        </w:trPr>
        <w:tc>
          <w:tcPr>
            <w:tcW w:w="9627" w:type="dxa"/>
            <w:tcBorders>
              <w:tl2br w:val="nil"/>
              <w:tr2bl w:val="nil"/>
            </w:tcBorders>
            <w:vAlign w:val="center"/>
          </w:tcPr>
          <w:p>
            <w:pPr>
              <w:pStyle w:val="84"/>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auto"/>
                <w:highlight w:val="none"/>
                <w:u w:val="none"/>
                <w:lang w:val="en-US" w:eastAsia="zh-CN"/>
              </w:rPr>
            </w:pPr>
            <w:r>
              <w:rPr>
                <w:rFonts w:hint="eastAsia" w:ascii="宋体" w:hAnsi="宋体" w:eastAsia="宋体" w:cs="宋体"/>
                <w:color w:val="auto"/>
                <w:highlight w:val="none"/>
                <w:u w:val="none"/>
                <w:lang w:eastAsia="zh-CN"/>
              </w:rPr>
              <w:t>邮编：677399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40" w:hRule="atLeast"/>
          <w:jc w:val="center"/>
        </w:trPr>
        <w:tc>
          <w:tcPr>
            <w:tcW w:w="9627" w:type="dxa"/>
            <w:tcBorders>
              <w:tl2br w:val="nil"/>
              <w:tr2bl w:val="nil"/>
            </w:tcBorders>
            <w:vAlign w:val="center"/>
          </w:tcPr>
          <w:p>
            <w:pPr>
              <w:pStyle w:val="84"/>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lang w:eastAsia="zh-CN"/>
              </w:rPr>
              <w:t>联系人：</w:t>
            </w:r>
            <w:r>
              <w:rPr>
                <w:rFonts w:hint="eastAsia" w:ascii="宋体" w:hAnsi="宋体" w:cs="宋体"/>
                <w:color w:val="auto"/>
                <w:highlight w:val="none"/>
                <w:u w:val="none"/>
                <w:lang w:eastAsia="zh-CN"/>
              </w:rPr>
              <w:t>张学琴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40" w:hRule="atLeast"/>
          <w:jc w:val="center"/>
        </w:trPr>
        <w:tc>
          <w:tcPr>
            <w:tcW w:w="9627" w:type="dxa"/>
            <w:tcBorders>
              <w:tl2br w:val="nil"/>
              <w:tr2bl w:val="nil"/>
            </w:tcBorders>
            <w:vAlign w:val="center"/>
          </w:tcPr>
          <w:p>
            <w:pPr>
              <w:pStyle w:val="84"/>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eastAsia="zh-CN"/>
              </w:rPr>
              <w:t>电话：0883-7627071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40" w:hRule="atLeast"/>
          <w:jc w:val="center"/>
        </w:trPr>
        <w:tc>
          <w:tcPr>
            <w:tcW w:w="9627" w:type="dxa"/>
            <w:tcBorders>
              <w:tl2br w:val="nil"/>
              <w:tr2bl w:val="nil"/>
            </w:tcBorders>
            <w:vAlign w:val="center"/>
          </w:tcPr>
          <w:p>
            <w:pPr>
              <w:pStyle w:val="84"/>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40" w:hRule="atLeast"/>
          <w:jc w:val="center"/>
        </w:trPr>
        <w:tc>
          <w:tcPr>
            <w:tcW w:w="9627" w:type="dxa"/>
            <w:tcBorders>
              <w:tl2br w:val="nil"/>
              <w:tr2bl w:val="nil"/>
            </w:tcBorders>
            <w:vAlign w:val="center"/>
          </w:tcPr>
          <w:p>
            <w:pPr>
              <w:pStyle w:val="84"/>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eastAsia="zh-CN"/>
              </w:rPr>
              <w:t>监督部门名称：</w:t>
            </w:r>
            <w:r>
              <w:rPr>
                <w:rFonts w:hint="eastAsia" w:ascii="宋体" w:hAnsi="宋体" w:eastAsia="宋体" w:cs="宋体"/>
                <w:color w:val="auto"/>
                <w:highlight w:val="none"/>
                <w:u w:val="none"/>
                <w:lang w:val="en-US" w:eastAsia="zh-CN"/>
              </w:rPr>
              <w:t>双江拉祜族佤族布朗族傣族自治县教育体育局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40" w:hRule="atLeast"/>
          <w:jc w:val="center"/>
        </w:trPr>
        <w:tc>
          <w:tcPr>
            <w:tcW w:w="9627" w:type="dxa"/>
            <w:tcBorders>
              <w:tl2br w:val="nil"/>
              <w:tr2bl w:val="nil"/>
            </w:tcBorders>
            <w:vAlign w:val="center"/>
          </w:tcPr>
          <w:p>
            <w:pPr>
              <w:pStyle w:val="84"/>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auto"/>
                <w:highlight w:val="none"/>
                <w:u w:val="none"/>
                <w:lang w:val="en-US" w:eastAsia="zh-CN"/>
              </w:rPr>
            </w:pPr>
            <w:r>
              <w:rPr>
                <w:rFonts w:hint="eastAsia" w:ascii="宋体" w:hAnsi="宋体" w:eastAsia="宋体" w:cs="宋体"/>
                <w:color w:val="auto"/>
                <w:highlight w:val="none"/>
                <w:u w:val="none"/>
                <w:lang w:eastAsia="zh-CN"/>
              </w:rPr>
              <w:t>联系电话：</w:t>
            </w:r>
            <w:r>
              <w:rPr>
                <w:rFonts w:hint="eastAsia" w:ascii="宋体" w:hAnsi="宋体" w:eastAsia="宋体" w:cs="宋体"/>
                <w:color w:val="auto"/>
                <w:highlight w:val="none"/>
                <w:u w:val="none"/>
                <w:lang w:val="en-US" w:eastAsia="zh-CN"/>
              </w:rPr>
              <w:t>0883-</w:t>
            </w:r>
            <w:r>
              <w:rPr>
                <w:rFonts w:hint="eastAsia" w:ascii="宋体" w:hAnsi="宋体" w:cs="宋体"/>
                <w:color w:val="auto"/>
                <w:highlight w:val="none"/>
                <w:u w:val="none"/>
                <w:lang w:val="en-US" w:eastAsia="zh-CN"/>
              </w:rPr>
              <w:t>7621121</w:t>
            </w:r>
          </w:p>
        </w:tc>
      </w:tr>
      <w:bookmarkEnd w:id="22"/>
      <w:bookmarkEnd w:id="23"/>
    </w:tbl>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lang w:val="en-US" w:eastAsia="zh-CN"/>
        </w:rPr>
        <w:sectPr>
          <w:footerReference r:id="rId12" w:type="default"/>
          <w:pgSz w:w="11906" w:h="16838"/>
          <w:pgMar w:top="1440" w:right="1080" w:bottom="1440" w:left="1080" w:header="1077" w:footer="851" w:gutter="0"/>
          <w:pgBorders>
            <w:top w:val="none" w:sz="0" w:space="0"/>
            <w:left w:val="none" w:sz="0" w:space="0"/>
            <w:bottom w:val="none" w:sz="0" w:space="0"/>
            <w:right w:val="none" w:sz="0" w:space="0"/>
          </w:pgBorders>
          <w:pgNumType w:fmt="decimal" w:start="1" w:chapSep="hyphen"/>
          <w:cols w:space="708" w:num="1"/>
          <w:docGrid w:type="linesAndChars" w:linePitch="312" w:charSpace="0"/>
        </w:sectPr>
      </w:pPr>
    </w:p>
    <w:p>
      <w:pPr>
        <w:pStyle w:val="2"/>
        <w:ind w:left="0" w:firstLine="0"/>
        <w:jc w:val="center"/>
        <w:rPr>
          <w:rFonts w:hint="eastAsia" w:ascii="黑体" w:hAnsi="黑体" w:eastAsia="黑体" w:cs="黑体"/>
          <w:bCs/>
          <w:color w:val="auto"/>
          <w:sz w:val="52"/>
          <w:szCs w:val="52"/>
          <w:highlight w:val="none"/>
        </w:rPr>
      </w:pPr>
      <w:bookmarkStart w:id="85" w:name="_Toc27550"/>
      <w:bookmarkStart w:id="86" w:name="_Toc20639"/>
      <w:bookmarkStart w:id="87" w:name="_Toc16559"/>
      <w:bookmarkStart w:id="88" w:name="_Toc18410"/>
      <w:bookmarkStart w:id="89" w:name="_Toc28193"/>
      <w:bookmarkStart w:id="90" w:name="_Toc28206"/>
      <w:bookmarkStart w:id="91" w:name="_Toc10974"/>
      <w:r>
        <w:rPr>
          <w:rFonts w:hint="eastAsia" w:ascii="黑体" w:hAnsi="黑体" w:eastAsia="黑体" w:cs="黑体"/>
          <w:bCs/>
          <w:color w:val="auto"/>
          <w:sz w:val="52"/>
          <w:szCs w:val="52"/>
          <w:highlight w:val="none"/>
        </w:rPr>
        <w:t>第二章 投标人须知</w:t>
      </w:r>
      <w:bookmarkEnd w:id="85"/>
      <w:bookmarkEnd w:id="86"/>
      <w:bookmarkEnd w:id="87"/>
      <w:bookmarkEnd w:id="88"/>
      <w:bookmarkEnd w:id="89"/>
      <w:bookmarkEnd w:id="90"/>
      <w:bookmarkEnd w:id="91"/>
    </w:p>
    <w:p>
      <w:pPr>
        <w:pStyle w:val="3"/>
        <w:tabs>
          <w:tab w:val="left" w:pos="360"/>
          <w:tab w:val="clear" w:pos="1021"/>
        </w:tabs>
        <w:ind w:left="0" w:firstLine="0"/>
        <w:jc w:val="center"/>
        <w:rPr>
          <w:rFonts w:hint="eastAsia" w:ascii="宋体" w:hAnsi="宋体"/>
          <w:color w:val="auto"/>
          <w:highlight w:val="none"/>
        </w:rPr>
      </w:pPr>
      <w:bookmarkStart w:id="92" w:name="_Toc11832"/>
      <w:bookmarkStart w:id="93" w:name="_Toc15276"/>
      <w:bookmarkStart w:id="94" w:name="_Toc2175"/>
      <w:bookmarkStart w:id="95" w:name="_Toc25712"/>
      <w:bookmarkStart w:id="96" w:name="_Toc2073"/>
      <w:r>
        <w:rPr>
          <w:rFonts w:hint="eastAsia" w:ascii="宋体" w:hAnsi="宋体"/>
          <w:b/>
          <w:bCs/>
          <w:color w:val="auto"/>
          <w:sz w:val="28"/>
          <w:szCs w:val="28"/>
          <w:highlight w:val="none"/>
        </w:rPr>
        <w:t>投标人须知前附表</w:t>
      </w:r>
      <w:bookmarkEnd w:id="92"/>
      <w:bookmarkEnd w:id="93"/>
      <w:bookmarkEnd w:id="94"/>
      <w:bookmarkEnd w:id="95"/>
      <w:bookmarkEnd w:id="96"/>
    </w:p>
    <w:tbl>
      <w:tblPr>
        <w:tblStyle w:val="36"/>
        <w:tblW w:w="1007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454"/>
        <w:gridCol w:w="6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条款名称</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1.1.2</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jc w:val="left"/>
              <w:textAlignment w:val="auto"/>
              <w:rPr>
                <w:rFonts w:hint="eastAsia" w:ascii="Times New Roman" w:hAnsi="宋体" w:eastAsia="宋体" w:cs="Times New Roman"/>
                <w:bCs/>
                <w:color w:val="auto"/>
                <w:kern w:val="2"/>
                <w:sz w:val="21"/>
                <w:szCs w:val="21"/>
                <w:highlight w:val="none"/>
                <w:lang w:val="en-US" w:eastAsia="zh-CN" w:bidi="ar-SA"/>
              </w:rPr>
            </w:pPr>
            <w:r>
              <w:rPr>
                <w:rFonts w:hint="eastAsia" w:ascii="Times New Roman" w:hAnsi="宋体" w:eastAsia="宋体" w:cs="Times New Roman"/>
                <w:bCs/>
                <w:color w:val="auto"/>
                <w:kern w:val="2"/>
                <w:sz w:val="21"/>
                <w:szCs w:val="21"/>
                <w:highlight w:val="none"/>
                <w:lang w:val="en-US" w:eastAsia="zh-CN" w:bidi="ar-SA"/>
              </w:rPr>
              <w:t>招标人：</w:t>
            </w:r>
            <w:r>
              <w:rPr>
                <w:rFonts w:hint="eastAsia" w:hAnsi="宋体" w:cs="Times New Roman"/>
                <w:bCs/>
                <w:color w:val="auto"/>
                <w:kern w:val="2"/>
                <w:sz w:val="21"/>
                <w:szCs w:val="21"/>
                <w:highlight w:val="none"/>
                <w:lang w:val="en-US" w:eastAsia="zh-CN" w:bidi="ar-SA"/>
              </w:rPr>
              <w:t>双江自治县第一完全中学</w:t>
            </w:r>
          </w:p>
          <w:p>
            <w:pPr>
              <w:pStyle w:val="8"/>
              <w:keepNext w:val="0"/>
              <w:keepLines w:val="0"/>
              <w:pageBreakBefore w:val="0"/>
              <w:widowControl w:val="0"/>
              <w:kinsoku/>
              <w:overflowPunct/>
              <w:topLinePunct w:val="0"/>
              <w:autoSpaceDE/>
              <w:autoSpaceDN/>
              <w:bidi w:val="0"/>
              <w:adjustRightInd/>
              <w:snapToGrid/>
              <w:spacing w:line="360" w:lineRule="auto"/>
              <w:textAlignment w:val="auto"/>
              <w:rPr>
                <w:rFonts w:hint="eastAsia" w:ascii="Times New Roman" w:hAnsi="宋体" w:eastAsia="宋体" w:cs="Times New Roman"/>
                <w:bCs/>
                <w:color w:val="auto"/>
                <w:kern w:val="2"/>
                <w:sz w:val="21"/>
                <w:szCs w:val="21"/>
                <w:highlight w:val="none"/>
                <w:lang w:val="en-US" w:eastAsia="zh-CN" w:bidi="ar-SA"/>
              </w:rPr>
            </w:pPr>
            <w:r>
              <w:rPr>
                <w:rFonts w:hint="eastAsia" w:ascii="Times New Roman" w:hAnsi="宋体" w:eastAsia="宋体" w:cs="Times New Roman"/>
                <w:bCs/>
                <w:color w:val="auto"/>
                <w:kern w:val="2"/>
                <w:sz w:val="21"/>
                <w:szCs w:val="21"/>
                <w:highlight w:val="none"/>
                <w:lang w:val="en-US" w:eastAsia="zh-CN" w:bidi="ar-SA"/>
              </w:rPr>
              <w:t>地址：</w:t>
            </w:r>
            <w:r>
              <w:rPr>
                <w:rFonts w:hint="eastAsia" w:hAnsi="宋体" w:cs="Times New Roman"/>
                <w:bCs/>
                <w:color w:val="auto"/>
                <w:kern w:val="2"/>
                <w:sz w:val="21"/>
                <w:szCs w:val="21"/>
                <w:highlight w:val="none"/>
                <w:lang w:val="en-US" w:eastAsia="zh-CN" w:bidi="ar-SA"/>
              </w:rPr>
              <w:t>双江自治县勐勐镇育才路61号</w:t>
            </w:r>
          </w:p>
          <w:p>
            <w:pPr>
              <w:pStyle w:val="8"/>
              <w:keepNext w:val="0"/>
              <w:keepLines w:val="0"/>
              <w:pageBreakBefore w:val="0"/>
              <w:widowControl w:val="0"/>
              <w:kinsoku/>
              <w:overflowPunct/>
              <w:topLinePunct w:val="0"/>
              <w:autoSpaceDE/>
              <w:autoSpaceDN/>
              <w:bidi w:val="0"/>
              <w:adjustRightInd/>
              <w:snapToGrid/>
              <w:spacing w:line="360" w:lineRule="auto"/>
              <w:textAlignment w:val="auto"/>
              <w:rPr>
                <w:rFonts w:hint="eastAsia" w:ascii="Times New Roman" w:hAnsi="宋体" w:eastAsia="宋体" w:cs="Times New Roman"/>
                <w:bCs/>
                <w:color w:val="auto"/>
                <w:kern w:val="2"/>
                <w:sz w:val="21"/>
                <w:szCs w:val="21"/>
                <w:highlight w:val="none"/>
                <w:lang w:val="en-US" w:eastAsia="zh-CN" w:bidi="ar-SA"/>
              </w:rPr>
            </w:pPr>
            <w:r>
              <w:rPr>
                <w:rFonts w:hint="eastAsia" w:ascii="Times New Roman" w:hAnsi="宋体" w:eastAsia="宋体" w:cs="Times New Roman"/>
                <w:bCs/>
                <w:color w:val="auto"/>
                <w:kern w:val="2"/>
                <w:sz w:val="21"/>
                <w:szCs w:val="21"/>
                <w:highlight w:val="none"/>
                <w:lang w:val="en-US" w:eastAsia="zh-CN" w:bidi="ar-SA"/>
              </w:rPr>
              <w:t>联系人：</w:t>
            </w:r>
            <w:r>
              <w:rPr>
                <w:rFonts w:hint="eastAsia" w:hAnsi="宋体" w:cs="Times New Roman"/>
                <w:bCs/>
                <w:color w:val="auto"/>
                <w:kern w:val="2"/>
                <w:sz w:val="21"/>
                <w:szCs w:val="21"/>
                <w:highlight w:val="none"/>
                <w:lang w:val="en-US" w:eastAsia="zh-CN" w:bidi="ar-SA"/>
              </w:rPr>
              <w:t>张学琴</w:t>
            </w:r>
          </w:p>
          <w:p>
            <w:pPr>
              <w:pStyle w:val="8"/>
              <w:keepNext w:val="0"/>
              <w:keepLines w:val="0"/>
              <w:pageBreakBefore w:val="0"/>
              <w:widowControl w:val="0"/>
              <w:kinsoku/>
              <w:overflowPunct/>
              <w:topLinePunct w:val="0"/>
              <w:autoSpaceDE/>
              <w:autoSpaceDN/>
              <w:bidi w:val="0"/>
              <w:adjustRightInd/>
              <w:snapToGrid/>
              <w:spacing w:line="360" w:lineRule="auto"/>
              <w:textAlignment w:val="auto"/>
              <w:rPr>
                <w:rFonts w:hint="eastAsia" w:hAnsi="宋体" w:eastAsia="宋体"/>
                <w:bCs/>
                <w:color w:val="auto"/>
                <w:sz w:val="21"/>
                <w:szCs w:val="21"/>
                <w:highlight w:val="none"/>
                <w:lang w:eastAsia="zh-CN"/>
              </w:rPr>
            </w:pPr>
            <w:r>
              <w:rPr>
                <w:rFonts w:hint="eastAsia" w:ascii="Times New Roman" w:hAnsi="宋体" w:eastAsia="宋体" w:cs="Times New Roman"/>
                <w:bCs/>
                <w:color w:val="auto"/>
                <w:kern w:val="2"/>
                <w:sz w:val="21"/>
                <w:szCs w:val="21"/>
                <w:highlight w:val="none"/>
                <w:lang w:val="en-US" w:eastAsia="zh-CN" w:bidi="ar-SA"/>
              </w:rPr>
              <w:t>联系电话：0883-7627071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1.1.4</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w:t>
            </w:r>
            <w:r>
              <w:rPr>
                <w:rFonts w:hint="eastAsia" w:ascii="宋体" w:hAnsi="宋体" w:eastAsia="宋体" w:cs="宋体"/>
                <w:color w:val="auto"/>
                <w:sz w:val="21"/>
                <w:szCs w:val="21"/>
                <w:highlight w:val="none"/>
                <w:lang w:eastAsia="zh-CN"/>
              </w:rPr>
              <w:t>情况</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项目名称：</w:t>
            </w:r>
            <w:r>
              <w:rPr>
                <w:rFonts w:hint="eastAsia" w:ascii="宋体" w:hAnsi="宋体" w:cs="宋体"/>
                <w:color w:val="auto"/>
                <w:sz w:val="21"/>
                <w:szCs w:val="21"/>
                <w:highlight w:val="none"/>
                <w:lang w:eastAsia="zh-CN"/>
              </w:rPr>
              <w:t>双江自治县第一完全中学高中部百货店经营权承包项目招标代理机构服务</w:t>
            </w:r>
          </w:p>
          <w:p>
            <w:pPr>
              <w:pStyle w:val="8"/>
              <w:keepNext w:val="0"/>
              <w:keepLines w:val="0"/>
              <w:pageBreakBefore w:val="0"/>
              <w:widowControl w:val="0"/>
              <w:kinsoku/>
              <w:overflowPunct/>
              <w:topLinePunct w:val="0"/>
              <w:autoSpaceDE/>
              <w:autoSpaceDN/>
              <w:bidi w:val="0"/>
              <w:adjustRightInd/>
              <w:snapToGrid/>
              <w:spacing w:line="360" w:lineRule="auto"/>
              <w:textAlignment w:val="auto"/>
              <w:rPr>
                <w:rFonts w:hint="eastAsia"/>
                <w:color w:val="auto"/>
                <w:sz w:val="21"/>
                <w:szCs w:val="21"/>
                <w:highlight w:val="none"/>
              </w:rPr>
            </w:pPr>
            <w:r>
              <w:rPr>
                <w:rFonts w:hint="eastAsia" w:ascii="宋体" w:hAnsi="宋体" w:eastAsia="宋体" w:cs="宋体"/>
                <w:color w:val="auto"/>
                <w:sz w:val="21"/>
                <w:szCs w:val="21"/>
                <w:highlight w:val="none"/>
                <w:lang w:eastAsia="zh-CN"/>
              </w:rPr>
              <w:t>项目编号：ZH530900202400005001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lang w:val="en-US" w:eastAsia="zh-CN"/>
              </w:rPr>
              <w:t>5</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项目地点</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双江自治县第一完全中学</w:t>
            </w:r>
            <w:r>
              <w:rPr>
                <w:rFonts w:hint="eastAsia" w:ascii="宋体" w:hAnsi="宋体" w:eastAsia="宋体" w:cs="宋体"/>
                <w:color w:val="auto"/>
                <w:sz w:val="21"/>
                <w:szCs w:val="21"/>
                <w:highlight w:val="none"/>
                <w:lang w:val="en-US" w:eastAsia="zh-CN"/>
              </w:rPr>
              <w:t>校内或以招标人通知为准。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1.2.1</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w:t>
            </w:r>
            <w:r>
              <w:rPr>
                <w:rFonts w:hint="eastAsia" w:ascii="宋体" w:hAnsi="宋体" w:cs="宋体"/>
                <w:color w:val="auto"/>
                <w:sz w:val="21"/>
                <w:szCs w:val="21"/>
                <w:highlight w:val="none"/>
                <w:lang w:val="en-US" w:eastAsia="zh-CN"/>
              </w:rPr>
              <w:t>内容</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完成本项目经营权承包招标的全流程代理服务，包括但不限于：协助招标人编制招标工作方案、起草并审核招标文件、公平竞争审查、发布招标公告、组织投标报名、组织开标评标活动、协助处理质疑与投诉、整理招标归档资料、协助签订承包合同等相关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1.2.3</w:t>
            </w:r>
          </w:p>
        </w:tc>
        <w:tc>
          <w:tcPr>
            <w:tcW w:w="2454" w:type="dxa"/>
            <w:vAlign w:val="center"/>
          </w:tcPr>
          <w:p>
            <w:pPr>
              <w:pStyle w:val="14"/>
              <w:keepNext w:val="0"/>
              <w:keepLines w:val="0"/>
              <w:pageBreakBefore w:val="0"/>
              <w:widowControl w:val="0"/>
              <w:kinsoku/>
              <w:overflowPunct/>
              <w:topLinePunct w:val="0"/>
              <w:autoSpaceDE/>
              <w:autoSpaceDN/>
              <w:bidi w:val="0"/>
              <w:adjustRightInd/>
              <w:snapToGrid/>
              <w:spacing w:line="360" w:lineRule="auto"/>
              <w:jc w:val="center"/>
              <w:textAlignment w:val="auto"/>
              <w:rPr>
                <w:rFonts w:hint="default" w:ascii="宋体" w:hAnsi="宋体" w:eastAsia="宋体" w:cs="宋体"/>
                <w:color w:val="auto"/>
                <w:sz w:val="21"/>
                <w:szCs w:val="21"/>
                <w:highlight w:val="none"/>
                <w:lang w:val="en-US" w:eastAsia="zh-CN"/>
              </w:rPr>
            </w:pPr>
            <w:r>
              <w:rPr>
                <w:rFonts w:hint="eastAsia" w:hAnsi="宋体" w:eastAsia="宋体"/>
                <w:color w:val="auto"/>
                <w:sz w:val="21"/>
                <w:szCs w:val="21"/>
                <w:highlight w:val="none"/>
                <w:lang w:val="en-US" w:eastAsia="zh-CN"/>
              </w:rPr>
              <w:t>服务周期</w:t>
            </w:r>
          </w:p>
        </w:tc>
        <w:tc>
          <w:tcPr>
            <w:tcW w:w="6763" w:type="dxa"/>
            <w:vAlign w:val="center"/>
          </w:tcPr>
          <w:p>
            <w:pPr>
              <w:pStyle w:val="14"/>
              <w:keepNext w:val="0"/>
              <w:keepLines w:val="0"/>
              <w:pageBreakBefore w:val="0"/>
              <w:widowControl w:val="0"/>
              <w:kinsoku/>
              <w:overflowPunct/>
              <w:topLinePunct w:val="0"/>
              <w:autoSpaceDE/>
              <w:autoSpaceDN/>
              <w:bidi w:val="0"/>
              <w:adjustRightInd/>
              <w:snapToGrid/>
              <w:spacing w:line="360" w:lineRule="auto"/>
              <w:jc w:val="both"/>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自合同签订之日起至项目招标工作结束，移交全部汇编资料止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1.2.4</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质量要求</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严格执行《招标代理服务规范》（GB/T 38357-2019），遵守国家</w:t>
            </w:r>
            <w:r>
              <w:rPr>
                <w:rFonts w:hint="eastAsia" w:ascii="宋体" w:hAnsi="宋体" w:cs="宋体"/>
                <w:color w:val="auto"/>
                <w:sz w:val="21"/>
                <w:szCs w:val="21"/>
                <w:highlight w:val="none"/>
                <w:lang w:eastAsia="zh-CN"/>
              </w:rPr>
              <w:t>法律法规</w:t>
            </w:r>
            <w:r>
              <w:rPr>
                <w:rFonts w:hint="eastAsia" w:ascii="宋体" w:hAnsi="宋体" w:eastAsia="宋体" w:cs="宋体"/>
                <w:color w:val="auto"/>
                <w:sz w:val="21"/>
                <w:szCs w:val="21"/>
                <w:highlight w:val="none"/>
              </w:rPr>
              <w:t>和政策，认真践行公开、公平、公正和诚实信用的原则， 自觉维护国家、社会公共利益和招标投标当事人的合法权益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1.2.5</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标段划分</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本项目</w:t>
            </w:r>
            <w:r>
              <w:rPr>
                <w:rFonts w:hint="eastAsia" w:ascii="宋体" w:hAnsi="宋体" w:eastAsia="宋体" w:cs="宋体"/>
                <w:color w:val="auto"/>
                <w:sz w:val="21"/>
                <w:szCs w:val="21"/>
                <w:highlight w:val="none"/>
                <w:lang w:val="en-US" w:eastAsia="zh-CN"/>
              </w:rPr>
              <w:t>共1个标段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1.3.1</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en-US" w:eastAsia="zh-CN"/>
              </w:rPr>
              <w:t>资格要求</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lang w:val="en-US" w:eastAsia="zh-CN"/>
              </w:rPr>
              <w:t xml:space="preserve">第一章 </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eastAsia="zh-CN"/>
              </w:rPr>
              <w:t>“3.投标人的资格要求”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1.8</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不</w:t>
            </w:r>
            <w:r>
              <w:rPr>
                <w:rFonts w:hint="eastAsia" w:ascii="宋体" w:hAnsi="宋体" w:eastAsia="宋体" w:cs="宋体"/>
                <w:color w:val="auto"/>
                <w:sz w:val="21"/>
                <w:szCs w:val="21"/>
                <w:highlight w:val="none"/>
              </w:rPr>
              <w:t>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1.9</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投标预备会</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1.10</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不允许分包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1.11</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投标文件不允许偏离招标文件的实质性要求和条件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Merge w:val="restart"/>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2.2.1</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投标人提出问题的截止时间</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投标截止时间10日以前</w:t>
            </w:r>
            <w:r>
              <w:rPr>
                <w:rFonts w:hint="eastAsia" w:ascii="宋体" w:hAnsi="宋体" w:eastAsia="宋体" w:cs="宋体"/>
                <w:color w:val="auto"/>
                <w:sz w:val="21"/>
                <w:szCs w:val="21"/>
                <w:highlight w:val="none"/>
                <w:lang w:eastAsia="zh-CN"/>
              </w:rPr>
              <w:t>。所有获取了招标文件的潜在投标人凭企业数字证书（CA）登录云南省公共资源交易信息网，通过网络在线方式向招标人进行不署名提问，招标人需对所有潜在投标人进行统一回复。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Merge w:val="continue"/>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投标人确认收到招标文件澄清的时间</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投标人自行登录云南省公共资源交易信息网获取澄清，无须回复确认已收到该澄清。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Merge w:val="continue"/>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投标人确认收到招标文件修改的时间</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投标人自行登录云南省公共资源交易信息网获取澄清，无须回复确认已收到该澄清。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2.2.2</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招标人澄清的时间</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投标截止时间15日以前</w:t>
            </w:r>
            <w:r>
              <w:rPr>
                <w:rFonts w:hint="eastAsia" w:ascii="宋体" w:hAnsi="宋体" w:eastAsia="宋体" w:cs="宋体"/>
                <w:color w:val="auto"/>
                <w:sz w:val="21"/>
                <w:szCs w:val="21"/>
                <w:highlight w:val="none"/>
                <w:lang w:eastAsia="zh-CN"/>
              </w:rPr>
              <w:t>。由招标人以补遗书方式按程序报有关主管部门备案后，提交公共资源交易中心统一通过网络向潜在投标人发布，所有获取了招标文件的潜在投标人登录云南省公共资源交易信息网凭企业身份认证数字证书（CA）查看澄清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2.3</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构成招标文件的</w:t>
            </w:r>
          </w:p>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其他资料</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本项目答疑文件（如有）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3.3</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投标截止之日起90</w:t>
            </w:r>
            <w:r>
              <w:rPr>
                <w:rFonts w:hint="eastAsia" w:ascii="宋体" w:hAnsi="宋体" w:eastAsia="宋体" w:cs="宋体"/>
                <w:color w:val="auto"/>
                <w:sz w:val="21"/>
                <w:szCs w:val="21"/>
                <w:highlight w:val="none"/>
                <w:lang w:eastAsia="zh-CN"/>
              </w:rPr>
              <w:t>日历</w:t>
            </w:r>
            <w:r>
              <w:rPr>
                <w:rFonts w:hint="eastAsia" w:ascii="宋体" w:hAnsi="宋体" w:eastAsia="宋体" w:cs="宋体"/>
                <w:color w:val="auto"/>
                <w:sz w:val="21"/>
                <w:szCs w:val="21"/>
                <w:highlight w:val="non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3.4</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☑不要求递交投标保证金</w:t>
            </w:r>
          </w:p>
          <w:p>
            <w:pPr>
              <w:keepNext w:val="0"/>
              <w:keepLines w:val="0"/>
              <w:pageBreakBefore w:val="0"/>
              <w:widowControl w:val="0"/>
              <w:kinsoku/>
              <w:overflowPunct/>
              <w:topLinePunct w:val="0"/>
              <w:autoSpaceDE/>
              <w:autoSpaceDN/>
              <w:bidi w:val="0"/>
              <w:adjustRightInd/>
              <w:snapToGrid/>
              <w:spacing w:line="360" w:lineRule="auto"/>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□要求递交投标保证金</w:t>
            </w:r>
          </w:p>
          <w:p>
            <w:pPr>
              <w:keepNext w:val="0"/>
              <w:keepLines w:val="0"/>
              <w:pageBreakBefore w:val="0"/>
              <w:widowControl w:val="0"/>
              <w:kinsoku/>
              <w:overflowPunct/>
              <w:topLinePunct w:val="0"/>
              <w:autoSpaceDE/>
              <w:autoSpaceDN/>
              <w:bidi w:val="0"/>
              <w:adjustRightInd/>
              <w:snapToGrid/>
              <w:spacing w:line="360" w:lineRule="auto"/>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备注：</w:t>
            </w:r>
            <w:r>
              <w:rPr>
                <w:rFonts w:hint="default" w:ascii="宋体" w:hAnsi="宋体" w:eastAsia="宋体" w:cs="宋体"/>
                <w:color w:val="auto"/>
                <w:sz w:val="21"/>
                <w:szCs w:val="21"/>
                <w:highlight w:val="none"/>
                <w:lang w:val="en-US" w:eastAsia="zh-CN"/>
              </w:rPr>
              <w:t>根据《临沧市公</w:t>
            </w:r>
            <w:r>
              <w:rPr>
                <w:rFonts w:hint="eastAsia" w:ascii="宋体" w:hAnsi="宋体" w:cs="宋体"/>
                <w:color w:val="auto"/>
                <w:sz w:val="21"/>
                <w:szCs w:val="21"/>
                <w:highlight w:val="none"/>
                <w:lang w:val="en-US" w:eastAsia="zh-CN"/>
              </w:rPr>
              <w:t>共</w:t>
            </w:r>
            <w:r>
              <w:rPr>
                <w:rFonts w:hint="default" w:ascii="宋体" w:hAnsi="宋体" w:eastAsia="宋体" w:cs="宋体"/>
                <w:color w:val="auto"/>
                <w:sz w:val="21"/>
                <w:szCs w:val="21"/>
                <w:highlight w:val="none"/>
                <w:lang w:val="en-US" w:eastAsia="zh-CN"/>
              </w:rPr>
              <w:t>资源交易联席会议办公室关于转发云南省公共资源交易平台整合共享2024年重点工作任务的通知》相关要求，本项目不收取投标保证金。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3.6</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是否允许递交</w:t>
            </w:r>
          </w:p>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备选投标方案</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3.7</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投标文件制作</w:t>
            </w:r>
            <w:r>
              <w:rPr>
                <w:rFonts w:hint="eastAsia" w:ascii="宋体" w:hAnsi="宋体" w:eastAsia="宋体" w:cs="宋体"/>
                <w:color w:val="auto"/>
                <w:sz w:val="21"/>
                <w:szCs w:val="21"/>
                <w:highlight w:val="none"/>
              </w:rPr>
              <w:t>要求</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响应性文件必须按项目整体进行制作，</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须对其所投项目所有内容进行整体</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，不得缺项、重项，否则作废标处理。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3.7.1</w:t>
            </w:r>
          </w:p>
        </w:tc>
        <w:tc>
          <w:tcPr>
            <w:tcW w:w="2454" w:type="dxa"/>
            <w:vAlign w:val="center"/>
          </w:tcPr>
          <w:p>
            <w:pPr>
              <w:keepNext w:val="0"/>
              <w:keepLines w:val="0"/>
              <w:pageBreakBefore w:val="0"/>
              <w:widowControl/>
              <w:kinsoku/>
              <w:wordWrap/>
              <w:overflowPunct/>
              <w:topLinePunct w:val="0"/>
              <w:autoSpaceDE/>
              <w:autoSpaceDN/>
              <w:bidi w:val="0"/>
              <w:spacing w:after="0" w:line="360" w:lineRule="auto"/>
              <w:ind w:right="0" w:right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bidi="en-US"/>
              </w:rPr>
              <w:t>投标文件格式</w:t>
            </w:r>
          </w:p>
        </w:tc>
        <w:tc>
          <w:tcPr>
            <w:tcW w:w="6763" w:type="dxa"/>
            <w:vAlign w:val="center"/>
          </w:tcPr>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en-US"/>
              </w:rPr>
              <w:t>投标文件</w:t>
            </w:r>
            <w:r>
              <w:rPr>
                <w:rFonts w:hint="eastAsia" w:ascii="宋体" w:hAnsi="宋体" w:eastAsia="宋体" w:cs="宋体"/>
                <w:color w:val="auto"/>
                <w:sz w:val="21"/>
                <w:szCs w:val="21"/>
                <w:highlight w:val="none"/>
              </w:rPr>
              <w:t>全部</w:t>
            </w:r>
            <w:r>
              <w:rPr>
                <w:rFonts w:hint="eastAsia" w:ascii="宋体" w:hAnsi="宋体" w:eastAsia="宋体" w:cs="宋体"/>
                <w:color w:val="auto"/>
                <w:kern w:val="0"/>
                <w:sz w:val="21"/>
                <w:szCs w:val="21"/>
                <w:highlight w:val="none"/>
                <w:lang w:bidi="en-US"/>
              </w:rPr>
              <w:t>采用电子文档，必须使用《云南省工程建设模块化投标文件编制系统》制作，文件格式为*.BTBJ。</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3.7.3</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签字盖章</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按照投标文件格式，采用单位和个人数字证书电子签章及电子签名：投标文件需要电子签章处应加盖企业、法定代表人电子印章及电子签名。</w:t>
            </w:r>
          </w:p>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注：1.在需要电子签章的地方进行电子签章，无需逐页电子签章。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4.2</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投标文件的递交</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网上上传电子投标文件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Merge w:val="restart"/>
            <w:vAlign w:val="center"/>
          </w:tcPr>
          <w:p>
            <w:pPr>
              <w:keepNext w:val="0"/>
              <w:keepLines w:val="0"/>
              <w:widowControl/>
              <w:suppressLineNumbers w:val="0"/>
              <w:jc w:val="center"/>
              <w:textAlignment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4.2.2</w:t>
            </w:r>
          </w:p>
        </w:tc>
        <w:tc>
          <w:tcPr>
            <w:tcW w:w="2454" w:type="dxa"/>
            <w:vAlign w:val="center"/>
          </w:tcPr>
          <w:p>
            <w:pPr>
              <w:keepNext w:val="0"/>
              <w:keepLines w:val="0"/>
              <w:pageBreakBefore w:val="0"/>
              <w:widowControl/>
              <w:kinsoku/>
              <w:wordWrap/>
              <w:overflowPunct/>
              <w:topLinePunct w:val="0"/>
              <w:autoSpaceDE/>
              <w:autoSpaceDN/>
              <w:bidi w:val="0"/>
              <w:spacing w:after="0" w:line="360" w:lineRule="auto"/>
              <w:ind w:right="0" w:rightChars="0"/>
              <w:jc w:val="center"/>
              <w:textAlignment w:val="auto"/>
              <w:rPr>
                <w:rFonts w:hint="eastAsia" w:ascii="宋体" w:hAnsi="宋体" w:eastAsia="宋体" w:cs="宋体"/>
                <w:color w:val="auto"/>
                <w:kern w:val="0"/>
                <w:sz w:val="21"/>
                <w:szCs w:val="21"/>
                <w:highlight w:val="none"/>
                <w:lang w:bidi="en-US"/>
              </w:rPr>
            </w:pPr>
            <w:r>
              <w:rPr>
                <w:rFonts w:hint="eastAsia" w:ascii="宋体" w:hAnsi="宋体" w:eastAsia="宋体" w:cs="宋体"/>
                <w:color w:val="auto"/>
                <w:kern w:val="0"/>
                <w:sz w:val="21"/>
                <w:szCs w:val="21"/>
                <w:highlight w:val="none"/>
                <w:lang w:bidi="en-US"/>
              </w:rPr>
              <w:t>投标文件递交</w:t>
            </w:r>
          </w:p>
          <w:p>
            <w:pPr>
              <w:keepNext w:val="0"/>
              <w:keepLines w:val="0"/>
              <w:pageBreakBefore w:val="0"/>
              <w:widowControl/>
              <w:kinsoku/>
              <w:wordWrap/>
              <w:overflowPunct/>
              <w:topLinePunct w:val="0"/>
              <w:autoSpaceDE/>
              <w:autoSpaceDN/>
              <w:bidi w:val="0"/>
              <w:spacing w:after="0" w:line="360" w:lineRule="auto"/>
              <w:ind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en-US"/>
              </w:rPr>
              <w:t>及有关内容</w:t>
            </w:r>
          </w:p>
        </w:tc>
        <w:tc>
          <w:tcPr>
            <w:tcW w:w="6763" w:type="dxa"/>
            <w:vAlign w:val="center"/>
          </w:tcPr>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网上</w:t>
            </w:r>
            <w:r>
              <w:rPr>
                <w:rFonts w:hint="eastAsia" w:ascii="宋体" w:hAnsi="宋体" w:eastAsia="宋体" w:cs="宋体"/>
                <w:color w:val="auto"/>
                <w:kern w:val="0"/>
                <w:sz w:val="21"/>
                <w:szCs w:val="21"/>
                <w:highlight w:val="none"/>
                <w:lang w:bidi="en-US"/>
              </w:rPr>
              <w:t>递交</w:t>
            </w:r>
            <w:r>
              <w:rPr>
                <w:rFonts w:hint="eastAsia" w:ascii="宋体" w:hAnsi="宋体" w:eastAsia="宋体" w:cs="宋体"/>
                <w:color w:val="auto"/>
                <w:sz w:val="21"/>
                <w:szCs w:val="21"/>
                <w:highlight w:val="none"/>
              </w:rPr>
              <w:t>：网上递交网址为云南省公共资源交易信息网（</w:t>
            </w:r>
            <w:r>
              <w:rPr>
                <w:rFonts w:hint="eastAsia" w:ascii="宋体" w:hAnsi="宋体" w:eastAsia="宋体" w:cs="宋体"/>
                <w:b w:val="0"/>
                <w:bCs w:val="0"/>
                <w:color w:val="auto"/>
                <w:sz w:val="21"/>
                <w:szCs w:val="21"/>
                <w:highlight w:val="none"/>
                <w:lang w:val="en-US" w:eastAsia="zh-CN"/>
              </w:rPr>
              <w:t>网址：</w:t>
            </w:r>
            <w:r>
              <w:rPr>
                <w:rFonts w:hint="eastAsia" w:ascii="宋体" w:hAnsi="宋体" w:eastAsia="宋体" w:cs="宋体"/>
                <w:b w:val="0"/>
                <w:bCs w:val="0"/>
                <w:color w:val="auto"/>
                <w:sz w:val="21"/>
                <w:szCs w:val="21"/>
                <w:highlight w:val="none"/>
                <w:lang w:val="en-US" w:eastAsia="zh-CN"/>
              </w:rPr>
              <w:fldChar w:fldCharType="begin"/>
            </w:r>
            <w:r>
              <w:rPr>
                <w:rFonts w:hint="eastAsia" w:ascii="宋体" w:hAnsi="宋体" w:eastAsia="宋体" w:cs="宋体"/>
                <w:b w:val="0"/>
                <w:bCs w:val="0"/>
                <w:color w:val="auto"/>
                <w:sz w:val="21"/>
                <w:szCs w:val="21"/>
                <w:highlight w:val="none"/>
                <w:lang w:val="en-US" w:eastAsia="zh-CN"/>
              </w:rPr>
              <w:instrText xml:space="preserve"> AUTOTEXT  input445 \* MERGEFORMAT </w:instrText>
            </w:r>
            <w:r>
              <w:rPr>
                <w:rFonts w:hint="eastAsia" w:ascii="宋体" w:hAnsi="宋体" w:eastAsia="宋体" w:cs="宋体"/>
                <w:b w:val="0"/>
                <w:bCs w:val="0"/>
                <w:color w:val="auto"/>
                <w:sz w:val="21"/>
                <w:szCs w:val="21"/>
                <w:highlight w:val="none"/>
                <w:lang w:val="en-US" w:eastAsia="zh-CN"/>
              </w:rPr>
              <w:fldChar w:fldCharType="separate"/>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http://ggzy.yn.gov.cn/</w:t>
            </w:r>
            <w:r>
              <w:rPr>
                <w:rFonts w:hint="eastAsia" w:ascii="宋体" w:hAnsi="宋体" w:eastAsia="宋体" w:cs="宋体"/>
                <w:b w:val="0"/>
                <w:bCs w:val="0"/>
                <w:color w:val="auto"/>
                <w:sz w:val="21"/>
                <w:szCs w:val="21"/>
                <w:highlight w:val="none"/>
                <w:lang w:val="en-US" w:eastAsia="zh-CN"/>
              </w:rPr>
              <w:fldChar w:fldCharType="end"/>
            </w:r>
            <w:r>
              <w:rPr>
                <w:rFonts w:hint="eastAsia" w:ascii="宋体" w:hAnsi="宋体" w:eastAsia="宋体" w:cs="宋体"/>
                <w:color w:val="auto"/>
                <w:sz w:val="21"/>
                <w:szCs w:val="21"/>
                <w:highlight w:val="none"/>
              </w:rPr>
              <w:t>），投标人须在投标截止时间前完成所有投标文件的上传，网上确认电子签章，并打印“上传投标文件回执”，投标截止时间前未完成投标文件传输的，视为撤回投标文件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Merge w:val="continue"/>
            <w:vAlign w:val="center"/>
          </w:tcPr>
          <w:p>
            <w:pPr>
              <w:keepNext w:val="0"/>
              <w:keepLines w:val="0"/>
              <w:widowControl/>
              <w:suppressLineNumbers w:val="0"/>
              <w:jc w:val="center"/>
              <w:textAlignment w:val="center"/>
              <w:rPr>
                <w:rFonts w:hint="eastAsia" w:ascii="宋体" w:hAnsi="宋体" w:cs="宋体"/>
                <w:color w:val="auto"/>
                <w:sz w:val="21"/>
                <w:szCs w:val="21"/>
                <w:highlight w:val="none"/>
                <w:lang w:val="en-US" w:eastAsia="zh-CN"/>
              </w:rPr>
            </w:pPr>
          </w:p>
        </w:tc>
        <w:tc>
          <w:tcPr>
            <w:tcW w:w="2454" w:type="dxa"/>
            <w:vAlign w:val="center"/>
          </w:tcPr>
          <w:p>
            <w:pPr>
              <w:keepNext w:val="0"/>
              <w:keepLines w:val="0"/>
              <w:pageBreakBefore w:val="0"/>
              <w:kinsoku/>
              <w:wordWrap/>
              <w:overflowPunct/>
              <w:topLinePunct w:val="0"/>
              <w:autoSpaceDE/>
              <w:autoSpaceDN/>
              <w:bidi w:val="0"/>
              <w:spacing w:after="0" w:line="360" w:lineRule="auto"/>
              <w:ind w:right="0" w:right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文件截止时间</w:t>
            </w:r>
          </w:p>
        </w:tc>
        <w:tc>
          <w:tcPr>
            <w:tcW w:w="6763" w:type="dxa"/>
            <w:vAlign w:val="center"/>
          </w:tcPr>
          <w:p>
            <w:pPr>
              <w:keepNext w:val="0"/>
              <w:keepLines w:val="0"/>
              <w:pageBreakBefore w:val="0"/>
              <w:kinsoku/>
              <w:wordWrap/>
              <w:overflowPunct/>
              <w:topLinePunct w:val="0"/>
              <w:autoSpaceDE/>
              <w:autoSpaceDN/>
              <w:bidi w:val="0"/>
              <w:spacing w:after="0" w:line="360" w:lineRule="auto"/>
              <w:ind w:right="0" w:rightChars="0"/>
              <w:jc w:val="both"/>
              <w:textAlignment w:val="auto"/>
              <w:rPr>
                <w:rFonts w:hint="eastAsia" w:ascii="宋体" w:hAnsi="宋体" w:eastAsia="宋体" w:cs="宋体"/>
                <w:b w:val="0"/>
                <w:bCs/>
                <w:color w:val="auto"/>
                <w:kern w:val="2"/>
                <w:sz w:val="21"/>
                <w:szCs w:val="21"/>
                <w:highlight w:val="none"/>
              </w:rPr>
            </w:pPr>
            <w:r>
              <w:rPr>
                <w:rFonts w:hint="eastAsia" w:ascii="宋体" w:hAnsi="宋体" w:eastAsia="宋体" w:cs="宋体"/>
                <w:color w:val="auto"/>
                <w:sz w:val="21"/>
                <w:szCs w:val="21"/>
                <w:highlight w:val="none"/>
                <w:u w:val="none"/>
              </w:rPr>
              <w:t>202</w:t>
            </w:r>
            <w:r>
              <w:rPr>
                <w:rFonts w:hint="eastAsia" w:ascii="宋体" w:hAnsi="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rPr>
              <w:t>年</w:t>
            </w:r>
            <w:r>
              <w:rPr>
                <w:rFonts w:hint="eastAsia" w:ascii="宋体" w:hAnsi="宋体" w:cs="宋体"/>
                <w:color w:val="auto"/>
                <w:sz w:val="21"/>
                <w:szCs w:val="21"/>
                <w:highlight w:val="none"/>
                <w:u w:val="none"/>
                <w:lang w:val="en-US" w:eastAsia="zh-CN"/>
              </w:rPr>
              <w:t xml:space="preserve">4 </w:t>
            </w:r>
            <w:r>
              <w:rPr>
                <w:rFonts w:hint="eastAsia" w:ascii="宋体" w:hAnsi="宋体" w:eastAsia="宋体" w:cs="宋体"/>
                <w:color w:val="auto"/>
                <w:sz w:val="21"/>
                <w:szCs w:val="21"/>
                <w:highlight w:val="none"/>
                <w:u w:val="none"/>
              </w:rPr>
              <w:t>月</w:t>
            </w:r>
            <w:r>
              <w:rPr>
                <w:rFonts w:hint="eastAsia" w:ascii="宋体" w:hAnsi="宋体" w:cs="宋体"/>
                <w:color w:val="auto"/>
                <w:sz w:val="21"/>
                <w:szCs w:val="21"/>
                <w:highlight w:val="none"/>
                <w:u w:val="none"/>
                <w:lang w:val="en-US" w:eastAsia="zh-CN"/>
              </w:rPr>
              <w:t>23</w:t>
            </w:r>
            <w:r>
              <w:rPr>
                <w:rFonts w:hint="eastAsia" w:ascii="宋体" w:hAnsi="宋体" w:eastAsia="宋体" w:cs="宋体"/>
                <w:color w:val="auto"/>
                <w:sz w:val="21"/>
                <w:szCs w:val="21"/>
                <w:highlight w:val="none"/>
                <w:u w:val="none"/>
              </w:rPr>
              <w:t>日</w:t>
            </w:r>
            <w:r>
              <w:rPr>
                <w:rFonts w:hint="eastAsia" w:ascii="宋体" w:hAnsi="宋体" w:eastAsia="宋体" w:cs="宋体"/>
                <w:color w:val="auto"/>
                <w:sz w:val="21"/>
                <w:szCs w:val="21"/>
                <w:highlight w:val="none"/>
                <w:u w:val="none"/>
                <w:lang w:val="en-US" w:eastAsia="zh-CN"/>
              </w:rPr>
              <w:t>09</w:t>
            </w:r>
            <w:r>
              <w:rPr>
                <w:rFonts w:hint="eastAsia" w:ascii="宋体" w:hAnsi="宋体" w:eastAsia="宋体" w:cs="宋体"/>
                <w:color w:val="auto"/>
                <w:sz w:val="21"/>
                <w:szCs w:val="21"/>
                <w:highlight w:val="none"/>
                <w:u w:val="none"/>
              </w:rPr>
              <w:t>时</w:t>
            </w:r>
            <w:r>
              <w:rPr>
                <w:rFonts w:hint="eastAsia" w:ascii="宋体" w:hAnsi="宋体" w:eastAsia="宋体" w:cs="宋体"/>
                <w:color w:val="auto"/>
                <w:sz w:val="21"/>
                <w:szCs w:val="21"/>
                <w:highlight w:val="none"/>
                <w:u w:val="none"/>
                <w:lang w:val="en-US" w:eastAsia="zh-CN"/>
              </w:rPr>
              <w:t>00</w:t>
            </w:r>
            <w:r>
              <w:rPr>
                <w:rFonts w:hint="eastAsia" w:ascii="宋体" w:hAnsi="宋体" w:eastAsia="宋体" w:cs="宋体"/>
                <w:color w:val="auto"/>
                <w:sz w:val="21"/>
                <w:szCs w:val="21"/>
                <w:highlight w:val="none"/>
                <w:u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Merge w:val="continue"/>
            <w:vAlign w:val="center"/>
          </w:tcPr>
          <w:p>
            <w:pPr>
              <w:keepNext w:val="0"/>
              <w:keepLines w:val="0"/>
              <w:widowControl/>
              <w:suppressLineNumbers w:val="0"/>
              <w:jc w:val="center"/>
              <w:textAlignment w:val="center"/>
              <w:rPr>
                <w:rFonts w:hint="eastAsia" w:ascii="宋体" w:hAnsi="宋体" w:cs="宋体"/>
                <w:color w:val="auto"/>
                <w:sz w:val="21"/>
                <w:szCs w:val="21"/>
                <w:highlight w:val="none"/>
                <w:lang w:val="en-US" w:eastAsia="zh-CN"/>
              </w:rPr>
            </w:pPr>
          </w:p>
        </w:tc>
        <w:tc>
          <w:tcPr>
            <w:tcW w:w="2454" w:type="dxa"/>
            <w:vAlign w:val="center"/>
          </w:tcPr>
          <w:p>
            <w:pPr>
              <w:keepNext w:val="0"/>
              <w:keepLines w:val="0"/>
              <w:pageBreakBefore w:val="0"/>
              <w:kinsoku/>
              <w:wordWrap/>
              <w:overflowPunct/>
              <w:topLinePunct w:val="0"/>
              <w:autoSpaceDE/>
              <w:autoSpaceDN/>
              <w:bidi w:val="0"/>
              <w:spacing w:after="0" w:line="360" w:lineRule="auto"/>
              <w:ind w:right="0" w:right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递交投标文件地点</w:t>
            </w:r>
          </w:p>
        </w:tc>
        <w:tc>
          <w:tcPr>
            <w:tcW w:w="6763" w:type="dxa"/>
            <w:vAlign w:val="center"/>
          </w:tcPr>
          <w:p>
            <w:pPr>
              <w:keepNext w:val="0"/>
              <w:keepLines w:val="0"/>
              <w:pageBreakBefore w:val="0"/>
              <w:kinsoku/>
              <w:wordWrap/>
              <w:overflowPunct/>
              <w:topLinePunct w:val="0"/>
              <w:autoSpaceDE/>
              <w:autoSpaceDN/>
              <w:bidi w:val="0"/>
              <w:spacing w:after="0" w:line="360" w:lineRule="auto"/>
              <w:ind w:right="0" w:righ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kern w:val="2"/>
                <w:sz w:val="21"/>
                <w:szCs w:val="21"/>
                <w:highlight w:val="none"/>
              </w:rPr>
              <w:t>云南省公共资源交易信息网</w:t>
            </w:r>
            <w:r>
              <w:rPr>
                <w:rFonts w:hint="eastAsia" w:ascii="宋体" w:hAnsi="宋体" w:eastAsia="宋体" w:cs="宋体"/>
                <w:b w:val="0"/>
                <w:bCs/>
                <w:color w:val="auto"/>
                <w:kern w:val="2"/>
                <w:sz w:val="21"/>
                <w:szCs w:val="21"/>
                <w:highlight w:val="none"/>
                <w:lang w:val="en-US" w:eastAsia="zh-CN"/>
              </w:rPr>
              <w:t>（网上递交）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5.1</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w:t>
            </w:r>
          </w:p>
        </w:tc>
        <w:tc>
          <w:tcPr>
            <w:tcW w:w="6763" w:type="dxa"/>
            <w:vAlign w:val="center"/>
          </w:tcPr>
          <w:p>
            <w:pPr>
              <w:keepNext w:val="0"/>
              <w:keepLines w:val="0"/>
              <w:pageBreakBefore w:val="0"/>
              <w:widowControl w:val="0"/>
              <w:kinsoku/>
              <w:wordWrap w:val="0"/>
              <w:overflowPunct/>
              <w:topLinePunct w:val="0"/>
              <w:autoSpaceDE/>
              <w:autoSpaceDN/>
              <w:bidi w:val="0"/>
              <w:adjustRightInd/>
              <w:snapToGrid/>
              <w:spacing w:line="360" w:lineRule="auto"/>
              <w:ind w:left="630" w:hanging="630" w:hanging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开标</w:t>
            </w:r>
            <w:r>
              <w:rPr>
                <w:rFonts w:hint="eastAsia" w:ascii="宋体" w:hAnsi="宋体" w:eastAsia="宋体" w:cs="宋体"/>
                <w:color w:val="auto"/>
                <w:sz w:val="21"/>
                <w:szCs w:val="21"/>
                <w:highlight w:val="none"/>
              </w:rPr>
              <w:t>时间：202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 xml:space="preserve"> 23 </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09时0</w:t>
            </w:r>
            <w:r>
              <w:rPr>
                <w:rFonts w:hint="eastAsia" w:ascii="宋体" w:hAnsi="宋体" w:eastAsia="宋体" w:cs="宋体"/>
                <w:color w:val="auto"/>
                <w:sz w:val="21"/>
                <w:szCs w:val="21"/>
                <w:highlight w:val="none"/>
              </w:rPr>
              <w:t>0分（北京时间）</w:t>
            </w:r>
          </w:p>
          <w:p>
            <w:pPr>
              <w:keepNext w:val="0"/>
              <w:keepLines w:val="0"/>
              <w:pageBreakBefore w:val="0"/>
              <w:widowControl w:val="0"/>
              <w:kinsoku/>
              <w:wordWrap w:val="0"/>
              <w:overflowPunct/>
              <w:topLinePunct w:val="0"/>
              <w:autoSpaceDE/>
              <w:autoSpaceDN/>
              <w:bidi w:val="0"/>
              <w:adjustRightInd/>
              <w:snapToGrid/>
              <w:spacing w:line="360" w:lineRule="auto"/>
              <w:ind w:left="630" w:hanging="630" w:hanging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地点：云南省公共资源交易信息网（</w:t>
            </w:r>
            <w:r>
              <w:rPr>
                <w:rFonts w:hint="eastAsia" w:ascii="宋体" w:hAnsi="宋体" w:eastAsia="宋体" w:cs="宋体"/>
                <w:color w:val="auto"/>
                <w:sz w:val="21"/>
                <w:szCs w:val="21"/>
                <w:highlight w:val="none"/>
                <w:lang w:val="en-US" w:eastAsia="zh-CN"/>
              </w:rPr>
              <w:t>http://ggzy.yn.gov.cn/</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5.2</w:t>
            </w:r>
          </w:p>
        </w:tc>
        <w:tc>
          <w:tcPr>
            <w:tcW w:w="2454" w:type="dxa"/>
            <w:vAlign w:val="center"/>
          </w:tcPr>
          <w:p>
            <w:pPr>
              <w:keepNext w:val="0"/>
              <w:keepLines w:val="0"/>
              <w:pageBreakBefore w:val="0"/>
              <w:widowControl/>
              <w:kinsoku/>
              <w:wordWrap/>
              <w:overflowPunct/>
              <w:topLinePunct w:val="0"/>
              <w:autoSpaceDE/>
              <w:autoSpaceDN/>
              <w:bidi w:val="0"/>
              <w:spacing w:after="0" w:line="360" w:lineRule="auto"/>
              <w:ind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en-US"/>
              </w:rPr>
              <w:t>开标程序</w:t>
            </w:r>
          </w:p>
        </w:tc>
        <w:tc>
          <w:tcPr>
            <w:tcW w:w="6763" w:type="dxa"/>
            <w:vAlign w:val="center"/>
          </w:tcPr>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kern w:val="0"/>
                <w:sz w:val="21"/>
                <w:szCs w:val="21"/>
                <w:highlight w:val="none"/>
                <w:lang w:bidi="en-US"/>
              </w:rPr>
            </w:pPr>
            <w:r>
              <w:rPr>
                <w:rFonts w:hint="eastAsia" w:ascii="宋体" w:hAnsi="宋体" w:eastAsia="宋体" w:cs="宋体"/>
                <w:color w:val="auto"/>
                <w:kern w:val="0"/>
                <w:sz w:val="21"/>
                <w:szCs w:val="21"/>
                <w:highlight w:val="none"/>
                <w:lang w:bidi="en-US"/>
              </w:rPr>
              <w:t>开标顺序：按照电子招标投标交易平台自动提取所有投标人的顺序当众开标；</w:t>
            </w:r>
          </w:p>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bidi="en-US"/>
              </w:rPr>
              <w:t>本次开标及评标由行业监管部门进行全程监督。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6.1.1</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评标委员会的组建</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评标委员会构成：</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人，其中业主</w:t>
            </w:r>
            <w:r>
              <w:rPr>
                <w:rFonts w:hint="eastAsia" w:ascii="宋体" w:hAnsi="宋体" w:cs="宋体"/>
                <w:color w:val="auto"/>
                <w:sz w:val="21"/>
                <w:szCs w:val="21"/>
                <w:highlight w:val="none"/>
                <w:lang w:val="en-US" w:eastAsia="zh-CN"/>
              </w:rPr>
              <w:t>代表</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人，技术、经济专家</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人，技术、经济等方面的专家不得少于成员总数的三分之二。</w:t>
            </w:r>
          </w:p>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评标专家确定方式：技术、经济等方面的专家从云南省综合评标专家系统中随机抽取。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6.3</w:t>
            </w:r>
          </w:p>
        </w:tc>
        <w:tc>
          <w:tcPr>
            <w:tcW w:w="2454" w:type="dxa"/>
            <w:vAlign w:val="center"/>
          </w:tcPr>
          <w:p>
            <w:pPr>
              <w:keepNext w:val="0"/>
              <w:keepLines w:val="0"/>
              <w:pageBreakBefore w:val="0"/>
              <w:kinsoku/>
              <w:wordWrap/>
              <w:overflowPunct/>
              <w:topLinePunct w:val="0"/>
              <w:autoSpaceDE/>
              <w:autoSpaceDN/>
              <w:bidi w:val="0"/>
              <w:adjustRightInd/>
              <w:snapToGrid/>
              <w:spacing w:after="0" w:line="360" w:lineRule="auto"/>
              <w:ind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评标方法及标准</w:t>
            </w:r>
          </w:p>
        </w:tc>
        <w:tc>
          <w:tcPr>
            <w:tcW w:w="6763" w:type="dxa"/>
            <w:vAlign w:val="center"/>
          </w:tcPr>
          <w:p>
            <w:pPr>
              <w:keepNext w:val="0"/>
              <w:keepLines w:val="0"/>
              <w:pageBreakBefore w:val="0"/>
              <w:kinsoku/>
              <w:wordWrap/>
              <w:overflowPunct/>
              <w:topLinePunct w:val="0"/>
              <w:autoSpaceDE/>
              <w:autoSpaceDN/>
              <w:bidi w:val="0"/>
              <w:adjustRightInd/>
              <w:snapToGrid/>
              <w:spacing w:after="0" w:line="360" w:lineRule="auto"/>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综合评估法，详见第三章“评标方法”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7.1</w:t>
            </w:r>
          </w:p>
        </w:tc>
        <w:tc>
          <w:tcPr>
            <w:tcW w:w="2454" w:type="dxa"/>
            <w:vAlign w:val="center"/>
          </w:tcPr>
          <w:p>
            <w:pPr>
              <w:keepNext w:val="0"/>
              <w:keepLines w:val="0"/>
              <w:pageBreakBefore w:val="0"/>
              <w:kinsoku/>
              <w:wordWrap/>
              <w:overflowPunct/>
              <w:topLinePunct w:val="0"/>
              <w:autoSpaceDE/>
              <w:autoSpaceDN/>
              <w:bidi w:val="0"/>
              <w:adjustRightInd/>
              <w:snapToGrid/>
              <w:spacing w:after="0" w:line="360" w:lineRule="auto"/>
              <w:ind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是否授权评标</w:t>
            </w:r>
          </w:p>
          <w:p>
            <w:pPr>
              <w:keepNext w:val="0"/>
              <w:keepLines w:val="0"/>
              <w:pageBreakBefore w:val="0"/>
              <w:kinsoku/>
              <w:wordWrap/>
              <w:overflowPunct/>
              <w:topLinePunct w:val="0"/>
              <w:autoSpaceDE/>
              <w:autoSpaceDN/>
              <w:bidi w:val="0"/>
              <w:adjustRightInd/>
              <w:snapToGrid/>
              <w:spacing w:after="0" w:line="360" w:lineRule="auto"/>
              <w:ind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委员会确定中标人</w:t>
            </w:r>
          </w:p>
        </w:tc>
        <w:tc>
          <w:tcPr>
            <w:tcW w:w="6763" w:type="dxa"/>
            <w:vAlign w:val="center"/>
          </w:tcPr>
          <w:p>
            <w:pPr>
              <w:keepNext w:val="0"/>
              <w:keepLines w:val="0"/>
              <w:pageBreakBefore w:val="0"/>
              <w:kinsoku/>
              <w:wordWrap/>
              <w:overflowPunct/>
              <w:topLinePunct w:val="0"/>
              <w:autoSpaceDE/>
              <w:autoSpaceDN/>
              <w:bidi w:val="0"/>
              <w:adjustRightInd/>
              <w:snapToGrid/>
              <w:spacing w:after="0" w:line="360" w:lineRule="auto"/>
              <w:ind w:right="0" w:righ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否，推荐的中标候选人数：3名</w:t>
            </w:r>
            <w:r>
              <w:rPr>
                <w:rFonts w:hint="eastAsia" w:ascii="宋体" w:hAnsi="宋体"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7.2</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w:t>
            </w:r>
          </w:p>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公示媒介</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招标公告发布的同一媒介予以公示，公示期不少于</w:t>
            </w:r>
            <w:r>
              <w:rPr>
                <w:rFonts w:hint="eastAsia" w:ascii="宋体" w:hAnsi="宋体" w:eastAsia="宋体" w:cs="宋体"/>
                <w:color w:val="auto"/>
                <w:sz w:val="21"/>
                <w:szCs w:val="21"/>
                <w:highlight w:val="none"/>
                <w:lang w:eastAsia="zh-CN"/>
              </w:rPr>
              <w:t>3工作日</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861" w:type="dxa"/>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7.3</w:t>
            </w:r>
          </w:p>
        </w:tc>
        <w:tc>
          <w:tcPr>
            <w:tcW w:w="2454" w:type="dxa"/>
            <w:vAlign w:val="center"/>
          </w:tcPr>
          <w:p>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履约</w:t>
            </w:r>
            <w:r>
              <w:rPr>
                <w:rFonts w:hint="eastAsia" w:ascii="宋体" w:hAnsi="宋体" w:eastAsia="宋体" w:cs="宋体"/>
                <w:color w:val="auto"/>
                <w:sz w:val="21"/>
                <w:szCs w:val="21"/>
                <w:highlight w:val="none"/>
                <w:lang w:eastAsia="zh-CN"/>
              </w:rPr>
              <w:t>保证金</w:t>
            </w:r>
          </w:p>
        </w:tc>
        <w:tc>
          <w:tcPr>
            <w:tcW w:w="6763" w:type="dxa"/>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Merge w:val="restart"/>
            <w:vAlign w:val="center"/>
          </w:tcPr>
          <w:p>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其他补充内容</w:t>
            </w:r>
          </w:p>
        </w:tc>
        <w:tc>
          <w:tcPr>
            <w:tcW w:w="2454" w:type="dxa"/>
            <w:vAlign w:val="center"/>
          </w:tcPr>
          <w:p>
            <w:pPr>
              <w:keepNext w:val="0"/>
              <w:keepLines w:val="0"/>
              <w:pageBreakBefore w:val="0"/>
              <w:widowControl/>
              <w:kinsoku/>
              <w:wordWrap/>
              <w:overflowPunct/>
              <w:topLinePunct w:val="0"/>
              <w:autoSpaceDE/>
              <w:autoSpaceDN/>
              <w:bidi w:val="0"/>
              <w:adjustRightInd/>
              <w:snapToGrid/>
              <w:spacing w:after="0" w:line="360" w:lineRule="auto"/>
              <w:ind w:right="0" w:rightChars="0"/>
              <w:jc w:val="center"/>
              <w:textAlignment w:val="auto"/>
              <w:rPr>
                <w:rFonts w:hint="eastAsia" w:hAnsi="宋体" w:eastAsia="宋体"/>
                <w:color w:val="auto"/>
                <w:sz w:val="21"/>
                <w:szCs w:val="21"/>
                <w:highlight w:val="none"/>
                <w:lang w:eastAsia="zh-CN"/>
              </w:rPr>
            </w:pPr>
            <w:r>
              <w:rPr>
                <w:rFonts w:hint="eastAsia" w:ascii="宋体" w:hAnsi="宋体" w:eastAsia="宋体" w:cs="宋体"/>
                <w:color w:val="auto"/>
                <w:kern w:val="0"/>
                <w:sz w:val="21"/>
                <w:szCs w:val="21"/>
                <w:highlight w:val="none"/>
                <w:lang w:bidi="en-US"/>
              </w:rPr>
              <w:t>招标文件的解释</w:t>
            </w:r>
          </w:p>
        </w:tc>
        <w:tc>
          <w:tcPr>
            <w:tcW w:w="6763" w:type="dxa"/>
            <w:vAlign w:val="center"/>
          </w:tcPr>
          <w:p>
            <w:pPr>
              <w:keepNext w:val="0"/>
              <w:keepLines w:val="0"/>
              <w:pageBreakBefore w:val="0"/>
              <w:kinsoku/>
              <w:wordWrap/>
              <w:overflowPunct/>
              <w:topLinePunct w:val="0"/>
              <w:autoSpaceDE/>
              <w:autoSpaceDN/>
              <w:bidi w:val="0"/>
              <w:adjustRightInd/>
              <w:snapToGrid/>
              <w:spacing w:after="0" w:line="360" w:lineRule="auto"/>
              <w:ind w:right="0" w:rightChars="0"/>
              <w:textAlignment w:val="auto"/>
              <w:rPr>
                <w:rFonts w:hint="eastAsia" w:hAnsi="宋体" w:eastAsia="宋体"/>
                <w:color w:val="auto"/>
                <w:sz w:val="21"/>
                <w:szCs w:val="21"/>
                <w:highlight w:val="none"/>
                <w:lang w:eastAsia="zh-CN"/>
              </w:rPr>
            </w:pPr>
            <w:r>
              <w:rPr>
                <w:rFonts w:hint="eastAsia" w:ascii="宋体" w:hAnsi="宋体" w:eastAsia="宋体" w:cs="宋体"/>
                <w:color w:val="auto"/>
                <w:kern w:val="0"/>
                <w:sz w:val="21"/>
                <w:szCs w:val="21"/>
                <w:highlight w:val="none"/>
                <w:lang w:bidi="en-US"/>
              </w:rPr>
              <w:t>招标人</w:t>
            </w:r>
            <w:r>
              <w:rPr>
                <w:rFonts w:hint="eastAsia" w:ascii="宋体" w:hAnsi="宋体" w:eastAsia="宋体" w:cs="宋体"/>
                <w:color w:val="auto"/>
                <w:sz w:val="21"/>
                <w:szCs w:val="21"/>
                <w:highlight w:val="none"/>
              </w:rPr>
              <w:t>自行</w:t>
            </w:r>
            <w:r>
              <w:rPr>
                <w:rFonts w:hint="eastAsia" w:ascii="宋体" w:hAnsi="宋体" w:eastAsia="宋体" w:cs="宋体"/>
                <w:color w:val="auto"/>
                <w:kern w:val="0"/>
                <w:sz w:val="21"/>
                <w:szCs w:val="21"/>
                <w:highlight w:val="none"/>
                <w:lang w:bidi="en-US"/>
              </w:rPr>
              <w:t>编写的内容由招标人解释。对招标人自行编写的内容理解有争议的，由备案的行政监督部门按照招标文件所使用的词句、招标文件有关条款、招标的目的、习惯以及诚实信用原则，确定该条款的真实意思。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Merge w:val="continue"/>
            <w:vAlign w:val="center"/>
          </w:tcPr>
          <w:p>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2454" w:type="dxa"/>
            <w:vAlign w:val="center"/>
          </w:tcPr>
          <w:p>
            <w:pPr>
              <w:keepNext w:val="0"/>
              <w:keepLines w:val="0"/>
              <w:pageBreakBefore w:val="0"/>
              <w:kinsoku/>
              <w:wordWrap/>
              <w:overflowPunct/>
              <w:topLinePunct w:val="0"/>
              <w:autoSpaceDE/>
              <w:autoSpaceDN/>
              <w:bidi w:val="0"/>
              <w:adjustRightInd/>
              <w:snapToGrid/>
              <w:spacing w:after="0" w:line="360" w:lineRule="auto"/>
              <w:ind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en-US"/>
              </w:rPr>
              <w:t>述标</w:t>
            </w:r>
          </w:p>
        </w:tc>
        <w:tc>
          <w:tcPr>
            <w:tcW w:w="6763" w:type="dxa"/>
            <w:vAlign w:val="center"/>
          </w:tcPr>
          <w:p>
            <w:pPr>
              <w:keepNext w:val="0"/>
              <w:keepLines w:val="0"/>
              <w:pageBreakBefore w:val="0"/>
              <w:kinsoku/>
              <w:wordWrap/>
              <w:overflowPunct/>
              <w:topLinePunct w:val="0"/>
              <w:autoSpaceDE/>
              <w:autoSpaceDN/>
              <w:bidi w:val="0"/>
              <w:adjustRightInd/>
              <w:snapToGrid/>
              <w:spacing w:after="0" w:line="360" w:lineRule="auto"/>
              <w:ind w:right="0" w:rightChars="0"/>
              <w:textAlignment w:val="auto"/>
              <w:rPr>
                <w:rFonts w:hint="eastAsia" w:ascii="宋体" w:hAnsi="宋体" w:eastAsia="宋体" w:cs="宋体"/>
                <w:color w:val="auto"/>
                <w:kern w:val="0"/>
                <w:sz w:val="21"/>
                <w:szCs w:val="21"/>
                <w:highlight w:val="none"/>
                <w:lang w:bidi="en-US"/>
              </w:rPr>
            </w:pPr>
            <w:r>
              <w:rPr>
                <w:rFonts w:hint="eastAsia" w:ascii="宋体" w:hAnsi="宋体" w:eastAsia="宋体" w:cs="宋体"/>
                <w:color w:val="auto"/>
                <w:sz w:val="21"/>
                <w:szCs w:val="21"/>
                <w:highlight w:val="none"/>
                <w:lang w:bidi="en-US"/>
              </w:rPr>
              <w:t>本项目不</w:t>
            </w:r>
            <w:r>
              <w:rPr>
                <w:rFonts w:hint="eastAsia" w:ascii="宋体" w:hAnsi="宋体" w:eastAsia="宋体" w:cs="宋体"/>
                <w:color w:val="auto"/>
                <w:sz w:val="21"/>
                <w:szCs w:val="21"/>
                <w:highlight w:val="none"/>
              </w:rPr>
              <w:t>要求</w:t>
            </w:r>
            <w:r>
              <w:rPr>
                <w:rFonts w:hint="eastAsia" w:ascii="宋体" w:hAnsi="宋体" w:eastAsia="宋体" w:cs="宋体"/>
                <w:color w:val="auto"/>
                <w:sz w:val="21"/>
                <w:szCs w:val="21"/>
                <w:highlight w:val="none"/>
                <w:lang w:bidi="en-US"/>
              </w:rPr>
              <w:t>述标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Merge w:val="continue"/>
            <w:vAlign w:val="center"/>
          </w:tcPr>
          <w:p>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2454" w:type="dxa"/>
            <w:vAlign w:val="center"/>
          </w:tcPr>
          <w:p>
            <w:pPr>
              <w:keepNext w:val="0"/>
              <w:keepLines w:val="0"/>
              <w:pageBreakBefore w:val="0"/>
              <w:widowControl/>
              <w:kinsoku/>
              <w:wordWrap/>
              <w:overflowPunct/>
              <w:topLinePunct w:val="0"/>
              <w:autoSpaceDE/>
              <w:autoSpaceDN/>
              <w:bidi w:val="0"/>
              <w:spacing w:after="0" w:line="360" w:lineRule="auto"/>
              <w:ind w:right="0" w:rightChars="0"/>
              <w:jc w:val="center"/>
              <w:textAlignment w:val="auto"/>
              <w:rPr>
                <w:rFonts w:hint="eastAsia" w:ascii="宋体" w:hAnsi="宋体" w:eastAsia="宋体" w:cs="宋体"/>
                <w:color w:val="auto"/>
                <w:sz w:val="21"/>
                <w:szCs w:val="21"/>
                <w:highlight w:val="none"/>
                <w:lang w:bidi="en-US"/>
              </w:rPr>
            </w:pPr>
            <w:r>
              <w:rPr>
                <w:rFonts w:hint="eastAsia" w:ascii="宋体" w:hAnsi="宋体" w:eastAsia="宋体" w:cs="宋体"/>
                <w:color w:val="auto"/>
                <w:kern w:val="0"/>
                <w:sz w:val="21"/>
                <w:szCs w:val="21"/>
                <w:highlight w:val="none"/>
                <w:lang w:bidi="en-US"/>
              </w:rPr>
              <w:t>“暗标”评审</w:t>
            </w:r>
          </w:p>
        </w:tc>
        <w:tc>
          <w:tcPr>
            <w:tcW w:w="6763" w:type="dxa"/>
            <w:vAlign w:val="center"/>
          </w:tcPr>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lang w:bidi="en-US"/>
              </w:rPr>
            </w:pPr>
            <w:r>
              <w:rPr>
                <w:rFonts w:hint="eastAsia" w:ascii="宋体" w:hAnsi="宋体" w:eastAsia="宋体" w:cs="宋体"/>
                <w:color w:val="auto"/>
                <w:kern w:val="0"/>
                <w:sz w:val="21"/>
                <w:szCs w:val="21"/>
                <w:highlight w:val="none"/>
                <w:lang w:bidi="en-US"/>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61" w:type="dxa"/>
            <w:vMerge w:val="continue"/>
            <w:vAlign w:val="center"/>
          </w:tcPr>
          <w:p>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2454" w:type="dxa"/>
            <w:vAlign w:val="center"/>
          </w:tcPr>
          <w:p>
            <w:pPr>
              <w:keepNext w:val="0"/>
              <w:keepLines w:val="0"/>
              <w:pageBreakBefore w:val="0"/>
              <w:widowControl/>
              <w:kinsoku/>
              <w:wordWrap/>
              <w:overflowPunct/>
              <w:topLinePunct w:val="0"/>
              <w:autoSpaceDE/>
              <w:autoSpaceDN/>
              <w:bidi w:val="0"/>
              <w:spacing w:after="0" w:line="360" w:lineRule="auto"/>
              <w:ind w:right="0" w:rightChars="0"/>
              <w:jc w:val="center"/>
              <w:textAlignment w:val="auto"/>
              <w:rPr>
                <w:rFonts w:hint="eastAsia" w:ascii="宋体" w:hAnsi="宋体" w:eastAsia="宋体" w:cs="宋体"/>
                <w:color w:val="auto"/>
                <w:kern w:val="0"/>
                <w:sz w:val="21"/>
                <w:szCs w:val="21"/>
                <w:highlight w:val="none"/>
                <w:lang w:bidi="en-US"/>
              </w:rPr>
            </w:pPr>
            <w:r>
              <w:rPr>
                <w:rFonts w:hint="eastAsia" w:ascii="宋体" w:hAnsi="宋体" w:eastAsia="宋体" w:cs="宋体"/>
                <w:color w:val="auto"/>
                <w:kern w:val="0"/>
                <w:sz w:val="21"/>
                <w:szCs w:val="21"/>
                <w:highlight w:val="none"/>
                <w:lang w:bidi="en-US"/>
              </w:rPr>
              <w:t>需要补充的</w:t>
            </w:r>
          </w:p>
          <w:p>
            <w:pPr>
              <w:keepNext w:val="0"/>
              <w:keepLines w:val="0"/>
              <w:pageBreakBefore w:val="0"/>
              <w:widowControl/>
              <w:kinsoku/>
              <w:wordWrap/>
              <w:overflowPunct/>
              <w:topLinePunct w:val="0"/>
              <w:autoSpaceDE/>
              <w:autoSpaceDN/>
              <w:bidi w:val="0"/>
              <w:spacing w:after="0" w:line="360" w:lineRule="auto"/>
              <w:ind w:right="0" w:rightChars="0"/>
              <w:jc w:val="center"/>
              <w:textAlignment w:val="auto"/>
              <w:rPr>
                <w:rFonts w:hint="eastAsia" w:ascii="宋体" w:hAnsi="宋体" w:eastAsia="宋体" w:cs="宋体"/>
                <w:color w:val="auto"/>
                <w:sz w:val="21"/>
                <w:szCs w:val="21"/>
                <w:highlight w:val="none"/>
                <w:lang w:bidi="en-US"/>
              </w:rPr>
            </w:pPr>
            <w:r>
              <w:rPr>
                <w:rFonts w:hint="eastAsia" w:ascii="宋体" w:hAnsi="宋体" w:eastAsia="宋体" w:cs="宋体"/>
                <w:color w:val="auto"/>
                <w:kern w:val="0"/>
                <w:sz w:val="21"/>
                <w:szCs w:val="21"/>
                <w:highlight w:val="none"/>
                <w:lang w:bidi="en-US"/>
              </w:rPr>
              <w:t>其他内容</w:t>
            </w:r>
          </w:p>
        </w:tc>
        <w:tc>
          <w:tcPr>
            <w:tcW w:w="6763" w:type="dxa"/>
            <w:vAlign w:val="center"/>
          </w:tcPr>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不良行为记录是指：</w:t>
            </w:r>
          </w:p>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（1）以受让或者借用或者涂改或者盗用或者伪造资质证书、图章、签名以及其他弄虚作假的方式参与投标的；</w:t>
            </w:r>
          </w:p>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（2）投标人相互串通投标或者与招标人串通投标的；</w:t>
            </w:r>
          </w:p>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（3）行贿或者索贿或者受贿或者接受其他好处的；</w:t>
            </w:r>
          </w:p>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（4）将中标项目进行转包或者违法分包的；</w:t>
            </w:r>
          </w:p>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（5）无故放弃中标的；</w:t>
            </w:r>
          </w:p>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（6）不履行投标文件承诺的；</w:t>
            </w:r>
          </w:p>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eastAsia="zh-CN"/>
              </w:rPr>
              <w:t>法律法规</w:t>
            </w:r>
            <w:r>
              <w:rPr>
                <w:rFonts w:hint="eastAsia" w:ascii="宋体" w:hAnsi="宋体" w:eastAsia="宋体" w:cs="宋体"/>
                <w:color w:val="auto"/>
                <w:sz w:val="21"/>
                <w:szCs w:val="21"/>
                <w:highlight w:val="none"/>
              </w:rPr>
              <w:t>禁止的其他行为。</w:t>
            </w:r>
          </w:p>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同义词语：</w:t>
            </w:r>
          </w:p>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组成部分的“合同条款”等章节中出现的措辞“招标人”和“中标人”，在招标投标阶段应当分别按“招标人”和“投标人”进行理解；在项目实施阶段应当分别按“甲方”（或“发包人”）和“乙方”（或“承包人”）进行理解。</w:t>
            </w:r>
          </w:p>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解释权：</w:t>
            </w:r>
          </w:p>
          <w:p>
            <w:pPr>
              <w:keepNext w:val="0"/>
              <w:keepLines w:val="0"/>
              <w:pageBreakBefore w:val="0"/>
              <w:kinsoku/>
              <w:wordWrap/>
              <w:overflowPunct/>
              <w:topLinePunct w:val="0"/>
              <w:autoSpaceDE/>
              <w:autoSpaceDN/>
              <w:bidi w:val="0"/>
              <w:spacing w:after="0" w:line="360" w:lineRule="auto"/>
              <w:ind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本招标文件的各个组成文件应互为解释，互为说明；如有不明确或不一致，构成合同文件组成内容的，以合同文件约定内容为准，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p>
            <w:pPr>
              <w:keepNext w:val="0"/>
              <w:keepLines w:val="0"/>
              <w:pageBreakBefore w:val="0"/>
              <w:kinsoku/>
              <w:wordWrap/>
              <w:overflowPunct/>
              <w:topLinePunct w:val="0"/>
              <w:autoSpaceDE/>
              <w:autoSpaceDN/>
              <w:bidi w:val="0"/>
              <w:spacing w:after="0" w:line="360" w:lineRule="auto"/>
              <w:ind w:right="0" w:rightChars="0"/>
              <w:textAlignment w:val="auto"/>
              <w:rPr>
                <w:rFonts w:hint="eastAsia"/>
                <w:color w:val="auto"/>
                <w:highlight w:val="none"/>
              </w:rPr>
            </w:pPr>
            <w:r>
              <w:rPr>
                <w:rFonts w:hint="eastAsia" w:ascii="宋体" w:hAnsi="宋体" w:eastAsia="宋体" w:cs="宋体"/>
                <w:color w:val="auto"/>
                <w:sz w:val="21"/>
                <w:szCs w:val="21"/>
                <w:highlight w:val="none"/>
              </w:rPr>
              <w:t>4.中标人在领取中标通知书时</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须提交与电子投标文件一致的纸质投标文件，提交份数根据招标人要求确定。</w:t>
            </w:r>
          </w:p>
        </w:tc>
      </w:tr>
    </w:tbl>
    <w:p>
      <w:pPr>
        <w:rPr>
          <w:rFonts w:hint="eastAsia" w:ascii="宋体" w:hAnsi="宋体"/>
          <w:color w:val="auto"/>
          <w:highlight w:val="none"/>
        </w:rPr>
      </w:pPr>
    </w:p>
    <w:p>
      <w:pPr>
        <w:rPr>
          <w:rFonts w:hint="eastAsia" w:ascii="宋体" w:hAnsi="宋体"/>
          <w:color w:val="auto"/>
          <w:highlight w:val="none"/>
        </w:rPr>
      </w:pPr>
    </w:p>
    <w:p>
      <w:pPr>
        <w:pStyle w:val="3"/>
        <w:tabs>
          <w:tab w:val="clear" w:pos="1021"/>
        </w:tabs>
        <w:ind w:left="0" w:firstLine="0"/>
        <w:jc w:val="center"/>
        <w:rPr>
          <w:rFonts w:hint="eastAsia" w:ascii="宋体" w:hAnsi="宋体" w:eastAsia="宋体"/>
          <w:color w:val="auto"/>
          <w:highlight w:val="none"/>
          <w:lang w:eastAsia="zh-CN"/>
        </w:rPr>
      </w:pPr>
      <w:bookmarkStart w:id="97" w:name="_Toc22270"/>
      <w:r>
        <w:rPr>
          <w:rFonts w:hint="eastAsia" w:ascii="宋体" w:hAnsi="宋体" w:eastAsia="宋体"/>
          <w:color w:val="auto"/>
          <w:highlight w:val="none"/>
        </w:rPr>
        <w:br w:type="page"/>
      </w:r>
      <w:bookmarkStart w:id="98" w:name="_Toc17143"/>
      <w:bookmarkStart w:id="99" w:name="_Toc25420"/>
      <w:bookmarkStart w:id="100" w:name="_Toc14191"/>
      <w:bookmarkStart w:id="101" w:name="_Toc8412"/>
      <w:bookmarkStart w:id="102" w:name="_Toc25477"/>
      <w:r>
        <w:rPr>
          <w:rFonts w:hint="eastAsia" w:ascii="宋体" w:hAnsi="宋体" w:eastAsia="宋体"/>
          <w:color w:val="auto"/>
          <w:highlight w:val="none"/>
          <w:lang w:eastAsia="zh-CN"/>
        </w:rPr>
        <w:t>投标人须知</w:t>
      </w:r>
      <w:bookmarkEnd w:id="98"/>
      <w:bookmarkEnd w:id="99"/>
      <w:bookmarkEnd w:id="100"/>
      <w:bookmarkEnd w:id="101"/>
      <w:bookmarkEnd w:id="102"/>
    </w:p>
    <w:bookmarkEnd w:id="97"/>
    <w:p>
      <w:pPr>
        <w:keepNext/>
        <w:keepLines/>
        <w:pageBreakBefore w:val="0"/>
        <w:kinsoku/>
        <w:wordWrap/>
        <w:overflowPunct/>
        <w:topLinePunct w:val="0"/>
        <w:bidi w:val="0"/>
        <w:adjustRightInd w:val="0"/>
        <w:snapToGrid w:val="0"/>
        <w:spacing w:before="0" w:after="0" w:line="360" w:lineRule="auto"/>
        <w:ind w:left="567" w:hanging="567"/>
        <w:textAlignment w:val="auto"/>
        <w:outlineLvl w:val="1"/>
        <w:rPr>
          <w:rFonts w:hint="eastAsia" w:ascii="宋体" w:hAnsi="宋体" w:eastAsia="宋体" w:cs="宋体"/>
          <w:b/>
          <w:bCs/>
          <w:color w:val="auto"/>
          <w:kern w:val="2"/>
          <w:sz w:val="21"/>
          <w:szCs w:val="21"/>
          <w:highlight w:val="none"/>
          <w:lang w:val="en-US" w:eastAsia="zh-CN" w:bidi="ar-SA"/>
        </w:rPr>
      </w:pPr>
      <w:bookmarkStart w:id="103" w:name="_Toc11971"/>
      <w:bookmarkStart w:id="104" w:name="_Toc29472"/>
      <w:bookmarkStart w:id="105" w:name="_Toc27447"/>
      <w:bookmarkStart w:id="106" w:name="_Toc13894"/>
      <w:bookmarkStart w:id="107" w:name="_Toc29779"/>
      <w:r>
        <w:rPr>
          <w:rFonts w:hint="eastAsia" w:ascii="宋体" w:hAnsi="宋体" w:eastAsia="宋体" w:cs="宋体"/>
          <w:b/>
          <w:bCs/>
          <w:color w:val="auto"/>
          <w:kern w:val="2"/>
          <w:sz w:val="21"/>
          <w:szCs w:val="21"/>
          <w:highlight w:val="none"/>
          <w:lang w:val="en-US" w:eastAsia="zh-CN" w:bidi="ar-SA"/>
        </w:rPr>
        <w:t>1. 总则</w:t>
      </w:r>
      <w:bookmarkEnd w:id="103"/>
      <w:bookmarkEnd w:id="104"/>
      <w:bookmarkEnd w:id="105"/>
      <w:bookmarkEnd w:id="106"/>
      <w:bookmarkEnd w:id="107"/>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1.1 项目概况</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1.1.1根据《中华人民共和国招标投标法》</w:t>
      </w:r>
      <w:r>
        <w:rPr>
          <w:rFonts w:hint="eastAsia" w:ascii="宋体" w:hAnsi="宋体" w:eastAsia="宋体" w:cs="宋体"/>
          <w:color w:val="auto"/>
          <w:highlight w:val="none"/>
        </w:rPr>
        <w:t>《中华人民共和国招标投标法实施条例》</w:t>
      </w:r>
      <w:r>
        <w:rPr>
          <w:rFonts w:hint="eastAsia" w:ascii="宋体" w:hAnsi="宋体" w:eastAsia="宋体" w:cs="宋体"/>
          <w:color w:val="auto"/>
          <w:sz w:val="21"/>
          <w:szCs w:val="21"/>
          <w:highlight w:val="none"/>
          <w:lang w:val="zh-CN"/>
        </w:rPr>
        <w:t>等有关</w:t>
      </w:r>
      <w:r>
        <w:rPr>
          <w:rFonts w:hint="eastAsia" w:ascii="宋体" w:hAnsi="宋体" w:cs="宋体"/>
          <w:color w:val="auto"/>
          <w:sz w:val="21"/>
          <w:szCs w:val="21"/>
          <w:highlight w:val="none"/>
          <w:lang w:val="zh-CN"/>
        </w:rPr>
        <w:t>法律法规</w:t>
      </w:r>
      <w:r>
        <w:rPr>
          <w:rFonts w:hint="eastAsia" w:ascii="宋体" w:hAnsi="宋体" w:eastAsia="宋体" w:cs="宋体"/>
          <w:color w:val="auto"/>
          <w:sz w:val="21"/>
          <w:szCs w:val="21"/>
          <w:highlight w:val="none"/>
          <w:lang w:val="zh-CN"/>
        </w:rPr>
        <w:t>和规章的规定，本招标项目已具备招标条件，现对本招标项目进行招标。</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1.1.2 本招标项目招标人：</w:t>
      </w:r>
      <w:r>
        <w:rPr>
          <w:rFonts w:hint="eastAsia" w:ascii="宋体" w:hAnsi="宋体" w:eastAsia="宋体" w:cs="宋体"/>
          <w:color w:val="auto"/>
          <w:sz w:val="21"/>
          <w:szCs w:val="21"/>
          <w:highlight w:val="none"/>
        </w:rPr>
        <w:t>详见</w:t>
      </w:r>
      <w:r>
        <w:rPr>
          <w:rFonts w:hint="eastAsia" w:ascii="宋体" w:hAnsi="宋体" w:eastAsia="宋体" w:cs="宋体"/>
          <w:color w:val="auto"/>
          <w:kern w:val="2"/>
          <w:sz w:val="21"/>
          <w:szCs w:val="21"/>
          <w:highlight w:val="none"/>
          <w:lang w:val="en-US" w:eastAsia="zh-CN" w:bidi="ar-SA"/>
        </w:rPr>
        <w:t>招标公告/</w:t>
      </w:r>
      <w:r>
        <w:rPr>
          <w:rFonts w:hint="eastAsia" w:ascii="宋体" w:hAnsi="宋体" w:eastAsia="宋体" w:cs="宋体"/>
          <w:color w:val="auto"/>
          <w:sz w:val="21"/>
          <w:szCs w:val="21"/>
          <w:highlight w:val="none"/>
        </w:rPr>
        <w:t>投标人须知前附表</w:t>
      </w:r>
      <w:r>
        <w:rPr>
          <w:rFonts w:hint="eastAsia" w:ascii="宋体" w:hAnsi="宋体" w:eastAsia="宋体" w:cs="宋体"/>
          <w:color w:val="auto"/>
          <w:sz w:val="21"/>
          <w:szCs w:val="21"/>
          <w:highlight w:val="none"/>
          <w:lang w:val="zh-CN"/>
        </w:rPr>
        <w:t>。</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zh-CN"/>
        </w:rPr>
        <w:t>本招标项目名称、</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lang w:val="zh-CN"/>
        </w:rPr>
        <w:t>编号：</w:t>
      </w:r>
      <w:r>
        <w:rPr>
          <w:rFonts w:hint="eastAsia" w:ascii="宋体" w:hAnsi="宋体" w:eastAsia="宋体" w:cs="宋体"/>
          <w:color w:val="auto"/>
          <w:sz w:val="21"/>
          <w:szCs w:val="21"/>
          <w:highlight w:val="none"/>
        </w:rPr>
        <w:t>详见</w:t>
      </w:r>
      <w:r>
        <w:rPr>
          <w:rFonts w:hint="eastAsia" w:ascii="宋体" w:hAnsi="宋体" w:eastAsia="宋体" w:cs="宋体"/>
          <w:color w:val="auto"/>
          <w:kern w:val="2"/>
          <w:sz w:val="21"/>
          <w:szCs w:val="21"/>
          <w:highlight w:val="none"/>
          <w:lang w:val="en-US" w:eastAsia="zh-CN" w:bidi="ar-SA"/>
        </w:rPr>
        <w:t>招标公告/</w:t>
      </w:r>
      <w:r>
        <w:rPr>
          <w:rFonts w:hint="eastAsia" w:ascii="宋体" w:hAnsi="宋体" w:eastAsia="宋体" w:cs="宋体"/>
          <w:color w:val="auto"/>
          <w:sz w:val="21"/>
          <w:szCs w:val="21"/>
          <w:highlight w:val="none"/>
        </w:rPr>
        <w:t>投标人须知前附表</w:t>
      </w:r>
      <w:r>
        <w:rPr>
          <w:rFonts w:hint="eastAsia" w:ascii="宋体" w:hAnsi="宋体" w:eastAsia="宋体" w:cs="宋体"/>
          <w:color w:val="auto"/>
          <w:sz w:val="21"/>
          <w:szCs w:val="21"/>
          <w:highlight w:val="none"/>
          <w:lang w:val="zh-CN"/>
        </w:rPr>
        <w:t>。</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 xml:space="preserve"> 本招标项目</w:t>
      </w:r>
      <w:r>
        <w:rPr>
          <w:rFonts w:hint="eastAsia" w:ascii="宋体" w:hAnsi="宋体" w:eastAsia="宋体" w:cs="宋体"/>
          <w:color w:val="auto"/>
          <w:sz w:val="21"/>
          <w:szCs w:val="21"/>
          <w:highlight w:val="none"/>
          <w:lang w:val="zh-CN" w:eastAsia="zh-CN"/>
        </w:rPr>
        <w:t>项目</w:t>
      </w:r>
      <w:r>
        <w:rPr>
          <w:rFonts w:hint="eastAsia" w:ascii="宋体" w:hAnsi="宋体" w:eastAsia="宋体" w:cs="宋体"/>
          <w:color w:val="auto"/>
          <w:sz w:val="21"/>
          <w:szCs w:val="21"/>
          <w:highlight w:val="none"/>
          <w:lang w:val="zh-CN"/>
        </w:rPr>
        <w:t>地点：</w:t>
      </w:r>
      <w:r>
        <w:rPr>
          <w:rFonts w:hint="eastAsia" w:ascii="宋体" w:hAnsi="宋体" w:eastAsia="宋体" w:cs="宋体"/>
          <w:color w:val="auto"/>
          <w:sz w:val="21"/>
          <w:szCs w:val="21"/>
          <w:highlight w:val="none"/>
        </w:rPr>
        <w:t>详见</w:t>
      </w:r>
      <w:r>
        <w:rPr>
          <w:rFonts w:hint="eastAsia" w:ascii="宋体" w:hAnsi="宋体" w:eastAsia="宋体" w:cs="宋体"/>
          <w:color w:val="auto"/>
          <w:kern w:val="2"/>
          <w:sz w:val="21"/>
          <w:szCs w:val="21"/>
          <w:highlight w:val="none"/>
          <w:lang w:val="en-US" w:eastAsia="zh-CN" w:bidi="ar-SA"/>
        </w:rPr>
        <w:t>招标公告/</w:t>
      </w:r>
      <w:r>
        <w:rPr>
          <w:rFonts w:hint="eastAsia" w:ascii="宋体" w:hAnsi="宋体" w:eastAsia="宋体" w:cs="宋体"/>
          <w:color w:val="auto"/>
          <w:sz w:val="21"/>
          <w:szCs w:val="21"/>
          <w:highlight w:val="none"/>
        </w:rPr>
        <w:t>投标人须知前附表</w:t>
      </w:r>
      <w:r>
        <w:rPr>
          <w:rFonts w:hint="eastAsia" w:ascii="宋体" w:hAnsi="宋体" w:eastAsia="宋体" w:cs="宋体"/>
          <w:color w:val="auto"/>
          <w:sz w:val="21"/>
          <w:szCs w:val="21"/>
          <w:highlight w:val="none"/>
          <w:lang w:val="zh-CN"/>
        </w:rPr>
        <w:t>。</w:t>
      </w:r>
    </w:p>
    <w:p>
      <w:pPr>
        <w:pageBreakBefore w:val="0"/>
        <w:kinsoku/>
        <w:wordWrap/>
        <w:overflowPunct/>
        <w:topLinePunct w:val="0"/>
        <w:bidi w:val="0"/>
        <w:spacing w:line="360" w:lineRule="auto"/>
        <w:ind w:firstLine="42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w:t>
      </w:r>
      <w:r>
        <w:rPr>
          <w:rFonts w:hint="eastAsia" w:ascii="宋体" w:hAnsi="宋体" w:cs="宋体"/>
          <w:color w:val="auto"/>
          <w:kern w:val="2"/>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 xml:space="preserve"> 招标规模：</w:t>
      </w:r>
      <w:r>
        <w:rPr>
          <w:rFonts w:hint="eastAsia" w:ascii="宋体" w:hAnsi="宋体" w:eastAsia="宋体" w:cs="宋体"/>
          <w:color w:val="auto"/>
          <w:sz w:val="21"/>
          <w:szCs w:val="21"/>
          <w:highlight w:val="none"/>
        </w:rPr>
        <w:t>详见</w:t>
      </w:r>
      <w:r>
        <w:rPr>
          <w:rFonts w:hint="eastAsia" w:ascii="宋体" w:hAnsi="宋体" w:eastAsia="宋体" w:cs="宋体"/>
          <w:color w:val="auto"/>
          <w:kern w:val="2"/>
          <w:sz w:val="21"/>
          <w:szCs w:val="21"/>
          <w:highlight w:val="none"/>
          <w:lang w:val="en-US" w:eastAsia="zh-CN" w:bidi="ar-SA"/>
        </w:rPr>
        <w:t>招标公告/</w:t>
      </w:r>
      <w:r>
        <w:rPr>
          <w:rFonts w:hint="eastAsia" w:ascii="宋体" w:hAnsi="宋体" w:eastAsia="宋体" w:cs="宋体"/>
          <w:color w:val="auto"/>
          <w:sz w:val="21"/>
          <w:szCs w:val="21"/>
          <w:highlight w:val="none"/>
        </w:rPr>
        <w:t>投标人须知前附表</w:t>
      </w:r>
      <w:r>
        <w:rPr>
          <w:rFonts w:hint="eastAsia" w:ascii="宋体" w:hAnsi="宋体" w:eastAsia="宋体" w:cs="宋体"/>
          <w:color w:val="auto"/>
          <w:kern w:val="2"/>
          <w:sz w:val="21"/>
          <w:szCs w:val="21"/>
          <w:highlight w:val="none"/>
          <w:lang w:val="zh-CN" w:eastAsia="zh-CN" w:bidi="ar-SA"/>
        </w:rPr>
        <w:t>。</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en-US" w:eastAsia="zh-CN"/>
        </w:rPr>
      </w:pPr>
      <w:r>
        <w:rPr>
          <w:rFonts w:hint="eastAsia" w:ascii="宋体" w:hAnsi="宋体" w:eastAsia="宋体" w:cs="宋体"/>
          <w:b/>
          <w:bCs/>
          <w:color w:val="auto"/>
          <w:spacing w:val="20"/>
          <w:sz w:val="21"/>
          <w:szCs w:val="21"/>
          <w:highlight w:val="none"/>
          <w:lang w:val="en-US" w:eastAsia="zh-CN"/>
        </w:rPr>
        <w:t>1.</w:t>
      </w:r>
      <w:r>
        <w:rPr>
          <w:rFonts w:hint="eastAsia" w:ascii="宋体" w:hAnsi="宋体" w:cs="宋体"/>
          <w:b/>
          <w:bCs/>
          <w:color w:val="auto"/>
          <w:spacing w:val="20"/>
          <w:sz w:val="21"/>
          <w:szCs w:val="21"/>
          <w:highlight w:val="none"/>
          <w:lang w:val="en-US" w:eastAsia="zh-CN"/>
        </w:rPr>
        <w:t>2</w:t>
      </w:r>
      <w:r>
        <w:rPr>
          <w:rFonts w:hint="eastAsia" w:ascii="宋体" w:hAnsi="宋体" w:eastAsia="宋体" w:cs="宋体"/>
          <w:b/>
          <w:bCs/>
          <w:color w:val="auto"/>
          <w:spacing w:val="20"/>
          <w:sz w:val="21"/>
          <w:szCs w:val="21"/>
          <w:highlight w:val="none"/>
          <w:lang w:val="en-US" w:eastAsia="zh-CN"/>
        </w:rPr>
        <w:t xml:space="preserve"> 招标规模、内容、服务周期和质量要求</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.1 本招标项目的招标内容：详见招标公告/投标人须知前附表。</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.2 本招标项目的招标规模：详见招标公告/投标人须知前附表。</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.3 本招标项目的服务周期：详见招标公告/投标人须知前附表。</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.4 本招标项目的质量要求：详见招标公告/投标人须知前附表。</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.5 本招标项目的标段划分：详见招标公告/投标人须知前附表。</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108" w:name="_Toc152045533"/>
      <w:bookmarkStart w:id="109" w:name="_Toc179632550"/>
      <w:bookmarkStart w:id="110" w:name="_Toc152042309"/>
      <w:bookmarkStart w:id="111" w:name="_Toc144974501"/>
      <w:r>
        <w:rPr>
          <w:rFonts w:hint="eastAsia" w:ascii="宋体" w:hAnsi="宋体" w:eastAsia="宋体" w:cs="宋体"/>
          <w:b/>
          <w:bCs/>
          <w:color w:val="auto"/>
          <w:spacing w:val="20"/>
          <w:sz w:val="21"/>
          <w:szCs w:val="21"/>
          <w:highlight w:val="none"/>
          <w:lang w:val="zh-CN"/>
        </w:rPr>
        <w:t>1.</w:t>
      </w:r>
      <w:r>
        <w:rPr>
          <w:rFonts w:hint="eastAsia" w:ascii="宋体" w:hAnsi="宋体" w:cs="宋体"/>
          <w:b/>
          <w:bCs/>
          <w:color w:val="auto"/>
          <w:spacing w:val="20"/>
          <w:sz w:val="21"/>
          <w:szCs w:val="21"/>
          <w:highlight w:val="none"/>
          <w:lang w:val="en-US" w:eastAsia="zh-CN"/>
        </w:rPr>
        <w:t>3</w:t>
      </w:r>
      <w:r>
        <w:rPr>
          <w:rFonts w:hint="eastAsia" w:ascii="宋体" w:hAnsi="宋体" w:eastAsia="宋体" w:cs="宋体"/>
          <w:b/>
          <w:bCs/>
          <w:color w:val="auto"/>
          <w:spacing w:val="20"/>
          <w:sz w:val="21"/>
          <w:szCs w:val="21"/>
          <w:highlight w:val="none"/>
          <w:lang w:val="zh-CN"/>
        </w:rPr>
        <w:t xml:space="preserve"> 投标人资格要求</w:t>
      </w:r>
      <w:bookmarkEnd w:id="108"/>
      <w:bookmarkEnd w:id="109"/>
      <w:bookmarkEnd w:id="110"/>
      <w:bookmarkEnd w:id="111"/>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.1投标人应具备的资格条件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详见</w:t>
      </w:r>
      <w:r>
        <w:rPr>
          <w:rFonts w:hint="eastAsia" w:ascii="宋体" w:hAnsi="宋体" w:eastAsia="宋体" w:cs="宋体"/>
          <w:color w:val="auto"/>
          <w:kern w:val="2"/>
          <w:sz w:val="21"/>
          <w:szCs w:val="21"/>
          <w:highlight w:val="none"/>
          <w:lang w:val="en-US" w:eastAsia="zh-CN" w:bidi="ar-SA"/>
        </w:rPr>
        <w:t>招标公告</w:t>
      </w:r>
      <w:r>
        <w:rPr>
          <w:rFonts w:hint="eastAsia" w:ascii="宋体" w:hAnsi="宋体" w:eastAsia="宋体" w:cs="宋体"/>
          <w:color w:val="auto"/>
          <w:sz w:val="21"/>
          <w:szCs w:val="21"/>
          <w:highlight w:val="none"/>
        </w:rPr>
        <w:t>；</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投标人不得存在下列情形之一：</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rPr>
      </w:pPr>
      <w:bookmarkStart w:id="112" w:name="_Toc152042311"/>
      <w:bookmarkStart w:id="113" w:name="_Toc179632552"/>
      <w:bookmarkStart w:id="114" w:name="_Toc144974503"/>
      <w:bookmarkStart w:id="115" w:name="_Toc152045535"/>
      <w:r>
        <w:rPr>
          <w:rFonts w:hint="eastAsia" w:ascii="宋体" w:hAnsi="宋体" w:eastAsia="宋体" w:cs="宋体"/>
          <w:color w:val="auto"/>
          <w:sz w:val="21"/>
          <w:szCs w:val="21"/>
          <w:highlight w:val="none"/>
        </w:rPr>
        <w:t>（1）为投标人不具有独立法人资格的附属机构（单位）；</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）单位负责人为同一人或存在控股、管理关系的不同单位，不得参加同一标段投标，否则，相关投标均无效；</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）被责令停业的；</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）被暂停或取消投标资格的；</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）财产被接管或冻结的；</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）在最近3年内有骗取中标或严重违约或重大质量问题的。</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1.</w:t>
      </w:r>
      <w:r>
        <w:rPr>
          <w:rFonts w:hint="eastAsia" w:ascii="宋体" w:hAnsi="宋体" w:cs="宋体"/>
          <w:b/>
          <w:bCs/>
          <w:color w:val="auto"/>
          <w:spacing w:val="20"/>
          <w:sz w:val="21"/>
          <w:szCs w:val="21"/>
          <w:highlight w:val="none"/>
          <w:lang w:val="en-US" w:eastAsia="zh-CN"/>
        </w:rPr>
        <w:t>4</w:t>
      </w:r>
      <w:r>
        <w:rPr>
          <w:rFonts w:hint="eastAsia" w:ascii="宋体" w:hAnsi="宋体" w:eastAsia="宋体" w:cs="宋体"/>
          <w:b/>
          <w:bCs/>
          <w:color w:val="auto"/>
          <w:spacing w:val="20"/>
          <w:sz w:val="21"/>
          <w:szCs w:val="21"/>
          <w:highlight w:val="none"/>
          <w:lang w:val="zh-CN"/>
        </w:rPr>
        <w:t xml:space="preserve"> 费用承担</w:t>
      </w:r>
      <w:bookmarkEnd w:id="112"/>
      <w:bookmarkEnd w:id="113"/>
      <w:bookmarkEnd w:id="114"/>
      <w:bookmarkEnd w:id="115"/>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（1）投标人准备和参加投标活动发生的费用自理</w:t>
      </w:r>
      <w:r>
        <w:rPr>
          <w:rFonts w:hint="eastAsia" w:ascii="宋体" w:hAnsi="宋体" w:cs="宋体"/>
          <w:color w:val="auto"/>
          <w:sz w:val="21"/>
          <w:szCs w:val="21"/>
          <w:highlight w:val="none"/>
          <w:lang w:eastAsia="zh-CN"/>
        </w:rPr>
        <w:t>；</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bookmarkStart w:id="116" w:name="_Hlk512243326"/>
      <w:r>
        <w:rPr>
          <w:rFonts w:hint="eastAsia" w:ascii="宋体" w:hAnsi="宋体" w:eastAsia="宋体" w:cs="宋体"/>
          <w:color w:val="auto"/>
          <w:sz w:val="21"/>
          <w:szCs w:val="21"/>
          <w:highlight w:val="none"/>
        </w:rPr>
        <w:t>其他：</w:t>
      </w:r>
      <w:bookmarkEnd w:id="116"/>
      <w:r>
        <w:rPr>
          <w:rFonts w:hint="eastAsia" w:ascii="宋体" w:hAnsi="宋体" w:eastAsia="宋体" w:cs="宋体"/>
          <w:color w:val="auto"/>
          <w:sz w:val="21"/>
          <w:szCs w:val="21"/>
          <w:highlight w:val="none"/>
        </w:rPr>
        <w:t>详见</w:t>
      </w:r>
      <w:r>
        <w:rPr>
          <w:rFonts w:hint="eastAsia" w:ascii="宋体" w:hAnsi="宋体" w:eastAsia="宋体" w:cs="宋体"/>
          <w:color w:val="auto"/>
          <w:kern w:val="2"/>
          <w:sz w:val="21"/>
          <w:szCs w:val="21"/>
          <w:highlight w:val="none"/>
          <w:lang w:val="en-US" w:eastAsia="zh-CN" w:bidi="ar-SA"/>
        </w:rPr>
        <w:t>招标公告/</w:t>
      </w:r>
      <w:r>
        <w:rPr>
          <w:rFonts w:hint="eastAsia" w:ascii="宋体" w:hAnsi="宋体" w:eastAsia="宋体" w:cs="宋体"/>
          <w:color w:val="auto"/>
          <w:sz w:val="21"/>
          <w:szCs w:val="21"/>
          <w:highlight w:val="none"/>
        </w:rPr>
        <w:t>投标人须知前附表。</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117" w:name="_Toc179632553"/>
      <w:bookmarkStart w:id="118" w:name="_Toc152042312"/>
      <w:bookmarkStart w:id="119" w:name="_Toc144974504"/>
      <w:bookmarkStart w:id="120" w:name="_Toc152045536"/>
      <w:r>
        <w:rPr>
          <w:rFonts w:hint="eastAsia" w:ascii="宋体" w:hAnsi="宋体" w:eastAsia="宋体" w:cs="宋体"/>
          <w:b/>
          <w:bCs/>
          <w:color w:val="auto"/>
          <w:spacing w:val="20"/>
          <w:sz w:val="21"/>
          <w:szCs w:val="21"/>
          <w:highlight w:val="none"/>
          <w:lang w:val="zh-CN"/>
        </w:rPr>
        <w:t>1.</w:t>
      </w:r>
      <w:r>
        <w:rPr>
          <w:rFonts w:hint="eastAsia" w:ascii="宋体" w:hAnsi="宋体" w:cs="宋体"/>
          <w:b/>
          <w:bCs/>
          <w:color w:val="auto"/>
          <w:spacing w:val="20"/>
          <w:sz w:val="21"/>
          <w:szCs w:val="21"/>
          <w:highlight w:val="none"/>
          <w:lang w:val="en-US" w:eastAsia="zh-CN"/>
        </w:rPr>
        <w:t>5</w:t>
      </w:r>
      <w:r>
        <w:rPr>
          <w:rFonts w:hint="eastAsia" w:ascii="宋体" w:hAnsi="宋体" w:eastAsia="宋体" w:cs="宋体"/>
          <w:b/>
          <w:bCs/>
          <w:color w:val="auto"/>
          <w:spacing w:val="20"/>
          <w:sz w:val="21"/>
          <w:szCs w:val="21"/>
          <w:highlight w:val="none"/>
          <w:lang w:val="zh-CN"/>
        </w:rPr>
        <w:t xml:space="preserve"> 保密</w:t>
      </w:r>
      <w:bookmarkEnd w:id="117"/>
      <w:bookmarkEnd w:id="118"/>
      <w:bookmarkEnd w:id="119"/>
      <w:bookmarkEnd w:id="120"/>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参与招标投标活动的各方应对招标文件和投标文件中的商业和技术等秘密保密，违者应对由此造成的后果承担法律责任。 </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121" w:name="_Toc144974505"/>
      <w:bookmarkStart w:id="122" w:name="_Toc152045537"/>
      <w:bookmarkStart w:id="123" w:name="_Toc179632554"/>
      <w:bookmarkStart w:id="124" w:name="_Toc152042313"/>
      <w:r>
        <w:rPr>
          <w:rFonts w:hint="eastAsia" w:ascii="宋体" w:hAnsi="宋体" w:eastAsia="宋体" w:cs="宋体"/>
          <w:b/>
          <w:bCs/>
          <w:color w:val="auto"/>
          <w:spacing w:val="20"/>
          <w:sz w:val="21"/>
          <w:szCs w:val="21"/>
          <w:highlight w:val="none"/>
          <w:lang w:val="zh-CN"/>
        </w:rPr>
        <w:t>1.</w:t>
      </w:r>
      <w:r>
        <w:rPr>
          <w:rFonts w:hint="eastAsia" w:ascii="宋体" w:hAnsi="宋体" w:cs="宋体"/>
          <w:b/>
          <w:bCs/>
          <w:color w:val="auto"/>
          <w:spacing w:val="20"/>
          <w:sz w:val="21"/>
          <w:szCs w:val="21"/>
          <w:highlight w:val="none"/>
          <w:lang w:val="en-US" w:eastAsia="zh-CN"/>
        </w:rPr>
        <w:t>6</w:t>
      </w:r>
      <w:r>
        <w:rPr>
          <w:rFonts w:hint="eastAsia" w:ascii="宋体" w:hAnsi="宋体" w:eastAsia="宋体" w:cs="宋体"/>
          <w:b/>
          <w:bCs/>
          <w:color w:val="auto"/>
          <w:spacing w:val="20"/>
          <w:sz w:val="21"/>
          <w:szCs w:val="21"/>
          <w:highlight w:val="none"/>
          <w:lang w:val="zh-CN"/>
        </w:rPr>
        <w:t xml:space="preserve"> 语言</w:t>
      </w:r>
      <w:bookmarkEnd w:id="121"/>
      <w:r>
        <w:rPr>
          <w:rFonts w:hint="eastAsia" w:ascii="宋体" w:hAnsi="宋体" w:eastAsia="宋体" w:cs="宋体"/>
          <w:b/>
          <w:bCs/>
          <w:color w:val="auto"/>
          <w:spacing w:val="20"/>
          <w:sz w:val="21"/>
          <w:szCs w:val="21"/>
          <w:highlight w:val="none"/>
          <w:lang w:val="zh-CN"/>
        </w:rPr>
        <w:t>文字</w:t>
      </w:r>
      <w:bookmarkEnd w:id="122"/>
      <w:bookmarkEnd w:id="123"/>
      <w:bookmarkEnd w:id="124"/>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除专用术语外，与招标投标有关的语言均使用中文。必要时专用术语应附有中文注释。</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125" w:name="_Toc179632555"/>
      <w:bookmarkStart w:id="126" w:name="_Toc144974506"/>
      <w:bookmarkStart w:id="127" w:name="_Toc152045538"/>
      <w:bookmarkStart w:id="128" w:name="_Toc152042314"/>
      <w:r>
        <w:rPr>
          <w:rFonts w:hint="eastAsia" w:ascii="宋体" w:hAnsi="宋体" w:eastAsia="宋体" w:cs="宋体"/>
          <w:b/>
          <w:bCs/>
          <w:color w:val="auto"/>
          <w:spacing w:val="20"/>
          <w:sz w:val="21"/>
          <w:szCs w:val="21"/>
          <w:highlight w:val="none"/>
          <w:lang w:val="zh-CN"/>
        </w:rPr>
        <w:t>1.</w:t>
      </w:r>
      <w:r>
        <w:rPr>
          <w:rFonts w:hint="eastAsia" w:ascii="宋体" w:hAnsi="宋体" w:cs="宋体"/>
          <w:b/>
          <w:bCs/>
          <w:color w:val="auto"/>
          <w:spacing w:val="20"/>
          <w:sz w:val="21"/>
          <w:szCs w:val="21"/>
          <w:highlight w:val="none"/>
          <w:lang w:val="en-US" w:eastAsia="zh-CN"/>
        </w:rPr>
        <w:t>7</w:t>
      </w:r>
      <w:r>
        <w:rPr>
          <w:rFonts w:hint="eastAsia" w:ascii="宋体" w:hAnsi="宋体" w:eastAsia="宋体" w:cs="宋体"/>
          <w:b/>
          <w:bCs/>
          <w:color w:val="auto"/>
          <w:spacing w:val="20"/>
          <w:sz w:val="21"/>
          <w:szCs w:val="21"/>
          <w:highlight w:val="none"/>
          <w:lang w:val="zh-CN"/>
        </w:rPr>
        <w:t xml:space="preserve"> 计量单位</w:t>
      </w:r>
      <w:bookmarkEnd w:id="125"/>
      <w:bookmarkEnd w:id="126"/>
      <w:bookmarkEnd w:id="127"/>
      <w:bookmarkEnd w:id="128"/>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所有计量均采用中华人民共和国法定计量单位。</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1.</w:t>
      </w:r>
      <w:r>
        <w:rPr>
          <w:rFonts w:hint="eastAsia" w:ascii="宋体" w:hAnsi="宋体" w:cs="宋体"/>
          <w:b/>
          <w:bCs/>
          <w:color w:val="auto"/>
          <w:spacing w:val="20"/>
          <w:sz w:val="21"/>
          <w:szCs w:val="21"/>
          <w:highlight w:val="none"/>
          <w:lang w:val="en-US" w:eastAsia="zh-CN"/>
        </w:rPr>
        <w:t>8</w:t>
      </w:r>
      <w:r>
        <w:rPr>
          <w:rFonts w:hint="eastAsia" w:ascii="宋体" w:hAnsi="宋体" w:eastAsia="宋体" w:cs="宋体"/>
          <w:b/>
          <w:bCs/>
          <w:color w:val="auto"/>
          <w:spacing w:val="20"/>
          <w:sz w:val="21"/>
          <w:szCs w:val="21"/>
          <w:highlight w:val="none"/>
          <w:lang w:val="zh-CN"/>
        </w:rPr>
        <w:t xml:space="preserve"> 踏勘现场</w:t>
      </w:r>
    </w:p>
    <w:p>
      <w:pPr>
        <w:keepNext/>
        <w:keepLines/>
        <w:pageBreakBefore w:val="0"/>
        <w:widowControl/>
        <w:kinsoku/>
        <w:wordWrap/>
        <w:overflowPunct/>
        <w:topLinePunct w:val="0"/>
        <w:autoSpaceDE w:val="0"/>
        <w:autoSpaceDN w:val="0"/>
        <w:bidi w:val="0"/>
        <w:adjustRightInd w:val="0"/>
        <w:snapToGrid w:val="0"/>
        <w:spacing w:line="360" w:lineRule="auto"/>
        <w:ind w:firstLine="420" w:firstLineChars="200"/>
        <w:jc w:val="left"/>
        <w:textAlignment w:val="auto"/>
        <w:outlineLvl w:val="3"/>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不组织</w:t>
      </w:r>
      <w:r>
        <w:rPr>
          <w:rFonts w:hint="eastAsia" w:ascii="宋体" w:hAnsi="宋体" w:eastAsia="宋体" w:cs="宋体"/>
          <w:color w:val="auto"/>
          <w:sz w:val="21"/>
          <w:szCs w:val="21"/>
          <w:highlight w:val="none"/>
        </w:rPr>
        <w:t>。</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1.</w:t>
      </w:r>
      <w:r>
        <w:rPr>
          <w:rFonts w:hint="eastAsia" w:ascii="宋体" w:hAnsi="宋体" w:cs="宋体"/>
          <w:b/>
          <w:bCs/>
          <w:color w:val="auto"/>
          <w:spacing w:val="20"/>
          <w:sz w:val="21"/>
          <w:szCs w:val="21"/>
          <w:highlight w:val="none"/>
          <w:lang w:val="en-US" w:eastAsia="zh-CN"/>
        </w:rPr>
        <w:t>9</w:t>
      </w:r>
      <w:r>
        <w:rPr>
          <w:rFonts w:hint="eastAsia" w:ascii="宋体" w:hAnsi="宋体" w:eastAsia="宋体" w:cs="宋体"/>
          <w:b/>
          <w:bCs/>
          <w:color w:val="auto"/>
          <w:spacing w:val="20"/>
          <w:sz w:val="21"/>
          <w:szCs w:val="21"/>
          <w:highlight w:val="none"/>
          <w:lang w:val="zh-CN"/>
        </w:rPr>
        <w:t xml:space="preserve"> 投标预备会</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不召开</w:t>
      </w:r>
      <w:r>
        <w:rPr>
          <w:rFonts w:hint="eastAsia" w:ascii="宋体" w:hAnsi="宋体" w:eastAsia="宋体" w:cs="宋体"/>
          <w:color w:val="auto"/>
          <w:sz w:val="21"/>
          <w:szCs w:val="21"/>
          <w:highlight w:val="none"/>
        </w:rPr>
        <w:t>。</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1.1</w:t>
      </w:r>
      <w:r>
        <w:rPr>
          <w:rFonts w:hint="eastAsia" w:ascii="宋体" w:hAnsi="宋体" w:cs="宋体"/>
          <w:b/>
          <w:bCs/>
          <w:color w:val="auto"/>
          <w:spacing w:val="20"/>
          <w:sz w:val="21"/>
          <w:szCs w:val="21"/>
          <w:highlight w:val="none"/>
          <w:lang w:val="en-US" w:eastAsia="zh-CN"/>
        </w:rPr>
        <w:t>0</w:t>
      </w:r>
      <w:r>
        <w:rPr>
          <w:rFonts w:hint="eastAsia" w:ascii="宋体" w:hAnsi="宋体" w:eastAsia="宋体" w:cs="宋体"/>
          <w:b/>
          <w:bCs/>
          <w:color w:val="auto"/>
          <w:spacing w:val="20"/>
          <w:sz w:val="21"/>
          <w:szCs w:val="21"/>
          <w:highlight w:val="none"/>
          <w:lang w:val="zh-CN"/>
        </w:rPr>
        <w:t xml:space="preserve"> 分包</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不允许</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1.1</w:t>
      </w:r>
      <w:r>
        <w:rPr>
          <w:rFonts w:hint="eastAsia" w:ascii="宋体" w:hAnsi="宋体" w:cs="宋体"/>
          <w:b/>
          <w:bCs/>
          <w:color w:val="auto"/>
          <w:spacing w:val="20"/>
          <w:sz w:val="21"/>
          <w:szCs w:val="21"/>
          <w:highlight w:val="none"/>
          <w:lang w:val="en-US" w:eastAsia="zh-CN"/>
        </w:rPr>
        <w:t>1</w:t>
      </w:r>
      <w:r>
        <w:rPr>
          <w:rFonts w:hint="eastAsia" w:ascii="宋体" w:hAnsi="宋体" w:eastAsia="宋体" w:cs="宋体"/>
          <w:b/>
          <w:bCs/>
          <w:color w:val="auto"/>
          <w:spacing w:val="20"/>
          <w:sz w:val="21"/>
          <w:szCs w:val="21"/>
          <w:highlight w:val="none"/>
          <w:lang w:val="zh-CN"/>
        </w:rPr>
        <w:t xml:space="preserve"> 偏离</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投标文件不允许偏离招标文件的实质性要求和条件。</w:t>
      </w:r>
    </w:p>
    <w:p>
      <w:pPr>
        <w:keepNext/>
        <w:keepLines/>
        <w:pageBreakBefore w:val="0"/>
        <w:kinsoku/>
        <w:wordWrap/>
        <w:overflowPunct/>
        <w:topLinePunct w:val="0"/>
        <w:bidi w:val="0"/>
        <w:adjustRightInd w:val="0"/>
        <w:snapToGrid w:val="0"/>
        <w:spacing w:before="0" w:after="0" w:line="360" w:lineRule="auto"/>
        <w:ind w:left="567" w:hanging="567"/>
        <w:textAlignment w:val="auto"/>
        <w:outlineLvl w:val="1"/>
        <w:rPr>
          <w:rFonts w:hint="eastAsia" w:ascii="宋体" w:hAnsi="宋体" w:eastAsia="宋体" w:cs="宋体"/>
          <w:b/>
          <w:bCs w:val="0"/>
          <w:color w:val="auto"/>
          <w:kern w:val="2"/>
          <w:sz w:val="21"/>
          <w:szCs w:val="21"/>
          <w:highlight w:val="none"/>
          <w:lang w:val="en-US" w:eastAsia="zh-CN" w:bidi="ar-SA"/>
        </w:rPr>
      </w:pPr>
      <w:bookmarkStart w:id="129" w:name="_Toc522291773"/>
      <w:bookmarkStart w:id="130" w:name="_Toc425501339"/>
      <w:bookmarkStart w:id="131" w:name="_Toc2160"/>
      <w:bookmarkStart w:id="132" w:name="_Toc22828"/>
      <w:bookmarkStart w:id="133" w:name="_Toc468016646"/>
      <w:bookmarkStart w:id="134" w:name="_Toc522292030"/>
      <w:bookmarkStart w:id="135" w:name="_Toc493674546"/>
      <w:bookmarkStart w:id="136" w:name="_Toc288638122"/>
      <w:bookmarkStart w:id="137" w:name="_Toc525907666"/>
      <w:bookmarkStart w:id="138" w:name="_Toc522261368"/>
      <w:bookmarkStart w:id="139" w:name="_Toc29269"/>
      <w:bookmarkStart w:id="140" w:name="_Toc4410"/>
      <w:bookmarkStart w:id="141" w:name="_Toc9256"/>
      <w:r>
        <w:rPr>
          <w:rFonts w:hint="eastAsia" w:ascii="宋体" w:hAnsi="宋体" w:eastAsia="宋体" w:cs="宋体"/>
          <w:b/>
          <w:bCs/>
          <w:color w:val="auto"/>
          <w:kern w:val="2"/>
          <w:sz w:val="21"/>
          <w:szCs w:val="21"/>
          <w:highlight w:val="none"/>
          <w:lang w:val="en-US" w:eastAsia="zh-CN" w:bidi="ar-SA"/>
        </w:rPr>
        <w:t>2. 招标文</w:t>
      </w:r>
      <w:r>
        <w:rPr>
          <w:rFonts w:hint="eastAsia" w:ascii="宋体" w:hAnsi="宋体" w:eastAsia="宋体" w:cs="宋体"/>
          <w:b/>
          <w:bCs w:val="0"/>
          <w:color w:val="auto"/>
          <w:kern w:val="2"/>
          <w:sz w:val="21"/>
          <w:szCs w:val="21"/>
          <w:highlight w:val="none"/>
          <w:lang w:val="en-US" w:eastAsia="zh-CN" w:bidi="ar-SA"/>
        </w:rPr>
        <w:t>件</w:t>
      </w:r>
      <w:bookmarkEnd w:id="129"/>
      <w:bookmarkEnd w:id="130"/>
      <w:bookmarkEnd w:id="131"/>
      <w:bookmarkEnd w:id="132"/>
      <w:bookmarkEnd w:id="133"/>
      <w:bookmarkEnd w:id="134"/>
      <w:bookmarkEnd w:id="135"/>
      <w:bookmarkEnd w:id="136"/>
      <w:bookmarkEnd w:id="137"/>
      <w:bookmarkEnd w:id="138"/>
      <w:bookmarkEnd w:id="139"/>
      <w:bookmarkEnd w:id="140"/>
      <w:bookmarkEnd w:id="141"/>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142" w:name="_Toc144974511"/>
      <w:bookmarkStart w:id="143" w:name="_Toc152042319"/>
      <w:bookmarkStart w:id="144" w:name="_Toc152045543"/>
      <w:bookmarkStart w:id="145" w:name="_Toc179632561"/>
      <w:r>
        <w:rPr>
          <w:rFonts w:hint="eastAsia" w:ascii="宋体" w:hAnsi="宋体" w:eastAsia="宋体" w:cs="宋体"/>
          <w:b/>
          <w:bCs/>
          <w:color w:val="auto"/>
          <w:spacing w:val="20"/>
          <w:sz w:val="21"/>
          <w:szCs w:val="21"/>
          <w:highlight w:val="none"/>
          <w:lang w:val="zh-CN"/>
        </w:rPr>
        <w:t>2.1 招标文件的组成</w:t>
      </w:r>
      <w:bookmarkEnd w:id="142"/>
      <w:bookmarkEnd w:id="143"/>
      <w:bookmarkEnd w:id="144"/>
      <w:bookmarkEnd w:id="145"/>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本招标文件包括：</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第一章 招标公告</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第二章 投标人须知</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第三章 评标方法</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第四章 招标内容及要求</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第五章 合同格式及主要条款</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第六章 投标文件格式</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根据本章第1.10款、第2.2款和第2.3款对招标文件所作的澄清、修改，构成招标文件的组成部分。</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2.2 招标文件的澄清</w:t>
      </w:r>
    </w:p>
    <w:p>
      <w:pPr>
        <w:keepNext w:val="0"/>
        <w:keepLines w:val="0"/>
        <w:pageBreakBefore w:val="0"/>
        <w:widowControl/>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r>
        <w:rPr>
          <w:rFonts w:hint="eastAsia" w:ascii="宋体" w:hAnsi="宋体" w:eastAsia="宋体" w:cs="宋体"/>
          <w:color w:val="auto"/>
          <w:sz w:val="21"/>
          <w:szCs w:val="21"/>
          <w:highlight w:val="none"/>
          <w:u w:val="wave"/>
        </w:rPr>
        <w:t>投标人应仔细阅读和检查招标文件的全部内容</w:t>
      </w:r>
      <w:r>
        <w:rPr>
          <w:rFonts w:hint="eastAsia" w:ascii="宋体" w:hAnsi="宋体" w:cs="宋体"/>
          <w:color w:val="auto"/>
          <w:sz w:val="21"/>
          <w:szCs w:val="21"/>
          <w:highlight w:val="none"/>
          <w:u w:val="wave"/>
          <w:lang w:eastAsia="zh-CN"/>
        </w:rPr>
        <w:t>，</w:t>
      </w:r>
      <w:r>
        <w:rPr>
          <w:rFonts w:hint="eastAsia" w:ascii="宋体" w:hAnsi="宋体" w:eastAsia="宋体" w:cs="宋体"/>
          <w:color w:val="auto"/>
          <w:sz w:val="21"/>
          <w:szCs w:val="21"/>
          <w:highlight w:val="none"/>
        </w:rPr>
        <w:t>如发现缺项或内容不全，应在投标人须知前附表规定的截止时间前凭身份认证</w:t>
      </w:r>
      <w:r>
        <w:rPr>
          <w:rFonts w:hint="eastAsia" w:ascii="宋体" w:hAnsi="宋体" w:cs="宋体"/>
          <w:color w:val="auto"/>
          <w:sz w:val="21"/>
          <w:szCs w:val="21"/>
          <w:highlight w:val="none"/>
          <w:lang w:eastAsia="zh-CN"/>
        </w:rPr>
        <w:t>密钥</w:t>
      </w:r>
      <w:r>
        <w:rPr>
          <w:rFonts w:hint="eastAsia" w:ascii="宋体" w:hAnsi="宋体" w:eastAsia="宋体" w:cs="宋体"/>
          <w:color w:val="auto"/>
          <w:sz w:val="21"/>
          <w:szCs w:val="21"/>
          <w:highlight w:val="none"/>
        </w:rPr>
        <w:t>登录“云南省公共资源交易信息网（网址：</w:t>
      </w:r>
      <w:r>
        <w:rPr>
          <w:rFonts w:hint="eastAsia" w:ascii="宋体" w:hAnsi="宋体" w:eastAsia="宋体" w:cs="宋体"/>
          <w:color w:val="auto"/>
          <w:sz w:val="21"/>
          <w:szCs w:val="21"/>
          <w:highlight w:val="none"/>
          <w:lang w:val="en-US" w:eastAsia="zh-CN"/>
        </w:rPr>
        <w:t>http://ggzy.yn.gov.cn/</w:t>
      </w:r>
      <w:r>
        <w:rPr>
          <w:rFonts w:hint="eastAsia" w:ascii="宋体" w:hAnsi="宋体" w:eastAsia="宋体" w:cs="宋体"/>
          <w:color w:val="auto"/>
          <w:sz w:val="21"/>
          <w:szCs w:val="21"/>
          <w:highlight w:val="none"/>
        </w:rPr>
        <w:t>）”，通过网络在线方式进行匿名提问，要求招标人对招标文件予以澄清。</w:t>
      </w:r>
    </w:p>
    <w:p>
      <w:pPr>
        <w:keepNext w:val="0"/>
        <w:keepLines w:val="0"/>
        <w:pageBreakBefore w:val="0"/>
        <w:widowControl/>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招标澄清和补遗全部通过网络送达，请投标人在投标截止日前，务必查询云南省公共资源交易信息网（网址：</w:t>
      </w:r>
      <w:r>
        <w:rPr>
          <w:rFonts w:hint="eastAsia" w:ascii="宋体" w:hAnsi="宋体" w:eastAsia="宋体" w:cs="宋体"/>
          <w:color w:val="auto"/>
          <w:sz w:val="21"/>
          <w:szCs w:val="21"/>
          <w:highlight w:val="none"/>
          <w:lang w:val="en-US" w:eastAsia="zh-CN"/>
        </w:rPr>
        <w:t>http://ggzy.yn.gov.cn/</w:t>
      </w:r>
      <w:r>
        <w:rPr>
          <w:rFonts w:hint="eastAsia" w:ascii="宋体" w:hAnsi="宋体" w:eastAsia="宋体" w:cs="宋体"/>
          <w:color w:val="auto"/>
          <w:sz w:val="21"/>
          <w:szCs w:val="21"/>
          <w:highlight w:val="none"/>
        </w:rPr>
        <w:t>），投标人自行登录云南省公共资源交易信息网（网址：</w:t>
      </w:r>
      <w:r>
        <w:rPr>
          <w:rFonts w:hint="eastAsia" w:ascii="宋体" w:hAnsi="宋体" w:eastAsia="宋体" w:cs="宋体"/>
          <w:color w:val="auto"/>
          <w:sz w:val="21"/>
          <w:szCs w:val="21"/>
          <w:highlight w:val="none"/>
          <w:lang w:val="en-US" w:eastAsia="zh-CN"/>
        </w:rPr>
        <w:t>http://ggzy.yn.gov.cn/</w:t>
      </w:r>
      <w:r>
        <w:rPr>
          <w:rFonts w:hint="eastAsia" w:ascii="宋体" w:hAnsi="宋体" w:eastAsia="宋体" w:cs="宋体"/>
          <w:color w:val="auto"/>
          <w:sz w:val="21"/>
          <w:szCs w:val="21"/>
          <w:highlight w:val="none"/>
        </w:rPr>
        <w:t>）获取澄清，无须回复确认已收到该澄清，招标人不再另行通知。</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2.3 招标文件的修改</w:t>
      </w:r>
    </w:p>
    <w:p>
      <w:pPr>
        <w:keepNext w:val="0"/>
        <w:keepLines w:val="0"/>
        <w:pageBreakBefore w:val="0"/>
        <w:widowControl/>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在投标截止时间15</w:t>
      </w:r>
      <w:r>
        <w:rPr>
          <w:rFonts w:hint="eastAsia" w:ascii="宋体" w:hAnsi="宋体" w:eastAsia="宋体" w:cs="宋体"/>
          <w:color w:val="auto"/>
          <w:sz w:val="21"/>
          <w:szCs w:val="21"/>
          <w:highlight w:val="none"/>
          <w:lang w:eastAsia="zh-CN"/>
        </w:rPr>
        <w:t>日历天</w:t>
      </w:r>
      <w:r>
        <w:rPr>
          <w:rFonts w:hint="eastAsia" w:ascii="宋体" w:hAnsi="宋体" w:eastAsia="宋体" w:cs="宋体"/>
          <w:color w:val="auto"/>
          <w:sz w:val="21"/>
          <w:szCs w:val="21"/>
          <w:highlight w:val="none"/>
        </w:rPr>
        <w:t>前，招标人确需要变更招标文件内容的，招标人可主动或在解答投标人提出的澄清问题时对招标文件进行修改，并同时报主管部门备案。招标人无论对评标办法、评审项目等重要评审内容作何种变更，都要重新制作电子招标文件（*.BZBJ），并重新备案，同时发布补遗文件进行说明以保证各投标人都能重新下载最新的电子招标文件用于编制电子投标文件。招标文件的修改将在“云南省公共资源交易信息网</w:t>
      </w:r>
      <w:r>
        <w:rPr>
          <w:rFonts w:hint="eastAsia" w:ascii="宋体" w:hAnsi="宋体" w:eastAsia="宋体" w:cs="宋体"/>
          <w:color w:val="auto"/>
          <w:sz w:val="21"/>
          <w:szCs w:val="21"/>
          <w:highlight w:val="none"/>
          <w:lang w:val="en-US" w:eastAsia="zh-CN"/>
        </w:rPr>
        <w:t>（网址：</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AUTOTEXT  input429 \* MERGEFORMAT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http://ggzy.yn.gov.cn/#/homePage</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”发布，招标文件的修改作为招标文件的组成部分，并具有约束力。如果修改招标文件的时间距投标截止时间不足15日，相应延长投标截止时间。</w:t>
      </w:r>
    </w:p>
    <w:p>
      <w:pPr>
        <w:keepNext w:val="0"/>
        <w:keepLines w:val="0"/>
        <w:pageBreakBefore w:val="0"/>
        <w:widowControl/>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 投标人自行登录</w:t>
      </w:r>
      <w:r>
        <w:rPr>
          <w:rFonts w:hint="eastAsia" w:ascii="宋体" w:hAnsi="宋体" w:eastAsia="宋体" w:cs="宋体"/>
          <w:color w:val="auto"/>
          <w:sz w:val="21"/>
          <w:szCs w:val="21"/>
          <w:highlight w:val="none"/>
          <w:lang w:val="en-US" w:eastAsia="zh-CN"/>
        </w:rPr>
        <w:t>云南省公共资源交易电子服务</w:t>
      </w:r>
      <w:r>
        <w:rPr>
          <w:rFonts w:hint="eastAsia" w:ascii="宋体" w:hAnsi="宋体" w:cs="宋体"/>
          <w:color w:val="auto"/>
          <w:sz w:val="21"/>
          <w:szCs w:val="21"/>
          <w:highlight w:val="none"/>
          <w:lang w:val="en-US" w:eastAsia="zh-CN"/>
        </w:rPr>
        <w:t>系统</w:t>
      </w:r>
      <w:r>
        <w:rPr>
          <w:rFonts w:hint="eastAsia" w:ascii="宋体" w:hAnsi="宋体" w:eastAsia="宋体" w:cs="宋体"/>
          <w:color w:val="auto"/>
          <w:sz w:val="21"/>
          <w:szCs w:val="21"/>
          <w:highlight w:val="none"/>
        </w:rPr>
        <w:t>收取修改内容，无须回复确认已收到该修改。投标人应在截标时间前随时查看“云南省公共资源交易信息网</w:t>
      </w:r>
      <w:r>
        <w:rPr>
          <w:rFonts w:hint="eastAsia" w:ascii="宋体" w:hAnsi="宋体" w:eastAsia="宋体" w:cs="宋体"/>
          <w:color w:val="auto"/>
          <w:sz w:val="21"/>
          <w:szCs w:val="21"/>
          <w:highlight w:val="none"/>
          <w:lang w:val="en-US" w:eastAsia="zh-CN"/>
        </w:rPr>
        <w:t>（网址：http://ggzy.yn.gov.cn/）</w:t>
      </w:r>
      <w:r>
        <w:rPr>
          <w:rFonts w:hint="eastAsia" w:ascii="宋体" w:hAnsi="宋体" w:eastAsia="宋体" w:cs="宋体"/>
          <w:color w:val="auto"/>
          <w:sz w:val="21"/>
          <w:szCs w:val="21"/>
          <w:highlight w:val="none"/>
        </w:rPr>
        <w:t>”中有关该</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招标文件的答疑、补遗内容。否则，由此引起的投标损失自负。</w:t>
      </w:r>
    </w:p>
    <w:p>
      <w:pPr>
        <w:keepNext w:val="0"/>
        <w:keepLines w:val="0"/>
        <w:pageBreakBefore w:val="0"/>
        <w:widowControl/>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2.3.3潜在投标人或者其他利害关系人对招标文件有异议的，应当在投标截止时间10</w:t>
      </w:r>
      <w:r>
        <w:rPr>
          <w:rFonts w:hint="eastAsia" w:ascii="宋体" w:hAnsi="宋体" w:eastAsia="宋体" w:cs="宋体"/>
          <w:color w:val="auto"/>
          <w:sz w:val="21"/>
          <w:szCs w:val="21"/>
          <w:highlight w:val="none"/>
          <w:lang w:eastAsia="zh-CN"/>
        </w:rPr>
        <w:t>日历天</w:t>
      </w:r>
      <w:r>
        <w:rPr>
          <w:rFonts w:hint="eastAsia" w:ascii="宋体" w:hAnsi="宋体" w:eastAsia="宋体" w:cs="宋体"/>
          <w:color w:val="auto"/>
          <w:sz w:val="21"/>
          <w:szCs w:val="21"/>
          <w:highlight w:val="none"/>
        </w:rPr>
        <w:t>前提出。招标人应当自收到异议之日起3日内作出答复；作出答复前，应当暂停招标投标活动。</w:t>
      </w:r>
    </w:p>
    <w:p>
      <w:pPr>
        <w:keepNext w:val="0"/>
        <w:keepLines w:val="0"/>
        <w:pageBreakBefore w:val="0"/>
        <w:widowControl/>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2.3.4招标文件、招标文件澄清、招标文件修改文件内容均以网上发布的为准，当招标文件、招标文件澄清、招标文件修改文件内容相互矛盾时，以最后发出的为准。</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2.4 招标文件的异议</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rPr>
      </w:pPr>
      <w:bookmarkStart w:id="146" w:name="_Hlk512244763"/>
      <w:r>
        <w:rPr>
          <w:rFonts w:hint="eastAsia" w:ascii="宋体" w:hAnsi="宋体" w:eastAsia="宋体" w:cs="宋体"/>
          <w:color w:val="auto"/>
          <w:sz w:val="21"/>
          <w:szCs w:val="21"/>
          <w:highlight w:val="none"/>
        </w:rPr>
        <w:t>投标人或者其他利害关系人</w:t>
      </w:r>
      <w:bookmarkEnd w:id="146"/>
      <w:r>
        <w:rPr>
          <w:rFonts w:hint="eastAsia" w:ascii="宋体" w:hAnsi="宋体" w:eastAsia="宋体" w:cs="宋体"/>
          <w:color w:val="auto"/>
          <w:sz w:val="21"/>
          <w:szCs w:val="21"/>
          <w:highlight w:val="none"/>
        </w:rPr>
        <w:t>对招标文件有异议的，应当在投标截止时间10日前提出。招标人应当自收到异议之日起3日内作出答复</w:t>
      </w:r>
      <w:bookmarkStart w:id="147" w:name="_Hlk512244776"/>
      <w:r>
        <w:rPr>
          <w:rFonts w:hint="eastAsia" w:ascii="宋体" w:hAnsi="宋体" w:eastAsia="宋体" w:cs="宋体"/>
          <w:color w:val="auto"/>
          <w:sz w:val="21"/>
          <w:szCs w:val="21"/>
          <w:highlight w:val="none"/>
        </w:rPr>
        <w:t>。</w:t>
      </w:r>
      <w:bookmarkEnd w:id="147"/>
    </w:p>
    <w:p>
      <w:pPr>
        <w:keepNext/>
        <w:keepLines/>
        <w:pageBreakBefore w:val="0"/>
        <w:kinsoku/>
        <w:wordWrap/>
        <w:overflowPunct/>
        <w:topLinePunct w:val="0"/>
        <w:bidi w:val="0"/>
        <w:adjustRightInd w:val="0"/>
        <w:snapToGrid w:val="0"/>
        <w:spacing w:before="0" w:after="0" w:line="360" w:lineRule="auto"/>
        <w:ind w:left="567" w:hanging="567"/>
        <w:textAlignment w:val="auto"/>
        <w:outlineLvl w:val="1"/>
        <w:rPr>
          <w:rFonts w:hint="eastAsia" w:ascii="宋体" w:hAnsi="宋体" w:eastAsia="宋体" w:cs="宋体"/>
          <w:b/>
          <w:bCs w:val="0"/>
          <w:color w:val="auto"/>
          <w:kern w:val="2"/>
          <w:sz w:val="21"/>
          <w:szCs w:val="21"/>
          <w:highlight w:val="none"/>
          <w:lang w:val="en-US" w:eastAsia="zh-CN" w:bidi="ar-SA"/>
        </w:rPr>
      </w:pPr>
      <w:bookmarkStart w:id="148" w:name="_Toc28093"/>
      <w:bookmarkStart w:id="149" w:name="_Toc10370"/>
      <w:bookmarkStart w:id="150" w:name="_Toc522291774"/>
      <w:bookmarkStart w:id="151" w:name="_Toc493674547"/>
      <w:bookmarkStart w:id="152" w:name="_Toc522292031"/>
      <w:bookmarkStart w:id="153" w:name="_Toc21129"/>
      <w:bookmarkStart w:id="154" w:name="_Toc11479"/>
      <w:bookmarkStart w:id="155" w:name="_Toc32406"/>
      <w:bookmarkStart w:id="156" w:name="_Toc522261369"/>
      <w:bookmarkStart w:id="157" w:name="_Toc525907667"/>
      <w:bookmarkStart w:id="158" w:name="_Toc468016647"/>
      <w:r>
        <w:rPr>
          <w:rFonts w:hint="eastAsia" w:ascii="宋体" w:hAnsi="宋体" w:eastAsia="宋体" w:cs="宋体"/>
          <w:b/>
          <w:bCs/>
          <w:color w:val="auto"/>
          <w:kern w:val="2"/>
          <w:sz w:val="21"/>
          <w:szCs w:val="21"/>
          <w:highlight w:val="none"/>
          <w:lang w:val="en-US" w:eastAsia="zh-CN" w:bidi="ar-SA"/>
        </w:rPr>
        <w:t>3. 投标文件</w:t>
      </w:r>
      <w:bookmarkEnd w:id="148"/>
      <w:bookmarkEnd w:id="149"/>
      <w:bookmarkEnd w:id="150"/>
      <w:bookmarkEnd w:id="151"/>
      <w:bookmarkEnd w:id="152"/>
      <w:bookmarkEnd w:id="153"/>
      <w:bookmarkEnd w:id="154"/>
      <w:bookmarkEnd w:id="155"/>
      <w:bookmarkEnd w:id="156"/>
      <w:bookmarkEnd w:id="157"/>
      <w:bookmarkEnd w:id="158"/>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159" w:name="_Toc152045547"/>
      <w:bookmarkStart w:id="160" w:name="_Toc179632565"/>
      <w:bookmarkStart w:id="161" w:name="_Toc144974515"/>
      <w:bookmarkStart w:id="162" w:name="_Toc152042323"/>
      <w:r>
        <w:rPr>
          <w:rFonts w:hint="eastAsia" w:ascii="宋体" w:hAnsi="宋体" w:eastAsia="宋体" w:cs="宋体"/>
          <w:b/>
          <w:bCs/>
          <w:color w:val="auto"/>
          <w:spacing w:val="20"/>
          <w:sz w:val="21"/>
          <w:szCs w:val="21"/>
          <w:highlight w:val="none"/>
          <w:lang w:val="zh-CN"/>
        </w:rPr>
        <w:t>3.1 投标文件的组成</w:t>
      </w:r>
      <w:bookmarkEnd w:id="159"/>
      <w:bookmarkEnd w:id="160"/>
      <w:bookmarkEnd w:id="161"/>
      <w:bookmarkEnd w:id="162"/>
    </w:p>
    <w:p>
      <w:pPr>
        <w:pageBreakBefore w:val="0"/>
        <w:widowControl/>
        <w:kinsoku/>
        <w:wordWrap/>
        <w:overflowPunct/>
        <w:topLinePunct w:val="0"/>
        <w:bidi w:val="0"/>
        <w:adjustRightInd w:val="0"/>
        <w:snapToGrid w:val="0"/>
        <w:spacing w:line="360" w:lineRule="auto"/>
        <w:ind w:firstLine="42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投标文件应包括下列内容：</w:t>
      </w:r>
    </w:p>
    <w:p>
      <w:pPr>
        <w:pStyle w:val="8"/>
        <w:ind w:firstLine="420"/>
        <w:rPr>
          <w:rFonts w:hint="eastAsia"/>
          <w:color w:val="auto"/>
          <w:highlight w:val="none"/>
          <w:lang w:val="en-US" w:eastAsia="zh-CN"/>
        </w:rPr>
      </w:pPr>
      <w:r>
        <w:rPr>
          <w:rFonts w:hint="eastAsia"/>
          <w:color w:val="auto"/>
          <w:highlight w:val="none"/>
          <w:lang w:val="en-US" w:eastAsia="zh-CN"/>
        </w:rPr>
        <w:t>一、开标（唱标）一览表</w:t>
      </w:r>
    </w:p>
    <w:p>
      <w:pPr>
        <w:pStyle w:val="8"/>
        <w:ind w:firstLine="420"/>
        <w:rPr>
          <w:rFonts w:hint="eastAsia"/>
          <w:color w:val="auto"/>
          <w:highlight w:val="none"/>
          <w:lang w:val="en-US" w:eastAsia="zh-CN"/>
        </w:rPr>
      </w:pPr>
      <w:r>
        <w:rPr>
          <w:rFonts w:hint="eastAsia"/>
          <w:color w:val="auto"/>
          <w:highlight w:val="none"/>
          <w:lang w:val="en-US" w:eastAsia="zh-CN"/>
        </w:rPr>
        <w:t>二、资格审查资料</w:t>
      </w:r>
    </w:p>
    <w:p>
      <w:pPr>
        <w:pStyle w:val="8"/>
        <w:ind w:firstLine="420"/>
        <w:rPr>
          <w:rFonts w:hint="eastAsia"/>
          <w:color w:val="auto"/>
          <w:highlight w:val="none"/>
          <w:lang w:val="en-US" w:eastAsia="zh-CN"/>
        </w:rPr>
      </w:pPr>
      <w:r>
        <w:rPr>
          <w:rFonts w:hint="eastAsia"/>
          <w:color w:val="auto"/>
          <w:highlight w:val="none"/>
          <w:lang w:val="en-US" w:eastAsia="zh-CN"/>
        </w:rPr>
        <w:t>三、法定代表人身份证明书</w:t>
      </w:r>
    </w:p>
    <w:p>
      <w:pPr>
        <w:pStyle w:val="8"/>
        <w:ind w:firstLine="420"/>
        <w:rPr>
          <w:rFonts w:hint="eastAsia"/>
          <w:color w:val="auto"/>
          <w:highlight w:val="none"/>
          <w:lang w:val="en-US" w:eastAsia="zh-CN"/>
        </w:rPr>
      </w:pPr>
      <w:r>
        <w:rPr>
          <w:rFonts w:hint="eastAsia"/>
          <w:color w:val="auto"/>
          <w:highlight w:val="none"/>
          <w:lang w:val="en-US" w:eastAsia="zh-CN"/>
        </w:rPr>
        <w:t>四、授权委托书</w:t>
      </w:r>
    </w:p>
    <w:p>
      <w:pPr>
        <w:pStyle w:val="8"/>
        <w:ind w:firstLine="420"/>
        <w:rPr>
          <w:rFonts w:hint="eastAsia"/>
          <w:color w:val="auto"/>
          <w:highlight w:val="none"/>
          <w:lang w:val="en-US" w:eastAsia="zh-CN"/>
        </w:rPr>
      </w:pPr>
      <w:r>
        <w:rPr>
          <w:rFonts w:hint="eastAsia"/>
          <w:color w:val="auto"/>
          <w:highlight w:val="none"/>
          <w:lang w:val="en-US" w:eastAsia="zh-CN"/>
        </w:rPr>
        <w:t>五、商务部分</w:t>
      </w:r>
    </w:p>
    <w:p>
      <w:pPr>
        <w:pStyle w:val="8"/>
        <w:ind w:firstLine="420"/>
        <w:rPr>
          <w:rFonts w:hint="eastAsia"/>
          <w:color w:val="auto"/>
          <w:highlight w:val="none"/>
          <w:lang w:val="en-US" w:eastAsia="zh-CN"/>
        </w:rPr>
      </w:pPr>
      <w:r>
        <w:rPr>
          <w:rFonts w:hint="eastAsia"/>
          <w:color w:val="auto"/>
          <w:highlight w:val="none"/>
          <w:lang w:val="en-US" w:eastAsia="zh-CN"/>
        </w:rPr>
        <w:t>六、技术部分</w:t>
      </w:r>
    </w:p>
    <w:p>
      <w:pPr>
        <w:pStyle w:val="8"/>
        <w:ind w:firstLine="420"/>
        <w:rPr>
          <w:rFonts w:hint="eastAsia"/>
          <w:color w:val="auto"/>
          <w:highlight w:val="none"/>
          <w:lang w:val="en-US" w:eastAsia="zh-CN"/>
        </w:rPr>
      </w:pPr>
      <w:r>
        <w:rPr>
          <w:rFonts w:hint="eastAsia"/>
          <w:color w:val="auto"/>
          <w:highlight w:val="none"/>
          <w:lang w:val="en-US" w:eastAsia="zh-CN"/>
        </w:rPr>
        <w:t>七、构成投标文件的其他资料</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163" w:name="_Toc144974516"/>
      <w:bookmarkStart w:id="164" w:name="_Toc179632566"/>
      <w:bookmarkStart w:id="165" w:name="_Toc152042324"/>
      <w:bookmarkStart w:id="166" w:name="_Toc152045548"/>
      <w:r>
        <w:rPr>
          <w:rFonts w:hint="eastAsia" w:ascii="宋体" w:hAnsi="宋体" w:eastAsia="宋体" w:cs="宋体"/>
          <w:b/>
          <w:bCs/>
          <w:color w:val="auto"/>
          <w:spacing w:val="20"/>
          <w:sz w:val="21"/>
          <w:szCs w:val="21"/>
          <w:highlight w:val="none"/>
          <w:lang w:val="zh-CN"/>
        </w:rPr>
        <w:t>3.2 投标报价</w:t>
      </w:r>
      <w:bookmarkEnd w:id="163"/>
      <w:bookmarkEnd w:id="164"/>
      <w:bookmarkEnd w:id="165"/>
      <w:bookmarkEnd w:id="166"/>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投标报价按招标文件</w:t>
      </w:r>
      <w:r>
        <w:rPr>
          <w:rFonts w:hint="eastAsia" w:ascii="宋体" w:hAnsi="宋体" w:eastAsia="宋体" w:cs="宋体"/>
          <w:color w:val="auto"/>
          <w:sz w:val="21"/>
          <w:szCs w:val="21"/>
          <w:highlight w:val="none"/>
          <w:lang w:eastAsia="zh-CN"/>
        </w:rPr>
        <w:t>“第四章  招标内容及要求”</w:t>
      </w:r>
      <w:r>
        <w:rPr>
          <w:rFonts w:hint="eastAsia" w:ascii="宋体" w:hAnsi="宋体" w:eastAsia="宋体" w:cs="宋体"/>
          <w:color w:val="auto"/>
          <w:sz w:val="21"/>
          <w:szCs w:val="21"/>
          <w:highlight w:val="none"/>
        </w:rPr>
        <w:t>要求进行填报。</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3.2.2 </w:t>
      </w:r>
      <w:bookmarkStart w:id="167" w:name="_Hlk515529108"/>
      <w:r>
        <w:rPr>
          <w:rFonts w:hint="eastAsia" w:ascii="宋体" w:hAnsi="宋体" w:eastAsia="宋体" w:cs="宋体"/>
          <w:color w:val="auto"/>
          <w:sz w:val="21"/>
          <w:szCs w:val="21"/>
          <w:highlight w:val="none"/>
          <w:lang w:val="en-US" w:eastAsia="zh-CN"/>
        </w:rPr>
        <w:t>招标控制价：</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lang w:val="en-US" w:eastAsia="zh-CN"/>
        </w:rPr>
        <w:t>招标公告/</w:t>
      </w:r>
      <w:r>
        <w:rPr>
          <w:rFonts w:hint="eastAsia" w:ascii="宋体" w:hAnsi="宋体" w:eastAsia="宋体" w:cs="宋体"/>
          <w:color w:val="auto"/>
          <w:sz w:val="21"/>
          <w:szCs w:val="21"/>
          <w:highlight w:val="none"/>
        </w:rPr>
        <w:t>投标人须知前附表</w:t>
      </w:r>
      <w:r>
        <w:rPr>
          <w:rFonts w:hint="eastAsia" w:ascii="宋体" w:hAnsi="宋体" w:eastAsia="宋体" w:cs="宋体"/>
          <w:color w:val="auto"/>
          <w:sz w:val="21"/>
          <w:szCs w:val="21"/>
          <w:highlight w:val="none"/>
          <w:lang w:val="en-US" w:eastAsia="zh-CN"/>
        </w:rPr>
        <w:t>。</w:t>
      </w:r>
      <w:bookmarkEnd w:id="167"/>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3.2.3 投标人须就所投标段项目内容总价按招标文件要求</w:t>
      </w:r>
      <w:r>
        <w:rPr>
          <w:rFonts w:hint="eastAsia" w:ascii="宋体" w:hAnsi="宋体" w:eastAsia="宋体" w:cs="宋体"/>
          <w:b/>
          <w:bCs/>
          <w:color w:val="auto"/>
          <w:sz w:val="21"/>
          <w:szCs w:val="21"/>
          <w:highlight w:val="none"/>
          <w:lang w:val="en-US" w:eastAsia="zh-CN"/>
        </w:rPr>
        <w:t>作完整唯一报价</w:t>
      </w:r>
      <w:r>
        <w:rPr>
          <w:rFonts w:hint="eastAsia" w:ascii="宋体" w:hAnsi="宋体" w:eastAsia="宋体" w:cs="宋体"/>
          <w:color w:val="auto"/>
          <w:sz w:val="21"/>
          <w:szCs w:val="21"/>
          <w:highlight w:val="none"/>
          <w:lang w:val="en-US" w:eastAsia="zh-CN"/>
        </w:rPr>
        <w:t>。</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3.2.4 </w:t>
      </w:r>
      <w:bookmarkStart w:id="168" w:name="_Hlk499634769"/>
      <w:bookmarkStart w:id="169" w:name="_Hlk499634374"/>
      <w:r>
        <w:rPr>
          <w:rFonts w:hint="eastAsia" w:ascii="宋体" w:hAnsi="宋体" w:eastAsia="宋体" w:cs="宋体"/>
          <w:color w:val="auto"/>
          <w:sz w:val="21"/>
          <w:szCs w:val="21"/>
          <w:highlight w:val="none"/>
        </w:rPr>
        <w:t>报价方式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lang w:val="en-US" w:eastAsia="zh-CN"/>
        </w:rPr>
        <w:t>招标公告/</w:t>
      </w:r>
      <w:r>
        <w:rPr>
          <w:rFonts w:hint="eastAsia" w:ascii="宋体" w:hAnsi="宋体" w:eastAsia="宋体" w:cs="宋体"/>
          <w:color w:val="auto"/>
          <w:sz w:val="21"/>
          <w:szCs w:val="21"/>
          <w:highlight w:val="none"/>
        </w:rPr>
        <w:t>投标人须知前附表。</w:t>
      </w:r>
      <w:r>
        <w:rPr>
          <w:rFonts w:hint="eastAsia" w:ascii="宋体" w:hAnsi="宋体" w:eastAsia="宋体" w:cs="宋体"/>
          <w:color w:val="auto"/>
          <w:sz w:val="21"/>
          <w:szCs w:val="21"/>
          <w:highlight w:val="none"/>
          <w:lang w:val="en-US" w:eastAsia="zh-CN"/>
        </w:rPr>
        <w:tab/>
      </w:r>
    </w:p>
    <w:bookmarkEnd w:id="168"/>
    <w:bookmarkEnd w:id="169"/>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 投标货币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投标人所填写的所有价格全部采用人民币表示，以人民币元为单位。</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170" w:name="_Toc144974517"/>
      <w:bookmarkStart w:id="171" w:name="_Toc179632567"/>
      <w:bookmarkStart w:id="172" w:name="_Toc152042325"/>
      <w:bookmarkStart w:id="173" w:name="_Toc152045549"/>
      <w:r>
        <w:rPr>
          <w:rFonts w:hint="eastAsia" w:ascii="宋体" w:hAnsi="宋体" w:eastAsia="宋体" w:cs="宋体"/>
          <w:b/>
          <w:bCs/>
          <w:color w:val="auto"/>
          <w:spacing w:val="20"/>
          <w:sz w:val="21"/>
          <w:szCs w:val="21"/>
          <w:highlight w:val="none"/>
          <w:lang w:val="zh-CN"/>
        </w:rPr>
        <w:t>3.3 投标有效期</w:t>
      </w:r>
      <w:bookmarkEnd w:id="170"/>
      <w:bookmarkEnd w:id="171"/>
      <w:bookmarkEnd w:id="172"/>
      <w:bookmarkEnd w:id="173"/>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在投标人须知前附表规定的投标有效期内，投标人不得要求撤销或修改其投标文件。</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 </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174" w:name="_Toc152045550"/>
      <w:bookmarkStart w:id="175" w:name="_Toc152042326"/>
      <w:bookmarkStart w:id="176" w:name="_Toc179632568"/>
      <w:bookmarkStart w:id="177" w:name="_Toc144974518"/>
      <w:r>
        <w:rPr>
          <w:rFonts w:hint="eastAsia" w:ascii="宋体" w:hAnsi="宋体" w:eastAsia="宋体" w:cs="宋体"/>
          <w:b/>
          <w:bCs/>
          <w:color w:val="auto"/>
          <w:spacing w:val="20"/>
          <w:sz w:val="21"/>
          <w:szCs w:val="21"/>
          <w:highlight w:val="none"/>
          <w:lang w:val="zh-CN"/>
        </w:rPr>
        <w:t>3.4 投标保证金</w:t>
      </w:r>
      <w:bookmarkEnd w:id="174"/>
      <w:bookmarkEnd w:id="175"/>
      <w:bookmarkEnd w:id="176"/>
      <w:bookmarkEnd w:id="177"/>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bookmarkStart w:id="178" w:name="_Hlk515529156"/>
      <w:r>
        <w:rPr>
          <w:rFonts w:hint="default" w:ascii="宋体" w:hAnsi="宋体" w:eastAsia="宋体" w:cs="宋体"/>
          <w:color w:val="auto"/>
          <w:sz w:val="21"/>
          <w:szCs w:val="21"/>
          <w:highlight w:val="none"/>
          <w:lang w:val="en-US" w:eastAsia="zh-CN"/>
        </w:rPr>
        <w:t>根据《临沧市公共资源交易联席会议办公室关于转发云南省公共资源交易平台整合共享2024年重点工作任务的通知》相关要求，本项目不收取投标保证金。</w:t>
      </w:r>
    </w:p>
    <w:bookmarkEnd w:id="178"/>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3.5 资格审查资料</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3.5.1</w:t>
      </w:r>
      <w:bookmarkStart w:id="179" w:name="_Hlk512245688"/>
      <w:r>
        <w:rPr>
          <w:rFonts w:hint="eastAsia" w:ascii="宋体" w:hAnsi="宋体" w:eastAsia="宋体" w:cs="宋体"/>
          <w:color w:val="auto"/>
          <w:sz w:val="21"/>
          <w:szCs w:val="21"/>
          <w:highlight w:val="none"/>
        </w:rPr>
        <w:t xml:space="preserve"> 投标人按</w:t>
      </w:r>
      <w:r>
        <w:rPr>
          <w:rFonts w:hint="eastAsia" w:ascii="宋体" w:hAnsi="宋体" w:cs="宋体"/>
          <w:color w:val="auto"/>
          <w:sz w:val="21"/>
          <w:szCs w:val="21"/>
          <w:highlight w:val="none"/>
          <w:lang w:val="en-US" w:eastAsia="zh-CN"/>
        </w:rPr>
        <w:t>招标公告第</w:t>
      </w: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点</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的资格要求中的要求提交相关证明资料。</w:t>
      </w:r>
      <w:bookmarkEnd w:id="179"/>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3.5.2 </w:t>
      </w:r>
      <w:r>
        <w:rPr>
          <w:rFonts w:hint="eastAsia" w:ascii="宋体" w:hAnsi="宋体" w:eastAsia="宋体" w:cs="宋体"/>
          <w:b/>
          <w:bCs/>
          <w:color w:val="auto"/>
          <w:sz w:val="21"/>
          <w:szCs w:val="21"/>
          <w:highlight w:val="none"/>
        </w:rPr>
        <w:t>投标人须知前附表规定接受联合体投标的，本章第3.5.1项规定的表格和资料应包括联合体各方相关情况。</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3.6 备选投标方案</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投标人不可以递交备选投标方案。</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3.7 投标文件的编制</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val="en-US" w:eastAsia="zh-CN"/>
        </w:rPr>
        <w:t>严格按照投标文件格式编制</w:t>
      </w:r>
      <w:r>
        <w:rPr>
          <w:rFonts w:hint="eastAsia" w:ascii="宋体" w:hAnsi="宋体" w:eastAsia="宋体" w:cs="宋体"/>
          <w:color w:val="auto"/>
          <w:sz w:val="21"/>
          <w:szCs w:val="21"/>
          <w:highlight w:val="none"/>
        </w:rPr>
        <w:t>。</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en-US" w:eastAsia="zh-CN"/>
        </w:rPr>
        <w:t>其他：详见招标公告/投标人须知前附表。</w:t>
      </w:r>
      <w:bookmarkStart w:id="180" w:name="_Toc29885"/>
      <w:bookmarkStart w:id="181" w:name="_Toc3290"/>
      <w:bookmarkStart w:id="182" w:name="_Toc493674548"/>
      <w:bookmarkStart w:id="183" w:name="_Toc522291775"/>
      <w:bookmarkStart w:id="184" w:name="_Toc425501341"/>
      <w:bookmarkStart w:id="185" w:name="_Toc522261370"/>
      <w:bookmarkStart w:id="186" w:name="_Toc525907668"/>
      <w:bookmarkStart w:id="187" w:name="_Toc522292032"/>
      <w:bookmarkStart w:id="188" w:name="_Toc23771"/>
      <w:bookmarkStart w:id="189" w:name="_Toc288638124"/>
      <w:bookmarkStart w:id="190" w:name="_Toc468016648"/>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3.7.3按照投标文件格式，采用单位和个人数字证书电子签章及电子签名：投标文件需要电子签章处应加盖企业、法定代表人电子印章及电子签名。</w:t>
      </w:r>
    </w:p>
    <w:p>
      <w:pPr>
        <w:pageBreakBefore w:val="0"/>
        <w:widowControl/>
        <w:kinsoku/>
        <w:wordWrap/>
        <w:overflowPunct/>
        <w:topLinePunct w:val="0"/>
        <w:bidi w:val="0"/>
        <w:spacing w:line="360" w:lineRule="auto"/>
        <w:ind w:firstLine="420" w:firstLineChars="20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注：1.在需要电子签章的地方进行电子签章，无需逐页电子签章。</w:t>
      </w:r>
    </w:p>
    <w:p>
      <w:pPr>
        <w:pageBreakBefore w:val="0"/>
        <w:widowControl/>
        <w:kinsoku/>
        <w:wordWrap/>
        <w:overflowPunct/>
        <w:topLinePunct w:val="0"/>
        <w:bidi w:val="0"/>
        <w:spacing w:line="360" w:lineRule="auto"/>
        <w:jc w:val="left"/>
        <w:textAlignment w:val="auto"/>
        <w:outlineLvl w:val="1"/>
        <w:rPr>
          <w:rFonts w:hint="eastAsia" w:ascii="宋体" w:hAnsi="宋体" w:eastAsia="宋体" w:cs="宋体"/>
          <w:b/>
          <w:bCs w:val="0"/>
          <w:color w:val="auto"/>
          <w:kern w:val="2"/>
          <w:sz w:val="21"/>
          <w:szCs w:val="21"/>
          <w:highlight w:val="none"/>
          <w:lang w:val="en-US" w:eastAsia="zh-CN" w:bidi="ar-SA"/>
        </w:rPr>
      </w:pPr>
      <w:bookmarkStart w:id="191" w:name="_Toc28707"/>
      <w:bookmarkStart w:id="192" w:name="_Toc24416"/>
      <w:r>
        <w:rPr>
          <w:rFonts w:hint="eastAsia" w:ascii="宋体" w:hAnsi="宋体" w:eastAsia="宋体" w:cs="宋体"/>
          <w:b/>
          <w:bCs/>
          <w:color w:val="auto"/>
          <w:kern w:val="2"/>
          <w:sz w:val="21"/>
          <w:szCs w:val="21"/>
          <w:highlight w:val="none"/>
          <w:lang w:val="en-US" w:eastAsia="zh-CN" w:bidi="ar-SA"/>
        </w:rPr>
        <w:t>4. 投标</w:t>
      </w:r>
      <w:bookmarkEnd w:id="180"/>
      <w:bookmarkEnd w:id="181"/>
      <w:bookmarkEnd w:id="182"/>
      <w:bookmarkEnd w:id="183"/>
      <w:bookmarkEnd w:id="184"/>
      <w:bookmarkEnd w:id="185"/>
      <w:bookmarkEnd w:id="186"/>
      <w:bookmarkEnd w:id="187"/>
      <w:bookmarkEnd w:id="188"/>
      <w:bookmarkEnd w:id="189"/>
      <w:bookmarkEnd w:id="190"/>
      <w:bookmarkEnd w:id="191"/>
      <w:bookmarkEnd w:id="192"/>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eastAsia="zh-CN"/>
        </w:rPr>
      </w:pPr>
      <w:r>
        <w:rPr>
          <w:rFonts w:hint="eastAsia" w:ascii="宋体" w:hAnsi="宋体" w:eastAsia="宋体" w:cs="宋体"/>
          <w:b/>
          <w:bCs/>
          <w:color w:val="auto"/>
          <w:spacing w:val="20"/>
          <w:sz w:val="21"/>
          <w:szCs w:val="21"/>
          <w:highlight w:val="none"/>
          <w:lang w:val="zh-CN"/>
        </w:rPr>
        <w:t>4.1 投标文件的</w:t>
      </w:r>
      <w:r>
        <w:rPr>
          <w:rFonts w:hint="eastAsia" w:ascii="宋体" w:hAnsi="宋体" w:eastAsia="宋体" w:cs="宋体"/>
          <w:b/>
          <w:bCs/>
          <w:color w:val="auto"/>
          <w:spacing w:val="20"/>
          <w:sz w:val="21"/>
          <w:szCs w:val="21"/>
          <w:highlight w:val="none"/>
          <w:lang w:val="en-US" w:eastAsia="zh-CN"/>
        </w:rPr>
        <w:t>加密</w:t>
      </w:r>
    </w:p>
    <w:p>
      <w:pPr>
        <w:keepNext/>
        <w:keepLines/>
        <w:pageBreakBefore w:val="0"/>
        <w:widowControl/>
        <w:kinsoku/>
        <w:wordWrap/>
        <w:overflowPunct/>
        <w:topLinePunct w:val="0"/>
        <w:autoSpaceDE w:val="0"/>
        <w:autoSpaceDN w:val="0"/>
        <w:bidi w:val="0"/>
        <w:adjustRightInd w:val="0"/>
        <w:snapToGrid w:val="0"/>
        <w:spacing w:line="360" w:lineRule="auto"/>
        <w:ind w:firstLine="420" w:firstLineChars="200"/>
        <w:jc w:val="left"/>
        <w:textAlignment w:val="auto"/>
        <w:outlineLvl w:val="3"/>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详见招标公告/投标人须知前附表。</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4.2 投标文件的递交</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4.2.1投标截止时间：</w:t>
      </w:r>
      <w:r>
        <w:rPr>
          <w:rFonts w:hint="eastAsia" w:ascii="宋体" w:hAnsi="宋体" w:eastAsia="宋体" w:cs="宋体"/>
          <w:color w:val="auto"/>
          <w:sz w:val="21"/>
          <w:szCs w:val="21"/>
          <w:highlight w:val="none"/>
          <w:lang w:val="en-US" w:eastAsia="zh-CN"/>
        </w:rPr>
        <w:t>详见招标公告/投标人须知前附表</w:t>
      </w:r>
      <w:r>
        <w:rPr>
          <w:rFonts w:hint="eastAsia" w:ascii="宋体" w:hAnsi="宋体" w:eastAsia="宋体" w:cs="宋体"/>
          <w:color w:val="auto"/>
          <w:kern w:val="0"/>
          <w:sz w:val="21"/>
          <w:szCs w:val="21"/>
          <w:highlight w:val="none"/>
        </w:rPr>
        <w:t>。</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4.2.2 投标人递交投标文件的地点及要求：</w:t>
      </w:r>
      <w:r>
        <w:rPr>
          <w:rFonts w:hint="eastAsia" w:ascii="宋体" w:hAnsi="宋体" w:eastAsia="宋体" w:cs="宋体"/>
          <w:color w:val="auto"/>
          <w:sz w:val="21"/>
          <w:szCs w:val="21"/>
          <w:highlight w:val="none"/>
          <w:lang w:val="en-US" w:eastAsia="zh-CN"/>
        </w:rPr>
        <w:t>详见招标公告/投标人须知前附表</w:t>
      </w:r>
      <w:r>
        <w:rPr>
          <w:rFonts w:hint="eastAsia" w:ascii="宋体" w:hAnsi="宋体" w:eastAsia="宋体" w:cs="宋体"/>
          <w:color w:val="auto"/>
          <w:kern w:val="0"/>
          <w:sz w:val="21"/>
          <w:szCs w:val="21"/>
          <w:highlight w:val="none"/>
        </w:rPr>
        <w:t>。</w:t>
      </w:r>
    </w:p>
    <w:p>
      <w:pPr>
        <w:keepNext w:val="0"/>
        <w:keepLines w:val="0"/>
        <w:pageBreakBefore w:val="0"/>
        <w:widowControl/>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网上上传：投标人登录“云南省公共资源交易信息网（网址：</w:t>
      </w:r>
      <w:r>
        <w:rPr>
          <w:rFonts w:hint="eastAsia" w:ascii="宋体" w:hAnsi="宋体" w:eastAsia="宋体" w:cs="宋体"/>
          <w:color w:val="auto"/>
          <w:sz w:val="21"/>
          <w:szCs w:val="21"/>
          <w:highlight w:val="none"/>
          <w:lang w:val="en-US" w:eastAsia="zh-CN"/>
        </w:rPr>
        <w:t>http://ggzy.yn.gov.cn/</w:t>
      </w:r>
      <w:r>
        <w:rPr>
          <w:rFonts w:hint="eastAsia" w:ascii="宋体" w:hAnsi="宋体" w:eastAsia="宋体" w:cs="宋体"/>
          <w:color w:val="auto"/>
          <w:kern w:val="0"/>
          <w:sz w:val="21"/>
          <w:szCs w:val="21"/>
          <w:highlight w:val="none"/>
        </w:rPr>
        <w:t>），根据拟要投标的项目，上传投标文件，电子投标文件必须使用《云南省工程建设模块化投标文件编制系统》制作（文件格式为*.BTBJ），并完成最后的“确认并签名”，打印“上传投标文件回执”，表明投标人网上上传投标文件成功。</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4.2.3 逾期送达的或者未送达指定地点的投标文件，招标人不予受理。</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4.3 投标文件的修改与撤回</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4.3.1 </w:t>
      </w:r>
      <w:r>
        <w:rPr>
          <w:rFonts w:hint="eastAsia" w:ascii="宋体" w:hAnsi="宋体" w:eastAsia="宋体" w:cs="宋体"/>
          <w:color w:val="auto"/>
          <w:sz w:val="21"/>
          <w:szCs w:val="21"/>
          <w:highlight w:val="none"/>
        </w:rPr>
        <w:t>在投标截止时间前，投标人可以撤回在网上已递交的投标文件，修改后重新递交，无须书面形式通知招标人。</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4.3.2修改的投标文件应按照要求进行重新编制、加密和递交。</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4.3.3 在投标文件有效期内投标人不得修改或撤回其投标文件。</w:t>
      </w:r>
      <w:bookmarkStart w:id="193" w:name="_Toc16965"/>
      <w:bookmarkStart w:id="194" w:name="_Toc24883"/>
      <w:bookmarkStart w:id="195" w:name="_Toc522261371"/>
      <w:bookmarkStart w:id="196" w:name="_Toc493674549"/>
      <w:bookmarkStart w:id="197" w:name="_Toc522291776"/>
      <w:bookmarkStart w:id="198" w:name="_Toc468016649"/>
      <w:bookmarkStart w:id="199" w:name="_Toc425501342"/>
      <w:bookmarkStart w:id="200" w:name="_Toc288638125"/>
      <w:bookmarkStart w:id="201" w:name="_Toc522292033"/>
      <w:bookmarkStart w:id="202" w:name="_Toc23108"/>
      <w:bookmarkStart w:id="203" w:name="_Toc525907669"/>
      <w:bookmarkStart w:id="204" w:name="_Toc10132"/>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 开标</w:t>
      </w:r>
      <w:bookmarkEnd w:id="193"/>
      <w:bookmarkEnd w:id="194"/>
      <w:bookmarkEnd w:id="195"/>
      <w:bookmarkEnd w:id="196"/>
      <w:bookmarkEnd w:id="197"/>
      <w:bookmarkEnd w:id="198"/>
      <w:bookmarkEnd w:id="199"/>
      <w:bookmarkEnd w:id="200"/>
      <w:bookmarkEnd w:id="201"/>
      <w:bookmarkEnd w:id="202"/>
      <w:bookmarkEnd w:id="203"/>
      <w:bookmarkEnd w:id="204"/>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5.1 开标时间和地点</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bookmarkStart w:id="205" w:name="_Hlk512954785"/>
      <w:r>
        <w:rPr>
          <w:rFonts w:hint="eastAsia" w:ascii="宋体" w:hAnsi="宋体" w:eastAsia="宋体" w:cs="宋体"/>
          <w:color w:val="auto"/>
          <w:sz w:val="21"/>
          <w:szCs w:val="21"/>
          <w:highlight w:val="none"/>
          <w:lang w:val="zh-CN"/>
        </w:rPr>
        <w:t>详见招标公告/投标人须知前附表规定的开标时间和地点公开开标，并邀请所有投标人的法定代表人或其委托代理人准时参加</w:t>
      </w:r>
      <w:r>
        <w:rPr>
          <w:rFonts w:hint="eastAsia" w:ascii="宋体" w:hAnsi="宋体" w:eastAsia="宋体" w:cs="宋体"/>
          <w:color w:val="auto"/>
          <w:sz w:val="21"/>
          <w:szCs w:val="21"/>
          <w:highlight w:val="none"/>
          <w:lang w:val="en-US" w:eastAsia="zh-CN"/>
        </w:rPr>
        <w:t>线上开标</w:t>
      </w:r>
      <w:r>
        <w:rPr>
          <w:rFonts w:hint="eastAsia" w:ascii="宋体" w:hAnsi="宋体" w:eastAsia="宋体" w:cs="宋体"/>
          <w:color w:val="auto"/>
          <w:sz w:val="21"/>
          <w:szCs w:val="21"/>
          <w:highlight w:val="none"/>
          <w:lang w:val="zh-CN"/>
        </w:rPr>
        <w:t>。</w:t>
      </w:r>
      <w:bookmarkStart w:id="206" w:name="_Hlk512263182"/>
      <w:r>
        <w:rPr>
          <w:rFonts w:hint="eastAsia" w:ascii="宋体" w:hAnsi="宋体" w:eastAsia="宋体" w:cs="宋体"/>
          <w:color w:val="auto"/>
          <w:sz w:val="21"/>
          <w:szCs w:val="21"/>
          <w:highlight w:val="none"/>
        </w:rPr>
        <w:t>投标人若未派法定代表人或其委托代理人出席</w:t>
      </w:r>
      <w:r>
        <w:rPr>
          <w:rFonts w:hint="eastAsia" w:ascii="宋体" w:hAnsi="宋体" w:eastAsia="宋体" w:cs="宋体"/>
          <w:color w:val="auto"/>
          <w:sz w:val="21"/>
          <w:szCs w:val="21"/>
          <w:highlight w:val="none"/>
          <w:lang w:val="en-US" w:eastAsia="zh-CN"/>
        </w:rPr>
        <w:t>线上</w:t>
      </w:r>
      <w:r>
        <w:rPr>
          <w:rFonts w:hint="eastAsia" w:ascii="宋体" w:hAnsi="宋体" w:eastAsia="宋体" w:cs="宋体"/>
          <w:color w:val="auto"/>
          <w:sz w:val="21"/>
          <w:szCs w:val="21"/>
          <w:highlight w:val="none"/>
        </w:rPr>
        <w:t>开标活动，造成投标文件不能解密唱标的后果由投标人自行负责。</w:t>
      </w:r>
      <w:bookmarkEnd w:id="205"/>
      <w:bookmarkEnd w:id="206"/>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5.2 开标程序</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bookmarkStart w:id="207" w:name="_Hlk512954799"/>
      <w:bookmarkStart w:id="208" w:name="_Hlk512263267"/>
      <w:r>
        <w:rPr>
          <w:rFonts w:hint="eastAsia" w:ascii="宋体" w:hAnsi="宋体" w:eastAsia="宋体" w:cs="宋体"/>
          <w:color w:val="auto"/>
          <w:sz w:val="21"/>
          <w:szCs w:val="21"/>
          <w:highlight w:val="none"/>
          <w:lang w:val="zh-CN"/>
        </w:rPr>
        <w:t>针对网上开标的项目，登录云南省公共资源交易信息网（</w:t>
      </w:r>
      <w:r>
        <w:rPr>
          <w:rFonts w:hint="eastAsia" w:ascii="宋体" w:hAnsi="宋体" w:eastAsia="宋体" w:cs="宋体"/>
          <w:color w:val="auto"/>
          <w:sz w:val="21"/>
          <w:szCs w:val="21"/>
          <w:highlight w:val="none"/>
          <w:lang w:val="en-US" w:eastAsia="zh-CN"/>
        </w:rPr>
        <w:t>http://ggzy.yn.gov.cn/</w:t>
      </w:r>
      <w:r>
        <w:rPr>
          <w:rFonts w:hint="eastAsia" w:ascii="宋体" w:hAnsi="宋体" w:eastAsia="宋体" w:cs="宋体"/>
          <w:color w:val="auto"/>
          <w:sz w:val="21"/>
          <w:szCs w:val="21"/>
          <w:highlight w:val="none"/>
          <w:lang w:val="zh-CN"/>
        </w:rPr>
        <w:t>），点击【智能开标系统】，进入网上开标大厅，找到对应项目，根据网上远程解密、开标的要求，须在规定时</w:t>
      </w:r>
      <w:r>
        <w:rPr>
          <w:rFonts w:hint="eastAsia" w:ascii="宋体" w:hAnsi="宋体" w:cs="宋体"/>
          <w:color w:val="auto"/>
          <w:sz w:val="21"/>
          <w:szCs w:val="21"/>
          <w:highlight w:val="none"/>
          <w:lang w:val="zh-CN"/>
        </w:rPr>
        <w:t>间内</w:t>
      </w:r>
      <w:r>
        <w:rPr>
          <w:rFonts w:hint="eastAsia" w:ascii="宋体" w:hAnsi="宋体" w:eastAsia="宋体" w:cs="宋体"/>
          <w:color w:val="auto"/>
          <w:sz w:val="21"/>
          <w:szCs w:val="21"/>
          <w:highlight w:val="none"/>
          <w:lang w:val="zh-CN"/>
        </w:rPr>
        <w:t>完成在线解密、开标一览表确认等相关操作。若投标人没有在规定时</w:t>
      </w:r>
      <w:r>
        <w:rPr>
          <w:rFonts w:hint="eastAsia" w:ascii="宋体" w:hAnsi="宋体" w:cs="宋体"/>
          <w:color w:val="auto"/>
          <w:sz w:val="21"/>
          <w:szCs w:val="21"/>
          <w:highlight w:val="none"/>
          <w:lang w:val="zh-CN"/>
        </w:rPr>
        <w:t>间内</w:t>
      </w:r>
      <w:r>
        <w:rPr>
          <w:rFonts w:hint="eastAsia" w:ascii="宋体" w:hAnsi="宋体" w:eastAsia="宋体" w:cs="宋体"/>
          <w:color w:val="auto"/>
          <w:sz w:val="21"/>
          <w:szCs w:val="21"/>
          <w:highlight w:val="none"/>
          <w:lang w:val="zh-CN"/>
        </w:rPr>
        <w:t>完成以上相关操作，则视为撤销其投标文件，不再进入评标阶段。开标过程中如有问题，可以发起在线异议，由</w:t>
      </w:r>
      <w:r>
        <w:rPr>
          <w:rFonts w:hint="eastAsia" w:ascii="宋体" w:hAnsi="宋体" w:cs="宋体"/>
          <w:color w:val="auto"/>
          <w:sz w:val="21"/>
          <w:szCs w:val="21"/>
          <w:highlight w:val="none"/>
          <w:lang w:val="en-US" w:eastAsia="zh-CN"/>
        </w:rPr>
        <w:t>招标人</w:t>
      </w:r>
      <w:r>
        <w:rPr>
          <w:rFonts w:hint="eastAsia" w:ascii="宋体" w:hAnsi="宋体" w:eastAsia="宋体" w:cs="宋体"/>
          <w:color w:val="auto"/>
          <w:sz w:val="21"/>
          <w:szCs w:val="21"/>
          <w:highlight w:val="none"/>
          <w:lang w:val="zh-CN"/>
        </w:rPr>
        <w:t>给予对应的回复。</w:t>
      </w:r>
    </w:p>
    <w:p>
      <w:pPr>
        <w:keepNext w:val="0"/>
        <w:keepLines w:val="0"/>
        <w:pageBreakBefore w:val="0"/>
        <w:widowControl/>
        <w:kinsoku/>
        <w:wordWrap w:val="0"/>
        <w:overflowPunct/>
        <w:topLinePunct w:val="0"/>
        <w:autoSpaceDE w:val="0"/>
        <w:autoSpaceDN w:val="0"/>
        <w:bidi w:val="0"/>
        <w:adjustRightInd w:val="0"/>
        <w:snapToGrid w:val="0"/>
        <w:spacing w:line="360" w:lineRule="auto"/>
        <w:ind w:left="478" w:leftChars="228"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投标人对开标过程有异议的，可以发起在线异议，</w:t>
      </w:r>
      <w:r>
        <w:rPr>
          <w:rFonts w:hint="eastAsia" w:ascii="宋体" w:hAnsi="宋体" w:cs="宋体"/>
          <w:color w:val="auto"/>
          <w:sz w:val="21"/>
          <w:szCs w:val="21"/>
          <w:highlight w:val="none"/>
          <w:lang w:val="en-US" w:eastAsia="zh-CN"/>
        </w:rPr>
        <w:t>招标人</w:t>
      </w:r>
      <w:r>
        <w:rPr>
          <w:rFonts w:hint="eastAsia" w:ascii="宋体" w:hAnsi="宋体" w:eastAsia="宋体" w:cs="宋体"/>
          <w:color w:val="auto"/>
          <w:sz w:val="21"/>
          <w:szCs w:val="21"/>
          <w:highlight w:val="none"/>
          <w:lang w:val="zh-CN"/>
        </w:rPr>
        <w:t>将在线进行查看并回复。</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en-US" w:eastAsia="zh-CN"/>
        </w:rPr>
      </w:pPr>
      <w:r>
        <w:rPr>
          <w:rFonts w:hint="eastAsia" w:ascii="宋体" w:hAnsi="宋体" w:eastAsia="宋体" w:cs="宋体"/>
          <w:b/>
          <w:bCs/>
          <w:color w:val="auto"/>
          <w:spacing w:val="20"/>
          <w:sz w:val="21"/>
          <w:szCs w:val="21"/>
          <w:highlight w:val="none"/>
          <w:lang w:val="en-US" w:eastAsia="zh-CN"/>
        </w:rPr>
        <w:t>5</w:t>
      </w:r>
      <w:r>
        <w:rPr>
          <w:rFonts w:hint="eastAsia" w:ascii="宋体" w:hAnsi="宋体" w:eastAsia="宋体" w:cs="宋体"/>
          <w:b/>
          <w:bCs/>
          <w:color w:val="auto"/>
          <w:spacing w:val="20"/>
          <w:sz w:val="21"/>
          <w:szCs w:val="21"/>
          <w:highlight w:val="none"/>
          <w:lang w:val="zh-CN"/>
        </w:rPr>
        <w:t xml:space="preserve">.3 </w:t>
      </w:r>
      <w:r>
        <w:rPr>
          <w:rFonts w:hint="eastAsia" w:ascii="宋体" w:hAnsi="宋体" w:eastAsia="宋体" w:cs="宋体"/>
          <w:b/>
          <w:bCs/>
          <w:color w:val="auto"/>
          <w:spacing w:val="20"/>
          <w:sz w:val="21"/>
          <w:szCs w:val="21"/>
          <w:highlight w:val="none"/>
          <w:lang w:val="en-US" w:eastAsia="zh-CN"/>
        </w:rPr>
        <w:t>投标文件撤回</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接受的“撤回”通知的投标文件将不予开封。</w:t>
      </w:r>
      <w:bookmarkEnd w:id="207"/>
      <w:bookmarkEnd w:id="208"/>
      <w:bookmarkStart w:id="209" w:name="_Toc5795"/>
      <w:bookmarkStart w:id="210" w:name="_Toc522291777"/>
      <w:bookmarkStart w:id="211" w:name="_Toc468016650"/>
      <w:bookmarkStart w:id="212" w:name="_Toc522261372"/>
      <w:bookmarkStart w:id="213" w:name="_Toc425501343"/>
      <w:bookmarkStart w:id="214" w:name="_Toc493674550"/>
      <w:bookmarkStart w:id="215" w:name="_Toc525907670"/>
      <w:bookmarkStart w:id="216" w:name="_Toc522292034"/>
      <w:bookmarkStart w:id="217" w:name="_Toc288638126"/>
      <w:bookmarkStart w:id="218" w:name="_Toc27232"/>
      <w:bookmarkStart w:id="219" w:name="_Toc7997"/>
    </w:p>
    <w:p>
      <w:pPr>
        <w:keepNext/>
        <w:keepLines w:val="0"/>
        <w:pageBreakBefore w:val="0"/>
        <w:widowControl/>
        <w:kinsoku/>
        <w:wordWrap/>
        <w:overflowPunct/>
        <w:topLinePunct w:val="0"/>
        <w:autoSpaceDE/>
        <w:autoSpaceDN/>
        <w:bidi w:val="0"/>
        <w:adjustRightInd/>
        <w:snapToGrid/>
        <w:spacing w:after="0" w:line="360" w:lineRule="auto"/>
        <w:jc w:val="left"/>
        <w:textAlignment w:val="auto"/>
        <w:outlineLvl w:val="3"/>
        <w:rPr>
          <w:rFonts w:hint="eastAsia" w:ascii="宋体" w:hAnsi="宋体" w:eastAsia="宋体" w:cs="宋体"/>
          <w:b/>
          <w:bCs/>
          <w:color w:val="auto"/>
          <w:kern w:val="0"/>
          <w:sz w:val="21"/>
          <w:szCs w:val="21"/>
          <w:highlight w:val="none"/>
          <w:lang w:bidi="en-US"/>
        </w:rPr>
      </w:pPr>
      <w:r>
        <w:rPr>
          <w:rFonts w:hint="eastAsia" w:ascii="宋体" w:hAnsi="宋体" w:eastAsia="宋体" w:cs="宋体"/>
          <w:b/>
          <w:bCs/>
          <w:color w:val="auto"/>
          <w:kern w:val="0"/>
          <w:sz w:val="21"/>
          <w:szCs w:val="21"/>
          <w:highlight w:val="none"/>
          <w:lang w:bidi="en-US"/>
        </w:rPr>
        <w:t>5.</w:t>
      </w:r>
      <w:r>
        <w:rPr>
          <w:rFonts w:hint="eastAsia" w:ascii="宋体" w:hAnsi="宋体" w:eastAsia="宋体" w:cs="宋体"/>
          <w:b/>
          <w:bCs/>
          <w:color w:val="auto"/>
          <w:kern w:val="0"/>
          <w:sz w:val="21"/>
          <w:szCs w:val="21"/>
          <w:highlight w:val="none"/>
          <w:lang w:val="en-US" w:eastAsia="zh-CN" w:bidi="en-US"/>
        </w:rPr>
        <w:t>4</w:t>
      </w:r>
      <w:r>
        <w:rPr>
          <w:rFonts w:hint="eastAsia" w:ascii="宋体" w:hAnsi="宋体" w:eastAsia="宋体" w:cs="宋体"/>
          <w:b/>
          <w:bCs/>
          <w:color w:val="auto"/>
          <w:kern w:val="0"/>
          <w:sz w:val="21"/>
          <w:szCs w:val="21"/>
          <w:highlight w:val="none"/>
          <w:lang w:bidi="en-US"/>
        </w:rPr>
        <w:t>投标文件不予受理情形</w:t>
      </w:r>
    </w:p>
    <w:p>
      <w:pPr>
        <w:keepLines w:val="0"/>
        <w:pageBreakBefore w:val="0"/>
        <w:kinsoku/>
        <w:wordWrap/>
        <w:overflowPunct/>
        <w:topLinePunct w:val="0"/>
        <w:autoSpaceDE/>
        <w:autoSpaceDN/>
        <w:bidi w:val="0"/>
        <w:adjustRightInd/>
        <w:snapToGrid/>
        <w:spacing w:after="0" w:line="360" w:lineRule="auto"/>
        <w:ind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投标文件有下列情形之一的，招标人不予受理：</w:t>
      </w:r>
    </w:p>
    <w:p>
      <w:pPr>
        <w:keepLines w:val="0"/>
        <w:pageBreakBefore w:val="0"/>
        <w:kinsoku/>
        <w:wordWrap/>
        <w:overflowPunct/>
        <w:topLinePunct w:val="0"/>
        <w:autoSpaceDE/>
        <w:autoSpaceDN/>
        <w:bidi w:val="0"/>
        <w:adjustRightInd/>
        <w:snapToGrid/>
        <w:spacing w:after="0" w:line="360" w:lineRule="auto"/>
        <w:ind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（1）在投标人须知前附表</w:t>
      </w:r>
      <w:r>
        <w:rPr>
          <w:color w:val="auto"/>
          <w:highlight w:val="none"/>
        </w:rPr>
        <w:commentReference w:id="3"/>
      </w:r>
      <w:r>
        <w:rPr>
          <w:rFonts w:hint="eastAsia" w:ascii="宋体" w:hAnsi="宋体" w:cs="宋体"/>
          <w:color w:val="auto"/>
          <w:sz w:val="21"/>
          <w:szCs w:val="21"/>
          <w:highlight w:val="none"/>
          <w:lang w:val="en-US" w:eastAsia="zh-CN"/>
        </w:rPr>
        <w:t>4.2.2</w:t>
      </w:r>
      <w:r>
        <w:rPr>
          <w:rFonts w:hint="eastAsia" w:ascii="宋体" w:hAnsi="宋体" w:eastAsia="宋体" w:cs="宋体"/>
          <w:color w:val="auto"/>
          <w:sz w:val="21"/>
          <w:szCs w:val="21"/>
          <w:highlight w:val="none"/>
        </w:rPr>
        <w:t>项规定的“投标截止时间”以后逾期网上上传或现场送达的；</w:t>
      </w:r>
    </w:p>
    <w:p>
      <w:pPr>
        <w:keepLines w:val="0"/>
        <w:pageBreakBefore w:val="0"/>
        <w:kinsoku/>
        <w:wordWrap/>
        <w:overflowPunct/>
        <w:topLinePunct w:val="0"/>
        <w:autoSpaceDE/>
        <w:autoSpaceDN/>
        <w:bidi w:val="0"/>
        <w:adjustRightInd/>
        <w:snapToGrid/>
        <w:spacing w:after="0" w:line="360" w:lineRule="auto"/>
        <w:ind w:firstLine="424" w:firstLine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（2）不符合投标文件密封要求的；</w:t>
      </w:r>
    </w:p>
    <w:p>
      <w:pPr>
        <w:keepLines w:val="0"/>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（3）投标人提交的电子标书格式不符合3.7.1项要求或开标后无法读取导入的。</w:t>
      </w:r>
    </w:p>
    <w:p>
      <w:pPr>
        <w:keepNext/>
        <w:keepLines w:val="0"/>
        <w:pageBreakBefore w:val="0"/>
        <w:widowControl/>
        <w:kinsoku/>
        <w:wordWrap/>
        <w:overflowPunct/>
        <w:topLinePunct w:val="0"/>
        <w:autoSpaceDE/>
        <w:autoSpaceDN/>
        <w:bidi w:val="0"/>
        <w:adjustRightInd/>
        <w:snapToGrid/>
        <w:spacing w:after="0" w:line="360" w:lineRule="auto"/>
        <w:jc w:val="left"/>
        <w:textAlignment w:val="auto"/>
        <w:outlineLvl w:val="3"/>
        <w:rPr>
          <w:rFonts w:hint="eastAsia" w:ascii="宋体" w:hAnsi="宋体" w:eastAsia="宋体" w:cs="宋体"/>
          <w:b/>
          <w:bCs/>
          <w:color w:val="auto"/>
          <w:kern w:val="0"/>
          <w:sz w:val="21"/>
          <w:szCs w:val="21"/>
          <w:highlight w:val="none"/>
          <w:lang w:bidi="en-US"/>
        </w:rPr>
      </w:pPr>
      <w:r>
        <w:rPr>
          <w:rFonts w:hint="eastAsia" w:ascii="宋体" w:hAnsi="宋体" w:eastAsia="宋体" w:cs="宋体"/>
          <w:b/>
          <w:bCs/>
          <w:color w:val="auto"/>
          <w:kern w:val="0"/>
          <w:sz w:val="21"/>
          <w:szCs w:val="21"/>
          <w:highlight w:val="none"/>
          <w:lang w:bidi="en-US"/>
        </w:rPr>
        <w:t>5.</w:t>
      </w:r>
      <w:r>
        <w:rPr>
          <w:rFonts w:hint="eastAsia" w:ascii="宋体" w:hAnsi="宋体" w:eastAsia="宋体" w:cs="宋体"/>
          <w:b/>
          <w:bCs/>
          <w:color w:val="auto"/>
          <w:kern w:val="0"/>
          <w:sz w:val="21"/>
          <w:szCs w:val="21"/>
          <w:highlight w:val="none"/>
          <w:lang w:val="en-US" w:eastAsia="zh-CN" w:bidi="en-US"/>
        </w:rPr>
        <w:t>5</w:t>
      </w:r>
      <w:r>
        <w:rPr>
          <w:rFonts w:hint="eastAsia" w:ascii="宋体" w:hAnsi="宋体" w:eastAsia="宋体" w:cs="宋体"/>
          <w:b/>
          <w:bCs/>
          <w:color w:val="auto"/>
          <w:kern w:val="0"/>
          <w:sz w:val="21"/>
          <w:szCs w:val="21"/>
          <w:highlight w:val="none"/>
          <w:lang w:bidi="en-US"/>
        </w:rPr>
        <w:t>开标异议</w:t>
      </w:r>
    </w:p>
    <w:p>
      <w:pPr>
        <w:pageBreakBefore w:val="0"/>
        <w:widowControl/>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sz w:val="21"/>
          <w:szCs w:val="21"/>
          <w:highlight w:val="none"/>
        </w:rPr>
        <w:t>投标人对开标有异议的，应当在</w:t>
      </w:r>
      <w:r>
        <w:rPr>
          <w:rFonts w:hint="eastAsia" w:ascii="宋体" w:hAnsi="宋体" w:eastAsia="宋体" w:cs="宋体"/>
          <w:color w:val="auto"/>
          <w:sz w:val="21"/>
          <w:szCs w:val="21"/>
          <w:highlight w:val="none"/>
          <w:lang w:val="en-US" w:eastAsia="zh-CN"/>
        </w:rPr>
        <w:t>现时线上</w:t>
      </w:r>
      <w:r>
        <w:rPr>
          <w:rFonts w:hint="eastAsia" w:ascii="宋体" w:hAnsi="宋体" w:eastAsia="宋体" w:cs="宋体"/>
          <w:color w:val="auto"/>
          <w:sz w:val="21"/>
          <w:szCs w:val="21"/>
          <w:highlight w:val="none"/>
        </w:rPr>
        <w:t>提出，招标人应当当场作出答复，并制作记录。</w:t>
      </w:r>
    </w:p>
    <w:p>
      <w:pPr>
        <w:pageBreakBefore w:val="0"/>
        <w:widowControl/>
        <w:kinsoku/>
        <w:wordWrap/>
        <w:overflowPunct/>
        <w:topLinePunct w:val="0"/>
        <w:autoSpaceDE w:val="0"/>
        <w:autoSpaceDN w:val="0"/>
        <w:bidi w:val="0"/>
        <w:adjustRightInd w:val="0"/>
        <w:snapToGrid w:val="0"/>
        <w:spacing w:line="360" w:lineRule="auto"/>
        <w:jc w:val="left"/>
        <w:textAlignment w:val="auto"/>
        <w:outlineLvl w:val="1"/>
        <w:rPr>
          <w:rFonts w:hint="eastAsia" w:ascii="宋体" w:hAnsi="宋体" w:eastAsia="宋体" w:cs="宋体"/>
          <w:b/>
          <w:bCs w:val="0"/>
          <w:color w:val="auto"/>
          <w:kern w:val="2"/>
          <w:sz w:val="21"/>
          <w:szCs w:val="21"/>
          <w:highlight w:val="none"/>
          <w:lang w:val="en-US" w:eastAsia="zh-CN" w:bidi="ar-SA"/>
        </w:rPr>
      </w:pPr>
      <w:bookmarkStart w:id="220" w:name="_Toc7969"/>
      <w:bookmarkStart w:id="221" w:name="_Toc2059"/>
      <w:r>
        <w:rPr>
          <w:rFonts w:hint="eastAsia" w:ascii="宋体" w:hAnsi="宋体" w:eastAsia="宋体" w:cs="宋体"/>
          <w:b/>
          <w:bCs/>
          <w:color w:val="auto"/>
          <w:kern w:val="2"/>
          <w:sz w:val="21"/>
          <w:szCs w:val="21"/>
          <w:highlight w:val="none"/>
          <w:lang w:val="en-US" w:eastAsia="zh-CN" w:bidi="ar-SA"/>
        </w:rPr>
        <w:t>6. 评标</w:t>
      </w:r>
      <w:bookmarkEnd w:id="209"/>
      <w:bookmarkEnd w:id="210"/>
      <w:bookmarkEnd w:id="211"/>
      <w:bookmarkEnd w:id="212"/>
      <w:bookmarkEnd w:id="213"/>
      <w:bookmarkEnd w:id="214"/>
      <w:bookmarkEnd w:id="215"/>
      <w:bookmarkEnd w:id="216"/>
      <w:bookmarkEnd w:id="217"/>
      <w:bookmarkEnd w:id="218"/>
      <w:bookmarkEnd w:id="219"/>
      <w:bookmarkEnd w:id="220"/>
      <w:bookmarkEnd w:id="221"/>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6.1 评标委员会</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评标由招标人依法组建的评标委员会负责。评标委员会由招标人熟悉相关业务的代表，以及有关技术、经济等方面的专家组成。详见投标人须知前附表。</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 评标委员会成员有下列情形之一的，应当回避：</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（1）招标人或投标人的主要负责人的近亲属；</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（2）项目主管部门或者行政监督部门的人员；</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（3）与投标人有经济利益关系，可能影响对投标公正评审的；</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（4）曾因在招标、评标以及其他与招标投标有关活动中从事违法行为而受过行政处罚或刑事处罚的。</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6.1.3 评审委员会成员应当客观、公正地履行职责，遵守职业道德，对所提出的评审意见承担个人责任。评审委员会成员和与评标活动有关的工作人员不得透露对投标文件的评审和比较、成交候选人的推荐情况以及与评标有关的其他情况。</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222" w:name="_Toc152042340"/>
      <w:bookmarkStart w:id="223" w:name="_Toc144974532"/>
      <w:bookmarkStart w:id="224" w:name="_Toc152045564"/>
      <w:bookmarkStart w:id="225" w:name="_Toc179632582"/>
      <w:r>
        <w:rPr>
          <w:rFonts w:hint="eastAsia" w:ascii="宋体" w:hAnsi="宋体" w:eastAsia="宋体" w:cs="宋体"/>
          <w:b/>
          <w:bCs/>
          <w:color w:val="auto"/>
          <w:spacing w:val="20"/>
          <w:sz w:val="21"/>
          <w:szCs w:val="21"/>
          <w:highlight w:val="none"/>
          <w:lang w:val="zh-CN"/>
        </w:rPr>
        <w:t>6.2 评标原则</w:t>
      </w:r>
      <w:bookmarkEnd w:id="222"/>
      <w:bookmarkEnd w:id="223"/>
      <w:bookmarkEnd w:id="224"/>
      <w:bookmarkEnd w:id="225"/>
      <w:r>
        <w:rPr>
          <w:rFonts w:hint="eastAsia" w:ascii="宋体" w:hAnsi="宋体" w:eastAsia="宋体" w:cs="宋体"/>
          <w:b/>
          <w:bCs/>
          <w:color w:val="auto"/>
          <w:spacing w:val="20"/>
          <w:sz w:val="21"/>
          <w:szCs w:val="21"/>
          <w:highlight w:val="none"/>
          <w:lang w:val="zh-CN"/>
        </w:rPr>
        <w:tab/>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9"/>
        <w:rPr>
          <w:rFonts w:hint="eastAsia" w:ascii="宋体" w:hAnsi="宋体" w:eastAsia="宋体" w:cs="宋体"/>
          <w:b/>
          <w:bCs/>
          <w:color w:val="auto"/>
          <w:spacing w:val="20"/>
          <w:sz w:val="21"/>
          <w:szCs w:val="21"/>
          <w:highlight w:val="none"/>
          <w:lang w:val="zh-CN"/>
        </w:rPr>
      </w:pPr>
      <w:bookmarkStart w:id="226" w:name="_Toc144974533"/>
      <w:bookmarkStart w:id="227" w:name="_Toc152045565"/>
      <w:bookmarkStart w:id="228" w:name="_Toc179632583"/>
      <w:bookmarkStart w:id="229" w:name="_Toc152042341"/>
      <w:r>
        <w:rPr>
          <w:rFonts w:hint="eastAsia" w:ascii="宋体" w:hAnsi="宋体" w:eastAsia="宋体" w:cs="宋体"/>
          <w:b/>
          <w:bCs/>
          <w:color w:val="auto"/>
          <w:spacing w:val="20"/>
          <w:sz w:val="21"/>
          <w:szCs w:val="21"/>
          <w:highlight w:val="none"/>
          <w:lang w:val="zh-CN"/>
        </w:rPr>
        <w:t>6.3 评标</w:t>
      </w:r>
      <w:bookmarkEnd w:id="226"/>
      <w:bookmarkEnd w:id="227"/>
      <w:bookmarkEnd w:id="228"/>
      <w:bookmarkEnd w:id="229"/>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评标委员会按照</w:t>
      </w:r>
      <w:r>
        <w:rPr>
          <w:rFonts w:hint="eastAsia" w:ascii="宋体" w:hAnsi="宋体" w:eastAsia="宋体" w:cs="宋体"/>
          <w:color w:val="auto"/>
          <w:sz w:val="21"/>
          <w:szCs w:val="21"/>
          <w:highlight w:val="none"/>
          <w:lang w:eastAsia="zh-CN"/>
        </w:rPr>
        <w:t>“第三章  评标方法”</w:t>
      </w:r>
      <w:r>
        <w:rPr>
          <w:rFonts w:hint="eastAsia" w:ascii="宋体" w:hAnsi="宋体" w:eastAsia="宋体" w:cs="宋体"/>
          <w:color w:val="auto"/>
          <w:sz w:val="21"/>
          <w:szCs w:val="21"/>
          <w:highlight w:val="none"/>
        </w:rPr>
        <w:t>规定的方法、评审因素、标准和程序对投标文件进行评审。</w:t>
      </w:r>
      <w:r>
        <w:rPr>
          <w:rFonts w:hint="eastAsia" w:ascii="宋体" w:hAnsi="宋体" w:eastAsia="宋体" w:cs="宋体"/>
          <w:color w:val="auto"/>
          <w:sz w:val="21"/>
          <w:szCs w:val="21"/>
          <w:highlight w:val="none"/>
          <w:lang w:eastAsia="zh-CN"/>
        </w:rPr>
        <w:t>“第三章  评标方法”</w:t>
      </w:r>
      <w:r>
        <w:rPr>
          <w:rFonts w:hint="eastAsia" w:ascii="宋体" w:hAnsi="宋体" w:eastAsia="宋体" w:cs="宋体"/>
          <w:color w:val="auto"/>
          <w:sz w:val="21"/>
          <w:szCs w:val="21"/>
          <w:highlight w:val="none"/>
        </w:rPr>
        <w:t>没有规定的方法、评审因素和标准，不作为评标依据。</w:t>
      </w:r>
    </w:p>
    <w:p>
      <w:pPr>
        <w:keepNext/>
        <w:keepLines/>
        <w:pageBreakBefore w:val="0"/>
        <w:kinsoku/>
        <w:wordWrap/>
        <w:overflowPunct/>
        <w:topLinePunct w:val="0"/>
        <w:bidi w:val="0"/>
        <w:adjustRightInd w:val="0"/>
        <w:snapToGrid w:val="0"/>
        <w:spacing w:before="0" w:after="0" w:line="360" w:lineRule="auto"/>
        <w:ind w:left="567" w:hanging="567"/>
        <w:textAlignment w:val="auto"/>
        <w:outlineLvl w:val="1"/>
        <w:rPr>
          <w:rFonts w:hint="eastAsia" w:ascii="宋体" w:hAnsi="宋体" w:eastAsia="宋体" w:cs="宋体"/>
          <w:b/>
          <w:bCs w:val="0"/>
          <w:color w:val="auto"/>
          <w:kern w:val="2"/>
          <w:sz w:val="21"/>
          <w:szCs w:val="21"/>
          <w:highlight w:val="none"/>
          <w:lang w:val="en-US" w:eastAsia="zh-CN" w:bidi="ar-SA"/>
        </w:rPr>
      </w:pPr>
      <w:bookmarkStart w:id="230" w:name="_Toc288638127"/>
      <w:bookmarkStart w:id="231" w:name="_Toc23248"/>
      <w:bookmarkStart w:id="232" w:name="_Toc522291778"/>
      <w:bookmarkStart w:id="233" w:name="_Toc525907671"/>
      <w:bookmarkStart w:id="234" w:name="_Toc468016651"/>
      <w:bookmarkStart w:id="235" w:name="_Toc13497"/>
      <w:bookmarkStart w:id="236" w:name="_Toc4493"/>
      <w:bookmarkStart w:id="237" w:name="_Toc493674551"/>
      <w:bookmarkStart w:id="238" w:name="_Toc4265"/>
      <w:bookmarkStart w:id="239" w:name="_Toc522292035"/>
      <w:bookmarkStart w:id="240" w:name="_Toc425501344"/>
      <w:bookmarkStart w:id="241" w:name="_Toc3861"/>
      <w:bookmarkStart w:id="242" w:name="_Toc522261373"/>
      <w:r>
        <w:rPr>
          <w:rFonts w:hint="eastAsia" w:ascii="宋体" w:hAnsi="宋体" w:eastAsia="宋体" w:cs="宋体"/>
          <w:b/>
          <w:bCs/>
          <w:color w:val="auto"/>
          <w:kern w:val="2"/>
          <w:sz w:val="21"/>
          <w:szCs w:val="21"/>
          <w:highlight w:val="none"/>
          <w:lang w:val="en-US" w:eastAsia="zh-CN" w:bidi="ar-SA"/>
        </w:rPr>
        <w:t>7. 合同授予</w:t>
      </w:r>
      <w:bookmarkEnd w:id="230"/>
      <w:bookmarkEnd w:id="231"/>
      <w:bookmarkEnd w:id="232"/>
      <w:bookmarkEnd w:id="233"/>
      <w:bookmarkEnd w:id="234"/>
      <w:bookmarkEnd w:id="235"/>
      <w:bookmarkEnd w:id="236"/>
      <w:bookmarkEnd w:id="237"/>
      <w:bookmarkEnd w:id="238"/>
      <w:bookmarkEnd w:id="239"/>
      <w:bookmarkEnd w:id="240"/>
      <w:bookmarkEnd w:id="241"/>
      <w:bookmarkEnd w:id="242"/>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7.1 定标方式</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en-US" w:eastAsia="zh-CN"/>
        </w:rPr>
      </w:pPr>
      <w:bookmarkStart w:id="243" w:name="_Hlk512263614"/>
      <w:bookmarkStart w:id="244" w:name="_Hlk515463653"/>
      <w:r>
        <w:rPr>
          <w:rFonts w:hint="eastAsia" w:ascii="宋体" w:hAnsi="宋体" w:eastAsia="宋体" w:cs="宋体"/>
          <w:color w:val="auto"/>
          <w:sz w:val="21"/>
          <w:szCs w:val="21"/>
          <w:highlight w:val="none"/>
          <w:lang w:val="en-US" w:eastAsia="zh-CN"/>
        </w:rPr>
        <w:t>7.1.1 定标方式：根据评标委员会推荐的中标候选人确定排名第一的中标候选人为中标人</w:t>
      </w:r>
      <w:r>
        <w:rPr>
          <w:rFonts w:hint="eastAsia" w:ascii="宋体" w:hAnsi="宋体" w:eastAsia="宋体" w:cs="宋体"/>
          <w:color w:val="auto"/>
          <w:sz w:val="21"/>
          <w:szCs w:val="21"/>
          <w:highlight w:val="none"/>
          <w:lang w:val="zh-CN"/>
        </w:rPr>
        <w:t>。</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zh-CN"/>
        </w:rPr>
        <w:t>7.1.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 xml:space="preserve"> </w:t>
      </w:r>
      <w:bookmarkStart w:id="245" w:name="_Hlk34034968"/>
      <w:bookmarkStart w:id="246" w:name="_Hlk515529424"/>
      <w:r>
        <w:rPr>
          <w:rFonts w:hint="eastAsia" w:ascii="宋体" w:hAnsi="宋体" w:eastAsia="宋体" w:cs="宋体"/>
          <w:color w:val="auto"/>
          <w:kern w:val="0"/>
          <w:sz w:val="21"/>
          <w:szCs w:val="21"/>
          <w:highlight w:val="none"/>
        </w:rPr>
        <w:t>招标人将根据评标委员会推荐的中标候选人确定排名第一的中标候选人为中标人。排名第一的中标候选人放弃中标、因不可抗力不能履行合同、不按照招标文件要求提交</w:t>
      </w:r>
      <w:r>
        <w:rPr>
          <w:rFonts w:hint="eastAsia" w:ascii="宋体" w:hAnsi="宋体" w:eastAsia="宋体" w:cs="宋体"/>
          <w:color w:val="auto"/>
          <w:kern w:val="0"/>
          <w:sz w:val="21"/>
          <w:szCs w:val="21"/>
          <w:highlight w:val="none"/>
          <w:lang w:eastAsia="zh-CN"/>
        </w:rPr>
        <w:t>履约保证</w:t>
      </w:r>
      <w:r>
        <w:rPr>
          <w:rFonts w:hint="eastAsia" w:ascii="宋体" w:hAnsi="宋体" w:eastAsia="宋体" w:cs="宋体"/>
          <w:color w:val="auto"/>
          <w:kern w:val="0"/>
          <w:sz w:val="21"/>
          <w:szCs w:val="21"/>
          <w:highlight w:val="none"/>
        </w:rPr>
        <w:t>，或被查实存在影响中标结果的违法行为情形等，或因其他原因被取消中标资格或中标候选人资格，不符合招标文件规定的中标条件的，招标人可按照评标委员会提出的中标候选人名单排序依次确定其他中标候选人为中标人</w:t>
      </w:r>
      <w:bookmarkStart w:id="247" w:name="_Hlk5624979"/>
      <w:r>
        <w:rPr>
          <w:rFonts w:hint="eastAsia" w:ascii="宋体" w:hAnsi="宋体" w:eastAsia="宋体" w:cs="宋体"/>
          <w:color w:val="auto"/>
          <w:kern w:val="0"/>
          <w:sz w:val="21"/>
          <w:szCs w:val="21"/>
          <w:highlight w:val="none"/>
        </w:rPr>
        <w:t>或者</w:t>
      </w:r>
      <w:r>
        <w:rPr>
          <w:rFonts w:hint="eastAsia" w:ascii="宋体" w:hAnsi="宋体" w:eastAsia="宋体" w:cs="宋体"/>
          <w:color w:val="auto"/>
          <w:sz w:val="21"/>
          <w:szCs w:val="21"/>
          <w:highlight w:val="none"/>
        </w:rPr>
        <w:t>重新招标</w:t>
      </w:r>
      <w:bookmarkEnd w:id="247"/>
      <w:r>
        <w:rPr>
          <w:rFonts w:hint="eastAsia" w:ascii="宋体" w:hAnsi="宋体" w:eastAsia="宋体" w:cs="宋体"/>
          <w:color w:val="auto"/>
          <w:kern w:val="0"/>
          <w:sz w:val="21"/>
          <w:szCs w:val="21"/>
          <w:highlight w:val="none"/>
        </w:rPr>
        <w:t>。</w:t>
      </w:r>
      <w:bookmarkEnd w:id="245"/>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详见投标人须知前附表</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存在投标人须知前附表规定的情形，招标人将按照评标委员会提出的中标候选人名单排序依次确定其他中标候选人为中标人。若中标候选人均出现须知前附表规定的情形，招标人可以重新招标。</w:t>
      </w:r>
    </w:p>
    <w:bookmarkEnd w:id="243"/>
    <w:bookmarkEnd w:id="244"/>
    <w:bookmarkEnd w:id="246"/>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248" w:name="_Toc152042344"/>
      <w:bookmarkStart w:id="249" w:name="_Toc144974536"/>
      <w:bookmarkStart w:id="250" w:name="_Toc152045568"/>
      <w:bookmarkStart w:id="251" w:name="_Toc179632586"/>
      <w:r>
        <w:rPr>
          <w:rFonts w:hint="eastAsia" w:ascii="宋体" w:hAnsi="宋体" w:eastAsia="宋体" w:cs="宋体"/>
          <w:b/>
          <w:bCs/>
          <w:color w:val="auto"/>
          <w:spacing w:val="20"/>
          <w:sz w:val="21"/>
          <w:szCs w:val="21"/>
          <w:highlight w:val="none"/>
          <w:lang w:val="zh-CN"/>
        </w:rPr>
        <w:t>7.2 中标通知</w:t>
      </w:r>
      <w:bookmarkEnd w:id="248"/>
      <w:bookmarkEnd w:id="249"/>
      <w:bookmarkEnd w:id="250"/>
      <w:bookmarkEnd w:id="251"/>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eastAsia="zh-CN"/>
        </w:rPr>
      </w:pPr>
      <w:bookmarkStart w:id="252" w:name="_Hlk512954915"/>
      <w:bookmarkStart w:id="253" w:name="_Hlk512263657"/>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在中标公示期满后3天发出中标通知书，同时将中标结果通知未中标的投标人</w:t>
      </w:r>
      <w:r>
        <w:rPr>
          <w:rFonts w:hint="eastAsia" w:ascii="宋体" w:hAnsi="宋体" w:cs="宋体"/>
          <w:color w:val="auto"/>
          <w:sz w:val="21"/>
          <w:szCs w:val="21"/>
          <w:highlight w:val="none"/>
          <w:lang w:eastAsia="zh-CN"/>
        </w:rPr>
        <w:t>。</w:t>
      </w:r>
    </w:p>
    <w:bookmarkEnd w:id="252"/>
    <w:bookmarkEnd w:id="253"/>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254" w:name="_Toc179632587"/>
      <w:bookmarkStart w:id="255" w:name="_Toc152045569"/>
      <w:bookmarkStart w:id="256" w:name="_Toc144974537"/>
      <w:bookmarkStart w:id="257" w:name="_Toc152042345"/>
      <w:r>
        <w:rPr>
          <w:rFonts w:hint="eastAsia" w:ascii="宋体" w:hAnsi="宋体" w:eastAsia="宋体" w:cs="宋体"/>
          <w:b/>
          <w:bCs/>
          <w:color w:val="auto"/>
          <w:spacing w:val="20"/>
          <w:sz w:val="21"/>
          <w:szCs w:val="21"/>
          <w:highlight w:val="none"/>
          <w:lang w:val="zh-CN"/>
        </w:rPr>
        <w:t xml:space="preserve">7.3 </w:t>
      </w:r>
      <w:bookmarkEnd w:id="254"/>
      <w:bookmarkEnd w:id="255"/>
      <w:bookmarkEnd w:id="256"/>
      <w:bookmarkEnd w:id="257"/>
      <w:r>
        <w:rPr>
          <w:rFonts w:hint="eastAsia" w:ascii="宋体" w:hAnsi="宋体" w:eastAsia="宋体" w:cs="宋体"/>
          <w:b/>
          <w:bCs/>
          <w:color w:val="auto"/>
          <w:spacing w:val="20"/>
          <w:sz w:val="21"/>
          <w:szCs w:val="21"/>
          <w:highlight w:val="none"/>
          <w:lang w:val="zh-CN"/>
        </w:rPr>
        <w:t>履约保证</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bookmarkStart w:id="258" w:name="_Hlk512954940"/>
      <w:r>
        <w:rPr>
          <w:rFonts w:hint="eastAsia" w:ascii="宋体" w:hAnsi="宋体" w:eastAsia="宋体" w:cs="宋体"/>
          <w:color w:val="auto"/>
          <w:sz w:val="21"/>
          <w:szCs w:val="21"/>
          <w:highlight w:val="none"/>
        </w:rPr>
        <w:t>7.3.1</w:t>
      </w:r>
      <w:bookmarkStart w:id="259" w:name="_Hlk512263700"/>
      <w:r>
        <w:rPr>
          <w:rFonts w:hint="eastAsia" w:ascii="宋体" w:hAnsi="宋体" w:eastAsia="宋体" w:cs="宋体"/>
          <w:color w:val="auto"/>
          <w:sz w:val="21"/>
          <w:szCs w:val="21"/>
          <w:highlight w:val="none"/>
        </w:rPr>
        <w:t xml:space="preserve"> 在签订合同前，中标人应按投标人须知前附表规定的金额、担保形式等要求和招标文件</w:t>
      </w:r>
      <w:r>
        <w:rPr>
          <w:rFonts w:hint="eastAsia" w:ascii="宋体" w:hAnsi="宋体" w:eastAsia="宋体" w:cs="宋体"/>
          <w:color w:val="auto"/>
          <w:sz w:val="21"/>
          <w:szCs w:val="21"/>
          <w:highlight w:val="none"/>
          <w:lang w:eastAsia="zh-CN"/>
        </w:rPr>
        <w:t>“第五章 合同格式及主要条款”</w:t>
      </w:r>
      <w:r>
        <w:rPr>
          <w:rFonts w:hint="eastAsia" w:ascii="宋体" w:hAnsi="宋体" w:eastAsia="宋体" w:cs="宋体"/>
          <w:color w:val="auto"/>
          <w:sz w:val="21"/>
          <w:szCs w:val="21"/>
          <w:highlight w:val="none"/>
        </w:rPr>
        <w:t>规定的</w:t>
      </w:r>
      <w:r>
        <w:rPr>
          <w:rFonts w:hint="eastAsia" w:ascii="宋体" w:hAnsi="宋体" w:eastAsia="宋体" w:cs="宋体"/>
          <w:color w:val="auto"/>
          <w:sz w:val="21"/>
          <w:szCs w:val="21"/>
          <w:highlight w:val="none"/>
          <w:lang w:eastAsia="zh-CN"/>
        </w:rPr>
        <w:t>履约保证</w:t>
      </w:r>
      <w:r>
        <w:rPr>
          <w:rFonts w:hint="eastAsia" w:ascii="宋体" w:hAnsi="宋体" w:eastAsia="宋体" w:cs="宋体"/>
          <w:color w:val="auto"/>
          <w:sz w:val="21"/>
          <w:szCs w:val="21"/>
          <w:highlight w:val="none"/>
        </w:rPr>
        <w:t>格式向招标人提交</w:t>
      </w:r>
      <w:r>
        <w:rPr>
          <w:rFonts w:hint="eastAsia" w:ascii="宋体" w:hAnsi="宋体" w:eastAsia="宋体" w:cs="宋体"/>
          <w:color w:val="auto"/>
          <w:sz w:val="21"/>
          <w:szCs w:val="21"/>
          <w:highlight w:val="none"/>
          <w:lang w:eastAsia="zh-CN"/>
        </w:rPr>
        <w:t>履约保证</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履约保证</w:t>
      </w:r>
      <w:r>
        <w:rPr>
          <w:rFonts w:hint="eastAsia" w:ascii="宋体" w:hAnsi="宋体" w:eastAsia="宋体" w:cs="宋体"/>
          <w:color w:val="auto"/>
          <w:sz w:val="21"/>
          <w:szCs w:val="21"/>
          <w:highlight w:val="none"/>
        </w:rPr>
        <w:t>应符合投标人须知前附表规定的金额、担保形式、提交时间、有效期和招标文件</w:t>
      </w:r>
      <w:r>
        <w:rPr>
          <w:rFonts w:hint="eastAsia" w:ascii="宋体" w:hAnsi="宋体" w:eastAsia="宋体" w:cs="宋体"/>
          <w:color w:val="auto"/>
          <w:sz w:val="21"/>
          <w:szCs w:val="21"/>
          <w:highlight w:val="none"/>
          <w:lang w:eastAsia="zh-CN"/>
        </w:rPr>
        <w:t>“第五章 合同格式及主要条款”</w:t>
      </w:r>
      <w:r>
        <w:rPr>
          <w:rFonts w:hint="eastAsia" w:ascii="宋体" w:hAnsi="宋体" w:eastAsia="宋体" w:cs="宋体"/>
          <w:color w:val="auto"/>
          <w:sz w:val="21"/>
          <w:szCs w:val="21"/>
          <w:highlight w:val="none"/>
        </w:rPr>
        <w:t>规定的</w:t>
      </w:r>
      <w:r>
        <w:rPr>
          <w:rFonts w:hint="eastAsia" w:ascii="宋体" w:hAnsi="宋体" w:eastAsia="宋体" w:cs="宋体"/>
          <w:color w:val="auto"/>
          <w:sz w:val="21"/>
          <w:szCs w:val="21"/>
          <w:highlight w:val="none"/>
          <w:lang w:eastAsia="zh-CN"/>
        </w:rPr>
        <w:t>履约保证</w:t>
      </w:r>
      <w:r>
        <w:rPr>
          <w:rFonts w:hint="eastAsia" w:ascii="宋体" w:hAnsi="宋体" w:eastAsia="宋体" w:cs="宋体"/>
          <w:color w:val="auto"/>
          <w:sz w:val="21"/>
          <w:szCs w:val="21"/>
          <w:highlight w:val="none"/>
        </w:rPr>
        <w:t>格式要求。</w:t>
      </w:r>
      <w:bookmarkEnd w:id="259"/>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 </w:t>
      </w:r>
      <w:bookmarkStart w:id="260" w:name="_Hlk512263953"/>
      <w:r>
        <w:rPr>
          <w:rFonts w:hint="eastAsia" w:ascii="宋体" w:hAnsi="宋体" w:eastAsia="宋体" w:cs="宋体"/>
          <w:color w:val="auto"/>
          <w:sz w:val="21"/>
          <w:szCs w:val="21"/>
          <w:highlight w:val="none"/>
        </w:rPr>
        <w:t>中标人不能按本章第7.3.1项要求提交</w:t>
      </w:r>
      <w:r>
        <w:rPr>
          <w:rFonts w:hint="eastAsia" w:ascii="宋体" w:hAnsi="宋体" w:eastAsia="宋体" w:cs="宋体"/>
          <w:color w:val="auto"/>
          <w:sz w:val="21"/>
          <w:szCs w:val="21"/>
          <w:highlight w:val="none"/>
          <w:lang w:eastAsia="zh-CN"/>
        </w:rPr>
        <w:t>履约保证</w:t>
      </w:r>
      <w:r>
        <w:rPr>
          <w:rFonts w:hint="eastAsia" w:ascii="宋体" w:hAnsi="宋体" w:eastAsia="宋体" w:cs="宋体"/>
          <w:color w:val="auto"/>
          <w:sz w:val="21"/>
          <w:szCs w:val="21"/>
          <w:highlight w:val="none"/>
        </w:rPr>
        <w:t>的，或无故未按招标人规定时间和招标人商谈合同的视为放弃中标，其投标保证金不予退还，给招标人造成的损失超过投标保证金数额的，中标人还应当对超过部分予以赔偿。</w:t>
      </w:r>
      <w:bookmarkEnd w:id="258"/>
      <w:bookmarkEnd w:id="260"/>
      <w:r>
        <w:rPr>
          <w:rFonts w:hint="eastAsia" w:ascii="宋体" w:hAnsi="宋体" w:eastAsia="宋体" w:cs="宋体"/>
          <w:color w:val="auto"/>
          <w:kern w:val="0"/>
          <w:sz w:val="21"/>
          <w:szCs w:val="21"/>
          <w:highlight w:val="none"/>
        </w:rPr>
        <w:t>没有提交履约保证金的，应当对招标人的损失承担赔偿责任。</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7.4 签订合同</w:t>
      </w:r>
    </w:p>
    <w:p>
      <w:pPr>
        <w:pageBreakBefore w:val="0"/>
        <w:widowControl/>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lang w:val="zh-CN"/>
        </w:rPr>
      </w:pPr>
      <w:bookmarkStart w:id="261" w:name="_Hlk512954993"/>
      <w:r>
        <w:rPr>
          <w:rFonts w:hint="eastAsia" w:ascii="宋体" w:hAnsi="宋体" w:eastAsia="宋体" w:cs="宋体"/>
          <w:color w:val="auto"/>
          <w:sz w:val="21"/>
          <w:szCs w:val="21"/>
          <w:highlight w:val="none"/>
        </w:rPr>
        <w:t xml:space="preserve">7.4.1 </w:t>
      </w:r>
      <w:bookmarkStart w:id="262" w:name="_Hlk515529466"/>
      <w:r>
        <w:rPr>
          <w:rFonts w:hint="eastAsia" w:ascii="宋体" w:hAnsi="宋体" w:eastAsia="宋体" w:cs="宋体"/>
          <w:color w:val="auto"/>
          <w:sz w:val="21"/>
          <w:szCs w:val="21"/>
          <w:highlight w:val="none"/>
          <w:lang w:val="zh-CN"/>
        </w:rPr>
        <w:t>招标人和中标人应当</w:t>
      </w:r>
      <w:r>
        <w:rPr>
          <w:rFonts w:hint="eastAsia" w:ascii="宋体" w:hAnsi="宋体" w:eastAsia="宋体" w:cs="宋体"/>
          <w:color w:val="auto"/>
          <w:sz w:val="21"/>
          <w:szCs w:val="21"/>
          <w:highlight w:val="none"/>
        </w:rPr>
        <w:t>在投标有效期内以及中标通知书发出之日起30日之内</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在中标人递交履约保函后</w:t>
      </w:r>
      <w:r>
        <w:rPr>
          <w:rFonts w:hint="eastAsia" w:ascii="宋体" w:hAnsi="宋体" w:eastAsia="宋体" w:cs="宋体"/>
          <w:color w:val="auto"/>
          <w:sz w:val="21"/>
          <w:szCs w:val="21"/>
          <w:highlight w:val="none"/>
          <w:lang w:val="zh-CN"/>
        </w:rPr>
        <w:t>根据招标文件和中标人的投标文件订立书面合同。</w:t>
      </w:r>
    </w:p>
    <w:bookmarkEnd w:id="262"/>
    <w:p>
      <w:pPr>
        <w:pageBreakBefore w:val="0"/>
        <w:widowControl/>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7.4.2 </w:t>
      </w:r>
      <w:r>
        <w:rPr>
          <w:rFonts w:hint="eastAsia" w:ascii="宋体" w:hAnsi="宋体" w:eastAsia="宋体" w:cs="宋体"/>
          <w:color w:val="auto"/>
          <w:sz w:val="21"/>
          <w:szCs w:val="21"/>
          <w:highlight w:val="none"/>
          <w:lang w:val="zh-CN"/>
        </w:rPr>
        <w:t>发出中标通知书后，招标人无正当理由拒签合同的，招标人向中标人退还投标保证金，并适当补偿投标人损失。</w:t>
      </w:r>
      <w:r>
        <w:rPr>
          <w:rFonts w:hint="eastAsia" w:ascii="宋体" w:hAnsi="宋体" w:eastAsia="宋体" w:cs="宋体"/>
          <w:color w:val="auto"/>
          <w:sz w:val="21"/>
          <w:szCs w:val="21"/>
          <w:highlight w:val="none"/>
        </w:rPr>
        <w:t xml:space="preserve"> </w:t>
      </w:r>
    </w:p>
    <w:bookmarkEnd w:id="261"/>
    <w:p>
      <w:pPr>
        <w:keepNext/>
        <w:keepLines/>
        <w:pageBreakBefore w:val="0"/>
        <w:kinsoku/>
        <w:wordWrap/>
        <w:overflowPunct/>
        <w:topLinePunct w:val="0"/>
        <w:bidi w:val="0"/>
        <w:adjustRightInd w:val="0"/>
        <w:snapToGrid w:val="0"/>
        <w:spacing w:before="0" w:after="0" w:line="360" w:lineRule="auto"/>
        <w:ind w:left="567" w:hanging="567"/>
        <w:textAlignment w:val="auto"/>
        <w:outlineLvl w:val="1"/>
        <w:rPr>
          <w:rFonts w:hint="eastAsia" w:ascii="宋体" w:hAnsi="宋体" w:eastAsia="宋体" w:cs="宋体"/>
          <w:b/>
          <w:bCs w:val="0"/>
          <w:color w:val="auto"/>
          <w:kern w:val="2"/>
          <w:sz w:val="21"/>
          <w:szCs w:val="21"/>
          <w:highlight w:val="none"/>
          <w:lang w:val="en-US" w:eastAsia="zh-CN" w:bidi="ar-SA"/>
        </w:rPr>
      </w:pPr>
      <w:bookmarkStart w:id="263" w:name="_Toc525907672"/>
      <w:bookmarkStart w:id="264" w:name="_Toc12792"/>
      <w:bookmarkStart w:id="265" w:name="_Toc12202"/>
      <w:bookmarkStart w:id="266" w:name="_Toc468016652"/>
      <w:bookmarkStart w:id="267" w:name="_Toc21111"/>
      <w:bookmarkStart w:id="268" w:name="_Toc22621"/>
      <w:bookmarkStart w:id="269" w:name="_Toc288638128"/>
      <w:bookmarkStart w:id="270" w:name="_Toc522292036"/>
      <w:bookmarkStart w:id="271" w:name="_Toc522291779"/>
      <w:bookmarkStart w:id="272" w:name="_Toc493674552"/>
      <w:bookmarkStart w:id="273" w:name="_Toc425501345"/>
      <w:bookmarkStart w:id="274" w:name="_Toc522261374"/>
      <w:bookmarkStart w:id="275" w:name="_Toc31467"/>
      <w:r>
        <w:rPr>
          <w:rFonts w:hint="eastAsia" w:ascii="宋体" w:hAnsi="宋体" w:eastAsia="宋体" w:cs="宋体"/>
          <w:b/>
          <w:bCs/>
          <w:color w:val="auto"/>
          <w:kern w:val="2"/>
          <w:sz w:val="21"/>
          <w:szCs w:val="21"/>
          <w:highlight w:val="none"/>
          <w:lang w:val="en-US" w:eastAsia="zh-CN" w:bidi="ar-SA"/>
        </w:rPr>
        <w:t xml:space="preserve">8. </w:t>
      </w:r>
      <w:bookmarkStart w:id="276" w:name="_Hlk512955052"/>
      <w:r>
        <w:rPr>
          <w:rFonts w:hint="eastAsia" w:ascii="宋体" w:hAnsi="宋体" w:eastAsia="宋体" w:cs="宋体"/>
          <w:b/>
          <w:bCs/>
          <w:color w:val="auto"/>
          <w:kern w:val="2"/>
          <w:sz w:val="21"/>
          <w:szCs w:val="21"/>
          <w:highlight w:val="none"/>
          <w:lang w:val="en-US" w:eastAsia="zh-CN" w:bidi="ar-SA"/>
        </w:rPr>
        <w:t>重新招标或不再招标</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277" w:name="_Hlk512955045"/>
      <w:r>
        <w:rPr>
          <w:rFonts w:hint="eastAsia" w:ascii="宋体" w:hAnsi="宋体" w:eastAsia="宋体" w:cs="宋体"/>
          <w:b/>
          <w:bCs/>
          <w:color w:val="auto"/>
          <w:spacing w:val="20"/>
          <w:sz w:val="21"/>
          <w:szCs w:val="21"/>
          <w:highlight w:val="none"/>
          <w:lang w:val="zh-CN"/>
        </w:rPr>
        <w:t>8.1 重新招标</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有下列情形之一的，招标人将重新招标：</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rPr>
      </w:pPr>
      <w:bookmarkStart w:id="278" w:name="_Hlk517023844"/>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 投标截止时间止，投标人少于3个的；</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 经评标委员会评审后否决所有投标的</w:t>
      </w:r>
      <w:r>
        <w:rPr>
          <w:rFonts w:hint="eastAsia" w:ascii="宋体" w:hAnsi="宋体" w:eastAsia="宋体" w:cs="宋体"/>
          <w:color w:val="auto"/>
          <w:sz w:val="21"/>
          <w:szCs w:val="21"/>
          <w:highlight w:val="none"/>
          <w:lang w:val="zh-CN"/>
        </w:rPr>
        <w:t>；</w:t>
      </w:r>
    </w:p>
    <w:p>
      <w:pPr>
        <w:pageBreakBefore w:val="0"/>
        <w:widowControl/>
        <w:kinsoku/>
        <w:wordWrap/>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评标委员会否决不合格投标后因有效投标不足3个使得投标明显缺乏竞争，评标委员会决定否决全部投标的；</w:t>
      </w:r>
    </w:p>
    <w:p>
      <w:pPr>
        <w:pageBreakBefore w:val="0"/>
        <w:widowControl/>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 同意延长投标有效期的投标人少于</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个的；</w:t>
      </w:r>
    </w:p>
    <w:p>
      <w:pPr>
        <w:pageBreakBefore w:val="0"/>
        <w:widowControl/>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中标候选人均未与招标人签订合同的；</w:t>
      </w:r>
    </w:p>
    <w:p>
      <w:pPr>
        <w:pageBreakBefore w:val="0"/>
        <w:widowControl/>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lang w:val="zh-CN"/>
        </w:rPr>
      </w:pPr>
      <w:bookmarkStart w:id="279" w:name="_Hlk5625165"/>
      <w:r>
        <w:rPr>
          <w:rFonts w:hint="eastAsia" w:ascii="宋体" w:hAnsi="宋体" w:eastAsia="宋体" w:cs="宋体"/>
          <w:color w:val="auto"/>
          <w:sz w:val="21"/>
          <w:szCs w:val="21"/>
          <w:highlight w:val="none"/>
          <w:lang w:val="zh-CN"/>
        </w:rPr>
        <w:t xml:space="preserve">（6） </w:t>
      </w:r>
      <w:r>
        <w:rPr>
          <w:rFonts w:hint="eastAsia" w:ascii="宋体" w:hAnsi="宋体" w:eastAsia="宋体" w:cs="宋体"/>
          <w:color w:val="auto"/>
          <w:sz w:val="21"/>
          <w:szCs w:val="21"/>
          <w:highlight w:val="none"/>
        </w:rPr>
        <w:t>发生本招标文件规定的其他</w:t>
      </w:r>
      <w:r>
        <w:rPr>
          <w:rFonts w:hint="eastAsia" w:ascii="宋体" w:hAnsi="宋体" w:eastAsia="宋体" w:cs="宋体"/>
          <w:color w:val="auto"/>
          <w:sz w:val="21"/>
          <w:szCs w:val="21"/>
          <w:highlight w:val="none"/>
          <w:lang w:val="zh-CN"/>
        </w:rPr>
        <w:t>重新招标</w:t>
      </w:r>
      <w:r>
        <w:rPr>
          <w:rFonts w:hint="eastAsia" w:ascii="宋体" w:hAnsi="宋体" w:eastAsia="宋体" w:cs="宋体"/>
          <w:color w:val="auto"/>
          <w:sz w:val="21"/>
          <w:szCs w:val="21"/>
          <w:highlight w:val="none"/>
        </w:rPr>
        <w:t>的情形；</w:t>
      </w:r>
    </w:p>
    <w:bookmarkEnd w:id="279"/>
    <w:p>
      <w:pPr>
        <w:pageBreakBefore w:val="0"/>
        <w:widowControl/>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（7） 法律法规规定的其他情形。</w:t>
      </w:r>
    </w:p>
    <w:bookmarkEnd w:id="278"/>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8.2 不再招标</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bookmarkStart w:id="280" w:name="_Hlk515529509"/>
      <w:r>
        <w:rPr>
          <w:rFonts w:hint="eastAsia" w:ascii="宋体" w:hAnsi="宋体" w:eastAsia="宋体" w:cs="宋体"/>
          <w:color w:val="auto"/>
          <w:sz w:val="21"/>
          <w:szCs w:val="21"/>
          <w:highlight w:val="none"/>
          <w:lang w:val="zh-CN"/>
        </w:rPr>
        <w:t>重新招标后，仍出现本章第</w:t>
      </w:r>
      <w:r>
        <w:rPr>
          <w:rFonts w:hint="eastAsia" w:ascii="宋体" w:hAnsi="宋体" w:eastAsia="宋体" w:cs="宋体"/>
          <w:color w:val="auto"/>
          <w:sz w:val="21"/>
          <w:szCs w:val="21"/>
          <w:highlight w:val="none"/>
        </w:rPr>
        <w:t>8.1</w:t>
      </w:r>
      <w:r>
        <w:rPr>
          <w:rFonts w:hint="eastAsia" w:ascii="宋体" w:hAnsi="宋体" w:eastAsia="宋体" w:cs="宋体"/>
          <w:color w:val="auto"/>
          <w:sz w:val="21"/>
          <w:szCs w:val="21"/>
          <w:highlight w:val="none"/>
          <w:lang w:val="zh-CN"/>
        </w:rPr>
        <w:t>条规定情形之一的，</w:t>
      </w:r>
      <w:bookmarkEnd w:id="280"/>
      <w:bookmarkStart w:id="281" w:name="_Hlk526937511"/>
      <w:r>
        <w:rPr>
          <w:rFonts w:hint="eastAsia" w:ascii="宋体" w:hAnsi="宋体" w:eastAsia="宋体" w:cs="宋体"/>
          <w:color w:val="auto"/>
          <w:sz w:val="21"/>
          <w:szCs w:val="21"/>
          <w:highlight w:val="none"/>
          <w:lang w:val="zh-CN"/>
        </w:rPr>
        <w:t>经行政监督部门批准后</w:t>
      </w:r>
      <w:bookmarkEnd w:id="281"/>
      <w:r>
        <w:rPr>
          <w:rFonts w:hint="eastAsia" w:ascii="宋体" w:hAnsi="宋体" w:eastAsia="宋体" w:cs="宋体"/>
          <w:color w:val="auto"/>
          <w:sz w:val="21"/>
          <w:szCs w:val="21"/>
          <w:highlight w:val="none"/>
          <w:lang w:val="zh-CN"/>
        </w:rPr>
        <w:t>可以不再进行招标</w:t>
      </w:r>
      <w:bookmarkStart w:id="282" w:name="_Hlk512264080"/>
      <w:r>
        <w:rPr>
          <w:rFonts w:hint="eastAsia" w:ascii="宋体" w:hAnsi="宋体" w:eastAsia="宋体" w:cs="宋体"/>
          <w:color w:val="auto"/>
          <w:sz w:val="21"/>
          <w:szCs w:val="21"/>
          <w:highlight w:val="none"/>
          <w:lang w:val="zh-CN"/>
        </w:rPr>
        <w:t>。</w:t>
      </w:r>
      <w:bookmarkEnd w:id="282"/>
    </w:p>
    <w:bookmarkEnd w:id="277"/>
    <w:p>
      <w:pPr>
        <w:keepNext/>
        <w:keepLines/>
        <w:pageBreakBefore w:val="0"/>
        <w:kinsoku/>
        <w:wordWrap/>
        <w:overflowPunct/>
        <w:topLinePunct w:val="0"/>
        <w:bidi w:val="0"/>
        <w:adjustRightInd w:val="0"/>
        <w:snapToGrid w:val="0"/>
        <w:spacing w:before="0" w:after="0" w:line="360" w:lineRule="auto"/>
        <w:ind w:left="567" w:hanging="567"/>
        <w:textAlignment w:val="auto"/>
        <w:outlineLvl w:val="1"/>
        <w:rPr>
          <w:rFonts w:hint="eastAsia" w:ascii="宋体" w:hAnsi="宋体" w:eastAsia="宋体" w:cs="宋体"/>
          <w:b/>
          <w:bCs w:val="0"/>
          <w:color w:val="auto"/>
          <w:kern w:val="2"/>
          <w:sz w:val="21"/>
          <w:szCs w:val="21"/>
          <w:highlight w:val="none"/>
          <w:lang w:val="en-US" w:eastAsia="zh-CN" w:bidi="ar-SA"/>
        </w:rPr>
      </w:pPr>
      <w:bookmarkStart w:id="283" w:name="_Toc32198"/>
      <w:bookmarkStart w:id="284" w:name="_Toc522261375"/>
      <w:bookmarkStart w:id="285" w:name="_Toc24923"/>
      <w:bookmarkStart w:id="286" w:name="_Toc458"/>
      <w:bookmarkStart w:id="287" w:name="_Toc6547"/>
      <w:bookmarkStart w:id="288" w:name="_Toc522292037"/>
      <w:bookmarkStart w:id="289" w:name="_Toc522291780"/>
      <w:bookmarkStart w:id="290" w:name="_Toc493674553"/>
      <w:bookmarkStart w:id="291" w:name="_Toc525907673"/>
      <w:bookmarkStart w:id="292" w:name="_Toc288638129"/>
      <w:bookmarkStart w:id="293" w:name="_Toc468016653"/>
      <w:bookmarkStart w:id="294" w:name="_Toc29072"/>
      <w:bookmarkStart w:id="295" w:name="_Toc425501346"/>
      <w:r>
        <w:rPr>
          <w:rFonts w:hint="eastAsia" w:ascii="宋体" w:hAnsi="宋体" w:eastAsia="宋体" w:cs="宋体"/>
          <w:b/>
          <w:bCs/>
          <w:color w:val="auto"/>
          <w:kern w:val="2"/>
          <w:sz w:val="21"/>
          <w:szCs w:val="21"/>
          <w:highlight w:val="none"/>
          <w:lang w:val="en-US" w:eastAsia="zh-CN" w:bidi="ar-SA"/>
        </w:rPr>
        <w:t>9. 纪律和监督</w:t>
      </w:r>
      <w:bookmarkEnd w:id="283"/>
      <w:bookmarkEnd w:id="284"/>
      <w:bookmarkEnd w:id="285"/>
      <w:bookmarkEnd w:id="286"/>
      <w:bookmarkEnd w:id="287"/>
      <w:bookmarkEnd w:id="288"/>
      <w:bookmarkEnd w:id="289"/>
      <w:bookmarkEnd w:id="290"/>
      <w:bookmarkEnd w:id="291"/>
      <w:bookmarkEnd w:id="292"/>
      <w:bookmarkEnd w:id="293"/>
      <w:bookmarkEnd w:id="294"/>
      <w:bookmarkEnd w:id="295"/>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9.1 对招标人的纪律要求</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招标人</w:t>
      </w:r>
      <w:r>
        <w:rPr>
          <w:rFonts w:hint="eastAsia" w:ascii="宋体" w:hAnsi="宋体" w:cs="宋体"/>
          <w:color w:val="auto"/>
          <w:sz w:val="21"/>
          <w:szCs w:val="21"/>
          <w:highlight w:val="none"/>
          <w:lang w:val="zh-CN"/>
        </w:rPr>
        <w:t>不得泄露</w:t>
      </w:r>
      <w:r>
        <w:rPr>
          <w:rFonts w:hint="eastAsia" w:ascii="宋体" w:hAnsi="宋体" w:eastAsia="宋体" w:cs="宋体"/>
          <w:color w:val="auto"/>
          <w:sz w:val="21"/>
          <w:szCs w:val="21"/>
          <w:highlight w:val="none"/>
          <w:lang w:val="zh-CN"/>
        </w:rPr>
        <w:t>招标投标活动中应当保密的情况和资料，不得与投标人串通损害国家利益、社会公共利益或者他人合法权益。</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下列行为均属招标人与投标人串通投标：</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）招标人在开标前开启投标文件，并将投标情况告知其他投标人，或者协助投标人撤换投标文件，更改报价；</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）招标人与投标人商定，投标时压低或抬高标价，中标后再给投标人或招标人额外补偿；</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）招标人预先内定中标人；</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）其他串通投标行为。</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r>
        <w:rPr>
          <w:rFonts w:hint="eastAsia" w:ascii="宋体" w:hAnsi="宋体" w:eastAsia="宋体" w:cs="宋体"/>
          <w:b/>
          <w:bCs/>
          <w:color w:val="auto"/>
          <w:spacing w:val="20"/>
          <w:sz w:val="21"/>
          <w:szCs w:val="21"/>
          <w:highlight w:val="none"/>
          <w:lang w:val="zh-CN"/>
        </w:rPr>
        <w:t>9.2 对投标人的纪律要求</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bookmarkStart w:id="296" w:name="_Hlk7164749"/>
      <w:r>
        <w:rPr>
          <w:rFonts w:hint="eastAsia" w:ascii="宋体" w:hAnsi="宋体" w:eastAsia="宋体" w:cs="宋体"/>
          <w:color w:val="auto"/>
          <w:sz w:val="21"/>
          <w:szCs w:val="21"/>
          <w:highlight w:val="none"/>
          <w:lang w:val="zh-CN"/>
        </w:rPr>
        <w:t>投标人不得相互串通投标或者与招标人串通投标，不得向招标人或者评标委员会成员行贿谋取中标，不得以他人名义投标</w:t>
      </w:r>
      <w:bookmarkStart w:id="297" w:name="_Hlk515457065"/>
      <w:r>
        <w:rPr>
          <w:rFonts w:hint="eastAsia" w:ascii="宋体" w:hAnsi="宋体" w:eastAsia="宋体" w:cs="宋体"/>
          <w:color w:val="auto"/>
          <w:sz w:val="21"/>
          <w:szCs w:val="21"/>
          <w:highlight w:val="none"/>
          <w:lang w:val="zh-CN"/>
        </w:rPr>
        <w:t>、不得允许他人以本单位名义承揽</w:t>
      </w:r>
      <w:bookmarkEnd w:id="297"/>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lang w:val="zh-CN"/>
        </w:rPr>
        <w:t>或者以其他方式弄虚作假骗取中标；投标人不得以任何方式干扰、影响评标工作。</w:t>
      </w:r>
    </w:p>
    <w:p>
      <w:pPr>
        <w:pageBreakBefore w:val="0"/>
        <w:widowControl/>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9.2.1</w:t>
      </w:r>
      <w:r>
        <w:rPr>
          <w:rFonts w:hint="eastAsia" w:ascii="宋体" w:hAnsi="宋体" w:eastAsia="宋体" w:cs="宋体"/>
          <w:b/>
          <w:bCs/>
          <w:color w:val="auto"/>
          <w:sz w:val="21"/>
          <w:szCs w:val="21"/>
          <w:highlight w:val="none"/>
          <w:lang w:val="zh-CN"/>
        </w:rPr>
        <w:t>投标人串通投标</w:t>
      </w:r>
      <w:r>
        <w:rPr>
          <w:rFonts w:hint="eastAsia" w:ascii="宋体" w:hAnsi="宋体" w:eastAsia="宋体" w:cs="宋体"/>
          <w:b/>
          <w:bCs/>
          <w:color w:val="auto"/>
          <w:sz w:val="21"/>
          <w:szCs w:val="21"/>
          <w:highlight w:val="none"/>
          <w:lang w:val="en-US" w:eastAsia="zh-CN"/>
        </w:rPr>
        <w:t>的认定及法律责任</w:t>
      </w:r>
    </w:p>
    <w:p>
      <w:pPr>
        <w:pageBreakBefore w:val="0"/>
        <w:widowControl/>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9.2.1.1</w:t>
      </w:r>
      <w:r>
        <w:rPr>
          <w:rFonts w:hint="eastAsia" w:ascii="宋体" w:hAnsi="宋体" w:eastAsia="宋体" w:cs="宋体"/>
          <w:b/>
          <w:bCs/>
          <w:color w:val="auto"/>
          <w:sz w:val="21"/>
          <w:szCs w:val="21"/>
          <w:highlight w:val="none"/>
          <w:lang w:val="zh-CN"/>
        </w:rPr>
        <w:t>下列行为均属投标人串通投标：</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（1）投标人之间相互约定抬高或压低投标报价；</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（2）投标人之间相互约定，在招标项目中分别以高、中、低价位报价；</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（3）投标人之间先进行内部竞价，内定中标人，然后再参加投标；</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（4）不同投标人的投标文件由同一单位或者个人编制；</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（5）不同投标人委托同一单位或者个人办理投标事宜；</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（6）不同投标人的投标文件载明的项目组成成员为同一人；</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（7）不同投标人的投标文件异常一致或者投标报价呈规律性差异；</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（8）不同投标人的投标文件相互混装；</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（9）不同投标人的投标保证金从同一单位或者个人的账户转出；</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（10）国家法律法规规定属于投标人串通投标的其他情形。</w:t>
      </w:r>
    </w:p>
    <w:p>
      <w:pPr>
        <w:pageBreakBefore w:val="0"/>
        <w:widowControl/>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9.2.1.2</w:t>
      </w:r>
      <w:r>
        <w:rPr>
          <w:rFonts w:hint="eastAsia" w:ascii="宋体" w:hAnsi="宋体" w:eastAsia="宋体" w:cs="宋体"/>
          <w:b/>
          <w:bCs/>
          <w:color w:val="auto"/>
          <w:sz w:val="21"/>
          <w:szCs w:val="21"/>
          <w:highlight w:val="none"/>
          <w:lang w:val="zh-CN"/>
        </w:rPr>
        <w:t>投标人串通投标</w:t>
      </w:r>
      <w:r>
        <w:rPr>
          <w:rFonts w:hint="eastAsia" w:ascii="宋体" w:hAnsi="宋体" w:eastAsia="宋体" w:cs="宋体"/>
          <w:b/>
          <w:bCs/>
          <w:color w:val="auto"/>
          <w:sz w:val="21"/>
          <w:szCs w:val="21"/>
          <w:highlight w:val="none"/>
          <w:lang w:val="en-US" w:eastAsia="zh-CN"/>
        </w:rPr>
        <w:t>法律责任</w:t>
      </w:r>
      <w:r>
        <w:rPr>
          <w:rFonts w:hint="eastAsia" w:ascii="宋体" w:hAnsi="宋体" w:eastAsia="宋体" w:cs="宋体"/>
          <w:b/>
          <w:bCs/>
          <w:color w:val="auto"/>
          <w:sz w:val="21"/>
          <w:szCs w:val="21"/>
          <w:highlight w:val="none"/>
          <w:lang w:val="zh-CN"/>
        </w:rPr>
        <w:t>：</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相互串通投标或者与招标人串通投标的，投标人以向招标人或者评标委员会成员行贿的手段谋取中标的，中标无效，处中标项目金额千分之五以上千分之十以下的罚款，对单位直接负责的主管人员和其他直接责任人员处单位罚款百分之五以上百分之十以下的罚款；有违法所得的，并处没收违法所得；情节严重的，取消其一年至二年内参加依法必须招标的项目的投标资格并予以公告，直至由工商行政管理机关吊销营业执照；构成犯罪的，依法追究刑事责任。给他人造成损失的，依法承担赔偿责任。</w:t>
      </w:r>
    </w:p>
    <w:p>
      <w:pPr>
        <w:pageBreakBefore w:val="0"/>
        <w:widowControl/>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9.2.2</w:t>
      </w:r>
      <w:r>
        <w:rPr>
          <w:rFonts w:hint="eastAsia" w:ascii="宋体" w:hAnsi="宋体" w:eastAsia="宋体" w:cs="宋体"/>
          <w:b/>
          <w:bCs/>
          <w:color w:val="auto"/>
          <w:sz w:val="21"/>
          <w:szCs w:val="21"/>
          <w:highlight w:val="none"/>
          <w:lang w:val="zh-CN"/>
        </w:rPr>
        <w:t>投标人弄虚作假投标</w:t>
      </w:r>
      <w:r>
        <w:rPr>
          <w:rFonts w:hint="eastAsia" w:ascii="宋体" w:hAnsi="宋体" w:eastAsia="宋体" w:cs="宋体"/>
          <w:b/>
          <w:bCs/>
          <w:color w:val="auto"/>
          <w:sz w:val="21"/>
          <w:szCs w:val="21"/>
          <w:highlight w:val="none"/>
          <w:lang w:val="en-US" w:eastAsia="zh-CN"/>
        </w:rPr>
        <w:t>的认定及法律责任</w:t>
      </w:r>
    </w:p>
    <w:p>
      <w:pPr>
        <w:pageBreakBefore w:val="0"/>
        <w:widowControl/>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9.2.2.1弄虚作假投标的认定：</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使用通过受让或者租借等方式获取的资格、资质证书投标的，属于招标投标法</w:t>
      </w:r>
      <w:r>
        <w:rPr>
          <w:color w:val="auto"/>
          <w:highlight w:val="none"/>
        </w:rPr>
        <w:fldChar w:fldCharType="begin"/>
      </w:r>
      <w:r>
        <w:rPr>
          <w:color w:val="auto"/>
          <w:highlight w:val="none"/>
        </w:rPr>
        <w:instrText xml:space="preserve"> HYPERLINK "http://www.hbzczb.com/newsshow.asp?id=1534" \l "_第三十三条#_第三十三条" </w:instrText>
      </w:r>
      <w:r>
        <w:rPr>
          <w:color w:val="auto"/>
          <w:highlight w:val="none"/>
        </w:rPr>
        <w:fldChar w:fldCharType="separate"/>
      </w:r>
      <w:r>
        <w:rPr>
          <w:rFonts w:hint="eastAsia" w:ascii="宋体" w:hAnsi="宋体" w:eastAsia="宋体" w:cs="宋体"/>
          <w:color w:val="auto"/>
          <w:sz w:val="21"/>
          <w:szCs w:val="21"/>
          <w:highlight w:val="none"/>
          <w:lang w:val="en-US" w:eastAsia="zh-CN"/>
        </w:rPr>
        <w:t>第三十三条</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规定的以他人名义投标。</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投标人有下列情形之一的，属于招标投标法</w:t>
      </w:r>
      <w:r>
        <w:rPr>
          <w:color w:val="auto"/>
          <w:highlight w:val="none"/>
        </w:rPr>
        <w:fldChar w:fldCharType="begin"/>
      </w:r>
      <w:r>
        <w:rPr>
          <w:color w:val="auto"/>
          <w:highlight w:val="none"/>
        </w:rPr>
        <w:instrText xml:space="preserve"> HYPERLINK "http://www.hbzczb.com/newsshow.asp?id=1534" \l "_第三十三条#_第三十三条" </w:instrText>
      </w:r>
      <w:r>
        <w:rPr>
          <w:color w:val="auto"/>
          <w:highlight w:val="none"/>
        </w:rPr>
        <w:fldChar w:fldCharType="separate"/>
      </w:r>
      <w:r>
        <w:rPr>
          <w:rFonts w:hint="eastAsia" w:ascii="宋体" w:hAnsi="宋体" w:eastAsia="宋体" w:cs="宋体"/>
          <w:color w:val="auto"/>
          <w:sz w:val="21"/>
          <w:szCs w:val="21"/>
          <w:highlight w:val="none"/>
          <w:lang w:val="en-US" w:eastAsia="zh-CN"/>
        </w:rPr>
        <w:t>第三十三条</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规定的以其他方式弄虚作假的行为：</w:t>
      </w:r>
    </w:p>
    <w:p>
      <w:pPr>
        <w:pageBreakBefore w:val="0"/>
        <w:widowControl/>
        <w:kinsoku/>
        <w:wordWrap/>
        <w:overflowPunct/>
        <w:topLinePunct w:val="0"/>
        <w:autoSpaceDE w:val="0"/>
        <w:autoSpaceDN w:val="0"/>
        <w:bidi w:val="0"/>
        <w:adjustRightInd w:val="0"/>
        <w:snapToGrid w:val="0"/>
        <w:spacing w:line="360" w:lineRule="auto"/>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（一）</w:t>
      </w:r>
      <w:r>
        <w:rPr>
          <w:rFonts w:hint="eastAsia" w:ascii="宋体" w:hAnsi="宋体" w:eastAsia="宋体" w:cs="宋体"/>
          <w:color w:val="auto"/>
          <w:sz w:val="21"/>
          <w:szCs w:val="21"/>
          <w:highlight w:val="none"/>
          <w:lang w:val="en-US" w:eastAsia="zh-CN"/>
        </w:rPr>
        <w:t>使用伪造、变造的许可证件；</w:t>
      </w:r>
    </w:p>
    <w:p>
      <w:pPr>
        <w:pageBreakBefore w:val="0"/>
        <w:widowControl/>
        <w:kinsoku/>
        <w:wordWrap/>
        <w:overflowPunct/>
        <w:topLinePunct w:val="0"/>
        <w:autoSpaceDE w:val="0"/>
        <w:autoSpaceDN w:val="0"/>
        <w:bidi w:val="0"/>
        <w:adjustRightInd w:val="0"/>
        <w:snapToGrid w:val="0"/>
        <w:spacing w:line="360" w:lineRule="auto"/>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lang w:val="en-US" w:eastAsia="zh-CN"/>
        </w:rPr>
        <w:t>提供虚假的财务状况或者业绩；</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w:t>
      </w:r>
      <w:r>
        <w:rPr>
          <w:rFonts w:hint="eastAsia" w:ascii="宋体" w:hAnsi="宋体" w:cs="宋体"/>
          <w:color w:val="auto"/>
          <w:sz w:val="21"/>
          <w:szCs w:val="21"/>
          <w:highlight w:val="none"/>
          <w:lang w:val="en-US" w:eastAsia="zh-CN"/>
        </w:rPr>
        <w:t>（三）</w:t>
      </w:r>
      <w:r>
        <w:rPr>
          <w:rFonts w:hint="eastAsia" w:ascii="宋体" w:hAnsi="宋体" w:eastAsia="宋体" w:cs="宋体"/>
          <w:color w:val="auto"/>
          <w:sz w:val="21"/>
          <w:szCs w:val="21"/>
          <w:highlight w:val="none"/>
          <w:lang w:val="en-US" w:eastAsia="zh-CN"/>
        </w:rPr>
        <w:t>提供虚假的项目负责人或者主要技术人员简历、劳动关系证明；</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w:t>
      </w:r>
      <w:r>
        <w:rPr>
          <w:rFonts w:hint="eastAsia" w:ascii="宋体" w:hAnsi="宋体" w:cs="宋体"/>
          <w:color w:val="auto"/>
          <w:sz w:val="21"/>
          <w:szCs w:val="21"/>
          <w:highlight w:val="none"/>
          <w:lang w:val="en-US" w:eastAsia="zh-CN"/>
        </w:rPr>
        <w:t>（四）</w:t>
      </w:r>
      <w:r>
        <w:rPr>
          <w:rFonts w:hint="eastAsia" w:ascii="宋体" w:hAnsi="宋体" w:eastAsia="宋体" w:cs="宋体"/>
          <w:color w:val="auto"/>
          <w:sz w:val="21"/>
          <w:szCs w:val="21"/>
          <w:highlight w:val="none"/>
          <w:lang w:val="en-US" w:eastAsia="zh-CN"/>
        </w:rPr>
        <w:t>提供虚假的信用状况；</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w:t>
      </w:r>
      <w:r>
        <w:rPr>
          <w:rFonts w:hint="eastAsia" w:ascii="宋体" w:hAnsi="宋体" w:cs="宋体"/>
          <w:color w:val="auto"/>
          <w:sz w:val="21"/>
          <w:szCs w:val="21"/>
          <w:highlight w:val="none"/>
          <w:lang w:val="en-US" w:eastAsia="zh-CN"/>
        </w:rPr>
        <w:t>（五）</w:t>
      </w:r>
      <w:r>
        <w:rPr>
          <w:rFonts w:hint="eastAsia" w:ascii="宋体" w:hAnsi="宋体" w:eastAsia="宋体" w:cs="宋体"/>
          <w:color w:val="auto"/>
          <w:sz w:val="21"/>
          <w:szCs w:val="21"/>
          <w:highlight w:val="none"/>
          <w:lang w:val="en-US" w:eastAsia="zh-CN"/>
        </w:rPr>
        <w:t>其他弄虚作假的行为。</w:t>
      </w:r>
    </w:p>
    <w:p>
      <w:pPr>
        <w:pageBreakBefore w:val="0"/>
        <w:widowControl/>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9.2.2.2</w:t>
      </w:r>
      <w:r>
        <w:rPr>
          <w:rFonts w:hint="eastAsia" w:ascii="宋体" w:hAnsi="宋体" w:eastAsia="宋体" w:cs="宋体"/>
          <w:b/>
          <w:bCs/>
          <w:color w:val="auto"/>
          <w:sz w:val="21"/>
          <w:szCs w:val="21"/>
          <w:highlight w:val="none"/>
          <w:lang w:val="zh-CN"/>
        </w:rPr>
        <w:t>投标人弄虚作假投标</w:t>
      </w:r>
      <w:r>
        <w:rPr>
          <w:rFonts w:hint="eastAsia" w:ascii="宋体" w:hAnsi="宋体" w:eastAsia="宋体" w:cs="宋体"/>
          <w:b/>
          <w:bCs/>
          <w:color w:val="auto"/>
          <w:sz w:val="21"/>
          <w:szCs w:val="21"/>
          <w:highlight w:val="none"/>
          <w:lang w:val="en-US" w:eastAsia="zh-CN"/>
        </w:rPr>
        <w:t>的法律责任</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投标人以他人名义投标或者以其他方式弄虚作假，骗取中标的，中标无效，给招标人造成损失的，依法承担赔偿责任；构成犯罪的，依法追究刑事责任。</w:t>
      </w:r>
    </w:p>
    <w:bookmarkEnd w:id="296"/>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298" w:name="_Toc515812771"/>
      <w:bookmarkStart w:id="299" w:name="_Toc493674554"/>
      <w:bookmarkStart w:id="300" w:name="_Toc517041725"/>
      <w:r>
        <w:rPr>
          <w:rFonts w:hint="eastAsia" w:ascii="宋体" w:hAnsi="宋体" w:eastAsia="宋体" w:cs="宋体"/>
          <w:b/>
          <w:bCs/>
          <w:color w:val="auto"/>
          <w:spacing w:val="20"/>
          <w:sz w:val="21"/>
          <w:szCs w:val="21"/>
          <w:highlight w:val="none"/>
          <w:lang w:val="zh-CN"/>
        </w:rPr>
        <w:t>9.3 对评标委员会成员的纪律要求</w:t>
      </w:r>
      <w:bookmarkEnd w:id="298"/>
      <w:bookmarkEnd w:id="299"/>
      <w:bookmarkEnd w:id="300"/>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评标委员会成员不得收受他人的财物或者其他好处，不得向他人</w:t>
      </w:r>
      <w:r>
        <w:rPr>
          <w:rFonts w:hint="eastAsia" w:ascii="宋体" w:hAnsi="宋体" w:cs="宋体"/>
          <w:color w:val="auto"/>
          <w:sz w:val="21"/>
          <w:szCs w:val="21"/>
          <w:highlight w:val="none"/>
          <w:lang w:val="zh-CN"/>
        </w:rPr>
        <w:t>透露</w:t>
      </w:r>
      <w:r>
        <w:rPr>
          <w:rFonts w:hint="eastAsia" w:ascii="宋体" w:hAnsi="宋体" w:eastAsia="宋体" w:cs="宋体"/>
          <w:color w:val="auto"/>
          <w:sz w:val="21"/>
          <w:szCs w:val="21"/>
          <w:highlight w:val="none"/>
          <w:lang w:val="zh-CN"/>
        </w:rPr>
        <w:t>对投标文件的评审和比较、中标候选人的推荐情况以及评标有关的其他情况。在评标活动中，评标委员会成员不得擅离职守，影响评标程序正常进行，不得使用“第三章  评标方法”没有规定的评审因素和标准进行评标。</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评标委员会成员应当依照招标投标法和本条例的规定，按照招标文件规定的评标标准和方法，客观、公正地对投标文件提出评审意见。招标文件没有规定的评标标准和方法不得作为评标的依据。</w:t>
      </w:r>
    </w:p>
    <w:p>
      <w:pPr>
        <w:pageBreakBefore w:val="0"/>
        <w:widowControl/>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标委员会成员不得私下接触投标人，不得收受投标人给予的财物或者其他好处，不得向招标人征询确定中标人的意向，不得接受任何单位或者个人明示或者暗示提出的倾向或者排斥特定投标人的要求，不得有其他不客观、公正履行职务的行为。</w:t>
      </w:r>
    </w:p>
    <w:p>
      <w:pPr>
        <w:keepNext/>
        <w:keepLines/>
        <w:pageBreakBefore w:val="0"/>
        <w:widowControl w:val="0"/>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301" w:name="_Toc517041726"/>
      <w:bookmarkStart w:id="302" w:name="_Toc515812772"/>
      <w:bookmarkStart w:id="303" w:name="_Toc493674555"/>
      <w:r>
        <w:rPr>
          <w:rFonts w:hint="eastAsia" w:ascii="宋体" w:hAnsi="宋体" w:eastAsia="宋体" w:cs="宋体"/>
          <w:b/>
          <w:bCs/>
          <w:color w:val="auto"/>
          <w:spacing w:val="20"/>
          <w:sz w:val="21"/>
          <w:szCs w:val="21"/>
          <w:highlight w:val="none"/>
          <w:lang w:val="zh-CN"/>
        </w:rPr>
        <w:t>9.4 对与评标活动有关的工作人员的纪律要求</w:t>
      </w:r>
      <w:bookmarkEnd w:id="301"/>
      <w:bookmarkEnd w:id="302"/>
      <w:bookmarkEnd w:id="303"/>
    </w:p>
    <w:p>
      <w:pPr>
        <w:pageBreakBefore w:val="0"/>
        <w:widowControl w:val="0"/>
        <w:kinsoku/>
        <w:wordWrap/>
        <w:overflowPunct/>
        <w:topLinePunct w:val="0"/>
        <w:autoSpaceDE w:val="0"/>
        <w:autoSpaceDN w:val="0"/>
        <w:bidi w:val="0"/>
        <w:adjustRightInd w:val="0"/>
        <w:snapToGrid w:val="0"/>
        <w:spacing w:line="360" w:lineRule="auto"/>
        <w:ind w:firstLine="42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与评标活动有关的工作人员不得收受他人的财物或者其他好处，不得向他人</w:t>
      </w:r>
      <w:r>
        <w:rPr>
          <w:rFonts w:hint="eastAsia" w:ascii="宋体" w:hAnsi="宋体" w:cs="宋体"/>
          <w:color w:val="auto"/>
          <w:sz w:val="21"/>
          <w:szCs w:val="21"/>
          <w:highlight w:val="none"/>
          <w:lang w:val="zh-CN"/>
        </w:rPr>
        <w:t>透露</w:t>
      </w:r>
      <w:r>
        <w:rPr>
          <w:rFonts w:hint="eastAsia" w:ascii="宋体" w:hAnsi="宋体" w:eastAsia="宋体" w:cs="宋体"/>
          <w:color w:val="auto"/>
          <w:sz w:val="21"/>
          <w:szCs w:val="21"/>
          <w:highlight w:val="none"/>
          <w:lang w:val="zh-CN"/>
        </w:rPr>
        <w:t>对投标文件的评审和比较、中标候选人的推荐情况以</w:t>
      </w:r>
      <w:r>
        <w:rPr>
          <w:rFonts w:hint="eastAsia" w:ascii="宋体" w:hAnsi="宋体" w:cs="宋体"/>
          <w:color w:val="auto"/>
          <w:sz w:val="21"/>
          <w:szCs w:val="21"/>
          <w:highlight w:val="none"/>
          <w:lang w:val="zh-CN"/>
        </w:rPr>
        <w:t>及与</w:t>
      </w:r>
      <w:r>
        <w:rPr>
          <w:rFonts w:hint="eastAsia" w:ascii="宋体" w:hAnsi="宋体" w:eastAsia="宋体" w:cs="宋体"/>
          <w:color w:val="auto"/>
          <w:sz w:val="21"/>
          <w:szCs w:val="21"/>
          <w:highlight w:val="none"/>
          <w:lang w:val="zh-CN"/>
        </w:rPr>
        <w:t>评标有关的其他情况。在评标活动中，与评标活动有关的工作人员不得擅离职守，影响评标程序正常进行。</w:t>
      </w:r>
    </w:p>
    <w:p>
      <w:pPr>
        <w:keepNext/>
        <w:keepLines/>
        <w:pageBreakBefore w:val="0"/>
        <w:widowControl/>
        <w:kinsoku/>
        <w:wordWrap/>
        <w:overflowPunct/>
        <w:topLinePunct w:val="0"/>
        <w:autoSpaceDE w:val="0"/>
        <w:autoSpaceDN w:val="0"/>
        <w:bidi w:val="0"/>
        <w:adjustRightInd w:val="0"/>
        <w:snapToGrid w:val="0"/>
        <w:spacing w:line="360" w:lineRule="auto"/>
        <w:jc w:val="left"/>
        <w:textAlignment w:val="auto"/>
        <w:outlineLvl w:val="3"/>
        <w:rPr>
          <w:rFonts w:hint="eastAsia" w:ascii="宋体" w:hAnsi="宋体" w:eastAsia="宋体" w:cs="宋体"/>
          <w:b/>
          <w:bCs/>
          <w:color w:val="auto"/>
          <w:spacing w:val="20"/>
          <w:sz w:val="21"/>
          <w:szCs w:val="21"/>
          <w:highlight w:val="none"/>
          <w:lang w:val="zh-CN"/>
        </w:rPr>
      </w:pPr>
      <w:bookmarkStart w:id="304" w:name="_Toc493674556"/>
      <w:bookmarkStart w:id="305" w:name="_Toc515812773"/>
      <w:bookmarkStart w:id="306" w:name="_Toc517041727"/>
      <w:r>
        <w:rPr>
          <w:rFonts w:hint="eastAsia" w:ascii="宋体" w:hAnsi="宋体" w:eastAsia="宋体" w:cs="宋体"/>
          <w:b/>
          <w:bCs/>
          <w:color w:val="auto"/>
          <w:spacing w:val="20"/>
          <w:sz w:val="21"/>
          <w:szCs w:val="21"/>
          <w:highlight w:val="none"/>
          <w:lang w:val="zh-CN"/>
        </w:rPr>
        <w:t xml:space="preserve">9.5 </w:t>
      </w:r>
      <w:r>
        <w:rPr>
          <w:rFonts w:hint="eastAsia" w:ascii="宋体" w:hAnsi="宋体" w:eastAsia="宋体" w:cs="宋体"/>
          <w:b/>
          <w:bCs/>
          <w:color w:val="auto"/>
          <w:spacing w:val="20"/>
          <w:sz w:val="21"/>
          <w:szCs w:val="21"/>
          <w:highlight w:val="none"/>
          <w:lang w:val="en-US" w:eastAsia="zh-CN"/>
        </w:rPr>
        <w:t>异议和</w:t>
      </w:r>
      <w:r>
        <w:rPr>
          <w:rFonts w:hint="eastAsia" w:ascii="宋体" w:hAnsi="宋体" w:eastAsia="宋体" w:cs="宋体"/>
          <w:b/>
          <w:bCs/>
          <w:color w:val="auto"/>
          <w:spacing w:val="20"/>
          <w:sz w:val="21"/>
          <w:szCs w:val="21"/>
          <w:highlight w:val="none"/>
          <w:lang w:val="zh-CN"/>
        </w:rPr>
        <w:t>投诉</w:t>
      </w:r>
      <w:bookmarkEnd w:id="304"/>
      <w:bookmarkEnd w:id="305"/>
      <w:bookmarkEnd w:id="306"/>
    </w:p>
    <w:p>
      <w:pPr>
        <w:pageBreakBefore w:val="0"/>
        <w:widowControl/>
        <w:kinsoku/>
        <w:wordWrap/>
        <w:overflowPunct/>
        <w:topLinePunct w:val="0"/>
        <w:bidi w:val="0"/>
        <w:spacing w:line="360" w:lineRule="auto"/>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9.5.1异议</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9.5.1.1潜在投标人或者其他利害关系人对招标文件有异议的，应当在投标截止时间10日前提出。招标人应当自收到异议之日起3日内作出答复；作出答复前，应当暂停招标投标活动。</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9.5.1.2投标人对开标有异议的，应当在开标现场提出，招标人应当当场作出答复，并制作记录。</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9.5.1.3投标人或者其他利害关系人对依法必须进行招标的项目的评标结果有异议的，应当在中标候选人公示期间提出。招标人应当自收到异议之日起3日内作出答复；作出答复前，应当暂停招标投标活动</w:t>
      </w:r>
      <w:r>
        <w:rPr>
          <w:rFonts w:hint="eastAsia" w:ascii="宋体" w:hAnsi="宋体" w:eastAsia="宋体" w:cs="宋体"/>
          <w:color w:val="auto"/>
          <w:kern w:val="0"/>
          <w:sz w:val="21"/>
          <w:szCs w:val="21"/>
          <w:highlight w:val="none"/>
          <w:lang w:eastAsia="zh-CN"/>
        </w:rPr>
        <w:t>。</w:t>
      </w:r>
    </w:p>
    <w:p>
      <w:pPr>
        <w:pageBreakBefore w:val="0"/>
        <w:widowControl/>
        <w:kinsoku/>
        <w:wordWrap/>
        <w:overflowPunct/>
        <w:topLinePunct w:val="0"/>
        <w:bidi w:val="0"/>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9.5.2投诉</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9.5.2.1投标人或者其他利害关系人认为招标投标活动不符合法律、行政法规规定的，应当在知道或者应当知道其权益受到侵害之日起十日内向有关行政监督部门提出书面投诉，</w:t>
      </w:r>
      <w:r>
        <w:rPr>
          <w:rFonts w:hint="eastAsia" w:ascii="宋体" w:hAnsi="宋体" w:eastAsia="宋体" w:cs="宋体"/>
          <w:b/>
          <w:bCs/>
          <w:color w:val="auto"/>
          <w:kern w:val="0"/>
          <w:sz w:val="21"/>
          <w:szCs w:val="21"/>
          <w:highlight w:val="none"/>
        </w:rPr>
        <w:t>投诉应当有明确的请求和必要的证明材料</w:t>
      </w:r>
      <w:r>
        <w:rPr>
          <w:rFonts w:hint="eastAsia" w:ascii="宋体" w:hAnsi="宋体" w:eastAsia="宋体" w:cs="宋体"/>
          <w:color w:val="auto"/>
          <w:kern w:val="0"/>
          <w:sz w:val="21"/>
          <w:szCs w:val="21"/>
          <w:highlight w:val="none"/>
        </w:rPr>
        <w:t>。其他利害关系人是指投标人以外的，与招标项目或者招标活动有直接和间接利益关系的法人、其他组织和个人。</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9.5.2.2就本章9.5.1条规定事项投诉的</w:t>
      </w:r>
      <w:r>
        <w:rPr>
          <w:rFonts w:hint="eastAsia" w:ascii="宋体" w:hAnsi="宋体" w:eastAsia="宋体" w:cs="宋体"/>
          <w:b w:val="0"/>
          <w:bCs w:val="0"/>
          <w:color w:val="auto"/>
          <w:kern w:val="0"/>
          <w:sz w:val="21"/>
          <w:szCs w:val="21"/>
          <w:highlight w:val="none"/>
          <w:u w:val="none"/>
        </w:rPr>
        <w:t>，应当先向招标人提出异议，</w:t>
      </w:r>
      <w:r>
        <w:rPr>
          <w:rFonts w:hint="eastAsia" w:ascii="宋体" w:hAnsi="宋体" w:eastAsia="宋体" w:cs="宋体"/>
          <w:color w:val="auto"/>
          <w:kern w:val="0"/>
          <w:sz w:val="21"/>
          <w:szCs w:val="21"/>
          <w:highlight w:val="none"/>
        </w:rPr>
        <w:t>异议答复期间不计算在前款规定的期限内。</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9.5.2.3投诉人投诉时，应当提交投诉书。投诉书应当包括下列内容：</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（一）投诉人的名称、地址及有效联系方式；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（二）被投诉人的名称、地址及有效联系方式；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（三）投诉事项的基本事实；</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（四）相关请求及主张；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（五）有效线索和相关证明材料。</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诉人是法人的，投诉书必须由其法定代表人或者授权代表签字并盖章；其他组织或者个人投诉的，投诉书必须由其主要负责人或者投诉人本人签字，并附有效身份证明复印件。投诉书有关材料是外文的，投诉人应当同时提供其中文译本。</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9.5.2.4</w:t>
      </w:r>
      <w:r>
        <w:rPr>
          <w:rFonts w:hint="eastAsia" w:ascii="宋体" w:hAnsi="宋体" w:eastAsia="宋体" w:cs="宋体"/>
          <w:b/>
          <w:bCs/>
          <w:color w:val="auto"/>
          <w:kern w:val="0"/>
          <w:sz w:val="21"/>
          <w:szCs w:val="21"/>
          <w:highlight w:val="none"/>
        </w:rPr>
        <w:t>投诉人不得以投诉为名排挤竞争对手，不得进行虚假、恶意投诉，阻碍招标投标活动的正常进行。</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9.5.2.5投诉人可以直接投诉，也可以委托代理人办理投诉事务。代理人办理投诉事务时，应将授权委托书连同投诉书一并提交给行政监督部门。授权委托书应当明确有关委托代理权限和事项。</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9.5.2.6</w:t>
      </w:r>
      <w:r>
        <w:rPr>
          <w:rFonts w:hint="eastAsia" w:ascii="宋体" w:hAnsi="宋体" w:eastAsia="宋体" w:cs="宋体"/>
          <w:b/>
          <w:bCs/>
          <w:color w:val="auto"/>
          <w:kern w:val="0"/>
          <w:sz w:val="21"/>
          <w:szCs w:val="21"/>
          <w:highlight w:val="none"/>
        </w:rPr>
        <w:t>有下列情形之一的投诉，不予受理</w:t>
      </w:r>
      <w:r>
        <w:rPr>
          <w:rFonts w:hint="eastAsia" w:ascii="宋体" w:hAnsi="宋体" w:eastAsia="宋体" w:cs="宋体"/>
          <w:b/>
          <w:bCs/>
          <w:color w:val="auto"/>
          <w:kern w:val="0"/>
          <w:sz w:val="21"/>
          <w:szCs w:val="21"/>
          <w:highlight w:val="none"/>
          <w:lang w:eastAsia="zh-CN"/>
        </w:rPr>
        <w:t>：</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（一）投诉人不是所投诉招标投标活动的参与者，或者与投诉项目无任何利害关系；</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（二）投诉事项不具体，且未提供有效线索，难以查证的；</w:t>
      </w:r>
    </w:p>
    <w:p>
      <w:pPr>
        <w:pageBreakBefore w:val="0"/>
        <w:widowControl/>
        <w:kinsoku/>
        <w:wordWrap/>
        <w:overflowPunct/>
        <w:topLinePunct w:val="0"/>
        <w:bidi w:val="0"/>
        <w:spacing w:line="360" w:lineRule="auto"/>
        <w:ind w:firstLine="210" w:firstLineChars="1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（三）投诉书未署具投诉人真实姓名、签字和有效联系方式的；以法人名义投诉的，投诉书未经法定代表人签字并加盖公章的；</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（四）超过投诉时效的；</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（五）已经作出处理决定，并且投诉人没有提出新的证据；</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w:t>
      </w:r>
      <w:r>
        <w:rPr>
          <w:rFonts w:hint="eastAsia" w:ascii="宋体" w:hAnsi="宋体" w:eastAsia="宋体" w:cs="宋体"/>
          <w:b w:val="0"/>
          <w:bCs w:val="0"/>
          <w:i w:val="0"/>
          <w:iCs w:val="0"/>
          <w:caps w:val="0"/>
          <w:color w:val="auto"/>
          <w:spacing w:val="0"/>
          <w:kern w:val="0"/>
          <w:sz w:val="21"/>
          <w:szCs w:val="21"/>
          <w:highlight w:val="none"/>
          <w:shd w:val="clear" w:color="auto" w:fill="FFFFFF"/>
          <w:lang w:val="en-US" w:eastAsia="zh-CN" w:bidi="ar"/>
        </w:rPr>
        <w:t>投诉事项应先提出异议没有提出异议，</w:t>
      </w: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已进入行政复议或者行政诉讼程序的。</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b/>
          <w:bCs/>
          <w:color w:val="auto"/>
          <w:kern w:val="0"/>
          <w:sz w:val="21"/>
          <w:szCs w:val="21"/>
          <w:highlight w:val="none"/>
          <w:u w:val="single"/>
        </w:rPr>
      </w:pPr>
      <w:r>
        <w:rPr>
          <w:rFonts w:hint="eastAsia" w:ascii="宋体" w:hAnsi="宋体" w:eastAsia="宋体" w:cs="宋体"/>
          <w:color w:val="auto"/>
          <w:kern w:val="0"/>
          <w:sz w:val="21"/>
          <w:szCs w:val="21"/>
          <w:highlight w:val="none"/>
        </w:rPr>
        <w:t>9.5.2.7</w:t>
      </w:r>
      <w:r>
        <w:rPr>
          <w:rFonts w:hint="eastAsia" w:ascii="宋体" w:hAnsi="宋体" w:eastAsia="宋体" w:cs="宋体"/>
          <w:b/>
          <w:bCs/>
          <w:color w:val="auto"/>
          <w:kern w:val="0"/>
          <w:sz w:val="21"/>
          <w:szCs w:val="21"/>
          <w:highlight w:val="none"/>
          <w:u w:val="single"/>
        </w:rPr>
        <w:t>投诉人捏造事实、伪造材料或者以非法手段取得证明材料进行投诉的，行政监督部门应当予以驳回。</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9.5.2.</w:t>
      </w:r>
      <w:r>
        <w:rPr>
          <w:rFonts w:hint="eastAsia" w:ascii="宋体" w:hAnsi="宋体" w:eastAsia="宋体" w:cs="宋体"/>
          <w:color w:val="auto"/>
          <w:kern w:val="0"/>
          <w:sz w:val="21"/>
          <w:szCs w:val="21"/>
          <w:highlight w:val="none"/>
          <w:lang w:val="en-US" w:eastAsia="zh-CN"/>
        </w:rPr>
        <w:t>8行政主管部门应当根据调查和取证情况，对投诉事项进行审查，按照下列规定作出处理决定：（一）投诉缺乏事实根据或者法律依据的，驳回投诉；（二）投诉情况属实，招标投标活动确实存在违法行为的，应当依法处理。</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9.5.2.9在投诉处理过程中，行政监督部门应当听取被投诉人的陈述和申辩，必要时可通知投诉人和被投诉人进行质证。</w:t>
      </w:r>
    </w:p>
    <w:p>
      <w:pPr>
        <w:pageBreakBefore w:val="0"/>
        <w:widowControl/>
        <w:kinsoku/>
        <w:wordWrap/>
        <w:overflowPunct/>
        <w:topLinePunct w:val="0"/>
        <w:bidi w:val="0"/>
        <w:spacing w:line="360" w:lineRule="auto"/>
        <w:ind w:firstLine="42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9.5.2.10</w:t>
      </w:r>
      <w:r>
        <w:rPr>
          <w:rFonts w:hint="eastAsia" w:ascii="宋体" w:hAnsi="宋体" w:eastAsia="宋体" w:cs="宋体"/>
          <w:b/>
          <w:bCs/>
          <w:color w:val="auto"/>
          <w:kern w:val="0"/>
          <w:sz w:val="21"/>
          <w:szCs w:val="21"/>
          <w:highlight w:val="none"/>
          <w:u w:val="single"/>
          <w:lang w:val="en-US" w:eastAsia="zh-CN"/>
        </w:rPr>
        <w:t>法律责任：</w:t>
      </w:r>
      <w:r>
        <w:rPr>
          <w:rFonts w:hint="eastAsia" w:ascii="宋体" w:hAnsi="宋体" w:eastAsia="宋体" w:cs="宋体"/>
          <w:b/>
          <w:bCs/>
          <w:color w:val="auto"/>
          <w:kern w:val="0"/>
          <w:sz w:val="21"/>
          <w:szCs w:val="21"/>
          <w:highlight w:val="none"/>
          <w:u w:val="single"/>
          <w:lang w:eastAsia="zh-CN"/>
        </w:rPr>
        <w:t>投标人或者其他利害关系人通过捏造事实、伪造证明材料等方式，或者以非法手段或者渠道获取的证据材料提出异议或者投诉，或者以阻碍招标投标活动正常进行为目的虚假恶意投诉的，应当依法予以处罚。</w:t>
      </w:r>
      <w:r>
        <w:rPr>
          <w:rFonts w:hint="eastAsia" w:ascii="宋体" w:hAnsi="宋体" w:eastAsia="宋体" w:cs="宋体"/>
          <w:b/>
          <w:bCs/>
          <w:color w:val="auto"/>
          <w:kern w:val="0"/>
          <w:sz w:val="21"/>
          <w:szCs w:val="21"/>
          <w:highlight w:val="none"/>
          <w:u w:val="single"/>
          <w:lang w:val="en-US" w:eastAsia="zh-CN"/>
        </w:rPr>
        <w:t>给他人造成损失的，依法承担赔偿责任。</w:t>
      </w:r>
    </w:p>
    <w:p>
      <w:pPr>
        <w:pageBreakBefore w:val="0"/>
        <w:widowControl/>
        <w:kinsoku/>
        <w:wordWrap/>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kern w:val="0"/>
          <w:sz w:val="21"/>
          <w:szCs w:val="21"/>
          <w:highlight w:val="none"/>
        </w:rPr>
        <w:t>9.5.2.</w:t>
      </w:r>
      <w:r>
        <w:rPr>
          <w:rFonts w:hint="eastAsia" w:ascii="宋体" w:hAnsi="宋体" w:eastAsia="宋体" w:cs="宋体"/>
          <w:color w:val="auto"/>
          <w:kern w:val="0"/>
          <w:sz w:val="21"/>
          <w:szCs w:val="21"/>
          <w:highlight w:val="none"/>
          <w:lang w:val="en-US" w:eastAsia="zh-CN"/>
        </w:rPr>
        <w:t>11</w:t>
      </w:r>
      <w:r>
        <w:rPr>
          <w:rFonts w:hint="eastAsia" w:ascii="宋体" w:hAnsi="宋体" w:eastAsia="宋体" w:cs="宋体"/>
          <w:color w:val="auto"/>
          <w:kern w:val="0"/>
          <w:sz w:val="21"/>
          <w:szCs w:val="21"/>
          <w:highlight w:val="none"/>
        </w:rPr>
        <w:t>未尽事宜，按国家现行有关法律法规</w:t>
      </w:r>
      <w:r>
        <w:rPr>
          <w:rFonts w:hint="eastAsia" w:ascii="宋体" w:hAnsi="宋体" w:eastAsia="宋体" w:cs="宋体"/>
          <w:color w:val="auto"/>
          <w:kern w:val="0"/>
          <w:sz w:val="21"/>
          <w:szCs w:val="21"/>
          <w:highlight w:val="none"/>
          <w:lang w:val="en-US" w:eastAsia="zh-CN"/>
        </w:rPr>
        <w:t>和</w:t>
      </w:r>
      <w:r>
        <w:rPr>
          <w:rFonts w:hint="eastAsia" w:ascii="宋体" w:hAnsi="宋体" w:eastAsia="宋体" w:cs="宋体"/>
          <w:color w:val="auto"/>
          <w:kern w:val="0"/>
          <w:sz w:val="21"/>
          <w:szCs w:val="21"/>
          <w:highlight w:val="none"/>
        </w:rPr>
        <w:t>《云南省招标投标活动投诉处理办法》的规定执行。</w:t>
      </w:r>
    </w:p>
    <w:p>
      <w:pPr>
        <w:keepNext/>
        <w:keepLines/>
        <w:pageBreakBefore w:val="0"/>
        <w:kinsoku/>
        <w:wordWrap/>
        <w:overflowPunct/>
        <w:topLinePunct w:val="0"/>
        <w:bidi w:val="0"/>
        <w:adjustRightInd w:val="0"/>
        <w:snapToGrid w:val="0"/>
        <w:spacing w:before="0" w:after="0" w:line="360" w:lineRule="auto"/>
        <w:ind w:left="567" w:hanging="567"/>
        <w:textAlignment w:val="auto"/>
        <w:outlineLvl w:val="1"/>
        <w:rPr>
          <w:rFonts w:hint="eastAsia" w:ascii="宋体" w:hAnsi="宋体" w:eastAsia="宋体" w:cs="宋体"/>
          <w:b/>
          <w:bCs/>
          <w:color w:val="auto"/>
          <w:kern w:val="2"/>
          <w:sz w:val="21"/>
          <w:szCs w:val="21"/>
          <w:highlight w:val="none"/>
          <w:lang w:val="en-US" w:eastAsia="zh-CN" w:bidi="ar-SA"/>
        </w:rPr>
      </w:pPr>
      <w:bookmarkStart w:id="307" w:name="_Toc26287"/>
      <w:bookmarkStart w:id="308" w:name="_Toc9133"/>
      <w:bookmarkStart w:id="309" w:name="_Toc468016654"/>
      <w:bookmarkStart w:id="310" w:name="_Toc12815"/>
      <w:bookmarkStart w:id="311" w:name="_Toc4011"/>
      <w:bookmarkStart w:id="312" w:name="_Toc493674557"/>
      <w:bookmarkStart w:id="313" w:name="_Toc522261376"/>
      <w:bookmarkStart w:id="314" w:name="_Toc525907674"/>
      <w:bookmarkStart w:id="315" w:name="_Toc425501347"/>
      <w:bookmarkStart w:id="316" w:name="_Toc288638130"/>
      <w:bookmarkStart w:id="317" w:name="_Toc2347"/>
      <w:bookmarkStart w:id="318" w:name="_Toc522291781"/>
      <w:bookmarkStart w:id="319" w:name="_Toc522292038"/>
      <w:r>
        <w:rPr>
          <w:rFonts w:hint="eastAsia" w:ascii="宋体" w:hAnsi="宋体" w:eastAsia="宋体" w:cs="宋体"/>
          <w:b/>
          <w:bCs/>
          <w:color w:val="auto"/>
          <w:kern w:val="2"/>
          <w:sz w:val="21"/>
          <w:szCs w:val="21"/>
          <w:highlight w:val="none"/>
          <w:lang w:val="en-US" w:eastAsia="zh-CN" w:bidi="ar-SA"/>
        </w:rPr>
        <w:t>10.需要补充的其他内容</w:t>
      </w:r>
      <w:bookmarkEnd w:id="307"/>
      <w:bookmarkEnd w:id="308"/>
      <w:bookmarkEnd w:id="309"/>
      <w:bookmarkEnd w:id="310"/>
      <w:bookmarkEnd w:id="311"/>
      <w:bookmarkEnd w:id="312"/>
      <w:bookmarkEnd w:id="313"/>
      <w:bookmarkEnd w:id="314"/>
      <w:bookmarkEnd w:id="315"/>
      <w:bookmarkEnd w:id="316"/>
      <w:bookmarkEnd w:id="317"/>
      <w:bookmarkEnd w:id="318"/>
      <w:bookmarkEnd w:id="319"/>
    </w:p>
    <w:p>
      <w:pPr>
        <w:pStyle w:val="14"/>
        <w:keepLines w:val="0"/>
        <w:pageBreakBefore w:val="0"/>
        <w:widowControl w:val="0"/>
        <w:kinsoku/>
        <w:wordWrap/>
        <w:overflowPunct/>
        <w:topLinePunct w:val="0"/>
        <w:autoSpaceDE/>
        <w:autoSpaceDN/>
        <w:bidi w:val="0"/>
        <w:snapToGrid/>
        <w:spacing w:line="360" w:lineRule="auto"/>
        <w:ind w:firstLine="420" w:firstLineChars="200"/>
        <w:textAlignment w:val="auto"/>
        <w:rPr>
          <w:rFonts w:hint="eastAsia" w:ascii="宋体" w:hAnsi="宋体" w:eastAsia="宋体" w:cs="宋体"/>
          <w:b/>
          <w:color w:val="auto"/>
          <w:sz w:val="21"/>
          <w:szCs w:val="21"/>
          <w:highlight w:val="none"/>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r>
        <w:rPr>
          <w:rFonts w:hint="eastAsia" w:ascii="宋体" w:hAnsi="宋体" w:eastAsia="宋体" w:cs="宋体"/>
          <w:color w:val="auto"/>
          <w:sz w:val="21"/>
          <w:szCs w:val="21"/>
          <w:highlight w:val="none"/>
          <w:lang w:val="zh-CN"/>
        </w:rPr>
        <w:t>见投标人须知前附表。</w:t>
      </w:r>
      <w:r>
        <w:rPr>
          <w:rFonts w:hint="eastAsia" w:ascii="宋体" w:hAnsi="宋体" w:eastAsia="宋体" w:cs="宋体"/>
          <w:b/>
          <w:color w:val="auto"/>
          <w:sz w:val="21"/>
          <w:szCs w:val="21"/>
          <w:highlight w:val="none"/>
        </w:rPr>
        <w:t xml:space="preserve"> </w:t>
      </w:r>
    </w:p>
    <w:p>
      <w:pPr>
        <w:pStyle w:val="2"/>
        <w:ind w:left="0" w:firstLine="0"/>
        <w:jc w:val="center"/>
        <w:rPr>
          <w:rFonts w:hint="eastAsia" w:ascii="黑体" w:hAnsi="黑体" w:eastAsia="黑体" w:cs="黑体"/>
          <w:bCs/>
          <w:color w:val="auto"/>
          <w:sz w:val="52"/>
          <w:szCs w:val="52"/>
          <w:highlight w:val="none"/>
        </w:rPr>
      </w:pPr>
      <w:bookmarkStart w:id="320" w:name="_Toc29816"/>
      <w:bookmarkStart w:id="321" w:name="_Toc32008"/>
      <w:bookmarkStart w:id="322" w:name="_Toc13934"/>
      <w:bookmarkStart w:id="323" w:name="_Toc21600"/>
      <w:bookmarkStart w:id="324" w:name="_Toc22962"/>
      <w:r>
        <w:rPr>
          <w:rFonts w:hint="eastAsia" w:ascii="黑体" w:hAnsi="黑体" w:eastAsia="黑体" w:cs="黑体"/>
          <w:bCs/>
          <w:color w:val="auto"/>
          <w:sz w:val="52"/>
          <w:szCs w:val="52"/>
          <w:highlight w:val="none"/>
        </w:rPr>
        <w:t>第</w:t>
      </w:r>
      <w:r>
        <w:rPr>
          <w:rFonts w:hint="eastAsia" w:ascii="黑体" w:hAnsi="黑体" w:cs="黑体"/>
          <w:bCs/>
          <w:color w:val="auto"/>
          <w:sz w:val="52"/>
          <w:szCs w:val="52"/>
          <w:highlight w:val="none"/>
          <w:lang w:val="en-US" w:eastAsia="zh-CN"/>
        </w:rPr>
        <w:t>三</w:t>
      </w:r>
      <w:r>
        <w:rPr>
          <w:rFonts w:hint="eastAsia" w:ascii="黑体" w:hAnsi="黑体" w:eastAsia="黑体" w:cs="黑体"/>
          <w:bCs/>
          <w:color w:val="auto"/>
          <w:sz w:val="52"/>
          <w:szCs w:val="52"/>
          <w:highlight w:val="none"/>
        </w:rPr>
        <w:t>章</w:t>
      </w:r>
      <w:r>
        <w:rPr>
          <w:rFonts w:hint="eastAsia" w:ascii="黑体" w:hAnsi="黑体" w:cs="黑体"/>
          <w:bCs/>
          <w:color w:val="auto"/>
          <w:sz w:val="52"/>
          <w:szCs w:val="52"/>
          <w:highlight w:val="none"/>
          <w:lang w:val="en-US" w:eastAsia="zh-CN"/>
        </w:rPr>
        <w:t xml:space="preserve">  </w:t>
      </w:r>
      <w:r>
        <w:rPr>
          <w:rFonts w:hint="eastAsia" w:ascii="黑体" w:hAnsi="黑体" w:eastAsia="黑体" w:cs="黑体"/>
          <w:bCs/>
          <w:color w:val="auto"/>
          <w:sz w:val="52"/>
          <w:szCs w:val="52"/>
          <w:highlight w:val="none"/>
        </w:rPr>
        <w:t>评标方法（</w:t>
      </w:r>
      <w:r>
        <w:rPr>
          <w:rFonts w:hint="eastAsia" w:ascii="黑体" w:hAnsi="黑体" w:cs="黑体"/>
          <w:bCs/>
          <w:color w:val="auto"/>
          <w:sz w:val="52"/>
          <w:szCs w:val="52"/>
          <w:highlight w:val="none"/>
          <w:lang w:eastAsia="zh-CN"/>
        </w:rPr>
        <w:t>综合评估法</w:t>
      </w:r>
      <w:r>
        <w:rPr>
          <w:rFonts w:hint="eastAsia" w:ascii="黑体" w:hAnsi="黑体" w:eastAsia="黑体" w:cs="黑体"/>
          <w:bCs/>
          <w:color w:val="auto"/>
          <w:sz w:val="52"/>
          <w:szCs w:val="52"/>
          <w:highlight w:val="none"/>
        </w:rPr>
        <w:t>）</w:t>
      </w:r>
      <w:bookmarkEnd w:id="320"/>
      <w:bookmarkEnd w:id="321"/>
      <w:bookmarkEnd w:id="322"/>
      <w:bookmarkEnd w:id="323"/>
      <w:bookmarkEnd w:id="324"/>
    </w:p>
    <w:p>
      <w:pPr>
        <w:snapToGrid w:val="0"/>
        <w:spacing w:line="360" w:lineRule="auto"/>
        <w:jc w:val="center"/>
        <w:outlineLvl w:val="1"/>
        <w:rPr>
          <w:rFonts w:ascii="宋体" w:hAnsi="宋体"/>
          <w:b/>
          <w:color w:val="auto"/>
          <w:sz w:val="28"/>
          <w:szCs w:val="28"/>
          <w:highlight w:val="none"/>
        </w:rPr>
      </w:pPr>
      <w:r>
        <w:rPr>
          <w:rFonts w:hint="eastAsia" w:ascii="黑体" w:hAnsi="黑体" w:eastAsia="黑体" w:cs="黑体"/>
          <w:b/>
          <w:color w:val="auto"/>
          <w:sz w:val="28"/>
          <w:szCs w:val="28"/>
          <w:highlight w:val="none"/>
        </w:rPr>
        <w:t xml:space="preserve"> </w:t>
      </w:r>
      <w:bookmarkStart w:id="325" w:name="_Toc19016"/>
      <w:bookmarkStart w:id="326" w:name="_Toc30498"/>
      <w:bookmarkStart w:id="327" w:name="_Toc9503"/>
      <w:bookmarkStart w:id="328" w:name="_Toc15648"/>
      <w:bookmarkStart w:id="329" w:name="_Toc13763"/>
      <w:r>
        <w:rPr>
          <w:rFonts w:hint="eastAsia" w:ascii="黑体" w:hAnsi="黑体" w:eastAsia="黑体" w:cs="黑体"/>
          <w:b/>
          <w:color w:val="auto"/>
          <w:sz w:val="28"/>
          <w:szCs w:val="28"/>
          <w:highlight w:val="none"/>
        </w:rPr>
        <w:t>评标方法前附表</w:t>
      </w:r>
      <w:bookmarkEnd w:id="325"/>
      <w:bookmarkEnd w:id="326"/>
      <w:bookmarkEnd w:id="327"/>
      <w:bookmarkEnd w:id="328"/>
      <w:bookmarkEnd w:id="329"/>
    </w:p>
    <w:tbl>
      <w:tblPr>
        <w:tblStyle w:val="36"/>
        <w:tblW w:w="996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704"/>
        <w:gridCol w:w="2114"/>
        <w:gridCol w:w="64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357" w:type="dxa"/>
            <w:gridSpan w:val="2"/>
            <w:vAlign w:val="center"/>
          </w:tcPr>
          <w:p>
            <w:pPr>
              <w:spacing w:before="100" w:after="100" w:line="336"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2114" w:type="dxa"/>
            <w:vAlign w:val="center"/>
          </w:tcPr>
          <w:p>
            <w:pPr>
              <w:spacing w:before="100" w:after="100" w:line="336"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评审内容 </w:t>
            </w:r>
          </w:p>
        </w:tc>
        <w:tc>
          <w:tcPr>
            <w:tcW w:w="6497" w:type="dxa"/>
            <w:vAlign w:val="center"/>
          </w:tcPr>
          <w:p>
            <w:pPr>
              <w:spacing w:before="100" w:after="100" w:line="336"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8" w:hRule="atLeast"/>
          <w:jc w:val="center"/>
        </w:trPr>
        <w:tc>
          <w:tcPr>
            <w:tcW w:w="653" w:type="dxa"/>
            <w:vMerge w:val="restart"/>
            <w:vAlign w:val="center"/>
          </w:tcPr>
          <w:p>
            <w:pPr>
              <w:pStyle w:val="14"/>
              <w:spacing w:line="336" w:lineRule="auto"/>
              <w:rPr>
                <w:rFonts w:hint="default"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1.1</w:t>
            </w:r>
          </w:p>
        </w:tc>
        <w:tc>
          <w:tcPr>
            <w:tcW w:w="704" w:type="dxa"/>
            <w:vMerge w:val="restart"/>
            <w:vAlign w:val="center"/>
          </w:tcPr>
          <w:p>
            <w:pPr>
              <w:spacing w:before="100" w:after="100" w:line="336"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形式评审标准</w:t>
            </w:r>
          </w:p>
        </w:tc>
        <w:tc>
          <w:tcPr>
            <w:tcW w:w="2114" w:type="dxa"/>
            <w:vAlign w:val="center"/>
          </w:tcPr>
          <w:p>
            <w:pPr>
              <w:tabs>
                <w:tab w:val="center" w:pos="4153"/>
                <w:tab w:val="right" w:pos="8306"/>
              </w:tabs>
              <w:snapToGrid w:val="0"/>
              <w:jc w:val="left"/>
              <w:rPr>
                <w:rFonts w:hint="eastAsia" w:ascii="宋体" w:hAnsi="宋体" w:eastAsia="宋体" w:cs="宋体"/>
                <w:i w:val="0"/>
                <w:iCs w:val="0"/>
                <w:color w:val="auto"/>
                <w:kern w:val="2"/>
                <w:sz w:val="21"/>
                <w:szCs w:val="21"/>
                <w:highlight w:val="none"/>
                <w:lang w:val="en-US" w:eastAsia="zh-CN" w:bidi="ar-SA"/>
              </w:rPr>
            </w:pPr>
            <w:r>
              <w:rPr>
                <w:rFonts w:hint="eastAsia" w:ascii="宋体" w:hAnsi="宋体"/>
                <w:color w:val="auto"/>
                <w:sz w:val="21"/>
                <w:szCs w:val="21"/>
                <w:highlight w:val="none"/>
              </w:rPr>
              <w:t>投标人名称</w:t>
            </w:r>
          </w:p>
        </w:tc>
        <w:tc>
          <w:tcPr>
            <w:tcW w:w="6497" w:type="dxa"/>
            <w:vAlign w:val="center"/>
          </w:tcPr>
          <w:p>
            <w:pPr>
              <w:tabs>
                <w:tab w:val="center" w:pos="4153"/>
                <w:tab w:val="right" w:pos="8306"/>
              </w:tabs>
              <w:snapToGrid w:val="0"/>
              <w:jc w:val="both"/>
              <w:rPr>
                <w:rFonts w:hint="eastAsia" w:ascii="宋体" w:hAnsi="宋体" w:eastAsia="宋体" w:cs="宋体"/>
                <w:i w:val="0"/>
                <w:iCs w:val="0"/>
                <w:color w:val="auto"/>
                <w:kern w:val="2"/>
                <w:sz w:val="21"/>
                <w:szCs w:val="21"/>
                <w:highlight w:val="none"/>
                <w:lang w:val="en-US" w:eastAsia="zh-CN" w:bidi="ar-SA"/>
              </w:rPr>
            </w:pPr>
            <w:r>
              <w:rPr>
                <w:rFonts w:hint="eastAsia" w:ascii="宋体" w:hAnsi="宋体"/>
                <w:color w:val="auto"/>
                <w:sz w:val="21"/>
                <w:szCs w:val="21"/>
                <w:highlight w:val="none"/>
              </w:rPr>
              <w:t>与营业执照一致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2" w:hRule="atLeast"/>
          <w:jc w:val="center"/>
        </w:trPr>
        <w:tc>
          <w:tcPr>
            <w:tcW w:w="653" w:type="dxa"/>
            <w:vMerge w:val="continue"/>
            <w:vAlign w:val="center"/>
          </w:tcPr>
          <w:p>
            <w:pPr>
              <w:pStyle w:val="14"/>
              <w:spacing w:line="336" w:lineRule="auto"/>
              <w:rPr>
                <w:rFonts w:hint="eastAsia" w:hAnsi="宋体" w:eastAsia="宋体" w:cs="宋体"/>
                <w:color w:val="auto"/>
                <w:sz w:val="21"/>
                <w:szCs w:val="21"/>
                <w:highlight w:val="none"/>
                <w:lang w:val="en-US" w:eastAsia="zh-CN"/>
              </w:rPr>
            </w:pPr>
          </w:p>
        </w:tc>
        <w:tc>
          <w:tcPr>
            <w:tcW w:w="704" w:type="dxa"/>
            <w:vMerge w:val="continue"/>
            <w:vAlign w:val="center"/>
          </w:tcPr>
          <w:p>
            <w:pPr>
              <w:spacing w:before="100" w:after="100" w:line="336" w:lineRule="auto"/>
              <w:jc w:val="center"/>
              <w:rPr>
                <w:rFonts w:hint="eastAsia" w:ascii="宋体" w:hAnsi="宋体" w:eastAsia="宋体" w:cs="宋体"/>
                <w:color w:val="auto"/>
                <w:sz w:val="21"/>
                <w:szCs w:val="21"/>
                <w:highlight w:val="none"/>
              </w:rPr>
            </w:pPr>
          </w:p>
        </w:tc>
        <w:tc>
          <w:tcPr>
            <w:tcW w:w="2114" w:type="dxa"/>
            <w:vAlign w:val="center"/>
          </w:tcPr>
          <w:p>
            <w:pPr>
              <w:tabs>
                <w:tab w:val="center" w:pos="4153"/>
                <w:tab w:val="right" w:pos="8306"/>
              </w:tabs>
              <w:snapToGrid w:val="0"/>
              <w:jc w:val="left"/>
              <w:rPr>
                <w:rFonts w:hint="eastAsia" w:ascii="宋体" w:hAnsi="宋体" w:eastAsia="宋体" w:cs="宋体"/>
                <w:i w:val="0"/>
                <w:iCs w:val="0"/>
                <w:color w:val="auto"/>
                <w:kern w:val="2"/>
                <w:sz w:val="21"/>
                <w:szCs w:val="21"/>
                <w:highlight w:val="none"/>
                <w:lang w:val="en-US" w:eastAsia="zh-CN" w:bidi="ar-SA"/>
              </w:rPr>
            </w:pPr>
            <w:r>
              <w:rPr>
                <w:rFonts w:ascii="宋体" w:hAnsi="宋体"/>
                <w:color w:val="auto"/>
                <w:sz w:val="21"/>
                <w:szCs w:val="21"/>
                <w:highlight w:val="none"/>
              </w:rPr>
              <w:t>投标文件签字盖章</w:t>
            </w:r>
          </w:p>
        </w:tc>
        <w:tc>
          <w:tcPr>
            <w:tcW w:w="6497" w:type="dxa"/>
            <w:vAlign w:val="center"/>
          </w:tcPr>
          <w:p>
            <w:pPr>
              <w:tabs>
                <w:tab w:val="center" w:pos="4153"/>
                <w:tab w:val="right" w:pos="8306"/>
              </w:tabs>
              <w:snapToGrid w:val="0"/>
              <w:jc w:val="both"/>
              <w:rPr>
                <w:rFonts w:hint="eastAsia" w:ascii="宋体" w:hAnsi="宋体" w:eastAsia="宋体" w:cs="宋体"/>
                <w:i w:val="0"/>
                <w:iCs w:val="0"/>
                <w:color w:val="auto"/>
                <w:kern w:val="2"/>
                <w:sz w:val="21"/>
                <w:szCs w:val="21"/>
                <w:highlight w:val="none"/>
                <w:lang w:val="en-US" w:eastAsia="zh-CN" w:bidi="ar-SA"/>
              </w:rPr>
            </w:pPr>
            <w:r>
              <w:rPr>
                <w:rFonts w:hint="eastAsia" w:ascii="宋体" w:hAnsi="宋体"/>
                <w:color w:val="auto"/>
                <w:sz w:val="21"/>
                <w:szCs w:val="21"/>
                <w:highlight w:val="none"/>
              </w:rPr>
              <w:t>投标文件签字、盖章符合招标文件格式要求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5" w:hRule="atLeast"/>
          <w:jc w:val="center"/>
        </w:trPr>
        <w:tc>
          <w:tcPr>
            <w:tcW w:w="653" w:type="dxa"/>
            <w:vMerge w:val="continue"/>
            <w:vAlign w:val="center"/>
          </w:tcPr>
          <w:p>
            <w:pPr>
              <w:pStyle w:val="14"/>
              <w:spacing w:line="336" w:lineRule="auto"/>
              <w:rPr>
                <w:rFonts w:hint="eastAsia" w:hAnsi="宋体" w:eastAsia="宋体" w:cs="宋体"/>
                <w:color w:val="auto"/>
                <w:sz w:val="21"/>
                <w:szCs w:val="21"/>
                <w:highlight w:val="none"/>
                <w:lang w:val="en-US" w:eastAsia="zh-CN"/>
              </w:rPr>
            </w:pPr>
          </w:p>
        </w:tc>
        <w:tc>
          <w:tcPr>
            <w:tcW w:w="704" w:type="dxa"/>
            <w:vMerge w:val="continue"/>
            <w:vAlign w:val="center"/>
          </w:tcPr>
          <w:p>
            <w:pPr>
              <w:spacing w:before="100" w:after="100" w:line="336" w:lineRule="auto"/>
              <w:jc w:val="center"/>
              <w:rPr>
                <w:rFonts w:hint="eastAsia" w:ascii="宋体" w:hAnsi="宋体" w:eastAsia="宋体" w:cs="宋体"/>
                <w:color w:val="auto"/>
                <w:sz w:val="21"/>
                <w:szCs w:val="21"/>
                <w:highlight w:val="none"/>
              </w:rPr>
            </w:pPr>
          </w:p>
        </w:tc>
        <w:tc>
          <w:tcPr>
            <w:tcW w:w="2114" w:type="dxa"/>
            <w:vAlign w:val="center"/>
          </w:tcPr>
          <w:p>
            <w:pPr>
              <w:tabs>
                <w:tab w:val="center" w:pos="4153"/>
                <w:tab w:val="right" w:pos="8306"/>
              </w:tabs>
              <w:snapToGrid w:val="0"/>
              <w:jc w:val="left"/>
              <w:rPr>
                <w:rFonts w:hint="eastAsia" w:ascii="宋体" w:hAnsi="宋体" w:eastAsia="宋体" w:cs="宋体"/>
                <w:i w:val="0"/>
                <w:iCs w:val="0"/>
                <w:color w:val="auto"/>
                <w:kern w:val="2"/>
                <w:sz w:val="21"/>
                <w:szCs w:val="21"/>
                <w:highlight w:val="none"/>
                <w:lang w:val="en-US" w:eastAsia="zh-CN" w:bidi="ar-SA"/>
              </w:rPr>
            </w:pPr>
            <w:r>
              <w:rPr>
                <w:rFonts w:ascii="宋体" w:hAnsi="宋体"/>
                <w:color w:val="auto"/>
                <w:sz w:val="21"/>
                <w:szCs w:val="21"/>
                <w:highlight w:val="none"/>
              </w:rPr>
              <w:t>投标文件格式</w:t>
            </w:r>
          </w:p>
        </w:tc>
        <w:tc>
          <w:tcPr>
            <w:tcW w:w="6497" w:type="dxa"/>
            <w:vAlign w:val="center"/>
          </w:tcPr>
          <w:p>
            <w:pPr>
              <w:tabs>
                <w:tab w:val="center" w:pos="4153"/>
                <w:tab w:val="right" w:pos="8306"/>
              </w:tabs>
              <w:snapToGrid w:val="0"/>
              <w:jc w:val="both"/>
              <w:rPr>
                <w:rFonts w:hint="eastAsia" w:ascii="宋体" w:hAnsi="宋体" w:eastAsia="宋体" w:cs="宋体"/>
                <w:i w:val="0"/>
                <w:iCs w:val="0"/>
                <w:color w:val="auto"/>
                <w:kern w:val="2"/>
                <w:sz w:val="21"/>
                <w:szCs w:val="21"/>
                <w:highlight w:val="none"/>
                <w:lang w:val="en-US" w:eastAsia="zh-CN" w:bidi="ar-SA"/>
              </w:rPr>
            </w:pPr>
            <w:r>
              <w:rPr>
                <w:rFonts w:ascii="宋体" w:hAnsi="宋体"/>
                <w:color w:val="auto"/>
                <w:sz w:val="21"/>
                <w:szCs w:val="21"/>
                <w:highlight w:val="none"/>
              </w:rPr>
              <w:t>符合第</w:t>
            </w:r>
            <w:r>
              <w:rPr>
                <w:rFonts w:hint="eastAsia" w:ascii="宋体" w:hAnsi="宋体"/>
                <w:color w:val="auto"/>
                <w:sz w:val="21"/>
                <w:szCs w:val="21"/>
                <w:highlight w:val="none"/>
                <w:lang w:val="en-US" w:eastAsia="zh-CN"/>
              </w:rPr>
              <w:t>六</w:t>
            </w:r>
            <w:r>
              <w:rPr>
                <w:rFonts w:ascii="宋体" w:hAnsi="宋体"/>
                <w:color w:val="auto"/>
                <w:sz w:val="21"/>
                <w:szCs w:val="21"/>
                <w:highlight w:val="none"/>
              </w:rPr>
              <w:t>章投标文件格式”的要求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jc w:val="center"/>
        </w:trPr>
        <w:tc>
          <w:tcPr>
            <w:tcW w:w="653" w:type="dxa"/>
            <w:vMerge w:val="continue"/>
            <w:vAlign w:val="center"/>
          </w:tcPr>
          <w:p>
            <w:pPr>
              <w:pStyle w:val="14"/>
              <w:spacing w:line="336" w:lineRule="auto"/>
              <w:rPr>
                <w:rFonts w:hint="eastAsia" w:hAnsi="宋体" w:eastAsia="宋体" w:cs="宋体"/>
                <w:color w:val="auto"/>
                <w:sz w:val="21"/>
                <w:szCs w:val="21"/>
                <w:highlight w:val="none"/>
                <w:lang w:val="en-US" w:eastAsia="zh-CN"/>
              </w:rPr>
            </w:pPr>
          </w:p>
        </w:tc>
        <w:tc>
          <w:tcPr>
            <w:tcW w:w="704" w:type="dxa"/>
            <w:vMerge w:val="continue"/>
            <w:vAlign w:val="center"/>
          </w:tcPr>
          <w:p>
            <w:pPr>
              <w:spacing w:before="100" w:after="100" w:line="336" w:lineRule="auto"/>
              <w:jc w:val="center"/>
              <w:rPr>
                <w:rFonts w:hint="eastAsia" w:ascii="宋体" w:hAnsi="宋体" w:eastAsia="宋体" w:cs="宋体"/>
                <w:color w:val="auto"/>
                <w:sz w:val="21"/>
                <w:szCs w:val="21"/>
                <w:highlight w:val="none"/>
              </w:rPr>
            </w:pPr>
          </w:p>
        </w:tc>
        <w:tc>
          <w:tcPr>
            <w:tcW w:w="2114" w:type="dxa"/>
            <w:vAlign w:val="center"/>
          </w:tcPr>
          <w:p>
            <w:pPr>
              <w:jc w:val="left"/>
              <w:rPr>
                <w:rFonts w:hint="eastAsia" w:ascii="宋体" w:hAnsi="宋体" w:eastAsia="宋体" w:cs="宋体"/>
                <w:i w:val="0"/>
                <w:iCs w:val="0"/>
                <w:color w:val="auto"/>
                <w:kern w:val="2"/>
                <w:sz w:val="21"/>
                <w:szCs w:val="21"/>
                <w:highlight w:val="none"/>
                <w:lang w:val="en-US" w:eastAsia="zh-CN" w:bidi="ar-SA"/>
              </w:rPr>
            </w:pPr>
            <w:r>
              <w:rPr>
                <w:rFonts w:hint="eastAsia" w:ascii="宋体" w:hAnsi="宋体"/>
                <w:color w:val="auto"/>
                <w:sz w:val="21"/>
                <w:szCs w:val="21"/>
                <w:highlight w:val="none"/>
              </w:rPr>
              <w:t>法定代表人身份证明</w:t>
            </w:r>
          </w:p>
        </w:tc>
        <w:tc>
          <w:tcPr>
            <w:tcW w:w="6497" w:type="dxa"/>
            <w:vAlign w:val="center"/>
          </w:tcPr>
          <w:p>
            <w:pPr>
              <w:tabs>
                <w:tab w:val="center" w:pos="4153"/>
                <w:tab w:val="right" w:pos="8306"/>
              </w:tabs>
              <w:snapToGrid w:val="0"/>
              <w:spacing w:line="240" w:lineRule="auto"/>
              <w:jc w:val="both"/>
              <w:rPr>
                <w:rFonts w:hint="eastAsia" w:ascii="宋体" w:hAnsi="宋体" w:eastAsia="宋体" w:cs="宋体"/>
                <w:i w:val="0"/>
                <w:iCs w:val="0"/>
                <w:color w:val="auto"/>
                <w:kern w:val="2"/>
                <w:sz w:val="21"/>
                <w:szCs w:val="21"/>
                <w:highlight w:val="none"/>
                <w:lang w:val="en-US" w:eastAsia="zh-CN" w:bidi="ar-SA"/>
              </w:rPr>
            </w:pPr>
            <w:r>
              <w:rPr>
                <w:rFonts w:ascii="宋体" w:hAnsi="宋体" w:eastAsia="宋体" w:cs="Times New Roman"/>
                <w:color w:val="auto"/>
                <w:sz w:val="21"/>
                <w:szCs w:val="21"/>
                <w:highlight w:val="none"/>
              </w:rPr>
              <w:t>符合投标文件格式要求，内容真实有效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6" w:hRule="atLeast"/>
          <w:jc w:val="center"/>
        </w:trPr>
        <w:tc>
          <w:tcPr>
            <w:tcW w:w="653" w:type="dxa"/>
            <w:vMerge w:val="continue"/>
            <w:vAlign w:val="center"/>
          </w:tcPr>
          <w:p>
            <w:pPr>
              <w:pStyle w:val="14"/>
              <w:spacing w:line="336" w:lineRule="auto"/>
              <w:rPr>
                <w:rFonts w:hint="eastAsia" w:hAnsi="宋体" w:eastAsia="宋体" w:cs="宋体"/>
                <w:color w:val="auto"/>
                <w:sz w:val="21"/>
                <w:szCs w:val="21"/>
                <w:highlight w:val="none"/>
                <w:lang w:val="en-US" w:eastAsia="zh-CN"/>
              </w:rPr>
            </w:pPr>
          </w:p>
        </w:tc>
        <w:tc>
          <w:tcPr>
            <w:tcW w:w="704" w:type="dxa"/>
            <w:vMerge w:val="continue"/>
            <w:vAlign w:val="center"/>
          </w:tcPr>
          <w:p>
            <w:pPr>
              <w:spacing w:before="100" w:after="100" w:line="336" w:lineRule="auto"/>
              <w:jc w:val="center"/>
              <w:rPr>
                <w:rFonts w:hint="eastAsia" w:ascii="宋体" w:hAnsi="宋体" w:eastAsia="宋体" w:cs="宋体"/>
                <w:color w:val="auto"/>
                <w:sz w:val="21"/>
                <w:szCs w:val="21"/>
                <w:highlight w:val="none"/>
              </w:rPr>
            </w:pPr>
          </w:p>
        </w:tc>
        <w:tc>
          <w:tcPr>
            <w:tcW w:w="2114" w:type="dxa"/>
            <w:vAlign w:val="center"/>
          </w:tcPr>
          <w:p>
            <w:pPr>
              <w:jc w:val="left"/>
              <w:rPr>
                <w:rFonts w:hint="eastAsia" w:ascii="宋体" w:hAnsi="宋体" w:eastAsia="宋体" w:cs="宋体"/>
                <w:i w:val="0"/>
                <w:iCs w:val="0"/>
                <w:color w:val="auto"/>
                <w:kern w:val="2"/>
                <w:sz w:val="21"/>
                <w:szCs w:val="21"/>
                <w:highlight w:val="none"/>
                <w:lang w:val="en-US" w:eastAsia="zh-CN" w:bidi="ar-SA"/>
              </w:rPr>
            </w:pPr>
            <w:r>
              <w:rPr>
                <w:rFonts w:hint="eastAsia" w:ascii="宋体" w:hAnsi="宋体"/>
                <w:color w:val="auto"/>
                <w:sz w:val="21"/>
                <w:szCs w:val="21"/>
                <w:highlight w:val="none"/>
              </w:rPr>
              <w:t>授权</w:t>
            </w:r>
            <w:r>
              <w:rPr>
                <w:rFonts w:hint="eastAsia" w:ascii="宋体" w:hAnsi="宋体"/>
                <w:color w:val="auto"/>
                <w:sz w:val="21"/>
                <w:szCs w:val="21"/>
                <w:highlight w:val="none"/>
                <w:lang w:val="en-US" w:eastAsia="zh-CN"/>
              </w:rPr>
              <w:t>委托</w:t>
            </w:r>
            <w:r>
              <w:rPr>
                <w:rFonts w:hint="eastAsia" w:ascii="宋体" w:hAnsi="宋体"/>
                <w:color w:val="auto"/>
                <w:sz w:val="21"/>
                <w:szCs w:val="21"/>
                <w:highlight w:val="none"/>
              </w:rPr>
              <w:t>书</w:t>
            </w:r>
          </w:p>
        </w:tc>
        <w:tc>
          <w:tcPr>
            <w:tcW w:w="6497" w:type="dxa"/>
            <w:vAlign w:val="center"/>
          </w:tcPr>
          <w:p>
            <w:pPr>
              <w:tabs>
                <w:tab w:val="center" w:pos="4153"/>
                <w:tab w:val="right" w:pos="8306"/>
              </w:tabs>
              <w:snapToGrid w:val="0"/>
              <w:jc w:val="both"/>
              <w:rPr>
                <w:rFonts w:hint="eastAsia" w:ascii="宋体" w:hAnsi="宋体" w:eastAsia="宋体" w:cs="宋体"/>
                <w:i w:val="0"/>
                <w:iCs w:val="0"/>
                <w:color w:val="auto"/>
                <w:kern w:val="2"/>
                <w:sz w:val="21"/>
                <w:szCs w:val="21"/>
                <w:highlight w:val="none"/>
                <w:lang w:val="en-US" w:eastAsia="zh-CN" w:bidi="ar-SA"/>
              </w:rPr>
            </w:pPr>
            <w:r>
              <w:rPr>
                <w:rFonts w:ascii="宋体" w:hAnsi="宋体" w:eastAsia="宋体" w:cs="Times New Roman"/>
                <w:color w:val="auto"/>
                <w:sz w:val="21"/>
                <w:szCs w:val="21"/>
                <w:highlight w:val="none"/>
              </w:rPr>
              <w:t>符合投标文件格式要求，内容真实有效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5" w:hRule="atLeast"/>
          <w:jc w:val="center"/>
        </w:trPr>
        <w:tc>
          <w:tcPr>
            <w:tcW w:w="653" w:type="dxa"/>
            <w:vMerge w:val="continue"/>
            <w:vAlign w:val="center"/>
          </w:tcPr>
          <w:p>
            <w:pPr>
              <w:pStyle w:val="14"/>
              <w:spacing w:line="336" w:lineRule="auto"/>
              <w:rPr>
                <w:rFonts w:hint="eastAsia" w:hAnsi="宋体" w:eastAsia="宋体" w:cs="宋体"/>
                <w:color w:val="auto"/>
                <w:sz w:val="21"/>
                <w:szCs w:val="21"/>
                <w:highlight w:val="none"/>
                <w:lang w:val="en-US" w:eastAsia="zh-CN"/>
              </w:rPr>
            </w:pPr>
          </w:p>
        </w:tc>
        <w:tc>
          <w:tcPr>
            <w:tcW w:w="704" w:type="dxa"/>
            <w:vMerge w:val="continue"/>
            <w:vAlign w:val="center"/>
          </w:tcPr>
          <w:p>
            <w:pPr>
              <w:spacing w:before="100" w:after="100" w:line="336" w:lineRule="auto"/>
              <w:jc w:val="center"/>
              <w:rPr>
                <w:rFonts w:hint="eastAsia" w:ascii="宋体" w:hAnsi="宋体" w:eastAsia="宋体" w:cs="宋体"/>
                <w:color w:val="auto"/>
                <w:sz w:val="21"/>
                <w:szCs w:val="21"/>
                <w:highlight w:val="none"/>
              </w:rPr>
            </w:pPr>
          </w:p>
        </w:tc>
        <w:tc>
          <w:tcPr>
            <w:tcW w:w="2114" w:type="dxa"/>
            <w:vAlign w:val="center"/>
          </w:tcPr>
          <w:p>
            <w:pPr>
              <w:tabs>
                <w:tab w:val="center" w:pos="4153"/>
                <w:tab w:val="right" w:pos="8306"/>
              </w:tabs>
              <w:snapToGrid w:val="0"/>
              <w:jc w:val="left"/>
              <w:rPr>
                <w:rFonts w:hint="eastAsia" w:ascii="宋体" w:hAnsi="宋体" w:eastAsia="宋体" w:cs="宋体"/>
                <w:i w:val="0"/>
                <w:iCs w:val="0"/>
                <w:color w:val="auto"/>
                <w:kern w:val="2"/>
                <w:sz w:val="21"/>
                <w:szCs w:val="21"/>
                <w:highlight w:val="none"/>
                <w:lang w:val="en-US" w:eastAsia="zh-CN" w:bidi="ar-SA"/>
              </w:rPr>
            </w:pPr>
            <w:r>
              <w:rPr>
                <w:rFonts w:ascii="宋体" w:hAnsi="宋体"/>
                <w:color w:val="auto"/>
                <w:sz w:val="21"/>
                <w:szCs w:val="21"/>
                <w:highlight w:val="none"/>
              </w:rPr>
              <w:t>报价唯一</w:t>
            </w:r>
          </w:p>
        </w:tc>
        <w:tc>
          <w:tcPr>
            <w:tcW w:w="6497" w:type="dxa"/>
            <w:vAlign w:val="center"/>
          </w:tcPr>
          <w:p>
            <w:pPr>
              <w:tabs>
                <w:tab w:val="center" w:pos="4153"/>
                <w:tab w:val="right" w:pos="8306"/>
              </w:tabs>
              <w:snapToGrid w:val="0"/>
              <w:jc w:val="both"/>
              <w:rPr>
                <w:rFonts w:hint="eastAsia" w:ascii="宋体" w:hAnsi="宋体" w:eastAsia="宋体" w:cs="宋体"/>
                <w:i w:val="0"/>
                <w:iCs w:val="0"/>
                <w:color w:val="auto"/>
                <w:kern w:val="2"/>
                <w:sz w:val="21"/>
                <w:szCs w:val="21"/>
                <w:highlight w:val="none"/>
                <w:lang w:val="en-US" w:eastAsia="zh-CN" w:bidi="ar-SA"/>
              </w:rPr>
            </w:pPr>
            <w:r>
              <w:rPr>
                <w:rFonts w:hint="eastAsia" w:ascii="宋体" w:hAnsi="宋体"/>
                <w:color w:val="auto"/>
                <w:sz w:val="21"/>
                <w:szCs w:val="21"/>
                <w:highlight w:val="none"/>
              </w:rPr>
              <w:t>投标人须就所投标段项目内容分别按招标文件要求作完整</w:t>
            </w:r>
            <w:r>
              <w:rPr>
                <w:rFonts w:hint="eastAsia" w:ascii="宋体" w:hAnsi="宋体"/>
                <w:b w:val="0"/>
                <w:bCs w:val="0"/>
                <w:color w:val="auto"/>
                <w:sz w:val="21"/>
                <w:szCs w:val="21"/>
                <w:highlight w:val="none"/>
              </w:rPr>
              <w:t>唯一报价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atLeast"/>
          <w:jc w:val="center"/>
        </w:trPr>
        <w:tc>
          <w:tcPr>
            <w:tcW w:w="653" w:type="dxa"/>
            <w:vMerge w:val="restart"/>
            <w:vAlign w:val="center"/>
          </w:tcPr>
          <w:p>
            <w:pPr>
              <w:pStyle w:val="14"/>
              <w:spacing w:line="336" w:lineRule="auto"/>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1.2</w:t>
            </w:r>
          </w:p>
        </w:tc>
        <w:tc>
          <w:tcPr>
            <w:tcW w:w="704" w:type="dxa"/>
            <w:vMerge w:val="restart"/>
            <w:vAlign w:val="center"/>
          </w:tcPr>
          <w:p>
            <w:pPr>
              <w:spacing w:before="100" w:after="100" w:line="336" w:lineRule="auto"/>
              <w:jc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资格</w:t>
            </w:r>
            <w:r>
              <w:rPr>
                <w:rFonts w:hint="eastAsia" w:ascii="宋体" w:hAnsi="宋体"/>
                <w:color w:val="auto"/>
                <w:sz w:val="21"/>
                <w:szCs w:val="21"/>
                <w:highlight w:val="none"/>
              </w:rPr>
              <w:t>评审标准</w:t>
            </w:r>
          </w:p>
        </w:tc>
        <w:tc>
          <w:tcPr>
            <w:tcW w:w="2114" w:type="dxa"/>
            <w:vAlign w:val="center"/>
          </w:tcPr>
          <w:p>
            <w:pPr>
              <w:spacing w:before="100" w:after="100" w:line="336" w:lineRule="auto"/>
              <w:jc w:val="left"/>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营业执照</w:t>
            </w:r>
          </w:p>
        </w:tc>
        <w:tc>
          <w:tcPr>
            <w:tcW w:w="6497" w:type="dxa"/>
            <w:vAlign w:val="center"/>
          </w:tcPr>
          <w:p>
            <w:pPr>
              <w:pStyle w:val="14"/>
              <w:spacing w:line="336" w:lineRule="auto"/>
              <w:rPr>
                <w:rFonts w:hint="default"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符合第一章</w:t>
            </w:r>
            <w:r>
              <w:rPr>
                <w:rFonts w:ascii="宋体" w:hAnsi="宋体"/>
                <w:color w:val="auto"/>
                <w:sz w:val="21"/>
                <w:szCs w:val="21"/>
                <w:highlight w:val="none"/>
              </w:rPr>
              <w:t>“</w:t>
            </w:r>
            <w:r>
              <w:rPr>
                <w:rFonts w:hint="eastAsia" w:ascii="宋体" w:hAnsi="宋体" w:eastAsia="宋体" w:cs="宋体"/>
                <w:i w:val="0"/>
                <w:iCs w:val="0"/>
                <w:color w:val="auto"/>
                <w:kern w:val="2"/>
                <w:sz w:val="21"/>
                <w:szCs w:val="21"/>
                <w:highlight w:val="none"/>
                <w:lang w:val="en-US" w:eastAsia="zh-CN" w:bidi="ar-SA"/>
              </w:rPr>
              <w:t>招标公告</w:t>
            </w:r>
            <w:r>
              <w:rPr>
                <w:rFonts w:hint="default" w:hAnsi="宋体" w:cs="宋体"/>
                <w:i w:val="0"/>
                <w:iCs w:val="0"/>
                <w:color w:val="auto"/>
                <w:kern w:val="2"/>
                <w:sz w:val="21"/>
                <w:szCs w:val="21"/>
                <w:highlight w:val="none"/>
                <w:lang w:val="en-US" w:eastAsia="zh-CN" w:bidi="ar-SA"/>
              </w:rPr>
              <w:t>”</w:t>
            </w:r>
            <w:r>
              <w:rPr>
                <w:rFonts w:hint="eastAsia" w:ascii="宋体" w:hAnsi="宋体" w:eastAsia="宋体" w:cs="宋体"/>
                <w:i w:val="0"/>
                <w:iCs w:val="0"/>
                <w:color w:val="auto"/>
                <w:kern w:val="2"/>
                <w:sz w:val="21"/>
                <w:szCs w:val="21"/>
                <w:highlight w:val="none"/>
                <w:lang w:val="en-US" w:eastAsia="zh-CN" w:bidi="ar-SA"/>
              </w:rPr>
              <w:t>第3.投标人的资格要求</w:t>
            </w:r>
            <w:r>
              <w:rPr>
                <w:rFonts w:hint="eastAsia" w:hAnsi="宋体" w:cs="宋体"/>
                <w:i w:val="0"/>
                <w:iCs w:val="0"/>
                <w:color w:val="auto"/>
                <w:kern w:val="2"/>
                <w:sz w:val="21"/>
                <w:szCs w:val="21"/>
                <w:highlight w:val="none"/>
                <w:lang w:val="en-US" w:eastAsia="zh-CN" w:bidi="ar-SA"/>
              </w:rPr>
              <w:t>相关规定</w:t>
            </w:r>
          </w:p>
          <w:p>
            <w:pPr>
              <w:pStyle w:val="14"/>
              <w:spacing w:line="336" w:lineRule="auto"/>
              <w:rPr>
                <w:rFonts w:hint="eastAsia" w:ascii="宋体" w:hAnsi="宋体" w:eastAsia="宋体" w:cs="宋体"/>
                <w:i w:val="0"/>
                <w:iCs w:val="0"/>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53" w:type="dxa"/>
            <w:vMerge w:val="continue"/>
            <w:vAlign w:val="center"/>
          </w:tcPr>
          <w:p>
            <w:pPr>
              <w:pStyle w:val="14"/>
              <w:spacing w:line="336" w:lineRule="auto"/>
              <w:rPr>
                <w:rFonts w:hint="eastAsia" w:ascii="宋体" w:hAnsi="宋体" w:eastAsia="宋体" w:cs="宋体"/>
                <w:color w:val="auto"/>
                <w:sz w:val="21"/>
                <w:szCs w:val="21"/>
                <w:highlight w:val="none"/>
              </w:rPr>
            </w:pPr>
          </w:p>
        </w:tc>
        <w:tc>
          <w:tcPr>
            <w:tcW w:w="704" w:type="dxa"/>
            <w:vMerge w:val="continue"/>
            <w:vAlign w:val="center"/>
          </w:tcPr>
          <w:p>
            <w:pPr>
              <w:spacing w:before="100" w:after="100" w:line="336" w:lineRule="auto"/>
              <w:jc w:val="center"/>
              <w:rPr>
                <w:rFonts w:hint="eastAsia" w:ascii="宋体" w:hAnsi="宋体" w:eastAsia="宋体" w:cs="宋体"/>
                <w:color w:val="auto"/>
                <w:sz w:val="21"/>
                <w:szCs w:val="21"/>
                <w:highlight w:val="none"/>
              </w:rPr>
            </w:pPr>
          </w:p>
        </w:tc>
        <w:tc>
          <w:tcPr>
            <w:tcW w:w="2114" w:type="dxa"/>
            <w:vAlign w:val="center"/>
          </w:tcPr>
          <w:p>
            <w:pPr>
              <w:spacing w:before="100" w:after="100" w:line="336" w:lineRule="auto"/>
              <w:jc w:val="left"/>
              <w:rPr>
                <w:rFonts w:hint="default"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财务要求</w:t>
            </w:r>
          </w:p>
        </w:tc>
        <w:tc>
          <w:tcPr>
            <w:tcW w:w="6497" w:type="dxa"/>
            <w:vAlign w:val="center"/>
          </w:tcPr>
          <w:p>
            <w:pPr>
              <w:pStyle w:val="14"/>
              <w:spacing w:line="336" w:lineRule="auto"/>
              <w:rPr>
                <w:rFonts w:hint="default"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符合第一章</w:t>
            </w:r>
            <w:r>
              <w:rPr>
                <w:rFonts w:ascii="宋体" w:hAnsi="宋体"/>
                <w:color w:val="auto"/>
                <w:sz w:val="21"/>
                <w:szCs w:val="21"/>
                <w:highlight w:val="none"/>
              </w:rPr>
              <w:t>“</w:t>
            </w:r>
            <w:r>
              <w:rPr>
                <w:rFonts w:hint="eastAsia" w:ascii="宋体" w:hAnsi="宋体" w:eastAsia="宋体" w:cs="宋体"/>
                <w:i w:val="0"/>
                <w:iCs w:val="0"/>
                <w:color w:val="auto"/>
                <w:kern w:val="2"/>
                <w:sz w:val="21"/>
                <w:szCs w:val="21"/>
                <w:highlight w:val="none"/>
                <w:lang w:val="en-US" w:eastAsia="zh-CN" w:bidi="ar-SA"/>
              </w:rPr>
              <w:t>招标公告</w:t>
            </w:r>
            <w:r>
              <w:rPr>
                <w:rFonts w:hint="default" w:hAnsi="宋体" w:cs="宋体"/>
                <w:i w:val="0"/>
                <w:iCs w:val="0"/>
                <w:color w:val="auto"/>
                <w:kern w:val="2"/>
                <w:sz w:val="21"/>
                <w:szCs w:val="21"/>
                <w:highlight w:val="none"/>
                <w:lang w:val="en-US" w:eastAsia="zh-CN" w:bidi="ar-SA"/>
              </w:rPr>
              <w:t>”</w:t>
            </w:r>
            <w:r>
              <w:rPr>
                <w:rFonts w:hint="eastAsia" w:ascii="宋体" w:hAnsi="宋体" w:eastAsia="宋体" w:cs="宋体"/>
                <w:i w:val="0"/>
                <w:iCs w:val="0"/>
                <w:color w:val="auto"/>
                <w:kern w:val="2"/>
                <w:sz w:val="21"/>
                <w:szCs w:val="21"/>
                <w:highlight w:val="none"/>
                <w:lang w:val="en-US" w:eastAsia="zh-CN" w:bidi="ar-SA"/>
              </w:rPr>
              <w:t>第3.投标人的资格要求</w:t>
            </w:r>
            <w:r>
              <w:rPr>
                <w:rFonts w:hint="eastAsia" w:hAnsi="宋体" w:cs="宋体"/>
                <w:i w:val="0"/>
                <w:iCs w:val="0"/>
                <w:color w:val="auto"/>
                <w:kern w:val="2"/>
                <w:sz w:val="21"/>
                <w:szCs w:val="21"/>
                <w:highlight w:val="none"/>
                <w:lang w:val="en-US" w:eastAsia="zh-CN" w:bidi="ar-SA"/>
              </w:rPr>
              <w:t>相关规定</w:t>
            </w:r>
          </w:p>
          <w:p>
            <w:pPr>
              <w:pStyle w:val="14"/>
              <w:spacing w:line="336" w:lineRule="auto"/>
              <w:rPr>
                <w:rFonts w:hint="eastAsia" w:ascii="宋体" w:hAnsi="宋体" w:eastAsia="宋体" w:cs="宋体"/>
                <w:i w:val="0"/>
                <w:iCs w:val="0"/>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5" w:hRule="atLeast"/>
          <w:jc w:val="center"/>
        </w:trPr>
        <w:tc>
          <w:tcPr>
            <w:tcW w:w="653" w:type="dxa"/>
            <w:vMerge w:val="continue"/>
            <w:vAlign w:val="center"/>
          </w:tcPr>
          <w:p>
            <w:pPr>
              <w:pStyle w:val="14"/>
              <w:spacing w:line="336" w:lineRule="auto"/>
              <w:rPr>
                <w:rFonts w:hint="eastAsia" w:ascii="宋体" w:hAnsi="宋体" w:eastAsia="宋体" w:cs="宋体"/>
                <w:color w:val="auto"/>
                <w:sz w:val="21"/>
                <w:szCs w:val="21"/>
                <w:highlight w:val="none"/>
              </w:rPr>
            </w:pPr>
          </w:p>
        </w:tc>
        <w:tc>
          <w:tcPr>
            <w:tcW w:w="704" w:type="dxa"/>
            <w:vMerge w:val="continue"/>
            <w:vAlign w:val="center"/>
          </w:tcPr>
          <w:p>
            <w:pPr>
              <w:spacing w:before="100" w:after="100" w:line="336" w:lineRule="auto"/>
              <w:jc w:val="center"/>
              <w:rPr>
                <w:rFonts w:hint="eastAsia" w:ascii="宋体" w:hAnsi="宋体" w:eastAsia="宋体" w:cs="宋体"/>
                <w:color w:val="auto"/>
                <w:sz w:val="21"/>
                <w:szCs w:val="21"/>
                <w:highlight w:val="none"/>
              </w:rPr>
            </w:pPr>
          </w:p>
        </w:tc>
        <w:tc>
          <w:tcPr>
            <w:tcW w:w="2114" w:type="dxa"/>
            <w:vAlign w:val="center"/>
          </w:tcPr>
          <w:p>
            <w:pPr>
              <w:spacing w:before="100" w:after="100" w:line="336" w:lineRule="auto"/>
              <w:jc w:val="left"/>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具有履行合同所必需的设备和专业技术能力</w:t>
            </w:r>
          </w:p>
        </w:tc>
        <w:tc>
          <w:tcPr>
            <w:tcW w:w="6497" w:type="dxa"/>
            <w:vAlign w:val="center"/>
          </w:tcPr>
          <w:p>
            <w:pPr>
              <w:pStyle w:val="14"/>
              <w:spacing w:line="336" w:lineRule="auto"/>
              <w:rPr>
                <w:rFonts w:hint="default"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符合第一章</w:t>
            </w:r>
            <w:r>
              <w:rPr>
                <w:rFonts w:ascii="宋体" w:hAnsi="宋体"/>
                <w:color w:val="auto"/>
                <w:sz w:val="21"/>
                <w:szCs w:val="21"/>
                <w:highlight w:val="none"/>
              </w:rPr>
              <w:t>“</w:t>
            </w:r>
            <w:r>
              <w:rPr>
                <w:rFonts w:hint="eastAsia" w:ascii="宋体" w:hAnsi="宋体" w:eastAsia="宋体" w:cs="宋体"/>
                <w:i w:val="0"/>
                <w:iCs w:val="0"/>
                <w:color w:val="auto"/>
                <w:kern w:val="2"/>
                <w:sz w:val="21"/>
                <w:szCs w:val="21"/>
                <w:highlight w:val="none"/>
                <w:lang w:val="en-US" w:eastAsia="zh-CN" w:bidi="ar-SA"/>
              </w:rPr>
              <w:t>招标公告</w:t>
            </w:r>
            <w:r>
              <w:rPr>
                <w:rFonts w:hint="default" w:hAnsi="宋体" w:cs="宋体"/>
                <w:i w:val="0"/>
                <w:iCs w:val="0"/>
                <w:color w:val="auto"/>
                <w:kern w:val="2"/>
                <w:sz w:val="21"/>
                <w:szCs w:val="21"/>
                <w:highlight w:val="none"/>
                <w:lang w:val="en-US" w:eastAsia="zh-CN" w:bidi="ar-SA"/>
              </w:rPr>
              <w:t>”</w:t>
            </w:r>
            <w:r>
              <w:rPr>
                <w:rFonts w:hint="eastAsia" w:ascii="宋体" w:hAnsi="宋体" w:eastAsia="宋体" w:cs="宋体"/>
                <w:i w:val="0"/>
                <w:iCs w:val="0"/>
                <w:color w:val="auto"/>
                <w:kern w:val="2"/>
                <w:sz w:val="21"/>
                <w:szCs w:val="21"/>
                <w:highlight w:val="none"/>
                <w:lang w:val="en-US" w:eastAsia="zh-CN" w:bidi="ar-SA"/>
              </w:rPr>
              <w:t>第3.投标人的资格要求</w:t>
            </w:r>
            <w:r>
              <w:rPr>
                <w:rFonts w:hint="eastAsia" w:hAnsi="宋体" w:cs="宋体"/>
                <w:i w:val="0"/>
                <w:iCs w:val="0"/>
                <w:color w:val="auto"/>
                <w:kern w:val="2"/>
                <w:sz w:val="21"/>
                <w:szCs w:val="21"/>
                <w:highlight w:val="none"/>
                <w:lang w:val="en-US" w:eastAsia="zh-CN" w:bidi="ar-SA"/>
              </w:rPr>
              <w:t>相关规定</w:t>
            </w:r>
          </w:p>
          <w:p>
            <w:pPr>
              <w:pStyle w:val="14"/>
              <w:spacing w:line="336" w:lineRule="auto"/>
              <w:rPr>
                <w:rFonts w:hint="eastAsia" w:ascii="宋体" w:hAnsi="宋体" w:eastAsia="宋体" w:cs="宋体"/>
                <w:i w:val="0"/>
                <w:iCs w:val="0"/>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4" w:hRule="atLeast"/>
          <w:jc w:val="center"/>
        </w:trPr>
        <w:tc>
          <w:tcPr>
            <w:tcW w:w="653" w:type="dxa"/>
            <w:vMerge w:val="continue"/>
            <w:vAlign w:val="center"/>
          </w:tcPr>
          <w:p>
            <w:pPr>
              <w:pStyle w:val="14"/>
              <w:spacing w:line="336" w:lineRule="auto"/>
              <w:rPr>
                <w:rFonts w:hint="eastAsia" w:ascii="宋体" w:hAnsi="宋体" w:eastAsia="宋体" w:cs="宋体"/>
                <w:color w:val="auto"/>
                <w:sz w:val="21"/>
                <w:szCs w:val="21"/>
                <w:highlight w:val="none"/>
              </w:rPr>
            </w:pPr>
          </w:p>
        </w:tc>
        <w:tc>
          <w:tcPr>
            <w:tcW w:w="704" w:type="dxa"/>
            <w:vMerge w:val="continue"/>
            <w:vAlign w:val="center"/>
          </w:tcPr>
          <w:p>
            <w:pPr>
              <w:spacing w:before="100" w:after="100" w:line="336" w:lineRule="auto"/>
              <w:jc w:val="center"/>
              <w:rPr>
                <w:rFonts w:hint="eastAsia" w:ascii="宋体" w:hAnsi="宋体" w:eastAsia="宋体" w:cs="宋体"/>
                <w:color w:val="auto"/>
                <w:sz w:val="21"/>
                <w:szCs w:val="21"/>
                <w:highlight w:val="none"/>
              </w:rPr>
            </w:pPr>
          </w:p>
        </w:tc>
        <w:tc>
          <w:tcPr>
            <w:tcW w:w="2114" w:type="dxa"/>
            <w:vAlign w:val="center"/>
          </w:tcPr>
          <w:p>
            <w:pPr>
              <w:spacing w:before="100" w:after="100" w:line="336" w:lineRule="auto"/>
              <w:jc w:val="left"/>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有依法缴纳税收的良好记录</w:t>
            </w:r>
          </w:p>
        </w:tc>
        <w:tc>
          <w:tcPr>
            <w:tcW w:w="6497" w:type="dxa"/>
            <w:vAlign w:val="center"/>
          </w:tcPr>
          <w:p>
            <w:pPr>
              <w:pStyle w:val="14"/>
              <w:spacing w:line="336" w:lineRule="auto"/>
              <w:rPr>
                <w:rFonts w:hint="default"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符合第一章</w:t>
            </w:r>
            <w:r>
              <w:rPr>
                <w:rFonts w:ascii="宋体" w:hAnsi="宋体"/>
                <w:color w:val="auto"/>
                <w:sz w:val="21"/>
                <w:szCs w:val="21"/>
                <w:highlight w:val="none"/>
              </w:rPr>
              <w:t>“</w:t>
            </w:r>
            <w:r>
              <w:rPr>
                <w:rFonts w:hint="eastAsia" w:ascii="宋体" w:hAnsi="宋体" w:eastAsia="宋体" w:cs="宋体"/>
                <w:i w:val="0"/>
                <w:iCs w:val="0"/>
                <w:color w:val="auto"/>
                <w:kern w:val="2"/>
                <w:sz w:val="21"/>
                <w:szCs w:val="21"/>
                <w:highlight w:val="none"/>
                <w:lang w:val="en-US" w:eastAsia="zh-CN" w:bidi="ar-SA"/>
              </w:rPr>
              <w:t>招标公告</w:t>
            </w:r>
            <w:r>
              <w:rPr>
                <w:rFonts w:hint="default" w:hAnsi="宋体" w:cs="宋体"/>
                <w:i w:val="0"/>
                <w:iCs w:val="0"/>
                <w:color w:val="auto"/>
                <w:kern w:val="2"/>
                <w:sz w:val="21"/>
                <w:szCs w:val="21"/>
                <w:highlight w:val="none"/>
                <w:lang w:val="en-US" w:eastAsia="zh-CN" w:bidi="ar-SA"/>
              </w:rPr>
              <w:t>”</w:t>
            </w:r>
            <w:r>
              <w:rPr>
                <w:rFonts w:hint="eastAsia" w:ascii="宋体" w:hAnsi="宋体" w:eastAsia="宋体" w:cs="宋体"/>
                <w:i w:val="0"/>
                <w:iCs w:val="0"/>
                <w:color w:val="auto"/>
                <w:kern w:val="2"/>
                <w:sz w:val="21"/>
                <w:szCs w:val="21"/>
                <w:highlight w:val="none"/>
                <w:lang w:val="en-US" w:eastAsia="zh-CN" w:bidi="ar-SA"/>
              </w:rPr>
              <w:t>第3.投标人的资格要求</w:t>
            </w:r>
            <w:r>
              <w:rPr>
                <w:rFonts w:hint="eastAsia" w:hAnsi="宋体" w:cs="宋体"/>
                <w:i w:val="0"/>
                <w:iCs w:val="0"/>
                <w:color w:val="auto"/>
                <w:kern w:val="2"/>
                <w:sz w:val="21"/>
                <w:szCs w:val="21"/>
                <w:highlight w:val="none"/>
                <w:lang w:val="en-US" w:eastAsia="zh-CN" w:bidi="ar-SA"/>
              </w:rPr>
              <w:t>相关规定</w:t>
            </w:r>
          </w:p>
          <w:p>
            <w:pPr>
              <w:pStyle w:val="14"/>
              <w:spacing w:line="336" w:lineRule="auto"/>
              <w:rPr>
                <w:rFonts w:hint="default" w:ascii="宋体" w:hAnsi="宋体" w:eastAsia="宋体" w:cs="宋体"/>
                <w:i w:val="0"/>
                <w:iCs w:val="0"/>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4" w:hRule="atLeast"/>
          <w:jc w:val="center"/>
        </w:trPr>
        <w:tc>
          <w:tcPr>
            <w:tcW w:w="653" w:type="dxa"/>
            <w:vMerge w:val="continue"/>
            <w:vAlign w:val="center"/>
          </w:tcPr>
          <w:p>
            <w:pPr>
              <w:pStyle w:val="14"/>
              <w:spacing w:line="336" w:lineRule="auto"/>
              <w:rPr>
                <w:rFonts w:hint="eastAsia" w:ascii="宋体" w:hAnsi="宋体" w:eastAsia="宋体" w:cs="宋体"/>
                <w:color w:val="auto"/>
                <w:sz w:val="21"/>
                <w:szCs w:val="21"/>
                <w:highlight w:val="none"/>
              </w:rPr>
            </w:pPr>
          </w:p>
        </w:tc>
        <w:tc>
          <w:tcPr>
            <w:tcW w:w="704" w:type="dxa"/>
            <w:vMerge w:val="continue"/>
            <w:vAlign w:val="center"/>
          </w:tcPr>
          <w:p>
            <w:pPr>
              <w:spacing w:before="100" w:after="100" w:line="336" w:lineRule="auto"/>
              <w:jc w:val="center"/>
              <w:rPr>
                <w:rFonts w:hint="eastAsia" w:ascii="宋体" w:hAnsi="宋体" w:eastAsia="宋体" w:cs="宋体"/>
                <w:color w:val="auto"/>
                <w:sz w:val="21"/>
                <w:szCs w:val="21"/>
                <w:highlight w:val="none"/>
              </w:rPr>
            </w:pPr>
          </w:p>
        </w:tc>
        <w:tc>
          <w:tcPr>
            <w:tcW w:w="2114" w:type="dxa"/>
            <w:vAlign w:val="center"/>
          </w:tcPr>
          <w:p>
            <w:pPr>
              <w:spacing w:before="100" w:after="100" w:line="336" w:lineRule="auto"/>
              <w:jc w:val="left"/>
              <w:rPr>
                <w:rFonts w:hint="eastAsia" w:ascii="宋体" w:hAnsi="宋体" w:cs="宋体"/>
                <w:b w:val="0"/>
                <w:color w:val="auto"/>
                <w:kern w:val="2"/>
                <w:sz w:val="21"/>
                <w:szCs w:val="21"/>
                <w:highlight w:val="none"/>
                <w:lang w:val="en-US" w:eastAsia="zh-CN" w:bidi="ar-SA"/>
              </w:rPr>
            </w:pPr>
            <w:r>
              <w:rPr>
                <w:rFonts w:hint="eastAsia" w:ascii="宋体" w:hAnsi="宋体" w:cs="宋体"/>
                <w:b w:val="0"/>
                <w:color w:val="auto"/>
                <w:kern w:val="2"/>
                <w:sz w:val="21"/>
                <w:szCs w:val="21"/>
                <w:highlight w:val="none"/>
                <w:lang w:val="en-US" w:eastAsia="zh-CN" w:bidi="ar-SA"/>
              </w:rPr>
              <w:t>有依法缴纳社会保障资金的良好记录</w:t>
            </w:r>
          </w:p>
        </w:tc>
        <w:tc>
          <w:tcPr>
            <w:tcW w:w="6497" w:type="dxa"/>
            <w:vAlign w:val="center"/>
          </w:tcPr>
          <w:p>
            <w:pPr>
              <w:pStyle w:val="14"/>
              <w:spacing w:line="336" w:lineRule="auto"/>
              <w:rPr>
                <w:rFonts w:hint="default"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符合第一章</w:t>
            </w:r>
            <w:r>
              <w:rPr>
                <w:rFonts w:ascii="宋体" w:hAnsi="宋体"/>
                <w:color w:val="auto"/>
                <w:sz w:val="21"/>
                <w:szCs w:val="21"/>
                <w:highlight w:val="none"/>
              </w:rPr>
              <w:t>“</w:t>
            </w:r>
            <w:r>
              <w:rPr>
                <w:rFonts w:hint="eastAsia" w:ascii="宋体" w:hAnsi="宋体" w:eastAsia="宋体" w:cs="宋体"/>
                <w:i w:val="0"/>
                <w:iCs w:val="0"/>
                <w:color w:val="auto"/>
                <w:kern w:val="2"/>
                <w:sz w:val="21"/>
                <w:szCs w:val="21"/>
                <w:highlight w:val="none"/>
                <w:lang w:val="en-US" w:eastAsia="zh-CN" w:bidi="ar-SA"/>
              </w:rPr>
              <w:t>招标公告</w:t>
            </w:r>
            <w:r>
              <w:rPr>
                <w:rFonts w:hint="default" w:hAnsi="宋体" w:cs="宋体"/>
                <w:i w:val="0"/>
                <w:iCs w:val="0"/>
                <w:color w:val="auto"/>
                <w:kern w:val="2"/>
                <w:sz w:val="21"/>
                <w:szCs w:val="21"/>
                <w:highlight w:val="none"/>
                <w:lang w:val="en-US" w:eastAsia="zh-CN" w:bidi="ar-SA"/>
              </w:rPr>
              <w:t>”</w:t>
            </w:r>
            <w:r>
              <w:rPr>
                <w:rFonts w:hint="eastAsia" w:ascii="宋体" w:hAnsi="宋体" w:eastAsia="宋体" w:cs="宋体"/>
                <w:i w:val="0"/>
                <w:iCs w:val="0"/>
                <w:color w:val="auto"/>
                <w:kern w:val="2"/>
                <w:sz w:val="21"/>
                <w:szCs w:val="21"/>
                <w:highlight w:val="none"/>
                <w:lang w:val="en-US" w:eastAsia="zh-CN" w:bidi="ar-SA"/>
              </w:rPr>
              <w:t>第3.投标人的资格要求</w:t>
            </w:r>
            <w:r>
              <w:rPr>
                <w:rFonts w:hint="eastAsia" w:hAnsi="宋体" w:cs="宋体"/>
                <w:i w:val="0"/>
                <w:iCs w:val="0"/>
                <w:color w:val="auto"/>
                <w:kern w:val="2"/>
                <w:sz w:val="21"/>
                <w:szCs w:val="21"/>
                <w:highlight w:val="none"/>
                <w:lang w:val="en-US" w:eastAsia="zh-CN" w:bidi="ar-SA"/>
              </w:rPr>
              <w:t>相关规定</w:t>
            </w:r>
          </w:p>
          <w:p>
            <w:pPr>
              <w:pStyle w:val="14"/>
              <w:spacing w:line="336" w:lineRule="auto"/>
              <w:rPr>
                <w:rFonts w:hint="eastAsia" w:ascii="宋体" w:hAnsi="宋体" w:eastAsia="宋体" w:cs="宋体"/>
                <w:i w:val="0"/>
                <w:iCs w:val="0"/>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2" w:hRule="atLeast"/>
          <w:jc w:val="center"/>
        </w:trPr>
        <w:tc>
          <w:tcPr>
            <w:tcW w:w="653" w:type="dxa"/>
            <w:vMerge w:val="continue"/>
            <w:vAlign w:val="center"/>
          </w:tcPr>
          <w:p>
            <w:pPr>
              <w:spacing w:before="100" w:after="100" w:line="336" w:lineRule="auto"/>
              <w:jc w:val="left"/>
              <w:rPr>
                <w:rFonts w:hint="eastAsia" w:ascii="宋体" w:hAnsi="宋体" w:eastAsia="宋体" w:cs="宋体"/>
                <w:color w:val="auto"/>
                <w:sz w:val="21"/>
                <w:szCs w:val="21"/>
                <w:highlight w:val="none"/>
              </w:rPr>
            </w:pPr>
          </w:p>
        </w:tc>
        <w:tc>
          <w:tcPr>
            <w:tcW w:w="704" w:type="dxa"/>
            <w:vMerge w:val="continue"/>
            <w:vAlign w:val="center"/>
          </w:tcPr>
          <w:p>
            <w:pPr>
              <w:spacing w:before="100" w:after="100" w:line="336" w:lineRule="auto"/>
              <w:rPr>
                <w:rFonts w:hint="eastAsia" w:ascii="宋体" w:hAnsi="宋体" w:eastAsia="宋体" w:cs="宋体"/>
                <w:color w:val="auto"/>
                <w:sz w:val="21"/>
                <w:szCs w:val="21"/>
                <w:highlight w:val="none"/>
              </w:rPr>
            </w:pPr>
          </w:p>
        </w:tc>
        <w:tc>
          <w:tcPr>
            <w:tcW w:w="2114" w:type="dxa"/>
            <w:vAlign w:val="center"/>
          </w:tcPr>
          <w:p>
            <w:pPr>
              <w:spacing w:before="100" w:after="100" w:line="336" w:lineRule="auto"/>
              <w:jc w:val="left"/>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参加投标活动前三年内，在经营活动中没有重大违法记录</w:t>
            </w:r>
          </w:p>
        </w:tc>
        <w:tc>
          <w:tcPr>
            <w:tcW w:w="6497" w:type="dxa"/>
            <w:vAlign w:val="center"/>
          </w:tcPr>
          <w:p>
            <w:pPr>
              <w:pStyle w:val="14"/>
              <w:spacing w:line="336" w:lineRule="auto"/>
              <w:rPr>
                <w:rFonts w:hint="default"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符合第一章</w:t>
            </w:r>
            <w:r>
              <w:rPr>
                <w:rFonts w:ascii="宋体" w:hAnsi="宋体"/>
                <w:color w:val="auto"/>
                <w:sz w:val="21"/>
                <w:szCs w:val="21"/>
                <w:highlight w:val="none"/>
              </w:rPr>
              <w:t>“</w:t>
            </w:r>
            <w:r>
              <w:rPr>
                <w:rFonts w:hint="eastAsia" w:ascii="宋体" w:hAnsi="宋体" w:eastAsia="宋体" w:cs="宋体"/>
                <w:i w:val="0"/>
                <w:iCs w:val="0"/>
                <w:color w:val="auto"/>
                <w:kern w:val="2"/>
                <w:sz w:val="21"/>
                <w:szCs w:val="21"/>
                <w:highlight w:val="none"/>
                <w:lang w:val="en-US" w:eastAsia="zh-CN" w:bidi="ar-SA"/>
              </w:rPr>
              <w:t>招标公告</w:t>
            </w:r>
            <w:r>
              <w:rPr>
                <w:rFonts w:hint="default" w:hAnsi="宋体" w:cs="宋体"/>
                <w:i w:val="0"/>
                <w:iCs w:val="0"/>
                <w:color w:val="auto"/>
                <w:kern w:val="2"/>
                <w:sz w:val="21"/>
                <w:szCs w:val="21"/>
                <w:highlight w:val="none"/>
                <w:lang w:val="en-US" w:eastAsia="zh-CN" w:bidi="ar-SA"/>
              </w:rPr>
              <w:t>”</w:t>
            </w:r>
            <w:r>
              <w:rPr>
                <w:rFonts w:hint="eastAsia" w:ascii="宋体" w:hAnsi="宋体" w:eastAsia="宋体" w:cs="宋体"/>
                <w:i w:val="0"/>
                <w:iCs w:val="0"/>
                <w:color w:val="auto"/>
                <w:kern w:val="2"/>
                <w:sz w:val="21"/>
                <w:szCs w:val="21"/>
                <w:highlight w:val="none"/>
                <w:lang w:val="en-US" w:eastAsia="zh-CN" w:bidi="ar-SA"/>
              </w:rPr>
              <w:t>第3.投标人的资格要求</w:t>
            </w:r>
            <w:r>
              <w:rPr>
                <w:rFonts w:hint="eastAsia" w:hAnsi="宋体" w:cs="宋体"/>
                <w:i w:val="0"/>
                <w:iCs w:val="0"/>
                <w:color w:val="auto"/>
                <w:kern w:val="2"/>
                <w:sz w:val="21"/>
                <w:szCs w:val="21"/>
                <w:highlight w:val="none"/>
                <w:lang w:val="en-US" w:eastAsia="zh-CN" w:bidi="ar-SA"/>
              </w:rPr>
              <w:t>相关规定</w:t>
            </w:r>
          </w:p>
          <w:p>
            <w:pPr>
              <w:pStyle w:val="14"/>
              <w:spacing w:line="336" w:lineRule="auto"/>
              <w:rPr>
                <w:rFonts w:hint="eastAsia" w:ascii="宋体" w:hAnsi="宋体" w:eastAsia="宋体" w:cs="宋体"/>
                <w:i w:val="0"/>
                <w:iCs w:val="0"/>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53" w:type="dxa"/>
            <w:vMerge w:val="continue"/>
            <w:vAlign w:val="center"/>
          </w:tcPr>
          <w:p>
            <w:pPr>
              <w:spacing w:before="100" w:after="100" w:line="336" w:lineRule="auto"/>
              <w:jc w:val="left"/>
              <w:rPr>
                <w:rFonts w:hint="eastAsia" w:ascii="宋体" w:hAnsi="宋体" w:eastAsia="宋体" w:cs="宋体"/>
                <w:color w:val="auto"/>
                <w:sz w:val="21"/>
                <w:szCs w:val="21"/>
                <w:highlight w:val="none"/>
              </w:rPr>
            </w:pPr>
          </w:p>
        </w:tc>
        <w:tc>
          <w:tcPr>
            <w:tcW w:w="704" w:type="dxa"/>
            <w:vMerge w:val="continue"/>
            <w:vAlign w:val="center"/>
          </w:tcPr>
          <w:p>
            <w:pPr>
              <w:spacing w:before="100" w:after="100" w:line="336" w:lineRule="auto"/>
              <w:rPr>
                <w:rFonts w:hint="eastAsia" w:ascii="宋体" w:hAnsi="宋体" w:eastAsia="宋体" w:cs="宋体"/>
                <w:color w:val="auto"/>
                <w:sz w:val="21"/>
                <w:szCs w:val="21"/>
                <w:highlight w:val="none"/>
              </w:rPr>
            </w:pPr>
          </w:p>
        </w:tc>
        <w:tc>
          <w:tcPr>
            <w:tcW w:w="2114" w:type="dxa"/>
            <w:vAlign w:val="center"/>
          </w:tcPr>
          <w:p>
            <w:pPr>
              <w:spacing w:before="100" w:after="100" w:line="336" w:lineRule="auto"/>
              <w:jc w:val="left"/>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法律、行政法规规定的其他条件</w:t>
            </w:r>
          </w:p>
        </w:tc>
        <w:tc>
          <w:tcPr>
            <w:tcW w:w="6497" w:type="dxa"/>
            <w:vAlign w:val="center"/>
          </w:tcPr>
          <w:p>
            <w:pPr>
              <w:pStyle w:val="14"/>
              <w:spacing w:line="336" w:lineRule="auto"/>
              <w:rPr>
                <w:rFonts w:hint="default"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符合第一章</w:t>
            </w:r>
            <w:r>
              <w:rPr>
                <w:rFonts w:ascii="宋体" w:hAnsi="宋体"/>
                <w:color w:val="auto"/>
                <w:sz w:val="21"/>
                <w:szCs w:val="21"/>
                <w:highlight w:val="none"/>
              </w:rPr>
              <w:t>“</w:t>
            </w:r>
            <w:r>
              <w:rPr>
                <w:rFonts w:hint="eastAsia" w:ascii="宋体" w:hAnsi="宋体" w:eastAsia="宋体" w:cs="宋体"/>
                <w:i w:val="0"/>
                <w:iCs w:val="0"/>
                <w:color w:val="auto"/>
                <w:kern w:val="2"/>
                <w:sz w:val="21"/>
                <w:szCs w:val="21"/>
                <w:highlight w:val="none"/>
                <w:lang w:val="en-US" w:eastAsia="zh-CN" w:bidi="ar-SA"/>
              </w:rPr>
              <w:t>招标公告</w:t>
            </w:r>
            <w:r>
              <w:rPr>
                <w:rFonts w:hint="default" w:hAnsi="宋体" w:cs="宋体"/>
                <w:i w:val="0"/>
                <w:iCs w:val="0"/>
                <w:color w:val="auto"/>
                <w:kern w:val="2"/>
                <w:sz w:val="21"/>
                <w:szCs w:val="21"/>
                <w:highlight w:val="none"/>
                <w:lang w:val="en-US" w:eastAsia="zh-CN" w:bidi="ar-SA"/>
              </w:rPr>
              <w:t>”</w:t>
            </w:r>
            <w:r>
              <w:rPr>
                <w:rFonts w:hint="eastAsia" w:ascii="宋体" w:hAnsi="宋体" w:eastAsia="宋体" w:cs="宋体"/>
                <w:i w:val="0"/>
                <w:iCs w:val="0"/>
                <w:color w:val="auto"/>
                <w:kern w:val="2"/>
                <w:sz w:val="21"/>
                <w:szCs w:val="21"/>
                <w:highlight w:val="none"/>
                <w:lang w:val="en-US" w:eastAsia="zh-CN" w:bidi="ar-SA"/>
              </w:rPr>
              <w:t>第3.投标人的资格要求</w:t>
            </w:r>
            <w:r>
              <w:rPr>
                <w:rFonts w:hint="eastAsia" w:hAnsi="宋体" w:cs="宋体"/>
                <w:i w:val="0"/>
                <w:iCs w:val="0"/>
                <w:color w:val="auto"/>
                <w:kern w:val="2"/>
                <w:sz w:val="21"/>
                <w:szCs w:val="21"/>
                <w:highlight w:val="none"/>
                <w:lang w:val="en-US" w:eastAsia="zh-CN" w:bidi="ar-SA"/>
              </w:rPr>
              <w:t>相关规定</w:t>
            </w:r>
          </w:p>
          <w:p>
            <w:pPr>
              <w:pStyle w:val="14"/>
              <w:spacing w:line="336" w:lineRule="auto"/>
              <w:rPr>
                <w:rFonts w:hint="eastAsia" w:ascii="宋体" w:hAnsi="宋体" w:eastAsia="宋体" w:cs="宋体"/>
                <w:i w:val="0"/>
                <w:iCs w:val="0"/>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53" w:type="dxa"/>
            <w:vMerge w:val="continue"/>
            <w:vAlign w:val="center"/>
          </w:tcPr>
          <w:p>
            <w:pPr>
              <w:spacing w:before="100" w:after="100" w:line="336" w:lineRule="auto"/>
              <w:jc w:val="left"/>
              <w:rPr>
                <w:rFonts w:hint="eastAsia" w:ascii="宋体" w:hAnsi="宋体" w:eastAsia="宋体" w:cs="宋体"/>
                <w:color w:val="auto"/>
                <w:sz w:val="21"/>
                <w:szCs w:val="21"/>
                <w:highlight w:val="none"/>
              </w:rPr>
            </w:pPr>
          </w:p>
        </w:tc>
        <w:tc>
          <w:tcPr>
            <w:tcW w:w="704" w:type="dxa"/>
            <w:vMerge w:val="continue"/>
            <w:vAlign w:val="center"/>
          </w:tcPr>
          <w:p>
            <w:pPr>
              <w:spacing w:before="100" w:after="100" w:line="336" w:lineRule="auto"/>
              <w:rPr>
                <w:rFonts w:hint="eastAsia" w:ascii="宋体" w:hAnsi="宋体" w:eastAsia="宋体" w:cs="宋体"/>
                <w:color w:val="auto"/>
                <w:sz w:val="21"/>
                <w:szCs w:val="21"/>
                <w:highlight w:val="none"/>
              </w:rPr>
            </w:pPr>
          </w:p>
        </w:tc>
        <w:tc>
          <w:tcPr>
            <w:tcW w:w="2114" w:type="dxa"/>
            <w:vAlign w:val="center"/>
          </w:tcPr>
          <w:p>
            <w:pPr>
              <w:spacing w:before="100" w:after="100" w:line="336" w:lineRule="auto"/>
              <w:jc w:val="left"/>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本项目的特定资格要求</w:t>
            </w:r>
          </w:p>
        </w:tc>
        <w:tc>
          <w:tcPr>
            <w:tcW w:w="6497" w:type="dxa"/>
            <w:vAlign w:val="center"/>
          </w:tcPr>
          <w:p>
            <w:pPr>
              <w:pStyle w:val="14"/>
              <w:spacing w:line="336" w:lineRule="auto"/>
              <w:rPr>
                <w:rFonts w:hint="default"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符合第一章</w:t>
            </w:r>
            <w:r>
              <w:rPr>
                <w:rFonts w:ascii="宋体" w:hAnsi="宋体"/>
                <w:color w:val="auto"/>
                <w:sz w:val="21"/>
                <w:szCs w:val="21"/>
                <w:highlight w:val="none"/>
              </w:rPr>
              <w:t>“</w:t>
            </w:r>
            <w:r>
              <w:rPr>
                <w:rFonts w:hint="eastAsia" w:ascii="宋体" w:hAnsi="宋体" w:eastAsia="宋体" w:cs="宋体"/>
                <w:i w:val="0"/>
                <w:iCs w:val="0"/>
                <w:color w:val="auto"/>
                <w:kern w:val="2"/>
                <w:sz w:val="21"/>
                <w:szCs w:val="21"/>
                <w:highlight w:val="none"/>
                <w:lang w:val="en-US" w:eastAsia="zh-CN" w:bidi="ar-SA"/>
              </w:rPr>
              <w:t>招标公告</w:t>
            </w:r>
            <w:r>
              <w:rPr>
                <w:rFonts w:hint="default" w:hAnsi="宋体" w:cs="宋体"/>
                <w:i w:val="0"/>
                <w:iCs w:val="0"/>
                <w:color w:val="auto"/>
                <w:kern w:val="2"/>
                <w:sz w:val="21"/>
                <w:szCs w:val="21"/>
                <w:highlight w:val="none"/>
                <w:lang w:val="en-US" w:eastAsia="zh-CN" w:bidi="ar-SA"/>
              </w:rPr>
              <w:t>”</w:t>
            </w:r>
            <w:r>
              <w:rPr>
                <w:rFonts w:hint="eastAsia" w:ascii="宋体" w:hAnsi="宋体" w:eastAsia="宋体" w:cs="宋体"/>
                <w:i w:val="0"/>
                <w:iCs w:val="0"/>
                <w:color w:val="auto"/>
                <w:kern w:val="2"/>
                <w:sz w:val="21"/>
                <w:szCs w:val="21"/>
                <w:highlight w:val="none"/>
                <w:lang w:val="en-US" w:eastAsia="zh-CN" w:bidi="ar-SA"/>
              </w:rPr>
              <w:t>第3.投标人的资格要求</w:t>
            </w:r>
            <w:r>
              <w:rPr>
                <w:rFonts w:hint="eastAsia" w:hAnsi="宋体" w:cs="宋体"/>
                <w:i w:val="0"/>
                <w:iCs w:val="0"/>
                <w:color w:val="auto"/>
                <w:kern w:val="2"/>
                <w:sz w:val="21"/>
                <w:szCs w:val="21"/>
                <w:highlight w:val="none"/>
                <w:lang w:val="en-US" w:eastAsia="zh-CN" w:bidi="ar-SA"/>
              </w:rPr>
              <w:t>相关规定</w:t>
            </w:r>
          </w:p>
          <w:p>
            <w:pPr>
              <w:pStyle w:val="14"/>
              <w:spacing w:line="336" w:lineRule="auto"/>
              <w:rPr>
                <w:rFonts w:hint="eastAsia" w:ascii="宋体" w:hAnsi="宋体" w:eastAsia="宋体" w:cs="宋体"/>
                <w:i w:val="0"/>
                <w:iCs w:val="0"/>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653" w:type="dxa"/>
            <w:vMerge w:val="restart"/>
            <w:tcBorders>
              <w:left w:val="single" w:color="auto" w:sz="4" w:space="0"/>
              <w:right w:val="single" w:color="auto" w:sz="4" w:space="0"/>
            </w:tcBorders>
            <w:vAlign w:val="center"/>
          </w:tcPr>
          <w:p>
            <w:pPr>
              <w:widowControl/>
              <w:spacing w:line="360" w:lineRule="auto"/>
              <w:jc w:val="lef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1.3</w:t>
            </w:r>
          </w:p>
        </w:tc>
        <w:tc>
          <w:tcPr>
            <w:tcW w:w="704" w:type="dxa"/>
            <w:vMerge w:val="restart"/>
            <w:tcBorders>
              <w:left w:val="single" w:color="auto" w:sz="4" w:space="0"/>
              <w:right w:val="single" w:color="auto" w:sz="4" w:space="0"/>
            </w:tcBorders>
            <w:vAlign w:val="center"/>
          </w:tcPr>
          <w:p>
            <w:pPr>
              <w:widowControl/>
              <w:spacing w:line="360" w:lineRule="auto"/>
              <w:jc w:val="left"/>
              <w:rPr>
                <w:rFonts w:ascii="宋体" w:hAnsi="宋体"/>
                <w:color w:val="auto"/>
                <w:sz w:val="21"/>
                <w:szCs w:val="21"/>
                <w:highlight w:val="none"/>
              </w:rPr>
            </w:pPr>
            <w:r>
              <w:rPr>
                <w:rFonts w:hint="eastAsia" w:ascii="宋体" w:hAnsi="宋体"/>
                <w:color w:val="auto"/>
                <w:sz w:val="21"/>
                <w:szCs w:val="21"/>
                <w:highlight w:val="none"/>
              </w:rPr>
              <w:t>响应性评审标准</w:t>
            </w:r>
          </w:p>
        </w:tc>
        <w:tc>
          <w:tcPr>
            <w:tcW w:w="2114" w:type="dxa"/>
            <w:tcBorders>
              <w:top w:val="single" w:color="auto" w:sz="4" w:space="0"/>
              <w:left w:val="single" w:color="auto" w:sz="4" w:space="0"/>
              <w:bottom w:val="single" w:color="auto" w:sz="4" w:space="0"/>
              <w:right w:val="single" w:color="auto" w:sz="4" w:space="0"/>
            </w:tcBorders>
            <w:vAlign w:val="center"/>
          </w:tcPr>
          <w:p>
            <w:pPr>
              <w:pStyle w:val="28"/>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olor w:val="auto"/>
                <w:sz w:val="21"/>
                <w:szCs w:val="21"/>
                <w:highlight w:val="none"/>
                <w:lang w:eastAsia="zh-CN"/>
              </w:rPr>
            </w:pPr>
            <w:r>
              <w:rPr>
                <w:rFonts w:hint="eastAsia" w:ascii="宋体" w:hAnsi="宋体" w:eastAsia="宋体" w:cs="宋体"/>
                <w:color w:val="auto"/>
                <w:sz w:val="21"/>
                <w:szCs w:val="21"/>
                <w:highlight w:val="none"/>
              </w:rPr>
              <w:t>质量要求</w:t>
            </w:r>
          </w:p>
        </w:tc>
        <w:tc>
          <w:tcPr>
            <w:tcW w:w="6497" w:type="dxa"/>
            <w:tcBorders>
              <w:top w:val="single" w:color="auto" w:sz="4" w:space="0"/>
              <w:left w:val="single" w:color="auto" w:sz="4" w:space="0"/>
              <w:bottom w:val="single" w:color="auto" w:sz="4" w:space="0"/>
              <w:right w:val="single" w:color="auto" w:sz="4" w:space="0"/>
            </w:tcBorders>
            <w:vAlign w:val="center"/>
          </w:tcPr>
          <w:p>
            <w:pPr>
              <w:pStyle w:val="28"/>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严格执行《招标代理服务规范》（GB/T 38357-2019），遵守国家</w:t>
            </w:r>
            <w:r>
              <w:rPr>
                <w:rFonts w:hint="eastAsia"/>
                <w:color w:val="auto"/>
                <w:sz w:val="21"/>
                <w:szCs w:val="21"/>
                <w:highlight w:val="none"/>
                <w:lang w:eastAsia="zh-CN"/>
              </w:rPr>
              <w:t>法律法规</w:t>
            </w:r>
            <w:r>
              <w:rPr>
                <w:rFonts w:hint="eastAsia" w:ascii="宋体" w:hAnsi="宋体" w:eastAsia="宋体"/>
                <w:color w:val="auto"/>
                <w:sz w:val="21"/>
                <w:szCs w:val="21"/>
                <w:highlight w:val="none"/>
                <w:lang w:eastAsia="zh-CN"/>
              </w:rPr>
              <w:t>和政策，认真践行公开、公平、公正和诚实信用的原则， 自觉维护国家、社会公共利益和招标投标当事人的合法权益。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653" w:type="dxa"/>
            <w:vMerge w:val="continue"/>
            <w:tcBorders>
              <w:left w:val="single" w:color="auto" w:sz="4" w:space="0"/>
              <w:right w:val="single" w:color="auto" w:sz="4" w:space="0"/>
            </w:tcBorders>
            <w:vAlign w:val="center"/>
          </w:tcPr>
          <w:p>
            <w:pPr>
              <w:widowControl/>
              <w:spacing w:line="360" w:lineRule="auto"/>
              <w:jc w:val="left"/>
              <w:rPr>
                <w:rFonts w:ascii="宋体" w:hAnsi="宋体"/>
                <w:color w:val="auto"/>
                <w:sz w:val="21"/>
                <w:szCs w:val="21"/>
                <w:highlight w:val="none"/>
              </w:rPr>
            </w:pPr>
          </w:p>
        </w:tc>
        <w:tc>
          <w:tcPr>
            <w:tcW w:w="704" w:type="dxa"/>
            <w:vMerge w:val="continue"/>
            <w:tcBorders>
              <w:left w:val="single" w:color="auto" w:sz="4" w:space="0"/>
              <w:right w:val="single" w:color="auto" w:sz="4" w:space="0"/>
            </w:tcBorders>
            <w:vAlign w:val="center"/>
          </w:tcPr>
          <w:p>
            <w:pPr>
              <w:widowControl/>
              <w:spacing w:line="360" w:lineRule="auto"/>
              <w:jc w:val="left"/>
              <w:rPr>
                <w:rFonts w:ascii="宋体" w:hAnsi="宋体"/>
                <w:color w:val="auto"/>
                <w:sz w:val="21"/>
                <w:szCs w:val="21"/>
                <w:highlight w:val="none"/>
              </w:rPr>
            </w:pPr>
          </w:p>
        </w:tc>
        <w:tc>
          <w:tcPr>
            <w:tcW w:w="2114" w:type="dxa"/>
            <w:tcBorders>
              <w:top w:val="single" w:color="auto" w:sz="4" w:space="0"/>
              <w:left w:val="single" w:color="auto" w:sz="4" w:space="0"/>
              <w:bottom w:val="single" w:color="auto" w:sz="4" w:space="0"/>
              <w:right w:val="single" w:color="auto" w:sz="4" w:space="0"/>
            </w:tcBorders>
            <w:vAlign w:val="center"/>
          </w:tcPr>
          <w:p>
            <w:pPr>
              <w:pStyle w:val="28"/>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left"/>
              <w:textAlignment w:val="auto"/>
              <w:rPr>
                <w:rFonts w:hint="default" w:ascii="宋体" w:hAnsi="宋体"/>
                <w:color w:val="auto"/>
                <w:sz w:val="21"/>
                <w:szCs w:val="21"/>
                <w:highlight w:val="none"/>
                <w:lang w:val="en-US"/>
              </w:rPr>
            </w:pPr>
            <w:r>
              <w:rPr>
                <w:rFonts w:hint="eastAsia" w:ascii="宋体" w:hAnsi="宋体" w:eastAsia="宋体" w:cs="宋体"/>
                <w:color w:val="auto"/>
                <w:sz w:val="21"/>
                <w:szCs w:val="21"/>
                <w:highlight w:val="none"/>
                <w:lang w:val="en-US" w:eastAsia="zh-CN"/>
              </w:rPr>
              <w:t>服务周期</w:t>
            </w:r>
          </w:p>
        </w:tc>
        <w:tc>
          <w:tcPr>
            <w:tcW w:w="6497" w:type="dxa"/>
            <w:tcBorders>
              <w:top w:val="single" w:color="auto" w:sz="4" w:space="0"/>
              <w:left w:val="single" w:color="auto" w:sz="4" w:space="0"/>
              <w:bottom w:val="single" w:color="auto" w:sz="4" w:space="0"/>
              <w:right w:val="single" w:color="auto" w:sz="4" w:space="0"/>
            </w:tcBorders>
            <w:vAlign w:val="center"/>
          </w:tcPr>
          <w:p>
            <w:pPr>
              <w:pStyle w:val="28"/>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ascii="宋体" w:hAnsi="宋体"/>
                <w:color w:val="auto"/>
                <w:sz w:val="21"/>
                <w:szCs w:val="21"/>
                <w:highlight w:val="none"/>
              </w:rPr>
            </w:pPr>
            <w:r>
              <w:rPr>
                <w:rFonts w:hint="eastAsia" w:ascii="宋体" w:hAnsi="宋体"/>
                <w:color w:val="auto"/>
                <w:sz w:val="21"/>
                <w:szCs w:val="21"/>
                <w:highlight w:val="none"/>
              </w:rPr>
              <w:t>自合同签订之日起至项目招标工作结束，移交全部汇编资料止。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653" w:type="dxa"/>
            <w:vMerge w:val="continue"/>
            <w:tcBorders>
              <w:left w:val="single" w:color="auto" w:sz="4" w:space="0"/>
              <w:right w:val="single" w:color="auto" w:sz="4" w:space="0"/>
            </w:tcBorders>
            <w:vAlign w:val="center"/>
          </w:tcPr>
          <w:p>
            <w:pPr>
              <w:widowControl/>
              <w:spacing w:line="360" w:lineRule="auto"/>
              <w:jc w:val="left"/>
              <w:rPr>
                <w:rFonts w:ascii="宋体" w:hAnsi="宋体"/>
                <w:color w:val="auto"/>
                <w:sz w:val="21"/>
                <w:szCs w:val="21"/>
                <w:highlight w:val="none"/>
              </w:rPr>
            </w:pPr>
          </w:p>
        </w:tc>
        <w:tc>
          <w:tcPr>
            <w:tcW w:w="704" w:type="dxa"/>
            <w:vMerge w:val="continue"/>
            <w:tcBorders>
              <w:left w:val="single" w:color="auto" w:sz="4" w:space="0"/>
              <w:right w:val="single" w:color="auto" w:sz="4" w:space="0"/>
            </w:tcBorders>
            <w:vAlign w:val="center"/>
          </w:tcPr>
          <w:p>
            <w:pPr>
              <w:widowControl/>
              <w:spacing w:line="360" w:lineRule="auto"/>
              <w:jc w:val="left"/>
              <w:rPr>
                <w:rFonts w:ascii="宋体" w:hAnsi="宋体"/>
                <w:color w:val="auto"/>
                <w:sz w:val="21"/>
                <w:szCs w:val="21"/>
                <w:highlight w:val="none"/>
              </w:rPr>
            </w:pPr>
          </w:p>
        </w:tc>
        <w:tc>
          <w:tcPr>
            <w:tcW w:w="211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overflowPunct/>
              <w:topLinePunct w:val="0"/>
              <w:autoSpaceDE/>
              <w:autoSpaceDN/>
              <w:bidi w:val="0"/>
              <w:adjustRightInd/>
              <w:snapToGrid/>
              <w:spacing w:line="360" w:lineRule="auto"/>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w:t>
            </w:r>
            <w:r>
              <w:rPr>
                <w:rFonts w:hint="eastAsia" w:ascii="宋体" w:hAnsi="宋体" w:cs="宋体"/>
                <w:color w:val="auto"/>
                <w:sz w:val="21"/>
                <w:szCs w:val="21"/>
                <w:highlight w:val="none"/>
                <w:lang w:val="en-US" w:eastAsia="zh-CN"/>
              </w:rPr>
              <w:t>内容</w:t>
            </w:r>
          </w:p>
        </w:tc>
        <w:tc>
          <w:tcPr>
            <w:tcW w:w="64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eastAsia="宋体" w:cs="宋体"/>
                <w:color w:val="auto"/>
                <w:kern w:val="0"/>
                <w:sz w:val="21"/>
                <w:szCs w:val="21"/>
                <w:highlight w:val="none"/>
                <w:lang w:val="en-US" w:eastAsia="zh-CN" w:bidi="ar-SA"/>
              </w:rPr>
            </w:pPr>
            <w:r>
              <w:rPr>
                <w:rFonts w:hint="eastAsia" w:eastAsia="宋体" w:cs="宋体"/>
                <w:color w:val="auto"/>
                <w:kern w:val="0"/>
                <w:sz w:val="21"/>
                <w:szCs w:val="21"/>
                <w:highlight w:val="none"/>
                <w:lang w:val="en-US" w:eastAsia="zh-CN" w:bidi="ar-SA"/>
              </w:rPr>
              <w:t>完成本项目经营权承包招标的全流程代理服务，包括但不限于：协助招标人编制招标工作方案、起草并审核招标文件、公平竞争审查、发布招标公告、组织投标报名、组织开标评标活动、协助处理质疑与投诉、整理招标归档资料、协助签订承包合同等相关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653" w:type="dxa"/>
            <w:vMerge w:val="continue"/>
            <w:tcBorders>
              <w:left w:val="single" w:color="auto" w:sz="4" w:space="0"/>
              <w:right w:val="single" w:color="auto" w:sz="4" w:space="0"/>
            </w:tcBorders>
            <w:vAlign w:val="center"/>
          </w:tcPr>
          <w:p>
            <w:pPr>
              <w:widowControl/>
              <w:spacing w:line="360" w:lineRule="auto"/>
              <w:jc w:val="left"/>
              <w:rPr>
                <w:rFonts w:ascii="宋体" w:hAnsi="宋体"/>
                <w:color w:val="auto"/>
                <w:sz w:val="21"/>
                <w:szCs w:val="21"/>
                <w:highlight w:val="none"/>
              </w:rPr>
            </w:pPr>
          </w:p>
        </w:tc>
        <w:tc>
          <w:tcPr>
            <w:tcW w:w="704" w:type="dxa"/>
            <w:vMerge w:val="continue"/>
            <w:tcBorders>
              <w:left w:val="single" w:color="auto" w:sz="4" w:space="0"/>
              <w:right w:val="single" w:color="auto" w:sz="4" w:space="0"/>
            </w:tcBorders>
            <w:vAlign w:val="center"/>
          </w:tcPr>
          <w:p>
            <w:pPr>
              <w:widowControl/>
              <w:spacing w:line="360" w:lineRule="auto"/>
              <w:jc w:val="left"/>
              <w:rPr>
                <w:rFonts w:ascii="宋体" w:hAnsi="宋体"/>
                <w:color w:val="auto"/>
                <w:sz w:val="21"/>
                <w:szCs w:val="21"/>
                <w:highlight w:val="none"/>
              </w:rPr>
            </w:pPr>
          </w:p>
        </w:tc>
        <w:tc>
          <w:tcPr>
            <w:tcW w:w="211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投标有效期</w:t>
            </w:r>
          </w:p>
        </w:tc>
        <w:tc>
          <w:tcPr>
            <w:tcW w:w="64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overflowPunct/>
              <w:topLinePunct w:val="0"/>
              <w:autoSpaceDE/>
              <w:autoSpaceDN/>
              <w:bidi w:val="0"/>
              <w:adjustRightInd/>
              <w:snapToGrid/>
              <w:spacing w:line="360" w:lineRule="auto"/>
              <w:textAlignment w:val="auto"/>
              <w:rPr>
                <w:rFonts w:hint="eastAsia"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投标截止之日起90</w:t>
            </w:r>
            <w:r>
              <w:rPr>
                <w:rFonts w:hint="eastAsia" w:ascii="宋体" w:hAnsi="宋体" w:eastAsia="宋体" w:cs="宋体"/>
                <w:color w:val="auto"/>
                <w:sz w:val="21"/>
                <w:szCs w:val="21"/>
                <w:highlight w:val="none"/>
                <w:lang w:eastAsia="zh-CN"/>
              </w:rPr>
              <w:t>日历</w:t>
            </w:r>
            <w:r>
              <w:rPr>
                <w:rFonts w:hint="eastAsia" w:ascii="宋体" w:hAnsi="宋体" w:eastAsia="宋体" w:cs="宋体"/>
                <w:color w:val="auto"/>
                <w:sz w:val="21"/>
                <w:szCs w:val="21"/>
                <w:highlight w:val="non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653" w:type="dxa"/>
            <w:vMerge w:val="continue"/>
            <w:tcBorders>
              <w:left w:val="single" w:color="auto" w:sz="4" w:space="0"/>
              <w:bottom w:val="single" w:color="auto" w:sz="4" w:space="0"/>
              <w:right w:val="single" w:color="auto" w:sz="4" w:space="0"/>
            </w:tcBorders>
            <w:vAlign w:val="center"/>
          </w:tcPr>
          <w:p>
            <w:pPr>
              <w:widowControl/>
              <w:spacing w:line="360" w:lineRule="auto"/>
              <w:jc w:val="left"/>
              <w:rPr>
                <w:rFonts w:ascii="宋体" w:hAnsi="宋体"/>
                <w:color w:val="auto"/>
                <w:sz w:val="21"/>
                <w:szCs w:val="21"/>
                <w:highlight w:val="none"/>
              </w:rPr>
            </w:pPr>
          </w:p>
        </w:tc>
        <w:tc>
          <w:tcPr>
            <w:tcW w:w="704" w:type="dxa"/>
            <w:vMerge w:val="continue"/>
            <w:tcBorders>
              <w:left w:val="single" w:color="auto" w:sz="4" w:space="0"/>
              <w:bottom w:val="single" w:color="auto" w:sz="4" w:space="0"/>
              <w:right w:val="single" w:color="auto" w:sz="4" w:space="0"/>
            </w:tcBorders>
            <w:vAlign w:val="center"/>
          </w:tcPr>
          <w:p>
            <w:pPr>
              <w:widowControl/>
              <w:spacing w:line="360" w:lineRule="auto"/>
              <w:jc w:val="left"/>
              <w:rPr>
                <w:rFonts w:ascii="宋体" w:hAnsi="宋体"/>
                <w:color w:val="auto"/>
                <w:sz w:val="21"/>
                <w:szCs w:val="21"/>
                <w:highlight w:val="none"/>
              </w:rPr>
            </w:pPr>
          </w:p>
        </w:tc>
        <w:tc>
          <w:tcPr>
            <w:tcW w:w="2114" w:type="dxa"/>
            <w:tcBorders>
              <w:top w:val="single" w:color="auto" w:sz="4" w:space="0"/>
              <w:left w:val="single" w:color="auto" w:sz="4" w:space="0"/>
              <w:bottom w:val="single" w:color="auto" w:sz="4" w:space="0"/>
              <w:right w:val="single" w:color="auto" w:sz="4" w:space="0"/>
            </w:tcBorders>
            <w:vAlign w:val="center"/>
          </w:tcPr>
          <w:p>
            <w:pPr>
              <w:pStyle w:val="28"/>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其他要求</w:t>
            </w:r>
          </w:p>
        </w:tc>
        <w:tc>
          <w:tcPr>
            <w:tcW w:w="6497" w:type="dxa"/>
            <w:tcBorders>
              <w:top w:val="single" w:color="auto" w:sz="4" w:space="0"/>
              <w:left w:val="single" w:color="auto" w:sz="4" w:space="0"/>
              <w:bottom w:val="single" w:color="auto" w:sz="4" w:space="0"/>
              <w:right w:val="single" w:color="auto" w:sz="4" w:space="0"/>
            </w:tcBorders>
            <w:vAlign w:val="center"/>
          </w:tcPr>
          <w:p>
            <w:pPr>
              <w:pStyle w:val="28"/>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color w:val="auto"/>
                <w:kern w:val="2"/>
                <w:sz w:val="21"/>
                <w:szCs w:val="21"/>
                <w:highlight w:val="none"/>
                <w:lang w:val="en-US" w:eastAsia="zh-CN" w:bidi="ar-SA"/>
              </w:rPr>
            </w:pPr>
            <w:r>
              <w:rPr>
                <w:rFonts w:hint="eastAsia" w:ascii="宋体" w:hAnsi="宋体" w:eastAsia="宋体" w:cs="宋体"/>
                <w:color w:val="auto"/>
                <w:sz w:val="21"/>
                <w:szCs w:val="21"/>
                <w:highlight w:val="none"/>
              </w:rPr>
              <w:t>满足</w:t>
            </w:r>
            <w:r>
              <w:rPr>
                <w:rFonts w:hint="eastAsia" w:ascii="宋体" w:hAnsi="宋体" w:eastAsia="宋体" w:cs="宋体"/>
                <w:color w:val="auto"/>
                <w:sz w:val="21"/>
                <w:szCs w:val="21"/>
                <w:highlight w:val="none"/>
                <w:lang w:eastAsia="zh-CN"/>
              </w:rPr>
              <w:t>其他招标文件</w:t>
            </w:r>
            <w:r>
              <w:rPr>
                <w:rFonts w:hint="eastAsia" w:ascii="宋体" w:hAnsi="宋体" w:eastAsia="宋体" w:cs="宋体"/>
                <w:color w:val="auto"/>
                <w:sz w:val="21"/>
                <w:szCs w:val="21"/>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9968" w:type="dxa"/>
            <w:gridSpan w:val="4"/>
            <w:tcBorders>
              <w:left w:val="single" w:color="auto" w:sz="4" w:space="0"/>
              <w:bottom w:val="single" w:color="auto" w:sz="4" w:space="0"/>
              <w:right w:val="single" w:color="auto" w:sz="4" w:space="0"/>
            </w:tcBorders>
            <w:vAlign w:val="center"/>
          </w:tcPr>
          <w:p>
            <w:pPr>
              <w:pStyle w:val="28"/>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本项目资格审查方式：资格后审，通过资格审查的有效投标人全部进入下一阶段评审。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9968" w:type="dxa"/>
            <w:gridSpan w:val="4"/>
            <w:tcBorders>
              <w:left w:val="single" w:color="auto" w:sz="4" w:space="0"/>
              <w:bottom w:val="single" w:color="auto" w:sz="4" w:space="0"/>
              <w:right w:val="single" w:color="auto" w:sz="4" w:space="0"/>
            </w:tcBorders>
            <w:vAlign w:val="center"/>
          </w:tcPr>
          <w:p>
            <w:pPr>
              <w:pStyle w:val="28"/>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详细评审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357" w:type="dxa"/>
            <w:gridSpan w:val="2"/>
            <w:tcBorders>
              <w:left w:val="single" w:color="auto" w:sz="4" w:space="0"/>
              <w:right w:val="single" w:color="auto" w:sz="4" w:space="0"/>
            </w:tcBorders>
            <w:vAlign w:val="center"/>
          </w:tcPr>
          <w:p>
            <w:pPr>
              <w:keepNext w:val="0"/>
              <w:keepLines w:val="0"/>
              <w:pageBreakBefore w:val="0"/>
              <w:kinsoku/>
              <w:wordWrap/>
              <w:overflowPunct/>
              <w:topLinePunct w:val="0"/>
              <w:bidi w:val="0"/>
              <w:spacing w:after="140" w:line="360" w:lineRule="auto"/>
              <w:jc w:val="center"/>
              <w:rPr>
                <w:rFonts w:hint="eastAsia"/>
                <w:b/>
                <w:bCs w:val="0"/>
                <w:color w:val="auto"/>
                <w:sz w:val="21"/>
                <w:szCs w:val="21"/>
                <w:highlight w:val="none"/>
                <w:lang w:eastAsia="zh-CN"/>
              </w:rPr>
            </w:pPr>
            <w:r>
              <w:rPr>
                <w:rFonts w:hint="eastAsia" w:ascii="宋体" w:hAnsi="宋体" w:eastAsia="宋体" w:cs="宋体"/>
                <w:b/>
                <w:bCs w:val="0"/>
                <w:color w:val="auto"/>
                <w:highlight w:val="none"/>
              </w:rPr>
              <w:t>条款号</w:t>
            </w:r>
          </w:p>
        </w:tc>
        <w:tc>
          <w:tcPr>
            <w:tcW w:w="211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after="140" w:line="360" w:lineRule="auto"/>
              <w:jc w:val="center"/>
              <w:rPr>
                <w:rFonts w:hint="eastAsia" w:ascii="宋体" w:hAnsi="宋体"/>
                <w:b/>
                <w:bCs w:val="0"/>
                <w:color w:val="auto"/>
                <w:sz w:val="21"/>
                <w:szCs w:val="21"/>
                <w:highlight w:val="none"/>
              </w:rPr>
            </w:pPr>
            <w:r>
              <w:rPr>
                <w:rFonts w:hint="eastAsia" w:ascii="宋体" w:hAnsi="宋体" w:eastAsia="宋体" w:cs="宋体"/>
                <w:b/>
                <w:bCs w:val="0"/>
                <w:color w:val="auto"/>
                <w:highlight w:val="none"/>
              </w:rPr>
              <w:t>条款内容</w:t>
            </w:r>
          </w:p>
        </w:tc>
        <w:tc>
          <w:tcPr>
            <w:tcW w:w="64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after="140" w:line="360" w:lineRule="auto"/>
              <w:jc w:val="center"/>
              <w:rPr>
                <w:rFonts w:hint="eastAsia" w:ascii="宋体" w:hAnsi="宋体"/>
                <w:b/>
                <w:bCs w:val="0"/>
                <w:color w:val="auto"/>
                <w:sz w:val="21"/>
                <w:szCs w:val="21"/>
                <w:highlight w:val="none"/>
              </w:rPr>
            </w:pPr>
            <w:r>
              <w:rPr>
                <w:rFonts w:hint="eastAsia" w:ascii="宋体" w:hAnsi="宋体" w:eastAsia="宋体" w:cs="宋体"/>
                <w:b/>
                <w:bCs w:val="0"/>
                <w:color w:val="auto"/>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357" w:type="dxa"/>
            <w:gridSpan w:val="2"/>
            <w:tcBorders>
              <w:left w:val="single" w:color="auto" w:sz="4" w:space="0"/>
              <w:right w:val="single" w:color="auto" w:sz="4" w:space="0"/>
            </w:tcBorders>
            <w:vAlign w:val="center"/>
          </w:tcPr>
          <w:p>
            <w:pPr>
              <w:keepNext w:val="0"/>
              <w:keepLines w:val="0"/>
              <w:pageBreakBefore w:val="0"/>
              <w:kinsoku/>
              <w:wordWrap/>
              <w:overflowPunct/>
              <w:topLinePunct w:val="0"/>
              <w:bidi w:val="0"/>
              <w:spacing w:after="140" w:line="360" w:lineRule="auto"/>
              <w:jc w:val="center"/>
              <w:rPr>
                <w:rFonts w:hint="eastAsia"/>
                <w:color w:val="auto"/>
                <w:sz w:val="21"/>
                <w:szCs w:val="21"/>
                <w:highlight w:val="none"/>
                <w:lang w:eastAsia="zh-CN"/>
              </w:rPr>
            </w:pPr>
            <w:r>
              <w:rPr>
                <w:rFonts w:hint="eastAsia" w:ascii="宋体" w:hAnsi="宋体" w:eastAsia="宋体" w:cs="宋体"/>
                <w:color w:val="auto"/>
                <w:highlight w:val="none"/>
              </w:rPr>
              <w:t>2.1</w:t>
            </w:r>
          </w:p>
        </w:tc>
        <w:tc>
          <w:tcPr>
            <w:tcW w:w="211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after="1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分值构成</w:t>
            </w:r>
          </w:p>
          <w:p>
            <w:pPr>
              <w:keepNext w:val="0"/>
              <w:keepLines w:val="0"/>
              <w:pageBreakBefore w:val="0"/>
              <w:kinsoku/>
              <w:wordWrap/>
              <w:overflowPunct/>
              <w:topLinePunct w:val="0"/>
              <w:bidi w:val="0"/>
              <w:spacing w:after="140" w:line="360" w:lineRule="auto"/>
              <w:jc w:val="center"/>
              <w:rPr>
                <w:rFonts w:hint="eastAsia" w:ascii="宋体" w:hAnsi="宋体"/>
                <w:color w:val="auto"/>
                <w:sz w:val="21"/>
                <w:szCs w:val="21"/>
                <w:highlight w:val="none"/>
              </w:rPr>
            </w:pPr>
            <w:r>
              <w:rPr>
                <w:rFonts w:hint="eastAsia" w:ascii="宋体" w:hAnsi="宋体" w:cs="宋体"/>
                <w:color w:val="auto"/>
                <w:highlight w:val="none"/>
                <w:lang w:eastAsia="zh-CN"/>
              </w:rPr>
              <w:t>（</w:t>
            </w:r>
            <w:r>
              <w:rPr>
                <w:rFonts w:hint="eastAsia" w:ascii="宋体" w:hAnsi="宋体" w:eastAsia="宋体" w:cs="宋体"/>
                <w:color w:val="auto"/>
                <w:highlight w:val="none"/>
              </w:rPr>
              <w:t>总分100分</w:t>
            </w:r>
            <w:r>
              <w:rPr>
                <w:rFonts w:hint="eastAsia" w:ascii="宋体" w:hAnsi="宋体" w:cs="宋体"/>
                <w:color w:val="auto"/>
                <w:highlight w:val="none"/>
                <w:lang w:eastAsia="zh-CN"/>
              </w:rPr>
              <w:t>）</w:t>
            </w:r>
          </w:p>
        </w:tc>
        <w:tc>
          <w:tcPr>
            <w:tcW w:w="64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after="14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商务部分（满分</w:t>
            </w:r>
            <w:r>
              <w:rPr>
                <w:rFonts w:hint="eastAsia" w:ascii="宋体" w:hAnsi="宋体" w:cs="宋体"/>
                <w:color w:val="auto"/>
                <w:szCs w:val="21"/>
                <w:highlight w:val="none"/>
                <w:lang w:val="en-US" w:eastAsia="zh-CN"/>
              </w:rPr>
              <w:t>30</w:t>
            </w:r>
            <w:r>
              <w:rPr>
                <w:rFonts w:hint="eastAsia" w:ascii="宋体" w:hAnsi="宋体" w:eastAsia="宋体" w:cs="宋体"/>
                <w:color w:val="auto"/>
                <w:szCs w:val="21"/>
                <w:highlight w:val="none"/>
                <w:lang w:val="en-US" w:eastAsia="zh-CN"/>
              </w:rPr>
              <w:t>分）、技术部分（满</w:t>
            </w:r>
            <w:r>
              <w:rPr>
                <w:rFonts w:hint="eastAsia" w:ascii="宋体" w:hAnsi="宋体" w:cs="宋体"/>
                <w:color w:val="auto"/>
                <w:szCs w:val="21"/>
                <w:highlight w:val="none"/>
                <w:lang w:val="en-US" w:eastAsia="zh-CN"/>
              </w:rPr>
              <w:t>分70</w:t>
            </w:r>
            <w:r>
              <w:rPr>
                <w:rFonts w:hint="eastAsia" w:ascii="宋体" w:hAnsi="宋体" w:eastAsia="宋体" w:cs="宋体"/>
                <w:color w:val="auto"/>
                <w:szCs w:val="21"/>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357" w:type="dxa"/>
            <w:gridSpan w:val="2"/>
            <w:tcBorders>
              <w:left w:val="single" w:color="auto" w:sz="4" w:space="0"/>
              <w:right w:val="single" w:color="auto" w:sz="4" w:space="0"/>
            </w:tcBorders>
            <w:vAlign w:val="center"/>
          </w:tcPr>
          <w:p>
            <w:pPr>
              <w:pStyle w:val="86"/>
              <w:keepNext w:val="0"/>
              <w:keepLines w:val="0"/>
              <w:pageBreakBefore w:val="0"/>
              <w:kinsoku/>
              <w:wordWrap/>
              <w:overflowPunct/>
              <w:topLinePunct w:val="0"/>
              <w:autoSpaceDE/>
              <w:autoSpaceDN/>
              <w:bidi w:val="0"/>
              <w:adjustRightInd/>
              <w:snapToGrid/>
              <w:spacing w:beforeAutospacing="0" w:after="140" w:afterAutospacing="0"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szCs w:val="21"/>
                <w:highlight w:val="none"/>
              </w:rPr>
              <w:t>2.2</w:t>
            </w:r>
            <w:r>
              <w:rPr>
                <w:rFonts w:hint="eastAsia" w:ascii="宋体" w:hAnsi="宋体" w:eastAsia="宋体" w:cs="宋体"/>
                <w:color w:val="auto"/>
                <w:szCs w:val="21"/>
                <w:highlight w:val="none"/>
                <w:lang w:val="en-US" w:eastAsia="zh-CN"/>
              </w:rPr>
              <w:t xml:space="preserve"> </w:t>
            </w:r>
          </w:p>
        </w:tc>
        <w:tc>
          <w:tcPr>
            <w:tcW w:w="2114"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pageBreakBefore w:val="0"/>
              <w:kinsoku/>
              <w:wordWrap/>
              <w:overflowPunct/>
              <w:topLinePunct w:val="0"/>
              <w:autoSpaceDE/>
              <w:autoSpaceDN/>
              <w:bidi w:val="0"/>
              <w:adjustRightInd/>
              <w:snapToGrid/>
              <w:spacing w:beforeAutospacing="0" w:after="140" w:afterAutospacing="0"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评标基准价</w:t>
            </w:r>
          </w:p>
          <w:p>
            <w:pPr>
              <w:pStyle w:val="86"/>
              <w:keepNext w:val="0"/>
              <w:keepLines w:val="0"/>
              <w:pageBreakBefore w:val="0"/>
              <w:kinsoku/>
              <w:wordWrap/>
              <w:overflowPunct/>
              <w:topLinePunct w:val="0"/>
              <w:autoSpaceDE/>
              <w:autoSpaceDN/>
              <w:bidi w:val="0"/>
              <w:adjustRightInd/>
              <w:snapToGrid/>
              <w:spacing w:beforeAutospacing="0" w:after="140" w:afterAutospacing="0"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szCs w:val="21"/>
                <w:highlight w:val="none"/>
              </w:rPr>
              <w:t>计算方法</w:t>
            </w:r>
          </w:p>
        </w:tc>
        <w:tc>
          <w:tcPr>
            <w:tcW w:w="64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numPr>
                <w:ilvl w:val="0"/>
                <w:numId w:val="0"/>
              </w:numPr>
              <w:tabs>
                <w:tab w:val="left" w:pos="1980"/>
              </w:tabs>
              <w:kinsoku/>
              <w:wordWrap/>
              <w:overflowPunct/>
              <w:topLinePunct w:val="0"/>
              <w:autoSpaceDE/>
              <w:autoSpaceDN/>
              <w:bidi w:val="0"/>
              <w:adjustRightInd/>
              <w:snapToGrid/>
              <w:spacing w:beforeAutospacing="0" w:after="140" w:afterAutospacing="0" w:line="360" w:lineRule="auto"/>
              <w:jc w:val="left"/>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评标基准价（P）计算公式：</w:t>
            </w:r>
          </w:p>
          <w:p>
            <w:pPr>
              <w:keepNext w:val="0"/>
              <w:keepLines w:val="0"/>
              <w:pageBreakBefore w:val="0"/>
              <w:numPr>
                <w:ilvl w:val="0"/>
                <w:numId w:val="0"/>
              </w:numPr>
              <w:tabs>
                <w:tab w:val="left" w:pos="1980"/>
              </w:tabs>
              <w:kinsoku/>
              <w:wordWrap/>
              <w:overflowPunct/>
              <w:topLinePunct w:val="0"/>
              <w:autoSpaceDE/>
              <w:autoSpaceDN/>
              <w:bidi w:val="0"/>
              <w:adjustRightInd/>
              <w:snapToGrid/>
              <w:spacing w:beforeAutospacing="0" w:after="140" w:afterAutospacing="0" w:line="360" w:lineRule="auto"/>
              <w:jc w:val="left"/>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P 为评标基准价；n 指投标报价个数。</w:t>
            </w:r>
          </w:p>
          <w:p>
            <w:pPr>
              <w:keepNext w:val="0"/>
              <w:keepLines w:val="0"/>
              <w:pageBreakBefore w:val="0"/>
              <w:numPr>
                <w:ilvl w:val="0"/>
                <w:numId w:val="0"/>
              </w:numPr>
              <w:tabs>
                <w:tab w:val="left" w:pos="1980"/>
              </w:tabs>
              <w:kinsoku/>
              <w:wordWrap/>
              <w:overflowPunct/>
              <w:topLinePunct w:val="0"/>
              <w:autoSpaceDE/>
              <w:autoSpaceDN/>
              <w:bidi w:val="0"/>
              <w:adjustRightInd/>
              <w:snapToGrid/>
              <w:spacing w:beforeAutospacing="0" w:after="140" w:afterAutospacing="0" w:line="360" w:lineRule="auto"/>
              <w:jc w:val="left"/>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公式一：（当投标报价个数 n 大于 5 时）</w:t>
            </w:r>
          </w:p>
          <w:p>
            <w:pPr>
              <w:keepNext w:val="0"/>
              <w:keepLines w:val="0"/>
              <w:pageBreakBefore w:val="0"/>
              <w:numPr>
                <w:ilvl w:val="0"/>
                <w:numId w:val="0"/>
              </w:numPr>
              <w:tabs>
                <w:tab w:val="left" w:pos="1980"/>
              </w:tabs>
              <w:kinsoku/>
              <w:wordWrap/>
              <w:overflowPunct/>
              <w:topLinePunct w:val="0"/>
              <w:autoSpaceDE/>
              <w:autoSpaceDN/>
              <w:bidi w:val="0"/>
              <w:adjustRightInd/>
              <w:snapToGrid/>
              <w:spacing w:beforeAutospacing="0" w:after="140" w:afterAutospacing="0" w:line="360" w:lineRule="auto"/>
              <w:jc w:val="left"/>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P=（t1 + t2 + … + tn－2）/（n－2）</w:t>
            </w:r>
          </w:p>
          <w:p>
            <w:pPr>
              <w:keepNext w:val="0"/>
              <w:keepLines w:val="0"/>
              <w:pageBreakBefore w:val="0"/>
              <w:numPr>
                <w:ilvl w:val="0"/>
                <w:numId w:val="0"/>
              </w:numPr>
              <w:tabs>
                <w:tab w:val="left" w:pos="1980"/>
              </w:tabs>
              <w:kinsoku/>
              <w:wordWrap/>
              <w:overflowPunct/>
              <w:topLinePunct w:val="0"/>
              <w:autoSpaceDE/>
              <w:autoSpaceDN/>
              <w:bidi w:val="0"/>
              <w:adjustRightInd/>
              <w:snapToGrid/>
              <w:spacing w:beforeAutospacing="0" w:after="140" w:afterAutospacing="0" w:line="360" w:lineRule="auto"/>
              <w:jc w:val="left"/>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其中：t1、t2、…、tn-2 指去掉一个最高值和一个最低值后的投标报价。</w:t>
            </w:r>
          </w:p>
          <w:p>
            <w:pPr>
              <w:keepNext w:val="0"/>
              <w:keepLines w:val="0"/>
              <w:pageBreakBefore w:val="0"/>
              <w:numPr>
                <w:ilvl w:val="0"/>
                <w:numId w:val="0"/>
              </w:numPr>
              <w:tabs>
                <w:tab w:val="left" w:pos="1980"/>
              </w:tabs>
              <w:kinsoku/>
              <w:wordWrap/>
              <w:overflowPunct/>
              <w:topLinePunct w:val="0"/>
              <w:autoSpaceDE/>
              <w:autoSpaceDN/>
              <w:bidi w:val="0"/>
              <w:adjustRightInd/>
              <w:snapToGrid/>
              <w:spacing w:beforeAutospacing="0" w:after="140" w:afterAutospacing="0" w:line="360" w:lineRule="auto"/>
              <w:jc w:val="left"/>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公式二：（当投标报价个数 n 小于或等于 5 时）</w:t>
            </w:r>
          </w:p>
          <w:p>
            <w:pPr>
              <w:keepNext w:val="0"/>
              <w:keepLines w:val="0"/>
              <w:pageBreakBefore w:val="0"/>
              <w:numPr>
                <w:ilvl w:val="0"/>
                <w:numId w:val="0"/>
              </w:numPr>
              <w:tabs>
                <w:tab w:val="left" w:pos="1980"/>
              </w:tabs>
              <w:kinsoku/>
              <w:wordWrap/>
              <w:overflowPunct/>
              <w:topLinePunct w:val="0"/>
              <w:autoSpaceDE/>
              <w:autoSpaceDN/>
              <w:bidi w:val="0"/>
              <w:adjustRightInd/>
              <w:snapToGrid/>
              <w:spacing w:beforeAutospacing="0" w:after="140" w:afterAutospacing="0" w:line="360" w:lineRule="auto"/>
              <w:jc w:val="left"/>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P=（t1 + t2 + … + tn）/n</w:t>
            </w:r>
          </w:p>
          <w:p>
            <w:pPr>
              <w:keepNext w:val="0"/>
              <w:keepLines w:val="0"/>
              <w:pageBreakBefore w:val="0"/>
              <w:numPr>
                <w:ilvl w:val="0"/>
                <w:numId w:val="0"/>
              </w:numPr>
              <w:tabs>
                <w:tab w:val="left" w:pos="1980"/>
              </w:tabs>
              <w:kinsoku/>
              <w:wordWrap/>
              <w:overflowPunct/>
              <w:topLinePunct w:val="0"/>
              <w:autoSpaceDE/>
              <w:autoSpaceDN/>
              <w:bidi w:val="0"/>
              <w:adjustRightInd/>
              <w:snapToGrid/>
              <w:spacing w:beforeAutospacing="0" w:after="140" w:afterAutospacing="0" w:line="360" w:lineRule="auto"/>
              <w:jc w:val="left"/>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其中：t1、t2、…、tn 指投标报价。</w:t>
            </w:r>
          </w:p>
          <w:p>
            <w:pPr>
              <w:keepNext w:val="0"/>
              <w:keepLines w:val="0"/>
              <w:pageBreakBefore w:val="0"/>
              <w:numPr>
                <w:ilvl w:val="0"/>
                <w:numId w:val="0"/>
              </w:numPr>
              <w:tabs>
                <w:tab w:val="left" w:pos="1980"/>
              </w:tabs>
              <w:kinsoku/>
              <w:wordWrap/>
              <w:overflowPunct/>
              <w:topLinePunct w:val="0"/>
              <w:autoSpaceDE/>
              <w:autoSpaceDN/>
              <w:bidi w:val="0"/>
              <w:adjustRightInd/>
              <w:snapToGrid/>
              <w:spacing w:beforeAutospacing="0" w:after="140" w:afterAutospacing="0" w:line="360" w:lineRule="auto"/>
              <w:jc w:val="left"/>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注：公式中的投标报价及投标报价个数是指通过初步评审的有效投标人的投标报价及投标报价个数。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9" w:hRule="atLeast"/>
          <w:jc w:val="center"/>
        </w:trPr>
        <w:tc>
          <w:tcPr>
            <w:tcW w:w="9968" w:type="dxa"/>
            <w:gridSpan w:val="4"/>
            <w:tcBorders>
              <w:left w:val="single" w:color="auto" w:sz="4" w:space="0"/>
              <w:right w:val="single" w:color="auto" w:sz="4" w:space="0"/>
            </w:tcBorders>
            <w:vAlign w:val="center"/>
          </w:tcPr>
          <w:p>
            <w:pPr>
              <w:keepNext w:val="0"/>
              <w:keepLines w:val="0"/>
              <w:pageBreakBefore w:val="0"/>
              <w:numPr>
                <w:ilvl w:val="0"/>
                <w:numId w:val="0"/>
              </w:numPr>
              <w:tabs>
                <w:tab w:val="left" w:pos="1980"/>
              </w:tabs>
              <w:kinsoku/>
              <w:wordWrap/>
              <w:overflowPunct/>
              <w:topLinePunct w:val="0"/>
              <w:autoSpaceDE/>
              <w:autoSpaceDN/>
              <w:bidi w:val="0"/>
              <w:adjustRightInd/>
              <w:snapToGrid/>
              <w:spacing w:beforeAutospacing="0" w:after="140" w:afterAutospacing="0"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b/>
                <w:color w:val="auto"/>
                <w:highlight w:val="none"/>
                <w:lang w:val="en-US" w:eastAsia="zh-CN"/>
              </w:rPr>
              <w:t>商务</w:t>
            </w:r>
            <w:r>
              <w:rPr>
                <w:rFonts w:hint="eastAsia" w:ascii="宋体" w:hAnsi="宋体" w:eastAsia="宋体" w:cs="宋体"/>
                <w:b/>
                <w:color w:val="auto"/>
                <w:highlight w:val="none"/>
                <w:lang w:eastAsia="zh-CN"/>
              </w:rPr>
              <w:t>部分评审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357" w:type="dxa"/>
            <w:gridSpan w:val="2"/>
            <w:tcBorders>
              <w:left w:val="single" w:color="auto" w:sz="4" w:space="0"/>
              <w:right w:val="single" w:color="auto" w:sz="4" w:space="0"/>
            </w:tcBorders>
            <w:vAlign w:val="center"/>
          </w:tcPr>
          <w:p>
            <w:pPr>
              <w:widowControl/>
              <w:spacing w:line="360" w:lineRule="auto"/>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3.1</w:t>
            </w:r>
          </w:p>
        </w:tc>
        <w:tc>
          <w:tcPr>
            <w:tcW w:w="2114" w:type="dxa"/>
            <w:tcBorders>
              <w:top w:val="single" w:color="auto" w:sz="4" w:space="0"/>
              <w:left w:val="single" w:color="auto" w:sz="4" w:space="0"/>
              <w:bottom w:val="single" w:color="auto" w:sz="4" w:space="0"/>
              <w:right w:val="single" w:color="auto" w:sz="4" w:space="0"/>
            </w:tcBorders>
            <w:vAlign w:val="center"/>
          </w:tcPr>
          <w:p>
            <w:pPr>
              <w:pStyle w:val="11"/>
              <w:keepNext w:val="0"/>
              <w:keepLines w:val="0"/>
              <w:pageBreakBefore w:val="0"/>
              <w:kinsoku/>
              <w:wordWrap/>
              <w:overflowPunct/>
              <w:topLinePunct w:val="0"/>
              <w:bidi w:val="0"/>
              <w:spacing w:after="140"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商务部分评审</w:t>
            </w:r>
          </w:p>
          <w:p>
            <w:pPr>
              <w:pStyle w:val="11"/>
              <w:keepNext w:val="0"/>
              <w:keepLines w:val="0"/>
              <w:pageBreakBefore w:val="0"/>
              <w:kinsoku/>
              <w:wordWrap/>
              <w:overflowPunct/>
              <w:topLinePunct w:val="0"/>
              <w:bidi w:val="0"/>
              <w:spacing w:after="140" w:line="360" w:lineRule="auto"/>
              <w:jc w:val="center"/>
              <w:rPr>
                <w:rFonts w:hint="eastAsia" w:ascii="宋体" w:hAnsi="宋体"/>
                <w:color w:val="auto"/>
                <w:sz w:val="21"/>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30</w:t>
            </w:r>
            <w:r>
              <w:rPr>
                <w:rFonts w:hint="eastAsia" w:ascii="宋体" w:hAnsi="宋体" w:eastAsia="宋体" w:cs="宋体"/>
                <w:color w:val="auto"/>
                <w:szCs w:val="21"/>
                <w:highlight w:val="none"/>
              </w:rPr>
              <w:t>分</w:t>
            </w:r>
            <w:r>
              <w:rPr>
                <w:rFonts w:hint="eastAsia" w:ascii="宋体" w:hAnsi="宋体" w:cs="宋体"/>
                <w:color w:val="auto"/>
                <w:szCs w:val="21"/>
                <w:highlight w:val="none"/>
                <w:lang w:eastAsia="zh-CN"/>
              </w:rPr>
              <w:t>）</w:t>
            </w:r>
          </w:p>
        </w:tc>
        <w:tc>
          <w:tcPr>
            <w:tcW w:w="64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val="0"/>
              <w:spacing w:after="140" w:line="360" w:lineRule="auto"/>
              <w:rPr>
                <w:rFonts w:hint="eastAsia" w:ascii="宋体" w:hAnsi="宋体"/>
                <w:color w:val="auto"/>
                <w:spacing w:val="-2"/>
                <w:sz w:val="21"/>
                <w:szCs w:val="21"/>
                <w:highlight w:val="none"/>
              </w:rPr>
            </w:pPr>
            <w:r>
              <w:rPr>
                <w:rFonts w:hint="eastAsia" w:ascii="宋体" w:hAnsi="宋体" w:eastAsia="宋体" w:cs="宋体"/>
                <w:color w:val="auto"/>
                <w:highlight w:val="none"/>
                <w:lang w:val="en-US" w:eastAsia="zh-CN"/>
              </w:rPr>
              <w:t>投标报价等于基准价的得满分</w:t>
            </w:r>
            <w:r>
              <w:rPr>
                <w:rFonts w:hint="eastAsia" w:ascii="宋体" w:hAnsi="宋体" w:cs="宋体"/>
                <w:color w:val="auto"/>
                <w:highlight w:val="none"/>
                <w:lang w:val="en-US" w:eastAsia="zh-CN"/>
              </w:rPr>
              <w:t>30</w:t>
            </w:r>
            <w:r>
              <w:rPr>
                <w:rFonts w:hint="eastAsia" w:ascii="宋体" w:hAnsi="宋体" w:eastAsia="宋体" w:cs="宋体"/>
                <w:color w:val="auto"/>
                <w:highlight w:val="none"/>
                <w:lang w:val="en-US" w:eastAsia="zh-CN"/>
              </w:rPr>
              <w:t>分，其余投标报价与之相差，每向上浮动1%在满分基础上扣</w:t>
            </w:r>
            <w:r>
              <w:rPr>
                <w:rFonts w:hint="eastAsia" w:ascii="宋体" w:hAnsi="宋体" w:cs="宋体"/>
                <w:color w:val="auto"/>
                <w:highlight w:val="none"/>
                <w:lang w:val="en-US" w:eastAsia="zh-CN"/>
              </w:rPr>
              <w:t>0.1</w:t>
            </w:r>
            <w:r>
              <w:rPr>
                <w:rFonts w:hint="eastAsia" w:ascii="宋体" w:hAnsi="宋体" w:eastAsia="宋体" w:cs="宋体"/>
                <w:color w:val="auto"/>
                <w:highlight w:val="none"/>
                <w:lang w:val="en-US" w:eastAsia="zh-CN"/>
              </w:rPr>
              <w:t>分，每向下浮动1%在满分基础上扣0.1分，扣完为止（扣减分值的中间值用插入法，小数点后保留两位）。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9968" w:type="dxa"/>
            <w:gridSpan w:val="4"/>
            <w:tcBorders>
              <w:left w:val="single" w:color="auto" w:sz="4" w:space="0"/>
              <w:right w:val="single" w:color="auto" w:sz="4" w:space="0"/>
            </w:tcBorders>
            <w:vAlign w:val="center"/>
          </w:tcPr>
          <w:p>
            <w:pPr>
              <w:keepNext w:val="0"/>
              <w:keepLines w:val="0"/>
              <w:pageBreakBefore w:val="0"/>
              <w:kinsoku/>
              <w:wordWrap/>
              <w:overflowPunct/>
              <w:topLinePunct w:val="0"/>
              <w:bidi w:val="0"/>
              <w:snapToGrid w:val="0"/>
              <w:spacing w:after="140" w:line="360" w:lineRule="auto"/>
              <w:jc w:val="center"/>
              <w:rPr>
                <w:rFonts w:hint="eastAsia" w:ascii="宋体" w:hAnsi="宋体" w:eastAsia="宋体" w:cs="宋体"/>
                <w:color w:val="auto"/>
                <w:highlight w:val="none"/>
                <w:lang w:val="en-US" w:eastAsia="zh-CN"/>
              </w:rPr>
            </w:pPr>
            <w:r>
              <w:rPr>
                <w:rFonts w:hint="eastAsia" w:ascii="宋体" w:hAnsi="宋体" w:eastAsia="宋体" w:cs="宋体"/>
                <w:b/>
                <w:color w:val="auto"/>
                <w:highlight w:val="none"/>
                <w:lang w:eastAsia="zh-CN"/>
              </w:rPr>
              <w:t>技术部分评审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357" w:type="dxa"/>
            <w:gridSpan w:val="2"/>
            <w:vMerge w:val="restart"/>
            <w:tcBorders>
              <w:left w:val="single" w:color="auto" w:sz="4" w:space="0"/>
              <w:right w:val="single" w:color="auto" w:sz="4" w:space="0"/>
            </w:tcBorders>
            <w:vAlign w:val="center"/>
          </w:tcPr>
          <w:p>
            <w:pPr>
              <w:widowControl/>
              <w:spacing w:line="360" w:lineRule="auto"/>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4.1</w:t>
            </w:r>
          </w:p>
        </w:tc>
        <w:tc>
          <w:tcPr>
            <w:tcW w:w="2114" w:type="dxa"/>
            <w:vMerge w:val="restart"/>
            <w:tcBorders>
              <w:top w:val="single" w:color="auto" w:sz="4" w:space="0"/>
              <w:left w:val="single" w:color="auto" w:sz="4" w:space="0"/>
              <w:right w:val="single" w:color="auto" w:sz="4" w:space="0"/>
            </w:tcBorders>
            <w:vAlign w:val="center"/>
          </w:tcPr>
          <w:p>
            <w:pPr>
              <w:spacing w:line="360" w:lineRule="auto"/>
              <w:jc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技术</w:t>
            </w:r>
            <w:r>
              <w:rPr>
                <w:rFonts w:hint="eastAsia" w:ascii="宋体" w:hAnsi="宋体" w:cs="宋体"/>
                <w:color w:val="auto"/>
                <w:kern w:val="0"/>
                <w:sz w:val="21"/>
                <w:szCs w:val="21"/>
                <w:highlight w:val="none"/>
                <w:lang w:val="en-US" w:eastAsia="zh-CN" w:bidi="ar"/>
              </w:rPr>
              <w:t>部分</w:t>
            </w:r>
            <w:r>
              <w:rPr>
                <w:rFonts w:hint="eastAsia" w:ascii="宋体" w:hAnsi="宋体" w:cs="宋体"/>
                <w:color w:val="auto"/>
                <w:kern w:val="0"/>
                <w:sz w:val="21"/>
                <w:szCs w:val="21"/>
                <w:highlight w:val="none"/>
                <w:lang w:bidi="ar"/>
              </w:rPr>
              <w:t>得分</w:t>
            </w:r>
          </w:p>
          <w:p>
            <w:pPr>
              <w:spacing w:line="360" w:lineRule="auto"/>
              <w:jc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w:t>
            </w:r>
            <w:r>
              <w:rPr>
                <w:rFonts w:hint="eastAsia" w:ascii="宋体" w:hAnsi="宋体" w:cs="宋体"/>
                <w:color w:val="auto"/>
                <w:kern w:val="0"/>
                <w:sz w:val="21"/>
                <w:szCs w:val="21"/>
                <w:highlight w:val="none"/>
                <w:lang w:eastAsia="zh-CN" w:bidi="ar"/>
              </w:rPr>
              <w:t>满分</w:t>
            </w:r>
            <w:r>
              <w:rPr>
                <w:rFonts w:hint="eastAsia" w:ascii="宋体" w:hAnsi="宋体" w:cs="宋体"/>
                <w:color w:val="auto"/>
                <w:kern w:val="0"/>
                <w:sz w:val="21"/>
                <w:szCs w:val="21"/>
                <w:highlight w:val="none"/>
                <w:lang w:val="en-US" w:eastAsia="zh-CN" w:bidi="ar"/>
              </w:rPr>
              <w:t>70</w:t>
            </w:r>
            <w:r>
              <w:rPr>
                <w:rFonts w:hint="eastAsia" w:ascii="宋体" w:hAnsi="宋体" w:cs="宋体"/>
                <w:color w:val="auto"/>
                <w:kern w:val="0"/>
                <w:sz w:val="21"/>
                <w:szCs w:val="21"/>
                <w:highlight w:val="none"/>
                <w:lang w:bidi="ar"/>
              </w:rPr>
              <w:t>分）</w:t>
            </w:r>
          </w:p>
        </w:tc>
        <w:tc>
          <w:tcPr>
            <w:tcW w:w="6497" w:type="dxa"/>
            <w:tcBorders>
              <w:top w:val="single" w:color="auto" w:sz="4" w:space="0"/>
              <w:left w:val="single" w:color="auto" w:sz="4" w:space="0"/>
              <w:bottom w:val="single" w:color="auto" w:sz="4" w:space="0"/>
              <w:right w:val="single" w:color="auto" w:sz="4" w:space="0"/>
            </w:tcBorders>
            <w:vAlign w:val="center"/>
          </w:tcPr>
          <w:p>
            <w:pPr>
              <w:spacing w:line="360" w:lineRule="auto"/>
              <w:ind w:left="34"/>
              <w:jc w:val="left"/>
              <w:rPr>
                <w:rFonts w:hint="eastAsia" w:ascii="宋体" w:hAnsi="宋体" w:cs="宋体"/>
                <w:b/>
                <w:bCs/>
                <w:color w:val="auto"/>
                <w:kern w:val="0"/>
                <w:sz w:val="21"/>
                <w:szCs w:val="21"/>
                <w:highlight w:val="none"/>
                <w:lang w:bidi="ar"/>
              </w:rPr>
            </w:pPr>
            <w:r>
              <w:rPr>
                <w:rFonts w:hint="eastAsia" w:ascii="宋体" w:hAnsi="宋体" w:cs="宋体"/>
                <w:b/>
                <w:bCs/>
                <w:color w:val="auto"/>
                <w:kern w:val="0"/>
                <w:sz w:val="21"/>
                <w:szCs w:val="21"/>
                <w:highlight w:val="none"/>
                <w:lang w:bidi="ar"/>
              </w:rPr>
              <w:t>（1）招标代理服务方案（满分</w:t>
            </w:r>
            <w:r>
              <w:rPr>
                <w:rFonts w:hint="eastAsia" w:ascii="宋体" w:hAnsi="宋体" w:cs="宋体"/>
                <w:b/>
                <w:bCs/>
                <w:color w:val="auto"/>
                <w:kern w:val="0"/>
                <w:sz w:val="21"/>
                <w:szCs w:val="21"/>
                <w:highlight w:val="none"/>
                <w:lang w:val="en-US" w:eastAsia="zh-CN" w:bidi="ar"/>
              </w:rPr>
              <w:t>25</w:t>
            </w:r>
            <w:r>
              <w:rPr>
                <w:rFonts w:hint="eastAsia" w:ascii="宋体" w:hAnsi="宋体" w:cs="宋体"/>
                <w:b/>
                <w:bCs/>
                <w:color w:val="auto"/>
                <w:kern w:val="0"/>
                <w:sz w:val="21"/>
                <w:szCs w:val="21"/>
                <w:highlight w:val="none"/>
                <w:lang w:bidi="ar"/>
              </w:rPr>
              <w:t>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第一档次（</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25</w:t>
            </w:r>
            <w:r>
              <w:rPr>
                <w:rFonts w:hint="eastAsia" w:ascii="宋体" w:hAnsi="宋体" w:eastAsia="宋体" w:cs="宋体"/>
                <w:color w:val="auto"/>
                <w:sz w:val="21"/>
                <w:szCs w:val="21"/>
                <w:highlight w:val="none"/>
                <w:lang w:val="en-US" w:eastAsia="zh-CN"/>
              </w:rPr>
              <w:t>分）：方案逻辑清晰、结构完整，完全契合本项目招标需求，对项目背景、招标范围、核心难点把握精准，针对性制定全流程服务计划，可直接指导实操；</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第二档次（1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lang w:val="en-US" w:eastAsia="zh-CN"/>
              </w:rPr>
              <w:t>分）：方案结构</w:t>
            </w:r>
            <w:r>
              <w:rPr>
                <w:rFonts w:hint="eastAsia" w:ascii="宋体" w:hAnsi="宋体" w:cs="宋体"/>
                <w:color w:val="auto"/>
                <w:sz w:val="21"/>
                <w:szCs w:val="21"/>
                <w:highlight w:val="none"/>
                <w:lang w:val="en-US" w:eastAsia="zh-CN"/>
              </w:rPr>
              <w:t>基本</w:t>
            </w:r>
            <w:r>
              <w:rPr>
                <w:rFonts w:hint="eastAsia" w:ascii="宋体" w:hAnsi="宋体" w:eastAsia="宋体" w:cs="宋体"/>
                <w:color w:val="auto"/>
                <w:sz w:val="21"/>
                <w:szCs w:val="21"/>
                <w:highlight w:val="none"/>
                <w:lang w:val="en-US" w:eastAsia="zh-CN"/>
              </w:rPr>
              <w:t>完整，基本符合本项目招标需求，对项目情况及招标流程有清晰认知，服务计划具备可操作性，无明显漏洞；</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第三档次（</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分）：方案结构</w:t>
            </w:r>
            <w:r>
              <w:rPr>
                <w:rFonts w:hint="eastAsia" w:ascii="宋体" w:hAnsi="宋体" w:cs="宋体"/>
                <w:color w:val="auto"/>
                <w:sz w:val="21"/>
                <w:szCs w:val="21"/>
                <w:highlight w:val="none"/>
                <w:lang w:val="en-US" w:eastAsia="zh-CN"/>
              </w:rPr>
              <w:t>不</w:t>
            </w:r>
            <w:r>
              <w:rPr>
                <w:rFonts w:hint="eastAsia" w:ascii="宋体" w:hAnsi="宋体" w:eastAsia="宋体" w:cs="宋体"/>
                <w:color w:val="auto"/>
                <w:sz w:val="21"/>
                <w:szCs w:val="21"/>
                <w:highlight w:val="none"/>
                <w:lang w:val="en-US" w:eastAsia="zh-CN"/>
              </w:rPr>
              <w:t>完整，响应本项目招标核心需求，但针对性不足，对项目难点把握不深入，服务计划较为笼统，需进一步细化</w:t>
            </w:r>
            <w:r>
              <w:rPr>
                <w:rFonts w:hint="eastAsia" w:ascii="宋体" w:hAnsi="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kern w:val="0"/>
                <w:sz w:val="21"/>
                <w:szCs w:val="21"/>
                <w:highlight w:val="none"/>
                <w:lang w:bidi="ar"/>
              </w:rPr>
            </w:pPr>
            <w:r>
              <w:rPr>
                <w:rFonts w:hint="eastAsia" w:ascii="宋体" w:hAnsi="宋体" w:eastAsia="宋体" w:cs="宋体"/>
                <w:color w:val="auto"/>
                <w:sz w:val="21"/>
                <w:szCs w:val="21"/>
                <w:highlight w:val="none"/>
                <w:lang w:val="en-US" w:eastAsia="zh-CN"/>
              </w:rPr>
              <w:t>第四档次（1-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分）：方案结构混乱，内容不完整，无法契合本项目招标需求，对项目情况不了解，服务计划缺乏可操作性，存在重大漏洞。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357" w:type="dxa"/>
            <w:gridSpan w:val="2"/>
            <w:vMerge w:val="continue"/>
            <w:tcBorders>
              <w:left w:val="single" w:color="auto" w:sz="4" w:space="0"/>
              <w:right w:val="single" w:color="auto" w:sz="4" w:space="0"/>
            </w:tcBorders>
            <w:vAlign w:val="center"/>
          </w:tcPr>
          <w:p>
            <w:pPr>
              <w:widowControl/>
              <w:spacing w:line="360" w:lineRule="auto"/>
              <w:jc w:val="center"/>
              <w:rPr>
                <w:rFonts w:hint="eastAsia" w:ascii="宋体" w:hAnsi="宋体"/>
                <w:color w:val="auto"/>
                <w:sz w:val="21"/>
                <w:szCs w:val="21"/>
                <w:highlight w:val="none"/>
              </w:rPr>
            </w:pPr>
          </w:p>
        </w:tc>
        <w:tc>
          <w:tcPr>
            <w:tcW w:w="2114" w:type="dxa"/>
            <w:vMerge w:val="continue"/>
            <w:tcBorders>
              <w:left w:val="single" w:color="auto" w:sz="4" w:space="0"/>
              <w:right w:val="single" w:color="auto" w:sz="4" w:space="0"/>
            </w:tcBorders>
            <w:vAlign w:val="center"/>
          </w:tcPr>
          <w:p>
            <w:pPr>
              <w:spacing w:line="360" w:lineRule="auto"/>
              <w:jc w:val="center"/>
              <w:rPr>
                <w:rFonts w:hint="eastAsia" w:ascii="宋体" w:hAnsi="宋体" w:eastAsia="宋体"/>
                <w:color w:val="auto"/>
                <w:sz w:val="21"/>
                <w:szCs w:val="21"/>
                <w:highlight w:val="none"/>
                <w:lang w:eastAsia="zh-CN"/>
              </w:rPr>
            </w:pPr>
          </w:p>
        </w:tc>
        <w:tc>
          <w:tcPr>
            <w:tcW w:w="6497" w:type="dxa"/>
            <w:tcBorders>
              <w:top w:val="single" w:color="auto" w:sz="4" w:space="0"/>
              <w:left w:val="single" w:color="auto" w:sz="4" w:space="0"/>
              <w:bottom w:val="single" w:color="auto" w:sz="4" w:space="0"/>
              <w:right w:val="single" w:color="auto" w:sz="4" w:space="0"/>
            </w:tcBorders>
            <w:vAlign w:val="center"/>
          </w:tcPr>
          <w:p>
            <w:pPr>
              <w:spacing w:line="360" w:lineRule="auto"/>
              <w:ind w:left="34"/>
              <w:jc w:val="left"/>
              <w:rPr>
                <w:rFonts w:hint="eastAsia" w:ascii="宋体" w:hAnsi="宋体"/>
                <w:b/>
                <w:bCs/>
                <w:color w:val="auto"/>
                <w:sz w:val="21"/>
                <w:szCs w:val="21"/>
                <w:highlight w:val="none"/>
              </w:rPr>
            </w:pPr>
            <w:r>
              <w:rPr>
                <w:rFonts w:hint="eastAsia" w:ascii="宋体" w:hAnsi="宋体"/>
                <w:b/>
                <w:bCs/>
                <w:color w:val="auto"/>
                <w:sz w:val="21"/>
                <w:szCs w:val="21"/>
                <w:highlight w:val="none"/>
              </w:rPr>
              <w:t>（2）服务质量承诺（满分</w:t>
            </w:r>
            <w:r>
              <w:rPr>
                <w:rFonts w:hint="eastAsia" w:ascii="宋体" w:hAnsi="宋体"/>
                <w:b/>
                <w:bCs/>
                <w:color w:val="auto"/>
                <w:sz w:val="21"/>
                <w:szCs w:val="21"/>
                <w:highlight w:val="none"/>
                <w:lang w:val="en-US" w:eastAsia="zh-CN"/>
              </w:rPr>
              <w:t>15</w:t>
            </w:r>
            <w:r>
              <w:rPr>
                <w:rFonts w:hint="eastAsia" w:ascii="宋体" w:hAnsi="宋体"/>
                <w:b/>
                <w:bCs/>
                <w:color w:val="auto"/>
                <w:sz w:val="21"/>
                <w:szCs w:val="21"/>
                <w:highlight w:val="none"/>
              </w:rPr>
              <w:t>分）</w:t>
            </w:r>
          </w:p>
          <w:p>
            <w:pPr>
              <w:spacing w:line="360" w:lineRule="auto"/>
              <w:ind w:left="34"/>
              <w:jc w:val="left"/>
              <w:rPr>
                <w:rFonts w:hint="eastAsia" w:ascii="宋体" w:hAnsi="宋体"/>
                <w:color w:val="auto"/>
                <w:sz w:val="21"/>
                <w:szCs w:val="21"/>
                <w:highlight w:val="none"/>
              </w:rPr>
            </w:pPr>
            <w:r>
              <w:rPr>
                <w:rFonts w:hint="eastAsia" w:ascii="宋体" w:hAnsi="宋体"/>
                <w:color w:val="auto"/>
                <w:sz w:val="21"/>
                <w:szCs w:val="21"/>
                <w:highlight w:val="none"/>
              </w:rPr>
              <w:t>第一档次（</w:t>
            </w:r>
            <w:r>
              <w:rPr>
                <w:rFonts w:hint="eastAsia" w:ascii="宋体" w:hAnsi="宋体"/>
                <w:color w:val="auto"/>
                <w:sz w:val="21"/>
                <w:szCs w:val="21"/>
                <w:highlight w:val="none"/>
                <w:lang w:val="en-US" w:eastAsia="zh-CN"/>
              </w:rPr>
              <w:t>10-15</w:t>
            </w:r>
            <w:r>
              <w:rPr>
                <w:rFonts w:hint="eastAsia" w:ascii="宋体" w:hAnsi="宋体"/>
                <w:color w:val="auto"/>
                <w:sz w:val="21"/>
                <w:szCs w:val="21"/>
                <w:highlight w:val="none"/>
              </w:rPr>
              <w:t>分）：质量承诺完全契合本项目招标需求，覆盖服务时效、合规管控、文件质量、归档管理等全维度，无遗漏核心要点，针对性极强；</w:t>
            </w:r>
          </w:p>
          <w:p>
            <w:pPr>
              <w:spacing w:line="360" w:lineRule="auto"/>
              <w:ind w:left="34"/>
              <w:jc w:val="left"/>
              <w:rPr>
                <w:rFonts w:hint="eastAsia" w:ascii="宋体" w:hAnsi="宋体"/>
                <w:color w:val="auto"/>
                <w:sz w:val="21"/>
                <w:szCs w:val="21"/>
                <w:highlight w:val="none"/>
              </w:rPr>
            </w:pPr>
            <w:r>
              <w:rPr>
                <w:rFonts w:hint="eastAsia" w:ascii="宋体" w:hAnsi="宋体"/>
                <w:color w:val="auto"/>
                <w:sz w:val="21"/>
                <w:szCs w:val="21"/>
                <w:highlight w:val="none"/>
              </w:rPr>
              <w:t>第二档次（</w:t>
            </w:r>
            <w:r>
              <w:rPr>
                <w:rFonts w:hint="eastAsia" w:ascii="宋体" w:hAnsi="宋体"/>
                <w:color w:val="auto"/>
                <w:sz w:val="21"/>
                <w:szCs w:val="21"/>
                <w:highlight w:val="none"/>
                <w:lang w:val="en-US" w:eastAsia="zh-CN"/>
              </w:rPr>
              <w:t>5-9</w:t>
            </w:r>
            <w:r>
              <w:rPr>
                <w:rFonts w:hint="eastAsia" w:ascii="宋体" w:hAnsi="宋体"/>
                <w:color w:val="auto"/>
                <w:sz w:val="21"/>
                <w:szCs w:val="21"/>
                <w:highlight w:val="none"/>
              </w:rPr>
              <w:t>分）：覆盖服务时效、合规、归档等核心要点，符合遴选文件基础要求，能匹配项目常规招标服务需求，无重大缺失；</w:t>
            </w:r>
          </w:p>
          <w:p>
            <w:pPr>
              <w:spacing w:line="360" w:lineRule="auto"/>
              <w:ind w:left="34"/>
              <w:jc w:val="left"/>
              <w:rPr>
                <w:rFonts w:hint="eastAsia" w:ascii="宋体" w:hAnsi="宋体"/>
                <w:color w:val="auto"/>
                <w:sz w:val="21"/>
                <w:szCs w:val="21"/>
                <w:highlight w:val="none"/>
              </w:rPr>
            </w:pPr>
            <w:r>
              <w:rPr>
                <w:rFonts w:hint="eastAsia" w:ascii="宋体" w:hAnsi="宋体"/>
                <w:color w:val="auto"/>
                <w:sz w:val="21"/>
                <w:szCs w:val="21"/>
                <w:highlight w:val="none"/>
              </w:rPr>
              <w:t>第三档次（</w:t>
            </w:r>
            <w:r>
              <w:rPr>
                <w:rFonts w:hint="eastAsia" w:ascii="宋体" w:hAnsi="宋体"/>
                <w:color w:val="auto"/>
                <w:sz w:val="21"/>
                <w:szCs w:val="21"/>
                <w:highlight w:val="none"/>
                <w:lang w:val="en-US" w:eastAsia="zh-CN"/>
              </w:rPr>
              <w:t>1-4</w:t>
            </w:r>
            <w:r>
              <w:rPr>
                <w:rFonts w:hint="eastAsia" w:ascii="宋体" w:hAnsi="宋体"/>
                <w:color w:val="auto"/>
                <w:sz w:val="21"/>
                <w:szCs w:val="21"/>
                <w:highlight w:val="none"/>
              </w:rPr>
              <w:t>分）：未覆盖招标文件要求的核心质量要点，如缺失时效等承诺，无法满足项目基本服务需求</w:t>
            </w:r>
            <w:r>
              <w:rPr>
                <w:rFonts w:hint="eastAsia" w:ascii="宋体" w:hAnsi="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357" w:type="dxa"/>
            <w:gridSpan w:val="2"/>
            <w:vMerge w:val="continue"/>
            <w:tcBorders>
              <w:left w:val="single" w:color="auto" w:sz="4" w:space="0"/>
              <w:right w:val="single" w:color="auto" w:sz="4" w:space="0"/>
            </w:tcBorders>
            <w:vAlign w:val="center"/>
          </w:tcPr>
          <w:p>
            <w:pPr>
              <w:widowControl/>
              <w:spacing w:line="360" w:lineRule="auto"/>
              <w:jc w:val="center"/>
              <w:rPr>
                <w:rFonts w:hint="eastAsia" w:ascii="宋体" w:hAnsi="宋体"/>
                <w:color w:val="auto"/>
                <w:sz w:val="21"/>
                <w:szCs w:val="21"/>
                <w:highlight w:val="none"/>
              </w:rPr>
            </w:pPr>
          </w:p>
        </w:tc>
        <w:tc>
          <w:tcPr>
            <w:tcW w:w="2114" w:type="dxa"/>
            <w:vMerge w:val="continue"/>
            <w:tcBorders>
              <w:left w:val="single" w:color="auto" w:sz="4" w:space="0"/>
              <w:right w:val="single" w:color="auto" w:sz="4" w:space="0"/>
            </w:tcBorders>
            <w:vAlign w:val="center"/>
          </w:tcPr>
          <w:p>
            <w:pPr>
              <w:spacing w:line="360" w:lineRule="auto"/>
              <w:jc w:val="center"/>
              <w:rPr>
                <w:rFonts w:hint="eastAsia" w:ascii="宋体" w:hAnsi="宋体"/>
                <w:color w:val="auto"/>
                <w:sz w:val="21"/>
                <w:szCs w:val="21"/>
                <w:highlight w:val="none"/>
                <w:lang w:eastAsia="zh-CN"/>
              </w:rPr>
            </w:pPr>
          </w:p>
        </w:tc>
        <w:tc>
          <w:tcPr>
            <w:tcW w:w="6497" w:type="dxa"/>
            <w:tcBorders>
              <w:top w:val="single" w:color="auto" w:sz="4" w:space="0"/>
              <w:left w:val="single" w:color="auto" w:sz="4" w:space="0"/>
              <w:bottom w:val="single" w:color="auto" w:sz="4" w:space="0"/>
              <w:right w:val="single" w:color="auto" w:sz="4" w:space="0"/>
            </w:tcBorders>
            <w:vAlign w:val="center"/>
          </w:tcPr>
          <w:p>
            <w:pPr>
              <w:spacing w:line="360" w:lineRule="auto"/>
              <w:ind w:left="34"/>
              <w:jc w:val="left"/>
              <w:rPr>
                <w:rFonts w:hint="eastAsia" w:ascii="宋体" w:hAnsi="宋体"/>
                <w:b/>
                <w:bCs/>
                <w:color w:val="auto"/>
                <w:sz w:val="21"/>
                <w:szCs w:val="21"/>
                <w:highlight w:val="none"/>
              </w:rPr>
            </w:pPr>
            <w:r>
              <w:rPr>
                <w:rFonts w:hint="eastAsia" w:ascii="宋体" w:hAnsi="宋体"/>
                <w:b/>
                <w:bCs/>
                <w:color w:val="auto"/>
                <w:sz w:val="21"/>
                <w:szCs w:val="21"/>
                <w:highlight w:val="none"/>
              </w:rPr>
              <w:t>（3）保密、廉洁管理措施及承诺（满分</w:t>
            </w:r>
            <w:r>
              <w:rPr>
                <w:rFonts w:hint="eastAsia" w:ascii="宋体" w:hAnsi="宋体"/>
                <w:b/>
                <w:bCs/>
                <w:color w:val="auto"/>
                <w:sz w:val="21"/>
                <w:szCs w:val="21"/>
                <w:highlight w:val="none"/>
                <w:lang w:val="en-US" w:eastAsia="zh-CN"/>
              </w:rPr>
              <w:t>10</w:t>
            </w:r>
            <w:r>
              <w:rPr>
                <w:rFonts w:hint="eastAsia" w:ascii="宋体" w:hAnsi="宋体"/>
                <w:b/>
                <w:bCs/>
                <w:color w:val="auto"/>
                <w:sz w:val="21"/>
                <w:szCs w:val="21"/>
                <w:highlight w:val="none"/>
              </w:rPr>
              <w:t>分）</w:t>
            </w:r>
          </w:p>
          <w:p>
            <w:pPr>
              <w:spacing w:line="360" w:lineRule="auto"/>
              <w:ind w:left="34"/>
              <w:jc w:val="left"/>
              <w:rPr>
                <w:rFonts w:hint="eastAsia" w:ascii="宋体" w:hAnsi="宋体"/>
                <w:color w:val="auto"/>
                <w:sz w:val="21"/>
                <w:szCs w:val="21"/>
                <w:highlight w:val="none"/>
              </w:rPr>
            </w:pPr>
            <w:r>
              <w:rPr>
                <w:rFonts w:hint="eastAsia" w:ascii="宋体" w:hAnsi="宋体"/>
                <w:color w:val="auto"/>
                <w:sz w:val="21"/>
                <w:szCs w:val="21"/>
                <w:highlight w:val="none"/>
              </w:rPr>
              <w:t>第一档次（</w:t>
            </w:r>
            <w:r>
              <w:rPr>
                <w:rFonts w:hint="eastAsia" w:ascii="宋体" w:hAnsi="宋体"/>
                <w:color w:val="auto"/>
                <w:sz w:val="21"/>
                <w:szCs w:val="21"/>
                <w:highlight w:val="none"/>
                <w:lang w:val="en-US" w:eastAsia="zh-CN"/>
              </w:rPr>
              <w:t>8-10</w:t>
            </w:r>
            <w:r>
              <w:rPr>
                <w:rFonts w:hint="eastAsia" w:ascii="宋体" w:hAnsi="宋体"/>
                <w:color w:val="auto"/>
                <w:sz w:val="21"/>
                <w:szCs w:val="21"/>
                <w:highlight w:val="none"/>
              </w:rPr>
              <w:t>分）：保密工作、廉洁管理措施内容健全，切实可行，并附有具体廉洁违约承诺；</w:t>
            </w:r>
          </w:p>
          <w:p>
            <w:pPr>
              <w:spacing w:line="360" w:lineRule="auto"/>
              <w:ind w:left="34"/>
              <w:jc w:val="left"/>
              <w:rPr>
                <w:rFonts w:hint="eastAsia" w:ascii="宋体" w:hAnsi="宋体"/>
                <w:color w:val="auto"/>
                <w:sz w:val="21"/>
                <w:szCs w:val="21"/>
                <w:highlight w:val="none"/>
              </w:rPr>
            </w:pPr>
            <w:r>
              <w:rPr>
                <w:rFonts w:hint="eastAsia" w:ascii="宋体" w:hAnsi="宋体"/>
                <w:color w:val="auto"/>
                <w:sz w:val="21"/>
                <w:szCs w:val="21"/>
                <w:highlight w:val="none"/>
              </w:rPr>
              <w:t>第二档次（</w:t>
            </w:r>
            <w:r>
              <w:rPr>
                <w:rFonts w:hint="eastAsia" w:ascii="宋体" w:hAnsi="宋体"/>
                <w:color w:val="auto"/>
                <w:sz w:val="21"/>
                <w:szCs w:val="21"/>
                <w:highlight w:val="none"/>
                <w:lang w:val="en-US" w:eastAsia="zh-CN"/>
              </w:rPr>
              <w:t>4-7</w:t>
            </w:r>
            <w:r>
              <w:rPr>
                <w:rFonts w:hint="eastAsia" w:ascii="宋体" w:hAnsi="宋体"/>
                <w:color w:val="auto"/>
                <w:sz w:val="21"/>
                <w:szCs w:val="21"/>
                <w:highlight w:val="none"/>
              </w:rPr>
              <w:t>分）：保密工作、廉洁管理措施及承诺基本健全，工作程序清晰，安排基本合理，服务承诺齐全，针对性一般；</w:t>
            </w:r>
          </w:p>
          <w:p>
            <w:pPr>
              <w:spacing w:line="360" w:lineRule="auto"/>
              <w:ind w:left="34"/>
              <w:jc w:val="left"/>
              <w:rPr>
                <w:rFonts w:hint="eastAsia" w:ascii="宋体" w:hAnsi="宋体"/>
                <w:color w:val="auto"/>
                <w:sz w:val="21"/>
                <w:szCs w:val="21"/>
                <w:highlight w:val="none"/>
              </w:rPr>
            </w:pPr>
            <w:r>
              <w:rPr>
                <w:rFonts w:hint="eastAsia" w:ascii="宋体" w:hAnsi="宋体"/>
                <w:color w:val="auto"/>
                <w:sz w:val="21"/>
                <w:szCs w:val="21"/>
                <w:highlight w:val="none"/>
              </w:rPr>
              <w:t>第</w:t>
            </w:r>
            <w:r>
              <w:rPr>
                <w:rFonts w:hint="eastAsia" w:ascii="宋体" w:hAnsi="宋体"/>
                <w:color w:val="auto"/>
                <w:sz w:val="21"/>
                <w:szCs w:val="21"/>
                <w:highlight w:val="none"/>
                <w:lang w:val="en-US" w:eastAsia="zh-CN"/>
              </w:rPr>
              <w:t>三</w:t>
            </w:r>
            <w:r>
              <w:rPr>
                <w:rFonts w:hint="eastAsia" w:ascii="宋体" w:hAnsi="宋体"/>
                <w:color w:val="auto"/>
                <w:sz w:val="21"/>
                <w:szCs w:val="21"/>
                <w:highlight w:val="none"/>
              </w:rPr>
              <w:t>档次（1</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分）：保密工作、廉洁管理措施及承诺，安排基本合理，服务承诺齐全，针对性较差。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357" w:type="dxa"/>
            <w:gridSpan w:val="2"/>
            <w:vMerge w:val="continue"/>
            <w:tcBorders>
              <w:left w:val="single" w:color="auto" w:sz="4" w:space="0"/>
              <w:right w:val="single" w:color="auto" w:sz="4" w:space="0"/>
            </w:tcBorders>
            <w:vAlign w:val="center"/>
          </w:tcPr>
          <w:p>
            <w:pPr>
              <w:widowControl/>
              <w:spacing w:line="360" w:lineRule="auto"/>
              <w:jc w:val="center"/>
              <w:rPr>
                <w:rFonts w:hint="eastAsia" w:ascii="宋体" w:hAnsi="宋体"/>
                <w:color w:val="auto"/>
                <w:sz w:val="21"/>
                <w:szCs w:val="21"/>
                <w:highlight w:val="none"/>
              </w:rPr>
            </w:pPr>
          </w:p>
        </w:tc>
        <w:tc>
          <w:tcPr>
            <w:tcW w:w="2114" w:type="dxa"/>
            <w:vMerge w:val="continue"/>
            <w:tcBorders>
              <w:left w:val="single" w:color="auto" w:sz="4" w:space="0"/>
              <w:right w:val="single" w:color="auto" w:sz="4" w:space="0"/>
            </w:tcBorders>
            <w:vAlign w:val="center"/>
          </w:tcPr>
          <w:p>
            <w:pPr>
              <w:spacing w:line="360" w:lineRule="auto"/>
              <w:jc w:val="center"/>
              <w:rPr>
                <w:rFonts w:hint="eastAsia" w:ascii="宋体" w:hAnsi="宋体"/>
                <w:color w:val="auto"/>
                <w:sz w:val="21"/>
                <w:szCs w:val="21"/>
                <w:highlight w:val="none"/>
                <w:lang w:eastAsia="zh-CN"/>
              </w:rPr>
            </w:pPr>
          </w:p>
        </w:tc>
        <w:tc>
          <w:tcPr>
            <w:tcW w:w="6497"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t>（</w:t>
            </w:r>
            <w:r>
              <w:rPr>
                <w:rFonts w:hint="eastAsia" w:ascii="宋体" w:hAnsi="宋体" w:cs="Times New Roman"/>
                <w:b/>
                <w:bCs/>
                <w:color w:val="auto"/>
                <w:sz w:val="21"/>
                <w:szCs w:val="21"/>
                <w:highlight w:val="none"/>
                <w:lang w:val="en-US" w:eastAsia="zh-CN"/>
              </w:rPr>
              <w:t>4</w:t>
            </w:r>
            <w:r>
              <w:rPr>
                <w:rFonts w:hint="default" w:ascii="宋体" w:hAnsi="宋体" w:eastAsia="宋体" w:cs="Times New Roman"/>
                <w:b/>
                <w:bCs/>
                <w:color w:val="auto"/>
                <w:sz w:val="21"/>
                <w:szCs w:val="21"/>
                <w:highlight w:val="none"/>
                <w:lang w:val="en-US" w:eastAsia="zh-CN"/>
              </w:rPr>
              <w:t>）质疑、投诉解决方案（满分</w:t>
            </w:r>
            <w:r>
              <w:rPr>
                <w:rFonts w:hint="eastAsia" w:ascii="宋体" w:hAnsi="宋体" w:eastAsia="宋体" w:cs="Times New Roman"/>
                <w:b/>
                <w:bCs/>
                <w:color w:val="auto"/>
                <w:sz w:val="21"/>
                <w:szCs w:val="21"/>
                <w:highlight w:val="none"/>
                <w:lang w:val="en-US" w:eastAsia="zh-CN"/>
              </w:rPr>
              <w:t>1</w:t>
            </w:r>
            <w:r>
              <w:rPr>
                <w:rFonts w:hint="eastAsia" w:ascii="宋体" w:hAnsi="宋体" w:cs="Times New Roman"/>
                <w:b/>
                <w:bCs/>
                <w:color w:val="auto"/>
                <w:sz w:val="21"/>
                <w:szCs w:val="21"/>
                <w:highlight w:val="none"/>
                <w:lang w:val="en-US" w:eastAsia="zh-CN"/>
              </w:rPr>
              <w:t>0</w:t>
            </w:r>
            <w:r>
              <w:rPr>
                <w:rFonts w:hint="default" w:ascii="宋体" w:hAnsi="宋体" w:eastAsia="宋体" w:cs="Times New Roman"/>
                <w:b/>
                <w:bCs/>
                <w:color w:val="auto"/>
                <w:sz w:val="21"/>
                <w:szCs w:val="21"/>
                <w:highlight w:val="none"/>
                <w:lang w:val="en-US" w:eastAsia="zh-CN"/>
              </w:rPr>
              <w:t>分）</w:t>
            </w:r>
          </w:p>
          <w:p>
            <w:pPr>
              <w:spacing w:line="360" w:lineRule="auto"/>
              <w:jc w:val="lef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第一档</w:t>
            </w:r>
            <w:r>
              <w:rPr>
                <w:rFonts w:hint="eastAsia" w:ascii="宋体" w:hAnsi="宋体" w:eastAsia="宋体" w:cs="宋体"/>
                <w:color w:val="auto"/>
                <w:sz w:val="21"/>
                <w:szCs w:val="21"/>
                <w:highlight w:val="none"/>
                <w:lang w:val="en-US" w:eastAsia="zh-CN"/>
              </w:rPr>
              <w:t>次</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8</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10</w:t>
            </w:r>
            <w:r>
              <w:rPr>
                <w:rFonts w:hint="eastAsia" w:ascii="宋体" w:hAnsi="宋体" w:eastAsia="宋体" w:cs="Times New Roman"/>
                <w:color w:val="auto"/>
                <w:sz w:val="21"/>
                <w:szCs w:val="21"/>
                <w:highlight w:val="none"/>
                <w:lang w:val="en-US" w:eastAsia="zh-CN"/>
              </w:rPr>
              <w:t>分）：招标代理质疑、投诉解决方案详细，能在</w:t>
            </w:r>
            <w:r>
              <w:rPr>
                <w:rFonts w:hint="eastAsia" w:ascii="宋体" w:hAnsi="宋体" w:cs="Times New Roman"/>
                <w:color w:val="auto"/>
                <w:sz w:val="21"/>
                <w:szCs w:val="21"/>
                <w:highlight w:val="none"/>
                <w:lang w:val="en-US" w:eastAsia="zh-CN"/>
              </w:rPr>
              <w:t>投标文件</w:t>
            </w:r>
            <w:r>
              <w:rPr>
                <w:rFonts w:hint="eastAsia" w:ascii="宋体" w:hAnsi="宋体" w:eastAsia="宋体" w:cs="Times New Roman"/>
                <w:color w:val="auto"/>
                <w:sz w:val="21"/>
                <w:szCs w:val="21"/>
                <w:highlight w:val="none"/>
                <w:lang w:val="en-US" w:eastAsia="zh-CN"/>
              </w:rPr>
              <w:t>中体现避免质疑投诉，解决方案详细、合理、可行</w:t>
            </w:r>
            <w:r>
              <w:rPr>
                <w:rFonts w:hint="eastAsia" w:ascii="宋体" w:hAnsi="宋体" w:cs="Times New Roman"/>
                <w:color w:val="auto"/>
                <w:sz w:val="21"/>
                <w:szCs w:val="21"/>
                <w:highlight w:val="none"/>
                <w:lang w:val="en-US" w:eastAsia="zh-CN"/>
              </w:rPr>
              <w:t>；</w:t>
            </w:r>
          </w:p>
          <w:p>
            <w:pPr>
              <w:spacing w:line="360" w:lineRule="auto"/>
              <w:jc w:val="lef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第</w:t>
            </w:r>
            <w:r>
              <w:rPr>
                <w:rFonts w:hint="eastAsia" w:ascii="宋体" w:hAnsi="宋体" w:cs="Times New Roman"/>
                <w:color w:val="auto"/>
                <w:sz w:val="21"/>
                <w:szCs w:val="21"/>
                <w:highlight w:val="none"/>
                <w:lang w:val="en-US" w:eastAsia="zh-CN"/>
              </w:rPr>
              <w:t>二</w:t>
            </w:r>
            <w:r>
              <w:rPr>
                <w:rFonts w:hint="eastAsia" w:ascii="宋体" w:hAnsi="宋体" w:eastAsia="宋体" w:cs="Times New Roman"/>
                <w:color w:val="auto"/>
                <w:sz w:val="21"/>
                <w:szCs w:val="21"/>
                <w:highlight w:val="none"/>
                <w:lang w:val="en-US" w:eastAsia="zh-CN"/>
              </w:rPr>
              <w:t>档</w:t>
            </w:r>
            <w:r>
              <w:rPr>
                <w:rFonts w:hint="eastAsia" w:ascii="宋体" w:hAnsi="宋体" w:eastAsia="宋体" w:cs="宋体"/>
                <w:color w:val="auto"/>
                <w:sz w:val="21"/>
                <w:szCs w:val="21"/>
                <w:highlight w:val="none"/>
                <w:lang w:val="en-US" w:eastAsia="zh-CN"/>
              </w:rPr>
              <w:t>次</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4</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7</w:t>
            </w:r>
            <w:r>
              <w:rPr>
                <w:rFonts w:hint="eastAsia" w:ascii="宋体" w:hAnsi="宋体" w:eastAsia="宋体" w:cs="Times New Roman"/>
                <w:color w:val="auto"/>
                <w:sz w:val="21"/>
                <w:szCs w:val="21"/>
                <w:highlight w:val="none"/>
                <w:lang w:val="en-US" w:eastAsia="zh-CN"/>
              </w:rPr>
              <w:t>分）：招标代理质疑、投诉解决方案不详细，不能完全在</w:t>
            </w:r>
            <w:r>
              <w:rPr>
                <w:rFonts w:hint="eastAsia" w:ascii="宋体" w:hAnsi="宋体" w:cs="Times New Roman"/>
                <w:color w:val="auto"/>
                <w:sz w:val="21"/>
                <w:szCs w:val="21"/>
                <w:highlight w:val="none"/>
                <w:lang w:val="en-US" w:eastAsia="zh-CN"/>
              </w:rPr>
              <w:t>投标文件</w:t>
            </w:r>
            <w:r>
              <w:rPr>
                <w:rFonts w:hint="eastAsia" w:ascii="宋体" w:hAnsi="宋体" w:eastAsia="宋体" w:cs="Times New Roman"/>
                <w:color w:val="auto"/>
                <w:sz w:val="21"/>
                <w:szCs w:val="21"/>
                <w:highlight w:val="none"/>
                <w:lang w:val="en-US" w:eastAsia="zh-CN"/>
              </w:rPr>
              <w:t>中体现避免质疑投诉，解决方案详细、合理、可行</w:t>
            </w:r>
            <w:r>
              <w:rPr>
                <w:rFonts w:hint="eastAsia" w:ascii="宋体" w:hAnsi="宋体" w:cs="Times New Roman"/>
                <w:color w:val="auto"/>
                <w:sz w:val="21"/>
                <w:szCs w:val="21"/>
                <w:highlight w:val="none"/>
                <w:lang w:val="en-US" w:eastAsia="zh-CN"/>
              </w:rPr>
              <w:t>；</w:t>
            </w:r>
          </w:p>
          <w:p>
            <w:pPr>
              <w:spacing w:line="360" w:lineRule="auto"/>
              <w:jc w:val="lef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第</w:t>
            </w:r>
            <w:r>
              <w:rPr>
                <w:rFonts w:hint="eastAsia" w:ascii="宋体" w:hAnsi="宋体" w:cs="Times New Roman"/>
                <w:color w:val="auto"/>
                <w:sz w:val="21"/>
                <w:szCs w:val="21"/>
                <w:highlight w:val="none"/>
                <w:lang w:val="en-US" w:eastAsia="zh-CN"/>
              </w:rPr>
              <w:t>三</w:t>
            </w:r>
            <w:r>
              <w:rPr>
                <w:rFonts w:hint="eastAsia" w:ascii="宋体" w:hAnsi="宋体" w:eastAsia="宋体" w:cs="Times New Roman"/>
                <w:color w:val="auto"/>
                <w:sz w:val="21"/>
                <w:szCs w:val="21"/>
                <w:highlight w:val="none"/>
                <w:lang w:val="en-US" w:eastAsia="zh-CN"/>
              </w:rPr>
              <w:t>档</w:t>
            </w:r>
            <w:r>
              <w:rPr>
                <w:rFonts w:hint="eastAsia" w:ascii="宋体" w:hAnsi="宋体" w:eastAsia="宋体" w:cs="宋体"/>
                <w:color w:val="auto"/>
                <w:sz w:val="21"/>
                <w:szCs w:val="21"/>
                <w:highlight w:val="none"/>
                <w:lang w:val="en-US" w:eastAsia="zh-CN"/>
              </w:rPr>
              <w:t>次（</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3</w:t>
            </w:r>
            <w:r>
              <w:rPr>
                <w:rFonts w:hint="eastAsia" w:ascii="宋体" w:hAnsi="宋体" w:eastAsia="宋体" w:cs="Times New Roman"/>
                <w:color w:val="auto"/>
                <w:sz w:val="21"/>
                <w:szCs w:val="21"/>
                <w:highlight w:val="none"/>
                <w:lang w:val="en-US" w:eastAsia="zh-CN"/>
              </w:rPr>
              <w:t>分）：招标代理质疑、投诉解决方案不完整，解决方案不详细、不合理、不可行</w:t>
            </w:r>
            <w:r>
              <w:rPr>
                <w:rFonts w:hint="eastAsia" w:ascii="宋体" w:hAnsi="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357" w:type="dxa"/>
            <w:gridSpan w:val="2"/>
            <w:vMerge w:val="continue"/>
            <w:tcBorders>
              <w:left w:val="single" w:color="auto" w:sz="4" w:space="0"/>
              <w:right w:val="single" w:color="auto" w:sz="4" w:space="0"/>
            </w:tcBorders>
            <w:vAlign w:val="center"/>
          </w:tcPr>
          <w:p>
            <w:pPr>
              <w:widowControl/>
              <w:spacing w:line="360" w:lineRule="auto"/>
              <w:jc w:val="center"/>
              <w:rPr>
                <w:rFonts w:hint="eastAsia" w:ascii="宋体" w:hAnsi="宋体"/>
                <w:color w:val="auto"/>
                <w:sz w:val="21"/>
                <w:szCs w:val="21"/>
                <w:highlight w:val="none"/>
              </w:rPr>
            </w:pPr>
          </w:p>
        </w:tc>
        <w:tc>
          <w:tcPr>
            <w:tcW w:w="2114" w:type="dxa"/>
            <w:vMerge w:val="continue"/>
            <w:tcBorders>
              <w:left w:val="single" w:color="auto" w:sz="4" w:space="0"/>
              <w:right w:val="single" w:color="auto" w:sz="4" w:space="0"/>
            </w:tcBorders>
            <w:vAlign w:val="center"/>
          </w:tcPr>
          <w:p>
            <w:pPr>
              <w:spacing w:line="360" w:lineRule="auto"/>
              <w:jc w:val="center"/>
              <w:rPr>
                <w:rFonts w:hint="eastAsia" w:ascii="宋体" w:hAnsi="宋体"/>
                <w:color w:val="auto"/>
                <w:sz w:val="21"/>
                <w:szCs w:val="21"/>
                <w:highlight w:val="none"/>
                <w:lang w:eastAsia="zh-CN"/>
              </w:rPr>
            </w:pPr>
          </w:p>
        </w:tc>
        <w:tc>
          <w:tcPr>
            <w:tcW w:w="6497"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（5）</w:t>
            </w:r>
            <w:r>
              <w:rPr>
                <w:rFonts w:hint="eastAsia" w:ascii="宋体" w:hAnsi="宋体" w:cs="Times New Roman"/>
                <w:b/>
                <w:bCs/>
                <w:color w:val="auto"/>
                <w:sz w:val="21"/>
                <w:szCs w:val="21"/>
                <w:highlight w:val="none"/>
                <w:lang w:val="en-US" w:eastAsia="zh-CN"/>
              </w:rPr>
              <w:t>时间</w:t>
            </w:r>
            <w:r>
              <w:rPr>
                <w:rFonts w:hint="eastAsia" w:ascii="宋体" w:hAnsi="宋体" w:eastAsia="宋体" w:cs="Times New Roman"/>
                <w:b/>
                <w:bCs/>
                <w:color w:val="auto"/>
                <w:sz w:val="21"/>
                <w:szCs w:val="21"/>
                <w:highlight w:val="none"/>
                <w:lang w:val="en-US" w:eastAsia="zh-CN"/>
              </w:rPr>
              <w:t>进度保障及承诺（满分</w:t>
            </w:r>
            <w:r>
              <w:rPr>
                <w:rFonts w:hint="eastAsia" w:ascii="宋体" w:hAnsi="宋体" w:cs="Times New Roman"/>
                <w:b/>
                <w:bCs/>
                <w:color w:val="auto"/>
                <w:sz w:val="21"/>
                <w:szCs w:val="21"/>
                <w:highlight w:val="none"/>
                <w:lang w:val="en-US" w:eastAsia="zh-CN"/>
              </w:rPr>
              <w:t>10</w:t>
            </w:r>
            <w:r>
              <w:rPr>
                <w:rFonts w:hint="eastAsia" w:ascii="宋体" w:hAnsi="宋体" w:eastAsia="宋体" w:cs="Times New Roman"/>
                <w:b/>
                <w:bCs/>
                <w:color w:val="auto"/>
                <w:sz w:val="21"/>
                <w:szCs w:val="21"/>
                <w:highlight w:val="none"/>
                <w:lang w:val="en-US" w:eastAsia="zh-CN"/>
              </w:rPr>
              <w:t>分）</w:t>
            </w:r>
          </w:p>
          <w:p>
            <w:pPr>
              <w:spacing w:line="360" w:lineRule="auto"/>
              <w:jc w:val="lef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第一档</w:t>
            </w:r>
            <w:r>
              <w:rPr>
                <w:rFonts w:hint="eastAsia" w:ascii="宋体" w:hAnsi="宋体" w:eastAsia="宋体" w:cs="宋体"/>
                <w:color w:val="auto"/>
                <w:sz w:val="21"/>
                <w:szCs w:val="21"/>
                <w:highlight w:val="none"/>
                <w:lang w:val="en-US" w:eastAsia="zh-CN"/>
              </w:rPr>
              <w:t>次</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8</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10</w:t>
            </w:r>
            <w:r>
              <w:rPr>
                <w:rFonts w:hint="eastAsia" w:ascii="宋体" w:hAnsi="宋体" w:eastAsia="宋体" w:cs="Times New Roman"/>
                <w:color w:val="auto"/>
                <w:sz w:val="21"/>
                <w:szCs w:val="21"/>
                <w:highlight w:val="none"/>
                <w:lang w:val="en-US" w:eastAsia="zh-CN"/>
              </w:rPr>
              <w:t>分）：招标代理项目进度保障方案及保障措施</w:t>
            </w:r>
            <w:r>
              <w:rPr>
                <w:rFonts w:hint="eastAsia" w:ascii="宋体" w:hAnsi="宋体" w:cs="Times New Roman"/>
                <w:color w:val="auto"/>
                <w:sz w:val="21"/>
                <w:szCs w:val="21"/>
                <w:highlight w:val="none"/>
                <w:lang w:val="en-US" w:eastAsia="zh-CN"/>
              </w:rPr>
              <w:t>详细</w:t>
            </w:r>
            <w:r>
              <w:rPr>
                <w:rFonts w:hint="eastAsia" w:ascii="宋体" w:hAnsi="宋体" w:eastAsia="宋体" w:cs="Times New Roman"/>
                <w:color w:val="auto"/>
                <w:sz w:val="21"/>
                <w:szCs w:val="21"/>
                <w:highlight w:val="none"/>
                <w:lang w:val="en-US" w:eastAsia="zh-CN"/>
              </w:rPr>
              <w:t>；进度保障时间进度合法、合规、合理、明确且及时，有针对性；</w:t>
            </w:r>
            <w:r>
              <w:rPr>
                <w:rFonts w:hint="eastAsia" w:ascii="宋体" w:hAnsi="宋体" w:cs="Times New Roman"/>
                <w:color w:val="auto"/>
                <w:sz w:val="21"/>
                <w:szCs w:val="21"/>
                <w:highlight w:val="none"/>
                <w:lang w:val="en-US" w:eastAsia="zh-CN"/>
              </w:rPr>
              <w:t>响应时间快，解决问题时间快；</w:t>
            </w:r>
            <w:r>
              <w:rPr>
                <w:rFonts w:hint="eastAsia" w:ascii="宋体" w:hAnsi="宋体" w:eastAsia="宋体" w:cs="Times New Roman"/>
                <w:color w:val="auto"/>
                <w:sz w:val="21"/>
                <w:szCs w:val="21"/>
                <w:highlight w:val="none"/>
                <w:lang w:val="en-US" w:eastAsia="zh-CN"/>
              </w:rPr>
              <w:t>有具体、可行的违约责任；有具体、可行的处罚细则</w:t>
            </w:r>
            <w:r>
              <w:rPr>
                <w:rFonts w:hint="eastAsia" w:ascii="宋体" w:hAnsi="宋体" w:cs="Times New Roman"/>
                <w:color w:val="auto"/>
                <w:sz w:val="21"/>
                <w:szCs w:val="21"/>
                <w:highlight w:val="none"/>
                <w:lang w:val="en-US" w:eastAsia="zh-CN"/>
              </w:rPr>
              <w:t>；</w:t>
            </w:r>
          </w:p>
          <w:p>
            <w:pPr>
              <w:spacing w:line="360" w:lineRule="auto"/>
              <w:jc w:val="lef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第</w:t>
            </w:r>
            <w:r>
              <w:rPr>
                <w:rFonts w:hint="eastAsia" w:ascii="宋体" w:hAnsi="宋体" w:cs="Times New Roman"/>
                <w:color w:val="auto"/>
                <w:sz w:val="21"/>
                <w:szCs w:val="21"/>
                <w:highlight w:val="none"/>
                <w:lang w:val="en-US" w:eastAsia="zh-CN"/>
              </w:rPr>
              <w:t>二</w:t>
            </w:r>
            <w:r>
              <w:rPr>
                <w:rFonts w:hint="eastAsia" w:ascii="宋体" w:hAnsi="宋体" w:eastAsia="宋体" w:cs="Times New Roman"/>
                <w:color w:val="auto"/>
                <w:sz w:val="21"/>
                <w:szCs w:val="21"/>
                <w:highlight w:val="none"/>
                <w:lang w:val="en-US" w:eastAsia="zh-CN"/>
              </w:rPr>
              <w:t>档</w:t>
            </w:r>
            <w:r>
              <w:rPr>
                <w:rFonts w:hint="eastAsia" w:ascii="宋体" w:hAnsi="宋体" w:eastAsia="宋体" w:cs="宋体"/>
                <w:color w:val="auto"/>
                <w:sz w:val="21"/>
                <w:szCs w:val="21"/>
                <w:highlight w:val="none"/>
                <w:lang w:val="en-US" w:eastAsia="zh-CN"/>
              </w:rPr>
              <w:t>次</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4</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7</w:t>
            </w:r>
            <w:r>
              <w:rPr>
                <w:rFonts w:hint="eastAsia" w:ascii="宋体" w:hAnsi="宋体" w:eastAsia="宋体" w:cs="Times New Roman"/>
                <w:color w:val="auto"/>
                <w:sz w:val="21"/>
                <w:szCs w:val="21"/>
                <w:highlight w:val="none"/>
                <w:lang w:val="en-US" w:eastAsia="zh-CN"/>
              </w:rPr>
              <w:t>分）：招标代理项目进度保障方案及保障措施</w:t>
            </w:r>
            <w:r>
              <w:rPr>
                <w:rFonts w:hint="eastAsia" w:ascii="宋体" w:hAnsi="宋体" w:cs="Times New Roman"/>
                <w:color w:val="auto"/>
                <w:sz w:val="21"/>
                <w:szCs w:val="21"/>
                <w:highlight w:val="none"/>
                <w:lang w:val="en-US" w:eastAsia="zh-CN"/>
              </w:rPr>
              <w:t>一般</w:t>
            </w:r>
            <w:r>
              <w:rPr>
                <w:rFonts w:hint="eastAsia" w:ascii="宋体" w:hAnsi="宋体" w:eastAsia="宋体" w:cs="Times New Roman"/>
                <w:color w:val="auto"/>
                <w:sz w:val="21"/>
                <w:szCs w:val="21"/>
                <w:highlight w:val="none"/>
                <w:lang w:val="en-US" w:eastAsia="zh-CN"/>
              </w:rPr>
              <w:t>；进度保障时间进度</w:t>
            </w:r>
            <w:r>
              <w:rPr>
                <w:rFonts w:hint="eastAsia" w:ascii="宋体" w:hAnsi="宋体" w:cs="Times New Roman"/>
                <w:color w:val="auto"/>
                <w:sz w:val="21"/>
                <w:szCs w:val="21"/>
                <w:highlight w:val="none"/>
                <w:lang w:val="en-US" w:eastAsia="zh-CN"/>
              </w:rPr>
              <w:t>一般</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基本满足招标人的时间进度</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响应时间一般，解决问题时间一般；</w:t>
            </w:r>
            <w:r>
              <w:rPr>
                <w:rFonts w:hint="eastAsia" w:ascii="宋体" w:hAnsi="宋体" w:eastAsia="宋体" w:cs="Times New Roman"/>
                <w:color w:val="auto"/>
                <w:sz w:val="21"/>
                <w:szCs w:val="21"/>
                <w:highlight w:val="none"/>
                <w:lang w:val="en-US" w:eastAsia="zh-CN"/>
              </w:rPr>
              <w:t>有违约责任；有处罚细则</w:t>
            </w:r>
            <w:r>
              <w:rPr>
                <w:rFonts w:hint="eastAsia" w:ascii="宋体" w:hAnsi="宋体" w:cs="Times New Roman"/>
                <w:color w:val="auto"/>
                <w:sz w:val="21"/>
                <w:szCs w:val="21"/>
                <w:highlight w:val="none"/>
                <w:lang w:val="en-US" w:eastAsia="zh-CN"/>
              </w:rPr>
              <w:t>；</w:t>
            </w:r>
          </w:p>
          <w:p>
            <w:pPr>
              <w:spacing w:line="360" w:lineRule="auto"/>
              <w:jc w:val="lef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第</w:t>
            </w:r>
            <w:r>
              <w:rPr>
                <w:rFonts w:hint="eastAsia" w:ascii="宋体" w:hAnsi="宋体" w:cs="Times New Roman"/>
                <w:color w:val="auto"/>
                <w:sz w:val="21"/>
                <w:szCs w:val="21"/>
                <w:highlight w:val="none"/>
                <w:lang w:val="en-US" w:eastAsia="zh-CN"/>
              </w:rPr>
              <w:t>三</w:t>
            </w:r>
            <w:r>
              <w:rPr>
                <w:rFonts w:hint="eastAsia" w:ascii="宋体" w:hAnsi="宋体" w:eastAsia="宋体" w:cs="Times New Roman"/>
                <w:color w:val="auto"/>
                <w:sz w:val="21"/>
                <w:szCs w:val="21"/>
                <w:highlight w:val="none"/>
                <w:lang w:val="en-US" w:eastAsia="zh-CN"/>
              </w:rPr>
              <w:t>档</w:t>
            </w:r>
            <w:r>
              <w:rPr>
                <w:rFonts w:hint="eastAsia" w:ascii="宋体" w:hAnsi="宋体" w:eastAsia="宋体" w:cs="宋体"/>
                <w:color w:val="auto"/>
                <w:sz w:val="21"/>
                <w:szCs w:val="21"/>
                <w:highlight w:val="none"/>
                <w:lang w:val="en-US" w:eastAsia="zh-CN"/>
              </w:rPr>
              <w:t>次（</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3</w:t>
            </w:r>
            <w:r>
              <w:rPr>
                <w:rFonts w:hint="eastAsia" w:ascii="宋体" w:hAnsi="宋体" w:eastAsia="宋体" w:cs="Times New Roman"/>
                <w:color w:val="auto"/>
                <w:sz w:val="21"/>
                <w:szCs w:val="21"/>
                <w:highlight w:val="none"/>
                <w:lang w:val="en-US" w:eastAsia="zh-CN"/>
              </w:rPr>
              <w:t>分）：招标代理项目进度保障方案及保障措施</w:t>
            </w:r>
            <w:r>
              <w:rPr>
                <w:rFonts w:hint="eastAsia" w:ascii="宋体" w:hAnsi="宋体" w:cs="Times New Roman"/>
                <w:color w:val="auto"/>
                <w:sz w:val="21"/>
                <w:szCs w:val="21"/>
                <w:highlight w:val="none"/>
                <w:lang w:val="en-US" w:eastAsia="zh-CN"/>
              </w:rPr>
              <w:t>不具体</w:t>
            </w:r>
            <w:r>
              <w:rPr>
                <w:rFonts w:hint="eastAsia" w:ascii="宋体" w:hAnsi="宋体" w:eastAsia="宋体" w:cs="Times New Roman"/>
                <w:color w:val="auto"/>
                <w:sz w:val="21"/>
                <w:szCs w:val="21"/>
                <w:highlight w:val="none"/>
                <w:lang w:val="en-US" w:eastAsia="zh-CN"/>
              </w:rPr>
              <w:t>；进度</w:t>
            </w:r>
            <w:r>
              <w:rPr>
                <w:rFonts w:hint="eastAsia" w:ascii="宋体" w:hAnsi="宋体" w:cs="Times New Roman"/>
                <w:color w:val="auto"/>
                <w:sz w:val="21"/>
                <w:szCs w:val="21"/>
                <w:highlight w:val="none"/>
                <w:lang w:val="en-US" w:eastAsia="zh-CN"/>
              </w:rPr>
              <w:t>不</w:t>
            </w:r>
            <w:r>
              <w:rPr>
                <w:rFonts w:hint="eastAsia" w:ascii="宋体" w:hAnsi="宋体" w:eastAsia="宋体" w:cs="Times New Roman"/>
                <w:color w:val="auto"/>
                <w:sz w:val="21"/>
                <w:szCs w:val="21"/>
                <w:highlight w:val="none"/>
                <w:lang w:val="en-US" w:eastAsia="zh-CN"/>
              </w:rPr>
              <w:t>保障，</w:t>
            </w:r>
            <w:r>
              <w:rPr>
                <w:rFonts w:hint="eastAsia" w:ascii="宋体" w:hAnsi="宋体" w:cs="Times New Roman"/>
                <w:color w:val="auto"/>
                <w:sz w:val="21"/>
                <w:szCs w:val="21"/>
                <w:highlight w:val="none"/>
                <w:lang w:val="en-US" w:eastAsia="zh-CN"/>
              </w:rPr>
              <w:t>不满足招标人的时间进度</w:t>
            </w:r>
            <w:r>
              <w:rPr>
                <w:rFonts w:hint="eastAsia"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响应时间忙，解决问题时间慢；无</w:t>
            </w:r>
            <w:r>
              <w:rPr>
                <w:rFonts w:hint="eastAsia" w:ascii="宋体" w:hAnsi="宋体" w:eastAsia="宋体" w:cs="Times New Roman"/>
                <w:color w:val="auto"/>
                <w:sz w:val="21"/>
                <w:szCs w:val="21"/>
                <w:highlight w:val="none"/>
                <w:lang w:val="en-US" w:eastAsia="zh-CN"/>
              </w:rPr>
              <w:t>违约责任；</w:t>
            </w:r>
            <w:r>
              <w:rPr>
                <w:rFonts w:hint="eastAsia" w:ascii="宋体" w:hAnsi="宋体" w:cs="Times New Roman"/>
                <w:color w:val="auto"/>
                <w:sz w:val="21"/>
                <w:szCs w:val="21"/>
                <w:highlight w:val="none"/>
                <w:lang w:val="en-US" w:eastAsia="zh-CN"/>
              </w:rPr>
              <w:t>无</w:t>
            </w:r>
            <w:r>
              <w:rPr>
                <w:rFonts w:hint="eastAsia" w:ascii="宋体" w:hAnsi="宋体" w:eastAsia="宋体" w:cs="Times New Roman"/>
                <w:color w:val="auto"/>
                <w:sz w:val="21"/>
                <w:szCs w:val="21"/>
                <w:highlight w:val="none"/>
                <w:lang w:val="en-US" w:eastAsia="zh-CN"/>
              </w:rPr>
              <w:t>处罚细则</w:t>
            </w:r>
            <w:r>
              <w:rPr>
                <w:rFonts w:hint="eastAsia" w:ascii="宋体" w:hAnsi="宋体" w:cs="Times New Roman"/>
                <w:color w:val="auto"/>
                <w:sz w:val="21"/>
                <w:szCs w:val="21"/>
                <w:highlight w:val="none"/>
                <w:lang w:val="en-US" w:eastAsia="zh-CN"/>
              </w:rPr>
              <w:t>。</w:t>
            </w:r>
          </w:p>
        </w:tc>
      </w:tr>
    </w:tbl>
    <w:p>
      <w:pPr>
        <w:pStyle w:val="3"/>
        <w:keepLines w:val="0"/>
        <w:widowControl/>
        <w:spacing w:before="0" w:after="0" w:line="360" w:lineRule="auto"/>
        <w:jc w:val="center"/>
        <w:rPr>
          <w:rFonts w:ascii="Times New Roman" w:hAnsi="Times New Roman" w:eastAsia="宋体"/>
          <w:iCs/>
          <w:color w:val="auto"/>
          <w:kern w:val="0"/>
          <w:sz w:val="24"/>
          <w:szCs w:val="24"/>
          <w:highlight w:val="none"/>
          <w:lang w:bidi="en-US"/>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bookmarkStart w:id="330" w:name="_Toc7306"/>
      <w:bookmarkStart w:id="331" w:name="_Toc32004"/>
      <w:bookmarkStart w:id="332" w:name="_Toc25201"/>
    </w:p>
    <w:p>
      <w:pPr>
        <w:pStyle w:val="3"/>
        <w:keepLines w:val="0"/>
        <w:widowControl/>
        <w:spacing w:before="0" w:after="0" w:line="360" w:lineRule="auto"/>
        <w:jc w:val="center"/>
        <w:rPr>
          <w:rFonts w:ascii="Times New Roman" w:hAnsi="Times New Roman" w:eastAsia="宋体"/>
          <w:iCs/>
          <w:color w:val="auto"/>
          <w:kern w:val="0"/>
          <w:sz w:val="24"/>
          <w:szCs w:val="24"/>
          <w:highlight w:val="none"/>
          <w:lang w:bidi="en-US"/>
        </w:rPr>
      </w:pPr>
      <w:r>
        <w:rPr>
          <w:rFonts w:ascii="Times New Roman" w:hAnsi="Times New Roman" w:eastAsia="宋体"/>
          <w:iCs/>
          <w:color w:val="auto"/>
          <w:kern w:val="0"/>
          <w:sz w:val="24"/>
          <w:szCs w:val="24"/>
          <w:highlight w:val="none"/>
          <w:lang w:bidi="en-US"/>
        </w:rPr>
        <w:t>评标办法正文</w:t>
      </w:r>
      <w:bookmarkEnd w:id="330"/>
      <w:bookmarkEnd w:id="331"/>
      <w:bookmarkEnd w:id="332"/>
    </w:p>
    <w:p>
      <w:pPr>
        <w:keepNext/>
        <w:keepLines w:val="0"/>
        <w:pageBreakBefore w:val="0"/>
        <w:widowControl/>
        <w:kinsoku/>
        <w:wordWrap/>
        <w:overflowPunct/>
        <w:topLinePunct w:val="0"/>
        <w:autoSpaceDE/>
        <w:autoSpaceDN/>
        <w:bidi w:val="0"/>
        <w:adjustRightInd/>
        <w:snapToGrid/>
        <w:spacing w:after="0" w:line="480" w:lineRule="auto"/>
        <w:ind w:firstLine="422" w:firstLineChars="201"/>
        <w:jc w:val="left"/>
        <w:textAlignment w:val="auto"/>
        <w:outlineLvl w:val="1"/>
        <w:rPr>
          <w:rFonts w:hint="eastAsia" w:ascii="宋体" w:hAnsi="宋体" w:eastAsia="宋体" w:cs="宋体"/>
          <w:b/>
          <w:bCs/>
          <w:color w:val="auto"/>
          <w:kern w:val="0"/>
          <w:szCs w:val="21"/>
          <w:highlight w:val="none"/>
          <w:lang w:bidi="en-US"/>
        </w:rPr>
      </w:pPr>
      <w:bookmarkStart w:id="333" w:name="_Toc184635089"/>
      <w:bookmarkStart w:id="334" w:name="_Toc20859"/>
      <w:bookmarkStart w:id="335" w:name="_Toc395965057"/>
      <w:bookmarkStart w:id="336" w:name="_Toc22462"/>
      <w:bookmarkStart w:id="337" w:name="_Toc523308715"/>
      <w:bookmarkStart w:id="338" w:name="_Toc520731945"/>
      <w:bookmarkStart w:id="339" w:name="_Toc435016851"/>
      <w:bookmarkStart w:id="340" w:name="_Toc499032509"/>
      <w:bookmarkStart w:id="341" w:name="_Toc15034"/>
      <w:r>
        <w:rPr>
          <w:rFonts w:hint="eastAsia" w:ascii="宋体" w:hAnsi="宋体" w:eastAsia="宋体" w:cs="宋体"/>
          <w:b/>
          <w:bCs/>
          <w:color w:val="auto"/>
          <w:kern w:val="0"/>
          <w:szCs w:val="21"/>
          <w:highlight w:val="none"/>
          <w:lang w:bidi="en-US"/>
        </w:rPr>
        <w:t>1．</w:t>
      </w:r>
      <w:bookmarkEnd w:id="333"/>
      <w:r>
        <w:rPr>
          <w:rFonts w:hint="eastAsia" w:ascii="宋体" w:hAnsi="宋体" w:eastAsia="宋体" w:cs="宋体"/>
          <w:b/>
          <w:bCs/>
          <w:color w:val="auto"/>
          <w:kern w:val="0"/>
          <w:szCs w:val="21"/>
          <w:highlight w:val="none"/>
          <w:lang w:bidi="en-US"/>
        </w:rPr>
        <w:t>评标方法</w:t>
      </w:r>
      <w:bookmarkEnd w:id="334"/>
      <w:bookmarkEnd w:id="335"/>
      <w:bookmarkEnd w:id="336"/>
      <w:bookmarkEnd w:id="337"/>
      <w:bookmarkEnd w:id="338"/>
      <w:bookmarkEnd w:id="339"/>
      <w:bookmarkEnd w:id="340"/>
      <w:bookmarkEnd w:id="341"/>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1.1 评标、定标办法根据《中华人民共和国招标投标法》《中华人民共和国招标投标法实施条例》等有关法律规定，结合本项目实际情况制定。</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1.2 本办法是评标委员会确定</w:t>
      </w:r>
      <w:r>
        <w:rPr>
          <w:rFonts w:hint="eastAsia" w:ascii="宋体" w:hAnsi="宋体" w:eastAsia="宋体" w:cs="宋体"/>
          <w:color w:val="auto"/>
          <w:highlight w:val="none"/>
          <w:lang w:val="en-US" w:eastAsia="zh-CN"/>
        </w:rPr>
        <w:t>该项目</w:t>
      </w:r>
      <w:r>
        <w:rPr>
          <w:rFonts w:hint="eastAsia" w:ascii="宋体" w:hAnsi="宋体" w:eastAsia="宋体" w:cs="宋体"/>
          <w:color w:val="auto"/>
          <w:highlight w:val="none"/>
        </w:rPr>
        <w:t>中标候选人的依据，在评标过程中应充分体现公平、公正、科学合理的原则。任何单位或个人不得干预</w:t>
      </w:r>
      <w:r>
        <w:rPr>
          <w:rFonts w:hint="eastAsia" w:ascii="宋体" w:hAnsi="宋体" w:cs="宋体"/>
          <w:color w:val="auto"/>
          <w:highlight w:val="none"/>
          <w:lang w:eastAsia="zh-CN"/>
        </w:rPr>
        <w:t>或</w:t>
      </w:r>
      <w:r>
        <w:rPr>
          <w:rFonts w:hint="eastAsia" w:ascii="宋体" w:hAnsi="宋体" w:eastAsia="宋体" w:cs="宋体"/>
          <w:color w:val="auto"/>
          <w:highlight w:val="none"/>
        </w:rPr>
        <w:t>影响评标过程和结果。</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1.3 评标委员会成员应本着实事求是的精神，坚持公平、公正、科学、合法、保密的原则，不得带有任何偏见，高效率、高质量地做好评标工作，应遵守以下要求：</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1.3.1 认真阅读招标文件，认真审查投标人所报的投标文件，坚持公正合理、详细、不错、不漏、不偏不倚</w:t>
      </w:r>
      <w:r>
        <w:rPr>
          <w:rFonts w:hint="eastAsia" w:ascii="宋体" w:hAnsi="宋体" w:cs="宋体"/>
          <w:color w:val="auto"/>
          <w:highlight w:val="none"/>
          <w:lang w:eastAsia="zh-CN"/>
        </w:rPr>
        <w:t>；</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1.3.2 对所有投标人的投标评审，都采用相同的程序和标准</w:t>
      </w:r>
      <w:r>
        <w:rPr>
          <w:rFonts w:hint="eastAsia" w:ascii="宋体" w:hAnsi="宋体" w:cs="宋体"/>
          <w:color w:val="auto"/>
          <w:highlight w:val="none"/>
          <w:lang w:eastAsia="zh-CN"/>
        </w:rPr>
        <w:t>；</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1.3.3 评标严格按招标文件的要求和条件进行。评标仅对投标人的投标文件进行评审，投标文件以外的资料、信息不应作为评标的依据</w:t>
      </w:r>
      <w:r>
        <w:rPr>
          <w:rFonts w:hint="eastAsia" w:ascii="宋体" w:hAnsi="宋体" w:cs="宋体"/>
          <w:color w:val="auto"/>
          <w:highlight w:val="none"/>
          <w:lang w:eastAsia="zh-CN"/>
        </w:rPr>
        <w:t>；</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1.3.4 全面分析审查、澄清、评价和比较投标文件</w:t>
      </w:r>
      <w:r>
        <w:rPr>
          <w:rFonts w:hint="eastAsia" w:ascii="宋体" w:hAnsi="宋体" w:cs="宋体"/>
          <w:color w:val="auto"/>
          <w:highlight w:val="none"/>
          <w:lang w:eastAsia="zh-CN"/>
        </w:rPr>
        <w:t>；</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1.3.5 严格遵照招标文件的内容，对投标文件内容进行评审</w:t>
      </w:r>
      <w:r>
        <w:rPr>
          <w:rFonts w:hint="eastAsia" w:ascii="宋体" w:hAnsi="宋体" w:cs="宋体"/>
          <w:color w:val="auto"/>
          <w:highlight w:val="none"/>
          <w:lang w:eastAsia="zh-CN"/>
        </w:rPr>
        <w:t>；</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1.3.6 积极发表意见，发现问题及时汇报，并做好评标书面记录。</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1.4 评标过程的保密</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1.4.1 开标后，直至授予中标人合同为止，凡属于对投标文件的审查、澄清、评价和比较的有关资料以及中标</w:t>
      </w:r>
      <w:r>
        <w:rPr>
          <w:rFonts w:hint="eastAsia" w:ascii="宋体" w:hAnsi="宋体" w:cs="宋体"/>
          <w:color w:val="auto"/>
          <w:highlight w:val="none"/>
          <w:lang w:eastAsia="zh-CN"/>
        </w:rPr>
        <w:t>候选人</w:t>
      </w:r>
      <w:r>
        <w:rPr>
          <w:rFonts w:hint="eastAsia" w:ascii="宋体" w:hAnsi="宋体" w:eastAsia="宋体" w:cs="宋体"/>
          <w:color w:val="auto"/>
          <w:highlight w:val="none"/>
        </w:rPr>
        <w:t>的推荐情况，与评标有关的其他任何情况均严格保密</w:t>
      </w:r>
      <w:r>
        <w:rPr>
          <w:rFonts w:hint="eastAsia" w:ascii="宋体" w:hAnsi="宋体" w:cs="宋体"/>
          <w:color w:val="auto"/>
          <w:highlight w:val="none"/>
          <w:lang w:eastAsia="zh-CN"/>
        </w:rPr>
        <w:t>；</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1.4.2 在投标文件的评审和比较、中标候选人推荐以及授予合同的过程中，投标人向招标人和评标委员会施加影响的任何行为，都将会导致其投标被拒绝</w:t>
      </w:r>
      <w:r>
        <w:rPr>
          <w:rFonts w:hint="eastAsia" w:ascii="宋体" w:hAnsi="宋体" w:cs="宋体"/>
          <w:color w:val="auto"/>
          <w:highlight w:val="none"/>
          <w:lang w:eastAsia="zh-CN"/>
        </w:rPr>
        <w:t>；</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1.4.3 中标人确定后，招标人不对未中标人就评标过程以及未能中标原因作出任何解释。未中标人不得向评标委员会组成人员或其他有关人员索问评标过程的情况和资料。</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1.5 招标人应对评标过程进行书面记录，书面记录应如实地反映评标的全过程，特别是评标专家提出的各种意见和建议，并作为重要的应保密的资料存档，复印件作为书面报告的组成部分交招标管理部门备案。</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1.6 评标过程中如遇特殊问题，由评标委员会根据有关</w:t>
      </w:r>
      <w:r>
        <w:rPr>
          <w:rFonts w:hint="eastAsia" w:ascii="宋体" w:hAnsi="宋体" w:cs="宋体"/>
          <w:color w:val="auto"/>
          <w:highlight w:val="none"/>
          <w:lang w:eastAsia="zh-CN"/>
        </w:rPr>
        <w:t>法律法规</w:t>
      </w:r>
      <w:r>
        <w:rPr>
          <w:rFonts w:hint="eastAsia" w:ascii="宋体" w:hAnsi="宋体" w:eastAsia="宋体" w:cs="宋体"/>
          <w:color w:val="auto"/>
          <w:highlight w:val="none"/>
        </w:rPr>
        <w:t>研究决定。</w:t>
      </w:r>
    </w:p>
    <w:p>
      <w:pPr>
        <w:keepNext/>
        <w:keepLines w:val="0"/>
        <w:pageBreakBefore w:val="0"/>
        <w:widowControl/>
        <w:kinsoku/>
        <w:wordWrap/>
        <w:overflowPunct/>
        <w:topLinePunct w:val="0"/>
        <w:autoSpaceDE/>
        <w:autoSpaceDN/>
        <w:bidi w:val="0"/>
        <w:adjustRightInd/>
        <w:snapToGrid/>
        <w:spacing w:after="0" w:line="480" w:lineRule="auto"/>
        <w:ind w:firstLine="422" w:firstLineChars="201"/>
        <w:jc w:val="left"/>
        <w:textAlignment w:val="auto"/>
        <w:outlineLvl w:val="1"/>
        <w:rPr>
          <w:rFonts w:hint="eastAsia" w:ascii="宋体" w:hAnsi="宋体" w:eastAsia="宋体" w:cs="宋体"/>
          <w:b/>
          <w:bCs/>
          <w:color w:val="auto"/>
          <w:kern w:val="0"/>
          <w:szCs w:val="21"/>
          <w:highlight w:val="none"/>
          <w:lang w:bidi="en-US"/>
        </w:rPr>
      </w:pPr>
      <w:bookmarkStart w:id="342" w:name="_Toc184635090"/>
      <w:bookmarkStart w:id="343" w:name="_Toc31817"/>
      <w:bookmarkStart w:id="344" w:name="_Toc499032510"/>
      <w:bookmarkStart w:id="345" w:name="_Toc520731946"/>
      <w:bookmarkStart w:id="346" w:name="_Toc25421"/>
      <w:bookmarkStart w:id="347" w:name="_Toc395965058"/>
      <w:bookmarkStart w:id="348" w:name="_Toc435016852"/>
      <w:bookmarkStart w:id="349" w:name="_Toc523308716"/>
      <w:bookmarkStart w:id="350" w:name="_Toc5560"/>
      <w:r>
        <w:rPr>
          <w:rFonts w:hint="eastAsia" w:ascii="宋体" w:hAnsi="宋体" w:eastAsia="宋体" w:cs="宋体"/>
          <w:b/>
          <w:bCs/>
          <w:color w:val="auto"/>
          <w:kern w:val="0"/>
          <w:szCs w:val="21"/>
          <w:highlight w:val="none"/>
          <w:lang w:bidi="en-US"/>
        </w:rPr>
        <w:t>2．</w:t>
      </w:r>
      <w:bookmarkEnd w:id="342"/>
      <w:r>
        <w:rPr>
          <w:rFonts w:hint="eastAsia" w:ascii="宋体" w:hAnsi="宋体" w:eastAsia="宋体" w:cs="宋体"/>
          <w:b/>
          <w:bCs/>
          <w:color w:val="auto"/>
          <w:kern w:val="0"/>
          <w:szCs w:val="21"/>
          <w:highlight w:val="none"/>
          <w:lang w:bidi="en-US"/>
        </w:rPr>
        <w:t>评审标准</w:t>
      </w:r>
      <w:bookmarkEnd w:id="343"/>
      <w:bookmarkEnd w:id="344"/>
      <w:bookmarkEnd w:id="345"/>
      <w:bookmarkEnd w:id="346"/>
      <w:bookmarkEnd w:id="347"/>
      <w:bookmarkEnd w:id="348"/>
      <w:bookmarkEnd w:id="349"/>
      <w:bookmarkEnd w:id="350"/>
    </w:p>
    <w:p>
      <w:pPr>
        <w:keepNext/>
        <w:keepLines w:val="0"/>
        <w:pageBreakBefore w:val="0"/>
        <w:widowControl/>
        <w:kinsoku/>
        <w:wordWrap/>
        <w:overflowPunct/>
        <w:topLinePunct w:val="0"/>
        <w:autoSpaceDE/>
        <w:autoSpaceDN/>
        <w:bidi w:val="0"/>
        <w:adjustRightInd/>
        <w:snapToGrid/>
        <w:spacing w:after="0" w:line="480" w:lineRule="auto"/>
        <w:ind w:firstLine="422" w:firstLineChars="201"/>
        <w:jc w:val="left"/>
        <w:textAlignment w:val="auto"/>
        <w:outlineLvl w:val="3"/>
        <w:rPr>
          <w:rFonts w:hint="eastAsia" w:ascii="宋体" w:hAnsi="宋体" w:eastAsia="宋体" w:cs="宋体"/>
          <w:b/>
          <w:bCs/>
          <w:color w:val="auto"/>
          <w:kern w:val="0"/>
          <w:szCs w:val="21"/>
          <w:highlight w:val="none"/>
          <w:lang w:bidi="en-US"/>
        </w:rPr>
      </w:pPr>
      <w:bookmarkStart w:id="351" w:name="_Toc435016853"/>
      <w:bookmarkStart w:id="352" w:name="_Toc499032511"/>
      <w:bookmarkStart w:id="353" w:name="_Toc395965059"/>
      <w:r>
        <w:rPr>
          <w:rFonts w:hint="eastAsia" w:ascii="宋体" w:hAnsi="宋体" w:eastAsia="宋体" w:cs="宋体"/>
          <w:b/>
          <w:bCs/>
          <w:color w:val="auto"/>
          <w:kern w:val="0"/>
          <w:szCs w:val="21"/>
          <w:highlight w:val="none"/>
          <w:lang w:bidi="en-US"/>
        </w:rPr>
        <w:t>2.1 初步评审标准</w:t>
      </w:r>
      <w:bookmarkEnd w:id="351"/>
      <w:bookmarkEnd w:id="352"/>
      <w:bookmarkEnd w:id="353"/>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bookmarkStart w:id="354" w:name="_Toc302769238"/>
      <w:r>
        <w:rPr>
          <w:rFonts w:hint="eastAsia" w:ascii="宋体" w:hAnsi="宋体" w:eastAsia="宋体" w:cs="宋体"/>
          <w:color w:val="auto"/>
          <w:highlight w:val="none"/>
        </w:rPr>
        <w:t>2.1.1 形式评审标准：</w:t>
      </w:r>
      <w:bookmarkEnd w:id="354"/>
      <w:r>
        <w:rPr>
          <w:rFonts w:hint="eastAsia" w:ascii="宋体" w:hAnsi="宋体" w:eastAsia="宋体" w:cs="宋体"/>
          <w:color w:val="auto"/>
          <w:highlight w:val="none"/>
        </w:rPr>
        <w:t>见评标办法前附表。</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bookmarkStart w:id="355" w:name="_Toc302769239"/>
      <w:r>
        <w:rPr>
          <w:rFonts w:hint="eastAsia" w:ascii="宋体" w:hAnsi="宋体" w:eastAsia="宋体" w:cs="宋体"/>
          <w:color w:val="auto"/>
          <w:highlight w:val="none"/>
        </w:rPr>
        <w:t>2.1.2 资格评审标准：</w:t>
      </w:r>
      <w:bookmarkEnd w:id="355"/>
      <w:r>
        <w:rPr>
          <w:rFonts w:hint="eastAsia" w:ascii="宋体" w:hAnsi="宋体" w:eastAsia="宋体" w:cs="宋体"/>
          <w:color w:val="auto"/>
          <w:highlight w:val="none"/>
        </w:rPr>
        <w:t>见评标办法前附表。</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2.1.3 响应评审标准：见评标办法前附表。</w:t>
      </w:r>
    </w:p>
    <w:p>
      <w:pPr>
        <w:keepNext/>
        <w:keepLines w:val="0"/>
        <w:pageBreakBefore w:val="0"/>
        <w:widowControl/>
        <w:kinsoku/>
        <w:wordWrap/>
        <w:overflowPunct/>
        <w:topLinePunct w:val="0"/>
        <w:autoSpaceDE/>
        <w:autoSpaceDN/>
        <w:bidi w:val="0"/>
        <w:adjustRightInd/>
        <w:snapToGrid/>
        <w:spacing w:after="0" w:line="480" w:lineRule="auto"/>
        <w:ind w:firstLine="422" w:firstLineChars="201"/>
        <w:jc w:val="left"/>
        <w:textAlignment w:val="auto"/>
        <w:outlineLvl w:val="3"/>
        <w:rPr>
          <w:rFonts w:hint="eastAsia" w:ascii="宋体" w:hAnsi="宋体" w:eastAsia="宋体" w:cs="宋体"/>
          <w:b/>
          <w:bCs/>
          <w:color w:val="auto"/>
          <w:kern w:val="0"/>
          <w:szCs w:val="21"/>
          <w:highlight w:val="none"/>
          <w:lang w:bidi="en-US"/>
        </w:rPr>
      </w:pPr>
      <w:bookmarkStart w:id="356" w:name="_Toc499032512"/>
      <w:bookmarkStart w:id="357" w:name="_Toc395965060"/>
      <w:bookmarkStart w:id="358" w:name="_Toc435016854"/>
      <w:r>
        <w:rPr>
          <w:rFonts w:hint="eastAsia" w:ascii="宋体" w:hAnsi="宋体" w:eastAsia="宋体" w:cs="宋体"/>
          <w:b/>
          <w:bCs/>
          <w:color w:val="auto"/>
          <w:kern w:val="0"/>
          <w:szCs w:val="21"/>
          <w:highlight w:val="none"/>
          <w:lang w:bidi="en-US"/>
        </w:rPr>
        <w:t>2.2 详细评审</w:t>
      </w:r>
      <w:bookmarkEnd w:id="356"/>
      <w:bookmarkEnd w:id="357"/>
      <w:bookmarkEnd w:id="358"/>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2.2.1 详细评审</w:t>
      </w:r>
      <w:r>
        <w:rPr>
          <w:rFonts w:hint="eastAsia" w:ascii="宋体" w:hAnsi="宋体" w:eastAsia="宋体" w:cs="宋体"/>
          <w:color w:val="auto"/>
          <w:highlight w:val="none"/>
          <w:lang w:bidi="en-US"/>
        </w:rPr>
        <w:t>分值构成</w:t>
      </w:r>
      <w:r>
        <w:rPr>
          <w:rFonts w:hint="eastAsia" w:ascii="宋体" w:hAnsi="宋体" w:eastAsia="宋体" w:cs="宋体"/>
          <w:color w:val="auto"/>
          <w:highlight w:val="none"/>
        </w:rPr>
        <w:t>：见评标办法前附表。</w:t>
      </w:r>
    </w:p>
    <w:p>
      <w:pPr>
        <w:keepLines w:val="0"/>
        <w:pageBreakBefore w:val="0"/>
        <w:kinsoku/>
        <w:wordWrap/>
        <w:overflowPunct/>
        <w:topLinePunct w:val="0"/>
        <w:autoSpaceDE/>
        <w:autoSpaceDN/>
        <w:bidi w:val="0"/>
        <w:adjustRightInd/>
        <w:snapToGrid/>
        <w:spacing w:after="0" w:line="480" w:lineRule="auto"/>
        <w:ind w:firstLine="420" w:firstLineChars="200"/>
        <w:textAlignment w:val="auto"/>
        <w:rPr>
          <w:rFonts w:hint="eastAsia" w:ascii="宋体" w:hAnsi="宋体" w:eastAsia="宋体" w:cs="宋体"/>
          <w:b/>
          <w:color w:val="auto"/>
          <w:highlight w:val="none"/>
        </w:rPr>
      </w:pPr>
      <w:bookmarkStart w:id="359" w:name="_Toc395965064"/>
      <w:r>
        <w:rPr>
          <w:rFonts w:hint="eastAsia" w:ascii="宋体" w:hAnsi="宋体" w:eastAsia="宋体" w:cs="宋体"/>
          <w:b/>
          <w:color w:val="auto"/>
          <w:highlight w:val="none"/>
        </w:rPr>
        <w:t>2.2.2 最终得分的计算</w:t>
      </w:r>
      <w:bookmarkEnd w:id="359"/>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（1）投标人最终总得分计算：见评标办法前附表。</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2）评标委员会并按详细评审得分由高至低的顺序推荐第一、二、三中标候选人。若详细评审得分相同时，推荐中标候选人的顺序按招标代理服务方案评审得分的高低进行排列；若招标代理服务方案评审得分相同时，推荐中标候选人的顺序由评标委员会记名投票确定。</w:t>
      </w:r>
    </w:p>
    <w:p>
      <w:pPr>
        <w:keepNext/>
        <w:keepLines w:val="0"/>
        <w:pageBreakBefore w:val="0"/>
        <w:widowControl/>
        <w:kinsoku/>
        <w:wordWrap/>
        <w:overflowPunct/>
        <w:topLinePunct w:val="0"/>
        <w:autoSpaceDE/>
        <w:autoSpaceDN/>
        <w:bidi w:val="0"/>
        <w:adjustRightInd/>
        <w:snapToGrid/>
        <w:spacing w:after="0" w:line="480" w:lineRule="auto"/>
        <w:ind w:firstLine="422" w:firstLineChars="201"/>
        <w:jc w:val="left"/>
        <w:textAlignment w:val="auto"/>
        <w:outlineLvl w:val="1"/>
        <w:rPr>
          <w:rFonts w:hint="eastAsia" w:ascii="宋体" w:hAnsi="宋体" w:eastAsia="宋体" w:cs="宋体"/>
          <w:b/>
          <w:bCs/>
          <w:color w:val="auto"/>
          <w:kern w:val="0"/>
          <w:szCs w:val="21"/>
          <w:highlight w:val="none"/>
          <w:lang w:bidi="en-US"/>
        </w:rPr>
      </w:pPr>
      <w:bookmarkStart w:id="360" w:name="_Toc304748293"/>
      <w:bookmarkStart w:id="361" w:name="_Toc184635091"/>
      <w:bookmarkStart w:id="362" w:name="_Toc523308717"/>
      <w:bookmarkStart w:id="363" w:name="_Toc499032513"/>
      <w:bookmarkStart w:id="364" w:name="_Toc463"/>
      <w:bookmarkStart w:id="365" w:name="_Toc9409"/>
      <w:bookmarkStart w:id="366" w:name="_Toc395965067"/>
      <w:bookmarkStart w:id="367" w:name="_Toc520731947"/>
      <w:bookmarkStart w:id="368" w:name="_Toc435016855"/>
      <w:bookmarkStart w:id="369" w:name="_Toc19986"/>
      <w:r>
        <w:rPr>
          <w:rFonts w:hint="eastAsia" w:ascii="宋体" w:hAnsi="宋体" w:eastAsia="宋体" w:cs="宋体"/>
          <w:b/>
          <w:bCs/>
          <w:color w:val="auto"/>
          <w:kern w:val="0"/>
          <w:szCs w:val="21"/>
          <w:highlight w:val="none"/>
          <w:lang w:bidi="en-US"/>
        </w:rPr>
        <w:t>3．</w:t>
      </w:r>
      <w:bookmarkEnd w:id="360"/>
      <w:bookmarkEnd w:id="361"/>
      <w:r>
        <w:rPr>
          <w:rFonts w:hint="eastAsia" w:ascii="宋体" w:hAnsi="宋体" w:eastAsia="宋体" w:cs="宋体"/>
          <w:b/>
          <w:bCs/>
          <w:color w:val="auto"/>
          <w:kern w:val="0"/>
          <w:szCs w:val="21"/>
          <w:highlight w:val="none"/>
          <w:lang w:bidi="en-US"/>
        </w:rPr>
        <w:t>评标程序</w:t>
      </w:r>
      <w:bookmarkEnd w:id="362"/>
      <w:bookmarkEnd w:id="363"/>
      <w:bookmarkEnd w:id="364"/>
      <w:bookmarkEnd w:id="365"/>
      <w:bookmarkEnd w:id="366"/>
      <w:bookmarkEnd w:id="367"/>
      <w:bookmarkEnd w:id="368"/>
      <w:bookmarkEnd w:id="369"/>
    </w:p>
    <w:p>
      <w:pPr>
        <w:keepNext/>
        <w:keepLines w:val="0"/>
        <w:pageBreakBefore w:val="0"/>
        <w:widowControl/>
        <w:kinsoku/>
        <w:wordWrap/>
        <w:overflowPunct/>
        <w:topLinePunct w:val="0"/>
        <w:autoSpaceDE/>
        <w:autoSpaceDN/>
        <w:bidi w:val="0"/>
        <w:adjustRightInd/>
        <w:snapToGrid/>
        <w:spacing w:after="0" w:line="480" w:lineRule="auto"/>
        <w:ind w:firstLine="422" w:firstLineChars="201"/>
        <w:jc w:val="left"/>
        <w:textAlignment w:val="auto"/>
        <w:outlineLvl w:val="3"/>
        <w:rPr>
          <w:rFonts w:hint="eastAsia" w:ascii="宋体" w:hAnsi="宋体" w:eastAsia="宋体" w:cs="宋体"/>
          <w:b/>
          <w:bCs/>
          <w:color w:val="auto"/>
          <w:kern w:val="0"/>
          <w:szCs w:val="21"/>
          <w:highlight w:val="none"/>
          <w:lang w:bidi="en-US"/>
        </w:rPr>
      </w:pPr>
      <w:bookmarkStart w:id="370" w:name="_Toc499032514"/>
      <w:bookmarkStart w:id="371" w:name="_Toc435016856"/>
      <w:bookmarkStart w:id="372" w:name="_Toc395965068"/>
      <w:r>
        <w:rPr>
          <w:rFonts w:hint="eastAsia" w:ascii="宋体" w:hAnsi="宋体" w:eastAsia="宋体" w:cs="宋体"/>
          <w:b/>
          <w:bCs/>
          <w:color w:val="auto"/>
          <w:kern w:val="0"/>
          <w:szCs w:val="21"/>
          <w:highlight w:val="none"/>
          <w:lang w:bidi="en-US"/>
        </w:rPr>
        <w:t>3.1 初步评审</w:t>
      </w:r>
      <w:bookmarkEnd w:id="370"/>
      <w:bookmarkEnd w:id="371"/>
      <w:bookmarkEnd w:id="372"/>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3.1.1评标委员会依据本章规定的标准对投标文件进行初步评审。有一项不符合评审标准的，作否决投标处理。</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3.1.2投标人有以下情形之一的，其投标作否决投标处理：</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（1）串通投标或弄虚作假或有其他违法行为的；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（2）不按评标委员会要求澄清、说明或补正的；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3.1.3 投标报价有算术错误的，评标委员会按以下原则对投标报价进行修正，修正的价格经投标人书面确认后具有约束力。投标人不接受修正价格的，其投标作否决投标处理</w:t>
      </w:r>
      <w:r>
        <w:rPr>
          <w:rFonts w:hint="eastAsia" w:ascii="宋体" w:hAnsi="宋体" w:cs="宋体"/>
          <w:color w:val="auto"/>
          <w:highlight w:val="none"/>
          <w:lang w:eastAsia="zh-CN"/>
        </w:rPr>
        <w:t>：</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（1）投标文件中的大写金额与小写金额不一致的，以大写金额为准；</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（2）总价金额与依据单价计算出的结果不一致的，以单价金额为准修正总价，但单价金额小数点有明显错误的除外。</w:t>
      </w:r>
      <w:bookmarkStart w:id="373" w:name="_Toc499032515"/>
      <w:bookmarkStart w:id="374" w:name="_Toc395965069"/>
      <w:bookmarkStart w:id="375" w:name="_Toc435016857"/>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b/>
          <w:bCs/>
          <w:color w:val="auto"/>
          <w:kern w:val="0"/>
          <w:szCs w:val="21"/>
          <w:highlight w:val="none"/>
          <w:lang w:bidi="en-US"/>
        </w:rPr>
      </w:pPr>
      <w:r>
        <w:rPr>
          <w:rFonts w:hint="eastAsia" w:ascii="宋体" w:hAnsi="宋体" w:eastAsia="宋体" w:cs="宋体"/>
          <w:b/>
          <w:bCs/>
          <w:color w:val="auto"/>
          <w:kern w:val="0"/>
          <w:szCs w:val="21"/>
          <w:highlight w:val="none"/>
          <w:lang w:bidi="en-US"/>
        </w:rPr>
        <w:t>3.2 详细评审</w:t>
      </w:r>
      <w:bookmarkEnd w:id="373"/>
      <w:bookmarkEnd w:id="374"/>
      <w:bookmarkEnd w:id="375"/>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3.2.1评标委员会按本章第2.2款规定进行打分。</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3.2.2评分分值计算保留小数点后两位，小数点后第三位“四舍五入”。</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3.2.3评标委员会发现投标人的报价明显低于其他投标报价，或者在设有招标最高限价时明显低于招标最高限价，使得其投标报价可能低于其成本的，应当要求该投标人作出书面说明并提供相应的证明材料。投标人不能合理说明或者不能提供相应证明材料的，由评标委员会认定该投标人以低于成本报价竞标，其投标作否决投标处理。</w:t>
      </w:r>
    </w:p>
    <w:p>
      <w:pPr>
        <w:keepNext/>
        <w:keepLines w:val="0"/>
        <w:pageBreakBefore w:val="0"/>
        <w:widowControl/>
        <w:kinsoku/>
        <w:wordWrap/>
        <w:overflowPunct/>
        <w:topLinePunct w:val="0"/>
        <w:autoSpaceDE/>
        <w:autoSpaceDN/>
        <w:bidi w:val="0"/>
        <w:adjustRightInd/>
        <w:snapToGrid/>
        <w:spacing w:after="0" w:line="480" w:lineRule="auto"/>
        <w:ind w:firstLine="422" w:firstLineChars="201"/>
        <w:jc w:val="left"/>
        <w:textAlignment w:val="auto"/>
        <w:outlineLvl w:val="3"/>
        <w:rPr>
          <w:rFonts w:hint="eastAsia" w:ascii="宋体" w:hAnsi="宋体" w:eastAsia="宋体" w:cs="宋体"/>
          <w:b/>
          <w:bCs/>
          <w:color w:val="auto"/>
          <w:kern w:val="0"/>
          <w:szCs w:val="21"/>
          <w:highlight w:val="none"/>
          <w:lang w:bidi="en-US"/>
        </w:rPr>
      </w:pPr>
      <w:bookmarkStart w:id="376" w:name="_Toc499032516"/>
      <w:bookmarkStart w:id="377" w:name="_Toc435016858"/>
      <w:bookmarkStart w:id="378" w:name="_Toc395965070"/>
      <w:r>
        <w:rPr>
          <w:rFonts w:hint="eastAsia" w:ascii="宋体" w:hAnsi="宋体" w:eastAsia="宋体" w:cs="宋体"/>
          <w:b/>
          <w:bCs/>
          <w:color w:val="auto"/>
          <w:kern w:val="0"/>
          <w:szCs w:val="21"/>
          <w:highlight w:val="none"/>
          <w:lang w:bidi="en-US"/>
        </w:rPr>
        <w:t>3.3 投标文件的澄清和补正</w:t>
      </w:r>
      <w:bookmarkEnd w:id="376"/>
      <w:bookmarkEnd w:id="377"/>
      <w:bookmarkEnd w:id="378"/>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3.3.1在评标过程中，评标委员会可以书面形式要求投标人对所提交的投标文件中不明确的内容进行书面澄清或说明，或者对细微偏差进行补正。评标委员会不接受投标人主动提出的澄清、说明或补正。</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3.3.2澄清、说明和补正不得改变投标文件的实质性内容（算术性错误修正的除外）。投标人的书面澄清、说明和补正属于投标文件的组成部分。</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3.3.3评标委员会对投标人提交的澄清、说明或补正有疑问的，可以要求投标人进一步澄清、说明或补正，直至满足评标委员会的要求。</w:t>
      </w:r>
    </w:p>
    <w:p>
      <w:pPr>
        <w:keepNext/>
        <w:keepLines w:val="0"/>
        <w:pageBreakBefore w:val="0"/>
        <w:widowControl/>
        <w:kinsoku/>
        <w:wordWrap/>
        <w:overflowPunct/>
        <w:topLinePunct w:val="0"/>
        <w:autoSpaceDE/>
        <w:autoSpaceDN/>
        <w:bidi w:val="0"/>
        <w:adjustRightInd/>
        <w:snapToGrid/>
        <w:spacing w:after="0" w:line="480" w:lineRule="auto"/>
        <w:ind w:firstLine="422" w:firstLineChars="201"/>
        <w:jc w:val="left"/>
        <w:textAlignment w:val="auto"/>
        <w:outlineLvl w:val="3"/>
        <w:rPr>
          <w:rFonts w:hint="eastAsia" w:ascii="宋体" w:hAnsi="宋体" w:eastAsia="宋体" w:cs="宋体"/>
          <w:b/>
          <w:bCs/>
          <w:color w:val="auto"/>
          <w:kern w:val="0"/>
          <w:szCs w:val="21"/>
          <w:highlight w:val="none"/>
          <w:lang w:bidi="en-US"/>
        </w:rPr>
      </w:pPr>
      <w:bookmarkStart w:id="379" w:name="_Toc435016859"/>
      <w:bookmarkStart w:id="380" w:name="_Toc395965071"/>
      <w:bookmarkStart w:id="381" w:name="_Toc499032517"/>
      <w:r>
        <w:rPr>
          <w:rFonts w:hint="eastAsia" w:ascii="宋体" w:hAnsi="宋体" w:eastAsia="宋体" w:cs="宋体"/>
          <w:b/>
          <w:bCs/>
          <w:color w:val="auto"/>
          <w:kern w:val="0"/>
          <w:szCs w:val="21"/>
          <w:highlight w:val="none"/>
          <w:lang w:bidi="en-US"/>
        </w:rPr>
        <w:t>3.4 评标结果</w:t>
      </w:r>
      <w:bookmarkEnd w:id="379"/>
      <w:bookmarkEnd w:id="380"/>
      <w:bookmarkEnd w:id="381"/>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3.4.1评标委员会按照最后得分由高至低顺序推荐中标候选人。</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3.4.2 评标委员会完成评标后，应当向招标人提交书面评标报告。</w:t>
      </w:r>
    </w:p>
    <w:p>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jc w:val="left"/>
        <w:textAlignment w:val="auto"/>
        <w:rPr>
          <w:rFonts w:hint="eastAsia"/>
          <w:color w:val="auto"/>
          <w:highlight w:val="none"/>
        </w:rPr>
      </w:pPr>
    </w:p>
    <w:p>
      <w:pPr>
        <w:rPr>
          <w:rFonts w:hint="eastAsia"/>
          <w:color w:val="auto"/>
          <w:highlight w:val="none"/>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p>
    <w:p>
      <w:pPr>
        <w:keepLines w:val="0"/>
        <w:pageBreakBefore w:val="0"/>
        <w:kinsoku/>
        <w:wordWrap/>
        <w:overflowPunct/>
        <w:topLinePunct w:val="0"/>
        <w:autoSpaceDE/>
        <w:autoSpaceDN/>
        <w:bidi w:val="0"/>
        <w:adjustRightInd/>
        <w:snapToGrid/>
        <w:spacing w:after="0" w:line="480" w:lineRule="auto"/>
        <w:textAlignment w:val="auto"/>
        <w:outlineLvl w:val="0"/>
        <w:rPr>
          <w:rFonts w:hint="eastAsia" w:ascii="宋体" w:hAnsi="宋体" w:eastAsia="宋体" w:cs="宋体"/>
          <w:b/>
          <w:bCs/>
          <w:color w:val="auto"/>
          <w:kern w:val="0"/>
          <w:szCs w:val="21"/>
          <w:highlight w:val="none"/>
          <w:lang w:bidi="en-US"/>
        </w:rPr>
      </w:pPr>
      <w:bookmarkStart w:id="382" w:name="_Toc304748298"/>
      <w:bookmarkStart w:id="383" w:name="_Toc523308718"/>
      <w:bookmarkStart w:id="384" w:name="_Toc23045"/>
      <w:bookmarkStart w:id="385" w:name="_Toc16062"/>
      <w:bookmarkStart w:id="386" w:name="_Toc395965072"/>
      <w:bookmarkStart w:id="387" w:name="_Toc435016860"/>
      <w:bookmarkStart w:id="388" w:name="_Toc499032518"/>
      <w:bookmarkStart w:id="389" w:name="_Toc10828"/>
      <w:bookmarkStart w:id="390" w:name="_Toc17678"/>
      <w:bookmarkStart w:id="391" w:name="_Toc2638"/>
      <w:r>
        <w:rPr>
          <w:rFonts w:hint="eastAsia" w:ascii="宋体" w:hAnsi="宋体" w:eastAsia="宋体" w:cs="宋体"/>
          <w:b/>
          <w:bCs/>
          <w:color w:val="auto"/>
          <w:kern w:val="0"/>
          <w:szCs w:val="21"/>
          <w:highlight w:val="none"/>
          <w:lang w:bidi="en-US"/>
        </w:rPr>
        <w:t>附件A：</w:t>
      </w:r>
      <w:bookmarkEnd w:id="382"/>
      <w:r>
        <w:rPr>
          <w:rFonts w:hint="eastAsia" w:ascii="宋体" w:hAnsi="宋体" w:eastAsia="宋体" w:cs="宋体"/>
          <w:b/>
          <w:bCs/>
          <w:color w:val="auto"/>
          <w:kern w:val="0"/>
          <w:szCs w:val="21"/>
          <w:highlight w:val="none"/>
          <w:lang w:bidi="en-US"/>
        </w:rPr>
        <w:t>评标详细程序</w:t>
      </w:r>
      <w:bookmarkEnd w:id="383"/>
      <w:bookmarkEnd w:id="384"/>
      <w:bookmarkEnd w:id="385"/>
      <w:bookmarkEnd w:id="386"/>
      <w:bookmarkEnd w:id="387"/>
      <w:bookmarkEnd w:id="388"/>
    </w:p>
    <w:p>
      <w:pPr>
        <w:keepNext/>
        <w:keepLines w:val="0"/>
        <w:pageBreakBefore w:val="0"/>
        <w:widowControl/>
        <w:kinsoku/>
        <w:wordWrap/>
        <w:overflowPunct/>
        <w:topLinePunct w:val="0"/>
        <w:autoSpaceDE/>
        <w:autoSpaceDN/>
        <w:bidi w:val="0"/>
        <w:adjustRightInd/>
        <w:snapToGrid/>
        <w:spacing w:after="0" w:line="480" w:lineRule="auto"/>
        <w:ind w:firstLine="424" w:firstLineChars="201"/>
        <w:jc w:val="left"/>
        <w:textAlignment w:val="auto"/>
        <w:outlineLvl w:val="3"/>
        <w:rPr>
          <w:rFonts w:hint="eastAsia" w:ascii="宋体" w:hAnsi="宋体" w:eastAsia="宋体" w:cs="宋体"/>
          <w:b/>
          <w:bCs/>
          <w:color w:val="auto"/>
          <w:kern w:val="0"/>
          <w:szCs w:val="21"/>
          <w:highlight w:val="none"/>
          <w:lang w:bidi="en-US"/>
        </w:rPr>
      </w:pPr>
      <w:bookmarkStart w:id="392" w:name="_Toc395787033"/>
      <w:bookmarkStart w:id="393" w:name="_Toc304748299"/>
      <w:bookmarkStart w:id="394" w:name="_Toc499032519"/>
      <w:bookmarkStart w:id="395" w:name="_Toc435016861"/>
      <w:bookmarkStart w:id="396" w:name="_Toc395965073"/>
      <w:r>
        <w:rPr>
          <w:rFonts w:hint="eastAsia" w:ascii="宋体" w:hAnsi="宋体" w:eastAsia="宋体" w:cs="宋体"/>
          <w:b/>
          <w:bCs/>
          <w:color w:val="auto"/>
          <w:kern w:val="0"/>
          <w:szCs w:val="21"/>
          <w:highlight w:val="none"/>
          <w:lang w:bidi="en-US"/>
        </w:rPr>
        <w:t>A0．</w:t>
      </w:r>
      <w:bookmarkEnd w:id="392"/>
      <w:bookmarkEnd w:id="393"/>
      <w:r>
        <w:rPr>
          <w:rFonts w:hint="eastAsia" w:ascii="宋体" w:hAnsi="宋体" w:eastAsia="宋体" w:cs="宋体"/>
          <w:b/>
          <w:bCs/>
          <w:color w:val="auto"/>
          <w:kern w:val="0"/>
          <w:szCs w:val="21"/>
          <w:highlight w:val="none"/>
          <w:lang w:bidi="en-US"/>
        </w:rPr>
        <w:t>总则</w:t>
      </w:r>
      <w:bookmarkEnd w:id="394"/>
      <w:bookmarkEnd w:id="395"/>
      <w:bookmarkEnd w:id="396"/>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本附件是本章“评标办法”的组成部分，是对本章第3条所规定的评标程序的进一步细化，评标委员会应当按照本附件所规定的详细程序开展并完成评标工作。</w:t>
      </w:r>
    </w:p>
    <w:p>
      <w:pPr>
        <w:keepNext/>
        <w:keepLines w:val="0"/>
        <w:pageBreakBefore w:val="0"/>
        <w:widowControl/>
        <w:kinsoku/>
        <w:wordWrap/>
        <w:overflowPunct/>
        <w:topLinePunct w:val="0"/>
        <w:autoSpaceDE/>
        <w:autoSpaceDN/>
        <w:bidi w:val="0"/>
        <w:adjustRightInd/>
        <w:snapToGrid/>
        <w:spacing w:after="0" w:line="480" w:lineRule="auto"/>
        <w:ind w:firstLine="424" w:firstLineChars="201"/>
        <w:jc w:val="left"/>
        <w:textAlignment w:val="auto"/>
        <w:outlineLvl w:val="3"/>
        <w:rPr>
          <w:rFonts w:hint="eastAsia" w:ascii="宋体" w:hAnsi="宋体" w:eastAsia="宋体" w:cs="宋体"/>
          <w:b/>
          <w:bCs/>
          <w:color w:val="auto"/>
          <w:kern w:val="0"/>
          <w:szCs w:val="21"/>
          <w:highlight w:val="none"/>
          <w:lang w:bidi="en-US"/>
        </w:rPr>
      </w:pPr>
      <w:bookmarkStart w:id="397" w:name="_Toc304748300"/>
      <w:bookmarkStart w:id="398" w:name="_Toc395787034"/>
      <w:bookmarkStart w:id="399" w:name="_Toc435016862"/>
      <w:bookmarkStart w:id="400" w:name="_Toc499032520"/>
      <w:bookmarkStart w:id="401" w:name="_Toc395965074"/>
      <w:r>
        <w:rPr>
          <w:rFonts w:hint="eastAsia" w:ascii="宋体" w:hAnsi="宋体" w:eastAsia="宋体" w:cs="宋体"/>
          <w:b/>
          <w:bCs/>
          <w:color w:val="auto"/>
          <w:kern w:val="0"/>
          <w:szCs w:val="21"/>
          <w:highlight w:val="none"/>
          <w:lang w:bidi="en-US"/>
        </w:rPr>
        <w:t>A1．</w:t>
      </w:r>
      <w:bookmarkEnd w:id="397"/>
      <w:bookmarkEnd w:id="398"/>
      <w:r>
        <w:rPr>
          <w:rFonts w:hint="eastAsia" w:ascii="宋体" w:hAnsi="宋体" w:eastAsia="宋体" w:cs="宋体"/>
          <w:b/>
          <w:bCs/>
          <w:color w:val="auto"/>
          <w:kern w:val="0"/>
          <w:szCs w:val="21"/>
          <w:highlight w:val="none"/>
          <w:lang w:bidi="en-US"/>
        </w:rPr>
        <w:t>基本程序</w:t>
      </w:r>
      <w:bookmarkEnd w:id="399"/>
      <w:bookmarkEnd w:id="400"/>
      <w:bookmarkEnd w:id="401"/>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评标活动将按以下五个步骤进行：</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（1）评标准备；</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（2）初步评审；</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（3）详细评审；</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（4）澄清、说明或补正；</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（5）推荐中标候选人及提交评标报告。</w:t>
      </w:r>
    </w:p>
    <w:p>
      <w:pPr>
        <w:keepNext/>
        <w:keepLines w:val="0"/>
        <w:pageBreakBefore w:val="0"/>
        <w:widowControl/>
        <w:kinsoku/>
        <w:wordWrap/>
        <w:overflowPunct/>
        <w:topLinePunct w:val="0"/>
        <w:autoSpaceDE/>
        <w:autoSpaceDN/>
        <w:bidi w:val="0"/>
        <w:adjustRightInd/>
        <w:snapToGrid/>
        <w:spacing w:after="0" w:line="480" w:lineRule="auto"/>
        <w:ind w:firstLine="424" w:firstLineChars="201"/>
        <w:jc w:val="left"/>
        <w:textAlignment w:val="auto"/>
        <w:outlineLvl w:val="3"/>
        <w:rPr>
          <w:rFonts w:hint="eastAsia" w:ascii="宋体" w:hAnsi="宋体" w:eastAsia="宋体" w:cs="宋体"/>
          <w:b/>
          <w:bCs/>
          <w:color w:val="auto"/>
          <w:kern w:val="0"/>
          <w:szCs w:val="21"/>
          <w:highlight w:val="none"/>
          <w:lang w:bidi="en-US"/>
        </w:rPr>
      </w:pPr>
      <w:bookmarkStart w:id="402" w:name="_Toc304748301"/>
      <w:bookmarkStart w:id="403" w:name="_Toc395787035"/>
      <w:bookmarkStart w:id="404" w:name="_Toc395965075"/>
      <w:bookmarkStart w:id="405" w:name="_Toc499032521"/>
      <w:bookmarkStart w:id="406" w:name="_Toc435016863"/>
      <w:r>
        <w:rPr>
          <w:rFonts w:hint="eastAsia" w:ascii="宋体" w:hAnsi="宋体" w:eastAsia="宋体" w:cs="宋体"/>
          <w:b/>
          <w:bCs/>
          <w:color w:val="auto"/>
          <w:kern w:val="0"/>
          <w:szCs w:val="21"/>
          <w:highlight w:val="none"/>
          <w:lang w:bidi="en-US"/>
        </w:rPr>
        <w:t>A2．</w:t>
      </w:r>
      <w:bookmarkEnd w:id="402"/>
      <w:bookmarkEnd w:id="403"/>
      <w:r>
        <w:rPr>
          <w:rFonts w:hint="eastAsia" w:ascii="宋体" w:hAnsi="宋体" w:eastAsia="宋体" w:cs="宋体"/>
          <w:b/>
          <w:bCs/>
          <w:color w:val="auto"/>
          <w:kern w:val="0"/>
          <w:szCs w:val="21"/>
          <w:highlight w:val="none"/>
          <w:lang w:bidi="en-US"/>
        </w:rPr>
        <w:t>评标准备</w:t>
      </w:r>
      <w:bookmarkEnd w:id="404"/>
      <w:bookmarkEnd w:id="405"/>
      <w:bookmarkEnd w:id="406"/>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bookmarkStart w:id="407" w:name="_Toc395965076"/>
      <w:r>
        <w:rPr>
          <w:rFonts w:hint="eastAsia" w:ascii="宋体" w:hAnsi="宋体" w:eastAsia="宋体" w:cs="宋体"/>
          <w:color w:val="auto"/>
          <w:highlight w:val="none"/>
        </w:rPr>
        <w:t>A2.1 评标委员会成员签到</w:t>
      </w:r>
      <w:bookmarkEnd w:id="407"/>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bookmarkStart w:id="408" w:name="_Toc395965077"/>
      <w:r>
        <w:rPr>
          <w:rFonts w:hint="eastAsia" w:ascii="宋体" w:hAnsi="宋体" w:eastAsia="宋体" w:cs="宋体"/>
          <w:color w:val="auto"/>
          <w:highlight w:val="none"/>
        </w:rPr>
        <w:t>评标委员会成员到达评标现场签到并组建评标委员会。</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A2.2 评标委员会的分工</w:t>
      </w:r>
      <w:bookmarkEnd w:id="408"/>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bookmarkStart w:id="409" w:name="_Toc395965078"/>
      <w:r>
        <w:rPr>
          <w:rFonts w:hint="eastAsia" w:ascii="宋体" w:hAnsi="宋体" w:eastAsia="宋体" w:cs="宋体"/>
          <w:color w:val="auto"/>
          <w:highlight w:val="none"/>
        </w:rPr>
        <w:t>评标委员会首先推选一名评标委员会主任，招标人也可以直接指定评标委员会主任，评标委员会主任负责评标活动的组织领导工作，评标委员会主任在与其他评标委员会成员商议的基础上可以将评标委员会划分为技术组和商务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A2.3 熟悉文件资料</w:t>
      </w:r>
      <w:bookmarkEnd w:id="409"/>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A2.3.1 评标委员会主任应组织评标委员会成员认真研究招标文件，了解和熟悉招标目的、招标范围、主要合同条件、技术标准和要求、质量标准和</w:t>
      </w:r>
      <w:r>
        <w:rPr>
          <w:rFonts w:hint="eastAsia" w:ascii="宋体" w:hAnsi="宋体" w:eastAsia="宋体" w:cs="宋体"/>
          <w:color w:val="auto"/>
          <w:highlight w:val="none"/>
          <w:lang w:eastAsia="zh-CN"/>
        </w:rPr>
        <w:t>服务周期</w:t>
      </w:r>
      <w:r>
        <w:rPr>
          <w:rFonts w:hint="eastAsia" w:ascii="宋体" w:hAnsi="宋体" w:eastAsia="宋体" w:cs="宋体"/>
          <w:color w:val="auto"/>
          <w:highlight w:val="none"/>
        </w:rPr>
        <w:t>要求等，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A2.3.2 招标人应向评标委员会提供评标所需的信息和数据，包括招标文件、未在开标会上当场拒绝的各投标文件、开标会记录、资格预审文件及各投标人在资格预审阶段递交的资格预审申请文件、招标最高限价、有关的</w:t>
      </w:r>
      <w:r>
        <w:rPr>
          <w:rFonts w:hint="eastAsia" w:ascii="宋体" w:hAnsi="宋体" w:cs="宋体"/>
          <w:color w:val="auto"/>
          <w:highlight w:val="none"/>
          <w:lang w:eastAsia="zh-CN"/>
        </w:rPr>
        <w:t>法律法规</w:t>
      </w:r>
      <w:r>
        <w:rPr>
          <w:rFonts w:hint="eastAsia" w:ascii="宋体" w:hAnsi="宋体" w:eastAsia="宋体" w:cs="宋体"/>
          <w:color w:val="auto"/>
          <w:highlight w:val="none"/>
        </w:rPr>
        <w:t>、规章、国家标准以及招标人或评标委员会认为必要的其他信息和数据。</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bookmarkStart w:id="410" w:name="_Toc395965079"/>
      <w:r>
        <w:rPr>
          <w:rFonts w:hint="eastAsia" w:ascii="宋体" w:hAnsi="宋体" w:eastAsia="宋体" w:cs="宋体"/>
          <w:color w:val="auto"/>
          <w:highlight w:val="none"/>
        </w:rPr>
        <w:t>A2.4 对投标文件进行基础性数据分析和整理工作（清标）</w:t>
      </w:r>
      <w:bookmarkEnd w:id="410"/>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A2.4.1 在不改变投标人投标文件实质性内容的前提下，评标委员会应当对投标文件进行基础性数据分析和整理（本章中简称为“清标”），从而发现并提取其中可能存在的对招标范围理解的偏差、投标报价的算术性错误、错漏项、投标报价构成不合理、不平衡报价等存在明显异常的问题，并就这些问题整理形成清标成果。评标委员会对清标成果审议后，决定需要投标人进行书面澄清、说明或补正的问题，形成质疑问卷，向投标人发出问题澄清通知（包括质疑问卷）。</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A2.4.2 在不影响评标委员会成员的法定权利的前提下，评标委员会可委托由招标人专门成立的清标工作小组完成清标工作。在这种情况下，清标工作可以在评标工作开始之前完成，也可以与评标工作平行进行。清标工作小组成员应为具备相应执业资格的专业人员，且应当符合有关法律法规对评标专家的回避规定和要求，不得与任何投标人有利益、上下级等关系，不得代行依法应当由评标委员会及其成员行使的权利。清标成果应当经过评标委员会的审核确认，经过评标委员会审核确认的清标成果视同是评标委员会的工作成果，并由评标委员会以书面方式追加对清标工作小组的授权，书面授权委托书必须由评标委员会全体成员签名。</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A2.4.3 投标人接到评标委员会发出的问题澄清通知后，应按评标委员会的要求提供书面澄清资料并按要求进行密封，在规定的时</w:t>
      </w:r>
      <w:r>
        <w:rPr>
          <w:rFonts w:hint="eastAsia" w:ascii="宋体" w:hAnsi="宋体" w:cs="宋体"/>
          <w:color w:val="auto"/>
          <w:highlight w:val="none"/>
          <w:lang w:eastAsia="zh-CN"/>
        </w:rPr>
        <w:t>间内</w:t>
      </w:r>
      <w:r>
        <w:rPr>
          <w:rFonts w:hint="eastAsia" w:ascii="宋体" w:hAnsi="宋体" w:eastAsia="宋体" w:cs="宋体"/>
          <w:color w:val="auto"/>
          <w:highlight w:val="none"/>
        </w:rPr>
        <w:t>递交到指定地点。投标人递交的书面澄清资料由评标委员会开启。</w:t>
      </w:r>
    </w:p>
    <w:p>
      <w:pPr>
        <w:keepNext/>
        <w:keepLines w:val="0"/>
        <w:pageBreakBefore w:val="0"/>
        <w:widowControl/>
        <w:kinsoku/>
        <w:wordWrap/>
        <w:overflowPunct/>
        <w:topLinePunct w:val="0"/>
        <w:autoSpaceDE/>
        <w:autoSpaceDN/>
        <w:bidi w:val="0"/>
        <w:adjustRightInd/>
        <w:snapToGrid/>
        <w:spacing w:after="0" w:line="480" w:lineRule="auto"/>
        <w:ind w:firstLine="424" w:firstLineChars="201"/>
        <w:jc w:val="left"/>
        <w:textAlignment w:val="auto"/>
        <w:outlineLvl w:val="3"/>
        <w:rPr>
          <w:rFonts w:hint="eastAsia" w:ascii="宋体" w:hAnsi="宋体" w:eastAsia="宋体" w:cs="宋体"/>
          <w:b/>
          <w:bCs/>
          <w:color w:val="auto"/>
          <w:kern w:val="0"/>
          <w:szCs w:val="21"/>
          <w:highlight w:val="none"/>
          <w:lang w:bidi="en-US"/>
        </w:rPr>
      </w:pPr>
      <w:bookmarkStart w:id="411" w:name="_Toc395787040"/>
      <w:bookmarkStart w:id="412" w:name="_Toc304748302"/>
      <w:bookmarkStart w:id="413" w:name="_Toc435016864"/>
      <w:bookmarkStart w:id="414" w:name="_Toc395965080"/>
      <w:bookmarkStart w:id="415" w:name="_Toc499032522"/>
      <w:r>
        <w:rPr>
          <w:rFonts w:hint="eastAsia" w:ascii="宋体" w:hAnsi="宋体" w:eastAsia="宋体" w:cs="宋体"/>
          <w:b/>
          <w:bCs/>
          <w:color w:val="auto"/>
          <w:kern w:val="0"/>
          <w:szCs w:val="21"/>
          <w:highlight w:val="none"/>
          <w:lang w:bidi="en-US"/>
        </w:rPr>
        <w:t>A3．</w:t>
      </w:r>
      <w:bookmarkEnd w:id="411"/>
      <w:bookmarkEnd w:id="412"/>
      <w:r>
        <w:rPr>
          <w:rFonts w:hint="eastAsia" w:ascii="宋体" w:hAnsi="宋体" w:eastAsia="宋体" w:cs="宋体"/>
          <w:b/>
          <w:bCs/>
          <w:color w:val="auto"/>
          <w:kern w:val="0"/>
          <w:szCs w:val="21"/>
          <w:highlight w:val="none"/>
          <w:lang w:bidi="en-US"/>
        </w:rPr>
        <w:t>初步评审</w:t>
      </w:r>
      <w:bookmarkEnd w:id="413"/>
      <w:bookmarkEnd w:id="414"/>
      <w:bookmarkEnd w:id="415"/>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bookmarkStart w:id="416" w:name="_Toc375409613"/>
      <w:bookmarkStart w:id="417" w:name="_Toc492394558"/>
      <w:bookmarkStart w:id="418" w:name="_Toc493496600"/>
      <w:r>
        <w:rPr>
          <w:rFonts w:hint="eastAsia" w:ascii="宋体" w:hAnsi="宋体" w:eastAsia="宋体" w:cs="宋体"/>
          <w:color w:val="auto"/>
          <w:highlight w:val="none"/>
        </w:rPr>
        <w:t>A3.1 形式评审</w:t>
      </w:r>
      <w:bookmarkEnd w:id="416"/>
      <w:bookmarkEnd w:id="417"/>
      <w:bookmarkEnd w:id="418"/>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评标委员会根据评标办法前附表中规定的评审因素和评审标准，对投标人的投标文件进行形式评审，并记录评审结果。未通过形式评审的投标人不进入资格评审阶段。</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bookmarkStart w:id="419" w:name="_Toc492394559"/>
      <w:bookmarkStart w:id="420" w:name="_Toc375409614"/>
      <w:bookmarkStart w:id="421" w:name="_Toc493496601"/>
      <w:r>
        <w:rPr>
          <w:rFonts w:hint="eastAsia" w:ascii="宋体" w:hAnsi="宋体" w:eastAsia="宋体" w:cs="宋体"/>
          <w:color w:val="auto"/>
          <w:highlight w:val="none"/>
        </w:rPr>
        <w:t>A3.2 资格评审</w:t>
      </w:r>
      <w:bookmarkEnd w:id="419"/>
      <w:bookmarkEnd w:id="420"/>
      <w:bookmarkEnd w:id="421"/>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评标委员会根据评标办法前附表中规定的评审因素和评审标准，对投标人的投标文件进行资格评审，并记录评审结果。未通过资格评审的投标人不进入响应性评审阶段。</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A3.3 响应性评审</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评标委员会根据评标办法前附表中规定的评审因素和评审标准，对投标人的投标文件进行响应性评审，并记录评审结果。</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bookmarkStart w:id="422" w:name="_Toc375409616"/>
      <w:bookmarkStart w:id="423" w:name="_Toc492394560"/>
      <w:bookmarkStart w:id="424" w:name="_Toc493496602"/>
      <w:r>
        <w:rPr>
          <w:rFonts w:hint="eastAsia" w:ascii="宋体" w:hAnsi="宋体" w:eastAsia="宋体" w:cs="宋体"/>
          <w:color w:val="auto"/>
          <w:highlight w:val="none"/>
        </w:rPr>
        <w:t>A3.4详细评审的程序</w:t>
      </w:r>
      <w:bookmarkEnd w:id="422"/>
      <w:bookmarkEnd w:id="423"/>
      <w:bookmarkEnd w:id="424"/>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（1）按本章第2.2.2目规定的评审因素和分值对商务部分计算出得分。</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（2）按本章第2.2.3目规定的评审因素和分值对技术部分计算出得分</w:t>
      </w:r>
      <w:r>
        <w:rPr>
          <w:rFonts w:hint="eastAsia" w:ascii="宋体" w:hAnsi="宋体" w:cs="宋体"/>
          <w:color w:val="auto"/>
          <w:highlight w:val="none"/>
          <w:lang w:eastAsia="zh-CN"/>
        </w:rPr>
        <w:t>。</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评分分值计算保留小数点后两位，小数点后第三位“四舍五入”。</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A3.5判断投标是否为否决投标</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A3.5.1 判断投标人的投标是否为否决投标的全部条件（包括本章前附表中规定的条件），在本章附件B中集中列示。</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A3.5.2 本章附件B集中列示的否决投标条件不应与第二章“投标人须知”和本章正文部分包括的否决投标条件抵触，如果出现相互矛盾的情况，以”附件B否决投标条件”的规定为准。</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A3.5.3 评标委员会在评标（包括初步评审和详细评审）过程中，依据本章附件B中规定的否决投标条件判断投标人的投标是否为否决投标。</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A3.6澄清、说明或补正</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3.6.1 在评标过程中，评标委员会可以书面形式要求投标人对所提交投标文件中不明确的内容进行书面澄清或说明，或者对细微偏差进行补正。评标委员会不接受投标人主动提出的澄清、说明或补正。</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3.6.2 澄清、说明和补正不得改变投标文件的实质性内容。投标人的书面澄清、说明和补正属于投标文件的组成部分。</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3.6.3 评标委员会对投标人提交的澄清、说明或补正有疑问的，可以要求投标人进一步澄清、说明或补正，直至满足评标委员会的要求。在初步评审过程中，评标委员会应当就投标文件中不明确的内容要求投标人进行澄清、说明或者补正。投标人对此以书面形式予以澄清、说明或者补正。</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A3.7 算术错误修正</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评标委员会依据本章中规定的相关原则对投标报价中存在的算术错误进行修正，并根据算术错误修正结果计算评标价。</w:t>
      </w:r>
    </w:p>
    <w:p>
      <w:pPr>
        <w:keepNext/>
        <w:keepLines w:val="0"/>
        <w:pageBreakBefore w:val="0"/>
        <w:widowControl/>
        <w:kinsoku/>
        <w:wordWrap/>
        <w:overflowPunct/>
        <w:topLinePunct w:val="0"/>
        <w:autoSpaceDE/>
        <w:autoSpaceDN/>
        <w:bidi w:val="0"/>
        <w:adjustRightInd/>
        <w:snapToGrid/>
        <w:spacing w:after="0" w:line="480" w:lineRule="auto"/>
        <w:ind w:firstLine="424" w:firstLineChars="201"/>
        <w:jc w:val="left"/>
        <w:textAlignment w:val="auto"/>
        <w:outlineLvl w:val="3"/>
        <w:rPr>
          <w:rFonts w:hint="eastAsia" w:ascii="宋体" w:hAnsi="宋体" w:eastAsia="宋体" w:cs="宋体"/>
          <w:b/>
          <w:bCs/>
          <w:color w:val="auto"/>
          <w:kern w:val="0"/>
          <w:szCs w:val="21"/>
          <w:highlight w:val="none"/>
          <w:lang w:bidi="en-US"/>
        </w:rPr>
      </w:pPr>
      <w:bookmarkStart w:id="425" w:name="_Toc304748303"/>
      <w:bookmarkStart w:id="426" w:name="_Toc395787048"/>
      <w:bookmarkStart w:id="427" w:name="_Toc499032523"/>
      <w:bookmarkStart w:id="428" w:name="_Toc435016865"/>
      <w:bookmarkStart w:id="429" w:name="_Toc395965088"/>
      <w:r>
        <w:rPr>
          <w:rFonts w:hint="eastAsia" w:ascii="宋体" w:hAnsi="宋体" w:eastAsia="宋体" w:cs="宋体"/>
          <w:b/>
          <w:bCs/>
          <w:color w:val="auto"/>
          <w:kern w:val="0"/>
          <w:szCs w:val="21"/>
          <w:highlight w:val="none"/>
          <w:lang w:bidi="en-US"/>
        </w:rPr>
        <w:t>A4．</w:t>
      </w:r>
      <w:bookmarkEnd w:id="425"/>
      <w:bookmarkEnd w:id="426"/>
      <w:r>
        <w:rPr>
          <w:rFonts w:hint="eastAsia" w:ascii="宋体" w:hAnsi="宋体" w:eastAsia="宋体" w:cs="宋体"/>
          <w:b/>
          <w:bCs/>
          <w:color w:val="auto"/>
          <w:kern w:val="0"/>
          <w:szCs w:val="21"/>
          <w:highlight w:val="none"/>
          <w:lang w:bidi="en-US"/>
        </w:rPr>
        <w:t>详细评审</w:t>
      </w:r>
      <w:bookmarkEnd w:id="427"/>
      <w:bookmarkEnd w:id="428"/>
      <w:bookmarkEnd w:id="429"/>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只有通过了初步评审、被判定为合格的投标人可进入详细评审。</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A4.1 价格折算</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评标委员会根据评标办法前附表、标准和方法，以及算术错误修正结果，计算出评标价。</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bookmarkStart w:id="430" w:name="_Toc395965089"/>
      <w:r>
        <w:rPr>
          <w:rFonts w:hint="eastAsia" w:ascii="宋体" w:hAnsi="宋体" w:eastAsia="宋体" w:cs="宋体"/>
          <w:color w:val="auto"/>
          <w:highlight w:val="none"/>
        </w:rPr>
        <w:t>A4.2 判断投标报价是否低于成本</w:t>
      </w:r>
      <w:bookmarkEnd w:id="430"/>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评标委员会判断投标报价是否低于其成本，由评标委员会认定投标人以低于成本竞标的，其投标作否决投标处理。</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bookmarkStart w:id="431" w:name="_Toc395965090"/>
      <w:r>
        <w:rPr>
          <w:rFonts w:hint="eastAsia" w:ascii="宋体" w:hAnsi="宋体" w:eastAsia="宋体" w:cs="宋体"/>
          <w:color w:val="auto"/>
          <w:highlight w:val="none"/>
        </w:rPr>
        <w:t>A4.3 澄清、说明或补正</w:t>
      </w:r>
      <w:bookmarkEnd w:id="431"/>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在初步评审过程中，评标委员会应当就投标文件中不明确的内容要求投标人进行澄清、说明或者补正。投标人应当根据问题澄清通知要求，以书面形式予以澄清、说明或者补正。澄清、说明或补正根据本章第3.3款的规定进行。</w:t>
      </w:r>
    </w:p>
    <w:p>
      <w:pPr>
        <w:keepNext/>
        <w:keepLines w:val="0"/>
        <w:pageBreakBefore w:val="0"/>
        <w:widowControl/>
        <w:kinsoku/>
        <w:wordWrap/>
        <w:overflowPunct/>
        <w:topLinePunct w:val="0"/>
        <w:autoSpaceDE/>
        <w:autoSpaceDN/>
        <w:bidi w:val="0"/>
        <w:adjustRightInd/>
        <w:snapToGrid/>
        <w:spacing w:after="0" w:line="480" w:lineRule="auto"/>
        <w:ind w:firstLine="424" w:firstLineChars="201"/>
        <w:jc w:val="left"/>
        <w:textAlignment w:val="auto"/>
        <w:outlineLvl w:val="3"/>
        <w:rPr>
          <w:rFonts w:hint="eastAsia" w:ascii="宋体" w:hAnsi="宋体" w:eastAsia="宋体" w:cs="宋体"/>
          <w:b/>
          <w:bCs/>
          <w:color w:val="auto"/>
          <w:kern w:val="0"/>
          <w:szCs w:val="21"/>
          <w:highlight w:val="none"/>
          <w:lang w:bidi="en-US"/>
        </w:rPr>
      </w:pPr>
      <w:bookmarkStart w:id="432" w:name="_Toc395787051"/>
      <w:bookmarkStart w:id="433" w:name="_Toc304748304"/>
      <w:bookmarkStart w:id="434" w:name="_Toc499032524"/>
      <w:bookmarkStart w:id="435" w:name="_Toc435016866"/>
      <w:bookmarkStart w:id="436" w:name="_Toc395965091"/>
      <w:r>
        <w:rPr>
          <w:rFonts w:hint="eastAsia" w:ascii="宋体" w:hAnsi="宋体" w:eastAsia="宋体" w:cs="宋体"/>
          <w:b/>
          <w:bCs/>
          <w:color w:val="auto"/>
          <w:kern w:val="0"/>
          <w:szCs w:val="21"/>
          <w:highlight w:val="none"/>
          <w:lang w:bidi="en-US"/>
        </w:rPr>
        <w:t>A5．</w:t>
      </w:r>
      <w:bookmarkEnd w:id="432"/>
      <w:bookmarkEnd w:id="433"/>
      <w:r>
        <w:rPr>
          <w:rFonts w:hint="eastAsia" w:ascii="宋体" w:hAnsi="宋体" w:eastAsia="宋体" w:cs="宋体"/>
          <w:b/>
          <w:bCs/>
          <w:color w:val="auto"/>
          <w:kern w:val="0"/>
          <w:szCs w:val="21"/>
          <w:highlight w:val="none"/>
          <w:lang w:bidi="en-US"/>
        </w:rPr>
        <w:t>推荐中标候选人</w:t>
      </w:r>
      <w:bookmarkEnd w:id="434"/>
      <w:bookmarkEnd w:id="435"/>
      <w:bookmarkEnd w:id="436"/>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bookmarkStart w:id="437" w:name="_Toc395965092"/>
      <w:r>
        <w:rPr>
          <w:rFonts w:hint="eastAsia" w:ascii="宋体" w:hAnsi="宋体" w:eastAsia="宋体" w:cs="宋体"/>
          <w:color w:val="auto"/>
          <w:highlight w:val="none"/>
        </w:rPr>
        <w:t>A5.1 汇总评标结果</w:t>
      </w:r>
      <w:bookmarkEnd w:id="437"/>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投标报价评审工作全部结束后，评标委员会应填写评标结果汇总表。</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bookmarkStart w:id="438" w:name="_Toc395965093"/>
      <w:r>
        <w:rPr>
          <w:rFonts w:hint="eastAsia" w:ascii="宋体" w:hAnsi="宋体" w:eastAsia="宋体" w:cs="宋体"/>
          <w:color w:val="auto"/>
          <w:highlight w:val="none"/>
        </w:rPr>
        <w:t>A5.2 推荐中标候选人</w:t>
      </w:r>
      <w:bookmarkEnd w:id="438"/>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评标委员会在推荐中标候选人时，应遵照以下原则：</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（1）评标委员会对有效的投标按照详细评审得分由高至低的次序排列，根据第二章“投标人须知”前附表第7.1款的规定推荐中标候选人</w:t>
      </w:r>
      <w:r>
        <w:rPr>
          <w:rFonts w:hint="eastAsia" w:ascii="宋体" w:hAnsi="宋体" w:cs="宋体"/>
          <w:color w:val="auto"/>
          <w:highlight w:val="none"/>
          <w:lang w:eastAsia="zh-CN"/>
        </w:rPr>
        <w:t>；</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2）如果评标委员会根据本章的规定作否决投标处理后，有效投标不足三个，且少于第二章“投标人须知”前附表第7.1款规定的中标候选人数量的，经评标委员会评审认为仍具有竞争性，则由评标委员会以记名投票的方式向招标人推荐中标候选人。如果因有效投标不足三个使得投标明显缺乏竞争的，评标委员会可以建议招标人重新招标。</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A5.3 直接确定中标人</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第二章“投标人须知”前附表授权评标委员会直接确定中标人的，评标委员会按照最终得分由高至低的次序排列，并确定排名第一的投标人为中标人。</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bookmarkStart w:id="439" w:name="_Toc395965095"/>
      <w:r>
        <w:rPr>
          <w:rFonts w:hint="eastAsia" w:ascii="宋体" w:hAnsi="宋体" w:eastAsia="宋体" w:cs="宋体"/>
          <w:color w:val="auto"/>
          <w:highlight w:val="none"/>
        </w:rPr>
        <w:t>A5.4 编制及提交评标报告</w:t>
      </w:r>
      <w:bookmarkEnd w:id="439"/>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评标委员会应向招标人提交评标报告。评标报告应当由全体评标委员会成员签字，并于评标结束时抄送有关行政监督部门。</w:t>
      </w:r>
    </w:p>
    <w:p>
      <w:pPr>
        <w:keepNext/>
        <w:keepLines w:val="0"/>
        <w:pageBreakBefore w:val="0"/>
        <w:widowControl/>
        <w:kinsoku/>
        <w:wordWrap/>
        <w:overflowPunct/>
        <w:topLinePunct w:val="0"/>
        <w:autoSpaceDE/>
        <w:autoSpaceDN/>
        <w:bidi w:val="0"/>
        <w:adjustRightInd/>
        <w:snapToGrid/>
        <w:spacing w:after="0" w:line="480" w:lineRule="auto"/>
        <w:ind w:firstLine="424" w:firstLineChars="201"/>
        <w:jc w:val="left"/>
        <w:textAlignment w:val="auto"/>
        <w:outlineLvl w:val="3"/>
        <w:rPr>
          <w:rFonts w:hint="eastAsia" w:ascii="宋体" w:hAnsi="宋体" w:eastAsia="宋体" w:cs="宋体"/>
          <w:b/>
          <w:bCs/>
          <w:color w:val="auto"/>
          <w:kern w:val="0"/>
          <w:szCs w:val="21"/>
          <w:highlight w:val="none"/>
          <w:lang w:bidi="en-US"/>
        </w:rPr>
      </w:pPr>
      <w:bookmarkStart w:id="440" w:name="_Toc304748305"/>
      <w:bookmarkStart w:id="441" w:name="_Toc395787057"/>
      <w:bookmarkStart w:id="442" w:name="_Toc435016867"/>
      <w:bookmarkStart w:id="443" w:name="_Toc395965097"/>
      <w:bookmarkStart w:id="444" w:name="_Toc499032525"/>
      <w:r>
        <w:rPr>
          <w:rFonts w:hint="eastAsia" w:ascii="宋体" w:hAnsi="宋体" w:eastAsia="宋体" w:cs="宋体"/>
          <w:b/>
          <w:bCs/>
          <w:color w:val="auto"/>
          <w:kern w:val="0"/>
          <w:szCs w:val="21"/>
          <w:highlight w:val="none"/>
          <w:lang w:bidi="en-US"/>
        </w:rPr>
        <w:t>A6．</w:t>
      </w:r>
      <w:bookmarkEnd w:id="440"/>
      <w:bookmarkEnd w:id="441"/>
      <w:r>
        <w:rPr>
          <w:rFonts w:hint="eastAsia" w:ascii="宋体" w:hAnsi="宋体" w:eastAsia="宋体" w:cs="宋体"/>
          <w:b/>
          <w:bCs/>
          <w:color w:val="auto"/>
          <w:kern w:val="0"/>
          <w:szCs w:val="21"/>
          <w:highlight w:val="none"/>
          <w:lang w:bidi="en-US"/>
        </w:rPr>
        <w:t>特殊情况的处置程序</w:t>
      </w:r>
      <w:bookmarkEnd w:id="442"/>
      <w:bookmarkEnd w:id="443"/>
      <w:bookmarkEnd w:id="444"/>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A6.1 关于评标活动暂停</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A6.1.1 评标委员会应当执行连续评标的原则，按评标办法中规定的程序、内容、方法、标准完成全部评标工作。只有发生不可抗力导致评标工作无法继续时，评标活动方可暂停。</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A6.1.2 发生评标暂停情况时，评标委员会应当封存全部投标文件和评标记录，待不可抗力的影响结束且具备继续评标的条件时，由原评标委员会继续评标。</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A6.2 关于评标中途更换评委</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A6.2.1 除非发生下列情况之一，评标委员会成员不得在评标中途更换：</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（1）因不可抗拒的客观原因，不能到场或需在评标中途退出评标活动。</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（2）根据法律法规规定，某个或某几个评标委员会成员需要回避。</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A6.2.2 退出评标的评标委员会成员，其已完成的评标行为无效。由招标人根据本招标文件规定的评标委员会成员生产方式另行确定替代者进行评标。</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A6.3 记名投票</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在任何评标环节中，需评标委员会就某项定性的评审结论做出表决的，由评标委员会全体成员按照少数服从多数的原则，以记名投票方式表决。</w:t>
      </w:r>
    </w:p>
    <w:p>
      <w:pPr>
        <w:keepNext/>
        <w:keepLines w:val="0"/>
        <w:pageBreakBefore w:val="0"/>
        <w:widowControl/>
        <w:kinsoku/>
        <w:wordWrap/>
        <w:overflowPunct/>
        <w:topLinePunct w:val="0"/>
        <w:autoSpaceDE/>
        <w:autoSpaceDN/>
        <w:bidi w:val="0"/>
        <w:adjustRightInd/>
        <w:snapToGrid/>
        <w:spacing w:after="0" w:line="480" w:lineRule="auto"/>
        <w:ind w:firstLine="424" w:firstLineChars="201"/>
        <w:jc w:val="left"/>
        <w:textAlignment w:val="auto"/>
        <w:outlineLvl w:val="3"/>
        <w:rPr>
          <w:rFonts w:hint="eastAsia" w:ascii="宋体" w:hAnsi="宋体" w:eastAsia="宋体" w:cs="宋体"/>
          <w:b/>
          <w:bCs/>
          <w:color w:val="auto"/>
          <w:kern w:val="0"/>
          <w:szCs w:val="21"/>
          <w:highlight w:val="none"/>
          <w:lang w:bidi="en-US"/>
        </w:rPr>
      </w:pPr>
      <w:bookmarkStart w:id="445" w:name="_Toc499032526"/>
      <w:r>
        <w:rPr>
          <w:rFonts w:hint="eastAsia" w:ascii="宋体" w:hAnsi="宋体" w:eastAsia="宋体" w:cs="宋体"/>
          <w:b/>
          <w:bCs/>
          <w:color w:val="auto"/>
          <w:kern w:val="0"/>
          <w:szCs w:val="21"/>
          <w:highlight w:val="none"/>
          <w:lang w:bidi="en-US"/>
        </w:rPr>
        <w:t>A7．补充条款</w:t>
      </w:r>
      <w:bookmarkEnd w:id="445"/>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评标中若遇特殊问题，由评标委员会根据有关</w:t>
      </w:r>
      <w:r>
        <w:rPr>
          <w:rFonts w:hint="eastAsia" w:ascii="宋体" w:hAnsi="宋体" w:cs="宋体"/>
          <w:color w:val="auto"/>
          <w:highlight w:val="none"/>
          <w:lang w:eastAsia="zh-CN"/>
        </w:rPr>
        <w:t>法律法规</w:t>
      </w:r>
      <w:r>
        <w:rPr>
          <w:rFonts w:hint="eastAsia" w:ascii="宋体" w:hAnsi="宋体" w:eastAsia="宋体" w:cs="宋体"/>
          <w:color w:val="auto"/>
          <w:highlight w:val="none"/>
        </w:rPr>
        <w:t>、规定研究决定。</w:t>
      </w:r>
    </w:p>
    <w:p>
      <w:pPr>
        <w:pStyle w:val="2"/>
        <w:ind w:left="0" w:firstLine="0"/>
        <w:jc w:val="center"/>
        <w:rPr>
          <w:rFonts w:hint="eastAsia" w:ascii="黑体" w:hAnsi="黑体" w:eastAsia="黑体" w:cs="黑体"/>
          <w:b/>
          <w:bCs/>
          <w:color w:val="auto"/>
          <w:sz w:val="52"/>
          <w:szCs w:val="52"/>
          <w:highlight w:val="none"/>
          <w:lang w:val="en-US" w:eastAsia="zh-CN"/>
        </w:rPr>
        <w:sectPr>
          <w:footerReference r:id="rId13" w:type="default"/>
          <w:pgSz w:w="11906" w:h="16838"/>
          <w:pgMar w:top="1440" w:right="1080" w:bottom="1440" w:left="1080" w:header="1077" w:footer="720" w:gutter="0"/>
          <w:pgBorders>
            <w:top w:val="none" w:sz="0" w:space="0"/>
            <w:left w:val="none" w:sz="0" w:space="0"/>
            <w:bottom w:val="none" w:sz="0" w:space="0"/>
            <w:right w:val="none" w:sz="0" w:space="0"/>
          </w:pgBorders>
          <w:pgNumType w:fmt="decimal" w:chapSep="hyphen"/>
          <w:cols w:space="708" w:num="1"/>
          <w:docGrid w:linePitch="331" w:charSpace="0"/>
        </w:sectPr>
      </w:pPr>
    </w:p>
    <w:p>
      <w:pPr>
        <w:keepLines w:val="0"/>
        <w:pageBreakBefore w:val="0"/>
        <w:kinsoku/>
        <w:wordWrap/>
        <w:overflowPunct/>
        <w:topLinePunct w:val="0"/>
        <w:autoSpaceDE/>
        <w:autoSpaceDN/>
        <w:bidi w:val="0"/>
        <w:adjustRightInd/>
        <w:snapToGrid/>
        <w:spacing w:after="0" w:line="480" w:lineRule="auto"/>
        <w:textAlignment w:val="auto"/>
        <w:outlineLvl w:val="1"/>
        <w:rPr>
          <w:rFonts w:hint="eastAsia" w:ascii="宋体" w:hAnsi="宋体" w:eastAsia="宋体" w:cs="宋体"/>
          <w:color w:val="auto"/>
          <w:highlight w:val="none"/>
        </w:rPr>
      </w:pPr>
      <w:bookmarkStart w:id="446" w:name="_Toc304748307"/>
      <w:bookmarkStart w:id="447" w:name="_Toc30093"/>
      <w:bookmarkStart w:id="448" w:name="_Toc395965101"/>
      <w:bookmarkStart w:id="449" w:name="_Toc499032527"/>
      <w:bookmarkStart w:id="450" w:name="_Toc223"/>
      <w:bookmarkStart w:id="451" w:name="_Toc435016868"/>
      <w:r>
        <w:rPr>
          <w:rFonts w:hint="eastAsia" w:ascii="宋体" w:hAnsi="宋体" w:eastAsia="宋体" w:cs="宋体"/>
          <w:b/>
          <w:bCs/>
          <w:color w:val="auto"/>
          <w:kern w:val="0"/>
          <w:szCs w:val="21"/>
          <w:highlight w:val="none"/>
          <w:lang w:bidi="en-US"/>
        </w:rPr>
        <w:t>附件B：</w:t>
      </w:r>
      <w:bookmarkEnd w:id="446"/>
      <w:r>
        <w:rPr>
          <w:rFonts w:hint="eastAsia" w:ascii="宋体" w:hAnsi="宋体" w:eastAsia="宋体" w:cs="宋体"/>
          <w:b/>
          <w:bCs/>
          <w:color w:val="auto"/>
          <w:kern w:val="0"/>
          <w:szCs w:val="21"/>
          <w:highlight w:val="none"/>
          <w:lang w:bidi="en-US"/>
        </w:rPr>
        <w:t>否决投标条件</w:t>
      </w:r>
      <w:bookmarkEnd w:id="447"/>
      <w:bookmarkEnd w:id="448"/>
      <w:bookmarkEnd w:id="449"/>
      <w:bookmarkEnd w:id="450"/>
      <w:bookmarkEnd w:id="451"/>
    </w:p>
    <w:p>
      <w:pPr>
        <w:keepNext/>
        <w:keepLines w:val="0"/>
        <w:pageBreakBefore w:val="0"/>
        <w:widowControl/>
        <w:kinsoku/>
        <w:wordWrap/>
        <w:overflowPunct/>
        <w:topLinePunct w:val="0"/>
        <w:autoSpaceDE/>
        <w:autoSpaceDN/>
        <w:bidi w:val="0"/>
        <w:adjustRightInd/>
        <w:snapToGrid/>
        <w:spacing w:after="0" w:line="480" w:lineRule="auto"/>
        <w:ind w:firstLine="424" w:firstLineChars="201"/>
        <w:jc w:val="left"/>
        <w:textAlignment w:val="auto"/>
        <w:outlineLvl w:val="3"/>
        <w:rPr>
          <w:rFonts w:hint="eastAsia" w:ascii="宋体" w:hAnsi="宋体" w:eastAsia="宋体" w:cs="宋体"/>
          <w:b/>
          <w:bCs/>
          <w:color w:val="auto"/>
          <w:kern w:val="0"/>
          <w:szCs w:val="21"/>
          <w:highlight w:val="none"/>
          <w:lang w:bidi="en-US"/>
        </w:rPr>
      </w:pPr>
      <w:bookmarkStart w:id="452" w:name="_Toc395787062"/>
      <w:bookmarkStart w:id="453" w:name="_Toc304748308"/>
      <w:bookmarkStart w:id="454" w:name="_Toc395965102"/>
      <w:bookmarkStart w:id="455" w:name="_Toc435016869"/>
      <w:bookmarkStart w:id="456" w:name="_Toc499032528"/>
      <w:r>
        <w:rPr>
          <w:rFonts w:hint="eastAsia" w:ascii="宋体" w:hAnsi="宋体" w:eastAsia="宋体" w:cs="宋体"/>
          <w:b/>
          <w:bCs/>
          <w:color w:val="auto"/>
          <w:kern w:val="0"/>
          <w:szCs w:val="21"/>
          <w:highlight w:val="none"/>
          <w:lang w:bidi="en-US"/>
        </w:rPr>
        <w:t>B0．</w:t>
      </w:r>
      <w:bookmarkEnd w:id="452"/>
      <w:bookmarkEnd w:id="453"/>
      <w:r>
        <w:rPr>
          <w:rFonts w:hint="eastAsia" w:ascii="宋体" w:hAnsi="宋体" w:eastAsia="宋体" w:cs="宋体"/>
          <w:b/>
          <w:bCs/>
          <w:color w:val="auto"/>
          <w:kern w:val="0"/>
          <w:szCs w:val="21"/>
          <w:highlight w:val="none"/>
          <w:lang w:bidi="en-US"/>
        </w:rPr>
        <w:t>总则</w:t>
      </w:r>
      <w:bookmarkEnd w:id="454"/>
      <w:bookmarkEnd w:id="455"/>
      <w:bookmarkEnd w:id="456"/>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b/>
          <w:color w:val="auto"/>
          <w:highlight w:val="none"/>
        </w:rPr>
      </w:pPr>
      <w:r>
        <w:rPr>
          <w:rFonts w:hint="eastAsia" w:ascii="宋体" w:hAnsi="宋体" w:eastAsia="宋体" w:cs="宋体"/>
          <w:color w:val="auto"/>
          <w:szCs w:val="21"/>
          <w:highlight w:val="none"/>
        </w:rPr>
        <w:t>本附件所集中列示的否决投标条件，是本章“评标办法”的组成部分，是对第二章“投标人须知”和本章正文部分所规定的否决投标条件的总结和补充，如果出现相互矛盾的情况，以</w:t>
      </w:r>
      <w:r>
        <w:rPr>
          <w:rFonts w:hint="eastAsia" w:ascii="宋体" w:hAnsi="宋体" w:eastAsia="宋体" w:cs="宋体"/>
          <w:b/>
          <w:color w:val="auto"/>
          <w:szCs w:val="21"/>
          <w:highlight w:val="none"/>
        </w:rPr>
        <w:t>附件B</w:t>
      </w:r>
      <w:r>
        <w:rPr>
          <w:rFonts w:hint="eastAsia" w:ascii="宋体" w:hAnsi="宋体" w:eastAsia="宋体" w:cs="宋体"/>
          <w:color w:val="auto"/>
          <w:szCs w:val="21"/>
          <w:highlight w:val="none"/>
        </w:rPr>
        <w:t>为准。除</w:t>
      </w:r>
      <w:r>
        <w:rPr>
          <w:rFonts w:hint="eastAsia" w:ascii="宋体" w:hAnsi="宋体" w:eastAsia="宋体" w:cs="宋体"/>
          <w:b/>
          <w:color w:val="auto"/>
          <w:szCs w:val="21"/>
          <w:highlight w:val="none"/>
        </w:rPr>
        <w:t>附件B</w:t>
      </w:r>
      <w:r>
        <w:rPr>
          <w:rFonts w:hint="eastAsia" w:ascii="宋体" w:hAnsi="宋体" w:eastAsia="宋体" w:cs="宋体"/>
          <w:color w:val="auto"/>
          <w:szCs w:val="21"/>
          <w:highlight w:val="none"/>
        </w:rPr>
        <w:t>所列的否决投标条件外，其他部分的否决投标条件不成为否决投标的依据。</w:t>
      </w:r>
    </w:p>
    <w:p>
      <w:pPr>
        <w:keepNext/>
        <w:keepLines w:val="0"/>
        <w:pageBreakBefore w:val="0"/>
        <w:widowControl/>
        <w:kinsoku/>
        <w:wordWrap/>
        <w:overflowPunct/>
        <w:topLinePunct w:val="0"/>
        <w:autoSpaceDE/>
        <w:autoSpaceDN/>
        <w:bidi w:val="0"/>
        <w:adjustRightInd/>
        <w:snapToGrid/>
        <w:spacing w:after="0" w:line="480" w:lineRule="auto"/>
        <w:ind w:firstLine="424" w:firstLineChars="201"/>
        <w:jc w:val="left"/>
        <w:textAlignment w:val="auto"/>
        <w:outlineLvl w:val="3"/>
        <w:rPr>
          <w:rFonts w:hint="eastAsia" w:ascii="宋体" w:hAnsi="宋体" w:eastAsia="宋体" w:cs="宋体"/>
          <w:b/>
          <w:bCs/>
          <w:color w:val="auto"/>
          <w:kern w:val="0"/>
          <w:szCs w:val="21"/>
          <w:highlight w:val="none"/>
          <w:lang w:bidi="en-US"/>
        </w:rPr>
      </w:pPr>
      <w:bookmarkStart w:id="457" w:name="_Toc304748309"/>
      <w:bookmarkStart w:id="458" w:name="_Toc395787063"/>
      <w:bookmarkStart w:id="459" w:name="_Toc435016870"/>
      <w:bookmarkStart w:id="460" w:name="_Toc395965103"/>
      <w:bookmarkStart w:id="461" w:name="_Toc499032529"/>
      <w:r>
        <w:rPr>
          <w:rFonts w:hint="eastAsia" w:ascii="宋体" w:hAnsi="宋体" w:eastAsia="宋体" w:cs="宋体"/>
          <w:b/>
          <w:bCs/>
          <w:color w:val="auto"/>
          <w:kern w:val="0"/>
          <w:szCs w:val="21"/>
          <w:highlight w:val="none"/>
          <w:lang w:bidi="en-US"/>
        </w:rPr>
        <w:t>B1．</w:t>
      </w:r>
      <w:bookmarkEnd w:id="457"/>
      <w:bookmarkEnd w:id="458"/>
      <w:r>
        <w:rPr>
          <w:rFonts w:hint="eastAsia" w:ascii="宋体" w:hAnsi="宋体" w:eastAsia="宋体" w:cs="宋体"/>
          <w:b/>
          <w:bCs/>
          <w:color w:val="auto"/>
          <w:kern w:val="0"/>
          <w:szCs w:val="21"/>
          <w:highlight w:val="none"/>
          <w:lang w:bidi="en-US"/>
        </w:rPr>
        <w:t>否决投标条件</w:t>
      </w:r>
      <w:bookmarkEnd w:id="459"/>
      <w:bookmarkEnd w:id="460"/>
      <w:bookmarkEnd w:id="461"/>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投标人或其投标文件有下列情形之一的，其投标作否决投标处理：</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B1.1投标函未满足第</w:t>
      </w:r>
      <w:r>
        <w:rPr>
          <w:rFonts w:hint="eastAsia" w:ascii="宋体" w:hAnsi="宋体" w:cs="宋体"/>
          <w:color w:val="auto"/>
          <w:highlight w:val="none"/>
          <w:lang w:eastAsia="zh-CN"/>
        </w:rPr>
        <w:t>七</w:t>
      </w:r>
      <w:r>
        <w:rPr>
          <w:rFonts w:hint="eastAsia" w:ascii="宋体" w:hAnsi="宋体" w:eastAsia="宋体" w:cs="宋体"/>
          <w:color w:val="auto"/>
          <w:highlight w:val="none"/>
        </w:rPr>
        <w:t>章“投标函”要求的；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B1.2</w:t>
      </w:r>
      <w:r>
        <w:rPr>
          <w:rFonts w:hint="eastAsia" w:ascii="宋体" w:hAnsi="宋体" w:eastAsia="宋体" w:cs="宋体"/>
          <w:color w:val="auto"/>
          <w:highlight w:val="none"/>
          <w:lang w:val="en-US" w:eastAsia="zh-CN"/>
        </w:rPr>
        <w:t>服务周期</w:t>
      </w:r>
      <w:r>
        <w:rPr>
          <w:rFonts w:hint="eastAsia" w:ascii="宋体" w:hAnsi="宋体" w:eastAsia="宋体" w:cs="宋体"/>
          <w:color w:val="auto"/>
          <w:highlight w:val="none"/>
        </w:rPr>
        <w:t>不满足投标人须知1.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.2条的；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B1.3质量要求不满足投标人须知1.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.3条的；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B1.4资质条件、能力和信誉不满足</w:t>
      </w:r>
      <w:r>
        <w:rPr>
          <w:rFonts w:hint="eastAsia" w:ascii="宋体" w:hAnsi="宋体" w:cs="宋体"/>
          <w:color w:val="auto"/>
          <w:highlight w:val="none"/>
          <w:lang w:val="en-US" w:eastAsia="zh-CN"/>
        </w:rPr>
        <w:t>第一章招标公告第3</w:t>
      </w:r>
      <w:r>
        <w:rPr>
          <w:rFonts w:hint="eastAsia" w:ascii="宋体" w:hAnsi="宋体" w:eastAsia="宋体" w:cs="宋体"/>
          <w:color w:val="auto"/>
          <w:highlight w:val="none"/>
        </w:rPr>
        <w:t>条</w:t>
      </w:r>
      <w:r>
        <w:rPr>
          <w:rFonts w:hint="eastAsia" w:ascii="宋体" w:hAnsi="宋体" w:cs="宋体"/>
          <w:color w:val="auto"/>
          <w:highlight w:val="none"/>
          <w:lang w:val="en-US" w:eastAsia="zh-CN"/>
        </w:rPr>
        <w:t>投标人资格要求</w:t>
      </w:r>
      <w:r>
        <w:rPr>
          <w:rFonts w:hint="eastAsia" w:ascii="宋体" w:hAnsi="宋体" w:eastAsia="宋体" w:cs="宋体"/>
          <w:color w:val="auto"/>
          <w:highlight w:val="none"/>
        </w:rPr>
        <w:t>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有投标人须知正文1.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.3条规定的任何一种情形的；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分包未满足投标人须知1.1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条的；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偏离未满足投标人须知1.1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条的；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投标有效期未满足投标人须知3.3.1条的；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资格审查文件未满足投标人须知3.5条的；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B1.1</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投标文件格式未满足投标人须知3.7.1条的；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投标文件签署未满足投标人须知3.7.3条的；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投标报价未满足投标人须知3.2条的；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低于成本报价的；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B1.1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投标报价不满足招标控制价要求的</w:t>
      </w:r>
      <w:r>
        <w:rPr>
          <w:rFonts w:hint="eastAsia" w:ascii="宋体" w:hAnsi="宋体" w:cs="宋体"/>
          <w:color w:val="auto"/>
          <w:highlight w:val="none"/>
          <w:lang w:eastAsia="zh-CN"/>
        </w:rPr>
        <w:t>；</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B1.1</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投标人拒不按照评标委员会要求对投标文件进行澄清、说明、补正的；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B1.1</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投标人在投标文件上电子签章与其他投标人在投标文件上的电子签章相同的；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B1.1</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不同投标人委托同一人投标的；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w:t>
      </w:r>
      <w:r>
        <w:rPr>
          <w:rFonts w:hint="eastAsia" w:ascii="宋体" w:hAnsi="宋体" w:cs="宋体"/>
          <w:color w:val="auto"/>
          <w:highlight w:val="none"/>
          <w:lang w:val="en-US" w:eastAsia="zh-CN"/>
        </w:rPr>
        <w:t>18</w:t>
      </w:r>
      <w:r>
        <w:rPr>
          <w:rFonts w:hint="eastAsia" w:ascii="宋体" w:hAnsi="宋体" w:eastAsia="宋体" w:cs="宋体"/>
          <w:color w:val="auto"/>
          <w:highlight w:val="none"/>
        </w:rPr>
        <w:t>不同投标人的投标文件由同一台电脑编制的；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w:t>
      </w:r>
      <w:r>
        <w:rPr>
          <w:rFonts w:hint="eastAsia" w:ascii="宋体" w:hAnsi="宋体" w:eastAsia="宋体" w:cs="宋体"/>
          <w:color w:val="auto"/>
          <w:highlight w:val="none"/>
          <w:lang w:val="en-US" w:eastAsia="zh-CN"/>
        </w:rPr>
        <w:t>19</w:t>
      </w:r>
      <w:r>
        <w:rPr>
          <w:rFonts w:hint="eastAsia" w:ascii="宋体" w:hAnsi="宋体" w:eastAsia="宋体" w:cs="宋体"/>
          <w:color w:val="auto"/>
          <w:highlight w:val="none"/>
        </w:rPr>
        <w:t>投标文件中各电子标书未加签有效的投标人数字证书（CA）的；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不同投标人的投标文件内容存在非正常一致的；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不同投标人的投标文件错漏之处一致的；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B1.2</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不同投标人的投标报价或者报价组成异常一致或者呈规律性变化的；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B1.2</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不同投标人的投标文件载明的项目管理机构成员出现相同人员的；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内容填写不全或者关键字迹模糊无法辨认的；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扫描件模糊不清无法辨认的；</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rPr>
      </w:pPr>
      <w:r>
        <w:rPr>
          <w:rFonts w:hint="eastAsia" w:ascii="宋体" w:hAnsi="宋体" w:eastAsia="宋体" w:cs="宋体"/>
          <w:color w:val="auto"/>
          <w:highlight w:val="none"/>
        </w:rPr>
        <w:t>B1.2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违反国家、省、市相关法律法规的。</w:t>
      </w:r>
    </w:p>
    <w:p>
      <w:pPr>
        <w:pStyle w:val="2"/>
        <w:ind w:left="0" w:firstLine="0"/>
        <w:jc w:val="center"/>
        <w:rPr>
          <w:rFonts w:hint="eastAsia" w:ascii="黑体" w:hAnsi="黑体" w:eastAsia="黑体" w:cs="黑体"/>
          <w:b/>
          <w:bCs/>
          <w:color w:val="auto"/>
          <w:sz w:val="52"/>
          <w:szCs w:val="52"/>
          <w:highlight w:val="none"/>
          <w:lang w:val="en-US" w:eastAsia="zh-CN"/>
        </w:rPr>
        <w:sectPr>
          <w:pgSz w:w="11906" w:h="16838"/>
          <w:pgMar w:top="1440" w:right="1080" w:bottom="1440" w:left="1080" w:header="1077" w:footer="720" w:gutter="0"/>
          <w:pgBorders>
            <w:top w:val="none" w:sz="0" w:space="0"/>
            <w:left w:val="none" w:sz="0" w:space="0"/>
            <w:bottom w:val="none" w:sz="0" w:space="0"/>
            <w:right w:val="none" w:sz="0" w:space="0"/>
          </w:pgBorders>
          <w:pgNumType w:fmt="decimal" w:chapSep="hyphen"/>
          <w:cols w:space="708" w:num="1"/>
          <w:docGrid w:linePitch="331" w:charSpace="0"/>
        </w:sectPr>
      </w:pPr>
    </w:p>
    <w:p>
      <w:pPr>
        <w:pStyle w:val="2"/>
        <w:ind w:left="0" w:firstLine="0"/>
        <w:jc w:val="center"/>
        <w:rPr>
          <w:rFonts w:hint="eastAsia" w:ascii="宋体" w:hAnsi="宋体" w:eastAsia="宋体" w:cs="Times New Roman"/>
          <w:b/>
          <w:bCs/>
          <w:color w:val="auto"/>
          <w:sz w:val="48"/>
          <w:szCs w:val="48"/>
          <w:highlight w:val="none"/>
        </w:rPr>
      </w:pPr>
      <w:bookmarkStart w:id="462" w:name="_Toc17916"/>
      <w:bookmarkStart w:id="463" w:name="_Toc12050"/>
      <w:r>
        <w:rPr>
          <w:rFonts w:hint="eastAsia" w:ascii="黑体" w:hAnsi="黑体" w:eastAsia="黑体" w:cs="黑体"/>
          <w:b/>
          <w:bCs/>
          <w:color w:val="auto"/>
          <w:sz w:val="52"/>
          <w:szCs w:val="52"/>
          <w:highlight w:val="none"/>
          <w:lang w:val="en-US" w:eastAsia="zh-CN"/>
        </w:rPr>
        <w:t>第四章</w:t>
      </w:r>
      <w:bookmarkStart w:id="464" w:name="_Toc15078"/>
      <w:bookmarkStart w:id="465" w:name="_Toc23025"/>
      <w:r>
        <w:rPr>
          <w:rFonts w:hint="eastAsia" w:ascii="黑体" w:hAnsi="黑体" w:eastAsia="黑体" w:cs="黑体"/>
          <w:b/>
          <w:bCs/>
          <w:color w:val="auto"/>
          <w:sz w:val="52"/>
          <w:szCs w:val="52"/>
          <w:highlight w:val="none"/>
          <w:lang w:val="en-US" w:eastAsia="zh-CN"/>
        </w:rPr>
        <w:t xml:space="preserve"> </w:t>
      </w:r>
      <w:r>
        <w:rPr>
          <w:rFonts w:hint="eastAsia" w:ascii="黑体" w:hAnsi="黑体" w:eastAsia="黑体" w:cs="黑体"/>
          <w:b/>
          <w:bCs/>
          <w:color w:val="auto"/>
          <w:sz w:val="52"/>
          <w:szCs w:val="52"/>
          <w:highlight w:val="none"/>
          <w:lang w:eastAsia="zh-CN"/>
        </w:rPr>
        <w:t>招标内容</w:t>
      </w:r>
      <w:bookmarkEnd w:id="464"/>
      <w:bookmarkEnd w:id="465"/>
      <w:r>
        <w:rPr>
          <w:rFonts w:hint="eastAsia" w:ascii="黑体" w:hAnsi="黑体" w:eastAsia="黑体" w:cs="黑体"/>
          <w:b/>
          <w:bCs/>
          <w:color w:val="auto"/>
          <w:sz w:val="52"/>
          <w:szCs w:val="52"/>
          <w:highlight w:val="none"/>
          <w:lang w:eastAsia="zh-CN"/>
        </w:rPr>
        <w:t>及要求</w:t>
      </w:r>
      <w:bookmarkEnd w:id="389"/>
      <w:bookmarkEnd w:id="390"/>
      <w:bookmarkEnd w:id="391"/>
      <w:bookmarkEnd w:id="462"/>
      <w:bookmarkEnd w:id="463"/>
    </w:p>
    <w:p>
      <w:pPr>
        <w:keepLines w:val="0"/>
        <w:pageBreakBefore w:val="0"/>
        <w:kinsoku/>
        <w:wordWrap/>
        <w:overflowPunct/>
        <w:topLinePunct w:val="0"/>
        <w:autoSpaceDE/>
        <w:autoSpaceDN/>
        <w:bidi w:val="0"/>
        <w:adjustRightInd/>
        <w:snapToGrid/>
        <w:spacing w:after="0" w:line="480" w:lineRule="auto"/>
        <w:ind w:firstLine="424" w:firstLineChars="202"/>
        <w:textAlignment w:val="auto"/>
        <w:outlineLvl w:val="1"/>
        <w:rPr>
          <w:rFonts w:hint="default" w:ascii="宋体" w:hAnsi="宋体" w:eastAsia="宋体" w:cs="宋体"/>
          <w:color w:val="auto"/>
          <w:highlight w:val="none"/>
          <w:lang w:val="en-US" w:eastAsia="zh-CN"/>
        </w:rPr>
      </w:pPr>
      <w:bookmarkStart w:id="466" w:name="_Toc26791"/>
      <w:r>
        <w:rPr>
          <w:rFonts w:hint="eastAsia" w:ascii="黑体" w:hAnsi="黑体" w:eastAsia="黑体" w:cs="黑体"/>
          <w:color w:val="auto"/>
          <w:highlight w:val="none"/>
          <w:lang w:val="en-US" w:eastAsia="zh-CN"/>
        </w:rPr>
        <w:t>一、项目概况</w:t>
      </w:r>
      <w:bookmarkEnd w:id="466"/>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招标内容：完成本项目经营权承包招标的全流程代理服务，包括但不限于：协助招标人编制招标工作方案、起草并审核招标文件、公平竞争审查、发布招标公告、组织投标报名、组织开标评标活动、协助处理质疑与投诉、整理招标归档资料、协助签订承包合同等相关工作。</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2.服务周期：自合同签订之日起至项目招标工作结束，移交全部汇编资料止。</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实施地点：</w:t>
      </w:r>
      <w:r>
        <w:rPr>
          <w:rFonts w:hint="eastAsia" w:ascii="宋体" w:hAnsi="宋体" w:cs="宋体"/>
          <w:b w:val="0"/>
          <w:bCs w:val="0"/>
          <w:color w:val="auto"/>
          <w:kern w:val="0"/>
          <w:sz w:val="21"/>
          <w:szCs w:val="21"/>
          <w:highlight w:val="none"/>
          <w:lang w:val="en-US" w:eastAsia="zh-CN"/>
        </w:rPr>
        <w:t>招标人指定地点（</w:t>
      </w:r>
      <w:r>
        <w:rPr>
          <w:rFonts w:hint="eastAsia" w:ascii="宋体" w:hAnsi="宋体" w:eastAsia="宋体" w:cs="宋体"/>
          <w:b w:val="0"/>
          <w:bCs w:val="0"/>
          <w:color w:val="auto"/>
          <w:kern w:val="0"/>
          <w:sz w:val="21"/>
          <w:szCs w:val="21"/>
          <w:highlight w:val="none"/>
          <w:u w:val="single"/>
          <w:lang w:eastAsia="zh-CN"/>
        </w:rPr>
        <w:t>以招标人通知为准</w:t>
      </w:r>
      <w:r>
        <w:rPr>
          <w:rFonts w:hint="eastAsia" w:ascii="宋体" w:hAnsi="宋体" w:cs="宋体"/>
          <w:b w:val="0"/>
          <w:bCs w:val="0"/>
          <w:color w:val="auto"/>
          <w:kern w:val="0"/>
          <w:sz w:val="21"/>
          <w:szCs w:val="21"/>
          <w:highlight w:val="none"/>
          <w:lang w:val="en-US" w:eastAsia="zh-CN"/>
        </w:rPr>
        <w:t>）</w:t>
      </w:r>
      <w:r>
        <w:rPr>
          <w:rFonts w:hint="eastAsia" w:ascii="宋体" w:hAnsi="宋体" w:eastAsia="宋体" w:cs="宋体"/>
          <w:color w:val="auto"/>
          <w:highlight w:val="none"/>
          <w:lang w:eastAsia="zh-CN"/>
        </w:rPr>
        <w:t>。</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服务质量要求：严格遵守国家</w:t>
      </w:r>
      <w:r>
        <w:rPr>
          <w:rFonts w:hint="eastAsia" w:ascii="宋体" w:hAnsi="宋体" w:cs="宋体"/>
          <w:color w:val="auto"/>
          <w:highlight w:val="none"/>
          <w:lang w:eastAsia="zh-CN"/>
        </w:rPr>
        <w:t>法律法规</w:t>
      </w:r>
      <w:r>
        <w:rPr>
          <w:rFonts w:hint="eastAsia" w:ascii="宋体" w:hAnsi="宋体" w:eastAsia="宋体" w:cs="宋体"/>
          <w:color w:val="auto"/>
          <w:highlight w:val="none"/>
          <w:lang w:eastAsia="zh-CN"/>
        </w:rPr>
        <w:t>和政策，认真践行公开、公平、公正和诚实信用的原则， 自觉维护国家、社会公共利益和招标投标当事人的合法权益。</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5.本项目不接受联合体投标。</w:t>
      </w:r>
    </w:p>
    <w:p>
      <w:pPr>
        <w:keepLines w:val="0"/>
        <w:pageBreakBefore w:val="0"/>
        <w:kinsoku/>
        <w:wordWrap/>
        <w:overflowPunct/>
        <w:topLinePunct w:val="0"/>
        <w:autoSpaceDE/>
        <w:autoSpaceDN/>
        <w:bidi w:val="0"/>
        <w:adjustRightInd/>
        <w:snapToGrid/>
        <w:spacing w:after="0" w:line="480" w:lineRule="auto"/>
        <w:ind w:firstLine="424" w:firstLineChars="202"/>
        <w:textAlignment w:val="auto"/>
        <w:outlineLvl w:val="1"/>
        <w:rPr>
          <w:rFonts w:hint="default" w:ascii="黑体" w:hAnsi="黑体" w:eastAsia="黑体" w:cs="黑体"/>
          <w:color w:val="auto"/>
          <w:highlight w:val="none"/>
          <w:lang w:val="en-US" w:eastAsia="zh-CN"/>
        </w:rPr>
      </w:pPr>
      <w:bookmarkStart w:id="467" w:name="_Toc10765"/>
      <w:r>
        <w:rPr>
          <w:rFonts w:hint="eastAsia" w:ascii="黑体" w:hAnsi="黑体" w:eastAsia="黑体" w:cs="黑体"/>
          <w:color w:val="auto"/>
          <w:highlight w:val="none"/>
          <w:lang w:val="en-US" w:eastAsia="zh-CN"/>
        </w:rPr>
        <w:t>二、管理制度</w:t>
      </w:r>
      <w:bookmarkEnd w:id="467"/>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1.招标代理机构应有健全的组织机构和内部管理的规章制度，明确职责，规范行为。 </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2.招标代理机构应建立完备的招标代理项目管理制度，包括招标代理工作纪律、工作人员岗位管理、招标文件编制及审核管理、档案管理等相关制度，严格履行招标代理合同。</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1"/>
        <w:rPr>
          <w:rFonts w:hint="eastAsia" w:ascii="黑体" w:hAnsi="黑体" w:eastAsia="黑体" w:cs="黑体"/>
          <w:color w:val="auto"/>
          <w:kern w:val="2"/>
          <w:sz w:val="21"/>
          <w:highlight w:val="none"/>
          <w:lang w:val="en-US" w:eastAsia="zh-CN" w:bidi="ar-SA"/>
        </w:rPr>
      </w:pPr>
      <w:bookmarkStart w:id="468" w:name="_Toc11104"/>
      <w:r>
        <w:rPr>
          <w:rFonts w:hint="eastAsia" w:ascii="黑体" w:hAnsi="黑体" w:eastAsia="黑体" w:cs="黑体"/>
          <w:color w:val="auto"/>
          <w:kern w:val="2"/>
          <w:sz w:val="21"/>
          <w:highlight w:val="none"/>
          <w:lang w:val="en-US" w:eastAsia="zh-CN" w:bidi="ar-SA"/>
        </w:rPr>
        <w:t>三、道德要求</w:t>
      </w:r>
      <w:bookmarkEnd w:id="468"/>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default" w:ascii="宋体" w:hAnsi="宋体" w:eastAsia="宋体" w:cs="宋体"/>
          <w:color w:val="auto"/>
          <w:highlight w:val="none"/>
          <w:lang w:val="en-US" w:eastAsia="zh-CN"/>
        </w:rPr>
        <w:t xml:space="preserve">严格遵守职业道德，诚实守信，爱岗敬业，认真履行岗位职责和权利义务。不得泄露应当保密的与招投标活动有关的情况和资料，不得与招标人、投标人串通损害国家利益、社会公共利益或者他人 合法权益。 </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r>
        <w:rPr>
          <w:rFonts w:hint="default" w:ascii="宋体" w:hAnsi="宋体" w:eastAsia="宋体" w:cs="宋体"/>
          <w:color w:val="auto"/>
          <w:highlight w:val="none"/>
          <w:lang w:val="en-US" w:eastAsia="zh-CN"/>
        </w:rPr>
        <w:t xml:space="preserve">廉洁自律，不得利用职务便利谋取私利，不得私下接触投标人，不得收受招投标各方主体的财物或其他好处，不得向招投标市场各方主体行贿，强化廉政风险警示教育。 </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auto"/>
          <w:highlight w:val="none"/>
          <w:lang w:val="en-US" w:eastAsia="zh-CN"/>
        </w:rPr>
        <w:sectPr>
          <w:pgSz w:w="11906" w:h="16838"/>
          <w:pgMar w:top="1440" w:right="1080" w:bottom="1440" w:left="1080" w:header="1077" w:footer="720" w:gutter="0"/>
          <w:pgBorders>
            <w:top w:val="none" w:sz="0" w:space="0"/>
            <w:left w:val="none" w:sz="0" w:space="0"/>
            <w:bottom w:val="none" w:sz="0" w:space="0"/>
            <w:right w:val="none" w:sz="0" w:space="0"/>
          </w:pgBorders>
          <w:pgNumType w:fmt="decimal" w:chapSep="hyphen"/>
          <w:cols w:space="708" w:num="1"/>
          <w:docGrid w:linePitch="331" w:charSpace="0"/>
        </w:sectPr>
      </w:pPr>
    </w:p>
    <w:p>
      <w:pPr>
        <w:pStyle w:val="2"/>
        <w:ind w:left="0" w:firstLine="0"/>
        <w:jc w:val="center"/>
        <w:rPr>
          <w:rFonts w:hint="eastAsia" w:ascii="黑体" w:hAnsi="黑体" w:eastAsia="黑体" w:cs="黑体"/>
          <w:b w:val="0"/>
          <w:color w:val="auto"/>
          <w:kern w:val="0"/>
          <w:sz w:val="52"/>
          <w:szCs w:val="52"/>
          <w:highlight w:val="none"/>
        </w:rPr>
      </w:pPr>
      <w:bookmarkStart w:id="469" w:name="_Toc17770"/>
      <w:bookmarkStart w:id="470" w:name="_Toc1457"/>
      <w:bookmarkStart w:id="471" w:name="_Toc4629"/>
      <w:bookmarkStart w:id="472" w:name="_Toc213141090"/>
      <w:bookmarkStart w:id="473" w:name="_Toc21576"/>
      <w:bookmarkStart w:id="474" w:name="_Toc7914"/>
      <w:bookmarkStart w:id="475" w:name="_Toc26370"/>
      <w:bookmarkStart w:id="476" w:name="_Toc159"/>
      <w:r>
        <w:rPr>
          <w:rFonts w:hint="eastAsia" w:ascii="黑体" w:hAnsi="黑体" w:eastAsia="黑体" w:cs="黑体"/>
          <w:b/>
          <w:bCs/>
          <w:color w:val="auto"/>
          <w:sz w:val="52"/>
          <w:szCs w:val="52"/>
          <w:highlight w:val="none"/>
        </w:rPr>
        <w:t>第</w:t>
      </w:r>
      <w:r>
        <w:rPr>
          <w:rFonts w:hint="eastAsia" w:ascii="黑体" w:hAnsi="黑体" w:eastAsia="黑体" w:cs="黑体"/>
          <w:b/>
          <w:bCs/>
          <w:color w:val="auto"/>
          <w:sz w:val="52"/>
          <w:szCs w:val="52"/>
          <w:highlight w:val="none"/>
          <w:lang w:val="en-US" w:eastAsia="zh-CN"/>
        </w:rPr>
        <w:t>五</w:t>
      </w:r>
      <w:r>
        <w:rPr>
          <w:rFonts w:hint="eastAsia" w:ascii="黑体" w:hAnsi="黑体" w:eastAsia="黑体" w:cs="黑体"/>
          <w:b/>
          <w:bCs/>
          <w:color w:val="auto"/>
          <w:sz w:val="52"/>
          <w:szCs w:val="52"/>
          <w:highlight w:val="none"/>
        </w:rPr>
        <w:t>章 合同格式及主要条款</w:t>
      </w:r>
      <w:bookmarkEnd w:id="469"/>
      <w:bookmarkEnd w:id="470"/>
      <w:bookmarkEnd w:id="471"/>
      <w:bookmarkEnd w:id="472"/>
      <w:bookmarkEnd w:id="473"/>
      <w:bookmarkEnd w:id="474"/>
      <w:bookmarkEnd w:id="475"/>
      <w:bookmarkEnd w:id="476"/>
    </w:p>
    <w:p>
      <w:pPr>
        <w:pStyle w:val="92"/>
        <w:rPr>
          <w:rFonts w:hint="eastAsia" w:ascii="方正小标宋简体" w:hAnsi="方正小标宋简体" w:eastAsia="方正小标宋简体" w:cs="方正小标宋简体"/>
          <w:b w:val="0"/>
          <w:bCs/>
          <w:color w:val="auto"/>
          <w:sz w:val="44"/>
          <w:szCs w:val="44"/>
          <w:highlight w:val="none"/>
          <w:lang w:eastAsia="zh-CN"/>
        </w:rPr>
      </w:pPr>
    </w:p>
    <w:p>
      <w:pPr>
        <w:jc w:val="center"/>
        <w:outlineLvl w:val="9"/>
        <w:rPr>
          <w:rFonts w:hint="default" w:ascii="Times New Roman" w:hAnsi="Times New Roman" w:eastAsia="方正小标宋简体" w:cs="Times New Roman"/>
          <w:b w:val="0"/>
          <w:bCs/>
          <w:color w:val="auto"/>
          <w:sz w:val="48"/>
          <w:szCs w:val="48"/>
          <w:highlight w:val="none"/>
          <w:lang w:val="en-US" w:eastAsia="zh-CN"/>
        </w:rPr>
      </w:pPr>
      <w:r>
        <w:rPr>
          <w:rFonts w:hint="eastAsia" w:ascii="Times New Roman" w:hAnsi="Times New Roman" w:eastAsia="方正小标宋简体" w:cs="Times New Roman"/>
          <w:b w:val="0"/>
          <w:bCs/>
          <w:color w:val="auto"/>
          <w:sz w:val="48"/>
          <w:szCs w:val="48"/>
          <w:highlight w:val="none"/>
          <w:lang w:eastAsia="zh-CN"/>
        </w:rPr>
        <w:t>双江自治县第一完全中学高中部百货店经营权承包项目</w:t>
      </w:r>
      <w:r>
        <w:rPr>
          <w:rFonts w:hint="eastAsia" w:ascii="Times New Roman" w:hAnsi="Times New Roman" w:eastAsia="方正小标宋简体" w:cs="Times New Roman"/>
          <w:b w:val="0"/>
          <w:bCs/>
          <w:color w:val="auto"/>
          <w:sz w:val="48"/>
          <w:szCs w:val="48"/>
          <w:highlight w:val="none"/>
          <w:lang w:val="en-US" w:eastAsia="zh-CN"/>
        </w:rPr>
        <w:t>招标代理合同</w:t>
      </w:r>
    </w:p>
    <w:p>
      <w:pPr>
        <w:jc w:val="center"/>
        <w:outlineLvl w:val="9"/>
        <w:rPr>
          <w:rFonts w:hint="default" w:ascii="Times New Roman" w:hAnsi="Times New Roman" w:cs="Times New Roman"/>
          <w:color w:val="auto"/>
          <w:szCs w:val="32"/>
          <w:highlight w:val="none"/>
        </w:rPr>
      </w:pPr>
    </w:p>
    <w:p>
      <w:pPr>
        <w:jc w:val="center"/>
        <w:outlineLvl w:val="9"/>
        <w:rPr>
          <w:rFonts w:hint="default" w:ascii="Times New Roman" w:hAnsi="Times New Roman" w:cs="Times New Roman"/>
          <w:color w:val="auto"/>
          <w:szCs w:val="32"/>
          <w:highlight w:val="none"/>
        </w:rPr>
      </w:pPr>
    </w:p>
    <w:p>
      <w:pPr>
        <w:jc w:val="center"/>
        <w:outlineLvl w:val="9"/>
        <w:rPr>
          <w:rFonts w:hint="default" w:ascii="Times New Roman" w:hAnsi="Times New Roman" w:cs="Times New Roman"/>
          <w:color w:val="auto"/>
          <w:sz w:val="28"/>
          <w:highlight w:val="none"/>
        </w:rPr>
      </w:pPr>
    </w:p>
    <w:p>
      <w:pPr>
        <w:jc w:val="center"/>
        <w:outlineLvl w:val="9"/>
        <w:rPr>
          <w:rFonts w:hint="default" w:ascii="Times New Roman" w:hAnsi="Times New Roman" w:cs="Times New Roman"/>
          <w:color w:val="auto"/>
          <w:sz w:val="28"/>
          <w:highlight w:val="none"/>
        </w:rPr>
      </w:pPr>
    </w:p>
    <w:p>
      <w:pPr>
        <w:outlineLvl w:val="9"/>
        <w:rPr>
          <w:rFonts w:hint="default" w:ascii="Times New Roman" w:hAnsi="Times New Roman" w:cs="Times New Roman"/>
          <w:b/>
          <w:color w:val="auto"/>
          <w:sz w:val="44"/>
          <w:szCs w:val="44"/>
          <w:highlight w:val="none"/>
        </w:rPr>
      </w:pPr>
    </w:p>
    <w:p>
      <w:pPr>
        <w:pStyle w:val="9"/>
        <w:tabs>
          <w:tab w:val="left" w:pos="750"/>
        </w:tabs>
        <w:rPr>
          <w:rFonts w:hint="default" w:ascii="Times New Roman" w:hAnsi="Times New Roman" w:cs="Times New Roman"/>
          <w:b/>
          <w:color w:val="auto"/>
          <w:sz w:val="44"/>
          <w:szCs w:val="44"/>
          <w:highlight w:val="none"/>
        </w:rPr>
      </w:pPr>
    </w:p>
    <w:p>
      <w:pPr>
        <w:pStyle w:val="9"/>
        <w:tabs>
          <w:tab w:val="left" w:pos="750"/>
        </w:tabs>
        <w:rPr>
          <w:rFonts w:hint="default" w:ascii="Times New Roman" w:hAnsi="Times New Roman" w:cs="Times New Roman"/>
          <w:b/>
          <w:color w:val="auto"/>
          <w:sz w:val="44"/>
          <w:szCs w:val="44"/>
          <w:highlight w:val="none"/>
        </w:rPr>
      </w:pPr>
    </w:p>
    <w:p>
      <w:pPr>
        <w:pStyle w:val="9"/>
        <w:tabs>
          <w:tab w:val="left" w:pos="750"/>
        </w:tabs>
        <w:rPr>
          <w:rFonts w:hint="default" w:ascii="Times New Roman" w:hAnsi="Times New Roman" w:cs="Times New Roman"/>
          <w:b/>
          <w:color w:val="auto"/>
          <w:sz w:val="44"/>
          <w:szCs w:val="44"/>
          <w:highlight w:val="none"/>
        </w:rPr>
      </w:pPr>
    </w:p>
    <w:p>
      <w:pPr>
        <w:spacing w:line="360" w:lineRule="auto"/>
        <w:ind w:firstLine="1606" w:firstLineChars="500"/>
        <w:outlineLvl w:val="9"/>
        <w:rPr>
          <w:rFonts w:hint="default" w:ascii="Times New Roman" w:hAnsi="Times New Roman" w:eastAsia="宋体" w:cs="Times New Roman"/>
          <w:b/>
          <w:bCs/>
          <w:color w:val="auto"/>
          <w:sz w:val="32"/>
          <w:szCs w:val="44"/>
          <w:highlight w:val="none"/>
        </w:rPr>
      </w:pPr>
      <w:r>
        <w:rPr>
          <w:rFonts w:hint="default" w:ascii="Times New Roman" w:hAnsi="Times New Roman" w:eastAsia="宋体" w:cs="Times New Roman"/>
          <w:b/>
          <w:bCs/>
          <w:color w:val="auto"/>
          <w:sz w:val="32"/>
          <w:szCs w:val="44"/>
          <w:highlight w:val="none"/>
        </w:rPr>
        <w:t>签订地点</w:t>
      </w:r>
      <w:r>
        <w:rPr>
          <w:rFonts w:hint="default" w:ascii="Times New Roman" w:hAnsi="Times New Roman" w:eastAsia="宋体" w:cs="Times New Roman"/>
          <w:b/>
          <w:bCs/>
          <w:color w:val="auto"/>
          <w:sz w:val="32"/>
          <w:szCs w:val="44"/>
          <w:highlight w:val="none"/>
          <w:lang w:eastAsia="zh-CN"/>
        </w:rPr>
        <w:t>：</w:t>
      </w:r>
      <w:r>
        <w:rPr>
          <w:rFonts w:hint="default" w:ascii="Times New Roman" w:hAnsi="Times New Roman" w:eastAsia="宋体" w:cs="Times New Roman"/>
          <w:b/>
          <w:bCs/>
          <w:color w:val="auto"/>
          <w:sz w:val="32"/>
          <w:szCs w:val="44"/>
          <w:highlight w:val="none"/>
        </w:rPr>
        <w:t>云南省</w:t>
      </w:r>
      <w:r>
        <w:rPr>
          <w:rFonts w:hint="eastAsia" w:ascii="Times New Roman" w:hAnsi="Times New Roman" w:eastAsia="宋体" w:cs="Times New Roman"/>
          <w:b/>
          <w:bCs/>
          <w:color w:val="auto"/>
          <w:sz w:val="32"/>
          <w:szCs w:val="44"/>
          <w:highlight w:val="none"/>
          <w:lang w:val="en-US" w:eastAsia="zh-CN"/>
        </w:rPr>
        <w:t>临沧</w:t>
      </w:r>
      <w:r>
        <w:rPr>
          <w:rFonts w:hint="default" w:ascii="Times New Roman" w:hAnsi="Times New Roman" w:eastAsia="宋体" w:cs="Times New Roman"/>
          <w:b/>
          <w:bCs/>
          <w:color w:val="auto"/>
          <w:sz w:val="32"/>
          <w:szCs w:val="44"/>
          <w:highlight w:val="none"/>
        </w:rPr>
        <w:t>市</w:t>
      </w:r>
      <w:r>
        <w:rPr>
          <w:rFonts w:hint="eastAsia" w:ascii="Times New Roman" w:hAnsi="Times New Roman" w:eastAsia="宋体" w:cs="Times New Roman"/>
          <w:b/>
          <w:bCs/>
          <w:color w:val="auto"/>
          <w:sz w:val="32"/>
          <w:szCs w:val="44"/>
          <w:highlight w:val="none"/>
          <w:lang w:val="en-US" w:eastAsia="zh-CN"/>
        </w:rPr>
        <w:t>双江</w:t>
      </w:r>
      <w:r>
        <w:rPr>
          <w:rFonts w:hint="eastAsia" w:cs="Times New Roman"/>
          <w:b/>
          <w:bCs/>
          <w:color w:val="auto"/>
          <w:sz w:val="32"/>
          <w:szCs w:val="44"/>
          <w:highlight w:val="none"/>
          <w:lang w:val="en-US" w:eastAsia="zh-CN"/>
        </w:rPr>
        <w:t>自治</w:t>
      </w:r>
      <w:r>
        <w:rPr>
          <w:rFonts w:hint="eastAsia" w:ascii="Times New Roman" w:hAnsi="Times New Roman" w:eastAsia="宋体" w:cs="Times New Roman"/>
          <w:b/>
          <w:bCs/>
          <w:color w:val="auto"/>
          <w:sz w:val="32"/>
          <w:szCs w:val="44"/>
          <w:highlight w:val="none"/>
          <w:lang w:val="en-US" w:eastAsia="zh-CN"/>
        </w:rPr>
        <w:t>县</w:t>
      </w:r>
      <w:r>
        <w:rPr>
          <w:rFonts w:hint="default" w:ascii="Times New Roman" w:hAnsi="Times New Roman" w:eastAsia="宋体" w:cs="Times New Roman"/>
          <w:b/>
          <w:bCs/>
          <w:color w:val="auto"/>
          <w:sz w:val="32"/>
          <w:szCs w:val="44"/>
          <w:highlight w:val="none"/>
        </w:rPr>
        <w:t xml:space="preserve"> </w:t>
      </w:r>
    </w:p>
    <w:p>
      <w:pPr>
        <w:spacing w:line="360" w:lineRule="auto"/>
        <w:ind w:firstLine="1606" w:firstLineChars="500"/>
        <w:outlineLvl w:val="9"/>
        <w:rPr>
          <w:rFonts w:hint="default" w:ascii="Times New Roman" w:hAnsi="Times New Roman" w:eastAsia="宋体" w:cs="Times New Roman"/>
          <w:b/>
          <w:bCs/>
          <w:color w:val="auto"/>
          <w:sz w:val="32"/>
          <w:szCs w:val="44"/>
          <w:highlight w:val="none"/>
        </w:rPr>
      </w:pPr>
      <w:r>
        <w:rPr>
          <w:rFonts w:hint="default" w:ascii="Times New Roman" w:hAnsi="Times New Roman" w:eastAsia="宋体" w:cs="Times New Roman"/>
          <w:b/>
          <w:bCs/>
          <w:color w:val="auto"/>
          <w:sz w:val="32"/>
          <w:szCs w:val="44"/>
          <w:highlight w:val="none"/>
        </w:rPr>
        <w:t>签订日期</w:t>
      </w:r>
      <w:r>
        <w:rPr>
          <w:rFonts w:hint="default" w:ascii="Times New Roman" w:hAnsi="Times New Roman" w:eastAsia="宋体" w:cs="Times New Roman"/>
          <w:b/>
          <w:bCs/>
          <w:color w:val="auto"/>
          <w:sz w:val="32"/>
          <w:szCs w:val="44"/>
          <w:highlight w:val="none"/>
          <w:lang w:eastAsia="zh-CN"/>
        </w:rPr>
        <w:t>：</w:t>
      </w:r>
      <w:r>
        <w:rPr>
          <w:rFonts w:hint="default" w:ascii="Times New Roman" w:hAnsi="Times New Roman" w:eastAsia="宋体" w:cs="Times New Roman"/>
          <w:b/>
          <w:bCs/>
          <w:color w:val="auto"/>
          <w:sz w:val="32"/>
          <w:szCs w:val="44"/>
          <w:highlight w:val="none"/>
        </w:rPr>
        <w:t xml:space="preserve">    年　 月　日 </w:t>
      </w:r>
    </w:p>
    <w:p>
      <w:pPr>
        <w:spacing w:line="360" w:lineRule="auto"/>
        <w:jc w:val="center"/>
        <w:outlineLvl w:val="9"/>
        <w:rPr>
          <w:rFonts w:hint="default" w:ascii="Times New Roman" w:hAnsi="Times New Roman" w:eastAsia="仿宋_GB2312" w:cs="Times New Roman"/>
          <w:color w:val="auto"/>
          <w:sz w:val="32"/>
          <w:szCs w:val="44"/>
          <w:highlight w:val="none"/>
        </w:rPr>
      </w:pPr>
    </w:p>
    <w:p>
      <w:pPr>
        <w:spacing w:line="360" w:lineRule="auto"/>
        <w:ind w:firstLine="1600" w:firstLineChars="500"/>
        <w:outlineLvl w:val="9"/>
        <w:rPr>
          <w:rFonts w:hint="default" w:ascii="Times New Roman" w:hAnsi="Times New Roman" w:eastAsia="仿宋_GB2312" w:cs="Times New Roman"/>
          <w:color w:val="auto"/>
          <w:sz w:val="32"/>
          <w:szCs w:val="44"/>
          <w:highlight w:val="none"/>
        </w:rPr>
        <w:sectPr>
          <w:headerReference r:id="rId14" w:type="default"/>
          <w:footerReference r:id="rId15" w:type="default"/>
          <w:pgSz w:w="11906" w:h="16838"/>
          <w:pgMar w:top="993" w:right="1301" w:bottom="1418" w:left="1418" w:header="851" w:footer="992" w:gutter="0"/>
          <w:pgNumType w:fmt="decimal"/>
          <w:cols w:space="720" w:num="1"/>
          <w:docGrid w:type="lines" w:linePitch="435" w:charSpace="0"/>
        </w:sectPr>
      </w:pPr>
    </w:p>
    <w:p>
      <w:pPr>
        <w:pStyle w:val="8"/>
        <w:tabs>
          <w:tab w:val="left" w:pos="9188"/>
        </w:tabs>
        <w:wordWrap w:val="0"/>
        <w:autoSpaceDN/>
        <w:adjustRightInd w:val="0"/>
        <w:spacing w:before="0" w:line="360" w:lineRule="auto"/>
        <w:ind w:left="5196" w:right="153" w:hanging="3637" w:hangingChars="173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委托人（全称）：</w:t>
      </w:r>
      <w:r>
        <w:rPr>
          <w:rFonts w:hint="eastAsia" w:ascii="宋体" w:hAnsi="宋体" w:eastAsia="宋体" w:cs="宋体"/>
          <w:color w:val="auto"/>
          <w:sz w:val="21"/>
          <w:szCs w:val="21"/>
          <w:highlight w:val="none"/>
          <w:u w:val="single"/>
          <w:lang w:eastAsia="zh-CN"/>
        </w:rPr>
        <w:t xml:space="preserve">                              </w:t>
      </w:r>
    </w:p>
    <w:p>
      <w:pPr>
        <w:pStyle w:val="8"/>
        <w:tabs>
          <w:tab w:val="left" w:pos="9188"/>
        </w:tabs>
        <w:wordWrap w:val="0"/>
        <w:autoSpaceDN/>
        <w:adjustRightInd w:val="0"/>
        <w:spacing w:before="0" w:line="360" w:lineRule="auto"/>
        <w:ind w:left="5196" w:right="153" w:hanging="3637" w:hangingChars="173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受托人（全称）：</w:t>
      </w:r>
      <w:r>
        <w:rPr>
          <w:rFonts w:hint="eastAsia" w:ascii="宋体" w:hAnsi="宋体" w:eastAsia="宋体" w:cs="宋体"/>
          <w:color w:val="auto"/>
          <w:sz w:val="21"/>
          <w:szCs w:val="21"/>
          <w:highlight w:val="none"/>
          <w:u w:val="single"/>
          <w:lang w:eastAsia="zh-CN"/>
        </w:rPr>
        <w:t xml:space="preserve">                              </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依照《中华人民共和国民法典</w:t>
      </w:r>
      <w:r>
        <w:rPr>
          <w:rFonts w:hint="eastAsia" w:ascii="宋体" w:hAnsi="宋体" w:eastAsia="宋体" w:cs="宋体"/>
          <w:color w:val="auto"/>
          <w:spacing w:val="-110"/>
          <w:sz w:val="21"/>
          <w:szCs w:val="21"/>
          <w:highlight w:val="none"/>
          <w:lang w:eastAsia="zh-CN"/>
        </w:rPr>
        <w:t>》</w:t>
      </w:r>
      <w:r>
        <w:rPr>
          <w:rFonts w:hint="eastAsia" w:ascii="宋体" w:hAnsi="宋体" w:eastAsia="宋体" w:cs="宋体"/>
          <w:color w:val="auto"/>
          <w:sz w:val="21"/>
          <w:szCs w:val="21"/>
          <w:highlight w:val="none"/>
          <w:lang w:eastAsia="zh-CN"/>
        </w:rPr>
        <w:t>及国家的有关法律法规、规章及现行政策</w:t>
      </w:r>
      <w:r>
        <w:rPr>
          <w:rFonts w:hint="eastAsia" w:ascii="宋体" w:hAnsi="宋体" w:eastAsia="宋体" w:cs="宋体"/>
          <w:color w:val="auto"/>
          <w:spacing w:val="10"/>
          <w:sz w:val="21"/>
          <w:szCs w:val="21"/>
          <w:highlight w:val="none"/>
          <w:lang w:eastAsia="zh-CN"/>
        </w:rPr>
        <w:t>，遵循平</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pacing w:val="-27"/>
          <w:sz w:val="21"/>
          <w:szCs w:val="21"/>
          <w:highlight w:val="none"/>
          <w:lang w:eastAsia="zh-CN"/>
        </w:rPr>
        <w:t>、</w:t>
      </w:r>
      <w:r>
        <w:rPr>
          <w:rFonts w:hint="eastAsia" w:ascii="宋体" w:hAnsi="宋体" w:eastAsia="宋体" w:cs="宋体"/>
          <w:color w:val="auto"/>
          <w:spacing w:val="10"/>
          <w:sz w:val="21"/>
          <w:szCs w:val="21"/>
          <w:highlight w:val="none"/>
          <w:lang w:eastAsia="zh-CN"/>
        </w:rPr>
        <w:t>自</w:t>
      </w:r>
      <w:r>
        <w:rPr>
          <w:rFonts w:hint="eastAsia" w:ascii="宋体" w:hAnsi="宋体" w:eastAsia="宋体" w:cs="宋体"/>
          <w:color w:val="auto"/>
          <w:sz w:val="21"/>
          <w:szCs w:val="21"/>
          <w:highlight w:val="none"/>
          <w:lang w:eastAsia="zh-CN"/>
        </w:rPr>
        <w:t>愿</w:t>
      </w:r>
      <w:r>
        <w:rPr>
          <w:rFonts w:hint="eastAsia" w:ascii="宋体" w:hAnsi="宋体" w:eastAsia="宋体" w:cs="宋体"/>
          <w:color w:val="auto"/>
          <w:spacing w:val="10"/>
          <w:sz w:val="21"/>
          <w:szCs w:val="21"/>
          <w:highlight w:val="none"/>
          <w:lang w:eastAsia="zh-CN"/>
        </w:rPr>
        <w:t>、公平和诚实信用的原</w:t>
      </w:r>
      <w:r>
        <w:rPr>
          <w:rFonts w:hint="eastAsia" w:ascii="宋体" w:hAnsi="宋体" w:eastAsia="宋体" w:cs="宋体"/>
          <w:color w:val="auto"/>
          <w:sz w:val="21"/>
          <w:szCs w:val="21"/>
          <w:highlight w:val="none"/>
          <w:lang w:eastAsia="zh-CN"/>
        </w:rPr>
        <w:t>则</w:t>
      </w:r>
      <w:r>
        <w:rPr>
          <w:rFonts w:hint="eastAsia" w:ascii="宋体" w:hAnsi="宋体" w:eastAsia="宋体" w:cs="宋体"/>
          <w:color w:val="auto"/>
          <w:spacing w:val="10"/>
          <w:sz w:val="21"/>
          <w:szCs w:val="21"/>
          <w:highlight w:val="none"/>
          <w:lang w:eastAsia="zh-CN"/>
        </w:rPr>
        <w:t>，双方</w:t>
      </w:r>
      <w:r>
        <w:rPr>
          <w:rFonts w:hint="eastAsia" w:ascii="宋体" w:hAnsi="宋体" w:eastAsia="宋体" w:cs="宋体"/>
          <w:color w:val="auto"/>
          <w:sz w:val="21"/>
          <w:szCs w:val="21"/>
          <w:highlight w:val="none"/>
          <w:lang w:eastAsia="zh-CN"/>
        </w:rPr>
        <w:t>就</w:t>
      </w:r>
      <w:r>
        <w:rPr>
          <w:rFonts w:hint="eastAsia" w:ascii="宋体" w:hAnsi="宋体" w:eastAsia="宋体" w:cs="宋体"/>
          <w:color w:val="auto"/>
          <w:sz w:val="21"/>
          <w:szCs w:val="21"/>
          <w:highlight w:val="none"/>
          <w:u w:val="single"/>
          <w:lang w:eastAsia="zh-CN"/>
        </w:rPr>
        <w:t xml:space="preserve">  双江自治县第一完全中学高中部百货店经营权承包项目招标代理机构选取    </w:t>
      </w:r>
      <w:r>
        <w:rPr>
          <w:rFonts w:hint="eastAsia" w:ascii="宋体" w:hAnsi="宋体" w:eastAsia="宋体" w:cs="宋体"/>
          <w:color w:val="auto"/>
          <w:spacing w:val="10"/>
          <w:sz w:val="21"/>
          <w:szCs w:val="21"/>
          <w:highlight w:val="none"/>
          <w:lang w:eastAsia="zh-CN"/>
        </w:rPr>
        <w:t>招标（采购）代理事项协商一</w:t>
      </w:r>
      <w:r>
        <w:rPr>
          <w:rFonts w:hint="eastAsia" w:ascii="宋体" w:hAnsi="宋体" w:eastAsia="宋体" w:cs="宋体"/>
          <w:color w:val="auto"/>
          <w:sz w:val="21"/>
          <w:szCs w:val="21"/>
          <w:highlight w:val="none"/>
          <w:lang w:eastAsia="zh-CN"/>
        </w:rPr>
        <w:t>致，订立本合同。</w:t>
      </w:r>
    </w:p>
    <w:p>
      <w:pPr>
        <w:pStyle w:val="2"/>
        <w:numPr>
          <w:ilvl w:val="0"/>
          <w:numId w:val="0"/>
        </w:numPr>
        <w:tabs>
          <w:tab w:val="clear" w:pos="360"/>
        </w:tabs>
        <w:spacing w:before="120" w:after="240" w:afterLines="100"/>
        <w:ind w:left="284" w:leftChars="0" w:firstLine="422" w:firstLineChars="200"/>
        <w:jc w:val="left"/>
        <w:rPr>
          <w:rFonts w:hint="eastAsia" w:ascii="宋体" w:hAnsi="宋体" w:eastAsia="宋体" w:cs="宋体"/>
          <w:color w:val="auto"/>
          <w:sz w:val="21"/>
          <w:szCs w:val="21"/>
          <w:highlight w:val="none"/>
          <w:lang w:eastAsia="zh-CN"/>
        </w:rPr>
      </w:pPr>
      <w:bookmarkStart w:id="477" w:name="_Toc1205"/>
      <w:r>
        <w:rPr>
          <w:rFonts w:hint="eastAsia" w:ascii="宋体" w:hAnsi="宋体" w:eastAsia="宋体" w:cs="宋体"/>
          <w:color w:val="auto"/>
          <w:sz w:val="21"/>
          <w:szCs w:val="21"/>
          <w:highlight w:val="none"/>
          <w:lang w:eastAsia="zh-CN"/>
        </w:rPr>
        <w:t>一、项目概况</w:t>
      </w:r>
      <w:bookmarkEnd w:id="477"/>
    </w:p>
    <w:p>
      <w:pPr>
        <w:pStyle w:val="8"/>
        <w:tabs>
          <w:tab w:val="left" w:pos="9188"/>
        </w:tabs>
        <w:spacing w:before="122" w:line="360" w:lineRule="auto"/>
        <w:ind w:right="153" w:firstLine="405" w:firstLineChars="193"/>
        <w:jc w:val="both"/>
        <w:rPr>
          <w:rFonts w:hint="eastAsia" w:ascii="宋体" w:hAnsi="宋体" w:eastAsia="宋体" w:cs="宋体"/>
          <w:color w:val="auto"/>
          <w:sz w:val="21"/>
          <w:szCs w:val="21"/>
          <w:highlight w:val="none"/>
          <w:u w:val="single" w:color="231F20"/>
          <w:lang w:eastAsia="zh-CN"/>
        </w:rPr>
      </w:pPr>
      <w:r>
        <w:rPr>
          <w:rFonts w:hint="eastAsia" w:ascii="宋体" w:hAnsi="宋体" w:eastAsia="宋体" w:cs="宋体"/>
          <w:color w:val="auto"/>
          <w:sz w:val="21"/>
          <w:szCs w:val="21"/>
          <w:highlight w:val="none"/>
          <w:lang w:eastAsia="zh-CN"/>
        </w:rPr>
        <w:t>项目名称：</w:t>
      </w:r>
      <w:r>
        <w:rPr>
          <w:rFonts w:hint="eastAsia" w:ascii="宋体" w:hAnsi="宋体" w:eastAsia="宋体" w:cs="宋体"/>
          <w:color w:val="auto"/>
          <w:sz w:val="21"/>
          <w:szCs w:val="21"/>
          <w:highlight w:val="none"/>
          <w:u w:val="single" w:color="231F20"/>
          <w:lang w:eastAsia="zh-CN"/>
        </w:rPr>
        <w:tab/>
      </w:r>
    </w:p>
    <w:p>
      <w:pPr>
        <w:pStyle w:val="8"/>
        <w:tabs>
          <w:tab w:val="left" w:pos="9188"/>
        </w:tabs>
        <w:spacing w:before="122" w:line="360" w:lineRule="auto"/>
        <w:ind w:right="153" w:firstLine="405" w:firstLineChars="193"/>
        <w:jc w:val="both"/>
        <w:rPr>
          <w:rFonts w:hint="eastAsia" w:ascii="宋体" w:hAnsi="宋体" w:eastAsia="宋体" w:cs="宋体"/>
          <w:color w:val="auto"/>
          <w:sz w:val="21"/>
          <w:szCs w:val="21"/>
          <w:highlight w:val="none"/>
          <w:u w:val="single" w:color="231F20"/>
          <w:lang w:eastAsia="zh-CN"/>
        </w:rPr>
      </w:pPr>
      <w:r>
        <w:rPr>
          <w:rFonts w:hint="eastAsia" w:ascii="宋体" w:hAnsi="宋体" w:eastAsia="宋体" w:cs="宋体"/>
          <w:color w:val="auto"/>
          <w:sz w:val="21"/>
          <w:szCs w:val="21"/>
          <w:highlight w:val="none"/>
          <w:lang w:eastAsia="zh-CN"/>
        </w:rPr>
        <w:t>项目地点：</w:t>
      </w:r>
      <w:r>
        <w:rPr>
          <w:rFonts w:hint="eastAsia" w:ascii="宋体" w:hAnsi="宋体" w:eastAsia="宋体" w:cs="宋体"/>
          <w:color w:val="auto"/>
          <w:sz w:val="21"/>
          <w:szCs w:val="21"/>
          <w:highlight w:val="none"/>
          <w:u w:val="single" w:color="231F20"/>
          <w:lang w:eastAsia="zh-CN"/>
        </w:rPr>
        <w:tab/>
      </w:r>
    </w:p>
    <w:p>
      <w:pPr>
        <w:pStyle w:val="8"/>
        <w:tabs>
          <w:tab w:val="left" w:pos="9188"/>
        </w:tabs>
        <w:spacing w:before="122" w:line="360" w:lineRule="auto"/>
        <w:ind w:right="153" w:firstLine="405" w:firstLineChars="193"/>
        <w:jc w:val="both"/>
        <w:rPr>
          <w:rFonts w:hint="eastAsia" w:ascii="宋体" w:hAnsi="宋体" w:eastAsia="宋体" w:cs="宋体"/>
          <w:color w:val="auto"/>
          <w:sz w:val="21"/>
          <w:szCs w:val="21"/>
          <w:highlight w:val="none"/>
          <w:u w:val="single" w:color="231F20"/>
          <w:lang w:eastAsia="zh-CN"/>
        </w:rPr>
      </w:pPr>
      <w:r>
        <w:rPr>
          <w:rFonts w:hint="eastAsia" w:ascii="宋体" w:hAnsi="宋体" w:eastAsia="宋体" w:cs="宋体"/>
          <w:color w:val="auto"/>
          <w:sz w:val="21"/>
          <w:szCs w:val="21"/>
          <w:highlight w:val="none"/>
          <w:lang w:eastAsia="zh-CN"/>
        </w:rPr>
        <w:t>项目规模：</w:t>
      </w:r>
      <w:r>
        <w:rPr>
          <w:rFonts w:hint="eastAsia" w:ascii="宋体" w:hAnsi="宋体" w:eastAsia="宋体" w:cs="宋体"/>
          <w:color w:val="auto"/>
          <w:sz w:val="21"/>
          <w:szCs w:val="21"/>
          <w:highlight w:val="none"/>
          <w:u w:val="single" w:color="231F20"/>
          <w:lang w:eastAsia="zh-CN"/>
        </w:rPr>
        <w:tab/>
      </w:r>
    </w:p>
    <w:p>
      <w:pPr>
        <w:pStyle w:val="8"/>
        <w:tabs>
          <w:tab w:val="left" w:pos="9188"/>
        </w:tabs>
        <w:spacing w:before="122" w:line="360" w:lineRule="auto"/>
        <w:ind w:right="153" w:firstLine="405" w:firstLineChars="193"/>
        <w:jc w:val="both"/>
        <w:rPr>
          <w:rFonts w:hint="eastAsia" w:ascii="宋体" w:hAnsi="宋体" w:eastAsia="宋体" w:cs="宋体"/>
          <w:color w:val="auto"/>
          <w:sz w:val="21"/>
          <w:szCs w:val="21"/>
          <w:highlight w:val="none"/>
          <w:u w:val="single" w:color="231F20"/>
          <w:lang w:eastAsia="zh-CN"/>
        </w:rPr>
      </w:pPr>
      <w:r>
        <w:rPr>
          <w:rFonts w:hint="eastAsia" w:ascii="宋体" w:hAnsi="宋体" w:eastAsia="宋体" w:cs="宋体"/>
          <w:color w:val="auto"/>
          <w:sz w:val="21"/>
          <w:szCs w:val="21"/>
          <w:highlight w:val="none"/>
          <w:lang w:eastAsia="zh-CN"/>
        </w:rPr>
        <w:t>投资估算：</w:t>
      </w:r>
      <w:r>
        <w:rPr>
          <w:rFonts w:hint="eastAsia" w:ascii="宋体" w:hAnsi="宋体" w:eastAsia="宋体" w:cs="宋体"/>
          <w:color w:val="auto"/>
          <w:sz w:val="21"/>
          <w:szCs w:val="21"/>
          <w:highlight w:val="none"/>
          <w:u w:val="single" w:color="231F20"/>
          <w:lang w:eastAsia="zh-CN"/>
        </w:rPr>
        <w:tab/>
      </w:r>
    </w:p>
    <w:p>
      <w:pPr>
        <w:pStyle w:val="2"/>
        <w:numPr>
          <w:ilvl w:val="0"/>
          <w:numId w:val="0"/>
        </w:numPr>
        <w:tabs>
          <w:tab w:val="clear" w:pos="360"/>
        </w:tabs>
        <w:spacing w:before="120" w:after="240" w:afterLines="100"/>
        <w:ind w:left="284" w:leftChars="0" w:firstLine="422" w:firstLineChars="200"/>
        <w:jc w:val="left"/>
        <w:rPr>
          <w:rFonts w:hint="eastAsia" w:ascii="宋体" w:hAnsi="宋体" w:eastAsia="宋体" w:cs="宋体"/>
          <w:color w:val="auto"/>
          <w:sz w:val="21"/>
          <w:szCs w:val="21"/>
          <w:highlight w:val="none"/>
          <w:lang w:eastAsia="zh-CN"/>
        </w:rPr>
      </w:pPr>
      <w:bookmarkStart w:id="478" w:name="_Toc19332"/>
      <w:r>
        <w:rPr>
          <w:rFonts w:hint="eastAsia" w:ascii="宋体" w:hAnsi="宋体" w:eastAsia="宋体" w:cs="宋体"/>
          <w:color w:val="auto"/>
          <w:sz w:val="21"/>
          <w:szCs w:val="21"/>
          <w:highlight w:val="none"/>
          <w:lang w:eastAsia="zh-CN"/>
        </w:rPr>
        <w:t>二、服务期限及内容</w:t>
      </w:r>
      <w:bookmarkEnd w:id="478"/>
    </w:p>
    <w:p>
      <w:pPr>
        <w:pStyle w:val="8"/>
        <w:tabs>
          <w:tab w:val="left" w:pos="9188"/>
        </w:tabs>
        <w:wordWrap w:val="0"/>
        <w:autoSpaceDN/>
        <w:adjustRightInd w:val="0"/>
        <w:spacing w:before="122"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（一）本合同服务期限为：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utoSpaceDN/>
        <w:adjustRightInd w:val="0"/>
        <w:spacing w:before="122" w:line="360" w:lineRule="auto"/>
        <w:ind w:right="153" w:firstLine="405" w:firstLineChars="193"/>
        <w:jc w:val="both"/>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（二）合同委托类型：□年度委托  </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单项委托  □其他：</w:t>
      </w:r>
      <w:r>
        <w:rPr>
          <w:rFonts w:hint="eastAsia" w:ascii="宋体" w:hAnsi="宋体" w:eastAsia="宋体" w:cs="宋体"/>
          <w:color w:val="auto"/>
          <w:sz w:val="21"/>
          <w:szCs w:val="21"/>
          <w:highlight w:val="none"/>
          <w:u w:val="single"/>
          <w:lang w:eastAsia="zh-CN"/>
        </w:rPr>
        <w:t xml:space="preserve">     </w:t>
      </w:r>
    </w:p>
    <w:p>
      <w:pPr>
        <w:pStyle w:val="8"/>
        <w:tabs>
          <w:tab w:val="left" w:pos="9188"/>
        </w:tabs>
        <w:wordWrap w:val="0"/>
        <w:autoSpaceDN/>
        <w:adjustRightInd w:val="0"/>
        <w:spacing w:before="122"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（三）委托招标（采购）代理工作的具体范围和内容：</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拟订招标（采购）方案；</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编制资格预审文件（适用于进行资格预审的项目）；</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发布资格预审公告（适用于进行资格预审的项目）；提供资格预审文件（适用于进行资格预审的项目）；对资格预审文件进行必要的澄清、修改、补充或调整（适用于进行资格预审的项目）；</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接收资格预审申请文件（适用于进行资格预审的项目）；组织资格审查（适用于进行资格预审的项目）；通知资格审查结果（适用于进行资格预审的项目）；</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编制招标（采购）文件；</w:t>
      </w:r>
    </w:p>
    <w:p>
      <w:pPr>
        <w:pStyle w:val="8"/>
        <w:tabs>
          <w:tab w:val="left" w:pos="9188"/>
        </w:tabs>
        <w:wordWrap w:val="0"/>
        <w:autoSpaceDN/>
        <w:adjustRightInd w:val="0"/>
        <w:spacing w:line="360" w:lineRule="auto"/>
        <w:ind w:right="153" w:firstLine="403" w:firstLineChars="192"/>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发布招标（采购）公告或发出招标（采购）邀请书；</w:t>
      </w:r>
    </w:p>
    <w:p>
      <w:pPr>
        <w:pStyle w:val="8"/>
        <w:tabs>
          <w:tab w:val="left" w:pos="9188"/>
        </w:tabs>
        <w:wordWrap w:val="0"/>
        <w:autoSpaceDN/>
        <w:adjustRightInd w:val="0"/>
        <w:spacing w:line="360" w:lineRule="auto"/>
        <w:ind w:right="153" w:firstLine="403" w:firstLineChars="192"/>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提供招标（采购）文件；</w:t>
      </w:r>
    </w:p>
    <w:p>
      <w:pPr>
        <w:pStyle w:val="8"/>
        <w:tabs>
          <w:tab w:val="left" w:pos="9188"/>
        </w:tabs>
        <w:wordWrap w:val="0"/>
        <w:autoSpaceDN/>
        <w:adjustRightInd w:val="0"/>
        <w:spacing w:line="360" w:lineRule="auto"/>
        <w:ind w:right="153" w:firstLine="403" w:firstLineChars="192"/>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组织潜在投标人（供应商）踏勘现场（如果需要）；组织召开投标预备会（如果需要）；</w:t>
      </w:r>
    </w:p>
    <w:p>
      <w:pPr>
        <w:pStyle w:val="8"/>
        <w:tabs>
          <w:tab w:val="left" w:pos="9188"/>
        </w:tabs>
        <w:wordWrap w:val="0"/>
        <w:autoSpaceDN/>
        <w:adjustRightInd w:val="0"/>
        <w:spacing w:line="360" w:lineRule="auto"/>
        <w:ind w:right="153" w:firstLine="403" w:firstLineChars="192"/>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对招标（采购）文件进行澄清与修改；</w:t>
      </w:r>
    </w:p>
    <w:p>
      <w:pPr>
        <w:pStyle w:val="8"/>
        <w:tabs>
          <w:tab w:val="left" w:pos="9188"/>
        </w:tabs>
        <w:wordWrap w:val="0"/>
        <w:autoSpaceDN/>
        <w:adjustRightInd w:val="0"/>
        <w:spacing w:line="360" w:lineRule="auto"/>
        <w:ind w:right="153" w:firstLine="403" w:firstLineChars="19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代收及退还投标保证金（或其他采购方式的保证金）；</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接收投标文件（投标文件）；组织开标；组织评审；</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发布中标（成交）候选人公示；协助定标；发出中标（成交）结果；</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协助签订合同；</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编制招标（采购）情况报告；</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招标（采购）资料收集及移交；</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协助处理异议或投诉；</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项目验收。</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附加服务：</w:t>
      </w:r>
    </w:p>
    <w:p>
      <w:pPr>
        <w:pStyle w:val="8"/>
        <w:tabs>
          <w:tab w:val="left" w:pos="9188"/>
        </w:tabs>
        <w:wordWrap w:val="0"/>
        <w:autoSpaceDN/>
        <w:adjustRightInd w:val="0"/>
        <w:spacing w:line="360" w:lineRule="auto"/>
        <w:ind w:right="153" w:firstLine="743" w:firstLineChars="354"/>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合同咨询；</w:t>
      </w:r>
    </w:p>
    <w:p>
      <w:pPr>
        <w:pStyle w:val="8"/>
        <w:tabs>
          <w:tab w:val="left" w:pos="9188"/>
        </w:tabs>
        <w:wordWrap w:val="0"/>
        <w:autoSpaceDN/>
        <w:adjustRightInd w:val="0"/>
        <w:spacing w:line="360" w:lineRule="auto"/>
        <w:ind w:right="153" w:firstLine="743" w:firstLineChars="354"/>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编制工程量清单；</w:t>
      </w:r>
    </w:p>
    <w:p>
      <w:pPr>
        <w:pStyle w:val="8"/>
        <w:tabs>
          <w:tab w:val="left" w:pos="9188"/>
        </w:tabs>
        <w:wordWrap w:val="0"/>
        <w:autoSpaceDN/>
        <w:adjustRightInd w:val="0"/>
        <w:spacing w:line="360" w:lineRule="auto"/>
        <w:ind w:right="153" w:firstLine="743" w:firstLineChars="354"/>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编制标底或招标控制价或最高投标限价；</w:t>
      </w:r>
    </w:p>
    <w:p>
      <w:pPr>
        <w:pStyle w:val="8"/>
        <w:tabs>
          <w:tab w:val="left" w:pos="9188"/>
        </w:tabs>
        <w:wordWrap w:val="0"/>
        <w:autoSpaceDN/>
        <w:adjustRightInd w:val="0"/>
        <w:spacing w:line="360" w:lineRule="auto"/>
        <w:ind w:right="153" w:firstLine="743" w:firstLineChars="354"/>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开展招标（采购）需求调查；</w:t>
      </w:r>
    </w:p>
    <w:p>
      <w:pPr>
        <w:pStyle w:val="8"/>
        <w:tabs>
          <w:tab w:val="left" w:pos="9188"/>
        </w:tabs>
        <w:wordWrap w:val="0"/>
        <w:autoSpaceDN/>
        <w:adjustRightInd w:val="0"/>
        <w:spacing w:line="360" w:lineRule="auto"/>
        <w:ind w:right="153" w:firstLine="743" w:firstLineChars="354"/>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组织相关论证；</w:t>
      </w:r>
    </w:p>
    <w:p>
      <w:pPr>
        <w:pStyle w:val="8"/>
        <w:tabs>
          <w:tab w:val="left" w:pos="9188"/>
        </w:tabs>
        <w:wordWrap w:val="0"/>
        <w:autoSpaceDN/>
        <w:adjustRightInd w:val="0"/>
        <w:spacing w:line="360" w:lineRule="auto"/>
        <w:ind w:right="153" w:firstLine="743" w:firstLineChars="354"/>
        <w:jc w:val="both"/>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其他：</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2"/>
        <w:numPr>
          <w:ilvl w:val="0"/>
          <w:numId w:val="0"/>
        </w:numPr>
        <w:tabs>
          <w:tab w:val="clear" w:pos="360"/>
        </w:tabs>
        <w:spacing w:before="120" w:after="240" w:afterLines="100"/>
        <w:ind w:left="284" w:leftChars="0" w:firstLine="422" w:firstLineChars="200"/>
        <w:jc w:val="left"/>
        <w:rPr>
          <w:rFonts w:hint="eastAsia" w:ascii="宋体" w:hAnsi="宋体" w:eastAsia="宋体" w:cs="宋体"/>
          <w:color w:val="auto"/>
          <w:sz w:val="21"/>
          <w:szCs w:val="21"/>
          <w:highlight w:val="none"/>
          <w:lang w:eastAsia="zh-CN"/>
        </w:rPr>
      </w:pPr>
      <w:bookmarkStart w:id="479" w:name="_Toc8789"/>
      <w:r>
        <w:rPr>
          <w:rFonts w:hint="eastAsia" w:ascii="宋体" w:hAnsi="宋体" w:eastAsia="宋体" w:cs="宋体"/>
          <w:color w:val="auto"/>
          <w:sz w:val="21"/>
          <w:szCs w:val="21"/>
          <w:highlight w:val="none"/>
          <w:lang w:eastAsia="zh-CN"/>
        </w:rPr>
        <w:t>三、适用法律</w:t>
      </w:r>
      <w:bookmarkEnd w:id="479"/>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本合同文件适用有关法律法规、规章及现行政策。需要明示的法律法规、规章及现行政策：</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2"/>
        <w:numPr>
          <w:ilvl w:val="0"/>
          <w:numId w:val="0"/>
        </w:numPr>
        <w:tabs>
          <w:tab w:val="clear" w:pos="360"/>
        </w:tabs>
        <w:spacing w:before="120" w:after="240" w:afterLines="100"/>
        <w:ind w:left="284" w:leftChars="0" w:firstLine="422" w:firstLineChars="200"/>
        <w:jc w:val="left"/>
        <w:rPr>
          <w:rFonts w:hint="eastAsia" w:ascii="宋体" w:hAnsi="宋体" w:eastAsia="宋体" w:cs="宋体"/>
          <w:color w:val="auto"/>
          <w:sz w:val="21"/>
          <w:szCs w:val="21"/>
          <w:highlight w:val="none"/>
          <w:lang w:eastAsia="zh-CN"/>
        </w:rPr>
      </w:pPr>
      <w:bookmarkStart w:id="480" w:name="_Toc15190"/>
      <w:r>
        <w:rPr>
          <w:rFonts w:hint="eastAsia" w:ascii="宋体" w:hAnsi="宋体" w:eastAsia="宋体" w:cs="宋体"/>
          <w:color w:val="auto"/>
          <w:sz w:val="21"/>
          <w:szCs w:val="21"/>
          <w:highlight w:val="none"/>
          <w:lang w:eastAsia="zh-CN"/>
        </w:rPr>
        <w:t>四、委托人代表与受托人项目组</w:t>
      </w:r>
      <w:bookmarkEnd w:id="480"/>
    </w:p>
    <w:p>
      <w:pPr>
        <w:pStyle w:val="8"/>
        <w:tabs>
          <w:tab w:val="left" w:pos="9188"/>
        </w:tabs>
        <w:wordWrap w:val="0"/>
        <w:autoSpaceDN/>
        <w:adjustRightInd w:val="0"/>
        <w:spacing w:before="122"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（一）委托人指定的与受托人联系的人员</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姓    名：</w:t>
      </w:r>
      <w:r>
        <w:rPr>
          <w:rFonts w:hint="eastAsia" w:ascii="宋体" w:hAnsi="宋体" w:eastAsia="宋体" w:cs="宋体"/>
          <w:color w:val="auto"/>
          <w:sz w:val="21"/>
          <w:szCs w:val="21"/>
          <w:highlight w:val="none"/>
          <w:u w:val="single"/>
          <w:lang w:eastAsia="zh-CN"/>
        </w:rPr>
        <w:t xml:space="preserve">                             </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身份证号：</w:t>
      </w:r>
      <w:r>
        <w:rPr>
          <w:rFonts w:hint="eastAsia" w:ascii="宋体" w:hAnsi="宋体" w:eastAsia="宋体" w:cs="宋体"/>
          <w:color w:val="auto"/>
          <w:sz w:val="21"/>
          <w:szCs w:val="21"/>
          <w:highlight w:val="none"/>
          <w:u w:val="single"/>
          <w:lang w:eastAsia="zh-CN"/>
        </w:rPr>
        <w:t xml:space="preserve">                             </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职    务：</w:t>
      </w:r>
      <w:r>
        <w:rPr>
          <w:rFonts w:hint="eastAsia" w:ascii="宋体" w:hAnsi="宋体" w:eastAsia="宋体" w:cs="宋体"/>
          <w:color w:val="auto"/>
          <w:sz w:val="21"/>
          <w:szCs w:val="21"/>
          <w:highlight w:val="none"/>
          <w:u w:val="single"/>
          <w:lang w:eastAsia="zh-CN"/>
        </w:rPr>
        <w:t xml:space="preserve">                             </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电    话：</w:t>
      </w:r>
      <w:r>
        <w:rPr>
          <w:rFonts w:hint="eastAsia" w:ascii="宋体" w:hAnsi="宋体" w:eastAsia="宋体" w:cs="宋体"/>
          <w:color w:val="auto"/>
          <w:sz w:val="21"/>
          <w:szCs w:val="21"/>
          <w:highlight w:val="none"/>
          <w:u w:val="single"/>
          <w:lang w:eastAsia="zh-CN"/>
        </w:rPr>
        <w:t xml:space="preserve">                             </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（二）受托人应根据本合同约定的委托招标（采购）代理业务的工作范围和内容，选派有丰富经验的受雇于受托人的专职工作人员担任招标（采购）代理项目负责人及项目组成员。</w:t>
      </w:r>
    </w:p>
    <w:tbl>
      <w:tblPr>
        <w:tblStyle w:val="37"/>
        <w:tblW w:w="963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560"/>
        <w:gridCol w:w="1417"/>
        <w:gridCol w:w="1357"/>
        <w:gridCol w:w="1599"/>
        <w:gridCol w:w="1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vAlign w:val="center"/>
          </w:tcPr>
          <w:p>
            <w:pPr>
              <w:pStyle w:val="8"/>
              <w:tabs>
                <w:tab w:val="left" w:pos="9188"/>
              </w:tabs>
              <w:autoSpaceDN/>
              <w:adjustRightInd w:val="0"/>
              <w:spacing w:before="0" w:line="360" w:lineRule="auto"/>
              <w:ind w:right="153"/>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序号</w:t>
            </w:r>
          </w:p>
        </w:tc>
        <w:tc>
          <w:tcPr>
            <w:tcW w:w="1134" w:type="dxa"/>
            <w:vAlign w:val="center"/>
          </w:tcPr>
          <w:p>
            <w:pPr>
              <w:pStyle w:val="8"/>
              <w:tabs>
                <w:tab w:val="left" w:pos="9188"/>
              </w:tabs>
              <w:wordWrap w:val="0"/>
              <w:autoSpaceDN/>
              <w:adjustRightInd w:val="0"/>
              <w:spacing w:before="0" w:line="360" w:lineRule="auto"/>
              <w:ind w:right="153"/>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姓名</w:t>
            </w:r>
          </w:p>
        </w:tc>
        <w:tc>
          <w:tcPr>
            <w:tcW w:w="1560" w:type="dxa"/>
            <w:vAlign w:val="center"/>
          </w:tcPr>
          <w:p>
            <w:pPr>
              <w:pStyle w:val="8"/>
              <w:tabs>
                <w:tab w:val="left" w:pos="9188"/>
              </w:tabs>
              <w:wordWrap w:val="0"/>
              <w:autoSpaceDN/>
              <w:adjustRightInd w:val="0"/>
              <w:spacing w:before="0" w:line="360" w:lineRule="auto"/>
              <w:ind w:right="153"/>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拟派职务</w:t>
            </w:r>
          </w:p>
        </w:tc>
        <w:tc>
          <w:tcPr>
            <w:tcW w:w="1417" w:type="dxa"/>
            <w:vAlign w:val="center"/>
          </w:tcPr>
          <w:p>
            <w:pPr>
              <w:pStyle w:val="8"/>
              <w:tabs>
                <w:tab w:val="left" w:pos="9188"/>
              </w:tabs>
              <w:wordWrap w:val="0"/>
              <w:autoSpaceDN/>
              <w:adjustRightInd w:val="0"/>
              <w:spacing w:before="0" w:line="360" w:lineRule="auto"/>
              <w:ind w:right="153"/>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身份证号</w:t>
            </w:r>
          </w:p>
        </w:tc>
        <w:tc>
          <w:tcPr>
            <w:tcW w:w="1357" w:type="dxa"/>
            <w:vAlign w:val="center"/>
          </w:tcPr>
          <w:p>
            <w:pPr>
              <w:pStyle w:val="8"/>
              <w:tabs>
                <w:tab w:val="left" w:pos="9188"/>
              </w:tabs>
              <w:wordWrap w:val="0"/>
              <w:autoSpaceDN/>
              <w:adjustRightInd w:val="0"/>
              <w:spacing w:before="0" w:line="360" w:lineRule="auto"/>
              <w:ind w:right="153"/>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联系电话</w:t>
            </w:r>
          </w:p>
        </w:tc>
        <w:tc>
          <w:tcPr>
            <w:tcW w:w="1599" w:type="dxa"/>
            <w:vAlign w:val="center"/>
          </w:tcPr>
          <w:p>
            <w:pPr>
              <w:pStyle w:val="8"/>
              <w:tabs>
                <w:tab w:val="left" w:pos="9188"/>
              </w:tabs>
              <w:wordWrap w:val="0"/>
              <w:autoSpaceDN/>
              <w:adjustRightInd w:val="0"/>
              <w:spacing w:before="0"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从业人员培训合格证</w:t>
            </w:r>
          </w:p>
          <w:p>
            <w:pPr>
              <w:pStyle w:val="8"/>
              <w:tabs>
                <w:tab w:val="left" w:pos="9188"/>
              </w:tabs>
              <w:wordWrap w:val="0"/>
              <w:autoSpaceDN/>
              <w:adjustRightInd w:val="0"/>
              <w:spacing w:before="0"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证书编号</w:t>
            </w:r>
          </w:p>
        </w:tc>
        <w:tc>
          <w:tcPr>
            <w:tcW w:w="1580" w:type="dxa"/>
            <w:vAlign w:val="center"/>
          </w:tcPr>
          <w:p>
            <w:pPr>
              <w:pStyle w:val="8"/>
              <w:tabs>
                <w:tab w:val="left" w:pos="9188"/>
              </w:tabs>
              <w:wordWrap w:val="0"/>
              <w:autoSpaceDN/>
              <w:adjustRightInd w:val="0"/>
              <w:spacing w:before="0" w:line="360" w:lineRule="auto"/>
              <w:ind w:right="153"/>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证书有效期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vAlign w:val="center"/>
          </w:tcPr>
          <w:p>
            <w:pPr>
              <w:pStyle w:val="8"/>
              <w:tabs>
                <w:tab w:val="left" w:pos="9188"/>
              </w:tabs>
              <w:autoSpaceDN/>
              <w:adjustRightInd w:val="0"/>
              <w:spacing w:before="0" w:line="360" w:lineRule="auto"/>
              <w:ind w:right="153"/>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p>
        </w:tc>
        <w:tc>
          <w:tcPr>
            <w:tcW w:w="1134" w:type="dxa"/>
            <w:vAlign w:val="center"/>
          </w:tcPr>
          <w:p>
            <w:pPr>
              <w:pStyle w:val="8"/>
              <w:tabs>
                <w:tab w:val="left" w:pos="9188"/>
              </w:tabs>
              <w:autoSpaceDN/>
              <w:adjustRightInd w:val="0"/>
              <w:spacing w:before="0" w:line="360" w:lineRule="auto"/>
              <w:ind w:right="153"/>
              <w:rPr>
                <w:rFonts w:hint="eastAsia" w:ascii="宋体" w:hAnsi="宋体" w:eastAsia="宋体" w:cs="宋体"/>
                <w:color w:val="auto"/>
                <w:sz w:val="21"/>
                <w:szCs w:val="21"/>
                <w:highlight w:val="none"/>
                <w:lang w:eastAsia="zh-CN"/>
              </w:rPr>
            </w:pPr>
          </w:p>
        </w:tc>
        <w:tc>
          <w:tcPr>
            <w:tcW w:w="1560" w:type="dxa"/>
            <w:vAlign w:val="center"/>
          </w:tcPr>
          <w:p>
            <w:pPr>
              <w:pStyle w:val="8"/>
              <w:tabs>
                <w:tab w:val="left" w:pos="9188"/>
              </w:tabs>
              <w:autoSpaceDN/>
              <w:adjustRightInd w:val="0"/>
              <w:spacing w:before="0" w:line="360" w:lineRule="auto"/>
              <w:ind w:right="3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项目负责人</w:t>
            </w:r>
          </w:p>
        </w:tc>
        <w:tc>
          <w:tcPr>
            <w:tcW w:w="1417" w:type="dxa"/>
            <w:vAlign w:val="center"/>
          </w:tcPr>
          <w:p>
            <w:pPr>
              <w:pStyle w:val="8"/>
              <w:tabs>
                <w:tab w:val="left" w:pos="9188"/>
              </w:tabs>
              <w:wordWrap w:val="0"/>
              <w:autoSpaceDN/>
              <w:adjustRightInd w:val="0"/>
              <w:spacing w:before="0" w:line="360" w:lineRule="auto"/>
              <w:ind w:right="153"/>
              <w:rPr>
                <w:rFonts w:hint="eastAsia" w:ascii="宋体" w:hAnsi="宋体" w:eastAsia="宋体" w:cs="宋体"/>
                <w:color w:val="auto"/>
                <w:sz w:val="21"/>
                <w:szCs w:val="21"/>
                <w:highlight w:val="none"/>
                <w:lang w:eastAsia="zh-CN"/>
              </w:rPr>
            </w:pPr>
          </w:p>
        </w:tc>
        <w:tc>
          <w:tcPr>
            <w:tcW w:w="1357" w:type="dxa"/>
            <w:vAlign w:val="center"/>
          </w:tcPr>
          <w:p>
            <w:pPr>
              <w:pStyle w:val="8"/>
              <w:tabs>
                <w:tab w:val="left" w:pos="9188"/>
              </w:tabs>
              <w:wordWrap w:val="0"/>
              <w:autoSpaceDN/>
              <w:adjustRightInd w:val="0"/>
              <w:spacing w:before="0" w:line="360" w:lineRule="auto"/>
              <w:ind w:right="153"/>
              <w:rPr>
                <w:rFonts w:hint="eastAsia" w:ascii="宋体" w:hAnsi="宋体" w:eastAsia="宋体" w:cs="宋体"/>
                <w:color w:val="auto"/>
                <w:sz w:val="21"/>
                <w:szCs w:val="21"/>
                <w:highlight w:val="none"/>
                <w:lang w:eastAsia="zh-CN"/>
              </w:rPr>
            </w:pPr>
          </w:p>
        </w:tc>
        <w:tc>
          <w:tcPr>
            <w:tcW w:w="1599" w:type="dxa"/>
            <w:vAlign w:val="center"/>
          </w:tcPr>
          <w:p>
            <w:pPr>
              <w:pStyle w:val="8"/>
              <w:tabs>
                <w:tab w:val="left" w:pos="9188"/>
              </w:tabs>
              <w:wordWrap w:val="0"/>
              <w:autoSpaceDN/>
              <w:adjustRightInd w:val="0"/>
              <w:spacing w:before="0" w:line="360" w:lineRule="auto"/>
              <w:ind w:right="153"/>
              <w:rPr>
                <w:rFonts w:hint="eastAsia" w:ascii="宋体" w:hAnsi="宋体" w:eastAsia="宋体" w:cs="宋体"/>
                <w:color w:val="auto"/>
                <w:sz w:val="21"/>
                <w:szCs w:val="21"/>
                <w:highlight w:val="none"/>
                <w:lang w:eastAsia="zh-CN"/>
              </w:rPr>
            </w:pPr>
          </w:p>
        </w:tc>
        <w:tc>
          <w:tcPr>
            <w:tcW w:w="1580" w:type="dxa"/>
            <w:vAlign w:val="center"/>
          </w:tcPr>
          <w:p>
            <w:pPr>
              <w:pStyle w:val="8"/>
              <w:tabs>
                <w:tab w:val="left" w:pos="9188"/>
              </w:tabs>
              <w:wordWrap w:val="0"/>
              <w:autoSpaceDN/>
              <w:adjustRightInd w:val="0"/>
              <w:spacing w:before="0" w:line="360" w:lineRule="auto"/>
              <w:ind w:right="153"/>
              <w:rPr>
                <w:rFonts w:hint="eastAsia" w:ascii="宋体" w:hAnsi="宋体" w:eastAsia="宋体" w:cs="宋体"/>
                <w:color w:val="auto"/>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88" w:type="dxa"/>
            <w:vAlign w:val="center"/>
          </w:tcPr>
          <w:p>
            <w:pPr>
              <w:pStyle w:val="8"/>
              <w:tabs>
                <w:tab w:val="left" w:pos="9188"/>
              </w:tabs>
              <w:wordWrap w:val="0"/>
              <w:autoSpaceDN/>
              <w:adjustRightInd w:val="0"/>
              <w:spacing w:before="0" w:line="360" w:lineRule="auto"/>
              <w:ind w:right="153"/>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p>
        </w:tc>
        <w:tc>
          <w:tcPr>
            <w:tcW w:w="1134" w:type="dxa"/>
            <w:vAlign w:val="center"/>
          </w:tcPr>
          <w:p>
            <w:pPr>
              <w:pStyle w:val="8"/>
              <w:tabs>
                <w:tab w:val="left" w:pos="9188"/>
              </w:tabs>
              <w:wordWrap w:val="0"/>
              <w:autoSpaceDN/>
              <w:adjustRightInd w:val="0"/>
              <w:spacing w:before="0" w:line="360" w:lineRule="auto"/>
              <w:ind w:right="153"/>
              <w:rPr>
                <w:rFonts w:hint="eastAsia" w:ascii="宋体" w:hAnsi="宋体" w:eastAsia="宋体" w:cs="宋体"/>
                <w:color w:val="auto"/>
                <w:sz w:val="21"/>
                <w:szCs w:val="21"/>
                <w:highlight w:val="none"/>
                <w:lang w:eastAsia="zh-CN"/>
              </w:rPr>
            </w:pPr>
          </w:p>
        </w:tc>
        <w:tc>
          <w:tcPr>
            <w:tcW w:w="1560" w:type="dxa"/>
            <w:vAlign w:val="center"/>
          </w:tcPr>
          <w:p>
            <w:pPr>
              <w:pStyle w:val="8"/>
              <w:tabs>
                <w:tab w:val="left" w:pos="9188"/>
              </w:tabs>
              <w:wordWrap w:val="0"/>
              <w:autoSpaceDN/>
              <w:adjustRightInd w:val="0"/>
              <w:spacing w:before="0" w:line="360" w:lineRule="auto"/>
              <w:ind w:right="153"/>
              <w:rPr>
                <w:rFonts w:hint="eastAsia" w:ascii="宋体" w:hAnsi="宋体" w:eastAsia="宋体" w:cs="宋体"/>
                <w:color w:val="auto"/>
                <w:sz w:val="21"/>
                <w:szCs w:val="21"/>
                <w:highlight w:val="none"/>
                <w:lang w:eastAsia="zh-CN"/>
              </w:rPr>
            </w:pPr>
          </w:p>
        </w:tc>
        <w:tc>
          <w:tcPr>
            <w:tcW w:w="1417" w:type="dxa"/>
            <w:vAlign w:val="center"/>
          </w:tcPr>
          <w:p>
            <w:pPr>
              <w:pStyle w:val="8"/>
              <w:tabs>
                <w:tab w:val="left" w:pos="9188"/>
              </w:tabs>
              <w:wordWrap w:val="0"/>
              <w:autoSpaceDN/>
              <w:adjustRightInd w:val="0"/>
              <w:spacing w:before="0" w:line="360" w:lineRule="auto"/>
              <w:ind w:right="153"/>
              <w:rPr>
                <w:rFonts w:hint="eastAsia" w:ascii="宋体" w:hAnsi="宋体" w:eastAsia="宋体" w:cs="宋体"/>
                <w:color w:val="auto"/>
                <w:sz w:val="21"/>
                <w:szCs w:val="21"/>
                <w:highlight w:val="none"/>
                <w:lang w:eastAsia="zh-CN"/>
              </w:rPr>
            </w:pPr>
          </w:p>
        </w:tc>
        <w:tc>
          <w:tcPr>
            <w:tcW w:w="1357" w:type="dxa"/>
            <w:vAlign w:val="center"/>
          </w:tcPr>
          <w:p>
            <w:pPr>
              <w:pStyle w:val="8"/>
              <w:tabs>
                <w:tab w:val="left" w:pos="9188"/>
              </w:tabs>
              <w:wordWrap w:val="0"/>
              <w:autoSpaceDN/>
              <w:adjustRightInd w:val="0"/>
              <w:spacing w:before="0" w:line="360" w:lineRule="auto"/>
              <w:ind w:right="153"/>
              <w:rPr>
                <w:rFonts w:hint="eastAsia" w:ascii="宋体" w:hAnsi="宋体" w:eastAsia="宋体" w:cs="宋体"/>
                <w:color w:val="auto"/>
                <w:sz w:val="21"/>
                <w:szCs w:val="21"/>
                <w:highlight w:val="none"/>
                <w:lang w:eastAsia="zh-CN"/>
              </w:rPr>
            </w:pPr>
          </w:p>
        </w:tc>
        <w:tc>
          <w:tcPr>
            <w:tcW w:w="1599" w:type="dxa"/>
            <w:vAlign w:val="center"/>
          </w:tcPr>
          <w:p>
            <w:pPr>
              <w:pStyle w:val="8"/>
              <w:tabs>
                <w:tab w:val="left" w:pos="9188"/>
              </w:tabs>
              <w:wordWrap w:val="0"/>
              <w:autoSpaceDN/>
              <w:adjustRightInd w:val="0"/>
              <w:spacing w:before="0" w:line="360" w:lineRule="auto"/>
              <w:ind w:right="153"/>
              <w:rPr>
                <w:rFonts w:hint="eastAsia" w:ascii="宋体" w:hAnsi="宋体" w:eastAsia="宋体" w:cs="宋体"/>
                <w:color w:val="auto"/>
                <w:sz w:val="21"/>
                <w:szCs w:val="21"/>
                <w:highlight w:val="none"/>
                <w:lang w:eastAsia="zh-CN"/>
              </w:rPr>
            </w:pPr>
          </w:p>
        </w:tc>
        <w:tc>
          <w:tcPr>
            <w:tcW w:w="1580" w:type="dxa"/>
            <w:vAlign w:val="center"/>
          </w:tcPr>
          <w:p>
            <w:pPr>
              <w:pStyle w:val="8"/>
              <w:tabs>
                <w:tab w:val="left" w:pos="9188"/>
              </w:tabs>
              <w:wordWrap w:val="0"/>
              <w:autoSpaceDN/>
              <w:adjustRightInd w:val="0"/>
              <w:spacing w:before="0" w:line="360" w:lineRule="auto"/>
              <w:ind w:right="153"/>
              <w:rPr>
                <w:rFonts w:hint="eastAsia" w:ascii="宋体" w:hAnsi="宋体" w:eastAsia="宋体" w:cs="宋体"/>
                <w:color w:val="auto"/>
                <w:sz w:val="21"/>
                <w:szCs w:val="21"/>
                <w:highlight w:val="none"/>
                <w:lang w:eastAsia="zh-CN"/>
              </w:rPr>
            </w:pPr>
          </w:p>
        </w:tc>
      </w:tr>
    </w:tbl>
    <w:p>
      <w:pPr>
        <w:pStyle w:val="2"/>
        <w:numPr>
          <w:ilvl w:val="0"/>
          <w:numId w:val="0"/>
        </w:numPr>
        <w:tabs>
          <w:tab w:val="clear" w:pos="360"/>
        </w:tabs>
        <w:spacing w:before="120" w:after="240" w:afterLines="100"/>
        <w:ind w:left="284" w:leftChars="0" w:firstLine="422" w:firstLineChars="200"/>
        <w:jc w:val="left"/>
        <w:rPr>
          <w:rFonts w:hint="eastAsia" w:ascii="宋体" w:hAnsi="宋体" w:eastAsia="宋体" w:cs="宋体"/>
          <w:color w:val="auto"/>
          <w:sz w:val="21"/>
          <w:szCs w:val="21"/>
          <w:highlight w:val="none"/>
          <w:lang w:eastAsia="zh-CN"/>
        </w:rPr>
      </w:pPr>
      <w:bookmarkStart w:id="481" w:name="_Toc31331"/>
      <w:r>
        <w:rPr>
          <w:rFonts w:hint="eastAsia" w:ascii="宋体" w:hAnsi="宋体" w:eastAsia="宋体" w:cs="宋体"/>
          <w:color w:val="auto"/>
          <w:sz w:val="21"/>
          <w:szCs w:val="21"/>
          <w:highlight w:val="none"/>
          <w:lang w:eastAsia="zh-CN"/>
        </w:rPr>
        <w:t>五、委托人的权利和义务</w:t>
      </w:r>
      <w:bookmarkEnd w:id="481"/>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（一）委托人的权利</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1.按合同约定，接收招标（采购）代理成果；</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2.向受托人询问招标（采购）工作进展情况和相关内容，提出不违反法律法规、规章及现行政策的建议；</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3.审查受托人编制的各种文件，并提出合理的修正意见；</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4.要求受托人提交招标（采购）代理业务工作报告；</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5.要求更换其不称职的招标（采购）代理从业人员；</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6.依法确定中标人（成交人）；</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本合同履行期间，由于受托人不履行合同约定的内容，给委托人造成损失或影响招标（采购）工作正常进行的，委托人有权终止本合同，造成经济损失的，可依法要求受托人赔偿；受托人有其他违反行政法、刑法等的行为的，应承担相应的行政、刑事等责任；</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8.依法享有的其他权利：</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utoSpaceDN/>
        <w:adjustRightInd w:val="0"/>
        <w:spacing w:before="122"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（二）委托人的义务</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1.委托人按以下约定的内容和时间完成下列工作：</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（1）在</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前向受托人提供招标（采购）代理业务应具备的相关项目前期资料（如立项批准手续、规划许可、报建、采购需求、采购所需的相关技术参数及商务要求、委托人的与本合同履行相关的管理制度等）及资金落实等情况资料；</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（2）在</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前向受托人提供完成招标（采购）代理业务所需的全部技术资料和图纸等，需要交底的须向受托人详细交底，并对提供资料的真实性、完整性、准确性负责；</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（3）在</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前向受托人提供保证招标（采购）工作顺利完成的条件，提供的条件为：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（4）及时审查受托人编制的招标（采购）有关文件；</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（5）对招标（采购）文件进行澄清和修改；</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（6）组建评标委员会；</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（7）根据需要，做好与第三方的协调工作，具体为：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（8）本合同约定由委托人支付代理报酬的，应按约定支付代理报酬；</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（9）参与和监督招标（采购）全过程；</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（10）根据发出的中标（成交）通知书，按相关规定与中标（成交）人签订合同；</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（11）依法应尽的其他义务：</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.接收受托人移交的招标（采购）过程中的档案资料及文件，并负责档案资料后续的保管及使用。</w:t>
      </w:r>
    </w:p>
    <w:p>
      <w:pPr>
        <w:pStyle w:val="2"/>
        <w:numPr>
          <w:ilvl w:val="0"/>
          <w:numId w:val="0"/>
        </w:numPr>
        <w:tabs>
          <w:tab w:val="clear" w:pos="360"/>
        </w:tabs>
        <w:spacing w:before="120" w:after="240" w:afterLines="100"/>
        <w:ind w:left="284" w:leftChars="0" w:firstLine="422" w:firstLineChars="200"/>
        <w:jc w:val="left"/>
        <w:rPr>
          <w:rFonts w:hint="eastAsia" w:ascii="宋体" w:hAnsi="宋体" w:eastAsia="宋体" w:cs="宋体"/>
          <w:color w:val="auto"/>
          <w:sz w:val="21"/>
          <w:szCs w:val="21"/>
          <w:highlight w:val="none"/>
          <w:lang w:eastAsia="zh-CN"/>
        </w:rPr>
      </w:pPr>
      <w:bookmarkStart w:id="482" w:name="_Toc14273"/>
      <w:r>
        <w:rPr>
          <w:rFonts w:hint="eastAsia" w:ascii="宋体" w:hAnsi="宋体" w:eastAsia="宋体" w:cs="宋体"/>
          <w:color w:val="auto"/>
          <w:sz w:val="21"/>
          <w:szCs w:val="21"/>
          <w:highlight w:val="none"/>
          <w:lang w:eastAsia="zh-CN"/>
        </w:rPr>
        <w:t>六、受托人的权利和义务</w:t>
      </w:r>
      <w:bookmarkEnd w:id="482"/>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（一）受托人的权利</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1.按合同约定收取委托代理报酬；</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2.对招标（采购）过程中应由委托人作出的决定，受托人有权提出建议；</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3.当委托人提供的资料不足或不明确时，有权要求委托人补足资料或作出明确答复；</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4.拒绝委托人</w:t>
      </w:r>
      <w:r>
        <w:rPr>
          <w:rFonts w:hint="eastAsia" w:ascii="宋体" w:hAnsi="宋体" w:cs="宋体"/>
          <w:color w:val="auto"/>
          <w:sz w:val="21"/>
          <w:szCs w:val="21"/>
          <w:highlight w:val="none"/>
          <w:lang w:eastAsia="zh-CN"/>
        </w:rPr>
        <w:t>提出</w:t>
      </w:r>
      <w:r>
        <w:rPr>
          <w:rFonts w:hint="eastAsia" w:ascii="宋体" w:hAnsi="宋体" w:eastAsia="宋体" w:cs="宋体"/>
          <w:color w:val="auto"/>
          <w:sz w:val="21"/>
          <w:szCs w:val="21"/>
          <w:highlight w:val="none"/>
          <w:lang w:eastAsia="zh-CN"/>
        </w:rPr>
        <w:t>违反法律法规、规章及现行政策的要求，并向委托人作出解释；</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5.有权参加委托人组织的涉及招标（采购）工作的会议和活动；</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6.依法享有的其他权利：</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（二）受托人的义务</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1.受托人按以下约定的内容完成下列工作：</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（1）依照法律法规、规章及现行政策的规定按照公开、公平、公正和诚实信用原则，根据委托要求组织招标（采购）工作，维护各方的合法权益；</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（2）向委托人说明有关项目招标（采购）的法律法规、规章、现行政策和规范性文件，解读招标（采购）程序及要求，以便得到委托人的支持和配合；</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（3）根据委托范围和内容，依法依规开展各环节的相关工作；</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（4）依法应尽的其他义务：</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2.受托人应对招标（采购）工作中受托人所出具有关数据的计算、技术经济资料等的科学性和准确性负责。</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3.受托人不得接受与代理招标（采购）项目相关的投标（响应）咨询业务。</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4.代管招标（采购）过程中的档案资料及文件，按照“一项目一档案”的要求在代理结束或委托人要求时移交委托人。每个项目移交资料份数及要求：</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5.未经委托人同意，受托人不得分包或转让本合同的任何权利和义务。</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受托人不得接受投标人或潜在投标人（或供应商）的财物或者其他好处，不得参与其他任何可能影响公正招标的活动，不得泄露项目招标（采购）过程中依法需要保密的内容，不得与其他招标（采购）活动当事人相互串通、徇私舞弊、操纵招标（采购）结果。合同终止后，未经委托人同意，受托人不得泄露与本合同相关的任何资料和情况。</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7.受托人实施涉密项目时，应当严格按照国家、地方、行业涉密项目管理的相关规定执行。</w:t>
      </w:r>
    </w:p>
    <w:p>
      <w:pPr>
        <w:pStyle w:val="2"/>
        <w:numPr>
          <w:ilvl w:val="0"/>
          <w:numId w:val="0"/>
        </w:numPr>
        <w:tabs>
          <w:tab w:val="clear" w:pos="360"/>
        </w:tabs>
        <w:spacing w:before="120" w:after="240" w:afterLines="100"/>
        <w:ind w:firstLine="422" w:firstLineChars="200"/>
        <w:jc w:val="left"/>
        <w:rPr>
          <w:rFonts w:hint="eastAsia" w:ascii="宋体" w:hAnsi="宋体" w:eastAsia="宋体" w:cs="宋体"/>
          <w:color w:val="auto"/>
          <w:sz w:val="21"/>
          <w:szCs w:val="21"/>
          <w:highlight w:val="none"/>
          <w:lang w:eastAsia="zh-CN"/>
        </w:rPr>
      </w:pPr>
      <w:bookmarkStart w:id="483" w:name="_Toc1545"/>
      <w:r>
        <w:rPr>
          <w:rFonts w:hint="eastAsia" w:ascii="宋体" w:hAnsi="宋体" w:eastAsia="宋体" w:cs="宋体"/>
          <w:color w:val="auto"/>
          <w:sz w:val="21"/>
          <w:szCs w:val="21"/>
          <w:highlight w:val="none"/>
          <w:lang w:eastAsia="zh-CN"/>
        </w:rPr>
        <w:t>七、委托代理报酬与收取</w:t>
      </w:r>
      <w:bookmarkEnd w:id="483"/>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（一）委托代理报酬</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1.代理报酬的计算方法</w:t>
      </w:r>
    </w:p>
    <w:p>
      <w:pPr>
        <w:pStyle w:val="8"/>
        <w:tabs>
          <w:tab w:val="left" w:pos="9188"/>
        </w:tabs>
        <w:wordWrap w:val="0"/>
        <w:autoSpaceDN/>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参照《云南省建设工程招标代理服务收费参考意见》，以单个项目（或标段)中标（成交）通知书的中标（成交）金额为计费基数，按差额定率累进法计算后（□上 □下）浮动</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%。计算的收费金额低于7000元的项目（或标段），按7000元计取。</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无法计算中标（成交）金额的，以委托人的项目估算或招标（采购）控制总价为计费基数；若委托人的项目估算或招标（采购）控制总价也无法提供的，按（□单个项目 □每个标段）</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元计取。</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单个项目存在多个中标（成交）人或单个项目存在多个标段的计费基数及代理报酬分摊方式约定：</w:t>
      </w:r>
      <w:r>
        <w:rPr>
          <w:rFonts w:hint="eastAsia" w:ascii="宋体" w:hAnsi="宋体" w:eastAsia="宋体" w:cs="宋体"/>
          <w:color w:val="auto"/>
          <w:sz w:val="21"/>
          <w:szCs w:val="21"/>
          <w:highlight w:val="none"/>
          <w:u w:val="single"/>
          <w:lang w:eastAsia="zh-CN"/>
        </w:rPr>
        <w:t xml:space="preserve">     </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其他方式：</w:t>
      </w:r>
      <w:r>
        <w:rPr>
          <w:rFonts w:hint="eastAsia" w:ascii="宋体" w:hAnsi="宋体" w:eastAsia="宋体" w:cs="宋体"/>
          <w:color w:val="auto"/>
          <w:sz w:val="21"/>
          <w:szCs w:val="21"/>
          <w:highlight w:val="none"/>
          <w:u w:val="single"/>
          <w:lang w:eastAsia="zh-CN"/>
        </w:rPr>
        <w:t xml:space="preserve">  </w:t>
      </w:r>
      <w:r>
        <w:rPr>
          <w:rFonts w:hint="eastAsia" w:ascii="宋体" w:hAnsi="宋体" w:cs="宋体"/>
          <w:color w:val="auto"/>
          <w:sz w:val="21"/>
          <w:szCs w:val="21"/>
          <w:highlight w:val="none"/>
          <w:u w:val="single"/>
          <w:lang w:val="en-US" w:eastAsia="zh-CN"/>
        </w:rPr>
        <w:t>以包干价的方式进行收取，由百货店经营权项目的中标方支付</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2.代理报酬的币种：</w:t>
      </w:r>
      <w:r>
        <w:rPr>
          <w:rFonts w:hint="eastAsia" w:ascii="宋体" w:hAnsi="宋体" w:eastAsia="宋体" w:cs="宋体"/>
          <w:color w:val="auto"/>
          <w:sz w:val="21"/>
          <w:szCs w:val="21"/>
          <w:highlight w:val="none"/>
          <w:u w:val="single"/>
          <w:lang w:eastAsia="zh-CN"/>
        </w:rPr>
        <w:t>     </w:t>
      </w:r>
      <w:r>
        <w:rPr>
          <w:rFonts w:hint="eastAsia" w:ascii="宋体" w:hAnsi="宋体" w:eastAsia="宋体" w:cs="宋体"/>
          <w:color w:val="auto"/>
          <w:sz w:val="21"/>
          <w:szCs w:val="21"/>
          <w:highlight w:val="none"/>
          <w:lang w:eastAsia="zh-CN"/>
        </w:rPr>
        <w:t>；汇率：</w:t>
      </w:r>
      <w:r>
        <w:rPr>
          <w:rFonts w:hint="eastAsia" w:ascii="宋体" w:hAnsi="宋体" w:eastAsia="宋体" w:cs="宋体"/>
          <w:color w:val="auto"/>
          <w:sz w:val="21"/>
          <w:szCs w:val="21"/>
          <w:highlight w:val="none"/>
          <w:u w:val="single"/>
          <w:lang w:eastAsia="zh-CN"/>
        </w:rPr>
        <w:t>    </w:t>
      </w:r>
      <w:r>
        <w:rPr>
          <w:rFonts w:hint="eastAsia" w:ascii="宋体" w:hAnsi="宋体" w:eastAsia="宋体" w:cs="宋体"/>
          <w:color w:val="auto"/>
          <w:sz w:val="21"/>
          <w:szCs w:val="21"/>
          <w:highlight w:val="none"/>
          <w:lang w:eastAsia="zh-CN"/>
        </w:rPr>
        <w:t>；代理报酬的支付方式：</w:t>
      </w:r>
      <w:r>
        <w:rPr>
          <w:rFonts w:hint="eastAsia" w:ascii="宋体" w:hAnsi="宋体" w:eastAsia="宋体" w:cs="宋体"/>
          <w:color w:val="auto"/>
          <w:sz w:val="21"/>
          <w:szCs w:val="21"/>
          <w:highlight w:val="none"/>
          <w:u w:val="single"/>
          <w:lang w:eastAsia="zh-CN"/>
        </w:rPr>
        <w:t>             </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3.受托人对所承接的招标（采购）代理业务需要外出考察的，其外出人员数量和费用，经委托人同意后，向委托人实报实销。</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4.在招标（采购）代理业务范围内所发生的费用（如：评审会务费、评审专家的差旅费、劳务费等）的特别约定：</w:t>
      </w:r>
      <w:r>
        <w:rPr>
          <w:rFonts w:hint="eastAsia" w:ascii="宋体" w:hAnsi="宋体" w:eastAsia="宋体" w:cs="宋体"/>
          <w:color w:val="auto"/>
          <w:sz w:val="21"/>
          <w:szCs w:val="21"/>
          <w:highlight w:val="none"/>
          <w:u w:val="single"/>
          <w:lang w:eastAsia="zh-CN"/>
        </w:rPr>
        <w:t>      </w:t>
      </w:r>
      <w:r>
        <w:rPr>
          <w:rFonts w:hint="eastAsia" w:ascii="宋体" w:hAnsi="宋体" w:eastAsia="宋体" w:cs="宋体"/>
          <w:color w:val="auto"/>
          <w:sz w:val="21"/>
          <w:szCs w:val="21"/>
          <w:highlight w:val="none"/>
          <w:lang w:eastAsia="zh-CN"/>
        </w:rPr>
        <w:t>。</w:t>
      </w:r>
    </w:p>
    <w:p>
      <w:pPr>
        <w:pStyle w:val="8"/>
        <w:tabs>
          <w:tab w:val="left" w:pos="9188"/>
        </w:tabs>
        <w:wordWrap w:val="0"/>
        <w:autoSpaceDN/>
        <w:adjustRightInd w:val="0"/>
        <w:spacing w:line="360" w:lineRule="auto"/>
        <w:ind w:right="153" w:firstLine="495" w:firstLineChars="236"/>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受托人完成委托人委托的招标（采购）代理工作范围以外的工作，为附加服务项目（如合同咨询、编制工程量清单、编制标底或招标控制价或最高投标限价、开展招标（采购）需求调查、组织相关论证以及其他延伸服务等），所发生的费用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（二）委托代理报酬的收取</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1.预付委托代理费用</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由委托人支付代理报酬的，在本合同签订后</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日内，委托人应向受托人支付不少于全部代理报酬</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％的预付委托代理费用。</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无</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2.委托代理报酬支付方式</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委托代理报酬由委托人按本合同约定的支付方法在</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期限内，直接向受托人支付。受托人应向委托人</w:t>
      </w:r>
      <w:bookmarkStart w:id="484" w:name="OLE_LINK2"/>
      <w:r>
        <w:rPr>
          <w:rFonts w:hint="eastAsia" w:ascii="宋体" w:hAnsi="宋体" w:eastAsia="宋体" w:cs="宋体"/>
          <w:color w:val="auto"/>
          <w:sz w:val="21"/>
          <w:szCs w:val="21"/>
          <w:highlight w:val="none"/>
          <w:lang w:eastAsia="zh-CN"/>
        </w:rPr>
        <w:t>开具所收款项的全额发票</w:t>
      </w:r>
      <w:bookmarkEnd w:id="484"/>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 xml:space="preserve"> 受托人直接向中标人（成交人）收取。中标人（成交人）在</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期限内，将本合同约定的全部委托代理报酬一次性支付给受托人。</w:t>
      </w:r>
      <w:bookmarkStart w:id="485" w:name="OLE_LINK1"/>
      <w:r>
        <w:rPr>
          <w:rFonts w:hint="eastAsia" w:ascii="宋体" w:hAnsi="宋体" w:eastAsia="宋体" w:cs="宋体"/>
          <w:color w:val="auto"/>
          <w:sz w:val="21"/>
          <w:szCs w:val="21"/>
          <w:highlight w:val="none"/>
          <w:lang w:eastAsia="zh-CN"/>
        </w:rPr>
        <w:t>受托人应向中标人（成交人）开具所收款项的全额发票。</w:t>
      </w:r>
      <w:bookmarkEnd w:id="485"/>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.由中标人（成交人）支付代理报酬的，应在招标（采购）文件中明确代理报酬的收取方式及时间，中标人（成交人）未按约定支付代理报酬的，委托人应当支付相应代理报酬。</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.非受托人原因造成招标（采购）失败：</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（1）未开展评审工作的，招标（采购）代理服务费以预算或最高投标限价（招标控制价）为计费基数计算的代理报酬的30%计算，重新招标（采购）仍未进入评审阶段不再重复收取</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具体以与招标人协商为准</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（2）已开展评审工作的，该次招标（采购）代理服务费以最高投标限价（招标控制价）为计费基数计算的代理报酬的70%计算</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具体以与招标人协商为准</w:t>
      </w:r>
      <w:r>
        <w:rPr>
          <w:rFonts w:hint="eastAsia" w:ascii="宋体" w:hAnsi="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若合同约定招标（采购）代理服务费由中标人（成交人）支付的，发生以上两种情形时，招标（采购）代理服务费由委托人支付。</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.需专家隔夜评审、外出异地评审和非受托人原因造成的复议或复核、重新评审等产生的费用据实计取,由委托人或中标人（成交人）承担。</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.非受托人原因产生处理异议或投诉案件的，受托人配合有关部门进行现场勘验、调查取证所发生的差旅等费用由委托人承担。</w:t>
      </w:r>
    </w:p>
    <w:p>
      <w:pPr>
        <w:pStyle w:val="2"/>
        <w:numPr>
          <w:ilvl w:val="0"/>
          <w:numId w:val="0"/>
        </w:numPr>
        <w:tabs>
          <w:tab w:val="clear" w:pos="360"/>
        </w:tabs>
        <w:spacing w:before="120" w:after="240" w:afterLines="100"/>
        <w:ind w:left="284" w:leftChars="0" w:firstLine="422" w:firstLineChars="200"/>
        <w:jc w:val="left"/>
        <w:rPr>
          <w:rFonts w:hint="eastAsia" w:ascii="宋体" w:hAnsi="宋体" w:eastAsia="宋体" w:cs="宋体"/>
          <w:color w:val="auto"/>
          <w:sz w:val="21"/>
          <w:szCs w:val="21"/>
          <w:highlight w:val="none"/>
          <w:lang w:eastAsia="zh-CN"/>
        </w:rPr>
      </w:pPr>
      <w:bookmarkStart w:id="486" w:name="_Toc26170"/>
      <w:r>
        <w:rPr>
          <w:rFonts w:hint="eastAsia" w:ascii="宋体" w:hAnsi="宋体" w:eastAsia="宋体" w:cs="宋体"/>
          <w:color w:val="auto"/>
          <w:sz w:val="21"/>
          <w:szCs w:val="21"/>
          <w:highlight w:val="none"/>
          <w:lang w:eastAsia="zh-CN"/>
        </w:rPr>
        <w:t>八、保密</w:t>
      </w:r>
      <w:bookmarkEnd w:id="486"/>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bookmarkStart w:id="487" w:name="_Ref509043544"/>
      <w:r>
        <w:rPr>
          <w:rFonts w:hint="eastAsia" w:ascii="宋体" w:hAnsi="宋体" w:eastAsia="宋体" w:cs="宋体"/>
          <w:color w:val="auto"/>
          <w:sz w:val="21"/>
          <w:szCs w:val="21"/>
          <w:highlight w:val="none"/>
          <w:lang w:eastAsia="zh-CN"/>
        </w:rPr>
        <w:t>1.合同当事人一方对在订立和履行合同过程中知悉的另一方的商业秘密、技术秘密，以及任何一方明确要求保密的其他信息，负有保密责任。</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2.除法律规定或合同另有约定外，未经对方同意，任何一方不得将对方提供的文件、技术秘密及声明需要保密的资料信息等商业秘密泄露给第三方或者用于本合同以外的用途。</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3.一方泄露或者在合同以外使用该商业秘密、技术秘密等保密信息给另一方造成损失的，应承担损害赔偿责任。双方认为必要时，可签订保密协议，作为合同附件。</w:t>
      </w:r>
    </w:p>
    <w:bookmarkEnd w:id="487"/>
    <w:p>
      <w:pPr>
        <w:pStyle w:val="2"/>
        <w:numPr>
          <w:ilvl w:val="0"/>
          <w:numId w:val="0"/>
        </w:numPr>
        <w:tabs>
          <w:tab w:val="clear" w:pos="360"/>
        </w:tabs>
        <w:spacing w:before="120" w:after="240" w:afterLines="100"/>
        <w:ind w:left="284" w:leftChars="0" w:firstLine="422" w:firstLineChars="200"/>
        <w:jc w:val="left"/>
        <w:rPr>
          <w:rFonts w:hint="eastAsia" w:ascii="宋体" w:hAnsi="宋体" w:eastAsia="宋体" w:cs="宋体"/>
          <w:color w:val="auto"/>
          <w:sz w:val="21"/>
          <w:szCs w:val="21"/>
          <w:highlight w:val="none"/>
          <w:lang w:eastAsia="zh-CN"/>
        </w:rPr>
      </w:pPr>
      <w:bookmarkStart w:id="488" w:name="_Toc2552"/>
      <w:r>
        <w:rPr>
          <w:rFonts w:hint="eastAsia" w:ascii="宋体" w:hAnsi="宋体" w:eastAsia="宋体" w:cs="宋体"/>
          <w:color w:val="auto"/>
          <w:sz w:val="21"/>
          <w:szCs w:val="21"/>
          <w:highlight w:val="none"/>
          <w:lang w:eastAsia="zh-CN"/>
        </w:rPr>
        <w:t>九、违约责任</w:t>
      </w:r>
      <w:bookmarkEnd w:id="488"/>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（一）委托人违约</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委托人未按本合同第五条第（二）款第1-（3）项的约定向受托人提供为保证招标（采购）工作顺利完成的条件，致使招标（采购）工作无法正常进行的，应赔偿因其违约给受托人造成的经济损失，委托人赔偿受托人损失的计算方法或委托人应当支付违约金的数额或计算方法：</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委托人未按本合同第五条第（二）款第1-（8）项的约定向受托人支付委托代理报酬，经受托人催告仍未在合理期限内支付的，应赔偿因其违约给受托人造成的经济损失，委托人赔偿受托人损失的计算方法或委托人应当支付违约金的数额或计算方法：</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委托人不履行合同义务或不按合同约定履行义务的其他情况，委托人承担违约责任，赔偿因其违约给受托人造成的经济损失，触犯刑律的，依法追究刑事责任。委托人赔偿受托人损失的计算方法或委托人应当支付违约金的数额或计算方法：</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4.其他违约责任：</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（二）受托人违约</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受托人未按本合同第六条第（二）款第3项的约定，接受了与代理招标（采购）项目相关的投标（响应）咨询业务，受托人承担违约责任，赔偿因其违约给委托人造成的经济损失，受托人赔偿委托人损失的计算方法或受托人应当支付违约金的数额或计算方法：</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受托人未按本合同第六条第（二）款第6项的约定，泄露了项目招标（采购）过程中依法需要保密的内容，受托人承担违约责任，赔偿因其违约给委托人造成的经济损失，受托人赔偿委托人损失的计算方法或受托人应当支付违约金的数额或计算方法：</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受托人不履行合同义务或不按合同约定履行义务的其他情况，受托人承担违约责任，赔偿因其违约给委托人造成的经济损失，触犯刑律的，依法追究刑事责任。受托人赔偿委托人损失的计算方法或受托人应当支付违约金的数额或计算方法：</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4.其他违约责任：</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受托人承担违约责任，赔偿金额最高不应超过委托代理报酬的金额（扣除税金）。</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（三）由第三方造成的违约。如果一方的违约被认定为是由第三方造成的，则应由合同双方中有违约的一方先行向另一方承担全部违约责任，再由承担违约责任的一方向第三方追索。</w:t>
      </w:r>
    </w:p>
    <w:p>
      <w:pPr>
        <w:pStyle w:val="2"/>
        <w:numPr>
          <w:ilvl w:val="0"/>
          <w:numId w:val="0"/>
        </w:numPr>
        <w:tabs>
          <w:tab w:val="clear" w:pos="360"/>
        </w:tabs>
        <w:spacing w:before="120" w:after="240" w:afterLines="100"/>
        <w:ind w:left="284" w:leftChars="0" w:firstLine="422" w:firstLineChars="200"/>
        <w:jc w:val="left"/>
        <w:rPr>
          <w:rFonts w:hint="eastAsia" w:ascii="宋体" w:hAnsi="宋体" w:eastAsia="宋体" w:cs="宋体"/>
          <w:color w:val="auto"/>
          <w:sz w:val="21"/>
          <w:szCs w:val="21"/>
          <w:highlight w:val="none"/>
          <w:lang w:eastAsia="zh-CN"/>
        </w:rPr>
      </w:pPr>
      <w:bookmarkStart w:id="489" w:name="_Toc8573"/>
      <w:r>
        <w:rPr>
          <w:rFonts w:hint="eastAsia" w:ascii="宋体" w:hAnsi="宋体" w:eastAsia="宋体" w:cs="宋体"/>
          <w:color w:val="auto"/>
          <w:sz w:val="21"/>
          <w:szCs w:val="21"/>
          <w:highlight w:val="none"/>
          <w:lang w:eastAsia="zh-CN"/>
        </w:rPr>
        <w:t>十、合同变更与终止</w:t>
      </w:r>
      <w:bookmarkEnd w:id="489"/>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（一）合同变更或解除</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本合同签订后，由于委托人原因，使得受托人不能持续履行招标（采购）代理业务时，委托人应及时通知受托人暂停招标（采购）代理业务。当需要恢复招标（采购）代理业务时，应当在正式恢复前7天书面通知受托人。受托人接到通知后，应当立即开展相关工作。</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若暂停招标（采购）代理的时间超过六个月，需要恢复招标（采购）代理业务时，委托人应额外支付重新启动招标（采购）代理工作的补偿费用，具体计算方式为：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若因非受托人原因造成已开展的项目取消的，委托人应支付一定的补偿费用，具体计算方式为：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2.本合同签订后，如因法律法规、规章、现行政策和规范性文件发生变化（新增、修改或删除）导致代理服务的成本或时间发生改变，双方可签订补充协议对本合同约定的服务报酬和服务期限进行调整。</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3.本合同当事人一方要求变更合同时，除法律法规、规章及现行政策另有规定外，应与对方当事人协商一致并签订书面协议。</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4.有下列情形之一的，委托人可提前14天向受托人发出通知解除合同：</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（1）受托人未履行其义务或履行义务不符合合同约定，委托人向受托人发出通知，列明违约情况和补救要求，受托人在此通知发出后28天内未能对违约进行补救的；</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（2）受托人违反法律法规的；</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（3）受托人宣告破产、被责令停业、解散、被吊销营业执照或被纳入失信被执行人名单的；</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（4）其他合同解除情形：</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bookmarkStart w:id="490" w:name="_Ref523405995"/>
      <w:r>
        <w:rPr>
          <w:rFonts w:hint="eastAsia" w:ascii="宋体" w:hAnsi="宋体" w:eastAsia="宋体" w:cs="宋体"/>
          <w:color w:val="auto"/>
          <w:sz w:val="21"/>
          <w:szCs w:val="21"/>
          <w:highlight w:val="none"/>
          <w:lang w:eastAsia="zh-CN"/>
        </w:rPr>
        <w:t>有下列情形之一的，受托人可提前14天向委托人发出通知解除合同：</w:t>
      </w:r>
      <w:bookmarkEnd w:id="490"/>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（1）委托人未履行其义务或履行义务不符合合同约定，受托人向委托人发出通知，列明违约情况和补救要求，委托人在此通知发出后28天内未能对违约进行补救的；</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（2）委托人违反法律法规的；</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（3）委托人宣告破产、被责令停业、解散、被吊销营业执照或被纳入失信被执行人名单的；</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（4）其他合同解除情形：</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6.委托人解除合同的，受托人应移交其截至合同解除之日履行服务的所有文件和其他服务成果。</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委托人因可归责于自身的事由而解除合同的，委托人应当赔偿受托人的直接损失。</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委托人因可归责于受托人的事由而解除合同的，受托人应当赔偿委托人的直接损失。</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7.受托人根据合同约定解除合同的，应根据其在合同解除前已履行的服务获得相应的服务费用。</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受托人因可归责于自身的事由而解除合同的，受托人应当赔偿委托人的直接损失。</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受托人因可归责于委托人的事由而解除合同的，委托人应当赔偿受托人的直接损失。</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 因不可归责于双方的事由而解除合同的，在无偿委托的情形下，双方互不承担赔偿责任；在有偿委托的情形下，双方互不承担赔偿责任，但应采取措施避免损失的扩大。</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9.合同解除不应损害或影响合同解除前已发生的双方权利和义务。</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（二）合同终止</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1.受托人完成委托人全部委托招标（采购）代理业务，且委托人或中标人（成交人）支付了全部代理报酬（含附加服务的报酬）后本合同终止。</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2.本合同终止并不影响各方根据合同约定在合同终止后应有的权利和应承担的义务。</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因不可抗力，致使当事人一方或双方不能履行本合同时，双方应协商确定本合同继续履行的条件或终止本合同。如果双方不能就本合同继续履行的条件或终止本合同达成一致意见，本合同自行终止。除委托人应付给受托人已完成工作的报酬外，各自承担相应的损失。</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4.本合同的权利和义务终止后，委托人和受托人应当遵循诚实信用原则，履行通知、协助、保密等义务。</w:t>
      </w:r>
    </w:p>
    <w:p>
      <w:pPr>
        <w:pStyle w:val="2"/>
        <w:numPr>
          <w:ilvl w:val="0"/>
          <w:numId w:val="0"/>
        </w:numPr>
        <w:tabs>
          <w:tab w:val="clear" w:pos="360"/>
        </w:tabs>
        <w:spacing w:before="120" w:after="240" w:afterLines="100"/>
        <w:ind w:left="284" w:leftChars="0" w:firstLine="422" w:firstLineChars="200"/>
        <w:jc w:val="left"/>
        <w:rPr>
          <w:rFonts w:hint="eastAsia" w:ascii="宋体" w:hAnsi="宋体" w:eastAsia="宋体" w:cs="宋体"/>
          <w:color w:val="auto"/>
          <w:sz w:val="21"/>
          <w:szCs w:val="21"/>
          <w:highlight w:val="none"/>
          <w:lang w:eastAsia="zh-CN"/>
        </w:rPr>
      </w:pPr>
      <w:bookmarkStart w:id="491" w:name="_Toc9121"/>
      <w:r>
        <w:rPr>
          <w:rFonts w:hint="eastAsia" w:ascii="宋体" w:hAnsi="宋体" w:eastAsia="宋体" w:cs="宋体"/>
          <w:color w:val="auto"/>
          <w:sz w:val="21"/>
          <w:szCs w:val="21"/>
          <w:highlight w:val="none"/>
          <w:lang w:eastAsia="zh-CN"/>
        </w:rPr>
        <w:t>十一、索赔</w:t>
      </w:r>
      <w:bookmarkEnd w:id="491"/>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（一）当事人一方向另一方提出索赔时，要有正当的索赔理由，且有索赔事件发生时的有效证据。</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（二）委托人未能按合同约定履行自己的各项义务，或者发生应由委托人承担责任的其他情况，给受托人造成损失，受托人可按下列程序以书面形式向委托人索赔：</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1.索赔事件发生后7个工作日内，向委托人发出索赔报告及有关资料；</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2.委托</w:t>
      </w:r>
      <w:r>
        <w:rPr>
          <w:rFonts w:hint="eastAsia" w:ascii="宋体" w:hAnsi="宋体" w:cs="宋体"/>
          <w:color w:val="auto"/>
          <w:sz w:val="21"/>
          <w:szCs w:val="21"/>
          <w:highlight w:val="none"/>
          <w:lang w:eastAsia="zh-CN"/>
        </w:rPr>
        <w:t>人自</w:t>
      </w:r>
      <w:r>
        <w:rPr>
          <w:rFonts w:hint="eastAsia" w:ascii="宋体" w:hAnsi="宋体" w:eastAsia="宋体" w:cs="宋体"/>
          <w:color w:val="auto"/>
          <w:sz w:val="21"/>
          <w:szCs w:val="21"/>
          <w:highlight w:val="none"/>
          <w:lang w:eastAsia="zh-CN"/>
        </w:rPr>
        <w:t>收到受托人的索赔报告及有关资料之日起，于7个工作日内给予答复，或要求受托人进一步补充索赔理由和证据；</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3.委托人在收到受托人送交的索赔报告和有关资料后7日内未予答复，或未对受托人作进一步要求，视为该项索赔已经认可。</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（三）受托人未能按合同约定履行自己的各项义务，或者发生应由受托人承担责任的其他情况，给委托人造成经济损失，委托人可按上述第（二）款确定的时限和程序向受托人提出索赔。</w:t>
      </w:r>
    </w:p>
    <w:p>
      <w:pPr>
        <w:pStyle w:val="2"/>
        <w:numPr>
          <w:ilvl w:val="0"/>
          <w:numId w:val="0"/>
        </w:numPr>
        <w:tabs>
          <w:tab w:val="clear" w:pos="360"/>
        </w:tabs>
        <w:spacing w:before="120" w:after="240" w:afterLines="100"/>
        <w:ind w:left="284" w:leftChars="0" w:firstLine="422" w:firstLineChars="200"/>
        <w:jc w:val="left"/>
        <w:rPr>
          <w:rFonts w:hint="eastAsia" w:ascii="宋体" w:hAnsi="宋体" w:eastAsia="宋体" w:cs="宋体"/>
          <w:color w:val="auto"/>
          <w:sz w:val="21"/>
          <w:szCs w:val="21"/>
          <w:highlight w:val="none"/>
          <w:lang w:eastAsia="zh-CN"/>
        </w:rPr>
      </w:pPr>
      <w:bookmarkStart w:id="492" w:name="_Toc4176"/>
      <w:r>
        <w:rPr>
          <w:rFonts w:hint="eastAsia" w:ascii="宋体" w:hAnsi="宋体" w:eastAsia="宋体" w:cs="宋体"/>
          <w:color w:val="auto"/>
          <w:sz w:val="21"/>
          <w:szCs w:val="21"/>
          <w:highlight w:val="none"/>
          <w:lang w:eastAsia="zh-CN"/>
        </w:rPr>
        <w:t>十二、争议解决</w:t>
      </w:r>
      <w:bookmarkEnd w:id="492"/>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（一）委托人和受托人履行合同时发生争议，可以和解或者向有关部门或机构申请调解。当事人不愿和解、调解或者和解、调解不成的，选择下列第</w:t>
      </w:r>
      <w:r>
        <w:rPr>
          <w:rFonts w:hint="eastAsia" w:ascii="宋体" w:hAnsi="宋体" w:eastAsia="宋体" w:cs="宋体"/>
          <w:color w:val="auto"/>
          <w:sz w:val="21"/>
          <w:szCs w:val="21"/>
          <w:highlight w:val="none"/>
          <w:u w:val="single"/>
          <w:lang w:eastAsia="zh-CN"/>
        </w:rPr>
        <w:t>  </w:t>
      </w:r>
      <w:r>
        <w:rPr>
          <w:rFonts w:hint="eastAsia" w:ascii="宋体" w:hAnsi="宋体" w:eastAsia="宋体" w:cs="宋体"/>
          <w:color w:val="auto"/>
          <w:sz w:val="21"/>
          <w:szCs w:val="21"/>
          <w:highlight w:val="none"/>
          <w:lang w:eastAsia="zh-CN"/>
        </w:rPr>
        <w:t>种方式解决：</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1.将争议提交</w:t>
      </w:r>
      <w:r>
        <w:rPr>
          <w:rFonts w:hint="eastAsia" w:ascii="宋体" w:hAnsi="宋体" w:eastAsia="宋体" w:cs="宋体"/>
          <w:color w:val="auto"/>
          <w:sz w:val="21"/>
          <w:szCs w:val="21"/>
          <w:highlight w:val="none"/>
          <w:u w:val="single"/>
          <w:lang w:eastAsia="zh-CN"/>
        </w:rPr>
        <w:t>      </w:t>
      </w:r>
      <w:r>
        <w:rPr>
          <w:rFonts w:hint="eastAsia" w:ascii="宋体" w:hAnsi="宋体" w:eastAsia="宋体" w:cs="宋体"/>
          <w:color w:val="auto"/>
          <w:sz w:val="21"/>
          <w:szCs w:val="21"/>
          <w:highlight w:val="none"/>
          <w:lang w:eastAsia="zh-CN"/>
        </w:rPr>
        <w:t>仲裁委员会仲裁；</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2.依法向人民法院提起诉讼。</w:t>
      </w:r>
    </w:p>
    <w:p>
      <w:pPr>
        <w:pStyle w:val="2"/>
        <w:numPr>
          <w:ilvl w:val="0"/>
          <w:numId w:val="0"/>
        </w:numPr>
        <w:tabs>
          <w:tab w:val="clear" w:pos="360"/>
        </w:tabs>
        <w:spacing w:before="120" w:after="240" w:afterLines="100"/>
        <w:ind w:left="284" w:leftChars="0" w:firstLine="422" w:firstLineChars="200"/>
        <w:jc w:val="left"/>
        <w:rPr>
          <w:rFonts w:hint="eastAsia" w:ascii="宋体" w:hAnsi="宋体" w:eastAsia="宋体" w:cs="宋体"/>
          <w:color w:val="auto"/>
          <w:sz w:val="21"/>
          <w:szCs w:val="21"/>
          <w:highlight w:val="none"/>
          <w:lang w:eastAsia="zh-CN"/>
        </w:rPr>
      </w:pPr>
      <w:bookmarkStart w:id="493" w:name="_Toc18784"/>
      <w:r>
        <w:rPr>
          <w:rFonts w:hint="eastAsia" w:ascii="宋体" w:hAnsi="宋体" w:eastAsia="宋体" w:cs="宋体"/>
          <w:color w:val="auto"/>
          <w:sz w:val="21"/>
          <w:szCs w:val="21"/>
          <w:highlight w:val="none"/>
          <w:lang w:eastAsia="zh-CN"/>
        </w:rPr>
        <w:t>十三、其他</w:t>
      </w:r>
      <w:bookmarkEnd w:id="493"/>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1.合同的份数</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本合同一式</w:t>
      </w:r>
      <w:r>
        <w:rPr>
          <w:rFonts w:hint="eastAsia" w:ascii="宋体" w:hAnsi="宋体" w:eastAsia="宋体" w:cs="宋体"/>
          <w:color w:val="auto"/>
          <w:sz w:val="21"/>
          <w:szCs w:val="21"/>
          <w:highlight w:val="none"/>
          <w:u w:val="single"/>
          <w:lang w:eastAsia="zh-CN"/>
        </w:rPr>
        <w:t>   </w:t>
      </w:r>
      <w:r>
        <w:rPr>
          <w:rFonts w:hint="eastAsia" w:ascii="宋体" w:hAnsi="宋体" w:eastAsia="宋体" w:cs="宋体"/>
          <w:color w:val="auto"/>
          <w:sz w:val="21"/>
          <w:szCs w:val="21"/>
          <w:highlight w:val="none"/>
          <w:lang w:eastAsia="zh-CN"/>
        </w:rPr>
        <w:t>份，委托人</w:t>
      </w:r>
      <w:r>
        <w:rPr>
          <w:rFonts w:hint="eastAsia" w:ascii="宋体" w:hAnsi="宋体" w:eastAsia="宋体" w:cs="宋体"/>
          <w:color w:val="auto"/>
          <w:sz w:val="21"/>
          <w:szCs w:val="21"/>
          <w:highlight w:val="none"/>
          <w:u w:val="single"/>
          <w:lang w:eastAsia="zh-CN"/>
        </w:rPr>
        <w:t>  </w:t>
      </w:r>
      <w:r>
        <w:rPr>
          <w:rFonts w:hint="eastAsia" w:ascii="宋体" w:hAnsi="宋体" w:eastAsia="宋体" w:cs="宋体"/>
          <w:color w:val="auto"/>
          <w:sz w:val="21"/>
          <w:szCs w:val="21"/>
          <w:highlight w:val="none"/>
          <w:lang w:eastAsia="zh-CN"/>
        </w:rPr>
        <w:t>份，受托人</w:t>
      </w:r>
      <w:r>
        <w:rPr>
          <w:rFonts w:hint="eastAsia" w:ascii="宋体" w:hAnsi="宋体" w:eastAsia="宋体" w:cs="宋体"/>
          <w:color w:val="auto"/>
          <w:sz w:val="21"/>
          <w:szCs w:val="21"/>
          <w:highlight w:val="none"/>
          <w:u w:val="single"/>
          <w:lang w:eastAsia="zh-CN"/>
        </w:rPr>
        <w:t>  </w:t>
      </w:r>
      <w:r>
        <w:rPr>
          <w:rFonts w:hint="eastAsia" w:ascii="宋体" w:hAnsi="宋体" w:eastAsia="宋体" w:cs="宋体"/>
          <w:color w:val="auto"/>
          <w:sz w:val="21"/>
          <w:szCs w:val="21"/>
          <w:highlight w:val="none"/>
          <w:lang w:eastAsia="zh-CN"/>
        </w:rPr>
        <w:t>份。各份均具有同等法律效力。</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2.合同的组成</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合同及本合同履行过程中双方以书面形式签署的补充和修正文件作为组成本合同的文件；当合同文件内容出现含糊不清或不相一致时，应在不影响招标（采购）代理业务正常进行的情况下，由委托人和受托人协商解决。双方协商不成时，按本合同关于争议的约定处理。</w:t>
      </w:r>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3.补充条款</w:t>
      </w:r>
      <w:r>
        <w:rPr>
          <w:rFonts w:hint="eastAsia" w:ascii="宋体" w:hAnsi="宋体" w:eastAsia="宋体" w:cs="宋体"/>
          <w:color w:val="auto"/>
          <w:sz w:val="21"/>
          <w:szCs w:val="21"/>
          <w:highlight w:val="none"/>
          <w:u w:val="single"/>
          <w:lang w:eastAsia="zh-CN"/>
        </w:rPr>
        <w:t xml:space="preserve">                                                  </w:t>
      </w:r>
    </w:p>
    <w:p>
      <w:pPr>
        <w:pStyle w:val="2"/>
        <w:numPr>
          <w:ilvl w:val="0"/>
          <w:numId w:val="0"/>
        </w:numPr>
        <w:tabs>
          <w:tab w:val="clear" w:pos="360"/>
        </w:tabs>
        <w:spacing w:before="120" w:after="240" w:afterLines="100"/>
        <w:ind w:firstLine="422" w:firstLineChars="200"/>
        <w:jc w:val="left"/>
        <w:rPr>
          <w:rFonts w:hint="eastAsia" w:ascii="宋体" w:hAnsi="宋体" w:eastAsia="宋体" w:cs="宋体"/>
          <w:color w:val="auto"/>
          <w:sz w:val="21"/>
          <w:szCs w:val="21"/>
          <w:highlight w:val="none"/>
          <w:lang w:eastAsia="zh-CN"/>
        </w:rPr>
      </w:pPr>
      <w:bookmarkStart w:id="494" w:name="_Toc22407"/>
      <w:r>
        <w:rPr>
          <w:rFonts w:hint="eastAsia" w:ascii="宋体" w:hAnsi="宋体" w:eastAsia="宋体" w:cs="宋体"/>
          <w:color w:val="auto"/>
          <w:sz w:val="21"/>
          <w:szCs w:val="21"/>
          <w:highlight w:val="none"/>
          <w:lang w:eastAsia="zh-CN"/>
        </w:rPr>
        <w:t>十四、合同订立</w:t>
      </w:r>
      <w:bookmarkEnd w:id="494"/>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合同订立时间：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日</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合同订立地点：</w:t>
      </w:r>
      <w:r>
        <w:rPr>
          <w:rFonts w:hint="eastAsia" w:ascii="宋体" w:hAnsi="宋体" w:eastAsia="宋体" w:cs="宋体"/>
          <w:color w:val="auto"/>
          <w:sz w:val="21"/>
          <w:szCs w:val="21"/>
          <w:highlight w:val="none"/>
          <w:u w:val="single"/>
          <w:lang w:eastAsia="zh-CN"/>
        </w:rPr>
        <w:t xml:space="preserve">                            </w:t>
      </w:r>
    </w:p>
    <w:p>
      <w:pPr>
        <w:pStyle w:val="2"/>
        <w:numPr>
          <w:ilvl w:val="0"/>
          <w:numId w:val="0"/>
        </w:numPr>
        <w:tabs>
          <w:tab w:val="clear" w:pos="360"/>
        </w:tabs>
        <w:spacing w:before="120" w:after="240" w:afterLines="100"/>
        <w:ind w:firstLine="422" w:firstLineChars="200"/>
        <w:jc w:val="left"/>
        <w:rPr>
          <w:rFonts w:hint="eastAsia" w:ascii="宋体" w:hAnsi="宋体" w:eastAsia="宋体" w:cs="宋体"/>
          <w:color w:val="auto"/>
          <w:sz w:val="21"/>
          <w:szCs w:val="21"/>
          <w:highlight w:val="none"/>
          <w:lang w:eastAsia="zh-CN"/>
        </w:rPr>
      </w:pPr>
      <w:bookmarkStart w:id="495" w:name="_Toc7422"/>
      <w:r>
        <w:rPr>
          <w:rFonts w:hint="eastAsia" w:ascii="宋体" w:hAnsi="宋体" w:eastAsia="宋体" w:cs="宋体"/>
          <w:color w:val="auto"/>
          <w:sz w:val="21"/>
          <w:szCs w:val="21"/>
          <w:highlight w:val="none"/>
          <w:lang w:eastAsia="zh-CN"/>
        </w:rPr>
        <w:t>十五、合同生效</w:t>
      </w:r>
      <w:bookmarkEnd w:id="495"/>
    </w:p>
    <w:p>
      <w:pPr>
        <w:pStyle w:val="8"/>
        <w:tabs>
          <w:tab w:val="left" w:pos="9188"/>
        </w:tabs>
        <w:wordWrap w:val="0"/>
        <w:adjustRightInd w:val="0"/>
        <w:spacing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本合同双方约定</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后生效。</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p>
    <w:p>
      <w:pPr>
        <w:pStyle w:val="8"/>
        <w:tabs>
          <w:tab w:val="left" w:pos="5423"/>
        </w:tabs>
        <w:wordWrap w:val="0"/>
        <w:autoSpaceDN/>
        <w:adjustRightInd w:val="0"/>
        <w:spacing w:before="0" w:line="360" w:lineRule="auto"/>
        <w:ind w:left="269" w:leftChars="128" w:right="153" w:firstLine="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委托人（盖章）：</w:t>
      </w:r>
      <w:r>
        <w:rPr>
          <w:rFonts w:hint="eastAsia" w:ascii="宋体" w:hAnsi="宋体" w:eastAsia="宋体" w:cs="宋体"/>
          <w:color w:val="auto"/>
          <w:sz w:val="21"/>
          <w:szCs w:val="21"/>
          <w:highlight w:val="none"/>
          <w:lang w:eastAsia="zh-CN"/>
        </w:rPr>
        <w:tab/>
      </w:r>
      <w:r>
        <w:rPr>
          <w:rFonts w:hint="eastAsia" w:ascii="宋体" w:hAnsi="宋体" w:eastAsia="宋体" w:cs="宋体"/>
          <w:color w:val="auto"/>
          <w:sz w:val="21"/>
          <w:szCs w:val="21"/>
          <w:highlight w:val="none"/>
          <w:lang w:eastAsia="zh-CN"/>
        </w:rPr>
        <w:t>受托人（盖章）：</w:t>
      </w:r>
    </w:p>
    <w:p>
      <w:pPr>
        <w:pStyle w:val="8"/>
        <w:tabs>
          <w:tab w:val="left" w:pos="5423"/>
          <w:tab w:val="left" w:pos="9188"/>
        </w:tabs>
        <w:wordWrap w:val="0"/>
        <w:autoSpaceDN/>
        <w:adjustRightInd w:val="0"/>
        <w:spacing w:before="0" w:line="360" w:lineRule="auto"/>
        <w:ind w:left="269" w:leftChars="128" w:right="153" w:firstLine="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法定代表人</w:t>
      </w:r>
      <w:r>
        <w:rPr>
          <w:rFonts w:hint="eastAsia" w:ascii="宋体" w:hAnsi="宋体" w:eastAsia="宋体" w:cs="宋体"/>
          <w:color w:val="auto"/>
          <w:sz w:val="21"/>
          <w:szCs w:val="21"/>
          <w:highlight w:val="none"/>
          <w:lang w:eastAsia="zh-CN"/>
        </w:rPr>
        <w:tab/>
      </w:r>
      <w:r>
        <w:rPr>
          <w:rFonts w:hint="eastAsia" w:ascii="宋体" w:hAnsi="宋体" w:eastAsia="宋体" w:cs="宋体"/>
          <w:color w:val="auto"/>
          <w:sz w:val="21"/>
          <w:szCs w:val="21"/>
          <w:highlight w:val="none"/>
          <w:lang w:eastAsia="zh-CN"/>
        </w:rPr>
        <w:t>法定代表人</w:t>
      </w:r>
    </w:p>
    <w:p>
      <w:pPr>
        <w:pStyle w:val="8"/>
        <w:tabs>
          <w:tab w:val="left" w:pos="5423"/>
          <w:tab w:val="left" w:pos="9188"/>
        </w:tabs>
        <w:wordWrap w:val="0"/>
        <w:autoSpaceDN/>
        <w:adjustRightInd w:val="0"/>
        <w:spacing w:before="0" w:line="360" w:lineRule="auto"/>
        <w:ind w:left="269" w:leftChars="128" w:right="153" w:firstLine="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或其授权代表（签字或盖章）：</w:t>
      </w:r>
      <w:r>
        <w:rPr>
          <w:rFonts w:hint="eastAsia" w:ascii="宋体" w:hAnsi="宋体" w:eastAsia="宋体" w:cs="宋体"/>
          <w:color w:val="auto"/>
          <w:sz w:val="21"/>
          <w:szCs w:val="21"/>
          <w:highlight w:val="none"/>
          <w:lang w:eastAsia="zh-CN"/>
        </w:rPr>
        <w:tab/>
      </w:r>
      <w:r>
        <w:rPr>
          <w:rFonts w:hint="eastAsia" w:ascii="宋体" w:hAnsi="宋体" w:eastAsia="宋体" w:cs="宋体"/>
          <w:color w:val="auto"/>
          <w:sz w:val="21"/>
          <w:szCs w:val="21"/>
          <w:highlight w:val="none"/>
          <w:lang w:eastAsia="zh-CN"/>
        </w:rPr>
        <w:t>或授权代表（签字或盖章）：</w:t>
      </w:r>
    </w:p>
    <w:p>
      <w:pPr>
        <w:pStyle w:val="8"/>
        <w:tabs>
          <w:tab w:val="left" w:pos="5423"/>
          <w:tab w:val="left" w:pos="9188"/>
        </w:tabs>
        <w:wordWrap w:val="0"/>
        <w:autoSpaceDN/>
        <w:adjustRightInd w:val="0"/>
        <w:spacing w:before="0" w:line="360" w:lineRule="auto"/>
        <w:ind w:left="269" w:leftChars="128" w:right="153" w:firstLine="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统一社会信用代码：</w:t>
      </w:r>
      <w:r>
        <w:rPr>
          <w:rFonts w:hint="eastAsia" w:ascii="宋体" w:hAnsi="宋体" w:eastAsia="宋体" w:cs="宋体"/>
          <w:color w:val="auto"/>
          <w:sz w:val="21"/>
          <w:szCs w:val="21"/>
          <w:highlight w:val="none"/>
          <w:lang w:eastAsia="zh-CN"/>
        </w:rPr>
        <w:tab/>
      </w:r>
      <w:r>
        <w:rPr>
          <w:rFonts w:hint="eastAsia" w:ascii="宋体" w:hAnsi="宋体" w:eastAsia="宋体" w:cs="宋体"/>
          <w:color w:val="auto"/>
          <w:sz w:val="21"/>
          <w:szCs w:val="21"/>
          <w:highlight w:val="none"/>
          <w:lang w:eastAsia="zh-CN"/>
        </w:rPr>
        <w:t>统一社会信用代码：</w:t>
      </w:r>
    </w:p>
    <w:p>
      <w:pPr>
        <w:pStyle w:val="8"/>
        <w:tabs>
          <w:tab w:val="left" w:pos="4678"/>
          <w:tab w:val="left" w:pos="9188"/>
        </w:tabs>
        <w:wordWrap w:val="0"/>
        <w:autoSpaceDN/>
        <w:adjustRightInd w:val="0"/>
        <w:spacing w:before="0" w:line="360" w:lineRule="auto"/>
        <w:ind w:left="269" w:leftChars="128" w:right="153" w:firstLine="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单位地址：                        单位地址：</w:t>
      </w:r>
    </w:p>
    <w:p>
      <w:pPr>
        <w:pStyle w:val="8"/>
        <w:tabs>
          <w:tab w:val="left" w:pos="5423"/>
          <w:tab w:val="left" w:pos="9188"/>
        </w:tabs>
        <w:wordWrap w:val="0"/>
        <w:autoSpaceDN/>
        <w:adjustRightInd w:val="0"/>
        <w:spacing w:before="0" w:line="360" w:lineRule="auto"/>
        <w:ind w:left="269" w:leftChars="128" w:right="153" w:firstLine="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邮政编码：</w:t>
      </w:r>
      <w:r>
        <w:rPr>
          <w:rFonts w:hint="eastAsia" w:ascii="宋体" w:hAnsi="宋体" w:eastAsia="宋体" w:cs="宋体"/>
          <w:color w:val="auto"/>
          <w:sz w:val="21"/>
          <w:szCs w:val="21"/>
          <w:highlight w:val="none"/>
          <w:lang w:eastAsia="zh-CN"/>
        </w:rPr>
        <w:tab/>
      </w:r>
      <w:r>
        <w:rPr>
          <w:rFonts w:hint="eastAsia" w:ascii="宋体" w:hAnsi="宋体" w:eastAsia="宋体" w:cs="宋体"/>
          <w:color w:val="auto"/>
          <w:sz w:val="21"/>
          <w:szCs w:val="21"/>
          <w:highlight w:val="none"/>
          <w:lang w:eastAsia="zh-CN"/>
        </w:rPr>
        <w:t>邮政编码：</w:t>
      </w:r>
    </w:p>
    <w:p>
      <w:pPr>
        <w:pStyle w:val="8"/>
        <w:tabs>
          <w:tab w:val="left" w:pos="5423"/>
          <w:tab w:val="left" w:pos="9188"/>
        </w:tabs>
        <w:wordWrap w:val="0"/>
        <w:autoSpaceDN/>
        <w:adjustRightInd w:val="0"/>
        <w:spacing w:before="0" w:line="360" w:lineRule="auto"/>
        <w:ind w:left="269" w:leftChars="128" w:right="153" w:firstLine="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联系电话：</w:t>
      </w:r>
      <w:r>
        <w:rPr>
          <w:rFonts w:hint="eastAsia" w:ascii="宋体" w:hAnsi="宋体" w:eastAsia="宋体" w:cs="宋体"/>
          <w:color w:val="auto"/>
          <w:sz w:val="21"/>
          <w:szCs w:val="21"/>
          <w:highlight w:val="none"/>
          <w:lang w:eastAsia="zh-CN"/>
        </w:rPr>
        <w:tab/>
      </w:r>
      <w:r>
        <w:rPr>
          <w:rFonts w:hint="eastAsia" w:ascii="宋体" w:hAnsi="宋体" w:eastAsia="宋体" w:cs="宋体"/>
          <w:color w:val="auto"/>
          <w:sz w:val="21"/>
          <w:szCs w:val="21"/>
          <w:highlight w:val="none"/>
          <w:lang w:eastAsia="zh-CN"/>
        </w:rPr>
        <w:t>联系电话：</w:t>
      </w:r>
    </w:p>
    <w:p>
      <w:pPr>
        <w:pStyle w:val="8"/>
        <w:tabs>
          <w:tab w:val="left" w:pos="5423"/>
          <w:tab w:val="left" w:pos="9188"/>
        </w:tabs>
        <w:wordWrap w:val="0"/>
        <w:autoSpaceDN/>
        <w:adjustRightInd w:val="0"/>
        <w:spacing w:before="0" w:line="360" w:lineRule="auto"/>
        <w:ind w:left="269" w:leftChars="128" w:right="153" w:firstLine="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传真：</w:t>
      </w:r>
      <w:r>
        <w:rPr>
          <w:rFonts w:hint="eastAsia" w:ascii="宋体" w:hAnsi="宋体" w:eastAsia="宋体" w:cs="宋体"/>
          <w:color w:val="auto"/>
          <w:sz w:val="21"/>
          <w:szCs w:val="21"/>
          <w:highlight w:val="none"/>
          <w:lang w:eastAsia="zh-CN"/>
        </w:rPr>
        <w:tab/>
      </w:r>
      <w:r>
        <w:rPr>
          <w:rFonts w:hint="eastAsia" w:ascii="宋体" w:hAnsi="宋体" w:eastAsia="宋体" w:cs="宋体"/>
          <w:color w:val="auto"/>
          <w:sz w:val="21"/>
          <w:szCs w:val="21"/>
          <w:highlight w:val="none"/>
          <w:lang w:eastAsia="zh-CN"/>
        </w:rPr>
        <w:t>传真：</w:t>
      </w:r>
    </w:p>
    <w:p>
      <w:pPr>
        <w:pStyle w:val="8"/>
        <w:tabs>
          <w:tab w:val="left" w:pos="5423"/>
          <w:tab w:val="left" w:pos="9188"/>
        </w:tabs>
        <w:wordWrap w:val="0"/>
        <w:autoSpaceDN/>
        <w:adjustRightInd w:val="0"/>
        <w:spacing w:before="0" w:line="360" w:lineRule="auto"/>
        <w:ind w:left="269" w:leftChars="128" w:right="153" w:firstLine="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电子信箱：</w:t>
      </w:r>
      <w:r>
        <w:rPr>
          <w:rFonts w:hint="eastAsia" w:ascii="宋体" w:hAnsi="宋体" w:eastAsia="宋体" w:cs="宋体"/>
          <w:color w:val="auto"/>
          <w:sz w:val="21"/>
          <w:szCs w:val="21"/>
          <w:highlight w:val="none"/>
          <w:lang w:eastAsia="zh-CN"/>
        </w:rPr>
        <w:tab/>
      </w:r>
      <w:r>
        <w:rPr>
          <w:rFonts w:hint="eastAsia" w:ascii="宋体" w:hAnsi="宋体" w:eastAsia="宋体" w:cs="宋体"/>
          <w:color w:val="auto"/>
          <w:sz w:val="21"/>
          <w:szCs w:val="21"/>
          <w:highlight w:val="none"/>
          <w:lang w:eastAsia="zh-CN"/>
        </w:rPr>
        <w:t>电子信箱：</w:t>
      </w:r>
    </w:p>
    <w:p>
      <w:pPr>
        <w:pStyle w:val="8"/>
        <w:tabs>
          <w:tab w:val="left" w:pos="5423"/>
          <w:tab w:val="left" w:pos="9188"/>
        </w:tabs>
        <w:wordWrap w:val="0"/>
        <w:autoSpaceDN/>
        <w:adjustRightInd w:val="0"/>
        <w:spacing w:before="0" w:line="360" w:lineRule="auto"/>
        <w:ind w:left="269" w:leftChars="128" w:right="153" w:firstLine="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开户银行：</w:t>
      </w:r>
      <w:r>
        <w:rPr>
          <w:rFonts w:hint="eastAsia" w:ascii="宋体" w:hAnsi="宋体" w:eastAsia="宋体" w:cs="宋体"/>
          <w:color w:val="auto"/>
          <w:sz w:val="21"/>
          <w:szCs w:val="21"/>
          <w:highlight w:val="none"/>
          <w:lang w:eastAsia="zh-CN"/>
        </w:rPr>
        <w:tab/>
      </w:r>
      <w:r>
        <w:rPr>
          <w:rFonts w:hint="eastAsia" w:ascii="宋体" w:hAnsi="宋体" w:eastAsia="宋体" w:cs="宋体"/>
          <w:color w:val="auto"/>
          <w:sz w:val="21"/>
          <w:szCs w:val="21"/>
          <w:highlight w:val="none"/>
          <w:lang w:eastAsia="zh-CN"/>
        </w:rPr>
        <w:t>开户银行：</w:t>
      </w:r>
    </w:p>
    <w:p>
      <w:pPr>
        <w:pStyle w:val="8"/>
        <w:tabs>
          <w:tab w:val="left" w:pos="5423"/>
          <w:tab w:val="left" w:pos="9188"/>
        </w:tabs>
        <w:wordWrap w:val="0"/>
        <w:autoSpaceDN/>
        <w:adjustRightInd w:val="0"/>
        <w:spacing w:before="0" w:line="360" w:lineRule="auto"/>
        <w:ind w:left="269" w:leftChars="128" w:right="153" w:firstLine="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账号：</w:t>
      </w:r>
      <w:r>
        <w:rPr>
          <w:rFonts w:hint="eastAsia" w:ascii="宋体" w:hAnsi="宋体" w:eastAsia="宋体" w:cs="宋体"/>
          <w:color w:val="auto"/>
          <w:sz w:val="21"/>
          <w:szCs w:val="21"/>
          <w:highlight w:val="none"/>
          <w:lang w:eastAsia="zh-CN"/>
        </w:rPr>
        <w:tab/>
      </w:r>
      <w:r>
        <w:rPr>
          <w:rFonts w:hint="eastAsia" w:ascii="宋体" w:hAnsi="宋体" w:eastAsia="宋体" w:cs="宋体"/>
          <w:color w:val="auto"/>
          <w:sz w:val="21"/>
          <w:szCs w:val="21"/>
          <w:highlight w:val="none"/>
          <w:lang w:eastAsia="zh-CN"/>
        </w:rPr>
        <w:t>账号：</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olor w:val="auto"/>
          <w:sz w:val="21"/>
          <w:szCs w:val="21"/>
          <w:highlight w:val="none"/>
          <w:lang w:eastAsia="zh-CN"/>
        </w:rPr>
      </w:pPr>
    </w:p>
    <w:p>
      <w:pPr>
        <w:pStyle w:val="8"/>
        <w:tabs>
          <w:tab w:val="left" w:pos="9188"/>
        </w:tabs>
        <w:wordWrap w:val="0"/>
        <w:autoSpaceDN/>
        <w:adjustRightInd w:val="0"/>
        <w:spacing w:before="0" w:line="360" w:lineRule="auto"/>
        <w:ind w:right="153" w:firstLine="540" w:firstLineChars="193"/>
        <w:jc w:val="both"/>
        <w:rPr>
          <w:rFonts w:hint="eastAsia" w:ascii="宋体" w:hAnsi="宋体" w:eastAsia="宋体"/>
          <w:color w:val="auto"/>
          <w:sz w:val="28"/>
          <w:szCs w:val="28"/>
          <w:highlight w:val="none"/>
          <w:lang w:eastAsia="zh-CN"/>
        </w:rPr>
      </w:pPr>
    </w:p>
    <w:p>
      <w:pPr>
        <w:pStyle w:val="8"/>
        <w:tabs>
          <w:tab w:val="left" w:pos="9188"/>
        </w:tabs>
        <w:wordWrap w:val="0"/>
        <w:autoSpaceDN/>
        <w:adjustRightInd w:val="0"/>
        <w:spacing w:before="0" w:line="360" w:lineRule="auto"/>
        <w:ind w:right="153" w:firstLine="540" w:firstLineChars="193"/>
        <w:jc w:val="both"/>
        <w:rPr>
          <w:rFonts w:hint="eastAsia" w:ascii="宋体" w:hAnsi="宋体" w:eastAsia="宋体"/>
          <w:color w:val="auto"/>
          <w:sz w:val="28"/>
          <w:szCs w:val="28"/>
          <w:highlight w:val="none"/>
          <w:lang w:eastAsia="zh-CN"/>
        </w:rPr>
      </w:pPr>
    </w:p>
    <w:p>
      <w:pPr>
        <w:pStyle w:val="8"/>
        <w:tabs>
          <w:tab w:val="left" w:pos="9188"/>
        </w:tabs>
        <w:wordWrap w:val="0"/>
        <w:autoSpaceDN/>
        <w:adjustRightInd w:val="0"/>
        <w:spacing w:before="0" w:line="360" w:lineRule="auto"/>
        <w:ind w:right="153" w:firstLine="540" w:firstLineChars="193"/>
        <w:jc w:val="both"/>
        <w:rPr>
          <w:rFonts w:hint="eastAsia" w:ascii="宋体" w:hAnsi="宋体" w:eastAsia="宋体"/>
          <w:color w:val="auto"/>
          <w:sz w:val="28"/>
          <w:szCs w:val="28"/>
          <w:highlight w:val="none"/>
          <w:lang w:eastAsia="zh-CN"/>
        </w:rPr>
      </w:pPr>
    </w:p>
    <w:p>
      <w:pPr>
        <w:pStyle w:val="8"/>
        <w:tabs>
          <w:tab w:val="left" w:pos="9188"/>
        </w:tabs>
        <w:wordWrap w:val="0"/>
        <w:autoSpaceDN/>
        <w:adjustRightInd w:val="0"/>
        <w:spacing w:before="0" w:line="360" w:lineRule="auto"/>
        <w:ind w:right="153" w:firstLine="540" w:firstLineChars="193"/>
        <w:jc w:val="both"/>
        <w:rPr>
          <w:rFonts w:hint="eastAsia" w:ascii="宋体" w:hAnsi="宋体" w:eastAsia="宋体"/>
          <w:color w:val="auto"/>
          <w:sz w:val="28"/>
          <w:szCs w:val="28"/>
          <w:highlight w:val="none"/>
          <w:lang w:eastAsia="zh-CN"/>
        </w:rPr>
      </w:pPr>
    </w:p>
    <w:p>
      <w:pPr>
        <w:pStyle w:val="8"/>
        <w:tabs>
          <w:tab w:val="left" w:pos="9188"/>
        </w:tabs>
        <w:wordWrap w:val="0"/>
        <w:autoSpaceDN/>
        <w:adjustRightInd w:val="0"/>
        <w:spacing w:before="0" w:line="360" w:lineRule="auto"/>
        <w:ind w:right="153" w:firstLine="540" w:firstLineChars="193"/>
        <w:jc w:val="both"/>
        <w:rPr>
          <w:rFonts w:hint="eastAsia" w:ascii="宋体" w:hAnsi="宋体" w:eastAsia="宋体"/>
          <w:color w:val="auto"/>
          <w:sz w:val="28"/>
          <w:szCs w:val="28"/>
          <w:highlight w:val="none"/>
          <w:lang w:eastAsia="zh-CN"/>
        </w:rPr>
      </w:pPr>
    </w:p>
    <w:p>
      <w:pPr>
        <w:pStyle w:val="8"/>
        <w:tabs>
          <w:tab w:val="left" w:pos="9188"/>
        </w:tabs>
        <w:wordWrap w:val="0"/>
        <w:autoSpaceDN/>
        <w:adjustRightInd w:val="0"/>
        <w:spacing w:before="0" w:line="360" w:lineRule="auto"/>
        <w:ind w:right="153" w:firstLine="540" w:firstLineChars="193"/>
        <w:jc w:val="both"/>
        <w:rPr>
          <w:rFonts w:hint="eastAsia" w:ascii="宋体" w:hAnsi="宋体" w:eastAsia="宋体"/>
          <w:color w:val="auto"/>
          <w:sz w:val="28"/>
          <w:szCs w:val="28"/>
          <w:highlight w:val="none"/>
          <w:lang w:eastAsia="zh-CN"/>
        </w:rPr>
      </w:pPr>
    </w:p>
    <w:p>
      <w:pPr>
        <w:pStyle w:val="8"/>
        <w:tabs>
          <w:tab w:val="left" w:pos="9188"/>
        </w:tabs>
        <w:wordWrap w:val="0"/>
        <w:autoSpaceDN/>
        <w:adjustRightInd w:val="0"/>
        <w:spacing w:before="0" w:line="360" w:lineRule="auto"/>
        <w:ind w:right="153" w:firstLine="540" w:firstLineChars="193"/>
        <w:jc w:val="both"/>
        <w:rPr>
          <w:rFonts w:hint="eastAsia" w:ascii="宋体" w:hAnsi="宋体" w:eastAsia="宋体"/>
          <w:color w:val="auto"/>
          <w:sz w:val="28"/>
          <w:szCs w:val="28"/>
          <w:highlight w:val="none"/>
          <w:lang w:eastAsia="zh-CN"/>
        </w:rPr>
      </w:pPr>
    </w:p>
    <w:p>
      <w:pPr>
        <w:rPr>
          <w:rFonts w:hint="eastAsia" w:ascii="黑体" w:hAnsi="黑体" w:eastAsia="黑体"/>
          <w:color w:val="auto"/>
          <w:sz w:val="36"/>
          <w:szCs w:val="36"/>
          <w:highlight w:val="none"/>
          <w:lang w:eastAsia="zh-CN"/>
        </w:rPr>
        <w:sectPr>
          <w:footerReference r:id="rId17" w:type="first"/>
          <w:footerReference r:id="rId16" w:type="default"/>
          <w:pgSz w:w="11906" w:h="16838"/>
          <w:pgMar w:top="794" w:right="746" w:bottom="680" w:left="1134" w:header="720" w:footer="720" w:gutter="0"/>
          <w:pgNumType w:fmt="decimal"/>
          <w:cols w:space="720" w:num="1"/>
          <w:titlePg/>
          <w:docGrid w:type="lines" w:linePitch="331" w:charSpace="0"/>
        </w:sectPr>
      </w:pPr>
    </w:p>
    <w:p>
      <w:pPr>
        <w:rPr>
          <w:rFonts w:hint="eastAsia" w:ascii="黑体" w:hAnsi="黑体" w:eastAsia="黑体"/>
          <w:color w:val="auto"/>
          <w:sz w:val="36"/>
          <w:szCs w:val="36"/>
          <w:highlight w:val="none"/>
          <w:lang w:eastAsia="zh-CN"/>
        </w:rPr>
      </w:pPr>
      <w:r>
        <w:rPr>
          <w:rFonts w:hint="eastAsia" w:ascii="黑体" w:hAnsi="黑体" w:eastAsia="黑体"/>
          <w:color w:val="auto"/>
          <w:sz w:val="36"/>
          <w:szCs w:val="36"/>
          <w:highlight w:val="none"/>
          <w:lang w:eastAsia="zh-CN"/>
        </w:rPr>
        <w:t>附件：</w:t>
      </w:r>
    </w:p>
    <w:p>
      <w:pPr>
        <w:jc w:val="center"/>
        <w:rPr>
          <w:rFonts w:hint="eastAsia" w:ascii="黑体" w:hAnsi="黑体" w:eastAsia="黑体"/>
          <w:color w:val="auto"/>
          <w:sz w:val="36"/>
          <w:szCs w:val="36"/>
          <w:highlight w:val="none"/>
          <w:lang w:eastAsia="zh-CN"/>
        </w:rPr>
      </w:pPr>
      <w:r>
        <w:rPr>
          <w:rFonts w:hint="eastAsia" w:ascii="黑体" w:hAnsi="黑体" w:eastAsia="黑体"/>
          <w:color w:val="auto"/>
          <w:sz w:val="36"/>
          <w:szCs w:val="36"/>
          <w:highlight w:val="none"/>
          <w:lang w:eastAsia="zh-CN"/>
        </w:rPr>
        <w:t>招标（采购）代理项目委托书</w:t>
      </w:r>
    </w:p>
    <w:p>
      <w:pPr>
        <w:pStyle w:val="8"/>
        <w:tabs>
          <w:tab w:val="left" w:pos="9188"/>
        </w:tabs>
        <w:wordWrap w:val="0"/>
        <w:autoSpaceDN/>
        <w:adjustRightInd w:val="0"/>
        <w:spacing w:before="0" w:line="360" w:lineRule="auto"/>
        <w:ind w:left="5196" w:right="153" w:hanging="3637" w:hangingChars="1732"/>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受托人：</w:t>
      </w:r>
      <w:r>
        <w:rPr>
          <w:rFonts w:hint="eastAsia" w:ascii="宋体" w:hAnsi="宋体" w:eastAsia="宋体" w:cs="宋体"/>
          <w:color w:val="auto"/>
          <w:sz w:val="21"/>
          <w:szCs w:val="21"/>
          <w:highlight w:val="none"/>
          <w:u w:val="single"/>
          <w:lang w:eastAsia="zh-CN"/>
        </w:rPr>
        <w:t xml:space="preserve">                              </w:t>
      </w:r>
    </w:p>
    <w:p>
      <w:pPr>
        <w:pStyle w:val="8"/>
        <w:tabs>
          <w:tab w:val="left" w:pos="9188"/>
        </w:tabs>
        <w:wordWrap w:val="0"/>
        <w:autoSpaceDN/>
        <w:adjustRightInd w:val="0"/>
        <w:spacing w:before="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根据我方与你方签订的《招标（采购）代理委托合同》的约定，现委托你方负责以下招标（采购）事宜，具体事项如下：</w:t>
      </w:r>
    </w:p>
    <w:p>
      <w:pPr>
        <w:pStyle w:val="8"/>
        <w:tabs>
          <w:tab w:val="left" w:pos="9188"/>
        </w:tabs>
        <w:wordWrap w:val="0"/>
        <w:autoSpaceDN/>
        <w:adjustRightInd w:val="0"/>
        <w:spacing w:before="120" w:beforeLines="50" w:after="120" w:afterLines="5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一、项目概况：</w:t>
      </w:r>
    </w:p>
    <w:p>
      <w:pPr>
        <w:pStyle w:val="8"/>
        <w:tabs>
          <w:tab w:val="left" w:pos="9188"/>
        </w:tabs>
        <w:spacing w:before="122" w:line="360" w:lineRule="auto"/>
        <w:ind w:right="153" w:firstLine="405" w:firstLineChars="193"/>
        <w:jc w:val="both"/>
        <w:rPr>
          <w:rFonts w:hint="eastAsia" w:ascii="宋体" w:hAnsi="宋体" w:eastAsia="宋体" w:cs="宋体"/>
          <w:color w:val="auto"/>
          <w:sz w:val="21"/>
          <w:szCs w:val="21"/>
          <w:highlight w:val="none"/>
          <w:u w:val="single" w:color="231F20"/>
          <w:lang w:eastAsia="zh-CN"/>
        </w:rPr>
      </w:pPr>
      <w:r>
        <w:rPr>
          <w:rFonts w:hint="eastAsia" w:ascii="宋体" w:hAnsi="宋体" w:eastAsia="宋体" w:cs="宋体"/>
          <w:color w:val="auto"/>
          <w:sz w:val="21"/>
          <w:szCs w:val="21"/>
          <w:highlight w:val="none"/>
          <w:lang w:eastAsia="zh-CN"/>
        </w:rPr>
        <w:t>项目名称：</w:t>
      </w:r>
      <w:r>
        <w:rPr>
          <w:rFonts w:hint="eastAsia" w:ascii="宋体" w:hAnsi="宋体" w:eastAsia="宋体" w:cs="宋体"/>
          <w:color w:val="auto"/>
          <w:sz w:val="21"/>
          <w:szCs w:val="21"/>
          <w:highlight w:val="none"/>
          <w:u w:val="single" w:color="231F20"/>
          <w:lang w:eastAsia="zh-CN"/>
        </w:rPr>
        <w:tab/>
      </w:r>
    </w:p>
    <w:p>
      <w:pPr>
        <w:pStyle w:val="8"/>
        <w:tabs>
          <w:tab w:val="left" w:pos="9188"/>
        </w:tabs>
        <w:spacing w:before="122" w:line="360" w:lineRule="auto"/>
        <w:ind w:right="153" w:firstLine="405" w:firstLineChars="193"/>
        <w:jc w:val="both"/>
        <w:rPr>
          <w:rFonts w:hint="eastAsia" w:ascii="宋体" w:hAnsi="宋体" w:eastAsia="宋体" w:cs="宋体"/>
          <w:color w:val="auto"/>
          <w:sz w:val="21"/>
          <w:szCs w:val="21"/>
          <w:highlight w:val="none"/>
          <w:u w:val="single" w:color="231F20"/>
          <w:lang w:eastAsia="zh-CN"/>
        </w:rPr>
      </w:pPr>
      <w:r>
        <w:rPr>
          <w:rFonts w:hint="eastAsia" w:ascii="宋体" w:hAnsi="宋体" w:eastAsia="宋体" w:cs="宋体"/>
          <w:color w:val="auto"/>
          <w:sz w:val="21"/>
          <w:szCs w:val="21"/>
          <w:highlight w:val="none"/>
          <w:lang w:eastAsia="zh-CN"/>
        </w:rPr>
        <w:t>项目预算：</w:t>
      </w:r>
      <w:r>
        <w:rPr>
          <w:rFonts w:hint="eastAsia" w:ascii="宋体" w:hAnsi="宋体" w:eastAsia="宋体" w:cs="宋体"/>
          <w:color w:val="auto"/>
          <w:sz w:val="21"/>
          <w:szCs w:val="21"/>
          <w:highlight w:val="none"/>
          <w:u w:val="single" w:color="231F20"/>
          <w:lang w:eastAsia="zh-CN"/>
        </w:rPr>
        <w:tab/>
      </w:r>
    </w:p>
    <w:p>
      <w:pPr>
        <w:pStyle w:val="8"/>
        <w:tabs>
          <w:tab w:val="left" w:pos="9188"/>
        </w:tabs>
        <w:spacing w:before="122"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采购方式：</w:t>
      </w:r>
      <w:r>
        <w:rPr>
          <w:rFonts w:hint="eastAsia" w:ascii="宋体" w:hAnsi="宋体" w:eastAsia="宋体" w:cs="宋体"/>
          <w:color w:val="auto"/>
          <w:sz w:val="21"/>
          <w:szCs w:val="21"/>
          <w:highlight w:val="none"/>
          <w:u w:val="single" w:color="231F20"/>
          <w:lang w:eastAsia="zh-CN"/>
        </w:rPr>
        <w:tab/>
      </w:r>
    </w:p>
    <w:p>
      <w:pPr>
        <w:pStyle w:val="8"/>
        <w:tabs>
          <w:tab w:val="left" w:pos="9188"/>
        </w:tabs>
        <w:spacing w:before="122" w:line="360" w:lineRule="auto"/>
        <w:ind w:right="153" w:firstLine="405" w:firstLineChars="193"/>
        <w:jc w:val="both"/>
        <w:rPr>
          <w:rFonts w:hint="eastAsia" w:ascii="宋体" w:hAnsi="宋体" w:eastAsia="宋体" w:cs="宋体"/>
          <w:color w:val="auto"/>
          <w:sz w:val="21"/>
          <w:szCs w:val="21"/>
          <w:highlight w:val="none"/>
          <w:u w:val="single" w:color="231F20"/>
          <w:lang w:eastAsia="zh-CN"/>
        </w:rPr>
      </w:pPr>
      <w:r>
        <w:rPr>
          <w:rFonts w:hint="eastAsia" w:ascii="宋体" w:hAnsi="宋体" w:eastAsia="宋体" w:cs="宋体"/>
          <w:color w:val="auto"/>
          <w:sz w:val="21"/>
          <w:szCs w:val="21"/>
          <w:highlight w:val="none"/>
          <w:lang w:eastAsia="zh-CN"/>
        </w:rPr>
        <w:t>标段划分：</w:t>
      </w:r>
      <w:r>
        <w:rPr>
          <w:rFonts w:hint="eastAsia" w:ascii="宋体" w:hAnsi="宋体" w:eastAsia="宋体" w:cs="宋体"/>
          <w:color w:val="auto"/>
          <w:sz w:val="21"/>
          <w:szCs w:val="21"/>
          <w:highlight w:val="none"/>
          <w:u w:val="single" w:color="231F20"/>
          <w:lang w:eastAsia="zh-CN"/>
        </w:rPr>
        <w:tab/>
      </w:r>
    </w:p>
    <w:p>
      <w:pPr>
        <w:pStyle w:val="8"/>
        <w:tabs>
          <w:tab w:val="left" w:pos="9188"/>
        </w:tabs>
        <w:wordWrap w:val="0"/>
        <w:autoSpaceDN/>
        <w:adjustRightInd w:val="0"/>
        <w:spacing w:before="120" w:beforeLines="50" w:after="120" w:afterLines="50" w:line="360" w:lineRule="auto"/>
        <w:ind w:right="153" w:firstLine="405" w:firstLineChars="193"/>
        <w:jc w:val="both"/>
        <w:rPr>
          <w:rFonts w:hint="eastAsia" w:ascii="宋体" w:hAnsi="宋体" w:eastAsia="宋体" w:cs="宋体"/>
          <w:color w:val="auto"/>
          <w:sz w:val="21"/>
          <w:szCs w:val="21"/>
          <w:highlight w:val="none"/>
          <w:u w:val="single" w:color="231F20"/>
          <w:lang w:eastAsia="zh-CN"/>
        </w:rPr>
      </w:pPr>
      <w:r>
        <w:rPr>
          <w:rFonts w:hint="eastAsia" w:ascii="宋体" w:hAnsi="宋体" w:eastAsia="宋体" w:cs="宋体"/>
          <w:color w:val="auto"/>
          <w:sz w:val="21"/>
          <w:szCs w:val="21"/>
          <w:highlight w:val="none"/>
          <w:lang w:eastAsia="zh-CN"/>
        </w:rPr>
        <w:t>二、委托人联系人及电话：</w:t>
      </w:r>
      <w:r>
        <w:rPr>
          <w:rFonts w:hint="eastAsia" w:ascii="宋体" w:hAnsi="宋体" w:eastAsia="宋体" w:cs="宋体"/>
          <w:color w:val="auto"/>
          <w:sz w:val="21"/>
          <w:szCs w:val="21"/>
          <w:highlight w:val="none"/>
          <w:u w:val="single" w:color="231F20"/>
          <w:lang w:eastAsia="zh-CN"/>
        </w:rPr>
        <w:tab/>
      </w:r>
    </w:p>
    <w:p>
      <w:pPr>
        <w:pStyle w:val="8"/>
        <w:tabs>
          <w:tab w:val="left" w:pos="9188"/>
        </w:tabs>
        <w:wordWrap w:val="0"/>
        <w:autoSpaceDN/>
        <w:adjustRightInd w:val="0"/>
        <w:spacing w:before="120" w:beforeLines="50" w:after="120" w:afterLines="5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三、委托内容：</w:t>
      </w:r>
      <w:r>
        <w:rPr>
          <w:rFonts w:hint="eastAsia" w:ascii="宋体" w:hAnsi="宋体" w:eastAsia="宋体" w:cs="宋体"/>
          <w:color w:val="auto"/>
          <w:sz w:val="21"/>
          <w:szCs w:val="21"/>
          <w:highlight w:val="none"/>
          <w:u w:val="single" w:color="231F20"/>
          <w:lang w:eastAsia="zh-CN"/>
        </w:rPr>
        <w:tab/>
      </w:r>
    </w:p>
    <w:p>
      <w:pPr>
        <w:pStyle w:val="8"/>
        <w:tabs>
          <w:tab w:val="left" w:pos="9188"/>
        </w:tabs>
        <w:wordWrap w:val="0"/>
        <w:autoSpaceDN/>
        <w:adjustRightInd w:val="0"/>
        <w:spacing w:before="120" w:beforeLines="50" w:after="120" w:afterLines="50" w:line="360" w:lineRule="auto"/>
        <w:ind w:right="153" w:firstLine="405" w:firstLineChars="193"/>
        <w:jc w:val="both"/>
        <w:rPr>
          <w:rFonts w:hint="eastAsia" w:ascii="宋体" w:hAnsi="宋体" w:eastAsia="宋体" w:cs="宋体"/>
          <w:color w:val="auto"/>
          <w:sz w:val="21"/>
          <w:szCs w:val="21"/>
          <w:highlight w:val="none"/>
          <w:u w:val="single" w:color="231F20"/>
          <w:lang w:eastAsia="zh-CN"/>
        </w:rPr>
      </w:pPr>
      <w:r>
        <w:rPr>
          <w:rFonts w:hint="eastAsia" w:ascii="宋体" w:hAnsi="宋体" w:eastAsia="宋体" w:cs="宋体"/>
          <w:color w:val="auto"/>
          <w:sz w:val="21"/>
          <w:szCs w:val="21"/>
          <w:highlight w:val="none"/>
          <w:u w:val="single" w:color="231F20"/>
          <w:lang w:eastAsia="zh-CN"/>
        </w:rPr>
        <w:tab/>
      </w:r>
    </w:p>
    <w:p>
      <w:pPr>
        <w:pStyle w:val="8"/>
        <w:tabs>
          <w:tab w:val="left" w:pos="9188"/>
        </w:tabs>
        <w:wordWrap w:val="0"/>
        <w:autoSpaceDN/>
        <w:adjustRightInd w:val="0"/>
        <w:spacing w:before="120" w:beforeLines="50" w:after="120" w:afterLines="50" w:line="360" w:lineRule="auto"/>
        <w:ind w:right="153" w:firstLine="405" w:firstLineChars="193"/>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color="231F20"/>
          <w:lang w:eastAsia="zh-CN"/>
        </w:rPr>
        <w:tab/>
      </w:r>
    </w:p>
    <w:p>
      <w:pPr>
        <w:pStyle w:val="8"/>
        <w:tabs>
          <w:tab w:val="left" w:pos="9188"/>
        </w:tabs>
        <w:wordWrap w:val="0"/>
        <w:autoSpaceDN/>
        <w:adjustRightInd w:val="0"/>
        <w:spacing w:before="120" w:beforeLines="50" w:after="120" w:afterLines="50" w:line="360" w:lineRule="auto"/>
        <w:ind w:right="153" w:firstLine="405" w:firstLineChars="193"/>
        <w:jc w:val="both"/>
        <w:rPr>
          <w:rFonts w:hint="eastAsia" w:ascii="宋体" w:hAnsi="宋体" w:eastAsia="宋体" w:cs="宋体"/>
          <w:color w:val="auto"/>
          <w:sz w:val="21"/>
          <w:szCs w:val="21"/>
          <w:highlight w:val="none"/>
          <w:u w:val="single" w:color="231F20"/>
          <w:lang w:eastAsia="zh-CN"/>
        </w:rPr>
      </w:pPr>
      <w:r>
        <w:rPr>
          <w:rFonts w:hint="eastAsia" w:ascii="宋体" w:hAnsi="宋体" w:eastAsia="宋体" w:cs="宋体"/>
          <w:color w:val="auto"/>
          <w:sz w:val="21"/>
          <w:szCs w:val="21"/>
          <w:highlight w:val="none"/>
          <w:lang w:eastAsia="zh-CN"/>
        </w:rPr>
        <w:t>四、其他事宜：</w:t>
      </w:r>
      <w:r>
        <w:rPr>
          <w:rFonts w:hint="eastAsia" w:ascii="宋体" w:hAnsi="宋体" w:eastAsia="宋体" w:cs="宋体"/>
          <w:color w:val="auto"/>
          <w:sz w:val="21"/>
          <w:szCs w:val="21"/>
          <w:highlight w:val="none"/>
          <w:u w:val="single" w:color="231F20"/>
          <w:lang w:eastAsia="zh-CN"/>
        </w:rPr>
        <w:tab/>
      </w:r>
    </w:p>
    <w:p>
      <w:pPr>
        <w:pStyle w:val="8"/>
        <w:tabs>
          <w:tab w:val="left" w:pos="9188"/>
        </w:tabs>
        <w:wordWrap w:val="0"/>
        <w:autoSpaceDN/>
        <w:adjustRightInd w:val="0"/>
        <w:spacing w:before="120" w:beforeLines="50" w:after="120" w:afterLines="50" w:line="360" w:lineRule="auto"/>
        <w:ind w:right="153" w:firstLine="4145" w:firstLineChars="1974"/>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委托人（盖章）：</w:t>
      </w:r>
    </w:p>
    <w:p>
      <w:pPr>
        <w:pStyle w:val="8"/>
        <w:tabs>
          <w:tab w:val="left" w:pos="9188"/>
        </w:tabs>
        <w:wordWrap w:val="0"/>
        <w:autoSpaceDN/>
        <w:adjustRightInd w:val="0"/>
        <w:spacing w:before="120" w:beforeLines="50" w:after="120" w:afterLines="50" w:line="360" w:lineRule="auto"/>
        <w:ind w:right="153" w:firstLine="4145" w:firstLineChars="1974"/>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时间：</w:t>
      </w:r>
    </w:p>
    <w:p>
      <w:pPr>
        <w:pStyle w:val="30"/>
        <w:rPr>
          <w:rFonts w:hint="eastAsia" w:ascii="宋体" w:hAnsi="宋体" w:eastAsia="宋体" w:cs="宋体"/>
          <w:bCs w:val="0"/>
          <w:color w:val="auto"/>
          <w:kern w:val="44"/>
          <w:sz w:val="21"/>
          <w:szCs w:val="21"/>
          <w:highlight w:val="none"/>
        </w:rPr>
        <w:sectPr>
          <w:pgSz w:w="11906" w:h="16838"/>
          <w:pgMar w:top="794" w:right="746" w:bottom="680" w:left="1134" w:header="720" w:footer="720" w:gutter="0"/>
          <w:pgNumType w:fmt="decimal"/>
          <w:cols w:space="720" w:num="1"/>
          <w:titlePg/>
          <w:docGrid w:type="lines" w:linePitch="331" w:charSpace="0"/>
        </w:sectPr>
      </w:pPr>
    </w:p>
    <w:p>
      <w:pPr>
        <w:jc w:val="center"/>
        <w:outlineLvl w:val="0"/>
        <w:rPr>
          <w:rFonts w:hint="eastAsia" w:ascii="黑体" w:hAnsi="黑体" w:eastAsia="黑体" w:cs="黑体"/>
          <w:b/>
          <w:color w:val="auto"/>
          <w:sz w:val="36"/>
          <w:highlight w:val="none"/>
        </w:rPr>
      </w:pPr>
      <w:bookmarkStart w:id="496" w:name="_Toc18058"/>
      <w:bookmarkStart w:id="497" w:name="_Toc19067"/>
      <w:bookmarkStart w:id="498" w:name="_Toc996"/>
      <w:bookmarkStart w:id="499" w:name="_Toc2721"/>
      <w:bookmarkStart w:id="500" w:name="_Toc28081"/>
      <w:bookmarkStart w:id="501" w:name="_Toc507"/>
      <w:bookmarkStart w:id="502" w:name="_Toc26883"/>
      <w:r>
        <w:rPr>
          <w:rStyle w:val="38"/>
          <w:rFonts w:hint="eastAsia" w:ascii="黑体" w:hAnsi="黑体" w:eastAsia="黑体" w:cs="黑体"/>
          <w:vanish w:val="0"/>
          <w:color w:val="auto"/>
          <w:sz w:val="52"/>
          <w:szCs w:val="52"/>
          <w:highlight w:val="none"/>
          <w:lang w:val="en-US" w:eastAsia="zh-CN"/>
        </w:rPr>
        <w:t>第</w:t>
      </w:r>
      <w:r>
        <w:rPr>
          <w:rStyle w:val="38"/>
          <w:rFonts w:hint="eastAsia" w:ascii="黑体" w:hAnsi="黑体" w:eastAsia="黑体" w:cs="黑体"/>
          <w:color w:val="auto"/>
          <w:sz w:val="52"/>
          <w:szCs w:val="52"/>
          <w:highlight w:val="none"/>
          <w:lang w:val="en-US" w:eastAsia="zh-CN"/>
        </w:rPr>
        <w:t>六</w:t>
      </w:r>
      <w:r>
        <w:rPr>
          <w:rStyle w:val="38"/>
          <w:rFonts w:hint="eastAsia" w:ascii="黑体" w:hAnsi="黑体" w:eastAsia="黑体" w:cs="黑体"/>
          <w:vanish w:val="0"/>
          <w:color w:val="auto"/>
          <w:sz w:val="52"/>
          <w:szCs w:val="52"/>
          <w:highlight w:val="none"/>
          <w:lang w:val="en-US" w:eastAsia="zh-CN"/>
        </w:rPr>
        <w:t>章  投标文件格式</w:t>
      </w:r>
      <w:bookmarkEnd w:id="496"/>
      <w:bookmarkEnd w:id="497"/>
      <w:bookmarkEnd w:id="498"/>
      <w:bookmarkEnd w:id="499"/>
      <w:bookmarkEnd w:id="500"/>
      <w:bookmarkEnd w:id="501"/>
      <w:bookmarkEnd w:id="502"/>
    </w:p>
    <w:p>
      <w:pPr>
        <w:pStyle w:val="14"/>
        <w:spacing w:line="780" w:lineRule="exact"/>
        <w:jc w:val="center"/>
        <w:rPr>
          <w:rFonts w:hint="eastAsia" w:ascii="黑体" w:hAnsi="黑体" w:eastAsia="黑体" w:cs="黑体"/>
          <w:b/>
          <w:color w:val="auto"/>
          <w:kern w:val="0"/>
          <w:sz w:val="36"/>
          <w:szCs w:val="36"/>
          <w:highlight w:val="none"/>
          <w:u w:val="single"/>
        </w:rPr>
      </w:pPr>
    </w:p>
    <w:p>
      <w:pPr>
        <w:pStyle w:val="14"/>
        <w:spacing w:line="780" w:lineRule="exact"/>
        <w:jc w:val="center"/>
        <w:outlineLvl w:val="9"/>
        <w:rPr>
          <w:rFonts w:hint="eastAsia" w:ascii="黑体" w:hAnsi="黑体" w:eastAsia="黑体" w:cs="黑体"/>
          <w:b/>
          <w:color w:val="auto"/>
          <w:kern w:val="0"/>
          <w:sz w:val="44"/>
          <w:szCs w:val="44"/>
          <w:highlight w:val="none"/>
          <w:u w:val="none"/>
          <w:lang w:val="en-US" w:eastAsia="zh-CN"/>
        </w:rPr>
      </w:pPr>
      <w:r>
        <w:rPr>
          <w:rFonts w:hint="eastAsia" w:ascii="黑体" w:hAnsi="黑体" w:eastAsia="黑体" w:cs="黑体"/>
          <w:b/>
          <w:color w:val="auto"/>
          <w:kern w:val="0"/>
          <w:sz w:val="44"/>
          <w:szCs w:val="44"/>
          <w:highlight w:val="none"/>
          <w:u w:val="none"/>
          <w:lang w:val="en-US" w:eastAsia="zh-CN"/>
        </w:rPr>
        <w:t>双江自治县第一完全中学高中部百货店经营权</w:t>
      </w:r>
    </w:p>
    <w:p>
      <w:pPr>
        <w:pStyle w:val="14"/>
        <w:spacing w:line="780" w:lineRule="exact"/>
        <w:jc w:val="center"/>
        <w:outlineLvl w:val="9"/>
        <w:rPr>
          <w:rFonts w:hint="eastAsia" w:ascii="黑体" w:hAnsi="黑体" w:eastAsia="黑体" w:cs="黑体"/>
          <w:b/>
          <w:color w:val="auto"/>
          <w:kern w:val="0"/>
          <w:sz w:val="44"/>
          <w:szCs w:val="44"/>
          <w:highlight w:val="none"/>
          <w:u w:val="none"/>
          <w:lang w:eastAsia="zh-CN"/>
        </w:rPr>
      </w:pPr>
      <w:r>
        <w:rPr>
          <w:rFonts w:hint="eastAsia" w:ascii="黑体" w:hAnsi="黑体" w:eastAsia="黑体" w:cs="黑体"/>
          <w:b/>
          <w:color w:val="auto"/>
          <w:kern w:val="0"/>
          <w:sz w:val="44"/>
          <w:szCs w:val="44"/>
          <w:highlight w:val="none"/>
          <w:u w:val="none"/>
          <w:lang w:val="en-US" w:eastAsia="zh-CN"/>
        </w:rPr>
        <w:t>承包项目招标代理机构服务</w:t>
      </w:r>
    </w:p>
    <w:p>
      <w:pPr>
        <w:pStyle w:val="14"/>
        <w:spacing w:line="780" w:lineRule="exact"/>
        <w:jc w:val="center"/>
        <w:outlineLvl w:val="9"/>
        <w:rPr>
          <w:rFonts w:hint="eastAsia" w:ascii="黑体" w:hAnsi="黑体" w:eastAsia="黑体" w:cs="黑体"/>
          <w:b/>
          <w:color w:val="auto"/>
          <w:sz w:val="32"/>
          <w:highlight w:val="none"/>
        </w:rPr>
      </w:pPr>
    </w:p>
    <w:p>
      <w:pPr>
        <w:pStyle w:val="14"/>
        <w:spacing w:line="500" w:lineRule="exact"/>
        <w:jc w:val="center"/>
        <w:outlineLvl w:val="9"/>
        <w:rPr>
          <w:rFonts w:hint="eastAsia" w:ascii="黑体" w:hAnsi="黑体" w:eastAsia="黑体" w:cs="黑体"/>
          <w:b/>
          <w:color w:val="auto"/>
          <w:sz w:val="32"/>
          <w:highlight w:val="none"/>
        </w:rPr>
      </w:pPr>
    </w:p>
    <w:p>
      <w:pPr>
        <w:pStyle w:val="14"/>
        <w:spacing w:line="500" w:lineRule="exact"/>
        <w:jc w:val="center"/>
        <w:outlineLvl w:val="9"/>
        <w:rPr>
          <w:rFonts w:hint="eastAsia" w:ascii="黑体" w:hAnsi="黑体" w:eastAsia="黑体" w:cs="黑体"/>
          <w:b/>
          <w:color w:val="auto"/>
          <w:sz w:val="32"/>
          <w:highlight w:val="none"/>
        </w:rPr>
      </w:pPr>
    </w:p>
    <w:p>
      <w:pPr>
        <w:pStyle w:val="14"/>
        <w:spacing w:line="500" w:lineRule="exact"/>
        <w:outlineLvl w:val="9"/>
        <w:rPr>
          <w:rFonts w:hint="eastAsia" w:ascii="黑体" w:hAnsi="黑体" w:eastAsia="黑体" w:cs="黑体"/>
          <w:b/>
          <w:color w:val="auto"/>
          <w:sz w:val="32"/>
          <w:highlight w:val="none"/>
        </w:rPr>
      </w:pPr>
    </w:p>
    <w:p>
      <w:pPr>
        <w:pStyle w:val="14"/>
        <w:spacing w:line="500" w:lineRule="exact"/>
        <w:jc w:val="center"/>
        <w:outlineLvl w:val="9"/>
        <w:rPr>
          <w:rFonts w:hint="eastAsia" w:ascii="黑体" w:hAnsi="黑体" w:eastAsia="黑体" w:cs="黑体"/>
          <w:b/>
          <w:color w:val="auto"/>
          <w:sz w:val="32"/>
          <w:highlight w:val="none"/>
        </w:rPr>
      </w:pPr>
    </w:p>
    <w:p>
      <w:pPr>
        <w:pStyle w:val="14"/>
        <w:spacing w:line="500" w:lineRule="exact"/>
        <w:jc w:val="center"/>
        <w:outlineLvl w:val="9"/>
        <w:rPr>
          <w:rFonts w:hint="eastAsia" w:ascii="黑体" w:hAnsi="黑体" w:eastAsia="黑体" w:cs="黑体"/>
          <w:b/>
          <w:color w:val="auto"/>
          <w:sz w:val="32"/>
          <w:highlight w:val="none"/>
        </w:rPr>
      </w:pPr>
    </w:p>
    <w:p>
      <w:pPr>
        <w:pStyle w:val="14"/>
        <w:spacing w:line="780" w:lineRule="exact"/>
        <w:jc w:val="center"/>
        <w:outlineLvl w:val="9"/>
        <w:rPr>
          <w:rFonts w:hint="eastAsia" w:ascii="黑体" w:hAnsi="黑体" w:eastAsia="黑体" w:cs="黑体"/>
          <w:b/>
          <w:color w:val="auto"/>
          <w:sz w:val="52"/>
          <w:szCs w:val="52"/>
          <w:highlight w:val="none"/>
        </w:rPr>
      </w:pPr>
      <w:r>
        <w:rPr>
          <w:rFonts w:hint="eastAsia" w:ascii="黑体" w:hAnsi="黑体" w:eastAsia="黑体" w:cs="黑体"/>
          <w:b/>
          <w:color w:val="auto"/>
          <w:sz w:val="52"/>
          <w:szCs w:val="52"/>
          <w:highlight w:val="none"/>
        </w:rPr>
        <w:t>投  标  文  件</w:t>
      </w:r>
    </w:p>
    <w:p>
      <w:pPr>
        <w:pStyle w:val="14"/>
        <w:spacing w:line="500" w:lineRule="exact"/>
        <w:jc w:val="center"/>
        <w:outlineLvl w:val="9"/>
        <w:rPr>
          <w:rFonts w:hint="eastAsia" w:ascii="黑体" w:hAnsi="黑体" w:eastAsia="黑体" w:cs="黑体"/>
          <w:b/>
          <w:color w:val="auto"/>
          <w:sz w:val="72"/>
          <w:highlight w:val="none"/>
          <w:lang w:eastAsia="zh-CN"/>
        </w:rPr>
      </w:pPr>
      <w:r>
        <w:rPr>
          <w:rFonts w:hint="eastAsia" w:ascii="黑体" w:hAnsi="黑体" w:eastAsia="黑体" w:cs="黑体"/>
          <w:b/>
          <w:bCs/>
          <w:color w:val="auto"/>
          <w:kern w:val="0"/>
          <w:sz w:val="24"/>
          <w:szCs w:val="24"/>
          <w:highlight w:val="none"/>
          <w:lang w:eastAsia="zh-CN"/>
        </w:rPr>
        <w:t>项目编号</w:t>
      </w:r>
      <w:r>
        <w:rPr>
          <w:rFonts w:hint="eastAsia" w:ascii="黑体" w:hAnsi="黑体" w:eastAsia="黑体" w:cs="黑体"/>
          <w:b/>
          <w:bCs/>
          <w:color w:val="auto"/>
          <w:kern w:val="0"/>
          <w:sz w:val="24"/>
          <w:szCs w:val="24"/>
          <w:highlight w:val="none"/>
        </w:rPr>
        <w:t>：</w:t>
      </w:r>
    </w:p>
    <w:p>
      <w:pPr>
        <w:pStyle w:val="14"/>
        <w:spacing w:line="500" w:lineRule="exact"/>
        <w:jc w:val="center"/>
        <w:outlineLvl w:val="9"/>
        <w:rPr>
          <w:rFonts w:hint="eastAsia" w:ascii="黑体" w:hAnsi="黑体" w:eastAsia="黑体" w:cs="黑体"/>
          <w:b/>
          <w:color w:val="auto"/>
          <w:sz w:val="72"/>
          <w:highlight w:val="none"/>
        </w:rPr>
      </w:pPr>
    </w:p>
    <w:p>
      <w:pPr>
        <w:pStyle w:val="14"/>
        <w:spacing w:line="500" w:lineRule="exact"/>
        <w:jc w:val="center"/>
        <w:outlineLvl w:val="9"/>
        <w:rPr>
          <w:rFonts w:hint="eastAsia" w:ascii="黑体" w:hAnsi="黑体" w:eastAsia="黑体" w:cs="黑体"/>
          <w:b/>
          <w:color w:val="auto"/>
          <w:sz w:val="72"/>
          <w:highlight w:val="none"/>
        </w:rPr>
      </w:pPr>
    </w:p>
    <w:p>
      <w:pPr>
        <w:pStyle w:val="14"/>
        <w:spacing w:line="500" w:lineRule="exact"/>
        <w:jc w:val="center"/>
        <w:outlineLvl w:val="9"/>
        <w:rPr>
          <w:rFonts w:hint="eastAsia" w:ascii="黑体" w:hAnsi="黑体" w:eastAsia="黑体" w:cs="黑体"/>
          <w:b/>
          <w:color w:val="auto"/>
          <w:sz w:val="72"/>
          <w:highlight w:val="none"/>
        </w:rPr>
      </w:pPr>
    </w:p>
    <w:p>
      <w:pPr>
        <w:pStyle w:val="14"/>
        <w:spacing w:line="500" w:lineRule="exact"/>
        <w:jc w:val="center"/>
        <w:outlineLvl w:val="9"/>
        <w:rPr>
          <w:rFonts w:hint="eastAsia" w:ascii="黑体" w:hAnsi="黑体" w:eastAsia="黑体" w:cs="黑体"/>
          <w:b/>
          <w:color w:val="auto"/>
          <w:sz w:val="72"/>
          <w:highlight w:val="none"/>
        </w:rPr>
      </w:pPr>
    </w:p>
    <w:p>
      <w:pPr>
        <w:pStyle w:val="14"/>
        <w:spacing w:line="500" w:lineRule="exact"/>
        <w:jc w:val="center"/>
        <w:outlineLvl w:val="9"/>
        <w:rPr>
          <w:rFonts w:hint="eastAsia" w:ascii="黑体" w:hAnsi="黑体" w:eastAsia="黑体" w:cs="黑体"/>
          <w:b/>
          <w:color w:val="auto"/>
          <w:sz w:val="72"/>
          <w:highlight w:val="none"/>
        </w:rPr>
      </w:pPr>
    </w:p>
    <w:p>
      <w:pPr>
        <w:pStyle w:val="14"/>
        <w:spacing w:line="500" w:lineRule="exact"/>
        <w:outlineLvl w:val="9"/>
        <w:rPr>
          <w:rFonts w:hint="eastAsia" w:ascii="黑体" w:hAnsi="黑体" w:eastAsia="黑体" w:cs="黑体"/>
          <w:b/>
          <w:color w:val="auto"/>
          <w:sz w:val="72"/>
          <w:highlight w:val="none"/>
        </w:rPr>
      </w:pPr>
    </w:p>
    <w:p>
      <w:pPr>
        <w:pStyle w:val="14"/>
        <w:spacing w:line="500" w:lineRule="exact"/>
        <w:jc w:val="center"/>
        <w:outlineLvl w:val="9"/>
        <w:rPr>
          <w:rFonts w:hint="eastAsia" w:ascii="黑体" w:hAnsi="黑体" w:eastAsia="黑体" w:cs="黑体"/>
          <w:b/>
          <w:color w:val="auto"/>
          <w:sz w:val="72"/>
          <w:highlight w:val="none"/>
        </w:rPr>
      </w:pPr>
    </w:p>
    <w:p>
      <w:pPr>
        <w:pStyle w:val="14"/>
        <w:spacing w:line="500" w:lineRule="exact"/>
        <w:jc w:val="center"/>
        <w:outlineLvl w:val="9"/>
        <w:rPr>
          <w:rFonts w:hint="eastAsia" w:ascii="黑体" w:hAnsi="黑体" w:eastAsia="黑体" w:cs="黑体"/>
          <w:b/>
          <w:color w:val="auto"/>
          <w:sz w:val="72"/>
          <w:highlight w:val="none"/>
        </w:rPr>
      </w:pPr>
    </w:p>
    <w:p>
      <w:pPr>
        <w:spacing w:line="360" w:lineRule="auto"/>
        <w:outlineLvl w:val="9"/>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投标人：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w:t>
      </w:r>
      <w:r>
        <w:rPr>
          <w:rFonts w:hint="eastAsia" w:ascii="黑体" w:hAnsi="黑体" w:eastAsia="黑体" w:cs="黑体"/>
          <w:color w:val="auto"/>
          <w:sz w:val="24"/>
          <w:highlight w:val="none"/>
          <w:lang w:eastAsia="zh-CN"/>
        </w:rPr>
        <w:t>电子公章</w:t>
      </w:r>
      <w:r>
        <w:rPr>
          <w:rFonts w:hint="eastAsia" w:ascii="黑体" w:hAnsi="黑体" w:eastAsia="黑体" w:cs="黑体"/>
          <w:color w:val="auto"/>
          <w:sz w:val="24"/>
          <w:highlight w:val="none"/>
        </w:rPr>
        <w:t>)</w:t>
      </w:r>
    </w:p>
    <w:p>
      <w:pPr>
        <w:pStyle w:val="14"/>
        <w:spacing w:line="500" w:lineRule="exact"/>
        <w:outlineLvl w:val="9"/>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法定代表人或委托代理人：</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w:t>
      </w:r>
      <w:r>
        <w:rPr>
          <w:rFonts w:hint="eastAsia" w:ascii="黑体" w:hAnsi="黑体" w:eastAsia="黑体" w:cs="黑体"/>
          <w:color w:val="auto"/>
          <w:sz w:val="24"/>
          <w:highlight w:val="none"/>
          <w:lang w:eastAsia="zh-CN"/>
        </w:rPr>
        <w:t>电子签名或电子签章</w:t>
      </w:r>
      <w:r>
        <w:rPr>
          <w:rFonts w:hint="eastAsia" w:ascii="黑体" w:hAnsi="黑体" w:eastAsia="黑体" w:cs="黑体"/>
          <w:color w:val="auto"/>
          <w:sz w:val="24"/>
          <w:highlight w:val="none"/>
        </w:rPr>
        <w:t>）</w:t>
      </w:r>
    </w:p>
    <w:p>
      <w:pPr>
        <w:pStyle w:val="14"/>
        <w:spacing w:line="500" w:lineRule="exact"/>
        <w:ind w:firstLine="480" w:firstLineChars="200"/>
        <w:jc w:val="left"/>
        <w:outlineLvl w:val="9"/>
        <w:rPr>
          <w:rFonts w:hint="eastAsia" w:ascii="黑体" w:hAnsi="黑体" w:eastAsia="黑体" w:cs="黑体"/>
          <w:color w:val="auto"/>
          <w:sz w:val="24"/>
          <w:highlight w:val="none"/>
        </w:rPr>
      </w:pPr>
      <w:r>
        <w:rPr>
          <w:rFonts w:hint="eastAsia" w:ascii="黑体" w:hAnsi="黑体" w:eastAsia="黑体" w:cs="黑体"/>
          <w:color w:val="auto"/>
          <w:sz w:val="24"/>
          <w:highlight w:val="none"/>
          <w:lang w:eastAsia="zh-CN"/>
        </w:rPr>
        <w:t>日期：</w:t>
      </w:r>
      <w:r>
        <w:rPr>
          <w:rFonts w:hint="eastAsia" w:ascii="黑体" w:hAnsi="黑体" w:eastAsia="黑体" w:cs="黑体"/>
          <w:color w:val="auto"/>
          <w:sz w:val="24"/>
          <w:highlight w:val="none"/>
        </w:rPr>
        <w:t>___________年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日</w:t>
      </w:r>
    </w:p>
    <w:p>
      <w:pPr>
        <w:pStyle w:val="14"/>
        <w:spacing w:line="500" w:lineRule="exact"/>
        <w:outlineLvl w:val="9"/>
        <w:rPr>
          <w:rFonts w:hint="eastAsia" w:hAnsi="宋体"/>
          <w:b/>
          <w:color w:val="auto"/>
          <w:sz w:val="28"/>
          <w:highlight w:val="none"/>
        </w:rPr>
      </w:pPr>
      <w:r>
        <w:rPr>
          <w:rFonts w:hint="eastAsia" w:hAnsi="宋体"/>
          <w:b/>
          <w:color w:val="auto"/>
          <w:sz w:val="28"/>
          <w:highlight w:val="none"/>
        </w:rPr>
        <w:t xml:space="preserve">  </w:t>
      </w:r>
    </w:p>
    <w:p>
      <w:pPr>
        <w:pStyle w:val="3"/>
        <w:tabs>
          <w:tab w:val="clear" w:pos="1021"/>
        </w:tabs>
        <w:ind w:left="425" w:firstLine="0"/>
        <w:jc w:val="center"/>
        <w:rPr>
          <w:rFonts w:hint="eastAsia" w:ascii="Times New Roman" w:hAnsi="Times New Roman" w:cs="Times New Roman"/>
          <w:b/>
          <w:color w:val="auto"/>
          <w:sz w:val="32"/>
          <w:szCs w:val="32"/>
          <w:highlight w:val="none"/>
        </w:rPr>
      </w:pPr>
      <w:bookmarkStart w:id="503" w:name="_Toc403511223"/>
      <w:bookmarkStart w:id="504" w:name="_Toc12283"/>
      <w:bookmarkStart w:id="505" w:name="_Toc16115"/>
      <w:bookmarkStart w:id="506" w:name="_Toc7645"/>
      <w:bookmarkStart w:id="507" w:name="_Toc14618"/>
      <w:bookmarkStart w:id="508" w:name="_Toc25439"/>
      <w:bookmarkStart w:id="509" w:name="_Toc11052"/>
      <w:bookmarkStart w:id="510" w:name="_Toc152047263"/>
      <w:bookmarkStart w:id="511" w:name="_Toc144974467"/>
      <w:bookmarkStart w:id="512" w:name="_Toc355877221"/>
      <w:bookmarkStart w:id="513" w:name="_Toc266880234"/>
      <w:bookmarkStart w:id="514" w:name="_Toc258848988"/>
      <w:bookmarkStart w:id="515" w:name="_Toc213141093"/>
      <w:r>
        <w:rPr>
          <w:rFonts w:hint="eastAsia" w:ascii="Times New Roman" w:hAnsi="Times New Roman" w:cs="Times New Roman"/>
          <w:b/>
          <w:color w:val="auto"/>
          <w:sz w:val="32"/>
          <w:szCs w:val="32"/>
          <w:highlight w:val="none"/>
          <w:lang w:eastAsia="zh-CN"/>
        </w:rPr>
        <w:t>一</w:t>
      </w:r>
      <w:r>
        <w:rPr>
          <w:rFonts w:hint="eastAsia" w:ascii="Times New Roman" w:hAnsi="Times New Roman" w:cs="Times New Roman"/>
          <w:b/>
          <w:color w:val="auto"/>
          <w:sz w:val="32"/>
          <w:szCs w:val="32"/>
          <w:highlight w:val="none"/>
        </w:rPr>
        <w:t>、</w:t>
      </w:r>
      <w:bookmarkEnd w:id="503"/>
      <w:r>
        <w:rPr>
          <w:rFonts w:hint="eastAsia" w:ascii="Times New Roman" w:hAnsi="Times New Roman" w:cs="Times New Roman"/>
          <w:b/>
          <w:color w:val="auto"/>
          <w:sz w:val="32"/>
          <w:szCs w:val="32"/>
          <w:highlight w:val="none"/>
          <w:lang w:eastAsia="zh-CN"/>
        </w:rPr>
        <w:t>开标（唱标）</w:t>
      </w:r>
      <w:r>
        <w:rPr>
          <w:rFonts w:hint="eastAsia" w:ascii="Times New Roman" w:hAnsi="Times New Roman" w:cs="Times New Roman"/>
          <w:b/>
          <w:color w:val="auto"/>
          <w:sz w:val="32"/>
          <w:szCs w:val="32"/>
          <w:highlight w:val="none"/>
        </w:rPr>
        <w:t>一览表</w:t>
      </w:r>
      <w:bookmarkEnd w:id="504"/>
      <w:bookmarkEnd w:id="505"/>
      <w:bookmarkEnd w:id="506"/>
      <w:bookmarkEnd w:id="507"/>
      <w:bookmarkEnd w:id="508"/>
      <w:bookmarkEnd w:id="509"/>
    </w:p>
    <w:p>
      <w:pPr>
        <w:pStyle w:val="14"/>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color w:val="auto"/>
          <w:sz w:val="28"/>
          <w:szCs w:val="28"/>
          <w:highlight w:val="none"/>
        </w:rPr>
      </w:pPr>
      <w:r>
        <w:rPr>
          <w:rFonts w:hint="eastAsia" w:ascii="宋体" w:hAnsi="宋体" w:eastAsia="宋体" w:cs="Times New Roman"/>
          <w:b w:val="0"/>
          <w:bCs/>
          <w:color w:val="auto"/>
          <w:sz w:val="28"/>
          <w:szCs w:val="28"/>
          <w:highlight w:val="none"/>
        </w:rPr>
        <w:t>项目名称：</w:t>
      </w:r>
    </w:p>
    <w:p>
      <w:pPr>
        <w:pStyle w:val="14"/>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color w:val="auto"/>
          <w:sz w:val="28"/>
          <w:szCs w:val="28"/>
          <w:highlight w:val="none"/>
          <w:lang w:eastAsia="zh-CN"/>
        </w:rPr>
      </w:pPr>
      <w:r>
        <w:rPr>
          <w:rFonts w:hint="eastAsia" w:ascii="宋体" w:hAnsi="宋体" w:eastAsia="宋体" w:cs="Times New Roman"/>
          <w:b w:val="0"/>
          <w:bCs/>
          <w:color w:val="auto"/>
          <w:sz w:val="28"/>
          <w:szCs w:val="28"/>
          <w:highlight w:val="none"/>
          <w:lang w:eastAsia="zh-CN"/>
        </w:rPr>
        <w:t>项目编号：</w:t>
      </w:r>
    </w:p>
    <w:tbl>
      <w:tblPr>
        <w:tblStyle w:val="36"/>
        <w:tblW w:w="957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6"/>
        <w:gridCol w:w="7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82" w:hRule="atLeast"/>
          <w:jc w:val="center"/>
        </w:trPr>
        <w:tc>
          <w:tcPr>
            <w:tcW w:w="2276" w:type="dxa"/>
            <w:tcBorders>
              <w:top w:val="single" w:color="auto" w:sz="4" w:space="0"/>
              <w:left w:val="single" w:color="auto" w:sz="4" w:space="0"/>
              <w:bottom w:val="single" w:color="auto" w:sz="4" w:space="0"/>
              <w:right w:val="single" w:color="auto" w:sz="4" w:space="0"/>
            </w:tcBorders>
            <w:vAlign w:val="center"/>
          </w:tcPr>
          <w:p>
            <w:pPr>
              <w:pStyle w:val="14"/>
              <w:jc w:val="center"/>
              <w:rPr>
                <w:rFonts w:hint="eastAsia" w:hAnsi="宋体" w:eastAsia="宋体"/>
                <w:b w:val="0"/>
                <w:bCs w:val="0"/>
                <w:color w:val="auto"/>
                <w:sz w:val="28"/>
                <w:szCs w:val="28"/>
                <w:highlight w:val="none"/>
                <w:lang w:eastAsia="zh-CN"/>
              </w:rPr>
            </w:pPr>
            <w:r>
              <w:rPr>
                <w:rFonts w:hint="eastAsia" w:hAnsi="宋体"/>
                <w:b w:val="0"/>
                <w:bCs w:val="0"/>
                <w:color w:val="auto"/>
                <w:sz w:val="28"/>
                <w:szCs w:val="28"/>
                <w:highlight w:val="none"/>
                <w:lang w:eastAsia="zh-CN"/>
              </w:rPr>
              <w:t>投标内容</w:t>
            </w:r>
          </w:p>
        </w:tc>
        <w:tc>
          <w:tcPr>
            <w:tcW w:w="7300" w:type="dxa"/>
            <w:tcBorders>
              <w:top w:val="single" w:color="auto" w:sz="4" w:space="0"/>
              <w:left w:val="single" w:color="auto" w:sz="4" w:space="0"/>
              <w:bottom w:val="single" w:color="auto" w:sz="4" w:space="0"/>
              <w:right w:val="single" w:color="auto" w:sz="4" w:space="0"/>
            </w:tcBorders>
            <w:vAlign w:val="center"/>
          </w:tcPr>
          <w:p>
            <w:pPr>
              <w:pStyle w:val="14"/>
              <w:jc w:val="center"/>
              <w:rPr>
                <w:rFonts w:hAnsi="宋体"/>
                <w:b w:val="0"/>
                <w:bCs w:val="0"/>
                <w:color w:val="auto"/>
                <w:sz w:val="28"/>
                <w:szCs w:val="28"/>
                <w:highlight w:val="none"/>
              </w:rPr>
            </w:pPr>
            <w:r>
              <w:rPr>
                <w:rFonts w:hint="eastAsia" w:hAnsi="宋体"/>
                <w:b w:val="0"/>
                <w:bCs w:val="0"/>
                <w:color w:val="auto"/>
                <w:sz w:val="28"/>
                <w:szCs w:val="28"/>
                <w:highlight w:val="none"/>
                <w:lang w:eastAsia="zh-CN"/>
              </w:rPr>
              <w:t>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08" w:hRule="atLeast"/>
          <w:jc w:val="center"/>
        </w:trPr>
        <w:tc>
          <w:tcPr>
            <w:tcW w:w="2276" w:type="dxa"/>
            <w:tcBorders>
              <w:top w:val="single" w:color="auto" w:sz="4" w:space="0"/>
              <w:left w:val="single" w:color="auto" w:sz="4" w:space="0"/>
              <w:bottom w:val="single" w:color="auto" w:sz="4" w:space="0"/>
              <w:right w:val="single" w:color="auto" w:sz="4" w:space="0"/>
            </w:tcBorders>
            <w:vAlign w:val="center"/>
          </w:tcPr>
          <w:p>
            <w:pPr>
              <w:pStyle w:val="14"/>
              <w:jc w:val="center"/>
              <w:rPr>
                <w:rFonts w:hint="eastAsia" w:hAnsi="宋体" w:eastAsia="宋体"/>
                <w:b w:val="0"/>
                <w:bCs w:val="0"/>
                <w:color w:val="auto"/>
                <w:sz w:val="28"/>
                <w:szCs w:val="28"/>
                <w:highlight w:val="none"/>
                <w:lang w:eastAsia="zh-CN"/>
              </w:rPr>
            </w:pPr>
            <w:r>
              <w:rPr>
                <w:rFonts w:hint="eastAsia" w:hAnsi="宋体" w:cs="宋体"/>
                <w:b w:val="0"/>
                <w:bCs w:val="0"/>
                <w:color w:val="auto"/>
                <w:kern w:val="0"/>
                <w:sz w:val="28"/>
                <w:szCs w:val="28"/>
                <w:highlight w:val="none"/>
                <w:lang w:eastAsia="zh-CN"/>
              </w:rPr>
              <w:t>投标报价</w:t>
            </w:r>
          </w:p>
        </w:tc>
        <w:tc>
          <w:tcPr>
            <w:tcW w:w="7300" w:type="dxa"/>
            <w:tcBorders>
              <w:top w:val="single" w:color="auto" w:sz="4" w:space="0"/>
              <w:left w:val="single" w:color="auto" w:sz="4" w:space="0"/>
              <w:bottom w:val="single" w:color="auto" w:sz="4" w:space="0"/>
              <w:right w:val="single" w:color="auto" w:sz="4" w:space="0"/>
            </w:tcBorders>
            <w:vAlign w:val="center"/>
          </w:tcPr>
          <w:p>
            <w:pPr>
              <w:pStyle w:val="14"/>
              <w:jc w:val="center"/>
              <w:rPr>
                <w:rFonts w:hint="default" w:hAnsi="宋体" w:eastAsia="宋体" w:cs="宋体"/>
                <w:b w:val="0"/>
                <w:bCs w:val="0"/>
                <w:color w:val="auto"/>
                <w:kern w:val="0"/>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87" w:hRule="atLeast"/>
          <w:jc w:val="center"/>
        </w:trPr>
        <w:tc>
          <w:tcPr>
            <w:tcW w:w="2276" w:type="dxa"/>
            <w:tcBorders>
              <w:top w:val="single" w:color="auto" w:sz="4" w:space="0"/>
              <w:left w:val="single" w:color="auto" w:sz="4" w:space="0"/>
              <w:bottom w:val="single" w:color="auto" w:sz="4" w:space="0"/>
              <w:right w:val="single" w:color="auto" w:sz="4" w:space="0"/>
            </w:tcBorders>
            <w:vAlign w:val="center"/>
          </w:tcPr>
          <w:p>
            <w:pPr>
              <w:pStyle w:val="14"/>
              <w:jc w:val="center"/>
              <w:rPr>
                <w:rFonts w:hint="default" w:hAnsi="宋体" w:eastAsia="宋体"/>
                <w:b w:val="0"/>
                <w:bCs w:val="0"/>
                <w:color w:val="auto"/>
                <w:sz w:val="28"/>
                <w:szCs w:val="28"/>
                <w:highlight w:val="none"/>
                <w:lang w:val="en-US" w:eastAsia="zh-CN"/>
              </w:rPr>
            </w:pPr>
            <w:r>
              <w:rPr>
                <w:rFonts w:hint="eastAsia" w:hAnsi="宋体"/>
                <w:b w:val="0"/>
                <w:bCs w:val="0"/>
                <w:color w:val="auto"/>
                <w:sz w:val="28"/>
                <w:szCs w:val="28"/>
                <w:highlight w:val="none"/>
                <w:lang w:eastAsia="zh-CN"/>
              </w:rPr>
              <w:t>服务</w:t>
            </w:r>
            <w:r>
              <w:rPr>
                <w:rFonts w:hint="eastAsia" w:hAnsi="宋体"/>
                <w:b w:val="0"/>
                <w:bCs w:val="0"/>
                <w:color w:val="auto"/>
                <w:sz w:val="28"/>
                <w:szCs w:val="28"/>
                <w:highlight w:val="none"/>
                <w:lang w:val="en-US" w:eastAsia="zh-CN"/>
              </w:rPr>
              <w:t>周期</w:t>
            </w:r>
          </w:p>
        </w:tc>
        <w:tc>
          <w:tcPr>
            <w:tcW w:w="7300" w:type="dxa"/>
            <w:tcBorders>
              <w:top w:val="single" w:color="auto" w:sz="4" w:space="0"/>
              <w:left w:val="single" w:color="auto" w:sz="4" w:space="0"/>
              <w:bottom w:val="single" w:color="auto" w:sz="4" w:space="0"/>
              <w:right w:val="single" w:color="auto" w:sz="4" w:space="0"/>
            </w:tcBorders>
            <w:vAlign w:val="center"/>
          </w:tcPr>
          <w:p>
            <w:pPr>
              <w:pStyle w:val="14"/>
              <w:jc w:val="center"/>
              <w:rPr>
                <w:rFonts w:hint="eastAsia" w:hAnsi="宋体" w:cs="宋体"/>
                <w:b w:val="0"/>
                <w:bCs w:val="0"/>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87" w:hRule="atLeast"/>
          <w:jc w:val="center"/>
        </w:trPr>
        <w:tc>
          <w:tcPr>
            <w:tcW w:w="2276" w:type="dxa"/>
            <w:tcBorders>
              <w:top w:val="single" w:color="auto" w:sz="4" w:space="0"/>
              <w:left w:val="single" w:color="auto" w:sz="4" w:space="0"/>
              <w:bottom w:val="single" w:color="auto" w:sz="4" w:space="0"/>
              <w:right w:val="single" w:color="auto" w:sz="4" w:space="0"/>
            </w:tcBorders>
            <w:vAlign w:val="center"/>
          </w:tcPr>
          <w:p>
            <w:pPr>
              <w:pStyle w:val="14"/>
              <w:jc w:val="center"/>
              <w:rPr>
                <w:rFonts w:hint="eastAsia" w:hAnsi="宋体" w:eastAsia="宋体"/>
                <w:b w:val="0"/>
                <w:bCs w:val="0"/>
                <w:color w:val="auto"/>
                <w:sz w:val="28"/>
                <w:szCs w:val="28"/>
                <w:highlight w:val="none"/>
                <w:lang w:eastAsia="zh-CN"/>
              </w:rPr>
            </w:pPr>
            <w:r>
              <w:rPr>
                <w:rFonts w:hint="eastAsia" w:hAnsi="宋体"/>
                <w:b w:val="0"/>
                <w:bCs w:val="0"/>
                <w:color w:val="auto"/>
                <w:sz w:val="28"/>
                <w:szCs w:val="28"/>
                <w:highlight w:val="none"/>
                <w:lang w:val="en-US" w:eastAsia="zh-CN"/>
              </w:rPr>
              <w:t>项目</w:t>
            </w:r>
            <w:r>
              <w:rPr>
                <w:rFonts w:hint="eastAsia" w:hAnsi="宋体"/>
                <w:b w:val="0"/>
                <w:bCs w:val="0"/>
                <w:color w:val="auto"/>
                <w:sz w:val="28"/>
                <w:szCs w:val="28"/>
                <w:highlight w:val="none"/>
                <w:lang w:eastAsia="zh-CN"/>
              </w:rPr>
              <w:t>地点</w:t>
            </w:r>
          </w:p>
        </w:tc>
        <w:tc>
          <w:tcPr>
            <w:tcW w:w="7300" w:type="dxa"/>
            <w:tcBorders>
              <w:top w:val="single" w:color="auto" w:sz="4" w:space="0"/>
              <w:left w:val="single" w:color="auto" w:sz="4" w:space="0"/>
              <w:bottom w:val="single" w:color="auto" w:sz="4" w:space="0"/>
              <w:right w:val="single" w:color="auto" w:sz="4" w:space="0"/>
            </w:tcBorders>
            <w:vAlign w:val="center"/>
          </w:tcPr>
          <w:p>
            <w:pPr>
              <w:pStyle w:val="14"/>
              <w:jc w:val="center"/>
              <w:rPr>
                <w:rFonts w:hint="eastAsia" w:hAnsi="宋体" w:cs="宋体"/>
                <w:b w:val="0"/>
                <w:bCs w:val="0"/>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14" w:hRule="atLeast"/>
          <w:jc w:val="center"/>
        </w:trPr>
        <w:tc>
          <w:tcPr>
            <w:tcW w:w="2276" w:type="dxa"/>
            <w:tcBorders>
              <w:top w:val="single" w:color="auto" w:sz="4" w:space="0"/>
              <w:left w:val="single" w:color="auto" w:sz="4" w:space="0"/>
              <w:bottom w:val="single" w:color="auto" w:sz="4" w:space="0"/>
              <w:right w:val="single" w:color="auto" w:sz="4" w:space="0"/>
            </w:tcBorders>
            <w:vAlign w:val="center"/>
          </w:tcPr>
          <w:p>
            <w:pPr>
              <w:pStyle w:val="14"/>
              <w:jc w:val="center"/>
              <w:rPr>
                <w:rFonts w:hint="eastAsia" w:hAnsi="宋体"/>
                <w:b w:val="0"/>
                <w:bCs w:val="0"/>
                <w:color w:val="auto"/>
                <w:sz w:val="28"/>
                <w:szCs w:val="28"/>
                <w:highlight w:val="none"/>
                <w:lang w:eastAsia="zh-CN"/>
              </w:rPr>
            </w:pPr>
            <w:r>
              <w:rPr>
                <w:rFonts w:hint="eastAsia" w:hAnsi="宋体"/>
                <w:b w:val="0"/>
                <w:bCs w:val="0"/>
                <w:color w:val="auto"/>
                <w:sz w:val="28"/>
                <w:szCs w:val="28"/>
                <w:highlight w:val="none"/>
                <w:lang w:eastAsia="zh-CN"/>
              </w:rPr>
              <w:t>质量要求</w:t>
            </w:r>
          </w:p>
        </w:tc>
        <w:tc>
          <w:tcPr>
            <w:tcW w:w="7300" w:type="dxa"/>
            <w:tcBorders>
              <w:top w:val="single" w:color="auto" w:sz="4" w:space="0"/>
              <w:left w:val="single" w:color="auto" w:sz="4" w:space="0"/>
              <w:bottom w:val="single" w:color="auto" w:sz="4" w:space="0"/>
              <w:right w:val="single" w:color="auto" w:sz="4" w:space="0"/>
            </w:tcBorders>
            <w:vAlign w:val="center"/>
          </w:tcPr>
          <w:p>
            <w:pPr>
              <w:pStyle w:val="14"/>
              <w:jc w:val="center"/>
              <w:rPr>
                <w:rFonts w:hint="eastAsia" w:hAnsi="宋体" w:cs="宋体"/>
                <w:b w:val="0"/>
                <w:bCs w:val="0"/>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92" w:hRule="atLeast"/>
          <w:jc w:val="center"/>
        </w:trPr>
        <w:tc>
          <w:tcPr>
            <w:tcW w:w="2276" w:type="dxa"/>
            <w:tcBorders>
              <w:top w:val="single" w:color="auto" w:sz="4" w:space="0"/>
              <w:left w:val="single" w:color="auto" w:sz="4" w:space="0"/>
              <w:bottom w:val="single" w:color="auto" w:sz="4" w:space="0"/>
              <w:right w:val="single" w:color="auto" w:sz="4" w:space="0"/>
            </w:tcBorders>
            <w:vAlign w:val="center"/>
          </w:tcPr>
          <w:p>
            <w:pPr>
              <w:pStyle w:val="14"/>
              <w:jc w:val="center"/>
              <w:rPr>
                <w:rFonts w:hint="eastAsia" w:hAnsi="宋体" w:eastAsia="宋体"/>
                <w:b w:val="0"/>
                <w:bCs w:val="0"/>
                <w:color w:val="auto"/>
                <w:sz w:val="28"/>
                <w:szCs w:val="28"/>
                <w:highlight w:val="none"/>
                <w:lang w:val="en-US" w:eastAsia="zh-CN"/>
              </w:rPr>
            </w:pPr>
            <w:r>
              <w:rPr>
                <w:rFonts w:hint="eastAsia" w:hAnsi="宋体"/>
                <w:b w:val="0"/>
                <w:bCs w:val="0"/>
                <w:color w:val="auto"/>
                <w:sz w:val="28"/>
                <w:szCs w:val="28"/>
                <w:highlight w:val="none"/>
              </w:rPr>
              <w:t>其他</w:t>
            </w:r>
            <w:r>
              <w:rPr>
                <w:rFonts w:hint="eastAsia" w:hAnsi="宋体"/>
                <w:b w:val="0"/>
                <w:bCs w:val="0"/>
                <w:color w:val="auto"/>
                <w:sz w:val="28"/>
                <w:szCs w:val="28"/>
                <w:highlight w:val="none"/>
                <w:lang w:val="en-US" w:eastAsia="zh-CN"/>
              </w:rPr>
              <w:t>内容</w:t>
            </w:r>
          </w:p>
        </w:tc>
        <w:tc>
          <w:tcPr>
            <w:tcW w:w="7300" w:type="dxa"/>
            <w:tcBorders>
              <w:top w:val="single" w:color="auto" w:sz="4" w:space="0"/>
              <w:left w:val="single" w:color="auto" w:sz="4" w:space="0"/>
              <w:bottom w:val="single" w:color="auto" w:sz="4" w:space="0"/>
              <w:right w:val="single" w:color="auto" w:sz="4" w:space="0"/>
            </w:tcBorders>
            <w:vAlign w:val="center"/>
          </w:tcPr>
          <w:p>
            <w:pPr>
              <w:pStyle w:val="14"/>
              <w:rPr>
                <w:rFonts w:hAnsi="宋体"/>
                <w:b w:val="0"/>
                <w:bCs w:val="0"/>
                <w:color w:val="auto"/>
                <w:sz w:val="28"/>
                <w:szCs w:val="28"/>
                <w:highlight w:val="none"/>
              </w:rPr>
            </w:pPr>
          </w:p>
        </w:tc>
      </w:tr>
    </w:tbl>
    <w:p>
      <w:pPr>
        <w:spacing w:line="360" w:lineRule="auto"/>
        <w:ind w:firstLine="588" w:firstLineChars="245"/>
        <w:rPr>
          <w:rFonts w:hint="eastAsia" w:ascii="宋体" w:hAnsi="宋体"/>
          <w:b/>
          <w:color w:val="auto"/>
          <w:sz w:val="24"/>
          <w:highlight w:val="none"/>
        </w:rPr>
      </w:pPr>
      <w:r>
        <w:rPr>
          <w:rFonts w:hint="eastAsia" w:ascii="宋体" w:hAnsi="宋体"/>
          <w:color w:val="auto"/>
          <w:sz w:val="24"/>
          <w:highlight w:val="none"/>
        </w:rPr>
        <w:t xml:space="preserve">   </w:t>
      </w:r>
    </w:p>
    <w:p>
      <w:pPr>
        <w:spacing w:line="360" w:lineRule="auto"/>
        <w:ind w:firstLine="480" w:firstLineChars="200"/>
        <w:jc w:val="both"/>
        <w:rPr>
          <w:rFonts w:hint="eastAsia" w:ascii="宋体" w:hAnsi="宋体"/>
          <w:color w:val="auto"/>
          <w:sz w:val="24"/>
          <w:highlight w:val="none"/>
        </w:rPr>
      </w:pPr>
    </w:p>
    <w:bookmarkEnd w:id="510"/>
    <w:bookmarkEnd w:id="511"/>
    <w:bookmarkEnd w:id="512"/>
    <w:bookmarkEnd w:id="513"/>
    <w:bookmarkEnd w:id="514"/>
    <w:bookmarkEnd w:id="515"/>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rPr>
      </w:pPr>
      <w:bookmarkStart w:id="516" w:name="_Toc22943"/>
      <w:bookmarkStart w:id="517" w:name="_Toc280780676"/>
      <w:bookmarkStart w:id="518" w:name="_Toc11124"/>
      <w:bookmarkStart w:id="519" w:name="_Toc110911883"/>
      <w:bookmarkStart w:id="520" w:name="_Toc38173200"/>
      <w:bookmarkStart w:id="521" w:name="_Toc119943035"/>
      <w:bookmarkStart w:id="522" w:name="_Toc122530398"/>
      <w:bookmarkStart w:id="523" w:name="_Toc68441624"/>
      <w:bookmarkStart w:id="524" w:name="_Toc238045016"/>
      <w:bookmarkStart w:id="525" w:name="_Toc250531122"/>
      <w:bookmarkStart w:id="526" w:name="_Toc250531123"/>
      <w:r>
        <w:rPr>
          <w:rFonts w:hint="eastAsia" w:ascii="宋体" w:hAnsi="宋体"/>
          <w:color w:val="auto"/>
          <w:sz w:val="24"/>
          <w:highlight w:val="none"/>
        </w:rPr>
        <w:t>投标人：</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eastAsia="zh-CN"/>
        </w:rPr>
        <w:t>电子公章</w:t>
      </w:r>
      <w:r>
        <w:rPr>
          <w:rFonts w:hint="eastAsia" w:ascii="宋体" w:hAnsi="宋体"/>
          <w:color w:val="auto"/>
          <w:sz w:val="24"/>
          <w:highlight w:val="none"/>
        </w:rPr>
        <w:t>)</w:t>
      </w:r>
    </w:p>
    <w:p>
      <w:pPr>
        <w:spacing w:line="360" w:lineRule="auto"/>
        <w:ind w:firstLine="480" w:firstLineChars="200"/>
        <w:jc w:val="both"/>
        <w:rPr>
          <w:rFonts w:hint="eastAsia" w:hAnsi="宋体"/>
          <w:color w:val="auto"/>
          <w:sz w:val="24"/>
          <w:highlight w:val="none"/>
        </w:rPr>
      </w:pPr>
      <w:r>
        <w:rPr>
          <w:rFonts w:hint="eastAsia" w:hAnsi="宋体"/>
          <w:color w:val="auto"/>
          <w:sz w:val="24"/>
          <w:highlight w:val="none"/>
        </w:rPr>
        <w:t>法定代表人或委托代理人：</w:t>
      </w:r>
      <w:r>
        <w:rPr>
          <w:rFonts w:hint="eastAsia" w:hAnsi="宋体"/>
          <w:color w:val="auto"/>
          <w:sz w:val="24"/>
          <w:highlight w:val="none"/>
          <w:u w:val="single"/>
        </w:rPr>
        <w:t xml:space="preserve">                    </w:t>
      </w:r>
      <w:r>
        <w:rPr>
          <w:rFonts w:hint="eastAsia" w:hAnsi="宋体"/>
          <w:color w:val="auto"/>
          <w:sz w:val="24"/>
          <w:highlight w:val="none"/>
        </w:rPr>
        <w:t>（</w:t>
      </w:r>
      <w:r>
        <w:rPr>
          <w:rFonts w:hint="eastAsia" w:hAnsi="宋体"/>
          <w:color w:val="auto"/>
          <w:sz w:val="24"/>
          <w:highlight w:val="none"/>
          <w:lang w:eastAsia="zh-CN"/>
        </w:rPr>
        <w:t>电子签名或电子签章</w:t>
      </w:r>
      <w:r>
        <w:rPr>
          <w:rFonts w:hint="eastAsia" w:hAnsi="宋体"/>
          <w:color w:val="auto"/>
          <w:sz w:val="24"/>
          <w:highlight w:val="none"/>
        </w:rPr>
        <w:t>）</w:t>
      </w:r>
    </w:p>
    <w:p>
      <w:pPr>
        <w:spacing w:line="360" w:lineRule="auto"/>
        <w:ind w:firstLine="480" w:firstLineChars="200"/>
        <w:jc w:val="both"/>
        <w:outlineLvl w:val="9"/>
        <w:rPr>
          <w:rFonts w:hint="eastAsia" w:ascii="宋体" w:hAnsi="宋体" w:eastAsia="宋体" w:cs="Times New Roman"/>
          <w:color w:val="auto"/>
          <w:sz w:val="24"/>
          <w:highlight w:val="none"/>
          <w:lang w:eastAsia="zh-CN"/>
        </w:rPr>
      </w:pPr>
      <w:bookmarkStart w:id="527" w:name="_Toc31729"/>
      <w:bookmarkStart w:id="528" w:name="_Toc19414"/>
      <w:bookmarkStart w:id="529" w:name="_Toc30502"/>
      <w:bookmarkStart w:id="530" w:name="_Toc15100"/>
      <w:bookmarkStart w:id="531" w:name="_Toc17330"/>
      <w:bookmarkStart w:id="532" w:name="_Toc20562"/>
      <w:r>
        <w:rPr>
          <w:rFonts w:hint="eastAsia" w:ascii="宋体" w:hAnsi="宋体"/>
          <w:color w:val="auto"/>
          <w:sz w:val="24"/>
          <w:highlight w:val="none"/>
          <w:lang w:eastAsia="zh-CN"/>
        </w:rPr>
        <w:t>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 </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eastAsia="宋体" w:cs="Times New Roman"/>
          <w:color w:val="auto"/>
          <w:sz w:val="24"/>
          <w:highlight w:val="none"/>
          <w:lang w:eastAsia="zh-CN"/>
        </w:rPr>
        <w:t>日</w:t>
      </w:r>
      <w:bookmarkEnd w:id="516"/>
      <w:bookmarkEnd w:id="527"/>
      <w:bookmarkEnd w:id="528"/>
      <w:bookmarkEnd w:id="529"/>
      <w:bookmarkEnd w:id="530"/>
      <w:bookmarkEnd w:id="531"/>
      <w:bookmarkEnd w:id="532"/>
    </w:p>
    <w:p>
      <w:pPr>
        <w:spacing w:line="360" w:lineRule="auto"/>
        <w:ind w:firstLine="480" w:firstLineChars="200"/>
        <w:jc w:val="center"/>
        <w:outlineLvl w:val="1"/>
        <w:rPr>
          <w:rFonts w:hint="eastAsia" w:ascii="黑体" w:hAnsi="黑体" w:eastAsia="黑体" w:cs="黑体"/>
          <w:b/>
          <w:color w:val="auto"/>
          <w:kern w:val="2"/>
          <w:sz w:val="32"/>
          <w:szCs w:val="32"/>
          <w:highlight w:val="none"/>
          <w:lang w:val="en-US" w:eastAsia="zh-CN" w:bidi="ar-SA"/>
        </w:rPr>
      </w:pPr>
      <w:r>
        <w:rPr>
          <w:rFonts w:hint="eastAsia" w:ascii="宋体" w:hAnsi="宋体" w:eastAsia="宋体" w:cs="Times New Roman"/>
          <w:color w:val="auto"/>
          <w:sz w:val="24"/>
          <w:highlight w:val="none"/>
          <w:lang w:eastAsia="zh-CN"/>
        </w:rPr>
        <w:br w:type="page"/>
      </w:r>
      <w:bookmarkStart w:id="533" w:name="_Toc20294"/>
      <w:bookmarkStart w:id="534" w:name="_Toc16314"/>
      <w:bookmarkStart w:id="535" w:name="_Toc21971"/>
      <w:bookmarkStart w:id="536" w:name="_Toc4093"/>
      <w:bookmarkStart w:id="537" w:name="_Toc9888"/>
      <w:r>
        <w:rPr>
          <w:rFonts w:hint="eastAsia" w:ascii="黑体" w:hAnsi="黑体" w:eastAsia="黑体" w:cs="黑体"/>
          <w:b/>
          <w:color w:val="auto"/>
          <w:kern w:val="2"/>
          <w:sz w:val="32"/>
          <w:szCs w:val="32"/>
          <w:highlight w:val="none"/>
          <w:lang w:val="en-US" w:eastAsia="zh-CN" w:bidi="ar-SA"/>
        </w:rPr>
        <w:t>二、资格审查资料</w:t>
      </w:r>
      <w:bookmarkEnd w:id="533"/>
      <w:bookmarkEnd w:id="534"/>
    </w:p>
    <w:p>
      <w:pPr>
        <w:pStyle w:val="3"/>
        <w:tabs>
          <w:tab w:val="clear" w:pos="1021"/>
        </w:tabs>
        <w:ind w:left="0" w:leftChars="0" w:firstLine="0" w:firstLineChars="0"/>
        <w:jc w:val="center"/>
        <w:rPr>
          <w:rFonts w:hint="eastAsia" w:ascii="Times New Roman" w:hAnsi="Times New Roman" w:cs="Times New Roman"/>
          <w:b/>
          <w:color w:val="auto"/>
          <w:sz w:val="28"/>
          <w:szCs w:val="28"/>
          <w:highlight w:val="none"/>
          <w:lang w:val="en-US" w:eastAsia="zh-CN"/>
        </w:rPr>
      </w:pPr>
      <w:bookmarkStart w:id="538" w:name="_Toc7519"/>
      <w:bookmarkStart w:id="539" w:name="_Toc425974811"/>
      <w:bookmarkStart w:id="540" w:name="_Toc4569"/>
      <w:bookmarkStart w:id="541" w:name="_Toc18404"/>
      <w:bookmarkStart w:id="542" w:name="_Toc26253"/>
      <w:bookmarkStart w:id="543" w:name="_Toc32278"/>
      <w:bookmarkStart w:id="544" w:name="_Toc8770"/>
      <w:bookmarkStart w:id="545" w:name="_Toc24207"/>
      <w:bookmarkStart w:id="546" w:name="_Toc29645"/>
      <w:bookmarkStart w:id="547" w:name="_Toc26007"/>
      <w:bookmarkStart w:id="548" w:name="_Toc8661"/>
      <w:bookmarkStart w:id="549" w:name="_Toc9097"/>
      <w:bookmarkStart w:id="550" w:name="_Toc10444"/>
      <w:bookmarkStart w:id="551" w:name="_Toc18160"/>
      <w:r>
        <w:rPr>
          <w:rFonts w:hint="eastAsia" w:ascii="Times New Roman" w:hAnsi="Times New Roman" w:cs="Times New Roman"/>
          <w:b/>
          <w:color w:val="auto"/>
          <w:sz w:val="28"/>
          <w:szCs w:val="28"/>
          <w:highlight w:val="none"/>
          <w:lang w:val="en-US" w:eastAsia="zh-CN"/>
        </w:rPr>
        <w:t>（一）投标人基本情况表</w:t>
      </w:r>
      <w:bookmarkEnd w:id="538"/>
      <w:bookmarkEnd w:id="539"/>
      <w:bookmarkEnd w:id="540"/>
      <w:bookmarkEnd w:id="541"/>
      <w:bookmarkEnd w:id="542"/>
      <w:bookmarkEnd w:id="543"/>
      <w:bookmarkEnd w:id="544"/>
      <w:bookmarkEnd w:id="545"/>
    </w:p>
    <w:tbl>
      <w:tblPr>
        <w:tblStyle w:val="36"/>
        <w:tblW w:w="917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2172"/>
        <w:gridCol w:w="1183"/>
        <w:gridCol w:w="1283"/>
        <w:gridCol w:w="176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64" w:hRule="atLeast"/>
          <w:jc w:val="center"/>
        </w:trPr>
        <w:tc>
          <w:tcPr>
            <w:tcW w:w="2772" w:type="dxa"/>
            <w:gridSpan w:val="2"/>
            <w:tcBorders>
              <w:right w:val="single" w:color="auto"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公司名称</w:t>
            </w:r>
          </w:p>
        </w:tc>
        <w:tc>
          <w:tcPr>
            <w:tcW w:w="6407" w:type="dxa"/>
            <w:gridSpan w:val="4"/>
            <w:tcBorders>
              <w:left w:val="single" w:color="auto" w:sz="4" w:space="0"/>
            </w:tcBorders>
            <w:vAlign w:val="center"/>
          </w:tcPr>
          <w:p>
            <w:pPr>
              <w:widowControl/>
              <w:jc w:val="left"/>
              <w:rPr>
                <w:rFonts w:hint="eastAsia" w:ascii="宋体" w:hAnsi="宋体" w:eastAsia="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532" w:hRule="atLeast"/>
          <w:jc w:val="center"/>
        </w:trPr>
        <w:tc>
          <w:tcPr>
            <w:tcW w:w="2772" w:type="dxa"/>
            <w:gridSpan w:val="2"/>
            <w:tcBorders>
              <w:right w:val="single" w:color="auto"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公司地址</w:t>
            </w:r>
          </w:p>
        </w:tc>
        <w:tc>
          <w:tcPr>
            <w:tcW w:w="6407" w:type="dxa"/>
            <w:gridSpan w:val="4"/>
            <w:tcBorders>
              <w:left w:val="single" w:color="auto" w:sz="4" w:space="0"/>
            </w:tcBorders>
            <w:vAlign w:val="center"/>
          </w:tcPr>
          <w:p>
            <w:pPr>
              <w:widowControl/>
              <w:jc w:val="center"/>
              <w:rPr>
                <w:rFonts w:hint="eastAsia" w:ascii="宋体" w:hAnsi="宋体" w:eastAsia="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506" w:hRule="atLeast"/>
          <w:jc w:val="center"/>
        </w:trPr>
        <w:tc>
          <w:tcPr>
            <w:tcW w:w="2772" w:type="dxa"/>
            <w:gridSpan w:val="2"/>
            <w:tcBorders>
              <w:right w:val="single" w:color="auto"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公司性质</w:t>
            </w:r>
          </w:p>
        </w:tc>
        <w:tc>
          <w:tcPr>
            <w:tcW w:w="6407" w:type="dxa"/>
            <w:gridSpan w:val="4"/>
            <w:tcBorders>
              <w:left w:val="single" w:color="auto" w:sz="4" w:space="0"/>
            </w:tcBorders>
            <w:vAlign w:val="center"/>
          </w:tcPr>
          <w:p>
            <w:pPr>
              <w:widowControl/>
              <w:jc w:val="center"/>
              <w:rPr>
                <w:rFonts w:hint="eastAsia" w:ascii="宋体" w:hAnsi="宋体" w:eastAsia="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557" w:hRule="atLeast"/>
          <w:jc w:val="center"/>
        </w:trPr>
        <w:tc>
          <w:tcPr>
            <w:tcW w:w="2772" w:type="dxa"/>
            <w:gridSpan w:val="2"/>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tc>
        <w:tc>
          <w:tcPr>
            <w:tcW w:w="2172" w:type="dxa"/>
            <w:vAlign w:val="center"/>
          </w:tcPr>
          <w:p>
            <w:pPr>
              <w:widowControl/>
              <w:jc w:val="center"/>
              <w:rPr>
                <w:rFonts w:hint="eastAsia" w:ascii="宋体" w:hAnsi="宋体" w:eastAsia="宋体" w:cs="宋体"/>
                <w:color w:val="auto"/>
                <w:szCs w:val="21"/>
                <w:highlight w:val="none"/>
              </w:rPr>
            </w:pPr>
          </w:p>
        </w:tc>
        <w:tc>
          <w:tcPr>
            <w:tcW w:w="2466" w:type="dxa"/>
            <w:gridSpan w:val="2"/>
            <w:tcBorders>
              <w:right w:val="single" w:color="auto"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注册资金</w:t>
            </w:r>
          </w:p>
        </w:tc>
        <w:tc>
          <w:tcPr>
            <w:tcW w:w="1769" w:type="dxa"/>
            <w:tcBorders>
              <w:left w:val="single" w:color="auto" w:sz="4" w:space="0"/>
            </w:tcBorders>
            <w:vAlign w:val="center"/>
          </w:tcPr>
          <w:p>
            <w:pPr>
              <w:widowControl/>
              <w:jc w:val="center"/>
              <w:rPr>
                <w:rFonts w:hint="eastAsia" w:ascii="宋体" w:hAnsi="宋体" w:eastAsia="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91" w:hRule="atLeast"/>
          <w:jc w:val="center"/>
        </w:trPr>
        <w:tc>
          <w:tcPr>
            <w:tcW w:w="2772" w:type="dxa"/>
            <w:gridSpan w:val="2"/>
            <w:vMerge w:val="restart"/>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注册日期</w:t>
            </w:r>
          </w:p>
        </w:tc>
        <w:tc>
          <w:tcPr>
            <w:tcW w:w="2172" w:type="dxa"/>
            <w:vMerge w:val="restart"/>
            <w:vAlign w:val="center"/>
          </w:tcPr>
          <w:p>
            <w:pPr>
              <w:widowControl/>
              <w:jc w:val="center"/>
              <w:rPr>
                <w:rFonts w:hint="eastAsia" w:ascii="宋体" w:hAnsi="宋体" w:eastAsia="宋体" w:cs="宋体"/>
                <w:color w:val="auto"/>
                <w:szCs w:val="21"/>
                <w:highlight w:val="none"/>
              </w:rPr>
            </w:pPr>
          </w:p>
        </w:tc>
        <w:tc>
          <w:tcPr>
            <w:tcW w:w="2466" w:type="dxa"/>
            <w:gridSpan w:val="2"/>
            <w:tcBorders>
              <w:bottom w:val="single" w:color="auto"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p>
        </w:tc>
        <w:tc>
          <w:tcPr>
            <w:tcW w:w="1769" w:type="dxa"/>
            <w:tcBorders>
              <w:bottom w:val="single" w:color="auto" w:sz="4" w:space="0"/>
            </w:tcBorders>
            <w:vAlign w:val="center"/>
          </w:tcPr>
          <w:p>
            <w:pPr>
              <w:widowControl/>
              <w:jc w:val="center"/>
              <w:rPr>
                <w:rFonts w:hint="eastAsia" w:ascii="宋体" w:hAnsi="宋体" w:eastAsia="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49" w:hRule="atLeast"/>
          <w:jc w:val="center"/>
        </w:trPr>
        <w:tc>
          <w:tcPr>
            <w:tcW w:w="2772" w:type="dxa"/>
            <w:gridSpan w:val="2"/>
            <w:vMerge w:val="continue"/>
            <w:vAlign w:val="center"/>
          </w:tcPr>
          <w:p>
            <w:pPr>
              <w:widowControl/>
              <w:jc w:val="center"/>
              <w:rPr>
                <w:rFonts w:hint="eastAsia" w:ascii="宋体" w:hAnsi="宋体" w:eastAsia="宋体" w:cs="宋体"/>
                <w:color w:val="auto"/>
                <w:szCs w:val="21"/>
                <w:highlight w:val="none"/>
              </w:rPr>
            </w:pPr>
          </w:p>
        </w:tc>
        <w:tc>
          <w:tcPr>
            <w:tcW w:w="2172" w:type="dxa"/>
            <w:vMerge w:val="continue"/>
            <w:vAlign w:val="center"/>
          </w:tcPr>
          <w:p>
            <w:pPr>
              <w:widowControl/>
              <w:jc w:val="center"/>
              <w:rPr>
                <w:rFonts w:hint="eastAsia" w:ascii="宋体" w:hAnsi="宋体" w:eastAsia="宋体" w:cs="宋体"/>
                <w:color w:val="auto"/>
                <w:szCs w:val="21"/>
                <w:highlight w:val="none"/>
              </w:rPr>
            </w:pPr>
          </w:p>
        </w:tc>
        <w:tc>
          <w:tcPr>
            <w:tcW w:w="2466" w:type="dxa"/>
            <w:gridSpan w:val="2"/>
            <w:tcBorders>
              <w:top w:val="single" w:color="auto"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开户基本账号</w:t>
            </w:r>
          </w:p>
        </w:tc>
        <w:tc>
          <w:tcPr>
            <w:tcW w:w="1769" w:type="dxa"/>
            <w:tcBorders>
              <w:top w:val="single" w:color="auto" w:sz="4" w:space="0"/>
            </w:tcBorders>
            <w:vAlign w:val="center"/>
          </w:tcPr>
          <w:p>
            <w:pPr>
              <w:widowControl/>
              <w:jc w:val="center"/>
              <w:rPr>
                <w:rFonts w:hint="eastAsia" w:ascii="宋体" w:hAnsi="宋体" w:eastAsia="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72" w:hRule="atLeast"/>
          <w:jc w:val="center"/>
        </w:trPr>
        <w:tc>
          <w:tcPr>
            <w:tcW w:w="2772" w:type="dxa"/>
            <w:gridSpan w:val="2"/>
            <w:vMerge w:val="restart"/>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w:t>
            </w:r>
          </w:p>
        </w:tc>
        <w:tc>
          <w:tcPr>
            <w:tcW w:w="2172" w:type="dxa"/>
            <w:vMerge w:val="restart"/>
            <w:vAlign w:val="center"/>
          </w:tcPr>
          <w:p>
            <w:pPr>
              <w:widowControl/>
              <w:jc w:val="center"/>
              <w:rPr>
                <w:rFonts w:hint="eastAsia" w:ascii="宋体" w:hAnsi="宋体" w:eastAsia="宋体" w:cs="宋体"/>
                <w:color w:val="auto"/>
                <w:szCs w:val="21"/>
                <w:highlight w:val="none"/>
              </w:rPr>
            </w:pPr>
          </w:p>
        </w:tc>
        <w:tc>
          <w:tcPr>
            <w:tcW w:w="1183" w:type="dxa"/>
            <w:vMerge w:val="restart"/>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1283" w:type="dxa"/>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手机</w:t>
            </w:r>
          </w:p>
        </w:tc>
        <w:tc>
          <w:tcPr>
            <w:tcW w:w="1769" w:type="dxa"/>
            <w:vAlign w:val="center"/>
          </w:tcPr>
          <w:p>
            <w:pPr>
              <w:widowControl/>
              <w:jc w:val="center"/>
              <w:rPr>
                <w:rFonts w:hint="eastAsia" w:ascii="宋体" w:hAnsi="宋体" w:eastAsia="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93" w:hRule="atLeast"/>
          <w:jc w:val="center"/>
        </w:trPr>
        <w:tc>
          <w:tcPr>
            <w:tcW w:w="2772" w:type="dxa"/>
            <w:gridSpan w:val="2"/>
            <w:vMerge w:val="continue"/>
            <w:vAlign w:val="center"/>
          </w:tcPr>
          <w:p>
            <w:pPr>
              <w:widowControl/>
              <w:jc w:val="center"/>
              <w:rPr>
                <w:rFonts w:hint="eastAsia" w:ascii="宋体" w:hAnsi="宋体" w:eastAsia="宋体" w:cs="宋体"/>
                <w:color w:val="auto"/>
                <w:szCs w:val="21"/>
                <w:highlight w:val="none"/>
              </w:rPr>
            </w:pPr>
          </w:p>
        </w:tc>
        <w:tc>
          <w:tcPr>
            <w:tcW w:w="2172" w:type="dxa"/>
            <w:vMerge w:val="continue"/>
            <w:vAlign w:val="center"/>
          </w:tcPr>
          <w:p>
            <w:pPr>
              <w:widowControl/>
              <w:jc w:val="center"/>
              <w:rPr>
                <w:rFonts w:hint="eastAsia" w:ascii="宋体" w:hAnsi="宋体" w:eastAsia="宋体" w:cs="宋体"/>
                <w:color w:val="auto"/>
                <w:szCs w:val="21"/>
                <w:highlight w:val="none"/>
              </w:rPr>
            </w:pPr>
          </w:p>
        </w:tc>
        <w:tc>
          <w:tcPr>
            <w:tcW w:w="1183" w:type="dxa"/>
            <w:vMerge w:val="continue"/>
            <w:vAlign w:val="center"/>
          </w:tcPr>
          <w:p>
            <w:pPr>
              <w:widowControl/>
              <w:jc w:val="center"/>
              <w:rPr>
                <w:rFonts w:hint="eastAsia" w:ascii="宋体" w:hAnsi="宋体" w:eastAsia="宋体" w:cs="宋体"/>
                <w:color w:val="auto"/>
                <w:szCs w:val="21"/>
                <w:highlight w:val="none"/>
              </w:rPr>
            </w:pPr>
          </w:p>
        </w:tc>
        <w:tc>
          <w:tcPr>
            <w:tcW w:w="1283" w:type="dxa"/>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固话</w:t>
            </w:r>
          </w:p>
        </w:tc>
        <w:tc>
          <w:tcPr>
            <w:tcW w:w="1769" w:type="dxa"/>
            <w:vAlign w:val="center"/>
          </w:tcPr>
          <w:p>
            <w:pPr>
              <w:widowControl/>
              <w:jc w:val="center"/>
              <w:rPr>
                <w:rFonts w:hint="eastAsia" w:ascii="宋体" w:hAnsi="宋体" w:eastAsia="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716" w:hRule="atLeast"/>
          <w:jc w:val="center"/>
        </w:trPr>
        <w:tc>
          <w:tcPr>
            <w:tcW w:w="2772" w:type="dxa"/>
            <w:gridSpan w:val="2"/>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联系传真</w:t>
            </w:r>
          </w:p>
        </w:tc>
        <w:tc>
          <w:tcPr>
            <w:tcW w:w="2172" w:type="dxa"/>
            <w:vAlign w:val="center"/>
          </w:tcPr>
          <w:p>
            <w:pPr>
              <w:widowControl/>
              <w:jc w:val="center"/>
              <w:rPr>
                <w:rFonts w:hint="eastAsia" w:ascii="宋体" w:hAnsi="宋体" w:eastAsia="宋体" w:cs="宋体"/>
                <w:color w:val="auto"/>
                <w:szCs w:val="21"/>
                <w:highlight w:val="none"/>
              </w:rPr>
            </w:pPr>
          </w:p>
        </w:tc>
        <w:tc>
          <w:tcPr>
            <w:tcW w:w="2466" w:type="dxa"/>
            <w:gridSpan w:val="2"/>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联系邮箱</w:t>
            </w:r>
          </w:p>
        </w:tc>
        <w:tc>
          <w:tcPr>
            <w:tcW w:w="1769" w:type="dxa"/>
            <w:vAlign w:val="center"/>
          </w:tcPr>
          <w:p>
            <w:pPr>
              <w:widowControl/>
              <w:jc w:val="center"/>
              <w:rPr>
                <w:rFonts w:hint="eastAsia" w:ascii="宋体" w:hAnsi="宋体" w:eastAsia="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48" w:hRule="atLeast"/>
          <w:jc w:val="center"/>
        </w:trPr>
        <w:tc>
          <w:tcPr>
            <w:tcW w:w="2772" w:type="dxa"/>
            <w:gridSpan w:val="2"/>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经营范围</w:t>
            </w:r>
          </w:p>
        </w:tc>
        <w:tc>
          <w:tcPr>
            <w:tcW w:w="6407" w:type="dxa"/>
            <w:gridSpan w:val="4"/>
            <w:vAlign w:val="center"/>
          </w:tcPr>
          <w:p>
            <w:pPr>
              <w:widowControl/>
              <w:jc w:val="center"/>
              <w:rPr>
                <w:rFonts w:hint="eastAsia" w:ascii="宋体" w:hAnsi="宋体" w:eastAsia="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178" w:hRule="atLeast"/>
          <w:jc w:val="center"/>
        </w:trPr>
        <w:tc>
          <w:tcPr>
            <w:tcW w:w="9179" w:type="dxa"/>
            <w:gridSpan w:val="6"/>
          </w:tcPr>
          <w:p>
            <w:pPr>
              <w:widowControl/>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公司资质及各类经营许可</w:t>
            </w:r>
            <w:r>
              <w:rPr>
                <w:rFonts w:hint="eastAsia" w:ascii="宋体" w:hAnsi="宋体" w:eastAsia="宋体" w:cs="宋体"/>
                <w:color w:val="auto"/>
                <w:szCs w:val="21"/>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703" w:hRule="atLeast"/>
          <w:jc w:val="center"/>
        </w:trPr>
        <w:tc>
          <w:tcPr>
            <w:tcW w:w="1367" w:type="dxa"/>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7812" w:type="dxa"/>
            <w:gridSpan w:val="5"/>
            <w:vAlign w:val="center"/>
          </w:tcPr>
          <w:p>
            <w:pPr>
              <w:widowControl/>
              <w:jc w:val="center"/>
              <w:rPr>
                <w:rFonts w:hint="eastAsia" w:ascii="宋体" w:hAnsi="宋体" w:eastAsia="宋体" w:cs="宋体"/>
                <w:color w:val="auto"/>
                <w:szCs w:val="21"/>
                <w:highlight w:val="none"/>
              </w:rPr>
            </w:pPr>
          </w:p>
        </w:tc>
      </w:tr>
    </w:tbl>
    <w:p>
      <w:pPr>
        <w:pStyle w:val="2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rPr>
      </w:pPr>
      <w:r>
        <w:rPr>
          <w:rFonts w:hint="eastAsia" w:ascii="宋体" w:hAnsi="宋体" w:cs="宋体"/>
          <w:b/>
          <w:color w:val="auto"/>
          <w:highlight w:val="none"/>
        </w:rPr>
        <w:t>注：本表后附企业营业执照扫描件。</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投标人：</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eastAsia="zh-CN"/>
        </w:rPr>
        <w:t>电子公章</w:t>
      </w:r>
      <w:r>
        <w:rPr>
          <w:rFonts w:hint="eastAsia"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both"/>
        <w:textAlignment w:val="auto"/>
        <w:rPr>
          <w:rFonts w:hint="eastAsia" w:hAnsi="宋体"/>
          <w:color w:val="auto"/>
          <w:sz w:val="24"/>
          <w:highlight w:val="none"/>
        </w:rPr>
      </w:pPr>
      <w:r>
        <w:rPr>
          <w:rFonts w:hint="eastAsia" w:hAnsi="宋体"/>
          <w:color w:val="auto"/>
          <w:sz w:val="24"/>
          <w:highlight w:val="none"/>
        </w:rPr>
        <w:t>法定代表人或委托代理人：</w:t>
      </w:r>
      <w:r>
        <w:rPr>
          <w:rFonts w:hint="eastAsia" w:hAnsi="宋体"/>
          <w:color w:val="auto"/>
          <w:sz w:val="24"/>
          <w:highlight w:val="none"/>
          <w:u w:val="single"/>
        </w:rPr>
        <w:t xml:space="preserve">                    </w:t>
      </w:r>
      <w:r>
        <w:rPr>
          <w:rFonts w:hint="eastAsia" w:hAnsi="宋体"/>
          <w:color w:val="auto"/>
          <w:sz w:val="24"/>
          <w:highlight w:val="none"/>
        </w:rPr>
        <w:t>（</w:t>
      </w:r>
      <w:r>
        <w:rPr>
          <w:rFonts w:hint="eastAsia" w:hAnsi="宋体"/>
          <w:color w:val="auto"/>
          <w:sz w:val="24"/>
          <w:highlight w:val="none"/>
          <w:lang w:eastAsia="zh-CN"/>
        </w:rPr>
        <w:t>电子签名或电子签章</w:t>
      </w:r>
      <w:r>
        <w:rPr>
          <w:rFonts w:hint="eastAsia" w:hAnsi="宋体"/>
          <w:color w:val="auto"/>
          <w:sz w:val="24"/>
          <w:highlight w:val="none"/>
        </w:rPr>
        <w:t>）</w:t>
      </w:r>
    </w:p>
    <w:p>
      <w:pPr>
        <w:pStyle w:val="66"/>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b/>
          <w:color w:val="auto"/>
          <w:sz w:val="24"/>
          <w:szCs w:val="24"/>
          <w:highlight w:val="none"/>
        </w:rPr>
      </w:pPr>
      <w:r>
        <w:rPr>
          <w:rFonts w:hint="eastAsia" w:ascii="宋体" w:hAnsi="宋体"/>
          <w:color w:val="auto"/>
          <w:sz w:val="24"/>
          <w:highlight w:val="none"/>
          <w:lang w:eastAsia="zh-CN"/>
        </w:rPr>
        <w:t>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 </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eastAsia="宋体" w:cs="Times New Roman"/>
          <w:color w:val="auto"/>
          <w:sz w:val="24"/>
          <w:highlight w:val="none"/>
          <w:lang w:eastAsia="zh-CN"/>
        </w:rPr>
        <w:t>日</w:t>
      </w:r>
    </w:p>
    <w:p>
      <w:pPr>
        <w:pStyle w:val="8"/>
        <w:rPr>
          <w:rFonts w:hint="eastAsia"/>
          <w:color w:val="auto"/>
          <w:highlight w:val="none"/>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p>
    <w:bookmarkEnd w:id="546"/>
    <w:bookmarkEnd w:id="547"/>
    <w:bookmarkEnd w:id="548"/>
    <w:bookmarkEnd w:id="549"/>
    <w:bookmarkEnd w:id="550"/>
    <w:bookmarkEnd w:id="551"/>
    <w:p>
      <w:pPr>
        <w:keepNext w:val="0"/>
        <w:keepLines w:val="0"/>
        <w:pageBreakBefore w:val="0"/>
        <w:widowControl w:val="0"/>
        <w:kinsoku/>
        <w:wordWrap/>
        <w:overflowPunct/>
        <w:topLinePunct/>
        <w:autoSpaceDE/>
        <w:autoSpaceDN/>
        <w:bidi w:val="0"/>
        <w:adjustRightInd/>
        <w:snapToGrid/>
        <w:spacing w:line="360" w:lineRule="auto"/>
        <w:jc w:val="center"/>
        <w:textAlignment w:val="auto"/>
        <w:outlineLvl w:val="1"/>
        <w:rPr>
          <w:rFonts w:hint="default" w:ascii="Times New Roman" w:hAnsi="Times New Roman" w:eastAsia="黑体" w:cs="Times New Roman"/>
          <w:b/>
          <w:color w:val="auto"/>
          <w:kern w:val="2"/>
          <w:sz w:val="28"/>
          <w:szCs w:val="28"/>
          <w:highlight w:val="none"/>
          <w:lang w:val="en-US" w:eastAsia="zh-CN" w:bidi="ar-SA"/>
        </w:rPr>
      </w:pPr>
      <w:bookmarkStart w:id="552" w:name="_Toc31704"/>
      <w:bookmarkStart w:id="553" w:name="_Toc25435"/>
      <w:bookmarkStart w:id="554" w:name="_Toc25972"/>
      <w:bookmarkStart w:id="555" w:name="_Toc6424"/>
      <w:bookmarkStart w:id="556" w:name="_Toc31603096"/>
      <w:bookmarkStart w:id="557" w:name="_Toc78603132"/>
      <w:bookmarkStart w:id="558" w:name="_Toc38173195"/>
      <w:r>
        <w:rPr>
          <w:rFonts w:hint="eastAsia" w:ascii="Times New Roman" w:hAnsi="Times New Roman" w:eastAsia="黑体" w:cs="Times New Roman"/>
          <w:b/>
          <w:color w:val="auto"/>
          <w:kern w:val="2"/>
          <w:sz w:val="28"/>
          <w:szCs w:val="28"/>
          <w:highlight w:val="none"/>
          <w:lang w:val="en-US" w:eastAsia="zh-CN" w:bidi="ar-SA"/>
        </w:rPr>
        <w:t>（二）</w:t>
      </w:r>
      <w:bookmarkEnd w:id="552"/>
      <w:bookmarkEnd w:id="553"/>
      <w:bookmarkEnd w:id="554"/>
      <w:r>
        <w:rPr>
          <w:rFonts w:hint="eastAsia" w:ascii="Times New Roman" w:hAnsi="Times New Roman" w:eastAsia="黑体" w:cs="Times New Roman"/>
          <w:b/>
          <w:color w:val="auto"/>
          <w:kern w:val="2"/>
          <w:sz w:val="28"/>
          <w:szCs w:val="28"/>
          <w:highlight w:val="none"/>
          <w:lang w:val="en-US" w:eastAsia="zh-CN" w:bidi="ar-SA"/>
        </w:rPr>
        <w:t>财务要求</w:t>
      </w:r>
      <w:bookmarkEnd w:id="555"/>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2024年或2025年经审计的财务报告（复印件）或近三个月内基本开户银行出具的资信证明（原件或复印件）（成立时间不足一年的，可提供近三个月内基本开户银行出具的资信证明或自成立至今经第三方审计的财务报告）。</w:t>
      </w:r>
    </w:p>
    <w:p>
      <w:pPr>
        <w:pStyle w:val="8"/>
        <w:jc w:val="both"/>
        <w:rPr>
          <w:rFonts w:hint="eastAsia" w:ascii="Times New Roman" w:hAnsi="Times New Roman" w:eastAsia="黑体" w:cs="Times New Roman"/>
          <w:b/>
          <w:color w:val="auto"/>
          <w:kern w:val="2"/>
          <w:sz w:val="28"/>
          <w:szCs w:val="28"/>
          <w:highlight w:val="none"/>
          <w:lang w:val="en-US" w:eastAsia="zh-CN" w:bidi="ar-SA"/>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p>
    <w:p>
      <w:pPr>
        <w:pStyle w:val="8"/>
        <w:jc w:val="center"/>
        <w:outlineLvl w:val="1"/>
        <w:rPr>
          <w:rFonts w:hint="eastAsia" w:ascii="Times New Roman" w:hAnsi="Times New Roman" w:eastAsia="黑体" w:cs="Times New Roman"/>
          <w:b/>
          <w:color w:val="auto"/>
          <w:kern w:val="2"/>
          <w:sz w:val="28"/>
          <w:szCs w:val="28"/>
          <w:highlight w:val="none"/>
          <w:lang w:val="en-US" w:eastAsia="zh-CN" w:bidi="ar-SA"/>
        </w:rPr>
      </w:pPr>
      <w:bookmarkStart w:id="559" w:name="_Toc30425"/>
      <w:bookmarkStart w:id="560" w:name="_Toc16449"/>
      <w:bookmarkStart w:id="561" w:name="_Toc26836"/>
      <w:bookmarkStart w:id="562" w:name="_Toc14193"/>
      <w:bookmarkStart w:id="563" w:name="_Toc15685"/>
      <w:bookmarkStart w:id="564" w:name="_Toc30170"/>
      <w:r>
        <w:rPr>
          <w:rFonts w:hint="eastAsia" w:ascii="Times New Roman" w:hAnsi="Times New Roman" w:eastAsia="黑体" w:cs="Times New Roman"/>
          <w:b/>
          <w:color w:val="auto"/>
          <w:kern w:val="2"/>
          <w:sz w:val="28"/>
          <w:szCs w:val="28"/>
          <w:highlight w:val="none"/>
          <w:lang w:val="en-US" w:eastAsia="zh-CN" w:bidi="ar-SA"/>
        </w:rPr>
        <w:t>（三）具有履行合同所必需的设备和专业技术能力</w:t>
      </w:r>
      <w:bookmarkEnd w:id="559"/>
    </w:p>
    <w:p>
      <w:pPr>
        <w:rPr>
          <w:rFonts w:hint="eastAsia" w:ascii="Times New Roman" w:hAnsi="Times New Roman" w:eastAsia="黑体" w:cs="Times New Roman"/>
          <w:b/>
          <w:color w:val="auto"/>
          <w:kern w:val="2"/>
          <w:sz w:val="28"/>
          <w:szCs w:val="28"/>
          <w:highlight w:val="none"/>
          <w:lang w:val="en-US" w:eastAsia="zh-CN" w:bidi="ar-SA"/>
        </w:rPr>
      </w:pPr>
    </w:p>
    <w:p>
      <w:pPr>
        <w:pStyle w:val="8"/>
        <w:rPr>
          <w:rFonts w:hint="eastAsia" w:ascii="Times New Roman" w:hAnsi="Times New Roman" w:eastAsia="黑体" w:cs="Times New Roman"/>
          <w:b/>
          <w:color w:val="auto"/>
          <w:kern w:val="2"/>
          <w:sz w:val="28"/>
          <w:szCs w:val="28"/>
          <w:highlight w:val="none"/>
          <w:lang w:val="en-US" w:eastAsia="zh-CN" w:bidi="ar-SA"/>
        </w:rPr>
      </w:pPr>
    </w:p>
    <w:p>
      <w:pPr>
        <w:pStyle w:val="8"/>
        <w:jc w:val="center"/>
        <w:outlineLvl w:val="1"/>
        <w:rPr>
          <w:rFonts w:hint="eastAsia" w:ascii="Times New Roman" w:hAnsi="Times New Roman" w:eastAsia="黑体" w:cs="Times New Roman"/>
          <w:b/>
          <w:color w:val="auto"/>
          <w:kern w:val="2"/>
          <w:sz w:val="28"/>
          <w:szCs w:val="28"/>
          <w:highlight w:val="none"/>
          <w:lang w:val="en-US" w:eastAsia="zh-CN" w:bidi="ar-SA"/>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p>
    <w:p>
      <w:pPr>
        <w:pStyle w:val="8"/>
        <w:jc w:val="center"/>
        <w:outlineLvl w:val="1"/>
        <w:rPr>
          <w:rFonts w:hint="eastAsia" w:ascii="Times New Roman" w:hAnsi="Times New Roman" w:eastAsia="黑体" w:cs="Times New Roman"/>
          <w:b/>
          <w:color w:val="auto"/>
          <w:kern w:val="2"/>
          <w:sz w:val="28"/>
          <w:szCs w:val="28"/>
          <w:highlight w:val="none"/>
          <w:lang w:val="en-US" w:eastAsia="zh-CN" w:bidi="ar-SA"/>
        </w:rPr>
      </w:pPr>
      <w:bookmarkStart w:id="565" w:name="_Toc32301"/>
      <w:r>
        <w:rPr>
          <w:rFonts w:hint="eastAsia" w:ascii="Times New Roman" w:hAnsi="Times New Roman" w:eastAsia="黑体" w:cs="Times New Roman"/>
          <w:b/>
          <w:color w:val="auto"/>
          <w:kern w:val="2"/>
          <w:sz w:val="28"/>
          <w:szCs w:val="28"/>
          <w:highlight w:val="none"/>
          <w:lang w:val="en-US" w:eastAsia="zh-CN" w:bidi="ar-SA"/>
        </w:rPr>
        <w:t>（四）</w:t>
      </w:r>
      <w:bookmarkEnd w:id="560"/>
      <w:bookmarkEnd w:id="561"/>
      <w:bookmarkEnd w:id="562"/>
      <w:r>
        <w:rPr>
          <w:rFonts w:hint="eastAsia" w:ascii="Times New Roman" w:hAnsi="Times New Roman" w:eastAsia="黑体" w:cs="Times New Roman"/>
          <w:b/>
          <w:color w:val="auto"/>
          <w:kern w:val="2"/>
          <w:sz w:val="28"/>
          <w:szCs w:val="28"/>
          <w:highlight w:val="none"/>
          <w:lang w:val="en-US" w:eastAsia="zh-CN" w:bidi="ar-SA"/>
        </w:rPr>
        <w:t>有依法缴纳税收的良好记录</w:t>
      </w:r>
      <w:bookmarkEnd w:id="565"/>
    </w:p>
    <w:bookmarkEnd w:id="563"/>
    <w:bookmarkEnd w:id="564"/>
    <w:p>
      <w:pPr>
        <w:pStyle w:val="8"/>
        <w:jc w:val="center"/>
        <w:outlineLvl w:val="9"/>
        <w:rPr>
          <w:rFonts w:hint="eastAsia" w:ascii="Times New Roman" w:hAnsi="Times New Roman" w:eastAsia="黑体" w:cs="Times New Roman"/>
          <w:b/>
          <w:color w:val="auto"/>
          <w:kern w:val="2"/>
          <w:sz w:val="28"/>
          <w:szCs w:val="28"/>
          <w:highlight w:val="none"/>
          <w:lang w:val="en-US" w:eastAsia="zh-CN" w:bidi="ar-SA"/>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p>
    <w:bookmarkEnd w:id="556"/>
    <w:bookmarkEnd w:id="557"/>
    <w:bookmarkEnd w:id="558"/>
    <w:p>
      <w:pPr>
        <w:pStyle w:val="3"/>
        <w:bidi w:val="0"/>
        <w:ind w:left="0" w:leftChars="0" w:firstLine="0" w:firstLineChars="0"/>
        <w:jc w:val="center"/>
        <w:rPr>
          <w:rFonts w:hint="eastAsia" w:ascii="Times New Roman" w:hAnsi="Times New Roman" w:eastAsia="黑体" w:cs="Times New Roman"/>
          <w:b/>
          <w:color w:val="auto"/>
          <w:kern w:val="2"/>
          <w:sz w:val="28"/>
          <w:szCs w:val="28"/>
          <w:highlight w:val="none"/>
          <w:lang w:val="en-US" w:eastAsia="zh-CN" w:bidi="ar-SA"/>
        </w:rPr>
        <w:sectPr>
          <w:pgSz w:w="11906" w:h="16838"/>
          <w:pgMar w:top="1440" w:right="1080" w:bottom="1440" w:left="1080" w:header="1077" w:footer="851" w:gutter="0"/>
          <w:pgNumType w:fmt="decimal"/>
          <w:cols w:space="708" w:num="1"/>
          <w:docGrid w:type="linesAndChars" w:linePitch="312" w:charSpace="0"/>
        </w:sectPr>
      </w:pPr>
      <w:bookmarkStart w:id="566" w:name="_Toc2139"/>
      <w:bookmarkStart w:id="567" w:name="_Toc23476"/>
      <w:bookmarkStart w:id="568" w:name="_Toc8536"/>
      <w:bookmarkStart w:id="569" w:name="_Toc21706"/>
      <w:bookmarkStart w:id="570" w:name="_Toc19114"/>
      <w:bookmarkStart w:id="571" w:name="_Toc30357"/>
      <w:r>
        <w:rPr>
          <w:rFonts w:hint="eastAsia" w:ascii="Times New Roman" w:hAnsi="Times New Roman" w:eastAsia="黑体" w:cs="Times New Roman"/>
          <w:b/>
          <w:color w:val="auto"/>
          <w:kern w:val="2"/>
          <w:sz w:val="28"/>
          <w:szCs w:val="28"/>
          <w:highlight w:val="none"/>
          <w:lang w:val="en-US" w:eastAsia="zh-CN" w:bidi="ar-SA"/>
        </w:rPr>
        <w:t>（</w:t>
      </w:r>
      <w:r>
        <w:rPr>
          <w:rFonts w:hint="eastAsia" w:ascii="Times New Roman" w:hAnsi="Times New Roman" w:cs="Times New Roman"/>
          <w:b/>
          <w:color w:val="auto"/>
          <w:kern w:val="2"/>
          <w:sz w:val="28"/>
          <w:szCs w:val="28"/>
          <w:highlight w:val="none"/>
          <w:lang w:val="en-US" w:eastAsia="zh-CN" w:bidi="ar-SA"/>
        </w:rPr>
        <w:t>五</w:t>
      </w:r>
      <w:r>
        <w:rPr>
          <w:rFonts w:hint="eastAsia" w:ascii="Times New Roman" w:hAnsi="Times New Roman" w:eastAsia="黑体" w:cs="Times New Roman"/>
          <w:b/>
          <w:color w:val="auto"/>
          <w:kern w:val="2"/>
          <w:sz w:val="28"/>
          <w:szCs w:val="28"/>
          <w:highlight w:val="none"/>
          <w:lang w:val="en-US" w:eastAsia="zh-CN" w:bidi="ar-SA"/>
        </w:rPr>
        <w:t>）有依法缴纳社会保障资金的良好记录</w:t>
      </w:r>
      <w:bookmarkEnd w:id="566"/>
    </w:p>
    <w:p>
      <w:pPr>
        <w:pStyle w:val="3"/>
        <w:bidi w:val="0"/>
        <w:ind w:left="0" w:leftChars="0" w:firstLine="0" w:firstLineChars="0"/>
        <w:jc w:val="center"/>
        <w:rPr>
          <w:rFonts w:hint="eastAsia" w:ascii="Times New Roman" w:hAnsi="Times New Roman" w:eastAsia="黑体" w:cs="Times New Roman"/>
          <w:b/>
          <w:color w:val="auto"/>
          <w:kern w:val="2"/>
          <w:sz w:val="28"/>
          <w:szCs w:val="28"/>
          <w:highlight w:val="none"/>
          <w:lang w:val="en-US" w:eastAsia="zh-CN" w:bidi="ar-SA"/>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bookmarkStart w:id="572" w:name="_Toc17285"/>
      <w:r>
        <w:rPr>
          <w:rFonts w:hint="eastAsia" w:ascii="Times New Roman" w:hAnsi="Times New Roman" w:eastAsia="黑体" w:cs="Times New Roman"/>
          <w:b/>
          <w:color w:val="auto"/>
          <w:kern w:val="2"/>
          <w:sz w:val="28"/>
          <w:szCs w:val="28"/>
          <w:highlight w:val="none"/>
          <w:lang w:val="en-US" w:eastAsia="zh-CN" w:bidi="ar-SA"/>
        </w:rPr>
        <w:t>（</w:t>
      </w:r>
      <w:r>
        <w:rPr>
          <w:rFonts w:hint="eastAsia" w:ascii="Times New Roman" w:hAnsi="Times New Roman" w:cs="Times New Roman"/>
          <w:b/>
          <w:color w:val="auto"/>
          <w:kern w:val="2"/>
          <w:sz w:val="28"/>
          <w:szCs w:val="28"/>
          <w:highlight w:val="none"/>
          <w:lang w:val="en-US" w:eastAsia="zh-CN" w:bidi="ar-SA"/>
        </w:rPr>
        <w:t>六</w:t>
      </w:r>
      <w:r>
        <w:rPr>
          <w:rFonts w:hint="eastAsia" w:ascii="Times New Roman" w:hAnsi="Times New Roman" w:eastAsia="黑体" w:cs="Times New Roman"/>
          <w:b/>
          <w:color w:val="auto"/>
          <w:kern w:val="2"/>
          <w:sz w:val="28"/>
          <w:szCs w:val="28"/>
          <w:highlight w:val="none"/>
          <w:lang w:val="en-US" w:eastAsia="zh-CN" w:bidi="ar-SA"/>
        </w:rPr>
        <w:t>）</w:t>
      </w:r>
      <w:bookmarkEnd w:id="567"/>
      <w:bookmarkEnd w:id="568"/>
      <w:bookmarkEnd w:id="569"/>
      <w:bookmarkEnd w:id="570"/>
      <w:bookmarkEnd w:id="571"/>
      <w:r>
        <w:rPr>
          <w:rFonts w:hint="eastAsia" w:ascii="Times New Roman" w:hAnsi="Times New Roman" w:eastAsia="黑体" w:cs="Times New Roman"/>
          <w:b/>
          <w:color w:val="auto"/>
          <w:kern w:val="2"/>
          <w:sz w:val="28"/>
          <w:szCs w:val="28"/>
          <w:highlight w:val="none"/>
          <w:lang w:val="en-US" w:eastAsia="zh-CN" w:bidi="ar-SA"/>
        </w:rPr>
        <w:t>参加投标活动前三年内，在经营活动中没有重大违法记录</w:t>
      </w:r>
      <w:bookmarkEnd w:id="572"/>
    </w:p>
    <w:p>
      <w:pPr>
        <w:jc w:val="center"/>
        <w:outlineLvl w:val="1"/>
        <w:rPr>
          <w:rFonts w:hint="default" w:ascii="Times New Roman" w:hAnsi="Times New Roman" w:eastAsia="黑体" w:cs="Times New Roman"/>
          <w:b/>
          <w:color w:val="auto"/>
          <w:kern w:val="2"/>
          <w:sz w:val="28"/>
          <w:szCs w:val="28"/>
          <w:highlight w:val="none"/>
          <w:lang w:val="en-US" w:eastAsia="zh-CN" w:bidi="ar-SA"/>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bookmarkStart w:id="573" w:name="_Toc24849"/>
      <w:bookmarkStart w:id="574" w:name="_Toc446"/>
      <w:bookmarkStart w:id="575" w:name="_Toc28498"/>
      <w:bookmarkStart w:id="576" w:name="_Toc15690"/>
      <w:bookmarkStart w:id="577" w:name="_Toc19162"/>
      <w:bookmarkStart w:id="578" w:name="_Toc5717"/>
      <w:r>
        <w:rPr>
          <w:rFonts w:hint="eastAsia" w:ascii="Times New Roman" w:hAnsi="Times New Roman" w:eastAsia="黑体" w:cs="Times New Roman"/>
          <w:b/>
          <w:color w:val="auto"/>
          <w:kern w:val="2"/>
          <w:sz w:val="28"/>
          <w:szCs w:val="28"/>
          <w:highlight w:val="none"/>
          <w:lang w:val="en-US" w:eastAsia="zh-CN" w:bidi="ar-SA"/>
        </w:rPr>
        <w:t>（七）</w:t>
      </w:r>
      <w:bookmarkEnd w:id="573"/>
      <w:bookmarkEnd w:id="574"/>
      <w:bookmarkEnd w:id="575"/>
      <w:bookmarkEnd w:id="576"/>
      <w:bookmarkEnd w:id="577"/>
      <w:r>
        <w:rPr>
          <w:rFonts w:hint="eastAsia" w:ascii="Times New Roman" w:hAnsi="Times New Roman" w:eastAsia="黑体" w:cs="Times New Roman"/>
          <w:b/>
          <w:color w:val="auto"/>
          <w:kern w:val="2"/>
          <w:sz w:val="28"/>
          <w:szCs w:val="28"/>
          <w:highlight w:val="none"/>
          <w:lang w:val="en-US" w:eastAsia="zh-CN" w:bidi="ar-SA"/>
        </w:rPr>
        <w:t>法律、行政法规规定的其他条件</w:t>
      </w:r>
      <w:bookmarkEnd w:id="578"/>
    </w:p>
    <w:p>
      <w:pPr>
        <w:pStyle w:val="3"/>
        <w:bidi w:val="0"/>
        <w:jc w:val="center"/>
        <w:rPr>
          <w:rFonts w:hint="eastAsia" w:ascii="Times New Roman" w:hAnsi="Times New Roman" w:cs="Times New Roman"/>
          <w:b/>
          <w:color w:val="auto"/>
          <w:kern w:val="2"/>
          <w:sz w:val="28"/>
          <w:szCs w:val="28"/>
          <w:highlight w:val="none"/>
          <w:lang w:val="en-US" w:eastAsia="zh-CN" w:bidi="ar-SA"/>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bookmarkStart w:id="579" w:name="_Toc17372"/>
      <w:bookmarkStart w:id="580" w:name="_Toc10689"/>
      <w:bookmarkStart w:id="581" w:name="_Toc7337"/>
      <w:r>
        <w:rPr>
          <w:rFonts w:hint="eastAsia" w:ascii="Times New Roman" w:hAnsi="Times New Roman" w:cs="Times New Roman"/>
          <w:b/>
          <w:color w:val="auto"/>
          <w:kern w:val="2"/>
          <w:sz w:val="28"/>
          <w:szCs w:val="28"/>
          <w:highlight w:val="none"/>
          <w:lang w:val="en-US" w:eastAsia="zh-CN" w:bidi="ar-SA"/>
        </w:rPr>
        <w:t>（八</w:t>
      </w:r>
      <w:bookmarkEnd w:id="579"/>
      <w:bookmarkEnd w:id="580"/>
      <w:r>
        <w:rPr>
          <w:rFonts w:hint="eastAsia" w:cs="Times New Roman"/>
          <w:b/>
          <w:color w:val="auto"/>
          <w:kern w:val="2"/>
          <w:sz w:val="28"/>
          <w:szCs w:val="28"/>
          <w:highlight w:val="none"/>
          <w:lang w:val="en-US" w:eastAsia="zh-CN" w:bidi="ar-SA"/>
        </w:rPr>
        <w:t>）</w:t>
      </w:r>
      <w:r>
        <w:rPr>
          <w:rFonts w:hint="eastAsia" w:ascii="Times New Roman" w:hAnsi="Times New Roman" w:cs="Times New Roman"/>
          <w:b/>
          <w:color w:val="auto"/>
          <w:kern w:val="2"/>
          <w:sz w:val="28"/>
          <w:szCs w:val="28"/>
          <w:highlight w:val="none"/>
          <w:lang w:val="en-US" w:eastAsia="zh-CN" w:bidi="ar-SA"/>
        </w:rPr>
        <w:t>本项目的特定资格要求</w:t>
      </w:r>
      <w:bookmarkEnd w:id="581"/>
    </w:p>
    <w:p>
      <w:pPr>
        <w:spacing w:line="360" w:lineRule="auto"/>
        <w:ind w:firstLine="560" w:firstLineChars="200"/>
        <w:jc w:val="center"/>
        <w:outlineLvl w:val="1"/>
        <w:rPr>
          <w:rFonts w:hint="eastAsia" w:ascii="Times New Roman" w:hAnsi="Times New Roman" w:cs="Times New Roman"/>
          <w:b/>
          <w:color w:val="auto"/>
          <w:sz w:val="28"/>
          <w:szCs w:val="28"/>
          <w:highlight w:val="none"/>
        </w:rPr>
      </w:pPr>
      <w:bookmarkStart w:id="582" w:name="_Toc10837"/>
      <w:bookmarkStart w:id="583" w:name="_Toc9959"/>
      <w:r>
        <w:rPr>
          <w:rFonts w:hint="eastAsia" w:ascii="Times New Roman" w:hAnsi="Times New Roman" w:eastAsia="黑体" w:cs="Times New Roman"/>
          <w:b/>
          <w:color w:val="auto"/>
          <w:kern w:val="2"/>
          <w:sz w:val="28"/>
          <w:szCs w:val="28"/>
          <w:highlight w:val="none"/>
          <w:lang w:val="en-US" w:eastAsia="zh-CN" w:bidi="ar-SA"/>
        </w:rPr>
        <w:t>三、法定代表人身份证明书</w:t>
      </w:r>
      <w:bookmarkEnd w:id="582"/>
      <w:bookmarkEnd w:id="583"/>
    </w:p>
    <w:p>
      <w:pPr>
        <w:jc w:val="center"/>
        <w:rPr>
          <w:rFonts w:ascii="宋体" w:hAnsi="宋体"/>
          <w:b/>
          <w:color w:val="auto"/>
          <w:sz w:val="24"/>
          <w:szCs w:val="24"/>
          <w:highlight w:val="none"/>
        </w:rPr>
      </w:pPr>
    </w:p>
    <w:p>
      <w:pPr>
        <w:spacing w:line="360" w:lineRule="auto"/>
        <w:ind w:firstLine="612"/>
        <w:rPr>
          <w:rFonts w:hint="eastAsia" w:ascii="宋体" w:hAnsi="宋体"/>
          <w:color w:val="auto"/>
          <w:sz w:val="24"/>
          <w:szCs w:val="24"/>
          <w:highlight w:val="none"/>
        </w:rPr>
      </w:pPr>
      <w:r>
        <w:rPr>
          <w:rFonts w:hint="eastAsia" w:ascii="宋体" w:hAnsi="宋体"/>
          <w:color w:val="auto"/>
          <w:sz w:val="24"/>
          <w:szCs w:val="24"/>
          <w:highlight w:val="none"/>
        </w:rPr>
        <w:t>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pPr>
        <w:spacing w:line="360" w:lineRule="auto"/>
        <w:ind w:firstLine="610"/>
        <w:rPr>
          <w:rFonts w:hint="eastAsia" w:ascii="宋体" w:hAnsi="宋体"/>
          <w:color w:val="auto"/>
          <w:sz w:val="24"/>
          <w:szCs w:val="24"/>
          <w:highlight w:val="none"/>
          <w:u w:val="single"/>
        </w:rPr>
      </w:pPr>
      <w:r>
        <w:rPr>
          <w:rFonts w:hint="eastAsia" w:ascii="宋体" w:hAnsi="宋体"/>
          <w:color w:val="auto"/>
          <w:sz w:val="24"/>
          <w:szCs w:val="24"/>
          <w:highlight w:val="none"/>
        </w:rPr>
        <w:t>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pPr>
        <w:spacing w:line="360" w:lineRule="auto"/>
        <w:ind w:firstLine="610"/>
        <w:rPr>
          <w:rFonts w:hint="eastAsia" w:ascii="宋体" w:hAnsi="宋体"/>
          <w:color w:val="auto"/>
          <w:sz w:val="24"/>
          <w:szCs w:val="24"/>
          <w:highlight w:val="none"/>
          <w:u w:val="single"/>
        </w:rPr>
      </w:pPr>
      <w:r>
        <w:rPr>
          <w:rFonts w:hint="eastAsia" w:ascii="宋体" w:hAnsi="宋体"/>
          <w:color w:val="auto"/>
          <w:sz w:val="24"/>
          <w:szCs w:val="24"/>
          <w:highlight w:val="none"/>
        </w:rPr>
        <w:t>地</w:t>
      </w:r>
      <w:r>
        <w:rPr>
          <w:rFonts w:ascii="宋体" w:hAnsi="宋体"/>
          <w:color w:val="auto"/>
          <w:sz w:val="24"/>
          <w:szCs w:val="24"/>
          <w:highlight w:val="none"/>
        </w:rPr>
        <w:t xml:space="preserve">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成立时间：</w:t>
      </w:r>
      <w:r>
        <w:rPr>
          <w:rFonts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日</w:t>
      </w:r>
    </w:p>
    <w:p>
      <w:pPr>
        <w:spacing w:line="360" w:lineRule="auto"/>
        <w:ind w:firstLine="610"/>
        <w:rPr>
          <w:rFonts w:hint="eastAsia" w:ascii="宋体" w:hAnsi="宋体"/>
          <w:color w:val="auto"/>
          <w:sz w:val="24"/>
          <w:szCs w:val="24"/>
          <w:highlight w:val="none"/>
          <w:u w:val="single"/>
        </w:rPr>
      </w:pPr>
      <w:r>
        <w:rPr>
          <w:rFonts w:hint="eastAsia" w:ascii="宋体" w:hAnsi="宋体"/>
          <w:color w:val="auto"/>
          <w:sz w:val="24"/>
          <w:szCs w:val="24"/>
          <w:highlight w:val="none"/>
        </w:rPr>
        <w:t>经营期限：</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p>
    <w:p>
      <w:pPr>
        <w:spacing w:line="360" w:lineRule="auto"/>
        <w:ind w:firstLine="610"/>
        <w:rPr>
          <w:rFonts w:hint="eastAsia" w:ascii="宋体" w:hAnsi="宋体"/>
          <w:color w:val="auto"/>
          <w:sz w:val="24"/>
          <w:szCs w:val="24"/>
          <w:highlight w:val="none"/>
          <w:u w:val="single"/>
        </w:rPr>
      </w:pPr>
      <w:r>
        <w:rPr>
          <w:rFonts w:hint="eastAsia" w:ascii="宋体" w:hAnsi="宋体"/>
          <w:color w:val="auto"/>
          <w:sz w:val="24"/>
          <w:szCs w:val="24"/>
          <w:highlight w:val="none"/>
        </w:rPr>
        <w:t>姓</w:t>
      </w:r>
      <w:r>
        <w:rPr>
          <w:rFonts w:ascii="宋体" w:hAnsi="宋体"/>
          <w:color w:val="auto"/>
          <w:sz w:val="24"/>
          <w:szCs w:val="24"/>
          <w:highlight w:val="none"/>
        </w:rPr>
        <w:t xml:space="preserve">    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性别：</w:t>
      </w:r>
      <w:r>
        <w:rPr>
          <w:rFonts w:ascii="宋体" w:hAnsi="宋体"/>
          <w:color w:val="auto"/>
          <w:sz w:val="24"/>
          <w:szCs w:val="24"/>
          <w:highlight w:val="none"/>
          <w:u w:val="single"/>
        </w:rPr>
        <w:t xml:space="preserve">    </w:t>
      </w:r>
      <w:r>
        <w:rPr>
          <w:rFonts w:ascii="宋体" w:hAnsi="宋体"/>
          <w:color w:val="auto"/>
          <w:sz w:val="24"/>
          <w:szCs w:val="24"/>
          <w:highlight w:val="none"/>
        </w:rPr>
        <w:t>年龄：</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p>
    <w:p>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投标人</w:t>
      </w:r>
      <w:r>
        <w:rPr>
          <w:rFonts w:ascii="宋体" w:hAnsi="宋体"/>
          <w:color w:val="auto"/>
          <w:sz w:val="24"/>
          <w:szCs w:val="24"/>
          <w:highlight w:val="none"/>
          <w:u w:val="single"/>
        </w:rPr>
        <w:t xml:space="preserve">名称）    </w:t>
      </w:r>
      <w:r>
        <w:rPr>
          <w:rFonts w:hint="eastAsia" w:ascii="宋体" w:hAnsi="宋体"/>
          <w:color w:val="auto"/>
          <w:sz w:val="24"/>
          <w:szCs w:val="24"/>
          <w:highlight w:val="none"/>
        </w:rPr>
        <w:t>的法定代表人。</w:t>
      </w:r>
    </w:p>
    <w:p>
      <w:pPr>
        <w:spacing w:line="360" w:lineRule="auto"/>
        <w:ind w:firstLine="610"/>
        <w:rPr>
          <w:rFonts w:ascii="宋体" w:hAnsi="宋体"/>
          <w:color w:val="auto"/>
          <w:sz w:val="24"/>
          <w:szCs w:val="24"/>
          <w:highlight w:val="none"/>
        </w:rPr>
      </w:pPr>
    </w:p>
    <w:p>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特此证明。</w:t>
      </w:r>
    </w:p>
    <w:p>
      <w:pPr>
        <w:jc w:val="left"/>
        <w:rPr>
          <w:rFonts w:hint="eastAsia"/>
          <w:b/>
          <w:color w:val="auto"/>
          <w:sz w:val="24"/>
          <w:szCs w:val="24"/>
          <w:highlight w:val="none"/>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b/>
          <w:color w:val="auto"/>
          <w:sz w:val="24"/>
          <w:szCs w:val="24"/>
          <w:highlight w:val="none"/>
        </w:rPr>
      </w:pPr>
      <w:r>
        <w:rPr>
          <w:rFonts w:hint="eastAsia"/>
          <w:b/>
          <w:color w:val="auto"/>
          <w:sz w:val="24"/>
          <w:szCs w:val="24"/>
          <w:highlight w:val="none"/>
        </w:rPr>
        <w:t>附：法定代表人身份证复印件（正、反面）</w:t>
      </w:r>
    </w:p>
    <w:p>
      <w:pPr>
        <w:tabs>
          <w:tab w:val="left" w:pos="720"/>
          <w:tab w:val="left" w:pos="900"/>
        </w:tabs>
        <w:spacing w:line="360" w:lineRule="auto"/>
        <w:ind w:firstLine="480" w:firstLineChars="200"/>
        <w:rPr>
          <w:rFonts w:ascii="宋体" w:hAnsi="宋体"/>
          <w:color w:val="auto"/>
          <w:sz w:val="24"/>
          <w:szCs w:val="24"/>
          <w:highlight w:val="none"/>
        </w:rPr>
      </w:pPr>
    </w:p>
    <w:p>
      <w:pPr>
        <w:tabs>
          <w:tab w:val="left" w:pos="720"/>
          <w:tab w:val="left" w:pos="900"/>
        </w:tabs>
        <w:spacing w:line="360" w:lineRule="auto"/>
        <w:ind w:firstLine="4560" w:firstLineChars="1900"/>
        <w:rPr>
          <w:rFonts w:hint="eastAsia" w:ascii="宋体" w:hAnsi="宋体"/>
          <w:color w:val="auto"/>
          <w:sz w:val="24"/>
          <w:szCs w:val="24"/>
          <w:highlight w:val="none"/>
        </w:rPr>
      </w:pPr>
    </w:p>
    <w:p>
      <w:pPr>
        <w:tabs>
          <w:tab w:val="left" w:pos="720"/>
          <w:tab w:val="left" w:pos="900"/>
        </w:tabs>
        <w:spacing w:line="360" w:lineRule="auto"/>
        <w:ind w:firstLine="4560" w:firstLineChars="1900"/>
        <w:rPr>
          <w:rFonts w:hint="eastAsia" w:ascii="宋体" w:hAnsi="宋体"/>
          <w:color w:val="auto"/>
          <w:sz w:val="24"/>
          <w:szCs w:val="24"/>
          <w:highlight w:val="none"/>
        </w:rPr>
      </w:pPr>
    </w:p>
    <w:p>
      <w:pPr>
        <w:tabs>
          <w:tab w:val="left" w:pos="720"/>
          <w:tab w:val="left" w:pos="900"/>
        </w:tabs>
        <w:spacing w:line="360" w:lineRule="auto"/>
        <w:ind w:firstLine="4560" w:firstLineChars="1900"/>
        <w:rPr>
          <w:rFonts w:ascii="宋体" w:hAnsi="宋体"/>
          <w:color w:val="auto"/>
          <w:sz w:val="24"/>
          <w:szCs w:val="24"/>
          <w:highlight w:val="none"/>
        </w:rPr>
      </w:pPr>
    </w:p>
    <w:p>
      <w:pPr>
        <w:keepNext w:val="0"/>
        <w:keepLines w:val="0"/>
        <w:pageBreakBefore w:val="0"/>
        <w:widowControl w:val="0"/>
        <w:tabs>
          <w:tab w:val="left" w:pos="720"/>
          <w:tab w:val="left" w:pos="900"/>
        </w:tabs>
        <w:kinsoku/>
        <w:wordWrap/>
        <w:overflowPunct/>
        <w:topLinePunct w:val="0"/>
        <w:autoSpaceDE/>
        <w:autoSpaceDN/>
        <w:bidi w:val="0"/>
        <w:adjustRightInd/>
        <w:snapToGrid/>
        <w:spacing w:line="480" w:lineRule="auto"/>
        <w:ind w:firstLine="480" w:firstLineChars="200"/>
        <w:textAlignment w:val="auto"/>
        <w:rPr>
          <w:rFonts w:hint="eastAsia" w:ascii="宋体" w:hAnsi="宋体"/>
          <w:color w:val="auto"/>
          <w:sz w:val="24"/>
          <w:szCs w:val="24"/>
          <w:highlight w:val="none"/>
          <w:u w:val="single"/>
        </w:rPr>
      </w:pPr>
      <w:r>
        <w:rPr>
          <w:rFonts w:hint="eastAsia" w:ascii="宋体" w:hAnsi="宋体"/>
          <w:color w:val="auto"/>
          <w:sz w:val="24"/>
          <w:szCs w:val="24"/>
          <w:highlight w:val="none"/>
        </w:rPr>
        <w:t>投标人全称：</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u w:val="none"/>
        </w:rPr>
        <w:t>（</w:t>
      </w:r>
      <w:r>
        <w:rPr>
          <w:rFonts w:hint="eastAsia" w:ascii="宋体" w:hAnsi="宋体"/>
          <w:color w:val="auto"/>
          <w:sz w:val="24"/>
          <w:szCs w:val="24"/>
          <w:highlight w:val="none"/>
          <w:u w:val="none"/>
          <w:lang w:eastAsia="zh-CN"/>
        </w:rPr>
        <w:t>电子公章</w:t>
      </w:r>
      <w:r>
        <w:rPr>
          <w:rFonts w:ascii="宋体" w:hAnsi="宋体"/>
          <w:color w:val="auto"/>
          <w:sz w:val="24"/>
          <w:szCs w:val="24"/>
          <w:highlight w:val="none"/>
          <w:u w:val="none"/>
        </w:rPr>
        <w:t>）</w:t>
      </w:r>
    </w:p>
    <w:p>
      <w:pPr>
        <w:keepNext w:val="0"/>
        <w:keepLines w:val="0"/>
        <w:pageBreakBefore w:val="0"/>
        <w:widowControl w:val="0"/>
        <w:tabs>
          <w:tab w:val="left" w:pos="720"/>
          <w:tab w:val="left" w:pos="900"/>
        </w:tabs>
        <w:kinsoku/>
        <w:wordWrap/>
        <w:overflowPunct/>
        <w:topLinePunct w:val="0"/>
        <w:autoSpaceDE/>
        <w:autoSpaceDN/>
        <w:bidi w:val="0"/>
        <w:adjustRightInd/>
        <w:snapToGrid/>
        <w:spacing w:line="480" w:lineRule="auto"/>
        <w:ind w:firstLine="480" w:firstLineChars="200"/>
        <w:textAlignment w:val="auto"/>
        <w:rPr>
          <w:rFonts w:hint="eastAsia"/>
          <w:color w:val="auto"/>
          <w:sz w:val="24"/>
          <w:szCs w:val="24"/>
          <w:highlight w:val="none"/>
        </w:rPr>
      </w:pPr>
      <w:r>
        <w:rPr>
          <w:rFonts w:hint="eastAsia" w:ascii="宋体" w:hAnsi="宋体"/>
          <w:color w:val="auto"/>
          <w:sz w:val="24"/>
          <w:szCs w:val="24"/>
          <w:highlight w:val="none"/>
        </w:rPr>
        <w:t>日</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期：</w:t>
      </w:r>
      <w:r>
        <w:rPr>
          <w:rFonts w:ascii="宋体" w:hAnsi="宋体"/>
          <w:color w:val="auto"/>
          <w:sz w:val="24"/>
          <w:szCs w:val="24"/>
          <w:highlight w:val="none"/>
          <w:u w:val="single"/>
        </w:rPr>
        <w:t xml:space="preserve">     </w:t>
      </w:r>
      <w:r>
        <w:rPr>
          <w:rFonts w:ascii="宋体" w:hAnsi="宋体"/>
          <w:color w:val="auto"/>
          <w:sz w:val="24"/>
          <w:szCs w:val="24"/>
          <w:highlight w:val="none"/>
        </w:rPr>
        <w:t>年</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月</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日</w:t>
      </w:r>
    </w:p>
    <w:p>
      <w:pPr>
        <w:spacing w:line="360" w:lineRule="auto"/>
        <w:ind w:firstLine="480" w:firstLineChars="200"/>
        <w:jc w:val="center"/>
        <w:outlineLvl w:val="9"/>
        <w:rPr>
          <w:rFonts w:hint="eastAsia" w:ascii="宋体" w:hAnsi="宋体" w:eastAsia="宋体" w:cs="Times New Roman"/>
          <w:color w:val="auto"/>
          <w:sz w:val="24"/>
          <w:highlight w:val="none"/>
          <w:lang w:eastAsia="zh-CN"/>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p>
    <w:p>
      <w:pPr>
        <w:jc w:val="center"/>
        <w:outlineLvl w:val="1"/>
        <w:rPr>
          <w:rStyle w:val="39"/>
          <w:rFonts w:hint="eastAsia"/>
          <w:color w:val="auto"/>
          <w:highlight w:val="none"/>
          <w:lang w:val="en-US" w:eastAsia="zh-CN"/>
        </w:rPr>
      </w:pPr>
      <w:bookmarkStart w:id="584" w:name="_Toc9004"/>
      <w:bookmarkStart w:id="585" w:name="_Toc2183"/>
      <w:r>
        <w:rPr>
          <w:rFonts w:hint="eastAsia" w:ascii="Times New Roman" w:hAnsi="Times New Roman" w:eastAsia="黑体" w:cs="Times New Roman"/>
          <w:b/>
          <w:color w:val="auto"/>
          <w:kern w:val="2"/>
          <w:sz w:val="28"/>
          <w:szCs w:val="28"/>
          <w:highlight w:val="none"/>
          <w:lang w:val="en-US" w:eastAsia="zh-CN" w:bidi="ar-SA"/>
        </w:rPr>
        <w:t>四、授权委托书</w:t>
      </w:r>
      <w:bookmarkEnd w:id="584"/>
      <w:bookmarkEnd w:id="585"/>
    </w:p>
    <w:p>
      <w:pPr>
        <w:spacing w:line="500" w:lineRule="exact"/>
        <w:rPr>
          <w:rFonts w:hint="eastAsia" w:ascii="宋体" w:hAnsi="宋体"/>
          <w:color w:val="auto"/>
          <w:sz w:val="24"/>
          <w:szCs w:val="24"/>
          <w:highlight w:val="none"/>
        </w:rPr>
      </w:pPr>
    </w:p>
    <w:p>
      <w:pPr>
        <w:spacing w:line="5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本人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（姓名）系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（投标人名称）的法定代表人，现授权委托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（姓名）为我公司代理人，以公司名义参加</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（项目编号：</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）”的</w:t>
      </w:r>
      <w:r>
        <w:rPr>
          <w:rFonts w:hint="eastAsia" w:ascii="宋体" w:hAnsi="宋体"/>
          <w:color w:val="auto"/>
          <w:sz w:val="24"/>
          <w:szCs w:val="24"/>
          <w:highlight w:val="none"/>
          <w:lang w:eastAsia="zh-CN"/>
        </w:rPr>
        <w:t>投标</w:t>
      </w:r>
      <w:r>
        <w:rPr>
          <w:rFonts w:hint="eastAsia" w:ascii="宋体" w:hAnsi="宋体"/>
          <w:color w:val="auto"/>
          <w:sz w:val="24"/>
          <w:szCs w:val="24"/>
          <w:highlight w:val="none"/>
        </w:rPr>
        <w:t>活动</w:t>
      </w:r>
      <w:r>
        <w:rPr>
          <w:rFonts w:hint="eastAsia" w:ascii="宋体" w:hAnsi="宋体"/>
          <w:color w:val="auto"/>
          <w:sz w:val="24"/>
          <w:szCs w:val="24"/>
          <w:highlight w:val="none"/>
          <w:lang w:eastAsia="zh-CN"/>
        </w:rPr>
        <w:t>；</w:t>
      </w:r>
      <w:r>
        <w:rPr>
          <w:rFonts w:hint="eastAsia" w:ascii="宋体" w:hAnsi="宋体"/>
          <w:color w:val="auto"/>
          <w:sz w:val="24"/>
          <w:szCs w:val="24"/>
          <w:highlight w:val="none"/>
        </w:rPr>
        <w:t>代理人在参加本项目过程中所签署的一切文件和处理与之有关的一切事务，我均予以承认。</w:t>
      </w:r>
    </w:p>
    <w:p>
      <w:pPr>
        <w:spacing w:line="500" w:lineRule="exact"/>
        <w:ind w:firstLine="420"/>
        <w:rPr>
          <w:rFonts w:hint="eastAsia" w:ascii="宋体" w:hAnsi="宋体"/>
          <w:color w:val="auto"/>
          <w:sz w:val="24"/>
          <w:szCs w:val="24"/>
          <w:highlight w:val="none"/>
        </w:rPr>
      </w:pPr>
    </w:p>
    <w:p>
      <w:pPr>
        <w:spacing w:line="500" w:lineRule="exact"/>
        <w:ind w:firstLine="420"/>
        <w:rPr>
          <w:rFonts w:hint="eastAsia" w:ascii="宋体" w:hAnsi="宋体"/>
          <w:color w:val="auto"/>
          <w:sz w:val="24"/>
          <w:szCs w:val="24"/>
          <w:highlight w:val="none"/>
        </w:rPr>
      </w:pPr>
      <w:r>
        <w:rPr>
          <w:rFonts w:hint="eastAsia"/>
          <w:b/>
          <w:color w:val="auto"/>
          <w:sz w:val="24"/>
          <w:szCs w:val="24"/>
          <w:highlight w:val="none"/>
        </w:rPr>
        <w:t>附：委托代理人身份证复印件（正、反面）</w:t>
      </w:r>
    </w:p>
    <w:p>
      <w:pPr>
        <w:spacing w:line="500" w:lineRule="exact"/>
        <w:ind w:firstLine="420"/>
        <w:rPr>
          <w:rFonts w:hint="eastAsia" w:ascii="宋体" w:hAnsi="宋体"/>
          <w:color w:val="auto"/>
          <w:sz w:val="24"/>
          <w:szCs w:val="24"/>
          <w:highlight w:val="none"/>
        </w:rPr>
      </w:pPr>
    </w:p>
    <w:p>
      <w:pPr>
        <w:spacing w:line="500" w:lineRule="exact"/>
        <w:ind w:firstLine="420"/>
        <w:rPr>
          <w:rFonts w:hint="eastAsia" w:ascii="宋体" w:hAnsi="宋体"/>
          <w:color w:val="auto"/>
          <w:sz w:val="24"/>
          <w:szCs w:val="24"/>
          <w:highlight w:val="none"/>
        </w:rPr>
      </w:pPr>
    </w:p>
    <w:p>
      <w:pPr>
        <w:spacing w:line="500" w:lineRule="exact"/>
        <w:ind w:firstLine="420"/>
        <w:rPr>
          <w:rFonts w:hint="eastAsia" w:ascii="宋体" w:hAnsi="宋体"/>
          <w:color w:val="auto"/>
          <w:sz w:val="24"/>
          <w:szCs w:val="24"/>
          <w:highlight w:val="none"/>
        </w:rPr>
      </w:pPr>
    </w:p>
    <w:p>
      <w:pPr>
        <w:spacing w:line="500" w:lineRule="exact"/>
        <w:ind w:firstLine="420"/>
        <w:rPr>
          <w:rFonts w:hint="eastAsia" w:ascii="宋体" w:hAnsi="宋体"/>
          <w:color w:val="auto"/>
          <w:sz w:val="24"/>
          <w:szCs w:val="24"/>
          <w:highlight w:val="none"/>
        </w:rPr>
      </w:pPr>
    </w:p>
    <w:p>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电子公章</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电子签名或电子签章</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lang w:val="en-US" w:eastAsia="zh-CN"/>
        </w:rPr>
        <w:t xml:space="preserve">                        </w:t>
      </w:r>
    </w:p>
    <w:p>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    </w:t>
      </w:r>
    </w:p>
    <w:p>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lang w:val="en-US" w:eastAsia="zh-CN"/>
        </w:rPr>
        <w:t xml:space="preserve">                        </w:t>
      </w:r>
    </w:p>
    <w:p>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宋体" w:hAnsi="宋体" w:eastAsia="宋体" w:cs="宋体"/>
          <w:color w:val="auto"/>
          <w:sz w:val="24"/>
          <w:highlight w:val="none"/>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bookmarkEnd w:id="517"/>
    <w:bookmarkEnd w:id="518"/>
    <w:bookmarkEnd w:id="519"/>
    <w:bookmarkEnd w:id="520"/>
    <w:bookmarkEnd w:id="521"/>
    <w:bookmarkEnd w:id="522"/>
    <w:bookmarkEnd w:id="523"/>
    <w:bookmarkEnd w:id="524"/>
    <w:bookmarkEnd w:id="535"/>
    <w:bookmarkEnd w:id="536"/>
    <w:bookmarkEnd w:id="537"/>
    <w:p>
      <w:pPr>
        <w:pStyle w:val="3"/>
        <w:bidi w:val="0"/>
        <w:jc w:val="center"/>
        <w:rPr>
          <w:rFonts w:hint="eastAsia" w:ascii="Times New Roman" w:hAnsi="Times New Roman" w:cs="Times New Roman"/>
          <w:b/>
          <w:color w:val="auto"/>
          <w:kern w:val="2"/>
          <w:sz w:val="32"/>
          <w:szCs w:val="32"/>
          <w:highlight w:val="none"/>
          <w:lang w:val="en-US" w:eastAsia="zh-CN" w:bidi="ar-SA"/>
        </w:rPr>
      </w:pPr>
      <w:bookmarkStart w:id="586" w:name="_Toc28423"/>
      <w:bookmarkStart w:id="587" w:name="_Toc23743"/>
      <w:bookmarkStart w:id="588" w:name="_Toc27796"/>
      <w:bookmarkStart w:id="589" w:name="_Toc3820"/>
      <w:bookmarkStart w:id="590" w:name="_Toc10012"/>
      <w:bookmarkStart w:id="591" w:name="_Toc10880"/>
      <w:bookmarkStart w:id="592" w:name="_Toc389550006"/>
      <w:bookmarkStart w:id="593" w:name="_Toc426026346"/>
      <w:r>
        <w:rPr>
          <w:rFonts w:hint="eastAsia" w:ascii="Times New Roman" w:hAnsi="Times New Roman" w:cs="Times New Roman"/>
          <w:b/>
          <w:color w:val="auto"/>
          <w:kern w:val="2"/>
          <w:sz w:val="32"/>
          <w:szCs w:val="32"/>
          <w:highlight w:val="none"/>
          <w:lang w:val="en-US" w:eastAsia="zh-CN" w:bidi="ar-SA"/>
        </w:rPr>
        <w:t>五、商务部分</w:t>
      </w:r>
      <w:bookmarkEnd w:id="586"/>
      <w:bookmarkEnd w:id="587"/>
      <w:bookmarkEnd w:id="588"/>
      <w:bookmarkEnd w:id="589"/>
      <w:bookmarkEnd w:id="590"/>
    </w:p>
    <w:p>
      <w:pPr>
        <w:pStyle w:val="3"/>
        <w:tabs>
          <w:tab w:val="clear" w:pos="1021"/>
        </w:tabs>
        <w:ind w:left="0" w:leftChars="0" w:firstLine="0" w:firstLineChars="0"/>
        <w:jc w:val="center"/>
        <w:rPr>
          <w:rFonts w:ascii="宋体" w:hAnsi="宋体" w:eastAsia="宋体"/>
          <w:color w:val="auto"/>
          <w:sz w:val="28"/>
          <w:szCs w:val="28"/>
          <w:highlight w:val="none"/>
        </w:rPr>
      </w:pPr>
      <w:bookmarkStart w:id="594" w:name="_Toc13886"/>
      <w:bookmarkStart w:id="595" w:name="_Toc30828"/>
      <w:bookmarkStart w:id="596" w:name="_Toc18016"/>
      <w:bookmarkStart w:id="597" w:name="_Toc27994"/>
      <w:bookmarkStart w:id="598" w:name="_Toc21807"/>
      <w:bookmarkStart w:id="599" w:name="_Toc31093"/>
      <w:r>
        <w:rPr>
          <w:rFonts w:hint="eastAsia"/>
          <w:color w:val="auto"/>
          <w:sz w:val="28"/>
          <w:szCs w:val="28"/>
          <w:highlight w:val="none"/>
          <w:lang w:eastAsia="zh-CN"/>
        </w:rPr>
        <w:t>（一）</w:t>
      </w:r>
      <w:r>
        <w:rPr>
          <w:rFonts w:hint="eastAsia"/>
          <w:color w:val="auto"/>
          <w:sz w:val="28"/>
          <w:szCs w:val="28"/>
          <w:highlight w:val="none"/>
        </w:rPr>
        <w:t>投标函</w:t>
      </w:r>
      <w:bookmarkEnd w:id="594"/>
      <w:bookmarkEnd w:id="595"/>
      <w:bookmarkEnd w:id="596"/>
    </w:p>
    <w:p>
      <w:pPr>
        <w:spacing w:line="500" w:lineRule="exact"/>
        <w:rPr>
          <w:rFonts w:hint="eastAsia"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w:t>
      </w:r>
      <w:r>
        <w:rPr>
          <w:rFonts w:ascii="宋体" w:hAnsi="宋体"/>
          <w:color w:val="auto"/>
          <w:sz w:val="24"/>
          <w:highlight w:val="none"/>
          <w:u w:val="single"/>
        </w:rPr>
        <w:t>（招标人名称）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根据贵方为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（招标项目名称）</w:t>
      </w:r>
      <w:r>
        <w:rPr>
          <w:rFonts w:hint="eastAsia" w:ascii="宋体" w:hAnsi="宋体"/>
          <w:color w:val="auto"/>
          <w:sz w:val="24"/>
          <w:highlight w:val="none"/>
        </w:rPr>
        <w:t>项目招标的公告，正式授权下述签字人</w:t>
      </w:r>
      <w:r>
        <w:rPr>
          <w:rFonts w:hint="eastAsia" w:ascii="宋体" w:hAnsi="宋体"/>
          <w:color w:val="auto"/>
          <w:sz w:val="24"/>
          <w:highlight w:val="none"/>
          <w:u w:val="single"/>
        </w:rPr>
        <w:t xml:space="preserve">   （姓名和职务）</w:t>
      </w:r>
      <w:r>
        <w:rPr>
          <w:rFonts w:hint="eastAsia" w:ascii="宋体" w:hAnsi="宋体"/>
          <w:color w:val="auto"/>
          <w:sz w:val="24"/>
          <w:highlight w:val="none"/>
        </w:rPr>
        <w:t>全权代表</w:t>
      </w:r>
      <w:r>
        <w:rPr>
          <w:rFonts w:hint="eastAsia" w:ascii="宋体" w:hAnsi="宋体"/>
          <w:color w:val="auto"/>
          <w:sz w:val="24"/>
          <w:highlight w:val="none"/>
          <w:u w:val="single"/>
        </w:rPr>
        <w:t xml:space="preserve">   （投标人全称）</w:t>
      </w:r>
      <w:r>
        <w:rPr>
          <w:rFonts w:hint="eastAsia" w:ascii="宋体" w:hAnsi="宋体"/>
          <w:color w:val="auto"/>
          <w:sz w:val="24"/>
          <w:highlight w:val="none"/>
        </w:rPr>
        <w:t>参加</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（招标项目名称）</w:t>
      </w:r>
      <w:r>
        <w:rPr>
          <w:rFonts w:hint="eastAsia" w:ascii="宋体" w:hAnsi="宋体"/>
          <w:color w:val="auto"/>
          <w:sz w:val="24"/>
          <w:highlight w:val="none"/>
        </w:rPr>
        <w:t>投标</w:t>
      </w:r>
      <w:r>
        <w:rPr>
          <w:rFonts w:hint="eastAsia" w:ascii="宋体" w:hAnsi="宋体"/>
          <w:color w:val="auto"/>
          <w:sz w:val="24"/>
          <w:highlight w:val="none"/>
          <w:lang w:eastAsia="zh-CN"/>
        </w:rPr>
        <w:t>活动</w:t>
      </w:r>
      <w:r>
        <w:rPr>
          <w:rFonts w:hint="eastAsia" w:ascii="宋体" w:hAnsi="宋体"/>
          <w:color w:val="auto"/>
          <w:sz w:val="24"/>
          <w:highlight w:val="none"/>
        </w:rPr>
        <w:t>，并提交投标文件。</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据此函，签字人兹宣布同意如下：</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履行招标文件所有要求及条款，我单位报价见《</w:t>
      </w:r>
      <w:r>
        <w:rPr>
          <w:rFonts w:hint="eastAsia" w:ascii="宋体" w:hAnsi="宋体"/>
          <w:color w:val="auto"/>
          <w:sz w:val="24"/>
          <w:highlight w:val="none"/>
          <w:lang w:eastAsia="zh-CN"/>
        </w:rPr>
        <w:t>开标（唱标）一览表</w:t>
      </w:r>
      <w:r>
        <w:rPr>
          <w:rFonts w:hint="eastAsia" w:ascii="宋体" w:hAnsi="宋体"/>
          <w:color w:val="auto"/>
          <w:sz w:val="24"/>
          <w:highlight w:val="none"/>
        </w:rPr>
        <w:t>》。</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投标有效期为</w:t>
      </w:r>
      <w:r>
        <w:rPr>
          <w:rFonts w:hint="eastAsia" w:ascii="宋体" w:hAnsi="宋体"/>
          <w:color w:val="auto"/>
          <w:sz w:val="24"/>
          <w:highlight w:val="none"/>
          <w:u w:val="none"/>
          <w:lang w:val="en-US" w:eastAsia="zh-CN"/>
        </w:rPr>
        <w:t>90</w:t>
      </w:r>
      <w:r>
        <w:rPr>
          <w:rFonts w:hint="eastAsia" w:ascii="宋体" w:hAnsi="宋体"/>
          <w:color w:val="auto"/>
          <w:sz w:val="24"/>
          <w:highlight w:val="none"/>
        </w:rPr>
        <w:t>日历天，自投标截止时间算起。我方同意在规定的投标有效</w:t>
      </w:r>
      <w:r>
        <w:rPr>
          <w:rFonts w:hint="eastAsia" w:ascii="宋体" w:hAnsi="宋体"/>
          <w:color w:val="auto"/>
          <w:sz w:val="24"/>
          <w:highlight w:val="none"/>
          <w:lang w:eastAsia="zh-CN"/>
        </w:rPr>
        <w:t>期内</w:t>
      </w:r>
      <w:r>
        <w:rPr>
          <w:rFonts w:hint="eastAsia" w:ascii="宋体" w:hAnsi="宋体"/>
          <w:color w:val="auto"/>
          <w:sz w:val="24"/>
          <w:highlight w:val="none"/>
        </w:rPr>
        <w:t>遵循本投标文件，并在规定的投标有效期满之前均具有约束力。如果我方投标被接受，则至合同履行完为止，本投标函保持有效。</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3.</w:t>
      </w:r>
      <w:r>
        <w:rPr>
          <w:rFonts w:hint="eastAsia" w:ascii="宋体" w:hAnsi="宋体"/>
          <w:color w:val="auto"/>
          <w:sz w:val="24"/>
          <w:highlight w:val="none"/>
        </w:rPr>
        <w:t>我方承诺已经具备《</w:t>
      </w:r>
      <w:r>
        <w:rPr>
          <w:rFonts w:hint="eastAsia" w:ascii="宋体" w:hAnsi="宋体"/>
          <w:color w:val="auto"/>
          <w:sz w:val="24"/>
          <w:highlight w:val="none"/>
          <w:lang w:eastAsia="zh-CN"/>
        </w:rPr>
        <w:t>中华人民共和国招标投标法</w:t>
      </w:r>
      <w:r>
        <w:rPr>
          <w:rFonts w:hint="eastAsia" w:ascii="宋体" w:hAnsi="宋体"/>
          <w:color w:val="auto"/>
          <w:sz w:val="24"/>
          <w:highlight w:val="none"/>
        </w:rPr>
        <w:t>》中规定的参加</w:t>
      </w:r>
      <w:r>
        <w:rPr>
          <w:rFonts w:hint="eastAsia" w:ascii="宋体" w:hAnsi="宋体"/>
          <w:color w:val="auto"/>
          <w:sz w:val="24"/>
          <w:highlight w:val="none"/>
          <w:lang w:eastAsia="zh-CN"/>
        </w:rPr>
        <w:t>招标</w:t>
      </w:r>
      <w:r>
        <w:rPr>
          <w:rFonts w:hint="eastAsia" w:ascii="宋体" w:hAnsi="宋体"/>
          <w:color w:val="auto"/>
          <w:sz w:val="24"/>
          <w:highlight w:val="none"/>
        </w:rPr>
        <w:t>活动的投标人应当具备的条件。</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4.</w:t>
      </w:r>
      <w:r>
        <w:rPr>
          <w:rFonts w:hint="eastAsia" w:ascii="宋体" w:hAnsi="宋体"/>
          <w:color w:val="auto"/>
          <w:sz w:val="24"/>
          <w:highlight w:val="none"/>
        </w:rPr>
        <w:t>如我方投标被接受，将保证在合同有效期内承担合同规定的责任义务。</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5.</w:t>
      </w:r>
      <w:r>
        <w:rPr>
          <w:rFonts w:hint="eastAsia" w:ascii="宋体" w:hAnsi="宋体"/>
          <w:color w:val="auto"/>
          <w:sz w:val="24"/>
          <w:highlight w:val="none"/>
        </w:rPr>
        <w:t>如我方投标被接受，将提供符合要求的服务质量。</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6.</w:t>
      </w:r>
      <w:r>
        <w:rPr>
          <w:rFonts w:hint="eastAsia" w:ascii="宋体" w:hAnsi="宋体"/>
          <w:color w:val="auto"/>
          <w:sz w:val="24"/>
          <w:highlight w:val="none"/>
        </w:rPr>
        <w:t>我方已详细审核招标文件，我方知道必须放弃提出含糊不清或误解问题的权利。</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7.</w:t>
      </w:r>
      <w:r>
        <w:rPr>
          <w:rFonts w:hint="eastAsia" w:ascii="宋体" w:hAnsi="宋体"/>
          <w:color w:val="auto"/>
          <w:sz w:val="24"/>
          <w:highlight w:val="none"/>
        </w:rPr>
        <w:t>如果在投标有效期内撤回投标或者有其他违约行为，我方愿意接受任何处罚。</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8.</w:t>
      </w:r>
      <w:r>
        <w:rPr>
          <w:rFonts w:hint="eastAsia" w:ascii="宋体" w:hAnsi="宋体"/>
          <w:color w:val="auto"/>
          <w:sz w:val="24"/>
          <w:highlight w:val="none"/>
        </w:rPr>
        <w:t>同意应贵方要求提供与</w:t>
      </w:r>
      <w:r>
        <w:rPr>
          <w:rFonts w:hint="eastAsia" w:ascii="宋体" w:hAnsi="宋体"/>
          <w:color w:val="auto"/>
          <w:sz w:val="24"/>
          <w:highlight w:val="none"/>
          <w:lang w:eastAsia="zh-CN"/>
        </w:rPr>
        <w:t>本次</w:t>
      </w:r>
      <w:r>
        <w:rPr>
          <w:rFonts w:hint="eastAsia" w:ascii="宋体" w:hAnsi="宋体"/>
          <w:color w:val="auto"/>
          <w:sz w:val="24"/>
          <w:highlight w:val="none"/>
        </w:rPr>
        <w:t>投标有关的任何数据或资料。</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9.</w:t>
      </w:r>
      <w:r>
        <w:rPr>
          <w:rFonts w:hint="eastAsia" w:ascii="宋体" w:hAnsi="宋体"/>
          <w:color w:val="auto"/>
          <w:sz w:val="24"/>
          <w:highlight w:val="none"/>
        </w:rPr>
        <w:t>若我方中标我方将按照要求提交履约保证金直至</w:t>
      </w:r>
      <w:r>
        <w:rPr>
          <w:rFonts w:hint="eastAsia" w:ascii="宋体" w:hAnsi="宋体"/>
          <w:color w:val="auto"/>
          <w:sz w:val="24"/>
          <w:highlight w:val="none"/>
          <w:lang w:val="en-US" w:eastAsia="zh-CN"/>
        </w:rPr>
        <w:t>合同</w:t>
      </w:r>
      <w:r>
        <w:rPr>
          <w:rFonts w:hint="eastAsia" w:ascii="宋体" w:hAnsi="宋体"/>
          <w:color w:val="auto"/>
          <w:sz w:val="24"/>
          <w:highlight w:val="none"/>
        </w:rPr>
        <w:t>期满。</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10.</w:t>
      </w:r>
      <w:r>
        <w:rPr>
          <w:rFonts w:hint="eastAsia" w:ascii="宋体" w:hAnsi="宋体"/>
          <w:color w:val="auto"/>
          <w:sz w:val="24"/>
          <w:highlight w:val="none"/>
        </w:rPr>
        <w:t>我方理解本招标文件所列要求为招标人最低要求，如我方有幸中标我方承诺在满足所列要求的基础上提供更优质的服务并接受招标人监督。</w:t>
      </w:r>
    </w:p>
    <w:p>
      <w:pPr>
        <w:spacing w:line="360" w:lineRule="auto"/>
        <w:ind w:firstLine="1440" w:firstLineChars="600"/>
        <w:rPr>
          <w:rFonts w:hint="eastAsia" w:ascii="宋体" w:hAnsi="宋体"/>
          <w:color w:val="auto"/>
          <w:sz w:val="24"/>
          <w:highlight w:val="none"/>
        </w:rPr>
      </w:pPr>
      <w:r>
        <w:rPr>
          <w:rFonts w:hint="eastAsia" w:ascii="宋体" w:hAnsi="宋体"/>
          <w:color w:val="auto"/>
          <w:sz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投标人：</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eastAsia="zh-CN"/>
        </w:rPr>
        <w:t>电子公章</w:t>
      </w:r>
      <w:r>
        <w:rPr>
          <w:rFonts w:hint="eastAsia"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both"/>
        <w:textAlignment w:val="auto"/>
        <w:rPr>
          <w:rFonts w:hint="eastAsia" w:hAnsi="宋体"/>
          <w:color w:val="auto"/>
          <w:sz w:val="24"/>
          <w:highlight w:val="none"/>
        </w:rPr>
      </w:pPr>
      <w:r>
        <w:rPr>
          <w:rFonts w:hint="eastAsia" w:hAnsi="宋体"/>
          <w:color w:val="auto"/>
          <w:sz w:val="24"/>
          <w:highlight w:val="none"/>
        </w:rPr>
        <w:t>法定代表人或委托代理人：</w:t>
      </w:r>
      <w:r>
        <w:rPr>
          <w:rFonts w:hint="eastAsia" w:hAnsi="宋体"/>
          <w:color w:val="auto"/>
          <w:sz w:val="24"/>
          <w:highlight w:val="none"/>
          <w:u w:val="single"/>
        </w:rPr>
        <w:t xml:space="preserve">                    </w:t>
      </w:r>
      <w:r>
        <w:rPr>
          <w:rFonts w:hint="eastAsia" w:hAnsi="宋体"/>
          <w:color w:val="auto"/>
          <w:sz w:val="24"/>
          <w:highlight w:val="none"/>
        </w:rPr>
        <w:t>（</w:t>
      </w:r>
      <w:r>
        <w:rPr>
          <w:rFonts w:hint="eastAsia" w:hAnsi="宋体"/>
          <w:color w:val="auto"/>
          <w:sz w:val="24"/>
          <w:highlight w:val="none"/>
          <w:lang w:eastAsia="zh-CN"/>
        </w:rPr>
        <w:t>电子签名或电子签章</w:t>
      </w:r>
      <w:r>
        <w:rPr>
          <w:rFonts w:hint="eastAsia"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color w:val="auto"/>
          <w:sz w:val="24"/>
          <w:highlight w:val="none"/>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r>
        <w:rPr>
          <w:rFonts w:hint="eastAsia" w:ascii="宋体" w:hAnsi="宋体"/>
          <w:color w:val="auto"/>
          <w:sz w:val="24"/>
          <w:highlight w:val="none"/>
          <w:lang w:eastAsia="zh-CN"/>
        </w:rPr>
        <w:t>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 </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p>
    <w:p>
      <w:pPr>
        <w:tabs>
          <w:tab w:val="left" w:pos="5880"/>
        </w:tabs>
        <w:spacing w:before="156" w:beforeLines="50" w:line="300" w:lineRule="auto"/>
        <w:jc w:val="center"/>
        <w:outlineLvl w:val="1"/>
        <w:rPr>
          <w:rStyle w:val="62"/>
          <w:rFonts w:ascii="Arial" w:hAnsi="Arial" w:eastAsia="黑体"/>
          <w:b/>
          <w:bCs/>
          <w:color w:val="auto"/>
          <w:szCs w:val="22"/>
          <w:highlight w:val="none"/>
        </w:rPr>
      </w:pPr>
      <w:bookmarkStart w:id="600" w:name="_Toc79575070"/>
      <w:bookmarkStart w:id="601" w:name="_Toc102161177"/>
      <w:bookmarkStart w:id="602" w:name="_Toc259924770"/>
      <w:bookmarkStart w:id="603" w:name="_Toc145001542"/>
      <w:bookmarkStart w:id="604" w:name="_Toc145014843"/>
      <w:bookmarkStart w:id="605" w:name="_Toc475522120"/>
      <w:bookmarkStart w:id="606" w:name="_Toc32402"/>
      <w:r>
        <w:rPr>
          <w:rStyle w:val="62"/>
          <w:rFonts w:hint="eastAsia" w:ascii="Arial" w:hAnsi="Arial" w:eastAsia="黑体"/>
          <w:b/>
          <w:bCs/>
          <w:color w:val="auto"/>
          <w:szCs w:val="22"/>
          <w:highlight w:val="none"/>
        </w:rPr>
        <w:t>（二）</w:t>
      </w:r>
      <w:bookmarkEnd w:id="600"/>
      <w:bookmarkEnd w:id="601"/>
      <w:bookmarkEnd w:id="602"/>
      <w:bookmarkEnd w:id="603"/>
      <w:bookmarkEnd w:id="604"/>
      <w:r>
        <w:rPr>
          <w:rStyle w:val="62"/>
          <w:rFonts w:hint="eastAsia" w:ascii="Arial" w:hAnsi="Arial" w:eastAsia="黑体"/>
          <w:b/>
          <w:bCs/>
          <w:color w:val="auto"/>
          <w:szCs w:val="22"/>
          <w:highlight w:val="none"/>
        </w:rPr>
        <w:t>投标函附录</w:t>
      </w:r>
      <w:bookmarkEnd w:id="605"/>
      <w:bookmarkEnd w:id="606"/>
    </w:p>
    <w:tbl>
      <w:tblPr>
        <w:tblStyle w:val="36"/>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986"/>
        <w:gridCol w:w="2526"/>
        <w:gridCol w:w="13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 w:hRule="atLeast"/>
          <w:jc w:val="center"/>
        </w:trPr>
        <w:tc>
          <w:tcPr>
            <w:tcW w:w="1354" w:type="dxa"/>
            <w:vAlign w:val="center"/>
          </w:tcPr>
          <w:p>
            <w:pPr>
              <w:tabs>
                <w:tab w:val="left" w:pos="5880"/>
              </w:tabs>
              <w:jc w:val="center"/>
              <w:rPr>
                <w:rFonts w:ascii="宋体" w:hAnsi="宋体"/>
                <w:color w:val="auto"/>
                <w:sz w:val="24"/>
                <w:highlight w:val="none"/>
              </w:rPr>
            </w:pPr>
            <w:r>
              <w:rPr>
                <w:rFonts w:ascii="宋体" w:hAnsi="宋体"/>
                <w:color w:val="auto"/>
                <w:sz w:val="24"/>
                <w:highlight w:val="none"/>
              </w:rPr>
              <w:t>序号</w:t>
            </w:r>
          </w:p>
        </w:tc>
        <w:tc>
          <w:tcPr>
            <w:tcW w:w="2161" w:type="dxa"/>
            <w:vAlign w:val="center"/>
          </w:tcPr>
          <w:p>
            <w:pPr>
              <w:tabs>
                <w:tab w:val="left" w:pos="5880"/>
              </w:tabs>
              <w:jc w:val="center"/>
              <w:rPr>
                <w:rFonts w:ascii="宋体" w:hAnsi="宋体"/>
                <w:color w:val="auto"/>
                <w:sz w:val="24"/>
                <w:highlight w:val="none"/>
              </w:rPr>
            </w:pPr>
            <w:r>
              <w:rPr>
                <w:rFonts w:hint="eastAsia" w:ascii="宋体" w:hAnsi="宋体"/>
                <w:color w:val="auto"/>
                <w:sz w:val="24"/>
                <w:highlight w:val="none"/>
              </w:rPr>
              <w:t>条款名称</w:t>
            </w:r>
          </w:p>
        </w:tc>
        <w:tc>
          <w:tcPr>
            <w:tcW w:w="1986" w:type="dxa"/>
            <w:vAlign w:val="center"/>
          </w:tcPr>
          <w:p>
            <w:pPr>
              <w:tabs>
                <w:tab w:val="left" w:pos="5880"/>
              </w:tabs>
              <w:jc w:val="center"/>
              <w:rPr>
                <w:rFonts w:ascii="宋体" w:hAnsi="宋体"/>
                <w:color w:val="auto"/>
                <w:sz w:val="24"/>
                <w:highlight w:val="none"/>
              </w:rPr>
            </w:pPr>
            <w:r>
              <w:rPr>
                <w:rFonts w:ascii="宋体" w:hAnsi="宋体"/>
                <w:color w:val="auto"/>
                <w:sz w:val="24"/>
                <w:highlight w:val="none"/>
              </w:rPr>
              <w:t>合同条款号</w:t>
            </w:r>
          </w:p>
        </w:tc>
        <w:tc>
          <w:tcPr>
            <w:tcW w:w="2526" w:type="dxa"/>
            <w:vAlign w:val="center"/>
          </w:tcPr>
          <w:p>
            <w:pPr>
              <w:tabs>
                <w:tab w:val="left" w:pos="5880"/>
              </w:tabs>
              <w:jc w:val="center"/>
              <w:rPr>
                <w:rFonts w:ascii="宋体" w:hAnsi="宋体"/>
                <w:color w:val="auto"/>
                <w:sz w:val="24"/>
                <w:highlight w:val="none"/>
              </w:rPr>
            </w:pPr>
            <w:r>
              <w:rPr>
                <w:rFonts w:hint="eastAsia" w:ascii="宋体" w:hAnsi="宋体"/>
                <w:color w:val="auto"/>
                <w:sz w:val="24"/>
                <w:highlight w:val="none"/>
              </w:rPr>
              <w:t>约定</w:t>
            </w:r>
            <w:r>
              <w:rPr>
                <w:rFonts w:ascii="宋体" w:hAnsi="宋体"/>
                <w:color w:val="auto"/>
                <w:sz w:val="24"/>
                <w:highlight w:val="none"/>
              </w:rPr>
              <w:t>内容</w:t>
            </w:r>
          </w:p>
        </w:tc>
        <w:tc>
          <w:tcPr>
            <w:tcW w:w="1327" w:type="dxa"/>
            <w:vAlign w:val="center"/>
          </w:tcPr>
          <w:p>
            <w:pPr>
              <w:tabs>
                <w:tab w:val="left" w:pos="5880"/>
              </w:tabs>
              <w:jc w:val="center"/>
              <w:rPr>
                <w:rFonts w:ascii="宋体" w:hAnsi="宋体"/>
                <w:color w:val="auto"/>
                <w:sz w:val="24"/>
                <w:highlight w:val="none"/>
              </w:rPr>
            </w:pPr>
            <w:r>
              <w:rPr>
                <w:rFonts w:ascii="宋体" w:hAnsi="宋体"/>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5" w:hRule="atLeast"/>
          <w:jc w:val="center"/>
        </w:trPr>
        <w:tc>
          <w:tcPr>
            <w:tcW w:w="1354" w:type="dxa"/>
            <w:vAlign w:val="center"/>
          </w:tcPr>
          <w:p>
            <w:pPr>
              <w:tabs>
                <w:tab w:val="left" w:pos="5880"/>
              </w:tabs>
              <w:jc w:val="center"/>
              <w:rPr>
                <w:rFonts w:ascii="宋体" w:hAnsi="宋体"/>
                <w:color w:val="auto"/>
                <w:sz w:val="24"/>
                <w:highlight w:val="none"/>
              </w:rPr>
            </w:pPr>
            <w:r>
              <w:rPr>
                <w:rFonts w:ascii="宋体" w:hAnsi="宋体"/>
                <w:color w:val="auto"/>
                <w:sz w:val="24"/>
                <w:highlight w:val="none"/>
              </w:rPr>
              <w:t>1</w:t>
            </w:r>
          </w:p>
        </w:tc>
        <w:tc>
          <w:tcPr>
            <w:tcW w:w="2161" w:type="dxa"/>
            <w:vAlign w:val="center"/>
          </w:tcPr>
          <w:p>
            <w:pPr>
              <w:tabs>
                <w:tab w:val="left" w:pos="5880"/>
              </w:tabs>
              <w:spacing w:line="440" w:lineRule="exact"/>
              <w:jc w:val="center"/>
              <w:rPr>
                <w:rFonts w:hint="eastAsia" w:ascii="宋体" w:hAnsi="宋体" w:eastAsia="宋体"/>
                <w:color w:val="auto"/>
                <w:sz w:val="24"/>
                <w:highlight w:val="none"/>
                <w:lang w:val="en-US" w:eastAsia="zh-CN"/>
              </w:rPr>
            </w:pPr>
            <w:r>
              <w:rPr>
                <w:rFonts w:ascii="宋体" w:hAnsi="宋体"/>
                <w:color w:val="auto"/>
                <w:sz w:val="24"/>
                <w:highlight w:val="none"/>
              </w:rPr>
              <w:t>项目</w:t>
            </w:r>
            <w:r>
              <w:rPr>
                <w:rFonts w:hint="eastAsia" w:ascii="宋体" w:hAnsi="宋体"/>
                <w:color w:val="auto"/>
                <w:sz w:val="24"/>
                <w:highlight w:val="none"/>
                <w:lang w:val="en-US" w:eastAsia="zh-CN"/>
              </w:rPr>
              <w:t>负责人</w:t>
            </w:r>
          </w:p>
        </w:tc>
        <w:tc>
          <w:tcPr>
            <w:tcW w:w="1986" w:type="dxa"/>
            <w:vAlign w:val="center"/>
          </w:tcPr>
          <w:p>
            <w:pPr>
              <w:tabs>
                <w:tab w:val="left" w:pos="5880"/>
              </w:tabs>
              <w:spacing w:line="440" w:lineRule="exact"/>
              <w:jc w:val="center"/>
              <w:rPr>
                <w:rFonts w:ascii="宋体" w:hAnsi="宋体"/>
                <w:color w:val="auto"/>
                <w:sz w:val="24"/>
                <w:highlight w:val="none"/>
              </w:rPr>
            </w:pPr>
          </w:p>
        </w:tc>
        <w:tc>
          <w:tcPr>
            <w:tcW w:w="2526" w:type="dxa"/>
            <w:vAlign w:val="center"/>
          </w:tcPr>
          <w:p>
            <w:pPr>
              <w:tabs>
                <w:tab w:val="left" w:pos="5880"/>
              </w:tabs>
              <w:spacing w:line="440" w:lineRule="exact"/>
              <w:rPr>
                <w:rFonts w:ascii="宋体" w:hAnsi="宋体"/>
                <w:color w:val="auto"/>
                <w:sz w:val="24"/>
                <w:highlight w:val="none"/>
              </w:rPr>
            </w:pPr>
            <w:r>
              <w:rPr>
                <w:rFonts w:ascii="宋体" w:hAnsi="宋体"/>
                <w:color w:val="auto"/>
                <w:sz w:val="24"/>
                <w:highlight w:val="none"/>
              </w:rPr>
              <w:t xml:space="preserve">姓名：           </w:t>
            </w:r>
          </w:p>
        </w:tc>
        <w:tc>
          <w:tcPr>
            <w:tcW w:w="1327" w:type="dxa"/>
            <w:vAlign w:val="center"/>
          </w:tcPr>
          <w:p>
            <w:pPr>
              <w:tabs>
                <w:tab w:val="left" w:pos="5880"/>
              </w:tabs>
              <w:spacing w:line="44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7" w:hRule="atLeast"/>
          <w:jc w:val="center"/>
        </w:trPr>
        <w:tc>
          <w:tcPr>
            <w:tcW w:w="1354" w:type="dxa"/>
            <w:vAlign w:val="center"/>
          </w:tcPr>
          <w:p>
            <w:pPr>
              <w:tabs>
                <w:tab w:val="left" w:pos="5880"/>
              </w:tabs>
              <w:jc w:val="center"/>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w:t>
            </w:r>
          </w:p>
        </w:tc>
        <w:tc>
          <w:tcPr>
            <w:tcW w:w="2161" w:type="dxa"/>
            <w:vAlign w:val="center"/>
          </w:tcPr>
          <w:p>
            <w:pPr>
              <w:tabs>
                <w:tab w:val="left" w:pos="5880"/>
              </w:tabs>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服务周期</w:t>
            </w:r>
          </w:p>
        </w:tc>
        <w:tc>
          <w:tcPr>
            <w:tcW w:w="1986" w:type="dxa"/>
            <w:vAlign w:val="center"/>
          </w:tcPr>
          <w:p>
            <w:pPr>
              <w:tabs>
                <w:tab w:val="left" w:pos="5880"/>
              </w:tabs>
              <w:jc w:val="center"/>
              <w:rPr>
                <w:rFonts w:ascii="宋体" w:hAnsi="宋体"/>
                <w:color w:val="auto"/>
                <w:sz w:val="24"/>
                <w:highlight w:val="none"/>
              </w:rPr>
            </w:pPr>
          </w:p>
        </w:tc>
        <w:tc>
          <w:tcPr>
            <w:tcW w:w="2526" w:type="dxa"/>
            <w:vAlign w:val="center"/>
          </w:tcPr>
          <w:p>
            <w:pPr>
              <w:tabs>
                <w:tab w:val="left" w:pos="5880"/>
              </w:tabs>
              <w:spacing w:line="440" w:lineRule="exact"/>
              <w:rPr>
                <w:rFonts w:ascii="宋体" w:hAnsi="宋体"/>
                <w:color w:val="auto"/>
                <w:sz w:val="24"/>
                <w:highlight w:val="none"/>
              </w:rPr>
            </w:pPr>
          </w:p>
        </w:tc>
        <w:tc>
          <w:tcPr>
            <w:tcW w:w="1327" w:type="dxa"/>
            <w:vAlign w:val="center"/>
          </w:tcPr>
          <w:p>
            <w:pPr>
              <w:tabs>
                <w:tab w:val="left" w:pos="5880"/>
              </w:tabs>
              <w:spacing w:line="44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9" w:hRule="atLeast"/>
          <w:jc w:val="center"/>
        </w:trPr>
        <w:tc>
          <w:tcPr>
            <w:tcW w:w="1354" w:type="dxa"/>
            <w:vAlign w:val="center"/>
          </w:tcPr>
          <w:p>
            <w:pPr>
              <w:tabs>
                <w:tab w:val="left" w:pos="5880"/>
              </w:tabs>
              <w:jc w:val="center"/>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w:t>
            </w:r>
          </w:p>
        </w:tc>
        <w:tc>
          <w:tcPr>
            <w:tcW w:w="2161" w:type="dxa"/>
            <w:vAlign w:val="center"/>
          </w:tcPr>
          <w:p>
            <w:pPr>
              <w:tabs>
                <w:tab w:val="left" w:pos="5880"/>
              </w:tabs>
              <w:jc w:val="center"/>
              <w:rPr>
                <w:rFonts w:ascii="宋体" w:hAnsi="宋体"/>
                <w:color w:val="auto"/>
                <w:sz w:val="24"/>
                <w:highlight w:val="none"/>
              </w:rPr>
            </w:pPr>
            <w:r>
              <w:rPr>
                <w:rFonts w:hint="eastAsia" w:ascii="宋体" w:hAnsi="宋体"/>
                <w:color w:val="auto"/>
                <w:sz w:val="24"/>
                <w:highlight w:val="none"/>
              </w:rPr>
              <w:t>质量要求</w:t>
            </w:r>
          </w:p>
        </w:tc>
        <w:tc>
          <w:tcPr>
            <w:tcW w:w="1986" w:type="dxa"/>
            <w:vAlign w:val="center"/>
          </w:tcPr>
          <w:p>
            <w:pPr>
              <w:tabs>
                <w:tab w:val="left" w:pos="5880"/>
              </w:tabs>
              <w:jc w:val="center"/>
              <w:rPr>
                <w:rFonts w:ascii="宋体" w:hAnsi="宋体"/>
                <w:color w:val="auto"/>
                <w:sz w:val="24"/>
                <w:highlight w:val="none"/>
              </w:rPr>
            </w:pPr>
          </w:p>
        </w:tc>
        <w:tc>
          <w:tcPr>
            <w:tcW w:w="2526" w:type="dxa"/>
            <w:vAlign w:val="center"/>
          </w:tcPr>
          <w:p>
            <w:pPr>
              <w:tabs>
                <w:tab w:val="left" w:pos="5880"/>
              </w:tabs>
              <w:spacing w:line="440" w:lineRule="exact"/>
              <w:jc w:val="center"/>
              <w:rPr>
                <w:rFonts w:ascii="宋体" w:hAnsi="宋体"/>
                <w:color w:val="auto"/>
                <w:sz w:val="24"/>
                <w:highlight w:val="none"/>
              </w:rPr>
            </w:pPr>
          </w:p>
        </w:tc>
        <w:tc>
          <w:tcPr>
            <w:tcW w:w="1327" w:type="dxa"/>
            <w:vAlign w:val="center"/>
          </w:tcPr>
          <w:p>
            <w:pPr>
              <w:tabs>
                <w:tab w:val="left" w:pos="5880"/>
              </w:tabs>
              <w:spacing w:line="440" w:lineRule="exact"/>
              <w:ind w:firstLine="820" w:firstLineChars="342"/>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1" w:hRule="atLeast"/>
          <w:jc w:val="center"/>
        </w:trPr>
        <w:tc>
          <w:tcPr>
            <w:tcW w:w="1354" w:type="dxa"/>
          </w:tcPr>
          <w:p>
            <w:pPr>
              <w:tabs>
                <w:tab w:val="left" w:pos="5880"/>
              </w:tabs>
              <w:jc w:val="center"/>
              <w:rPr>
                <w:rFonts w:ascii="宋体" w:hAnsi="宋体"/>
                <w:color w:val="auto"/>
                <w:sz w:val="24"/>
                <w:highlight w:val="none"/>
              </w:rPr>
            </w:pPr>
            <w:r>
              <w:rPr>
                <w:rFonts w:ascii="宋体" w:hAnsi="宋体"/>
                <w:color w:val="auto"/>
                <w:sz w:val="24"/>
                <w:highlight w:val="none"/>
              </w:rPr>
              <w:t>……</w:t>
            </w:r>
          </w:p>
        </w:tc>
        <w:tc>
          <w:tcPr>
            <w:tcW w:w="2161" w:type="dxa"/>
          </w:tcPr>
          <w:p>
            <w:pPr>
              <w:tabs>
                <w:tab w:val="left" w:pos="5880"/>
              </w:tabs>
              <w:jc w:val="center"/>
              <w:rPr>
                <w:rFonts w:ascii="宋体" w:hAnsi="宋体"/>
                <w:color w:val="auto"/>
                <w:sz w:val="24"/>
                <w:highlight w:val="none"/>
              </w:rPr>
            </w:pPr>
            <w:r>
              <w:rPr>
                <w:rFonts w:ascii="宋体" w:hAnsi="宋体"/>
                <w:color w:val="auto"/>
                <w:sz w:val="24"/>
                <w:highlight w:val="none"/>
              </w:rPr>
              <w:t>……</w:t>
            </w:r>
          </w:p>
        </w:tc>
        <w:tc>
          <w:tcPr>
            <w:tcW w:w="1986" w:type="dxa"/>
            <w:vAlign w:val="center"/>
          </w:tcPr>
          <w:p>
            <w:pPr>
              <w:tabs>
                <w:tab w:val="left" w:pos="5880"/>
              </w:tabs>
              <w:jc w:val="center"/>
              <w:rPr>
                <w:rFonts w:ascii="宋体" w:hAnsi="宋体"/>
                <w:color w:val="auto"/>
                <w:sz w:val="24"/>
                <w:highlight w:val="none"/>
              </w:rPr>
            </w:pPr>
            <w:r>
              <w:rPr>
                <w:rFonts w:ascii="宋体" w:hAnsi="宋体"/>
                <w:color w:val="auto"/>
                <w:sz w:val="24"/>
                <w:highlight w:val="none"/>
              </w:rPr>
              <w:t>……</w:t>
            </w:r>
          </w:p>
        </w:tc>
        <w:tc>
          <w:tcPr>
            <w:tcW w:w="2526" w:type="dxa"/>
            <w:vAlign w:val="center"/>
          </w:tcPr>
          <w:p>
            <w:pPr>
              <w:tabs>
                <w:tab w:val="left" w:pos="5880"/>
              </w:tabs>
              <w:spacing w:line="440" w:lineRule="exact"/>
              <w:jc w:val="center"/>
              <w:rPr>
                <w:rFonts w:ascii="宋体" w:hAnsi="宋体"/>
                <w:color w:val="auto"/>
                <w:sz w:val="24"/>
                <w:highlight w:val="none"/>
              </w:rPr>
            </w:pPr>
            <w:r>
              <w:rPr>
                <w:rFonts w:ascii="宋体" w:hAnsi="宋体"/>
                <w:color w:val="auto"/>
                <w:sz w:val="24"/>
                <w:highlight w:val="none"/>
              </w:rPr>
              <w:t>……</w:t>
            </w:r>
          </w:p>
        </w:tc>
        <w:tc>
          <w:tcPr>
            <w:tcW w:w="1327" w:type="dxa"/>
            <w:vAlign w:val="center"/>
          </w:tcPr>
          <w:p>
            <w:pPr>
              <w:tabs>
                <w:tab w:val="left" w:pos="5880"/>
              </w:tabs>
              <w:spacing w:line="44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1" w:hRule="atLeast"/>
          <w:jc w:val="center"/>
        </w:trPr>
        <w:tc>
          <w:tcPr>
            <w:tcW w:w="1354" w:type="dxa"/>
          </w:tcPr>
          <w:p>
            <w:pPr>
              <w:tabs>
                <w:tab w:val="left" w:pos="5880"/>
              </w:tabs>
              <w:jc w:val="center"/>
              <w:rPr>
                <w:rFonts w:ascii="宋体" w:hAnsi="宋体"/>
                <w:color w:val="auto"/>
                <w:sz w:val="24"/>
                <w:highlight w:val="none"/>
              </w:rPr>
            </w:pPr>
            <w:r>
              <w:rPr>
                <w:rFonts w:ascii="宋体" w:hAnsi="宋体"/>
                <w:color w:val="auto"/>
                <w:sz w:val="24"/>
                <w:highlight w:val="none"/>
              </w:rPr>
              <w:t>……</w:t>
            </w:r>
          </w:p>
        </w:tc>
        <w:tc>
          <w:tcPr>
            <w:tcW w:w="2161" w:type="dxa"/>
          </w:tcPr>
          <w:p>
            <w:pPr>
              <w:tabs>
                <w:tab w:val="left" w:pos="5880"/>
              </w:tabs>
              <w:jc w:val="center"/>
              <w:rPr>
                <w:rFonts w:ascii="宋体" w:hAnsi="宋体"/>
                <w:color w:val="auto"/>
                <w:sz w:val="24"/>
                <w:highlight w:val="none"/>
              </w:rPr>
            </w:pPr>
            <w:r>
              <w:rPr>
                <w:rFonts w:ascii="宋体" w:hAnsi="宋体"/>
                <w:color w:val="auto"/>
                <w:sz w:val="24"/>
                <w:highlight w:val="none"/>
              </w:rPr>
              <w:t>……</w:t>
            </w:r>
          </w:p>
        </w:tc>
        <w:tc>
          <w:tcPr>
            <w:tcW w:w="1986" w:type="dxa"/>
            <w:vAlign w:val="center"/>
          </w:tcPr>
          <w:p>
            <w:pPr>
              <w:tabs>
                <w:tab w:val="left" w:pos="5880"/>
              </w:tabs>
              <w:jc w:val="center"/>
              <w:rPr>
                <w:rFonts w:ascii="宋体" w:hAnsi="宋体"/>
                <w:color w:val="auto"/>
                <w:sz w:val="24"/>
                <w:highlight w:val="none"/>
              </w:rPr>
            </w:pPr>
            <w:r>
              <w:rPr>
                <w:rFonts w:ascii="宋体" w:hAnsi="宋体"/>
                <w:color w:val="auto"/>
                <w:sz w:val="24"/>
                <w:highlight w:val="none"/>
              </w:rPr>
              <w:t>……</w:t>
            </w:r>
          </w:p>
        </w:tc>
        <w:tc>
          <w:tcPr>
            <w:tcW w:w="2526" w:type="dxa"/>
            <w:vAlign w:val="center"/>
          </w:tcPr>
          <w:p>
            <w:pPr>
              <w:tabs>
                <w:tab w:val="left" w:pos="5880"/>
              </w:tabs>
              <w:spacing w:line="440" w:lineRule="exact"/>
              <w:jc w:val="center"/>
              <w:rPr>
                <w:rFonts w:ascii="宋体" w:hAnsi="宋体"/>
                <w:color w:val="auto"/>
                <w:sz w:val="24"/>
                <w:highlight w:val="none"/>
              </w:rPr>
            </w:pPr>
            <w:r>
              <w:rPr>
                <w:rFonts w:ascii="宋体" w:hAnsi="宋体"/>
                <w:color w:val="auto"/>
                <w:sz w:val="24"/>
                <w:highlight w:val="none"/>
              </w:rPr>
              <w:t>……</w:t>
            </w:r>
          </w:p>
        </w:tc>
        <w:tc>
          <w:tcPr>
            <w:tcW w:w="1327" w:type="dxa"/>
            <w:vAlign w:val="center"/>
          </w:tcPr>
          <w:p>
            <w:pPr>
              <w:tabs>
                <w:tab w:val="left" w:pos="5880"/>
              </w:tabs>
              <w:spacing w:line="44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4" w:hRule="atLeast"/>
          <w:jc w:val="center"/>
        </w:trPr>
        <w:tc>
          <w:tcPr>
            <w:tcW w:w="9354" w:type="dxa"/>
            <w:gridSpan w:val="5"/>
          </w:tcPr>
          <w:p>
            <w:pPr>
              <w:tabs>
                <w:tab w:val="left" w:pos="5880"/>
              </w:tabs>
              <w:spacing w:line="440" w:lineRule="exact"/>
              <w:rPr>
                <w:rFonts w:ascii="宋体" w:hAnsi="宋体"/>
                <w:color w:val="auto"/>
                <w:sz w:val="24"/>
                <w:highlight w:val="none"/>
              </w:rPr>
            </w:pPr>
            <w:r>
              <w:rPr>
                <w:rFonts w:hint="eastAsia" w:ascii="宋体" w:hAnsi="宋体"/>
                <w:color w:val="auto"/>
                <w:sz w:val="24"/>
                <w:highlight w:val="none"/>
              </w:rPr>
              <w:t>备注：投标人在响应招标文件中规定的实质性要求和条件的基础上，可做出其他有利于招标人的承诺。此类承诺可在本表中予以补充填写。</w:t>
            </w:r>
          </w:p>
        </w:tc>
      </w:tr>
    </w:tbl>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olor w:val="auto"/>
          <w:sz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投标人：</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eastAsia="zh-CN"/>
        </w:rPr>
        <w:t>电子公章</w:t>
      </w:r>
      <w:r>
        <w:rPr>
          <w:rFonts w:hint="eastAsia"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both"/>
        <w:textAlignment w:val="auto"/>
        <w:rPr>
          <w:rFonts w:hint="eastAsia" w:hAnsi="宋体"/>
          <w:color w:val="auto"/>
          <w:sz w:val="24"/>
          <w:highlight w:val="none"/>
        </w:rPr>
      </w:pPr>
      <w:r>
        <w:rPr>
          <w:rFonts w:hint="eastAsia" w:hAnsi="宋体"/>
          <w:color w:val="auto"/>
          <w:sz w:val="24"/>
          <w:highlight w:val="none"/>
        </w:rPr>
        <w:t>法定代表人或委托代理人：</w:t>
      </w:r>
      <w:r>
        <w:rPr>
          <w:rFonts w:hint="eastAsia" w:hAnsi="宋体"/>
          <w:color w:val="auto"/>
          <w:sz w:val="24"/>
          <w:highlight w:val="none"/>
          <w:u w:val="single"/>
        </w:rPr>
        <w:t xml:space="preserve">                    </w:t>
      </w:r>
      <w:r>
        <w:rPr>
          <w:rFonts w:hint="eastAsia" w:hAnsi="宋体"/>
          <w:color w:val="auto"/>
          <w:sz w:val="24"/>
          <w:highlight w:val="none"/>
        </w:rPr>
        <w:t>（</w:t>
      </w:r>
      <w:r>
        <w:rPr>
          <w:rFonts w:hint="eastAsia" w:hAnsi="宋体"/>
          <w:color w:val="auto"/>
          <w:sz w:val="24"/>
          <w:highlight w:val="none"/>
          <w:lang w:eastAsia="zh-CN"/>
        </w:rPr>
        <w:t>电子签名或电子签章</w:t>
      </w:r>
      <w:r>
        <w:rPr>
          <w:rFonts w:hint="eastAsia"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color w:val="auto"/>
          <w:sz w:val="24"/>
          <w:highlight w:val="none"/>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r>
        <w:rPr>
          <w:rFonts w:hint="eastAsia" w:ascii="宋体" w:hAnsi="宋体"/>
          <w:color w:val="auto"/>
          <w:sz w:val="24"/>
          <w:highlight w:val="none"/>
          <w:lang w:eastAsia="zh-CN"/>
        </w:rPr>
        <w:t>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 </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p>
    <w:bookmarkEnd w:id="597"/>
    <w:bookmarkEnd w:id="598"/>
    <w:bookmarkEnd w:id="599"/>
    <w:p>
      <w:pPr>
        <w:keepNext/>
        <w:keepLines/>
        <w:pageBreakBefore w:val="0"/>
        <w:widowControl w:val="0"/>
        <w:tabs>
          <w:tab w:val="left" w:pos="360"/>
        </w:tabs>
        <w:kinsoku/>
        <w:wordWrap/>
        <w:overflowPunct/>
        <w:topLinePunct w:val="0"/>
        <w:autoSpaceDE/>
        <w:autoSpaceDN/>
        <w:bidi w:val="0"/>
        <w:snapToGrid/>
        <w:spacing w:line="360" w:lineRule="auto"/>
        <w:jc w:val="center"/>
        <w:textAlignment w:val="auto"/>
        <w:outlineLvl w:val="1"/>
        <w:rPr>
          <w:rFonts w:hint="eastAsia" w:ascii="Times New Roman" w:hAnsi="Times New Roman" w:eastAsia="黑体" w:cs="Times New Roman"/>
          <w:b/>
          <w:color w:val="auto"/>
          <w:kern w:val="2"/>
          <w:sz w:val="32"/>
          <w:szCs w:val="32"/>
          <w:highlight w:val="none"/>
          <w:lang w:val="en-US" w:eastAsia="zh-CN" w:bidi="ar-SA"/>
        </w:rPr>
      </w:pPr>
      <w:bookmarkStart w:id="607" w:name="_Toc5843"/>
      <w:bookmarkStart w:id="608" w:name="_Toc16111"/>
      <w:bookmarkStart w:id="609" w:name="_Toc8894"/>
      <w:bookmarkStart w:id="610" w:name="_Toc8787"/>
      <w:bookmarkStart w:id="611" w:name="_Toc31333"/>
      <w:r>
        <w:rPr>
          <w:rFonts w:hint="eastAsia" w:ascii="Times New Roman" w:hAnsi="Times New Roman" w:eastAsia="黑体" w:cs="Times New Roman"/>
          <w:b/>
          <w:color w:val="auto"/>
          <w:kern w:val="2"/>
          <w:sz w:val="32"/>
          <w:szCs w:val="32"/>
          <w:highlight w:val="none"/>
          <w:lang w:val="en-US" w:eastAsia="zh-CN" w:bidi="ar-SA"/>
        </w:rPr>
        <w:t>六、</w:t>
      </w:r>
      <w:bookmarkEnd w:id="591"/>
      <w:bookmarkEnd w:id="592"/>
      <w:bookmarkEnd w:id="593"/>
      <w:r>
        <w:rPr>
          <w:rFonts w:hint="eastAsia" w:ascii="Times New Roman" w:hAnsi="Times New Roman" w:eastAsia="黑体" w:cs="Times New Roman"/>
          <w:b/>
          <w:color w:val="auto"/>
          <w:kern w:val="2"/>
          <w:sz w:val="32"/>
          <w:szCs w:val="32"/>
          <w:highlight w:val="none"/>
          <w:lang w:val="en-US" w:eastAsia="zh-CN" w:bidi="ar-SA"/>
        </w:rPr>
        <w:t>技术部分</w:t>
      </w:r>
      <w:bookmarkEnd w:id="607"/>
      <w:bookmarkEnd w:id="608"/>
      <w:bookmarkEnd w:id="609"/>
      <w:bookmarkEnd w:id="610"/>
      <w:bookmarkEnd w:id="611"/>
    </w:p>
    <w:p>
      <w:pPr>
        <w:pStyle w:val="14"/>
        <w:keepLines w:val="0"/>
        <w:pageBreakBefore w:val="0"/>
        <w:widowControl w:val="0"/>
        <w:kinsoku/>
        <w:wordWrap/>
        <w:overflowPunct/>
        <w:topLinePunct w:val="0"/>
        <w:autoSpaceDE/>
        <w:autoSpaceDN/>
        <w:bidi w:val="0"/>
        <w:snapToGrid/>
        <w:spacing w:line="360" w:lineRule="auto"/>
        <w:textAlignment w:val="auto"/>
        <w:outlineLvl w:val="1"/>
        <w:rPr>
          <w:rFonts w:hint="eastAsia" w:ascii="宋体" w:hAnsi="宋体" w:eastAsia="宋体" w:cs="宋体"/>
          <w:b/>
          <w:color w:val="auto"/>
          <w:sz w:val="24"/>
          <w:szCs w:val="24"/>
          <w:highlight w:val="none"/>
        </w:rPr>
      </w:pPr>
      <w:bookmarkStart w:id="612" w:name="_Toc23625"/>
      <w:bookmarkStart w:id="613" w:name="_Toc18262"/>
      <w:bookmarkStart w:id="614" w:name="_Toc10862"/>
      <w:bookmarkStart w:id="615" w:name="_Toc14860"/>
      <w:bookmarkStart w:id="616" w:name="_Toc7679"/>
      <w:bookmarkStart w:id="617" w:name="_Toc14627"/>
      <w:bookmarkStart w:id="618" w:name="_Toc25493"/>
      <w:r>
        <w:rPr>
          <w:rFonts w:hint="eastAsia" w:hAnsi="宋体" w:eastAsia="宋体" w:cs="宋体"/>
          <w:b/>
          <w:color w:val="auto"/>
          <w:sz w:val="24"/>
          <w:szCs w:val="24"/>
          <w:highlight w:val="none"/>
          <w:lang w:eastAsia="zh-CN"/>
        </w:rPr>
        <w:t>（</w:t>
      </w:r>
      <w:r>
        <w:rPr>
          <w:rFonts w:hint="eastAsia" w:hAnsi="宋体" w:eastAsia="宋体" w:cs="宋体"/>
          <w:b/>
          <w:color w:val="auto"/>
          <w:sz w:val="24"/>
          <w:szCs w:val="24"/>
          <w:highlight w:val="none"/>
          <w:lang w:val="en-US" w:eastAsia="zh-CN"/>
        </w:rPr>
        <w:t>一</w:t>
      </w:r>
      <w:r>
        <w:rPr>
          <w:rFonts w:hint="eastAsia" w:hAnsi="宋体" w:eastAsia="宋体" w:cs="宋体"/>
          <w:b/>
          <w:color w:val="auto"/>
          <w:sz w:val="24"/>
          <w:szCs w:val="24"/>
          <w:highlight w:val="none"/>
          <w:lang w:eastAsia="zh-CN"/>
        </w:rPr>
        <w:t>）</w:t>
      </w:r>
      <w:bookmarkEnd w:id="612"/>
      <w:bookmarkEnd w:id="613"/>
      <w:bookmarkStart w:id="619" w:name="_Toc13108"/>
      <w:bookmarkStart w:id="620" w:name="_Toc2774"/>
      <w:bookmarkStart w:id="621" w:name="_Toc4469"/>
      <w:bookmarkStart w:id="622" w:name="_Toc13608"/>
      <w:bookmarkStart w:id="623" w:name="_Toc15251"/>
      <w:r>
        <w:rPr>
          <w:rFonts w:hint="eastAsia" w:hAnsi="宋体" w:eastAsia="宋体" w:cs="宋体"/>
          <w:b/>
          <w:color w:val="auto"/>
          <w:sz w:val="24"/>
          <w:szCs w:val="24"/>
          <w:highlight w:val="none"/>
          <w:lang w:eastAsia="zh-CN"/>
        </w:rPr>
        <w:t>招标代理服务方案</w:t>
      </w:r>
      <w:bookmarkEnd w:id="614"/>
    </w:p>
    <w:p>
      <w:pPr>
        <w:pStyle w:val="14"/>
        <w:keepLines w:val="0"/>
        <w:pageBreakBefore w:val="0"/>
        <w:widowControl w:val="0"/>
        <w:kinsoku/>
        <w:wordWrap/>
        <w:overflowPunct/>
        <w:topLinePunct w:val="0"/>
        <w:autoSpaceDE/>
        <w:autoSpaceDN/>
        <w:bidi w:val="0"/>
        <w:snapToGrid/>
        <w:spacing w:line="360" w:lineRule="auto"/>
        <w:textAlignment w:val="auto"/>
        <w:outlineLvl w:val="9"/>
        <w:rPr>
          <w:rFonts w:hint="eastAsia" w:ascii="宋体" w:hAnsi="宋体" w:eastAsia="宋体" w:cs="宋体"/>
          <w:b/>
          <w:color w:val="auto"/>
          <w:kern w:val="2"/>
          <w:sz w:val="24"/>
          <w:szCs w:val="24"/>
          <w:highlight w:val="none"/>
          <w:lang w:val="en-US" w:eastAsia="zh-CN" w:bidi="ar-SA"/>
        </w:rPr>
      </w:pPr>
      <w:bookmarkStart w:id="624" w:name="_Toc20687"/>
      <w:bookmarkStart w:id="625" w:name="_Toc28312"/>
      <w:r>
        <w:rPr>
          <w:rFonts w:hint="eastAsia" w:ascii="宋体" w:hAnsi="宋体" w:eastAsia="宋体" w:cs="宋体"/>
          <w:b w:val="0"/>
          <w:bCs/>
          <w:color w:val="auto"/>
          <w:sz w:val="24"/>
          <w:szCs w:val="24"/>
          <w:highlight w:val="none"/>
        </w:rPr>
        <w:t>（格式由各</w:t>
      </w:r>
      <w:r>
        <w:rPr>
          <w:rFonts w:hint="eastAsia" w:hAnsi="宋体" w:eastAsia="宋体" w:cs="宋体"/>
          <w:b w:val="0"/>
          <w:bCs/>
          <w:color w:val="auto"/>
          <w:sz w:val="24"/>
          <w:szCs w:val="24"/>
          <w:highlight w:val="none"/>
          <w:lang w:val="en-US" w:eastAsia="zh-CN"/>
        </w:rPr>
        <w:t>投标人</w:t>
      </w:r>
      <w:r>
        <w:rPr>
          <w:rFonts w:hint="eastAsia" w:ascii="宋体" w:hAnsi="宋体" w:eastAsia="宋体" w:cs="宋体"/>
          <w:b w:val="0"/>
          <w:bCs/>
          <w:color w:val="auto"/>
          <w:sz w:val="24"/>
          <w:szCs w:val="24"/>
          <w:highlight w:val="none"/>
        </w:rPr>
        <w:t>自行设计）</w:t>
      </w:r>
      <w:bookmarkEnd w:id="615"/>
      <w:bookmarkEnd w:id="616"/>
      <w:bookmarkEnd w:id="617"/>
      <w:bookmarkEnd w:id="618"/>
      <w:bookmarkEnd w:id="624"/>
      <w:bookmarkEnd w:id="625"/>
    </w:p>
    <w:bookmarkEnd w:id="619"/>
    <w:bookmarkEnd w:id="620"/>
    <w:p>
      <w:pPr>
        <w:keepLines w:val="0"/>
        <w:pageBreakBefore w:val="0"/>
        <w:widowControl w:val="0"/>
        <w:numPr>
          <w:ilvl w:val="0"/>
          <w:numId w:val="0"/>
        </w:numPr>
        <w:kinsoku/>
        <w:wordWrap/>
        <w:overflowPunct/>
        <w:topLinePunct w:val="0"/>
        <w:autoSpaceDE/>
        <w:autoSpaceDN/>
        <w:bidi w:val="0"/>
        <w:snapToGrid/>
        <w:spacing w:line="360" w:lineRule="auto"/>
        <w:textAlignment w:val="auto"/>
        <w:outlineLvl w:val="1"/>
        <w:rPr>
          <w:rFonts w:hint="eastAsia" w:ascii="宋体" w:hAnsi="宋体" w:eastAsia="宋体" w:cs="宋体"/>
          <w:b/>
          <w:color w:val="auto"/>
          <w:kern w:val="2"/>
          <w:sz w:val="24"/>
          <w:szCs w:val="24"/>
          <w:highlight w:val="none"/>
          <w:lang w:val="en-US" w:eastAsia="zh-CN" w:bidi="ar-SA"/>
        </w:rPr>
      </w:pPr>
      <w:bookmarkStart w:id="626" w:name="_Toc27611"/>
      <w:bookmarkStart w:id="627" w:name="_Toc31030"/>
      <w:bookmarkStart w:id="628" w:name="_Toc2387"/>
      <w:r>
        <w:rPr>
          <w:rFonts w:hint="eastAsia" w:ascii="宋体" w:hAnsi="宋体" w:eastAsia="宋体" w:cs="宋体"/>
          <w:b/>
          <w:color w:val="auto"/>
          <w:kern w:val="2"/>
          <w:sz w:val="24"/>
          <w:szCs w:val="24"/>
          <w:highlight w:val="none"/>
          <w:lang w:val="en-US" w:eastAsia="zh-CN" w:bidi="ar-SA"/>
        </w:rPr>
        <w:t>（二）服务质量承诺</w:t>
      </w:r>
      <w:bookmarkEnd w:id="626"/>
    </w:p>
    <w:bookmarkEnd w:id="621"/>
    <w:bookmarkEnd w:id="622"/>
    <w:bookmarkEnd w:id="623"/>
    <w:bookmarkEnd w:id="627"/>
    <w:bookmarkEnd w:id="628"/>
    <w:p>
      <w:pPr>
        <w:keepLines w:val="0"/>
        <w:pageBreakBefore w:val="0"/>
        <w:widowControl w:val="0"/>
        <w:tabs>
          <w:tab w:val="left" w:pos="1021"/>
        </w:tabs>
        <w:kinsoku/>
        <w:wordWrap/>
        <w:overflowPunct/>
        <w:topLinePunct w:val="0"/>
        <w:autoSpaceDE/>
        <w:autoSpaceDN/>
        <w:bidi w:val="0"/>
        <w:snapToGrid/>
        <w:spacing w:line="360" w:lineRule="auto"/>
        <w:ind w:left="0" w:leftChars="0" w:firstLine="0" w:firstLineChars="0"/>
        <w:jc w:val="left"/>
        <w:textAlignment w:val="auto"/>
        <w:outlineLvl w:val="9"/>
        <w:rPr>
          <w:rFonts w:hint="eastAsia" w:ascii="宋体" w:hAnsi="宋体" w:eastAsia="宋体" w:cs="宋体"/>
          <w:b w:val="0"/>
          <w:bCs/>
          <w:color w:val="auto"/>
          <w:sz w:val="24"/>
          <w:szCs w:val="24"/>
          <w:highlight w:val="none"/>
        </w:rPr>
      </w:pPr>
      <w:bookmarkStart w:id="629" w:name="_TOC_250008"/>
      <w:bookmarkEnd w:id="629"/>
      <w:bookmarkStart w:id="630" w:name="_Toc10362"/>
      <w:bookmarkStart w:id="631" w:name="_Toc5186"/>
      <w:bookmarkStart w:id="632" w:name="_Toc23579"/>
      <w:bookmarkStart w:id="633" w:name="_Toc203"/>
      <w:bookmarkStart w:id="634" w:name="_Toc9217"/>
      <w:bookmarkStart w:id="635" w:name="_Toc28538"/>
      <w:r>
        <w:rPr>
          <w:rFonts w:hint="eastAsia" w:ascii="宋体" w:hAnsi="宋体" w:eastAsia="宋体" w:cs="宋体"/>
          <w:b w:val="0"/>
          <w:bCs/>
          <w:color w:val="auto"/>
          <w:sz w:val="24"/>
          <w:szCs w:val="24"/>
          <w:highlight w:val="none"/>
        </w:rPr>
        <w:t>（格式由各</w:t>
      </w:r>
      <w:r>
        <w:rPr>
          <w:rFonts w:hint="eastAsia" w:hAnsi="宋体" w:eastAsia="宋体" w:cs="宋体"/>
          <w:b w:val="0"/>
          <w:bCs/>
          <w:color w:val="auto"/>
          <w:sz w:val="24"/>
          <w:szCs w:val="24"/>
          <w:highlight w:val="none"/>
          <w:lang w:val="en-US" w:eastAsia="zh-CN"/>
        </w:rPr>
        <w:t>投标人</w:t>
      </w:r>
      <w:r>
        <w:rPr>
          <w:rFonts w:hint="eastAsia" w:ascii="宋体" w:hAnsi="宋体" w:eastAsia="宋体" w:cs="宋体"/>
          <w:b w:val="0"/>
          <w:bCs/>
          <w:color w:val="auto"/>
          <w:sz w:val="24"/>
          <w:szCs w:val="24"/>
          <w:highlight w:val="none"/>
        </w:rPr>
        <w:t>自行设计）</w:t>
      </w:r>
      <w:bookmarkEnd w:id="630"/>
      <w:bookmarkEnd w:id="631"/>
    </w:p>
    <w:p>
      <w:pPr>
        <w:pStyle w:val="3"/>
        <w:keepLines w:val="0"/>
        <w:pageBreakBefore w:val="0"/>
        <w:widowControl w:val="0"/>
        <w:kinsoku/>
        <w:wordWrap/>
        <w:overflowPunct/>
        <w:topLinePunct w:val="0"/>
        <w:autoSpaceDE/>
        <w:autoSpaceDN/>
        <w:bidi w:val="0"/>
        <w:snapToGrid/>
        <w:spacing w:line="360" w:lineRule="auto"/>
        <w:ind w:left="0" w:leftChars="0" w:firstLine="0" w:firstLineChars="0"/>
        <w:jc w:val="left"/>
        <w:textAlignment w:val="auto"/>
        <w:rPr>
          <w:rFonts w:hint="eastAsia" w:ascii="宋体" w:hAnsi="宋体" w:eastAsia="宋体" w:cs="宋体"/>
          <w:b/>
          <w:color w:val="auto"/>
          <w:sz w:val="24"/>
          <w:szCs w:val="24"/>
          <w:highlight w:val="none"/>
        </w:rPr>
      </w:pPr>
      <w:bookmarkStart w:id="636" w:name="_Toc14449"/>
      <w:bookmarkStart w:id="637" w:name="_Toc16359"/>
      <w:bookmarkStart w:id="638" w:name="_Toc16065"/>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lang w:eastAsia="zh-CN"/>
        </w:rPr>
        <w:t>）</w:t>
      </w:r>
      <w:bookmarkEnd w:id="636"/>
      <w:bookmarkEnd w:id="637"/>
      <w:bookmarkStart w:id="639" w:name="_Toc13824"/>
      <w:bookmarkStart w:id="640" w:name="_Toc3815"/>
      <w:r>
        <w:rPr>
          <w:rFonts w:hint="eastAsia" w:ascii="宋体" w:hAnsi="宋体" w:eastAsia="宋体" w:cs="宋体"/>
          <w:b/>
          <w:color w:val="auto"/>
          <w:sz w:val="24"/>
          <w:szCs w:val="24"/>
          <w:highlight w:val="none"/>
        </w:rPr>
        <w:t>保密、廉洁管理措施及承诺</w:t>
      </w:r>
      <w:bookmarkEnd w:id="638"/>
    </w:p>
    <w:bookmarkEnd w:id="632"/>
    <w:bookmarkEnd w:id="633"/>
    <w:bookmarkEnd w:id="634"/>
    <w:bookmarkEnd w:id="635"/>
    <w:bookmarkEnd w:id="639"/>
    <w:bookmarkEnd w:id="640"/>
    <w:p>
      <w:pPr>
        <w:keepLines w:val="0"/>
        <w:pageBreakBefore w:val="0"/>
        <w:widowControl w:val="0"/>
        <w:tabs>
          <w:tab w:val="left" w:pos="1021"/>
        </w:tabs>
        <w:kinsoku/>
        <w:wordWrap/>
        <w:overflowPunct/>
        <w:topLinePunct w:val="0"/>
        <w:autoSpaceDE/>
        <w:autoSpaceDN/>
        <w:bidi w:val="0"/>
        <w:snapToGrid/>
        <w:spacing w:line="360" w:lineRule="auto"/>
        <w:ind w:left="0" w:leftChars="0" w:firstLine="0" w:firstLineChars="0"/>
        <w:jc w:val="left"/>
        <w:textAlignment w:val="auto"/>
        <w:outlineLvl w:val="9"/>
        <w:rPr>
          <w:rFonts w:hint="eastAsia" w:ascii="宋体" w:hAnsi="宋体" w:eastAsia="宋体" w:cs="宋体"/>
          <w:b/>
          <w:color w:val="auto"/>
          <w:sz w:val="24"/>
          <w:szCs w:val="24"/>
          <w:highlight w:val="none"/>
          <w:lang w:val="en-US" w:eastAsia="zh-CN"/>
        </w:rPr>
      </w:pPr>
      <w:bookmarkStart w:id="641" w:name="_Toc23101"/>
      <w:bookmarkStart w:id="642" w:name="_Toc24473"/>
      <w:r>
        <w:rPr>
          <w:rFonts w:hint="eastAsia" w:ascii="宋体" w:hAnsi="宋体" w:eastAsia="宋体" w:cs="宋体"/>
          <w:b w:val="0"/>
          <w:bCs/>
          <w:color w:val="auto"/>
          <w:sz w:val="24"/>
          <w:szCs w:val="24"/>
          <w:highlight w:val="none"/>
        </w:rPr>
        <w:t>（格式由各</w:t>
      </w:r>
      <w:r>
        <w:rPr>
          <w:rFonts w:hint="eastAsia" w:hAnsi="宋体" w:eastAsia="宋体" w:cs="宋体"/>
          <w:b w:val="0"/>
          <w:bCs/>
          <w:color w:val="auto"/>
          <w:sz w:val="24"/>
          <w:szCs w:val="24"/>
          <w:highlight w:val="none"/>
          <w:lang w:val="en-US" w:eastAsia="zh-CN"/>
        </w:rPr>
        <w:t>投标人</w:t>
      </w:r>
      <w:r>
        <w:rPr>
          <w:rFonts w:hint="eastAsia" w:ascii="宋体" w:hAnsi="宋体" w:eastAsia="宋体" w:cs="宋体"/>
          <w:b w:val="0"/>
          <w:bCs/>
          <w:color w:val="auto"/>
          <w:sz w:val="24"/>
          <w:szCs w:val="24"/>
          <w:highlight w:val="none"/>
        </w:rPr>
        <w:t>自行设计）</w:t>
      </w:r>
      <w:bookmarkEnd w:id="641"/>
      <w:bookmarkEnd w:id="642"/>
    </w:p>
    <w:p>
      <w:pPr>
        <w:pStyle w:val="3"/>
        <w:keepLines w:val="0"/>
        <w:pageBreakBefore w:val="0"/>
        <w:widowControl w:val="0"/>
        <w:kinsoku/>
        <w:wordWrap/>
        <w:overflowPunct/>
        <w:topLinePunct w:val="0"/>
        <w:autoSpaceDE/>
        <w:autoSpaceDN/>
        <w:bidi w:val="0"/>
        <w:snapToGrid/>
        <w:spacing w:line="360" w:lineRule="auto"/>
        <w:ind w:left="0" w:leftChars="0" w:firstLine="0" w:firstLineChars="0"/>
        <w:jc w:val="left"/>
        <w:textAlignment w:val="auto"/>
        <w:rPr>
          <w:rFonts w:hint="eastAsia" w:ascii="宋体" w:hAnsi="宋体" w:eastAsia="宋体" w:cs="宋体"/>
          <w:b/>
          <w:color w:val="auto"/>
          <w:sz w:val="24"/>
          <w:szCs w:val="24"/>
          <w:highlight w:val="none"/>
        </w:rPr>
      </w:pPr>
      <w:bookmarkStart w:id="643" w:name="_Toc6614"/>
      <w:bookmarkStart w:id="644" w:name="_Toc20776"/>
      <w:bookmarkStart w:id="645" w:name="_Toc22460"/>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lang w:eastAsia="zh-CN"/>
        </w:rPr>
        <w:t>）</w:t>
      </w:r>
      <w:bookmarkEnd w:id="643"/>
      <w:bookmarkEnd w:id="644"/>
      <w:r>
        <w:rPr>
          <w:rFonts w:hint="eastAsia" w:ascii="宋体" w:hAnsi="宋体" w:eastAsia="宋体" w:cs="宋体"/>
          <w:b/>
          <w:color w:val="auto"/>
          <w:sz w:val="24"/>
          <w:szCs w:val="24"/>
          <w:highlight w:val="none"/>
        </w:rPr>
        <w:t>质疑、投诉解决方案</w:t>
      </w:r>
      <w:bookmarkEnd w:id="645"/>
    </w:p>
    <w:p>
      <w:pPr>
        <w:keepLines w:val="0"/>
        <w:pageBreakBefore w:val="0"/>
        <w:widowControl w:val="0"/>
        <w:tabs>
          <w:tab w:val="left" w:pos="1021"/>
        </w:tabs>
        <w:kinsoku/>
        <w:wordWrap/>
        <w:overflowPunct/>
        <w:topLinePunct w:val="0"/>
        <w:autoSpaceDE/>
        <w:autoSpaceDN/>
        <w:bidi w:val="0"/>
        <w:snapToGrid/>
        <w:spacing w:line="360" w:lineRule="auto"/>
        <w:ind w:left="0" w:leftChars="0" w:firstLine="0" w:firstLineChars="0"/>
        <w:jc w:val="left"/>
        <w:textAlignment w:val="auto"/>
        <w:outlineLvl w:val="9"/>
        <w:rPr>
          <w:rFonts w:hint="eastAsia" w:ascii="宋体" w:hAnsi="宋体" w:eastAsia="宋体" w:cs="宋体"/>
          <w:b/>
          <w:color w:val="auto"/>
          <w:sz w:val="24"/>
          <w:szCs w:val="24"/>
          <w:highlight w:val="none"/>
          <w:lang w:eastAsia="zh-CN"/>
        </w:rPr>
      </w:pPr>
      <w:bookmarkStart w:id="646" w:name="_Toc15338"/>
      <w:bookmarkStart w:id="647" w:name="_Toc17108"/>
      <w:r>
        <w:rPr>
          <w:rFonts w:hint="eastAsia" w:ascii="宋体" w:hAnsi="宋体" w:eastAsia="宋体" w:cs="宋体"/>
          <w:b w:val="0"/>
          <w:bCs/>
          <w:color w:val="auto"/>
          <w:sz w:val="24"/>
          <w:szCs w:val="24"/>
          <w:highlight w:val="none"/>
        </w:rPr>
        <w:t>（格式由各</w:t>
      </w:r>
      <w:r>
        <w:rPr>
          <w:rFonts w:hint="eastAsia" w:hAnsi="宋体" w:eastAsia="宋体" w:cs="宋体"/>
          <w:b w:val="0"/>
          <w:bCs/>
          <w:color w:val="auto"/>
          <w:sz w:val="24"/>
          <w:szCs w:val="24"/>
          <w:highlight w:val="none"/>
          <w:lang w:val="en-US" w:eastAsia="zh-CN"/>
        </w:rPr>
        <w:t>投标人</w:t>
      </w:r>
      <w:r>
        <w:rPr>
          <w:rFonts w:hint="eastAsia" w:ascii="宋体" w:hAnsi="宋体" w:eastAsia="宋体" w:cs="宋体"/>
          <w:b w:val="0"/>
          <w:bCs/>
          <w:color w:val="auto"/>
          <w:sz w:val="24"/>
          <w:szCs w:val="24"/>
          <w:highlight w:val="none"/>
        </w:rPr>
        <w:t>自行设计）</w:t>
      </w:r>
      <w:bookmarkEnd w:id="646"/>
      <w:bookmarkEnd w:id="647"/>
    </w:p>
    <w:p>
      <w:pPr>
        <w:pStyle w:val="92"/>
        <w:jc w:val="both"/>
        <w:outlineLvl w:val="1"/>
        <w:rPr>
          <w:rFonts w:hint="eastAsia" w:ascii="宋体" w:hAnsi="宋体" w:eastAsia="宋体" w:cs="宋体"/>
          <w:b/>
          <w:color w:val="auto"/>
          <w:sz w:val="24"/>
          <w:szCs w:val="24"/>
          <w:highlight w:val="none"/>
          <w:lang w:eastAsia="zh-CN"/>
        </w:rPr>
      </w:pPr>
      <w:bookmarkStart w:id="648" w:name="_Toc19718"/>
      <w:bookmarkStart w:id="649" w:name="_Toc26744"/>
      <w:bookmarkStart w:id="650" w:name="_Toc4662"/>
      <w:r>
        <w:rPr>
          <w:rFonts w:hint="eastAsia" w:hAnsi="宋体" w:cs="宋体"/>
          <w:b/>
          <w:color w:val="auto"/>
          <w:sz w:val="24"/>
          <w:szCs w:val="24"/>
          <w:highlight w:val="none"/>
          <w:lang w:eastAsia="zh-CN"/>
        </w:rPr>
        <w:t>（</w:t>
      </w:r>
      <w:r>
        <w:rPr>
          <w:rFonts w:hint="eastAsia" w:hAnsi="宋体" w:cs="宋体"/>
          <w:b/>
          <w:color w:val="auto"/>
          <w:sz w:val="24"/>
          <w:szCs w:val="24"/>
          <w:highlight w:val="none"/>
          <w:lang w:val="en-US" w:eastAsia="zh-CN"/>
        </w:rPr>
        <w:t>五</w:t>
      </w:r>
      <w:r>
        <w:rPr>
          <w:rFonts w:hint="eastAsia"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时间进度保障及承诺</w:t>
      </w:r>
    </w:p>
    <w:p>
      <w:pPr>
        <w:pStyle w:val="2"/>
        <w:rPr>
          <w:rFonts w:hint="eastAsia"/>
          <w:color w:val="auto"/>
          <w:highlight w:val="none"/>
          <w:lang w:eastAsia="zh-CN"/>
        </w:rPr>
      </w:pPr>
      <w:r>
        <w:rPr>
          <w:rFonts w:hint="eastAsia" w:ascii="宋体" w:hAnsi="宋体" w:eastAsia="宋体" w:cs="宋体"/>
          <w:b w:val="0"/>
          <w:bCs/>
          <w:color w:val="auto"/>
          <w:sz w:val="24"/>
          <w:szCs w:val="24"/>
          <w:highlight w:val="none"/>
        </w:rPr>
        <w:t>（格式由各</w:t>
      </w:r>
      <w:r>
        <w:rPr>
          <w:rFonts w:hint="eastAsia" w:hAnsi="宋体" w:eastAsia="宋体" w:cs="宋体"/>
          <w:b w:val="0"/>
          <w:bCs/>
          <w:color w:val="auto"/>
          <w:sz w:val="24"/>
          <w:szCs w:val="24"/>
          <w:highlight w:val="none"/>
          <w:lang w:val="en-US" w:eastAsia="zh-CN"/>
        </w:rPr>
        <w:t>投标人</w:t>
      </w:r>
      <w:r>
        <w:rPr>
          <w:rFonts w:hint="eastAsia" w:ascii="宋体" w:hAnsi="宋体" w:eastAsia="宋体" w:cs="宋体"/>
          <w:b w:val="0"/>
          <w:bCs/>
          <w:color w:val="auto"/>
          <w:sz w:val="24"/>
          <w:szCs w:val="24"/>
          <w:highlight w:val="none"/>
        </w:rPr>
        <w:t>自行设计）</w:t>
      </w:r>
    </w:p>
    <w:p>
      <w:pPr>
        <w:pStyle w:val="92"/>
        <w:jc w:val="both"/>
        <w:outlineLvl w:val="1"/>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sz w:val="24"/>
          <w:szCs w:val="24"/>
          <w:highlight w:val="none"/>
          <w:lang w:eastAsia="zh-CN"/>
        </w:rPr>
        <w:t>（</w:t>
      </w:r>
      <w:r>
        <w:rPr>
          <w:rFonts w:hint="eastAsia" w:hAnsi="宋体" w:cs="宋体"/>
          <w:b/>
          <w:color w:val="auto"/>
          <w:sz w:val="24"/>
          <w:szCs w:val="24"/>
          <w:highlight w:val="none"/>
          <w:lang w:val="en-US" w:eastAsia="zh-CN"/>
        </w:rPr>
        <w:t>六</w:t>
      </w:r>
      <w:r>
        <w:rPr>
          <w:rFonts w:hint="eastAsia" w:ascii="宋体" w:hAnsi="宋体" w:eastAsia="宋体" w:cs="宋体"/>
          <w:b/>
          <w:color w:val="auto"/>
          <w:sz w:val="24"/>
          <w:szCs w:val="24"/>
          <w:highlight w:val="none"/>
          <w:lang w:eastAsia="zh-CN"/>
        </w:rPr>
        <w:t>）</w:t>
      </w:r>
      <w:bookmarkEnd w:id="648"/>
      <w:bookmarkEnd w:id="649"/>
      <w:bookmarkStart w:id="651" w:name="_Toc16802"/>
      <w:bookmarkStart w:id="652" w:name="_Toc30459"/>
      <w:bookmarkStart w:id="653" w:name="_Toc7595"/>
      <w:bookmarkStart w:id="654" w:name="_Toc27228"/>
      <w:bookmarkStart w:id="655" w:name="_Toc25003"/>
      <w:bookmarkStart w:id="656" w:name="_Toc31855"/>
      <w:bookmarkStart w:id="657" w:name="_Toc24413"/>
      <w:r>
        <w:rPr>
          <w:rFonts w:hint="eastAsia" w:ascii="宋体" w:hAnsi="宋体" w:eastAsia="宋体" w:cs="宋体"/>
          <w:b/>
          <w:color w:val="auto"/>
          <w:kern w:val="2"/>
          <w:sz w:val="24"/>
          <w:szCs w:val="24"/>
          <w:highlight w:val="none"/>
          <w:lang w:val="en-US" w:eastAsia="zh-CN" w:bidi="ar-SA"/>
        </w:rPr>
        <w:t>类似项目情况表</w:t>
      </w:r>
      <w:bookmarkEnd w:id="650"/>
      <w:bookmarkEnd w:id="651"/>
      <w:bookmarkEnd w:id="652"/>
      <w:bookmarkEnd w:id="653"/>
      <w:bookmarkEnd w:id="654"/>
      <w:bookmarkEnd w:id="655"/>
      <w:bookmarkEnd w:id="656"/>
      <w:bookmarkEnd w:id="657"/>
    </w:p>
    <w:tbl>
      <w:tblPr>
        <w:tblStyle w:val="96"/>
        <w:tblW w:w="10076"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1"/>
        <w:gridCol w:w="2027"/>
        <w:gridCol w:w="1787"/>
        <w:gridCol w:w="1923"/>
        <w:gridCol w:w="1966"/>
        <w:gridCol w:w="153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145" w:hRule="atLeast"/>
        </w:trPr>
        <w:tc>
          <w:tcPr>
            <w:tcW w:w="841"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027"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1787" w:type="dxa"/>
            <w:tcBorders>
              <w:left w:val="single" w:color="000000"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业主名称</w:t>
            </w:r>
          </w:p>
        </w:tc>
        <w:tc>
          <w:tcPr>
            <w:tcW w:w="1923" w:type="dxa"/>
            <w:tcBorders>
              <w:right w:val="single" w:color="000000"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服务内容</w:t>
            </w:r>
          </w:p>
        </w:tc>
        <w:tc>
          <w:tcPr>
            <w:tcW w:w="1966"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合同金额</w:t>
            </w:r>
          </w:p>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(万元)</w:t>
            </w:r>
          </w:p>
        </w:tc>
        <w:tc>
          <w:tcPr>
            <w:tcW w:w="1532"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77" w:hRule="atLeast"/>
        </w:trPr>
        <w:tc>
          <w:tcPr>
            <w:tcW w:w="841"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027"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787" w:type="dxa"/>
            <w:tcBorders>
              <w:left w:val="single" w:color="000000" w:sz="4" w:space="0"/>
            </w:tcBorders>
            <w:vAlign w:val="center"/>
          </w:tcPr>
          <w:p>
            <w:pPr>
              <w:widowControl/>
              <w:jc w:val="center"/>
              <w:rPr>
                <w:rFonts w:hint="eastAsia" w:ascii="宋体" w:hAnsi="宋体" w:eastAsia="宋体" w:cs="宋体"/>
                <w:color w:val="auto"/>
                <w:szCs w:val="21"/>
                <w:highlight w:val="none"/>
              </w:rPr>
            </w:pPr>
          </w:p>
        </w:tc>
        <w:tc>
          <w:tcPr>
            <w:tcW w:w="1923" w:type="dxa"/>
            <w:tcBorders>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966"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532"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77" w:hRule="atLeast"/>
        </w:trPr>
        <w:tc>
          <w:tcPr>
            <w:tcW w:w="841"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027"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787" w:type="dxa"/>
            <w:tcBorders>
              <w:left w:val="single" w:color="000000" w:sz="4" w:space="0"/>
            </w:tcBorders>
            <w:vAlign w:val="center"/>
          </w:tcPr>
          <w:p>
            <w:pPr>
              <w:widowControl/>
              <w:jc w:val="center"/>
              <w:rPr>
                <w:rFonts w:hint="eastAsia" w:ascii="宋体" w:hAnsi="宋体" w:eastAsia="宋体" w:cs="宋体"/>
                <w:color w:val="auto"/>
                <w:szCs w:val="21"/>
                <w:highlight w:val="none"/>
              </w:rPr>
            </w:pPr>
          </w:p>
        </w:tc>
        <w:tc>
          <w:tcPr>
            <w:tcW w:w="1923" w:type="dxa"/>
            <w:tcBorders>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966"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532"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77" w:hRule="atLeast"/>
        </w:trPr>
        <w:tc>
          <w:tcPr>
            <w:tcW w:w="841"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027"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787" w:type="dxa"/>
            <w:tcBorders>
              <w:left w:val="single" w:color="000000" w:sz="4" w:space="0"/>
            </w:tcBorders>
            <w:vAlign w:val="center"/>
          </w:tcPr>
          <w:p>
            <w:pPr>
              <w:widowControl/>
              <w:jc w:val="center"/>
              <w:rPr>
                <w:rFonts w:hint="eastAsia" w:ascii="宋体" w:hAnsi="宋体" w:eastAsia="宋体" w:cs="宋体"/>
                <w:color w:val="auto"/>
                <w:szCs w:val="21"/>
                <w:highlight w:val="none"/>
              </w:rPr>
            </w:pPr>
          </w:p>
        </w:tc>
        <w:tc>
          <w:tcPr>
            <w:tcW w:w="1923" w:type="dxa"/>
            <w:tcBorders>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966"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532"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77" w:hRule="atLeast"/>
        </w:trPr>
        <w:tc>
          <w:tcPr>
            <w:tcW w:w="841"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027"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787" w:type="dxa"/>
            <w:tcBorders>
              <w:left w:val="single" w:color="000000" w:sz="4" w:space="0"/>
            </w:tcBorders>
            <w:vAlign w:val="center"/>
          </w:tcPr>
          <w:p>
            <w:pPr>
              <w:widowControl/>
              <w:jc w:val="center"/>
              <w:rPr>
                <w:rFonts w:hint="eastAsia" w:ascii="宋体" w:hAnsi="宋体" w:eastAsia="宋体" w:cs="宋体"/>
                <w:color w:val="auto"/>
                <w:szCs w:val="21"/>
                <w:highlight w:val="none"/>
              </w:rPr>
            </w:pPr>
          </w:p>
        </w:tc>
        <w:tc>
          <w:tcPr>
            <w:tcW w:w="1923" w:type="dxa"/>
            <w:tcBorders>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966"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532"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78" w:hRule="atLeast"/>
        </w:trPr>
        <w:tc>
          <w:tcPr>
            <w:tcW w:w="841"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p>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027"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787" w:type="dxa"/>
            <w:tcBorders>
              <w:left w:val="single" w:color="000000" w:sz="4" w:space="0"/>
            </w:tcBorders>
            <w:vAlign w:val="center"/>
          </w:tcPr>
          <w:p>
            <w:pPr>
              <w:widowControl/>
              <w:jc w:val="center"/>
              <w:rPr>
                <w:rFonts w:hint="eastAsia" w:ascii="宋体" w:hAnsi="宋体" w:eastAsia="宋体" w:cs="宋体"/>
                <w:color w:val="auto"/>
                <w:szCs w:val="21"/>
                <w:highlight w:val="none"/>
              </w:rPr>
            </w:pPr>
          </w:p>
        </w:tc>
        <w:tc>
          <w:tcPr>
            <w:tcW w:w="1923" w:type="dxa"/>
            <w:tcBorders>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966"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c>
          <w:tcPr>
            <w:tcW w:w="1532" w:type="dxa"/>
            <w:tcBorders>
              <w:left w:val="single" w:color="000000" w:sz="4" w:space="0"/>
              <w:right w:val="single" w:color="000000" w:sz="4" w:space="0"/>
            </w:tcBorders>
            <w:vAlign w:val="center"/>
          </w:tcPr>
          <w:p>
            <w:pPr>
              <w:widowControl/>
              <w:jc w:val="center"/>
              <w:rPr>
                <w:rFonts w:hint="eastAsia" w:ascii="宋体" w:hAnsi="宋体" w:eastAsia="宋体" w:cs="宋体"/>
                <w:color w:val="auto"/>
                <w:szCs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806" w:hRule="atLeast"/>
        </w:trPr>
        <w:tc>
          <w:tcPr>
            <w:tcW w:w="841" w:type="dxa"/>
            <w:tcBorders>
              <w:left w:val="single" w:color="000000" w:sz="4" w:space="0"/>
              <w:right w:val="single" w:color="000000" w:sz="4" w:space="0"/>
            </w:tcBorders>
            <w:vAlign w:val="center"/>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w:t>
            </w:r>
          </w:p>
        </w:tc>
        <w:tc>
          <w:tcPr>
            <w:tcW w:w="2027" w:type="dxa"/>
            <w:tcBorders>
              <w:left w:val="single" w:color="000000" w:sz="4" w:space="0"/>
              <w:right w:val="single" w:color="000000" w:sz="4" w:space="0"/>
            </w:tcBorders>
          </w:tcPr>
          <w:p>
            <w:pPr>
              <w:rPr>
                <w:rFonts w:hint="eastAsia" w:ascii="宋体" w:hAnsi="宋体" w:eastAsia="宋体" w:cs="宋体"/>
                <w:color w:val="auto"/>
                <w:highlight w:val="none"/>
              </w:rPr>
            </w:pPr>
          </w:p>
        </w:tc>
        <w:tc>
          <w:tcPr>
            <w:tcW w:w="1787" w:type="dxa"/>
            <w:tcBorders>
              <w:left w:val="single" w:color="000000" w:sz="4" w:space="0"/>
            </w:tcBorders>
          </w:tcPr>
          <w:p>
            <w:pPr>
              <w:rPr>
                <w:rFonts w:hint="eastAsia" w:ascii="宋体" w:hAnsi="宋体" w:eastAsia="宋体" w:cs="宋体"/>
                <w:color w:val="auto"/>
                <w:highlight w:val="none"/>
              </w:rPr>
            </w:pPr>
          </w:p>
        </w:tc>
        <w:tc>
          <w:tcPr>
            <w:tcW w:w="1923" w:type="dxa"/>
            <w:tcBorders>
              <w:right w:val="single" w:color="000000" w:sz="4" w:space="0"/>
            </w:tcBorders>
          </w:tcPr>
          <w:p>
            <w:pPr>
              <w:rPr>
                <w:rFonts w:hint="eastAsia" w:ascii="宋体" w:hAnsi="宋体" w:eastAsia="宋体" w:cs="宋体"/>
                <w:color w:val="auto"/>
                <w:highlight w:val="none"/>
              </w:rPr>
            </w:pPr>
          </w:p>
        </w:tc>
        <w:tc>
          <w:tcPr>
            <w:tcW w:w="1966" w:type="dxa"/>
            <w:tcBorders>
              <w:left w:val="single" w:color="000000" w:sz="4" w:space="0"/>
              <w:right w:val="single" w:color="000000" w:sz="4" w:space="0"/>
            </w:tcBorders>
          </w:tcPr>
          <w:p>
            <w:pPr>
              <w:rPr>
                <w:rFonts w:hint="eastAsia" w:ascii="宋体" w:hAnsi="宋体" w:eastAsia="宋体" w:cs="宋体"/>
                <w:color w:val="auto"/>
                <w:highlight w:val="none"/>
              </w:rPr>
            </w:pPr>
          </w:p>
        </w:tc>
        <w:tc>
          <w:tcPr>
            <w:tcW w:w="1532" w:type="dxa"/>
            <w:tcBorders>
              <w:left w:val="single" w:color="000000" w:sz="4" w:space="0"/>
              <w:right w:val="single" w:color="000000" w:sz="4" w:space="0"/>
            </w:tcBorders>
          </w:tcPr>
          <w:p>
            <w:pPr>
              <w:rPr>
                <w:rFonts w:hint="eastAsia" w:ascii="宋体" w:hAnsi="宋体" w:eastAsia="宋体" w:cs="宋体"/>
                <w:color w:val="auto"/>
                <w:highlight w:val="none"/>
              </w:rPr>
            </w:pPr>
          </w:p>
        </w:tc>
      </w:tr>
    </w:tbl>
    <w:p>
      <w:pPr>
        <w:pStyle w:val="66"/>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Times New Roman"/>
          <w:color w:val="auto"/>
          <w:sz w:val="24"/>
          <w:highlight w:val="none"/>
          <w:lang w:eastAsia="zh-CN"/>
        </w:rPr>
        <w:sectPr>
          <w:pgSz w:w="11906" w:h="16838"/>
          <w:pgMar w:top="1440" w:right="1080" w:bottom="1440" w:left="1080" w:header="1077" w:footer="851" w:gutter="0"/>
          <w:pgBorders>
            <w:top w:val="none" w:sz="0" w:space="0"/>
            <w:left w:val="none" w:sz="0" w:space="0"/>
            <w:bottom w:val="none" w:sz="0" w:space="0"/>
            <w:right w:val="none" w:sz="0" w:space="0"/>
          </w:pgBorders>
          <w:pgNumType w:fmt="decimal" w:chapSep="hyphen"/>
          <w:cols w:space="708" w:num="1"/>
          <w:docGrid w:type="linesAndChars" w:linePitch="312" w:charSpace="0"/>
        </w:sectPr>
      </w:pPr>
      <w:bookmarkStart w:id="658" w:name="_Toc24282"/>
      <w:bookmarkStart w:id="659" w:name="_Toc21267"/>
      <w:r>
        <w:rPr>
          <w:rFonts w:hint="eastAsia" w:ascii="宋体" w:hAnsi="宋体" w:eastAsia="宋体" w:cs="宋体"/>
          <w:b/>
          <w:color w:val="auto"/>
          <w:sz w:val="28"/>
          <w:szCs w:val="28"/>
          <w:highlight w:val="none"/>
          <w:lang w:val="en-US" w:eastAsia="zh-CN"/>
        </w:rPr>
        <w:t>备注：</w:t>
      </w:r>
      <w:r>
        <w:rPr>
          <w:rFonts w:hint="eastAsia" w:ascii="宋体" w:hAnsi="宋体" w:eastAsia="宋体" w:cs="宋体"/>
          <w:color w:val="auto"/>
          <w:szCs w:val="21"/>
          <w:highlight w:val="none"/>
        </w:rPr>
        <w:t>中标通知书或招标代理合同等业绩证明材料</w:t>
      </w:r>
      <w:r>
        <w:rPr>
          <w:rFonts w:hint="eastAsia" w:ascii="宋体" w:hAnsi="宋体" w:eastAsia="宋体" w:cs="宋体"/>
          <w:color w:val="auto"/>
          <w:szCs w:val="21"/>
          <w:highlight w:val="none"/>
          <w:lang w:eastAsia="zh-CN"/>
        </w:rPr>
        <w:t>。</w:t>
      </w:r>
      <w:bookmarkEnd w:id="658"/>
      <w:bookmarkEnd w:id="659"/>
    </w:p>
    <w:p>
      <w:pPr>
        <w:pStyle w:val="6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1"/>
        <w:rPr>
          <w:rFonts w:hint="eastAsia" w:ascii="Times New Roman" w:hAnsi="Times New Roman" w:eastAsia="黑体" w:cs="Times New Roman"/>
          <w:b/>
          <w:color w:val="auto"/>
          <w:kern w:val="2"/>
          <w:sz w:val="32"/>
          <w:szCs w:val="32"/>
          <w:highlight w:val="none"/>
          <w:lang w:val="en-US" w:eastAsia="zh-CN" w:bidi="ar-SA"/>
        </w:rPr>
      </w:pPr>
      <w:bookmarkStart w:id="660" w:name="_Toc25397"/>
      <w:bookmarkStart w:id="661" w:name="_Toc26095"/>
      <w:r>
        <w:rPr>
          <w:rFonts w:hint="eastAsia" w:ascii="Times New Roman" w:hAnsi="Times New Roman" w:eastAsia="黑体" w:cs="Times New Roman"/>
          <w:b/>
          <w:color w:val="auto"/>
          <w:kern w:val="2"/>
          <w:sz w:val="32"/>
          <w:szCs w:val="32"/>
          <w:highlight w:val="none"/>
          <w:lang w:val="en-US" w:eastAsia="zh-CN" w:bidi="ar-SA"/>
        </w:rPr>
        <w:t>七、构成投标文件的其他资料</w:t>
      </w:r>
      <w:bookmarkEnd w:id="660"/>
      <w:bookmarkEnd w:id="661"/>
    </w:p>
    <w:p>
      <w:pPr>
        <w:pStyle w:val="66"/>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color w:val="auto"/>
          <w:sz w:val="24"/>
          <w:highlight w:val="none"/>
        </w:rPr>
        <w:t>（</w:t>
      </w:r>
      <w:r>
        <w:rPr>
          <w:rFonts w:hint="eastAsia"/>
          <w:bCs/>
          <w:color w:val="auto"/>
          <w:sz w:val="24"/>
          <w:highlight w:val="none"/>
        </w:rPr>
        <w:t>详见“投标人须知前附表”内容，有格式的请按给定格式填写，无格式要求的请自拟格式进行填写</w:t>
      </w:r>
      <w:r>
        <w:rPr>
          <w:rFonts w:hint="eastAsia"/>
          <w:color w:val="auto"/>
          <w:sz w:val="24"/>
          <w:highlight w:val="none"/>
        </w:rPr>
        <w:t>）</w:t>
      </w:r>
    </w:p>
    <w:bookmarkEnd w:id="525"/>
    <w:bookmarkEnd w:id="526"/>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highlight w:val="none"/>
        </w:rPr>
      </w:pPr>
    </w:p>
    <w:sectPr>
      <w:footerReference r:id="rId18" w:type="default"/>
      <w:pgSz w:w="11906" w:h="16838"/>
      <w:pgMar w:top="1440" w:right="1080" w:bottom="1440" w:left="1080" w:header="1077" w:footer="720" w:gutter="0"/>
      <w:pgBorders>
        <w:top w:val="none" w:sz="0" w:space="0"/>
        <w:left w:val="none" w:sz="0" w:space="0"/>
        <w:bottom w:val="none" w:sz="0" w:space="0"/>
        <w:right w:val="none" w:sz="0" w:space="0"/>
      </w:pgBorders>
      <w:pgNumType w:fmt="decimal" w:chapSep="hyphen"/>
      <w:cols w:space="708" w:num="1"/>
      <w:docGrid w:linePitch="331"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审查意见" w:date="2026-01-30T16:19:57Z" w:initials="">
    <w:p w14:paraId="590F25CC">
      <w:pPr>
        <w:pStyle w:val="11"/>
        <w:rPr>
          <w:rFonts w:hint="eastAsia"/>
          <w:b/>
          <w:bCs/>
          <w:lang w:val="en-US" w:eastAsia="zh-CN"/>
        </w:rPr>
      </w:pPr>
      <w:r>
        <w:rPr>
          <w:rFonts w:hint="eastAsia"/>
          <w:b/>
          <w:bCs/>
          <w:lang w:val="en-US" w:eastAsia="zh-CN"/>
        </w:rPr>
        <w:t>提请贵单位注意，经与贵单位核实，该招标代理机构选取项目过程中，贵单位并不会向中标的招标代理机构支付服务费用，相关的费用均由百货店经营权项目的中标方支付，故关于本材料中涉及的“资金来源”、“出资比例”等内容，建议贵单位删除。</w:t>
      </w:r>
    </w:p>
    <w:p w14:paraId="1DE520CF">
      <w:pPr>
        <w:pStyle w:val="11"/>
        <w:rPr>
          <w:rFonts w:hint="default"/>
          <w:b/>
          <w:bCs/>
          <w:lang w:val="en-US" w:eastAsia="zh-CN"/>
        </w:rPr>
      </w:pPr>
      <w:r>
        <w:rPr>
          <w:rFonts w:hint="eastAsia"/>
          <w:b/>
          <w:bCs/>
          <w:lang w:val="en-US" w:eastAsia="zh-CN"/>
        </w:rPr>
        <w:t>并且，贵单位应明确本项目的报价方式，并在招标公告中明确该招标代理机构选取项目过程中，贵单位并不会向中标的招标代理机构支付服务费用，相关的费用均由百货店经营权项目的中标方支付一事。</w:t>
      </w:r>
    </w:p>
  </w:comment>
  <w:comment w:id="1" w:author="白云" w:date="2026-03-02T17:43:27Z" w:initials="by">
    <w:p w14:paraId="13D17ED7">
      <w:pPr>
        <w:pStyle w:val="11"/>
        <w:rPr>
          <w:rFonts w:hint="eastAsia" w:eastAsia="宋体"/>
          <w:lang w:eastAsia="zh-CN"/>
        </w:rPr>
      </w:pPr>
      <w:r>
        <w:rPr>
          <w:rFonts w:hint="eastAsia"/>
          <w:lang w:eastAsia="zh-CN"/>
        </w:rPr>
        <w:t>财政部关于加强审计报告查验工作的通知</w:t>
      </w:r>
      <w:r>
        <w:rPr>
          <w:rFonts w:hint="eastAsia"/>
          <w:lang w:val="en-US" w:eastAsia="zh-CN"/>
        </w:rPr>
        <w:t xml:space="preserve"> 财会[2023]15号 ，2023年度及之后经第三方审计机构所出具的财务报表须具有验证码。</w:t>
      </w:r>
    </w:p>
  </w:comment>
  <w:comment w:id="2" w:author="白云" w:date="2026-03-02T16:39:15Z" w:initials="by">
    <w:p w14:paraId="215C2C23">
      <w:pPr>
        <w:pStyle w:val="11"/>
        <w:rPr>
          <w:rFonts w:hint="eastAsia" w:eastAsia="宋体"/>
          <w:lang w:eastAsia="zh-CN"/>
        </w:rPr>
      </w:pPr>
      <w:r>
        <w:rPr>
          <w:rFonts w:hint="eastAsia"/>
          <w:lang w:eastAsia="zh-CN"/>
        </w:rPr>
        <w:t>请核对</w:t>
      </w:r>
    </w:p>
  </w:comment>
  <w:comment w:id="3" w:author="白云" w:date="2026-03-02T16:09:21Z" w:initials="by">
    <w:p w14:paraId="23F47B55">
      <w:pPr>
        <w:pStyle w:val="11"/>
        <w:rPr>
          <w:rFonts w:hint="eastAsia" w:eastAsia="宋体"/>
          <w:lang w:eastAsia="zh-CN"/>
        </w:rPr>
      </w:pPr>
      <w:r>
        <w:rPr>
          <w:rFonts w:hint="eastAsia"/>
          <w:lang w:eastAsia="zh-CN"/>
        </w:rPr>
        <w:t>请核对</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DE520CF" w15:done="0"/>
  <w15:commentEx w15:paraId="13D17ED7" w15:done="0"/>
  <w15:commentEx w15:paraId="215C2C23" w15:done="0"/>
  <w15:commentEx w15:paraId="23F47B5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F813A44-804B-4640-BC85-3F06755BE0B6}"/>
  </w:font>
  <w:font w:name="黑体">
    <w:panose1 w:val="02010609060101010101"/>
    <w:charset w:val="86"/>
    <w:family w:val="auto"/>
    <w:pitch w:val="default"/>
    <w:sig w:usb0="800002BF" w:usb1="38CF7CFA" w:usb2="00000016" w:usb3="00000000" w:csb0="00040001" w:csb1="00000000"/>
    <w:embedRegular r:id="rId2" w:fontKey="{FA9BDDAA-30E9-4EAA-8868-24B9D38B5B7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Romania">
    <w:altName w:val="Times New Roman"/>
    <w:panose1 w:val="00000000000000000000"/>
    <w:charset w:val="00"/>
    <w:family w:val="roman"/>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embedRegular r:id="rId3" w:fontKey="{C10D2FC3-36F1-4336-ABC6-58DC02FA6457}"/>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embedRegular r:id="rId4" w:fontKey="{DB6A6395-F8CA-479B-970E-A68897ADB71F}"/>
  </w:font>
  <w:font w:name="方正小标宋简体">
    <w:panose1 w:val="02000000000000000000"/>
    <w:charset w:val="86"/>
    <w:family w:val="auto"/>
    <w:pitch w:val="default"/>
    <w:sig w:usb0="A00002BF" w:usb1="184F6CFA" w:usb2="00000012" w:usb3="00000000" w:csb0="00040003"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right"/>
    </w:pPr>
    <w:r>
      <w:rPr>
        <w:rFonts w:hint="eastAsia" w:eastAsia="宋体"/>
        <w:lang w:eastAsia="zh-CN"/>
      </w:rPr>
      <w:drawing>
        <wp:inline distT="0" distB="0" distL="114300" distR="114300">
          <wp:extent cx="876935" cy="344170"/>
          <wp:effectExtent l="0" t="0" r="18415" b="17780"/>
          <wp:docPr id="7" name="图片 7" descr="434958667323715bda387aed7bdbc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34958667323715bda387aed7bdbc44"/>
                  <pic:cNvPicPr>
                    <a:picLocks noChangeAspect="1"/>
                  </pic:cNvPicPr>
                </pic:nvPicPr>
                <pic:blipFill>
                  <a:blip r:embed="rId1">
                    <a:clrChange>
                      <a:clrFrom>
                        <a:srgbClr val="FFFFFF"/>
                      </a:clrFrom>
                      <a:clrTo>
                        <a:srgbClr val="FFFFFF">
                          <a:alpha val="0"/>
                        </a:srgbClr>
                      </a:clrTo>
                    </a:clrChange>
                  </a:blip>
                  <a:stretch>
                    <a:fillRect/>
                  </a:stretch>
                </pic:blipFill>
                <pic:spPr>
                  <a:xfrm>
                    <a:off x="0" y="0"/>
                    <a:ext cx="876935" cy="34417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3"/>
      </w:rPr>
    </w:pPr>
    <w:r>
      <w:fldChar w:fldCharType="begin"/>
    </w:r>
    <w:r>
      <w:rPr>
        <w:rStyle w:val="33"/>
      </w:rPr>
      <w:instrText xml:space="preserve">PAGE  </w:instrText>
    </w:r>
    <w:r>
      <w:fldChar w:fldCharType="separate"/>
    </w:r>
    <w:r>
      <w:rPr>
        <w:rStyle w:val="33"/>
      </w:rPr>
      <w:t>1</w:t>
    </w:r>
    <w:r>
      <w:fldChar w:fldCharType="end"/>
    </w:r>
  </w:p>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right"/>
      <w:rPr>
        <w:rFonts w:ascii="仿宋" w:hAnsi="仿宋" w:eastAsia="仿宋" w:cs="仿宋"/>
        <w:b/>
        <w:bCs/>
      </w:rPr>
    </w:pPr>
  </w:p>
  <w:p>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8"/>
                          </w:pPr>
                          <w:r>
                            <w:fldChar w:fldCharType="begin"/>
                          </w:r>
                          <w:r>
                            <w:instrText xml:space="preserve"> PAGE  \* MERGEFORMAT </w:instrText>
                          </w:r>
                          <w:r>
                            <w:fldChar w:fldCharType="separate"/>
                          </w:r>
                          <w:r>
                            <w:t>- 1 -</w:t>
                          </w:r>
                          <w:r>
                            <w:fldChar w:fldCharType="end"/>
                          </w:r>
                        </w:p>
                      </w:txbxContent>
                    </wps:txbx>
                    <wps:bodyPr vert="horz" wrap="none" lIns="0" tIns="0" rIns="0" bIns="0" anchor="t" anchorCtr="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X0SwDLAQAAegMAAA4AAAAAAAAAAQAgAAAAHgEAAGRycy9lMm9E&#10;b2MueG1sUEsFBgAAAAAGAAYAWQEAAFsFA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8"/>
                          </w:pPr>
                          <w:r>
                            <w:fldChar w:fldCharType="begin"/>
                          </w:r>
                          <w:r>
                            <w:instrText xml:space="preserve"> PAGE  \* MERGEFORMAT </w:instrText>
                          </w:r>
                          <w:r>
                            <w:fldChar w:fldCharType="separate"/>
                          </w:r>
                          <w:r>
                            <w:t>- 27 -</w:t>
                          </w:r>
                          <w:r>
                            <w:fldChar w:fldCharType="end"/>
                          </w:r>
                        </w:p>
                      </w:txbxContent>
                    </wps:txbx>
                    <wps:bodyPr vert="horz" wrap="none" lIns="0" tIns="0" rIns="0" bIns="0" anchor="t" anchorCtr="0" upright="0">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uODwmzAEAAHoDAAAOAAAAAAAAAAEAIAAAAB4BAABkcnMvZTJv&#10;RG9jLnhtbFBLBQYAAAAABgAGAFkBAABc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- 27 -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8"/>
                          </w:pPr>
                          <w:r>
                            <w:fldChar w:fldCharType="begin"/>
                          </w:r>
                          <w:r>
                            <w:instrText xml:space="preserve"> PAGE  \* MERGEFORMAT </w:instrText>
                          </w:r>
                          <w:r>
                            <w:fldChar w:fldCharType="separate"/>
                          </w:r>
                          <w:r>
                            <w:t>- 35 -</w:t>
                          </w:r>
                          <w:r>
                            <w:fldChar w:fldCharType="end"/>
                          </w:r>
                        </w:p>
                      </w:txbxContent>
                    </wps:txbx>
                    <wps:bodyPr vert="horz" wrap="none" lIns="0" tIns="0" rIns="0" bIns="0" anchor="t" anchorCtr="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SPYrTzAEAAHoDAAAOAAAAAAAAAAEAIAAAAB4BAABkcnMvZTJv&#10;RG9jLnhtbFBLBQYAAAAABgAGAFkBAABc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- 35 -</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8"/>
                          </w:pPr>
                          <w:r>
                            <w:fldChar w:fldCharType="begin"/>
                          </w:r>
                          <w:r>
                            <w:instrText xml:space="preserve"> PAGE  \* MERGEFORMAT </w:instrText>
                          </w:r>
                          <w:r>
                            <w:fldChar w:fldCharType="separate"/>
                          </w:r>
                          <w:r>
                            <w:t>- 37 -</w:t>
                          </w:r>
                          <w:r>
                            <w:fldChar w:fldCharType="end"/>
                          </w:r>
                        </w:p>
                      </w:txbxContent>
                    </wps:txbx>
                    <wps:bodyPr vert="horz" wrap="none" lIns="0" tIns="0" rIns="0" bIns="0" anchor="t" anchorCtr="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2+nHlc0BAAB6AwAADgAAAAAAAAABACAAAAAeAQAAZHJzL2Uy&#10;b0RvYy54bWxQSwUGAAAAAAYABgBZAQAAXQU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- 37 -</w:t>
                    </w:r>
                    <w:r>
                      <w:fldChar w:fldCharType="end"/>
                    </w:r>
                  </w:p>
                </w:txbxContent>
              </v:textbox>
            </v:shape>
          </w:pict>
        </mc:Fallback>
      </mc:AlternateContent>
    </w:r>
  </w:p>
  <w:p>
    <w:pPr>
      <w:pStyle w:val="1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8"/>
                          </w:pPr>
                          <w:r>
                            <w:fldChar w:fldCharType="begin"/>
                          </w:r>
                          <w:r>
                            <w:instrText xml:space="preserve"> PAGE  \* MERGEFORMAT </w:instrText>
                          </w:r>
                          <w:r>
                            <w:fldChar w:fldCharType="separate"/>
                          </w:r>
                          <w:r>
                            <w:t>- 36 -</w:t>
                          </w:r>
                          <w:r>
                            <w:fldChar w:fldCharType="end"/>
                          </w:r>
                        </w:p>
                      </w:txbxContent>
                    </wps:txbx>
                    <wps:bodyPr vert="horz" wrap="none" lIns="0" tIns="0" rIns="0" bIns="0" anchor="t" anchorCtr="0" upright="0">
                      <a:spAutoFit/>
                    </wps:bodyPr>
                  </wps:wsp>
                </a:graphicData>
              </a:graphic>
            </wp:anchor>
          </w:drawing>
        </mc:Choice>
        <mc:Fallback>
          <w:pict>
            <v:shape id="文本框 1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n7HFgzAEAAHoDAAAOAAAAAAAAAAEAIAAAAB4BAABkcnMvZTJv&#10;RG9jLnhtbFBLBQYAAAAABgAGAFkBAABc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- 36 -</w:t>
                    </w:r>
                    <w:r>
                      <w:fldChar w:fldCharType="end"/>
                    </w:r>
                  </w:p>
                </w:txbxContent>
              </v:textbox>
            </v:shape>
          </w:pict>
        </mc:Fallback>
      </mc:AlternateContent>
    </w:r>
  </w:p>
  <w:p>
    <w:pPr>
      <w:pStyle w:val="1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8"/>
                          </w:pPr>
                          <w:r>
                            <w:fldChar w:fldCharType="begin"/>
                          </w:r>
                          <w:r>
                            <w:instrText xml:space="preserve"> PAGE  \* MERGEFORMAT </w:instrText>
                          </w:r>
                          <w:r>
                            <w:fldChar w:fldCharType="separate"/>
                          </w:r>
                          <w:r>
                            <w:t>- 64 -</w:t>
                          </w:r>
                          <w:r>
                            <w:fldChar w:fldCharType="end"/>
                          </w:r>
                        </w:p>
                      </w:txbxContent>
                    </wps:txbx>
                    <wps:bodyPr vert="horz" wrap="none" lIns="0" tIns="0" rIns="0" bIns="0" anchor="t" anchorCtr="0" upright="0">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hrM5azAEAAHoDAAAOAAAAAAAAAAEAIAAAAB4BAABkcnMvZTJv&#10;RG9jLnhtbFBLBQYAAAAABgAGAFkBAABcBQ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- 64 -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none" w:color="auto" w:sz="0" w:space="1"/>
      </w:pBdr>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pPr>
    <w:r>
      <w:rPr>
        <w:rFonts w:hint="eastAsi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none" w:color="auto" w:sz="0" w:space="1"/>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审查意见">
    <w15:presenceInfo w15:providerId="None" w15:userId="审查意见"/>
  </w15:person>
  <w15:person w15:author="白云">
    <w15:presenceInfo w15:providerId="None" w15:userId="白云"/>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TrueTypeFonts/>
  <w:saveSubsetFonts/>
  <w:bordersDoNotSurroundHeader w:val="0"/>
  <w:bordersDoNotSurroundFooter w:val="0"/>
  <w:revisionView w:markup="0"/>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Y1MThmMTA4NDI3ZTZmNTQ3NWNlMzA3MmQwOTA3NDMifQ=="/>
  </w:docVars>
  <w:rsids>
    <w:rsidRoot w:val="00172A27"/>
    <w:rsid w:val="00007FAF"/>
    <w:rsid w:val="000209D3"/>
    <w:rsid w:val="00023EF5"/>
    <w:rsid w:val="000264A0"/>
    <w:rsid w:val="000266AF"/>
    <w:rsid w:val="00026EAE"/>
    <w:rsid w:val="000273EE"/>
    <w:rsid w:val="00030F3C"/>
    <w:rsid w:val="00034C9E"/>
    <w:rsid w:val="00035160"/>
    <w:rsid w:val="00036D1C"/>
    <w:rsid w:val="0004149C"/>
    <w:rsid w:val="00044845"/>
    <w:rsid w:val="00054B14"/>
    <w:rsid w:val="00066F5D"/>
    <w:rsid w:val="00067407"/>
    <w:rsid w:val="00072F05"/>
    <w:rsid w:val="00090BF5"/>
    <w:rsid w:val="000A7850"/>
    <w:rsid w:val="000B3D68"/>
    <w:rsid w:val="000C1219"/>
    <w:rsid w:val="000C62F5"/>
    <w:rsid w:val="000D56FD"/>
    <w:rsid w:val="000D7B7F"/>
    <w:rsid w:val="000F0456"/>
    <w:rsid w:val="0010127D"/>
    <w:rsid w:val="001042E2"/>
    <w:rsid w:val="00110CEC"/>
    <w:rsid w:val="00111653"/>
    <w:rsid w:val="00121678"/>
    <w:rsid w:val="00130E23"/>
    <w:rsid w:val="001350C3"/>
    <w:rsid w:val="00141AF6"/>
    <w:rsid w:val="00143B45"/>
    <w:rsid w:val="0014443A"/>
    <w:rsid w:val="00157FDC"/>
    <w:rsid w:val="001737A2"/>
    <w:rsid w:val="0017773F"/>
    <w:rsid w:val="00177926"/>
    <w:rsid w:val="001827BA"/>
    <w:rsid w:val="001851E0"/>
    <w:rsid w:val="0018556F"/>
    <w:rsid w:val="00186348"/>
    <w:rsid w:val="001877B7"/>
    <w:rsid w:val="001928E8"/>
    <w:rsid w:val="00192989"/>
    <w:rsid w:val="001A134C"/>
    <w:rsid w:val="001A30E2"/>
    <w:rsid w:val="001A4409"/>
    <w:rsid w:val="001A6410"/>
    <w:rsid w:val="001B0F2B"/>
    <w:rsid w:val="001B340F"/>
    <w:rsid w:val="001C33B9"/>
    <w:rsid w:val="001D272F"/>
    <w:rsid w:val="001D6809"/>
    <w:rsid w:val="001E037F"/>
    <w:rsid w:val="001E3916"/>
    <w:rsid w:val="001F03D8"/>
    <w:rsid w:val="001F2F09"/>
    <w:rsid w:val="001F3A89"/>
    <w:rsid w:val="001F3C2A"/>
    <w:rsid w:val="001F7538"/>
    <w:rsid w:val="0020219F"/>
    <w:rsid w:val="002071C5"/>
    <w:rsid w:val="00216B5F"/>
    <w:rsid w:val="00221628"/>
    <w:rsid w:val="00246754"/>
    <w:rsid w:val="00246776"/>
    <w:rsid w:val="0026085C"/>
    <w:rsid w:val="0026438C"/>
    <w:rsid w:val="002668DD"/>
    <w:rsid w:val="002930CD"/>
    <w:rsid w:val="002C4021"/>
    <w:rsid w:val="002C6C63"/>
    <w:rsid w:val="002C76F4"/>
    <w:rsid w:val="002D78A2"/>
    <w:rsid w:val="002E25F6"/>
    <w:rsid w:val="002E67FD"/>
    <w:rsid w:val="002F7D72"/>
    <w:rsid w:val="00306B29"/>
    <w:rsid w:val="00311912"/>
    <w:rsid w:val="00317961"/>
    <w:rsid w:val="00321C65"/>
    <w:rsid w:val="00322241"/>
    <w:rsid w:val="003252EE"/>
    <w:rsid w:val="00330BEC"/>
    <w:rsid w:val="003324ED"/>
    <w:rsid w:val="00335588"/>
    <w:rsid w:val="00341342"/>
    <w:rsid w:val="003476B4"/>
    <w:rsid w:val="003509CD"/>
    <w:rsid w:val="0035341D"/>
    <w:rsid w:val="00363AD5"/>
    <w:rsid w:val="00367174"/>
    <w:rsid w:val="003736DD"/>
    <w:rsid w:val="00374834"/>
    <w:rsid w:val="003809EB"/>
    <w:rsid w:val="003810A3"/>
    <w:rsid w:val="003A0347"/>
    <w:rsid w:val="003A14B9"/>
    <w:rsid w:val="003A37F7"/>
    <w:rsid w:val="003A5F6B"/>
    <w:rsid w:val="003A6842"/>
    <w:rsid w:val="003C22A6"/>
    <w:rsid w:val="003C3B4A"/>
    <w:rsid w:val="003D5FA0"/>
    <w:rsid w:val="003D7335"/>
    <w:rsid w:val="003F16C2"/>
    <w:rsid w:val="003F2A38"/>
    <w:rsid w:val="003F31DF"/>
    <w:rsid w:val="003F4E86"/>
    <w:rsid w:val="003F4FCA"/>
    <w:rsid w:val="00400657"/>
    <w:rsid w:val="00410F02"/>
    <w:rsid w:val="00420542"/>
    <w:rsid w:val="00430BB5"/>
    <w:rsid w:val="00431DCE"/>
    <w:rsid w:val="00434FFB"/>
    <w:rsid w:val="00437742"/>
    <w:rsid w:val="00441453"/>
    <w:rsid w:val="004415FC"/>
    <w:rsid w:val="004465C4"/>
    <w:rsid w:val="00453A4A"/>
    <w:rsid w:val="00455FDC"/>
    <w:rsid w:val="00467D10"/>
    <w:rsid w:val="004709BE"/>
    <w:rsid w:val="00481CC1"/>
    <w:rsid w:val="00487A67"/>
    <w:rsid w:val="00493B07"/>
    <w:rsid w:val="00494A09"/>
    <w:rsid w:val="004A37D8"/>
    <w:rsid w:val="004B4EF3"/>
    <w:rsid w:val="004C027E"/>
    <w:rsid w:val="004C2620"/>
    <w:rsid w:val="004C3714"/>
    <w:rsid w:val="004C3CB9"/>
    <w:rsid w:val="004C409B"/>
    <w:rsid w:val="004C42B6"/>
    <w:rsid w:val="004D0F63"/>
    <w:rsid w:val="004D35B8"/>
    <w:rsid w:val="004D4DAB"/>
    <w:rsid w:val="004D76FA"/>
    <w:rsid w:val="004E2BB0"/>
    <w:rsid w:val="004F2D6E"/>
    <w:rsid w:val="004F46A1"/>
    <w:rsid w:val="004F67B6"/>
    <w:rsid w:val="004F734B"/>
    <w:rsid w:val="00500CFD"/>
    <w:rsid w:val="00501B32"/>
    <w:rsid w:val="00517237"/>
    <w:rsid w:val="005213B1"/>
    <w:rsid w:val="00521655"/>
    <w:rsid w:val="0053037E"/>
    <w:rsid w:val="00532A3E"/>
    <w:rsid w:val="00545970"/>
    <w:rsid w:val="005565CF"/>
    <w:rsid w:val="00562D38"/>
    <w:rsid w:val="00566CB4"/>
    <w:rsid w:val="0056745B"/>
    <w:rsid w:val="005779CC"/>
    <w:rsid w:val="00591AB3"/>
    <w:rsid w:val="00596A79"/>
    <w:rsid w:val="005A38B1"/>
    <w:rsid w:val="005B06D7"/>
    <w:rsid w:val="005B0A81"/>
    <w:rsid w:val="005B1A60"/>
    <w:rsid w:val="005B1B38"/>
    <w:rsid w:val="005B297A"/>
    <w:rsid w:val="005B54BD"/>
    <w:rsid w:val="005C0E53"/>
    <w:rsid w:val="005D48DE"/>
    <w:rsid w:val="005D5303"/>
    <w:rsid w:val="005E535E"/>
    <w:rsid w:val="00604E5B"/>
    <w:rsid w:val="00605EED"/>
    <w:rsid w:val="00606836"/>
    <w:rsid w:val="00610B21"/>
    <w:rsid w:val="00617C43"/>
    <w:rsid w:val="00627E6B"/>
    <w:rsid w:val="00633E20"/>
    <w:rsid w:val="0064272C"/>
    <w:rsid w:val="00644092"/>
    <w:rsid w:val="00645894"/>
    <w:rsid w:val="00647052"/>
    <w:rsid w:val="00647ADA"/>
    <w:rsid w:val="0065083E"/>
    <w:rsid w:val="0065441D"/>
    <w:rsid w:val="006769FD"/>
    <w:rsid w:val="006813D3"/>
    <w:rsid w:val="006868BD"/>
    <w:rsid w:val="006A6DDC"/>
    <w:rsid w:val="006A6E46"/>
    <w:rsid w:val="006C3A66"/>
    <w:rsid w:val="006C4447"/>
    <w:rsid w:val="006D2274"/>
    <w:rsid w:val="006D68A9"/>
    <w:rsid w:val="006E07A8"/>
    <w:rsid w:val="006E4012"/>
    <w:rsid w:val="006F6394"/>
    <w:rsid w:val="006F7AFB"/>
    <w:rsid w:val="00701418"/>
    <w:rsid w:val="0070343C"/>
    <w:rsid w:val="0072321F"/>
    <w:rsid w:val="007241EB"/>
    <w:rsid w:val="00724B47"/>
    <w:rsid w:val="00726C48"/>
    <w:rsid w:val="007270E1"/>
    <w:rsid w:val="0073358D"/>
    <w:rsid w:val="00734F41"/>
    <w:rsid w:val="00736DF7"/>
    <w:rsid w:val="00737FC0"/>
    <w:rsid w:val="00753021"/>
    <w:rsid w:val="00766DA3"/>
    <w:rsid w:val="00780B62"/>
    <w:rsid w:val="0078226D"/>
    <w:rsid w:val="007842E7"/>
    <w:rsid w:val="0079253B"/>
    <w:rsid w:val="007B0DFE"/>
    <w:rsid w:val="007C0A0D"/>
    <w:rsid w:val="007D15A8"/>
    <w:rsid w:val="007D6D2E"/>
    <w:rsid w:val="007E599A"/>
    <w:rsid w:val="007F29EF"/>
    <w:rsid w:val="007F2C7C"/>
    <w:rsid w:val="00806B0F"/>
    <w:rsid w:val="0081251E"/>
    <w:rsid w:val="00813F47"/>
    <w:rsid w:val="00814020"/>
    <w:rsid w:val="008204EB"/>
    <w:rsid w:val="00823459"/>
    <w:rsid w:val="00827833"/>
    <w:rsid w:val="008316A4"/>
    <w:rsid w:val="00834155"/>
    <w:rsid w:val="008410C1"/>
    <w:rsid w:val="008425E7"/>
    <w:rsid w:val="00843489"/>
    <w:rsid w:val="008518FD"/>
    <w:rsid w:val="00865E02"/>
    <w:rsid w:val="008748FC"/>
    <w:rsid w:val="0087500C"/>
    <w:rsid w:val="00877657"/>
    <w:rsid w:val="00880184"/>
    <w:rsid w:val="00887A5E"/>
    <w:rsid w:val="00893212"/>
    <w:rsid w:val="00893E2D"/>
    <w:rsid w:val="00894E03"/>
    <w:rsid w:val="008A2F77"/>
    <w:rsid w:val="008B259E"/>
    <w:rsid w:val="008B6884"/>
    <w:rsid w:val="008B7787"/>
    <w:rsid w:val="008D149B"/>
    <w:rsid w:val="008D3B16"/>
    <w:rsid w:val="008D6634"/>
    <w:rsid w:val="008E1569"/>
    <w:rsid w:val="008E40E7"/>
    <w:rsid w:val="008E5149"/>
    <w:rsid w:val="008E7C88"/>
    <w:rsid w:val="009035AD"/>
    <w:rsid w:val="00913199"/>
    <w:rsid w:val="00913E32"/>
    <w:rsid w:val="009275B5"/>
    <w:rsid w:val="00927C76"/>
    <w:rsid w:val="00931A95"/>
    <w:rsid w:val="00945212"/>
    <w:rsid w:val="00953F1D"/>
    <w:rsid w:val="0096154A"/>
    <w:rsid w:val="00962BE4"/>
    <w:rsid w:val="009635DC"/>
    <w:rsid w:val="00963C98"/>
    <w:rsid w:val="00964413"/>
    <w:rsid w:val="00964CC3"/>
    <w:rsid w:val="00965A74"/>
    <w:rsid w:val="00970048"/>
    <w:rsid w:val="009706C0"/>
    <w:rsid w:val="00977A0F"/>
    <w:rsid w:val="009839A7"/>
    <w:rsid w:val="00987450"/>
    <w:rsid w:val="00987CC5"/>
    <w:rsid w:val="009933DE"/>
    <w:rsid w:val="009A0C57"/>
    <w:rsid w:val="009A2B97"/>
    <w:rsid w:val="009A2F45"/>
    <w:rsid w:val="009A544D"/>
    <w:rsid w:val="009B4279"/>
    <w:rsid w:val="009C5890"/>
    <w:rsid w:val="009C6B6F"/>
    <w:rsid w:val="009C72E5"/>
    <w:rsid w:val="009E0463"/>
    <w:rsid w:val="009E6F2C"/>
    <w:rsid w:val="009F0697"/>
    <w:rsid w:val="009F0B0A"/>
    <w:rsid w:val="009F22AB"/>
    <w:rsid w:val="00A0734A"/>
    <w:rsid w:val="00A1648B"/>
    <w:rsid w:val="00A250CE"/>
    <w:rsid w:val="00A350B5"/>
    <w:rsid w:val="00A40049"/>
    <w:rsid w:val="00A6271C"/>
    <w:rsid w:val="00A62814"/>
    <w:rsid w:val="00A662F7"/>
    <w:rsid w:val="00A67A08"/>
    <w:rsid w:val="00A811E7"/>
    <w:rsid w:val="00A91E4B"/>
    <w:rsid w:val="00AA7B7F"/>
    <w:rsid w:val="00AC5454"/>
    <w:rsid w:val="00AC6B2D"/>
    <w:rsid w:val="00AE24E6"/>
    <w:rsid w:val="00AE290E"/>
    <w:rsid w:val="00AE546B"/>
    <w:rsid w:val="00AF5BD4"/>
    <w:rsid w:val="00B070DA"/>
    <w:rsid w:val="00B16F7E"/>
    <w:rsid w:val="00B17627"/>
    <w:rsid w:val="00B20145"/>
    <w:rsid w:val="00B27C27"/>
    <w:rsid w:val="00B322F3"/>
    <w:rsid w:val="00B35E7B"/>
    <w:rsid w:val="00B378ED"/>
    <w:rsid w:val="00B44C76"/>
    <w:rsid w:val="00B540DC"/>
    <w:rsid w:val="00B67AFE"/>
    <w:rsid w:val="00B81B1D"/>
    <w:rsid w:val="00B822CA"/>
    <w:rsid w:val="00B854E1"/>
    <w:rsid w:val="00B86610"/>
    <w:rsid w:val="00B86892"/>
    <w:rsid w:val="00BA1B0F"/>
    <w:rsid w:val="00BA5188"/>
    <w:rsid w:val="00BA7EFA"/>
    <w:rsid w:val="00BB00D9"/>
    <w:rsid w:val="00BB2746"/>
    <w:rsid w:val="00BC3C51"/>
    <w:rsid w:val="00BC54DA"/>
    <w:rsid w:val="00BD5EDB"/>
    <w:rsid w:val="00BE2BCC"/>
    <w:rsid w:val="00BF052C"/>
    <w:rsid w:val="00BF48CF"/>
    <w:rsid w:val="00BF4E15"/>
    <w:rsid w:val="00C07DB1"/>
    <w:rsid w:val="00C103AF"/>
    <w:rsid w:val="00C1226E"/>
    <w:rsid w:val="00C22747"/>
    <w:rsid w:val="00C41258"/>
    <w:rsid w:val="00C521F4"/>
    <w:rsid w:val="00C5456E"/>
    <w:rsid w:val="00C552AD"/>
    <w:rsid w:val="00C55FF8"/>
    <w:rsid w:val="00C605E7"/>
    <w:rsid w:val="00C60EC4"/>
    <w:rsid w:val="00C90740"/>
    <w:rsid w:val="00C935AC"/>
    <w:rsid w:val="00C9379D"/>
    <w:rsid w:val="00C9546D"/>
    <w:rsid w:val="00CA6B6E"/>
    <w:rsid w:val="00CB0250"/>
    <w:rsid w:val="00CD05D8"/>
    <w:rsid w:val="00CD3A04"/>
    <w:rsid w:val="00CD3BDD"/>
    <w:rsid w:val="00CD5AF0"/>
    <w:rsid w:val="00CE157B"/>
    <w:rsid w:val="00CF7950"/>
    <w:rsid w:val="00D03B54"/>
    <w:rsid w:val="00D1739C"/>
    <w:rsid w:val="00D212DB"/>
    <w:rsid w:val="00D26416"/>
    <w:rsid w:val="00D31AD5"/>
    <w:rsid w:val="00D32FA2"/>
    <w:rsid w:val="00D355E2"/>
    <w:rsid w:val="00D52BA0"/>
    <w:rsid w:val="00D54387"/>
    <w:rsid w:val="00D56EC6"/>
    <w:rsid w:val="00D66AB2"/>
    <w:rsid w:val="00D751A4"/>
    <w:rsid w:val="00D75EC1"/>
    <w:rsid w:val="00D878F7"/>
    <w:rsid w:val="00D941AD"/>
    <w:rsid w:val="00DA0DD1"/>
    <w:rsid w:val="00DA4CD5"/>
    <w:rsid w:val="00DB2BA6"/>
    <w:rsid w:val="00DB3665"/>
    <w:rsid w:val="00DB6898"/>
    <w:rsid w:val="00DC4003"/>
    <w:rsid w:val="00DC65F2"/>
    <w:rsid w:val="00DC7A1B"/>
    <w:rsid w:val="00DE1927"/>
    <w:rsid w:val="00DE5AA8"/>
    <w:rsid w:val="00DF7426"/>
    <w:rsid w:val="00E06633"/>
    <w:rsid w:val="00E26001"/>
    <w:rsid w:val="00E26BC0"/>
    <w:rsid w:val="00E3371A"/>
    <w:rsid w:val="00E43E0F"/>
    <w:rsid w:val="00E50665"/>
    <w:rsid w:val="00E546D6"/>
    <w:rsid w:val="00E55F94"/>
    <w:rsid w:val="00E66668"/>
    <w:rsid w:val="00E7034F"/>
    <w:rsid w:val="00E73768"/>
    <w:rsid w:val="00E8556F"/>
    <w:rsid w:val="00E947A1"/>
    <w:rsid w:val="00EA708E"/>
    <w:rsid w:val="00EB13D2"/>
    <w:rsid w:val="00EB148D"/>
    <w:rsid w:val="00EB3322"/>
    <w:rsid w:val="00EB5377"/>
    <w:rsid w:val="00EC23B0"/>
    <w:rsid w:val="00ED7D85"/>
    <w:rsid w:val="00EE71AA"/>
    <w:rsid w:val="00EF2869"/>
    <w:rsid w:val="00EF401C"/>
    <w:rsid w:val="00F05B33"/>
    <w:rsid w:val="00F30A5F"/>
    <w:rsid w:val="00F326CC"/>
    <w:rsid w:val="00F330B3"/>
    <w:rsid w:val="00F509A4"/>
    <w:rsid w:val="00F54005"/>
    <w:rsid w:val="00F65831"/>
    <w:rsid w:val="00F72162"/>
    <w:rsid w:val="00F82174"/>
    <w:rsid w:val="00F843DD"/>
    <w:rsid w:val="00F84DD3"/>
    <w:rsid w:val="00F854D8"/>
    <w:rsid w:val="00F937B6"/>
    <w:rsid w:val="00FA0095"/>
    <w:rsid w:val="00FA4F56"/>
    <w:rsid w:val="00FB2A82"/>
    <w:rsid w:val="00FB3F7B"/>
    <w:rsid w:val="00FC1253"/>
    <w:rsid w:val="00FD11F3"/>
    <w:rsid w:val="00FE2527"/>
    <w:rsid w:val="00FE3338"/>
    <w:rsid w:val="00FE64D9"/>
    <w:rsid w:val="00FE73ED"/>
    <w:rsid w:val="00FF06DF"/>
    <w:rsid w:val="00FF6B1E"/>
    <w:rsid w:val="0162387B"/>
    <w:rsid w:val="016F37EF"/>
    <w:rsid w:val="018B2118"/>
    <w:rsid w:val="01E253DD"/>
    <w:rsid w:val="02186656"/>
    <w:rsid w:val="026A02B6"/>
    <w:rsid w:val="028916DF"/>
    <w:rsid w:val="02B50726"/>
    <w:rsid w:val="02DE19E3"/>
    <w:rsid w:val="0313781E"/>
    <w:rsid w:val="03424FF6"/>
    <w:rsid w:val="037D56E7"/>
    <w:rsid w:val="047010F6"/>
    <w:rsid w:val="049A2143"/>
    <w:rsid w:val="04C74F48"/>
    <w:rsid w:val="04EE2234"/>
    <w:rsid w:val="050806B5"/>
    <w:rsid w:val="05F477B7"/>
    <w:rsid w:val="05F86026"/>
    <w:rsid w:val="0637545A"/>
    <w:rsid w:val="063D244B"/>
    <w:rsid w:val="064F49ED"/>
    <w:rsid w:val="065546FA"/>
    <w:rsid w:val="07647CAF"/>
    <w:rsid w:val="07AE6DF0"/>
    <w:rsid w:val="07E13D6B"/>
    <w:rsid w:val="08730E67"/>
    <w:rsid w:val="08850A8D"/>
    <w:rsid w:val="0889068B"/>
    <w:rsid w:val="08F8136C"/>
    <w:rsid w:val="092F40C7"/>
    <w:rsid w:val="092F6C03"/>
    <w:rsid w:val="09DE7509"/>
    <w:rsid w:val="0A1E4E03"/>
    <w:rsid w:val="0A38067D"/>
    <w:rsid w:val="0A773845"/>
    <w:rsid w:val="0AF80583"/>
    <w:rsid w:val="0BD723A7"/>
    <w:rsid w:val="0BEF6A57"/>
    <w:rsid w:val="0BFF2C50"/>
    <w:rsid w:val="0C6531BD"/>
    <w:rsid w:val="0C8B2358"/>
    <w:rsid w:val="0C9F05BB"/>
    <w:rsid w:val="0CA02535"/>
    <w:rsid w:val="0D064E5E"/>
    <w:rsid w:val="0D0A5F22"/>
    <w:rsid w:val="0D5F1962"/>
    <w:rsid w:val="0D6E0D2E"/>
    <w:rsid w:val="0D9F625A"/>
    <w:rsid w:val="0DA41AC3"/>
    <w:rsid w:val="0DD74ECB"/>
    <w:rsid w:val="0DE27216"/>
    <w:rsid w:val="0E0367E9"/>
    <w:rsid w:val="0E0E518E"/>
    <w:rsid w:val="0E136E6E"/>
    <w:rsid w:val="0E1B7FD7"/>
    <w:rsid w:val="0E391BD6"/>
    <w:rsid w:val="0E5C2EA3"/>
    <w:rsid w:val="0E80608C"/>
    <w:rsid w:val="0F006398"/>
    <w:rsid w:val="0F1113DA"/>
    <w:rsid w:val="0F331350"/>
    <w:rsid w:val="0FB748D6"/>
    <w:rsid w:val="104A6F90"/>
    <w:rsid w:val="112371A2"/>
    <w:rsid w:val="120174E4"/>
    <w:rsid w:val="125775EC"/>
    <w:rsid w:val="125C0BBE"/>
    <w:rsid w:val="12977E48"/>
    <w:rsid w:val="12E008CE"/>
    <w:rsid w:val="12F40DF6"/>
    <w:rsid w:val="130B215B"/>
    <w:rsid w:val="13203999"/>
    <w:rsid w:val="132A5BFD"/>
    <w:rsid w:val="139E2FFC"/>
    <w:rsid w:val="13AD63D7"/>
    <w:rsid w:val="13B46DEB"/>
    <w:rsid w:val="13E250F3"/>
    <w:rsid w:val="140D1E24"/>
    <w:rsid w:val="14223EEB"/>
    <w:rsid w:val="14571440"/>
    <w:rsid w:val="14607FC4"/>
    <w:rsid w:val="15273D43"/>
    <w:rsid w:val="159E3FE8"/>
    <w:rsid w:val="15B8610B"/>
    <w:rsid w:val="15CE1DD3"/>
    <w:rsid w:val="162163A6"/>
    <w:rsid w:val="163254FA"/>
    <w:rsid w:val="16403948"/>
    <w:rsid w:val="16755832"/>
    <w:rsid w:val="16E01DBD"/>
    <w:rsid w:val="16EA5FC3"/>
    <w:rsid w:val="170E265C"/>
    <w:rsid w:val="175658FD"/>
    <w:rsid w:val="17926640"/>
    <w:rsid w:val="179A1C44"/>
    <w:rsid w:val="17C3523B"/>
    <w:rsid w:val="17F3167D"/>
    <w:rsid w:val="18252327"/>
    <w:rsid w:val="185F31B6"/>
    <w:rsid w:val="187B1CE7"/>
    <w:rsid w:val="188C61EB"/>
    <w:rsid w:val="189D1475"/>
    <w:rsid w:val="18D771F0"/>
    <w:rsid w:val="19175188"/>
    <w:rsid w:val="193F21E0"/>
    <w:rsid w:val="19703446"/>
    <w:rsid w:val="19A83FDD"/>
    <w:rsid w:val="19AB6A7A"/>
    <w:rsid w:val="1A00528F"/>
    <w:rsid w:val="1A0D0200"/>
    <w:rsid w:val="1A1A4DDB"/>
    <w:rsid w:val="1B353519"/>
    <w:rsid w:val="1B7A3E63"/>
    <w:rsid w:val="1BBE0A14"/>
    <w:rsid w:val="1BC03F17"/>
    <w:rsid w:val="1BDC4FAC"/>
    <w:rsid w:val="1BFB31F6"/>
    <w:rsid w:val="1C0C7B8F"/>
    <w:rsid w:val="1CB84993"/>
    <w:rsid w:val="1CD63A5F"/>
    <w:rsid w:val="1CFB1AAD"/>
    <w:rsid w:val="1D0E51AB"/>
    <w:rsid w:val="1D1176B6"/>
    <w:rsid w:val="1DA76336"/>
    <w:rsid w:val="1DDA22C6"/>
    <w:rsid w:val="1DEE5C0A"/>
    <w:rsid w:val="1E6A0769"/>
    <w:rsid w:val="1F4918F6"/>
    <w:rsid w:val="1F924F24"/>
    <w:rsid w:val="1F954856"/>
    <w:rsid w:val="20361BFA"/>
    <w:rsid w:val="206A7062"/>
    <w:rsid w:val="207417C9"/>
    <w:rsid w:val="209D3916"/>
    <w:rsid w:val="20D63458"/>
    <w:rsid w:val="21246535"/>
    <w:rsid w:val="214C5406"/>
    <w:rsid w:val="21965F62"/>
    <w:rsid w:val="21A720C2"/>
    <w:rsid w:val="21E5632B"/>
    <w:rsid w:val="222B72CC"/>
    <w:rsid w:val="22817CA6"/>
    <w:rsid w:val="22C407E5"/>
    <w:rsid w:val="22E84C54"/>
    <w:rsid w:val="22F369D5"/>
    <w:rsid w:val="22FF4A89"/>
    <w:rsid w:val="231A06B3"/>
    <w:rsid w:val="231B5F2B"/>
    <w:rsid w:val="23536CE8"/>
    <w:rsid w:val="23616034"/>
    <w:rsid w:val="23782DFA"/>
    <w:rsid w:val="240B5CB0"/>
    <w:rsid w:val="2457032D"/>
    <w:rsid w:val="24657F64"/>
    <w:rsid w:val="24A3267C"/>
    <w:rsid w:val="253A3F84"/>
    <w:rsid w:val="25947387"/>
    <w:rsid w:val="259A3B35"/>
    <w:rsid w:val="25E44CFA"/>
    <w:rsid w:val="25EB6089"/>
    <w:rsid w:val="260B672B"/>
    <w:rsid w:val="261D0DD9"/>
    <w:rsid w:val="26221814"/>
    <w:rsid w:val="26865DB2"/>
    <w:rsid w:val="26BC17D3"/>
    <w:rsid w:val="26DF6BF6"/>
    <w:rsid w:val="26E71497"/>
    <w:rsid w:val="2787203F"/>
    <w:rsid w:val="27932C53"/>
    <w:rsid w:val="27C57D6C"/>
    <w:rsid w:val="285846E7"/>
    <w:rsid w:val="287055D1"/>
    <w:rsid w:val="288E73EB"/>
    <w:rsid w:val="28976054"/>
    <w:rsid w:val="28D972B4"/>
    <w:rsid w:val="28E8695F"/>
    <w:rsid w:val="28EC295F"/>
    <w:rsid w:val="2A1C69D0"/>
    <w:rsid w:val="2A2808F3"/>
    <w:rsid w:val="2A3A75DF"/>
    <w:rsid w:val="2A426494"/>
    <w:rsid w:val="2AC86999"/>
    <w:rsid w:val="2B0E72EF"/>
    <w:rsid w:val="2B797443"/>
    <w:rsid w:val="2B865965"/>
    <w:rsid w:val="2B9A3D34"/>
    <w:rsid w:val="2BD379E1"/>
    <w:rsid w:val="2BE406B6"/>
    <w:rsid w:val="2C324A12"/>
    <w:rsid w:val="2C8B7DC4"/>
    <w:rsid w:val="2CB747D3"/>
    <w:rsid w:val="2CBD251A"/>
    <w:rsid w:val="2D1759B5"/>
    <w:rsid w:val="2D1973CB"/>
    <w:rsid w:val="2D5531EF"/>
    <w:rsid w:val="2D7834AC"/>
    <w:rsid w:val="2DCC49F2"/>
    <w:rsid w:val="2E255E7D"/>
    <w:rsid w:val="2E56075F"/>
    <w:rsid w:val="2E8D0FAB"/>
    <w:rsid w:val="2EB76D44"/>
    <w:rsid w:val="2EFA1A56"/>
    <w:rsid w:val="2F407445"/>
    <w:rsid w:val="2FEA0D1E"/>
    <w:rsid w:val="300A7A53"/>
    <w:rsid w:val="3038636F"/>
    <w:rsid w:val="3079550C"/>
    <w:rsid w:val="30906DA2"/>
    <w:rsid w:val="3095731D"/>
    <w:rsid w:val="3159659D"/>
    <w:rsid w:val="31AB7F38"/>
    <w:rsid w:val="31C01F16"/>
    <w:rsid w:val="31D0621D"/>
    <w:rsid w:val="32052280"/>
    <w:rsid w:val="329B6935"/>
    <w:rsid w:val="32D7063F"/>
    <w:rsid w:val="32FC2820"/>
    <w:rsid w:val="332B3F69"/>
    <w:rsid w:val="33353039"/>
    <w:rsid w:val="33CB51C6"/>
    <w:rsid w:val="340A1DD0"/>
    <w:rsid w:val="343706EB"/>
    <w:rsid w:val="34403FA4"/>
    <w:rsid w:val="34AA60FF"/>
    <w:rsid w:val="34BC6025"/>
    <w:rsid w:val="350360CB"/>
    <w:rsid w:val="354C7D87"/>
    <w:rsid w:val="35D65535"/>
    <w:rsid w:val="35F569DF"/>
    <w:rsid w:val="360D3DFA"/>
    <w:rsid w:val="362C0724"/>
    <w:rsid w:val="36881AA9"/>
    <w:rsid w:val="375872F6"/>
    <w:rsid w:val="37EE51D5"/>
    <w:rsid w:val="37FE1C4C"/>
    <w:rsid w:val="385555E4"/>
    <w:rsid w:val="385C212F"/>
    <w:rsid w:val="386D5023"/>
    <w:rsid w:val="387404BE"/>
    <w:rsid w:val="38926A86"/>
    <w:rsid w:val="38C35C4D"/>
    <w:rsid w:val="38CC3AF8"/>
    <w:rsid w:val="38E54BBA"/>
    <w:rsid w:val="39513FFD"/>
    <w:rsid w:val="39641F82"/>
    <w:rsid w:val="39B85D22"/>
    <w:rsid w:val="39BF1A75"/>
    <w:rsid w:val="39CB619E"/>
    <w:rsid w:val="39FC040D"/>
    <w:rsid w:val="3A307A2A"/>
    <w:rsid w:val="3A9775C0"/>
    <w:rsid w:val="3AB900AC"/>
    <w:rsid w:val="3AE7427C"/>
    <w:rsid w:val="3B7B38EE"/>
    <w:rsid w:val="3B936B87"/>
    <w:rsid w:val="3BDC6748"/>
    <w:rsid w:val="3BFD485D"/>
    <w:rsid w:val="3C2F4ACA"/>
    <w:rsid w:val="3C3D6F3F"/>
    <w:rsid w:val="3CA402A6"/>
    <w:rsid w:val="3CA54D8C"/>
    <w:rsid w:val="3CBC3394"/>
    <w:rsid w:val="3DC65A10"/>
    <w:rsid w:val="3E2204FF"/>
    <w:rsid w:val="3E583D66"/>
    <w:rsid w:val="3E5A656F"/>
    <w:rsid w:val="3E65446C"/>
    <w:rsid w:val="3F316DAB"/>
    <w:rsid w:val="3F3E11C6"/>
    <w:rsid w:val="401757E9"/>
    <w:rsid w:val="40905D53"/>
    <w:rsid w:val="40B8116A"/>
    <w:rsid w:val="410E32F2"/>
    <w:rsid w:val="411155FB"/>
    <w:rsid w:val="416F56E8"/>
    <w:rsid w:val="41C053E9"/>
    <w:rsid w:val="41D36B01"/>
    <w:rsid w:val="41FC7C1C"/>
    <w:rsid w:val="4205007B"/>
    <w:rsid w:val="42067B02"/>
    <w:rsid w:val="421F2EEA"/>
    <w:rsid w:val="423746D8"/>
    <w:rsid w:val="42B2775F"/>
    <w:rsid w:val="42B56407"/>
    <w:rsid w:val="431C6BAF"/>
    <w:rsid w:val="43217136"/>
    <w:rsid w:val="4353031A"/>
    <w:rsid w:val="439C027C"/>
    <w:rsid w:val="43AB38CE"/>
    <w:rsid w:val="43BF1440"/>
    <w:rsid w:val="440750AD"/>
    <w:rsid w:val="443133A9"/>
    <w:rsid w:val="445C6678"/>
    <w:rsid w:val="44AC012C"/>
    <w:rsid w:val="44E67CEF"/>
    <w:rsid w:val="455C6204"/>
    <w:rsid w:val="455E186F"/>
    <w:rsid w:val="45825D2A"/>
    <w:rsid w:val="45911C91"/>
    <w:rsid w:val="45941E41"/>
    <w:rsid w:val="45A002E2"/>
    <w:rsid w:val="45E55ABB"/>
    <w:rsid w:val="45E7699F"/>
    <w:rsid w:val="45EA6924"/>
    <w:rsid w:val="46610A04"/>
    <w:rsid w:val="468D3B3E"/>
    <w:rsid w:val="46AB2C84"/>
    <w:rsid w:val="46C6427C"/>
    <w:rsid w:val="47AC3472"/>
    <w:rsid w:val="47C42587"/>
    <w:rsid w:val="47D14C87"/>
    <w:rsid w:val="48147269"/>
    <w:rsid w:val="483A4C3E"/>
    <w:rsid w:val="48B86781"/>
    <w:rsid w:val="48FE1E87"/>
    <w:rsid w:val="49175A7A"/>
    <w:rsid w:val="491E2E86"/>
    <w:rsid w:val="492B486B"/>
    <w:rsid w:val="49660706"/>
    <w:rsid w:val="499E6DEB"/>
    <w:rsid w:val="4A093D6C"/>
    <w:rsid w:val="4A5F69CD"/>
    <w:rsid w:val="4B410375"/>
    <w:rsid w:val="4B5E27BB"/>
    <w:rsid w:val="4C691FD5"/>
    <w:rsid w:val="4C8E7583"/>
    <w:rsid w:val="4CFB24FB"/>
    <w:rsid w:val="4D0A4797"/>
    <w:rsid w:val="4DEB281B"/>
    <w:rsid w:val="4DEB5EAB"/>
    <w:rsid w:val="4E0B07C7"/>
    <w:rsid w:val="4E65083A"/>
    <w:rsid w:val="4E9E788D"/>
    <w:rsid w:val="4F073E60"/>
    <w:rsid w:val="4F6639CF"/>
    <w:rsid w:val="4FA9329B"/>
    <w:rsid w:val="4FFB4F66"/>
    <w:rsid w:val="50A10601"/>
    <w:rsid w:val="50A36C1C"/>
    <w:rsid w:val="50A60DCA"/>
    <w:rsid w:val="50AD688C"/>
    <w:rsid w:val="50D639AB"/>
    <w:rsid w:val="50D774F1"/>
    <w:rsid w:val="50F96FFC"/>
    <w:rsid w:val="51071719"/>
    <w:rsid w:val="511E4CB5"/>
    <w:rsid w:val="5144471C"/>
    <w:rsid w:val="5160646A"/>
    <w:rsid w:val="516202A7"/>
    <w:rsid w:val="51A45CFD"/>
    <w:rsid w:val="51B560F8"/>
    <w:rsid w:val="51CA28FF"/>
    <w:rsid w:val="51F92EC3"/>
    <w:rsid w:val="52354064"/>
    <w:rsid w:val="52CC2C1B"/>
    <w:rsid w:val="52E11882"/>
    <w:rsid w:val="52F61A46"/>
    <w:rsid w:val="53146370"/>
    <w:rsid w:val="532A054E"/>
    <w:rsid w:val="53554E97"/>
    <w:rsid w:val="536C7CF9"/>
    <w:rsid w:val="537246DE"/>
    <w:rsid w:val="542645AC"/>
    <w:rsid w:val="54882B71"/>
    <w:rsid w:val="54A51975"/>
    <w:rsid w:val="54A72260"/>
    <w:rsid w:val="55114D28"/>
    <w:rsid w:val="55654C60"/>
    <w:rsid w:val="558746DF"/>
    <w:rsid w:val="55FB25A4"/>
    <w:rsid w:val="56293CBF"/>
    <w:rsid w:val="564F5046"/>
    <w:rsid w:val="565D343D"/>
    <w:rsid w:val="56B45019"/>
    <w:rsid w:val="56B81235"/>
    <w:rsid w:val="57176B62"/>
    <w:rsid w:val="572B48C3"/>
    <w:rsid w:val="57825F9E"/>
    <w:rsid w:val="57B23D6F"/>
    <w:rsid w:val="57B8376D"/>
    <w:rsid w:val="57D63BF4"/>
    <w:rsid w:val="57D8729C"/>
    <w:rsid w:val="58192BAF"/>
    <w:rsid w:val="582B0A55"/>
    <w:rsid w:val="58496ABB"/>
    <w:rsid w:val="58806583"/>
    <w:rsid w:val="59653481"/>
    <w:rsid w:val="59B01A8B"/>
    <w:rsid w:val="59F12491"/>
    <w:rsid w:val="59F36CDF"/>
    <w:rsid w:val="5A19426B"/>
    <w:rsid w:val="5AD86577"/>
    <w:rsid w:val="5B371F95"/>
    <w:rsid w:val="5BAE131A"/>
    <w:rsid w:val="5BB406F0"/>
    <w:rsid w:val="5BD91F04"/>
    <w:rsid w:val="5C1C3A37"/>
    <w:rsid w:val="5C464AF3"/>
    <w:rsid w:val="5C593045"/>
    <w:rsid w:val="5C7F0D63"/>
    <w:rsid w:val="5C925248"/>
    <w:rsid w:val="5CA65968"/>
    <w:rsid w:val="5CD728E8"/>
    <w:rsid w:val="5CEB0141"/>
    <w:rsid w:val="5CFE3C77"/>
    <w:rsid w:val="5D532374"/>
    <w:rsid w:val="5D833B17"/>
    <w:rsid w:val="5D992D2E"/>
    <w:rsid w:val="5DF03AAB"/>
    <w:rsid w:val="5DF748C4"/>
    <w:rsid w:val="5E0941FD"/>
    <w:rsid w:val="5E281AA5"/>
    <w:rsid w:val="5E4F2952"/>
    <w:rsid w:val="5E835097"/>
    <w:rsid w:val="5EA90E9A"/>
    <w:rsid w:val="5F174CB1"/>
    <w:rsid w:val="5F6917F1"/>
    <w:rsid w:val="5FC60BA4"/>
    <w:rsid w:val="5FC6329D"/>
    <w:rsid w:val="5FE80968"/>
    <w:rsid w:val="603E4397"/>
    <w:rsid w:val="60B84923"/>
    <w:rsid w:val="614F4FB8"/>
    <w:rsid w:val="618E3791"/>
    <w:rsid w:val="61D66A13"/>
    <w:rsid w:val="62222F3A"/>
    <w:rsid w:val="63B57633"/>
    <w:rsid w:val="63ED0C43"/>
    <w:rsid w:val="6423369D"/>
    <w:rsid w:val="64561BE3"/>
    <w:rsid w:val="647750B7"/>
    <w:rsid w:val="649536F0"/>
    <w:rsid w:val="64D427F8"/>
    <w:rsid w:val="65295CAB"/>
    <w:rsid w:val="653D52B2"/>
    <w:rsid w:val="65841133"/>
    <w:rsid w:val="65873B61"/>
    <w:rsid w:val="659A56E6"/>
    <w:rsid w:val="6609788A"/>
    <w:rsid w:val="66781404"/>
    <w:rsid w:val="66952B59"/>
    <w:rsid w:val="66C01F55"/>
    <w:rsid w:val="66C258A6"/>
    <w:rsid w:val="66CF66EE"/>
    <w:rsid w:val="67742C89"/>
    <w:rsid w:val="67CA3874"/>
    <w:rsid w:val="680B6B7C"/>
    <w:rsid w:val="684B23DC"/>
    <w:rsid w:val="684B646D"/>
    <w:rsid w:val="685748DD"/>
    <w:rsid w:val="687D0D75"/>
    <w:rsid w:val="687F3E33"/>
    <w:rsid w:val="687F5BE1"/>
    <w:rsid w:val="688C21D7"/>
    <w:rsid w:val="68C173E6"/>
    <w:rsid w:val="68FD36D6"/>
    <w:rsid w:val="692F7608"/>
    <w:rsid w:val="6A0A7CA8"/>
    <w:rsid w:val="6A503815"/>
    <w:rsid w:val="6A7B447E"/>
    <w:rsid w:val="6A800A04"/>
    <w:rsid w:val="6B026AB4"/>
    <w:rsid w:val="6B1B388E"/>
    <w:rsid w:val="6B381BF4"/>
    <w:rsid w:val="6B5455E4"/>
    <w:rsid w:val="6B6317EA"/>
    <w:rsid w:val="6BBF629B"/>
    <w:rsid w:val="6C102F58"/>
    <w:rsid w:val="6C580C23"/>
    <w:rsid w:val="6C5C00D6"/>
    <w:rsid w:val="6CA95923"/>
    <w:rsid w:val="6CA976D1"/>
    <w:rsid w:val="6CAE6A2F"/>
    <w:rsid w:val="6CDF7FAE"/>
    <w:rsid w:val="6CF748E0"/>
    <w:rsid w:val="6D5D100A"/>
    <w:rsid w:val="6D8307B0"/>
    <w:rsid w:val="6D92578D"/>
    <w:rsid w:val="6DE150DB"/>
    <w:rsid w:val="6E2E7E8E"/>
    <w:rsid w:val="6E777A87"/>
    <w:rsid w:val="6E9849ED"/>
    <w:rsid w:val="6F313780"/>
    <w:rsid w:val="6F47774C"/>
    <w:rsid w:val="6F4E5669"/>
    <w:rsid w:val="6F8D5088"/>
    <w:rsid w:val="6FA93B8E"/>
    <w:rsid w:val="6FFF2D83"/>
    <w:rsid w:val="700D7F77"/>
    <w:rsid w:val="700F1F41"/>
    <w:rsid w:val="70363021"/>
    <w:rsid w:val="706B64A4"/>
    <w:rsid w:val="706B684B"/>
    <w:rsid w:val="70B11649"/>
    <w:rsid w:val="71DD6031"/>
    <w:rsid w:val="723B526F"/>
    <w:rsid w:val="72563E57"/>
    <w:rsid w:val="72781A13"/>
    <w:rsid w:val="72BD575D"/>
    <w:rsid w:val="72E05314"/>
    <w:rsid w:val="72FE05A0"/>
    <w:rsid w:val="730C3FBE"/>
    <w:rsid w:val="731901FF"/>
    <w:rsid w:val="736507F6"/>
    <w:rsid w:val="737203CC"/>
    <w:rsid w:val="73BC5F3C"/>
    <w:rsid w:val="74372A69"/>
    <w:rsid w:val="743B27D5"/>
    <w:rsid w:val="74A57FCC"/>
    <w:rsid w:val="74B3107C"/>
    <w:rsid w:val="74D06570"/>
    <w:rsid w:val="74E03EAC"/>
    <w:rsid w:val="750E6C6B"/>
    <w:rsid w:val="751629B1"/>
    <w:rsid w:val="75222B7F"/>
    <w:rsid w:val="75232716"/>
    <w:rsid w:val="75321E6C"/>
    <w:rsid w:val="760D0EA9"/>
    <w:rsid w:val="760F5B53"/>
    <w:rsid w:val="76BB73CE"/>
    <w:rsid w:val="76D93201"/>
    <w:rsid w:val="76ED483E"/>
    <w:rsid w:val="77043E82"/>
    <w:rsid w:val="771066C1"/>
    <w:rsid w:val="77193C4E"/>
    <w:rsid w:val="77225AC8"/>
    <w:rsid w:val="77BA4E88"/>
    <w:rsid w:val="77D619F6"/>
    <w:rsid w:val="782E1C48"/>
    <w:rsid w:val="783622AD"/>
    <w:rsid w:val="785D68D5"/>
    <w:rsid w:val="78694C44"/>
    <w:rsid w:val="78730047"/>
    <w:rsid w:val="78C733B9"/>
    <w:rsid w:val="78E57587"/>
    <w:rsid w:val="79276150"/>
    <w:rsid w:val="79817A0B"/>
    <w:rsid w:val="79C14961"/>
    <w:rsid w:val="79F91C98"/>
    <w:rsid w:val="7A992B33"/>
    <w:rsid w:val="7AC854C9"/>
    <w:rsid w:val="7B1E7423"/>
    <w:rsid w:val="7B256ABC"/>
    <w:rsid w:val="7BBB794E"/>
    <w:rsid w:val="7C244DD2"/>
    <w:rsid w:val="7C3235A0"/>
    <w:rsid w:val="7CFD581C"/>
    <w:rsid w:val="7D250FF6"/>
    <w:rsid w:val="7D4A52D2"/>
    <w:rsid w:val="7D9976C5"/>
    <w:rsid w:val="7DB879AC"/>
    <w:rsid w:val="7DDF57DA"/>
    <w:rsid w:val="7E2E7A36"/>
    <w:rsid w:val="7E3C61A8"/>
    <w:rsid w:val="7E3E19A2"/>
    <w:rsid w:val="7E424A7F"/>
    <w:rsid w:val="7E477671"/>
    <w:rsid w:val="7E597CD7"/>
    <w:rsid w:val="7E714CEC"/>
    <w:rsid w:val="7E8648BF"/>
    <w:rsid w:val="7E9D5A4A"/>
    <w:rsid w:val="7EB048EF"/>
    <w:rsid w:val="7EB40DB1"/>
    <w:rsid w:val="7F084409"/>
    <w:rsid w:val="7F4734A5"/>
    <w:rsid w:val="7F65392B"/>
    <w:rsid w:val="7F7E2038"/>
    <w:rsid w:val="7FBB5720"/>
    <w:rsid w:val="7FDF16F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8"/>
    <w:qFormat/>
    <w:uiPriority w:val="0"/>
    <w:pPr>
      <w:keepNext/>
      <w:keepLines/>
      <w:tabs>
        <w:tab w:val="left" w:pos="360"/>
      </w:tabs>
      <w:adjustRightInd w:val="0"/>
      <w:spacing w:before="120" w:line="360" w:lineRule="auto"/>
      <w:ind w:left="284" w:hanging="284"/>
      <w:textAlignment w:val="baseline"/>
      <w:outlineLvl w:val="0"/>
    </w:pPr>
    <w:rPr>
      <w:rFonts w:eastAsia="黑体"/>
      <w:b/>
      <w:kern w:val="44"/>
      <w:sz w:val="28"/>
    </w:rPr>
  </w:style>
  <w:style w:type="paragraph" w:styleId="3">
    <w:name w:val="heading 2"/>
    <w:basedOn w:val="1"/>
    <w:next w:val="1"/>
    <w:link w:val="39"/>
    <w:qFormat/>
    <w:uiPriority w:val="0"/>
    <w:pPr>
      <w:keepNext/>
      <w:tabs>
        <w:tab w:val="left" w:pos="1021"/>
      </w:tabs>
      <w:adjustRightInd w:val="0"/>
      <w:spacing w:before="120" w:line="360" w:lineRule="auto"/>
      <w:ind w:left="1021" w:hanging="596"/>
      <w:textAlignment w:val="baseline"/>
      <w:outlineLvl w:val="1"/>
    </w:pPr>
    <w:rPr>
      <w:rFonts w:eastAsia="黑体"/>
      <w:b/>
      <w:sz w:val="28"/>
    </w:rPr>
  </w:style>
  <w:style w:type="paragraph" w:styleId="4">
    <w:name w:val="heading 3"/>
    <w:basedOn w:val="1"/>
    <w:next w:val="1"/>
    <w:link w:val="40"/>
    <w:qFormat/>
    <w:uiPriority w:val="0"/>
    <w:pPr>
      <w:tabs>
        <w:tab w:val="left" w:pos="900"/>
      </w:tabs>
      <w:adjustRightInd w:val="0"/>
      <w:spacing w:before="120" w:line="360" w:lineRule="auto"/>
      <w:ind w:left="1588" w:hanging="737"/>
      <w:textAlignment w:val="baseline"/>
      <w:outlineLvl w:val="2"/>
    </w:pPr>
    <w:rPr>
      <w:rFonts w:eastAsia="黑体"/>
      <w:b/>
      <w:sz w:val="28"/>
    </w:rPr>
  </w:style>
  <w:style w:type="paragraph" w:styleId="5">
    <w:name w:val="heading 4"/>
    <w:basedOn w:val="1"/>
    <w:next w:val="1"/>
    <w:qFormat/>
    <w:uiPriority w:val="0"/>
    <w:pPr>
      <w:tabs>
        <w:tab w:val="left" w:pos="2155"/>
      </w:tabs>
      <w:adjustRightInd w:val="0"/>
      <w:spacing w:before="120" w:line="360" w:lineRule="auto"/>
      <w:ind w:left="2155" w:hanging="1078"/>
      <w:textAlignment w:val="baseline"/>
      <w:outlineLvl w:val="3"/>
    </w:pPr>
    <w:rPr>
      <w:rFonts w:ascii="Arial" w:hAnsi="Arial" w:eastAsia="黑体"/>
      <w:kern w:val="0"/>
      <w:sz w:val="28"/>
    </w:rPr>
  </w:style>
  <w:style w:type="paragraph" w:styleId="6">
    <w:name w:val="heading 5"/>
    <w:basedOn w:val="1"/>
    <w:next w:val="1"/>
    <w:link w:val="41"/>
    <w:qFormat/>
    <w:uiPriority w:val="0"/>
    <w:pPr>
      <w:keepNext/>
      <w:keepLines/>
      <w:adjustRightInd w:val="0"/>
      <w:spacing w:before="280" w:after="290" w:line="376" w:lineRule="atLeast"/>
      <w:ind w:left="2125" w:hanging="425"/>
      <w:textAlignment w:val="baseline"/>
      <w:outlineLvl w:val="4"/>
    </w:pPr>
    <w:rPr>
      <w:b/>
      <w:sz w:val="28"/>
    </w:rPr>
  </w:style>
  <w:style w:type="character" w:default="1" w:styleId="31">
    <w:name w:val="Default Paragraph Font"/>
    <w:qFormat/>
    <w:uiPriority w:val="0"/>
  </w:style>
  <w:style w:type="table" w:default="1" w:styleId="36">
    <w:name w:val="Normal Table"/>
    <w:semiHidden/>
    <w:qFormat/>
    <w:uiPriority w:val="0"/>
    <w:tblPr>
      <w:tblLayout w:type="fixed"/>
      <w:tblCellMar>
        <w:top w:w="0" w:type="dxa"/>
        <w:left w:w="108" w:type="dxa"/>
        <w:bottom w:w="0" w:type="dxa"/>
        <w:right w:w="108" w:type="dxa"/>
      </w:tblCellMar>
    </w:tblPr>
  </w:style>
  <w:style w:type="paragraph" w:styleId="7">
    <w:name w:val="Body Text First Indent"/>
    <w:basedOn w:val="8"/>
    <w:qFormat/>
    <w:uiPriority w:val="0"/>
    <w:pPr>
      <w:spacing w:after="120" w:afterLines="0" w:line="360" w:lineRule="auto"/>
      <w:ind w:firstLine="420" w:firstLineChars="100"/>
    </w:pPr>
    <w:rPr>
      <w:rFonts w:eastAsia="仿宋_GB2312"/>
      <w:sz w:val="28"/>
    </w:rPr>
  </w:style>
  <w:style w:type="paragraph" w:styleId="8">
    <w:name w:val="Body Text"/>
    <w:basedOn w:val="1"/>
    <w:link w:val="42"/>
    <w:qFormat/>
    <w:uiPriority w:val="0"/>
    <w:pPr>
      <w:spacing w:after="120" w:afterLines="0" w:afterAutospacing="0"/>
    </w:pPr>
  </w:style>
  <w:style w:type="paragraph" w:styleId="9">
    <w:name w:val="Normal Indent"/>
    <w:basedOn w:val="1"/>
    <w:qFormat/>
    <w:uiPriority w:val="0"/>
    <w:pPr>
      <w:widowControl/>
      <w:ind w:firstLine="420" w:firstLineChars="200"/>
      <w:jc w:val="left"/>
    </w:pPr>
    <w:rPr>
      <w:kern w:val="0"/>
      <w:sz w:val="20"/>
    </w:rPr>
  </w:style>
  <w:style w:type="paragraph" w:styleId="10">
    <w:name w:val="Document Map"/>
    <w:basedOn w:val="1"/>
    <w:qFormat/>
    <w:uiPriority w:val="0"/>
    <w:pPr>
      <w:shd w:val="clear" w:color="auto" w:fill="000080"/>
    </w:pPr>
  </w:style>
  <w:style w:type="paragraph" w:styleId="11">
    <w:name w:val="annotation text"/>
    <w:basedOn w:val="1"/>
    <w:qFormat/>
    <w:uiPriority w:val="0"/>
    <w:pPr>
      <w:jc w:val="left"/>
    </w:pPr>
    <w:rPr>
      <w:rFonts w:ascii="Calibri" w:hAnsi="Calibri"/>
    </w:rPr>
  </w:style>
  <w:style w:type="paragraph" w:styleId="12">
    <w:name w:val="Body Text 3"/>
    <w:basedOn w:val="1"/>
    <w:qFormat/>
    <w:uiPriority w:val="0"/>
    <w:pPr>
      <w:jc w:val="center"/>
    </w:pPr>
    <w:rPr>
      <w:rFonts w:ascii="宋体" w:hAnsi="宋体"/>
      <w:b/>
      <w:spacing w:val="60"/>
      <w:sz w:val="44"/>
      <w:szCs w:val="72"/>
    </w:rPr>
  </w:style>
  <w:style w:type="paragraph" w:styleId="13">
    <w:name w:val="Body Text Indent"/>
    <w:basedOn w:val="1"/>
    <w:qFormat/>
    <w:uiPriority w:val="0"/>
    <w:pPr>
      <w:spacing w:after="120" w:afterLines="0" w:afterAutospacing="0"/>
      <w:ind w:left="420" w:leftChars="200"/>
    </w:pPr>
  </w:style>
  <w:style w:type="paragraph" w:styleId="14">
    <w:name w:val="Plain Text"/>
    <w:basedOn w:val="1"/>
    <w:next w:val="1"/>
    <w:link w:val="43"/>
    <w:qFormat/>
    <w:uiPriority w:val="0"/>
    <w:rPr>
      <w:rFonts w:ascii="宋体"/>
    </w:rPr>
  </w:style>
  <w:style w:type="paragraph" w:styleId="15">
    <w:name w:val="Date"/>
    <w:basedOn w:val="1"/>
    <w:next w:val="1"/>
    <w:link w:val="44"/>
    <w:qFormat/>
    <w:uiPriority w:val="0"/>
    <w:pPr>
      <w:ind w:left="100" w:leftChars="2500"/>
    </w:pPr>
  </w:style>
  <w:style w:type="paragraph" w:styleId="16">
    <w:name w:val="Body Text Indent 2"/>
    <w:basedOn w:val="1"/>
    <w:qFormat/>
    <w:uiPriority w:val="0"/>
    <w:pPr>
      <w:spacing w:after="120" w:afterLines="0" w:afterAutospacing="0" w:line="480" w:lineRule="auto"/>
      <w:ind w:left="200" w:leftChars="200"/>
    </w:pPr>
  </w:style>
  <w:style w:type="paragraph" w:styleId="17">
    <w:name w:val="Balloon Text"/>
    <w:basedOn w:val="1"/>
    <w:qFormat/>
    <w:uiPriority w:val="0"/>
    <w:rPr>
      <w:sz w:val="18"/>
    </w:rPr>
  </w:style>
  <w:style w:type="paragraph" w:styleId="18">
    <w:name w:val="footer"/>
    <w:basedOn w:val="1"/>
    <w:link w:val="45"/>
    <w:qFormat/>
    <w:uiPriority w:val="99"/>
    <w:pPr>
      <w:tabs>
        <w:tab w:val="center" w:pos="4153"/>
        <w:tab w:val="right" w:pos="8306"/>
      </w:tabs>
      <w:snapToGrid w:val="0"/>
      <w:jc w:val="left"/>
    </w:pPr>
    <w:rPr>
      <w:rFonts w:ascii="宋体"/>
      <w:sz w:val="18"/>
    </w:rPr>
  </w:style>
  <w:style w:type="paragraph" w:styleId="19">
    <w:name w:val="envelope return"/>
    <w:basedOn w:val="1"/>
    <w:qFormat/>
    <w:uiPriority w:val="0"/>
    <w:pPr>
      <w:snapToGrid w:val="0"/>
    </w:pPr>
    <w:rPr>
      <w:rFonts w:ascii="Arial" w:hAnsi="Arial"/>
    </w:rPr>
  </w:style>
  <w:style w:type="paragraph" w:styleId="20">
    <w:name w:val="Body Text First Indent 2"/>
    <w:basedOn w:val="13"/>
    <w:qFormat/>
    <w:uiPriority w:val="0"/>
    <w:pPr>
      <w:spacing w:after="120"/>
      <w:ind w:left="420" w:leftChars="200" w:firstLine="420" w:firstLineChars="200"/>
    </w:pPr>
    <w:rPr>
      <w:rFonts w:ascii="Times New Roman" w:eastAsia="宋体"/>
      <w:sz w:val="21"/>
      <w:szCs w:val="24"/>
    </w:rPr>
  </w:style>
  <w:style w:type="paragraph" w:styleId="21">
    <w:name w:val="header"/>
    <w:basedOn w:val="1"/>
    <w:link w:val="46"/>
    <w:qFormat/>
    <w:uiPriority w:val="99"/>
    <w:pPr>
      <w:pBdr>
        <w:bottom w:val="single" w:color="auto" w:sz="6" w:space="1"/>
      </w:pBdr>
      <w:tabs>
        <w:tab w:val="center" w:pos="4153"/>
        <w:tab w:val="right" w:pos="8306"/>
      </w:tabs>
      <w:snapToGrid w:val="0"/>
      <w:jc w:val="center"/>
    </w:pPr>
    <w:rPr>
      <w:sz w:val="18"/>
    </w:rPr>
  </w:style>
  <w:style w:type="paragraph" w:styleId="22">
    <w:name w:val="toc 1"/>
    <w:basedOn w:val="1"/>
    <w:next w:val="1"/>
    <w:qFormat/>
    <w:uiPriority w:val="39"/>
    <w:pPr>
      <w:tabs>
        <w:tab w:val="right" w:leader="dot" w:pos="9628"/>
      </w:tabs>
      <w:spacing w:before="120" w:beforeLines="0" w:beforeAutospacing="0" w:after="120" w:afterLines="0" w:afterAutospacing="0"/>
      <w:ind w:firstLine="74" w:firstLineChars="74"/>
      <w:jc w:val="left"/>
    </w:pPr>
    <w:rPr>
      <w:b/>
      <w:caps/>
      <w:sz w:val="20"/>
    </w:rPr>
  </w:style>
  <w:style w:type="paragraph" w:styleId="23">
    <w:name w:val="Body Text Indent 3"/>
    <w:basedOn w:val="1"/>
    <w:qFormat/>
    <w:uiPriority w:val="0"/>
    <w:pPr>
      <w:spacing w:after="120" w:afterLines="0" w:afterAutospacing="0"/>
      <w:ind w:left="420" w:leftChars="200"/>
    </w:pPr>
    <w:rPr>
      <w:sz w:val="16"/>
    </w:rPr>
  </w:style>
  <w:style w:type="paragraph" w:styleId="24">
    <w:name w:val="toc 2"/>
    <w:basedOn w:val="1"/>
    <w:next w:val="1"/>
    <w:qFormat/>
    <w:uiPriority w:val="39"/>
    <w:pPr>
      <w:tabs>
        <w:tab w:val="right" w:leader="dot" w:pos="9628"/>
      </w:tabs>
      <w:spacing w:line="260" w:lineRule="exact"/>
      <w:ind w:left="210"/>
      <w:jc w:val="left"/>
    </w:pPr>
    <w:rPr>
      <w:smallCaps/>
      <w:sz w:val="20"/>
    </w:rPr>
  </w:style>
  <w:style w:type="paragraph" w:styleId="25">
    <w:name w:val="toc 9"/>
    <w:basedOn w:val="1"/>
    <w:next w:val="1"/>
    <w:qFormat/>
    <w:uiPriority w:val="0"/>
    <w:pPr>
      <w:ind w:left="1680"/>
      <w:jc w:val="left"/>
    </w:pPr>
    <w:rPr>
      <w:sz w:val="18"/>
    </w:rPr>
  </w:style>
  <w:style w:type="paragraph" w:styleId="26">
    <w:name w:val="Body Text 2"/>
    <w:basedOn w:val="1"/>
    <w:qFormat/>
    <w:uiPriority w:val="0"/>
    <w:pPr>
      <w:spacing w:after="120" w:line="480" w:lineRule="auto"/>
    </w:pPr>
  </w:style>
  <w:style w:type="paragraph" w:styleId="2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8">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29">
    <w:name w:val="index 1"/>
    <w:basedOn w:val="1"/>
    <w:next w:val="1"/>
    <w:qFormat/>
    <w:uiPriority w:val="0"/>
    <w:rPr>
      <w:rFonts w:ascii="宋体" w:hAnsi="宋体"/>
      <w:sz w:val="24"/>
      <w:szCs w:val="24"/>
    </w:rPr>
  </w:style>
  <w:style w:type="paragraph" w:styleId="30">
    <w:name w:val="Title"/>
    <w:basedOn w:val="1"/>
    <w:next w:val="1"/>
    <w:link w:val="47"/>
    <w:qFormat/>
    <w:uiPriority w:val="0"/>
    <w:pPr>
      <w:jc w:val="center"/>
    </w:pPr>
    <w:rPr>
      <w:rFonts w:ascii="黑体" w:hAnsi="Romania"/>
      <w:sz w:val="44"/>
    </w:rPr>
  </w:style>
  <w:style w:type="character" w:styleId="32">
    <w:name w:val="Strong"/>
    <w:qFormat/>
    <w:uiPriority w:val="0"/>
    <w:rPr>
      <w:b/>
    </w:rPr>
  </w:style>
  <w:style w:type="character" w:styleId="33">
    <w:name w:val="page number"/>
    <w:basedOn w:val="31"/>
    <w:qFormat/>
    <w:uiPriority w:val="0"/>
  </w:style>
  <w:style w:type="character" w:styleId="34">
    <w:name w:val="FollowedHyperlink"/>
    <w:qFormat/>
    <w:uiPriority w:val="0"/>
    <w:rPr>
      <w:color w:val="800080"/>
      <w:u w:val="single"/>
    </w:rPr>
  </w:style>
  <w:style w:type="character" w:styleId="35">
    <w:name w:val="Hyperlink"/>
    <w:basedOn w:val="31"/>
    <w:qFormat/>
    <w:uiPriority w:val="99"/>
    <w:rPr>
      <w:color w:val="0000FF"/>
      <w:u w:val="single"/>
    </w:rPr>
  </w:style>
  <w:style w:type="table" w:styleId="37">
    <w:name w:val="Table Grid"/>
    <w:basedOn w:val="3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38">
    <w:name w:val="标题 1 Char"/>
    <w:link w:val="2"/>
    <w:qFormat/>
    <w:uiPriority w:val="0"/>
    <w:rPr>
      <w:rFonts w:eastAsia="黑体"/>
      <w:b/>
      <w:kern w:val="44"/>
      <w:sz w:val="28"/>
    </w:rPr>
  </w:style>
  <w:style w:type="character" w:customStyle="1" w:styleId="39">
    <w:name w:val="标题 2 Char"/>
    <w:link w:val="3"/>
    <w:qFormat/>
    <w:uiPriority w:val="0"/>
    <w:rPr>
      <w:rFonts w:eastAsia="黑体"/>
      <w:b/>
      <w:kern w:val="2"/>
      <w:sz w:val="28"/>
    </w:rPr>
  </w:style>
  <w:style w:type="character" w:customStyle="1" w:styleId="40">
    <w:name w:val="标题 3 Char"/>
    <w:link w:val="4"/>
    <w:qFormat/>
    <w:uiPriority w:val="0"/>
    <w:rPr>
      <w:rFonts w:eastAsia="黑体"/>
      <w:b/>
      <w:kern w:val="2"/>
      <w:sz w:val="28"/>
    </w:rPr>
  </w:style>
  <w:style w:type="character" w:customStyle="1" w:styleId="41">
    <w:name w:val="标题 5 Char"/>
    <w:link w:val="6"/>
    <w:qFormat/>
    <w:uiPriority w:val="0"/>
    <w:rPr>
      <w:b/>
      <w:kern w:val="2"/>
      <w:sz w:val="28"/>
    </w:rPr>
  </w:style>
  <w:style w:type="character" w:customStyle="1" w:styleId="42">
    <w:name w:val="正文文本 Char"/>
    <w:link w:val="8"/>
    <w:qFormat/>
    <w:uiPriority w:val="0"/>
    <w:rPr>
      <w:kern w:val="2"/>
      <w:sz w:val="21"/>
    </w:rPr>
  </w:style>
  <w:style w:type="character" w:customStyle="1" w:styleId="43">
    <w:name w:val="纯文本 Char"/>
    <w:link w:val="14"/>
    <w:qFormat/>
    <w:uiPriority w:val="0"/>
    <w:rPr>
      <w:rFonts w:ascii="宋体" w:eastAsia="宋体"/>
      <w:kern w:val="2"/>
      <w:sz w:val="21"/>
      <w:lang w:val="en-US" w:eastAsia="zh-CN"/>
    </w:rPr>
  </w:style>
  <w:style w:type="character" w:customStyle="1" w:styleId="44">
    <w:name w:val="日期 Char"/>
    <w:link w:val="15"/>
    <w:qFormat/>
    <w:uiPriority w:val="0"/>
    <w:rPr>
      <w:kern w:val="2"/>
      <w:sz w:val="21"/>
    </w:rPr>
  </w:style>
  <w:style w:type="character" w:customStyle="1" w:styleId="45">
    <w:name w:val="页脚 Char"/>
    <w:link w:val="18"/>
    <w:qFormat/>
    <w:uiPriority w:val="99"/>
    <w:rPr>
      <w:rFonts w:ascii="宋体"/>
      <w:kern w:val="2"/>
      <w:sz w:val="18"/>
    </w:rPr>
  </w:style>
  <w:style w:type="character" w:customStyle="1" w:styleId="46">
    <w:name w:val="页眉 Char"/>
    <w:link w:val="21"/>
    <w:qFormat/>
    <w:uiPriority w:val="99"/>
    <w:rPr>
      <w:kern w:val="2"/>
      <w:sz w:val="18"/>
    </w:rPr>
  </w:style>
  <w:style w:type="character" w:customStyle="1" w:styleId="47">
    <w:name w:val="标题 Char"/>
    <w:link w:val="30"/>
    <w:qFormat/>
    <w:uiPriority w:val="0"/>
    <w:rPr>
      <w:rFonts w:ascii="黑体" w:hAnsi="Romania" w:eastAsia="宋体"/>
      <w:kern w:val="2"/>
      <w:sz w:val="44"/>
      <w:lang w:val="en-US" w:eastAsia="zh-CN"/>
    </w:rPr>
  </w:style>
  <w:style w:type="character" w:customStyle="1" w:styleId="48">
    <w:name w:val="font91"/>
    <w:basedOn w:val="31"/>
    <w:qFormat/>
    <w:uiPriority w:val="0"/>
    <w:rPr>
      <w:rFonts w:hint="eastAsia" w:ascii="宋体" w:hAnsi="宋体" w:eastAsia="宋体"/>
      <w:color w:val="FF0000"/>
      <w:sz w:val="18"/>
      <w:szCs w:val="18"/>
      <w:u w:val="none"/>
    </w:rPr>
  </w:style>
  <w:style w:type="character" w:customStyle="1" w:styleId="49">
    <w:name w:val="font31"/>
    <w:qFormat/>
    <w:uiPriority w:val="0"/>
    <w:rPr>
      <w:rFonts w:hint="eastAsia" w:ascii="宋体" w:hAnsi="宋体" w:eastAsia="宋体"/>
      <w:color w:val="000000"/>
      <w:sz w:val="18"/>
      <w:szCs w:val="18"/>
      <w:u w:val="none"/>
    </w:rPr>
  </w:style>
  <w:style w:type="character" w:customStyle="1" w:styleId="50">
    <w:name w:val="Char Char"/>
    <w:qFormat/>
    <w:uiPriority w:val="0"/>
    <w:rPr>
      <w:rFonts w:ascii="宋体" w:hAnsi="宋体" w:eastAsia="宋体"/>
      <w:kern w:val="2"/>
      <w:sz w:val="21"/>
      <w:szCs w:val="24"/>
      <w:lang w:val="en-US" w:eastAsia="zh-CN" w:bidi="ar-SA"/>
    </w:rPr>
  </w:style>
  <w:style w:type="character" w:customStyle="1" w:styleId="51">
    <w:name w:val="孙普文字 Char"/>
    <w:qFormat/>
    <w:uiPriority w:val="0"/>
    <w:rPr>
      <w:rFonts w:ascii="宋体" w:hAnsi="Times New Roman" w:eastAsia="宋体"/>
    </w:rPr>
  </w:style>
  <w:style w:type="character" w:customStyle="1" w:styleId="52">
    <w:name w:val="font51"/>
    <w:basedOn w:val="31"/>
    <w:qFormat/>
    <w:uiPriority w:val="0"/>
    <w:rPr>
      <w:rFonts w:hint="eastAsia" w:ascii="宋体" w:hAnsi="宋体" w:eastAsia="宋体"/>
      <w:color w:val="FF0000"/>
      <w:sz w:val="16"/>
      <w:szCs w:val="16"/>
      <w:u w:val="none"/>
    </w:rPr>
  </w:style>
  <w:style w:type="character" w:customStyle="1" w:styleId="53">
    <w:name w:val="font01"/>
    <w:qFormat/>
    <w:uiPriority w:val="0"/>
    <w:rPr>
      <w:rFonts w:hint="eastAsia" w:ascii="宋体" w:hAnsi="宋体" w:eastAsia="宋体"/>
      <w:color w:val="FF0000"/>
      <w:sz w:val="18"/>
      <w:szCs w:val="18"/>
      <w:u w:val="single"/>
    </w:rPr>
  </w:style>
  <w:style w:type="character" w:customStyle="1" w:styleId="54">
    <w:name w:val="grame"/>
    <w:qFormat/>
    <w:uiPriority w:val="0"/>
  </w:style>
  <w:style w:type="character" w:customStyle="1" w:styleId="55">
    <w:name w:val="Subtle Emphasis"/>
    <w:qFormat/>
    <w:uiPriority w:val="0"/>
    <w:rPr>
      <w:rFonts w:eastAsia="仿宋_GB2312"/>
      <w:color w:val="auto"/>
      <w:sz w:val="24"/>
    </w:rPr>
  </w:style>
  <w:style w:type="character" w:customStyle="1" w:styleId="56">
    <w:name w:val="font21"/>
    <w:qFormat/>
    <w:uiPriority w:val="0"/>
    <w:rPr>
      <w:rFonts w:hint="eastAsia" w:ascii="宋体" w:hAnsi="宋体" w:eastAsia="宋体"/>
      <w:color w:val="000000"/>
      <w:sz w:val="18"/>
      <w:szCs w:val="18"/>
      <w:u w:val="single"/>
    </w:rPr>
  </w:style>
  <w:style w:type="character" w:customStyle="1" w:styleId="57">
    <w:name w:val="Char Char Char Char Char Char"/>
    <w:qFormat/>
    <w:uiPriority w:val="0"/>
    <w:rPr>
      <w:rFonts w:ascii="宋体" w:hAnsi="宋体" w:eastAsia="宋体"/>
      <w:kern w:val="2"/>
      <w:sz w:val="21"/>
      <w:lang w:val="en-US" w:eastAsia="zh-CN"/>
    </w:rPr>
  </w:style>
  <w:style w:type="character" w:customStyle="1" w:styleId="58">
    <w:name w:val="纯文本 Char1"/>
    <w:qFormat/>
    <w:uiPriority w:val="0"/>
    <w:rPr>
      <w:rFonts w:ascii="宋体" w:eastAsia="宋体"/>
      <w:kern w:val="2"/>
      <w:sz w:val="21"/>
      <w:lang w:val="en-US" w:eastAsia="zh-CN"/>
    </w:rPr>
  </w:style>
  <w:style w:type="character" w:customStyle="1" w:styleId="59">
    <w:name w:val="font41"/>
    <w:qFormat/>
    <w:uiPriority w:val="0"/>
    <w:rPr>
      <w:rFonts w:hint="eastAsia" w:ascii="宋体" w:hAnsi="宋体" w:eastAsia="宋体"/>
      <w:color w:val="000000"/>
      <w:sz w:val="18"/>
      <w:szCs w:val="18"/>
      <w:u w:val="none"/>
    </w:rPr>
  </w:style>
  <w:style w:type="character" w:customStyle="1" w:styleId="60">
    <w:name w:val="Char Char4"/>
    <w:qFormat/>
    <w:locked/>
    <w:uiPriority w:val="0"/>
    <w:rPr>
      <w:rFonts w:ascii="宋体" w:hAnsi="宋体" w:eastAsia="宋体"/>
      <w:kern w:val="2"/>
      <w:sz w:val="21"/>
      <w:lang w:val="en-US" w:eastAsia="zh-CN" w:bidi="ar-SA"/>
    </w:rPr>
  </w:style>
  <w:style w:type="character" w:customStyle="1" w:styleId="61">
    <w:name w:val="font11"/>
    <w:qFormat/>
    <w:uiPriority w:val="0"/>
    <w:rPr>
      <w:rFonts w:hint="eastAsia" w:ascii="宋体" w:hAnsi="宋体" w:eastAsia="宋体"/>
      <w:color w:val="000000"/>
      <w:sz w:val="18"/>
      <w:u w:val="none"/>
    </w:rPr>
  </w:style>
  <w:style w:type="character" w:customStyle="1" w:styleId="62">
    <w:name w:val="标题 2 Char Char Char"/>
    <w:qFormat/>
    <w:uiPriority w:val="0"/>
    <w:rPr>
      <w:sz w:val="28"/>
    </w:rPr>
  </w:style>
  <w:style w:type="paragraph" w:customStyle="1" w:styleId="63">
    <w:name w:val="xl7021813"/>
    <w:basedOn w:val="1"/>
    <w:qFormat/>
    <w:uiPriority w:val="0"/>
    <w:pPr>
      <w:widowControl/>
      <w:pBdr>
        <w:top w:val="single" w:color="auto" w:sz="4" w:space="1"/>
        <w:left w:val="single" w:color="auto" w:sz="4" w:space="1"/>
        <w:bottom w:val="single" w:color="auto" w:sz="4" w:space="0"/>
        <w:right w:val="single" w:color="auto" w:sz="4" w:space="1"/>
      </w:pBdr>
      <w:spacing w:before="100" w:beforeAutospacing="1" w:after="100" w:afterAutospacing="1"/>
      <w:jc w:val="left"/>
      <w:textAlignment w:val="center"/>
    </w:pPr>
    <w:rPr>
      <w:rFonts w:ascii="宋体" w:hAnsi="宋体" w:cs="宋体"/>
      <w:kern w:val="0"/>
      <w:sz w:val="20"/>
    </w:rPr>
  </w:style>
  <w:style w:type="paragraph" w:customStyle="1" w:styleId="64">
    <w:name w:val="xl7121813"/>
    <w:basedOn w:val="1"/>
    <w:qFormat/>
    <w:uiPriority w:val="0"/>
    <w:pPr>
      <w:widowControl/>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rFonts w:ascii="宋体" w:hAnsi="宋体" w:cs="宋体"/>
      <w:kern w:val="0"/>
      <w:sz w:val="24"/>
      <w:szCs w:val="24"/>
    </w:rPr>
  </w:style>
  <w:style w:type="paragraph" w:customStyle="1" w:styleId="65">
    <w:name w:val="缺省文本"/>
    <w:basedOn w:val="1"/>
    <w:qFormat/>
    <w:uiPriority w:val="0"/>
    <w:pPr>
      <w:autoSpaceDE w:val="0"/>
      <w:autoSpaceDN w:val="0"/>
      <w:adjustRightInd w:val="0"/>
      <w:jc w:val="left"/>
    </w:pPr>
    <w:rPr>
      <w:kern w:val="0"/>
      <w:sz w:val="24"/>
    </w:rPr>
  </w:style>
  <w:style w:type="paragraph" w:customStyle="1" w:styleId="66">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67">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sz w:val="28"/>
      <w:szCs w:val="20"/>
    </w:rPr>
  </w:style>
  <w:style w:type="paragraph" w:customStyle="1" w:styleId="68">
    <w:name w:val="xl6921813"/>
    <w:basedOn w:val="1"/>
    <w:qFormat/>
    <w:uiPriority w:val="0"/>
    <w:pPr>
      <w:widowControl/>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rFonts w:ascii="宋体" w:hAnsi="宋体" w:cs="宋体"/>
      <w:kern w:val="0"/>
      <w:sz w:val="18"/>
      <w:szCs w:val="18"/>
    </w:rPr>
  </w:style>
  <w:style w:type="paragraph" w:customStyle="1" w:styleId="69">
    <w:name w:val=" Char Char Char Char Char Char Char Char Char Char Char Char"/>
    <w:basedOn w:val="1"/>
    <w:qFormat/>
    <w:uiPriority w:val="0"/>
    <w:pPr>
      <w:tabs>
        <w:tab w:val="right" w:pos="-2120"/>
      </w:tabs>
      <w:snapToGrid w:val="0"/>
    </w:pPr>
    <w:rPr>
      <w:rFonts w:ascii="Tahoma" w:hAnsi="Tahoma"/>
      <w:spacing w:val="6"/>
      <w:sz w:val="24"/>
    </w:rPr>
  </w:style>
  <w:style w:type="paragraph" w:customStyle="1" w:styleId="70">
    <w:name w:val="xl6721813"/>
    <w:basedOn w:val="1"/>
    <w:qFormat/>
    <w:uiPriority w:val="0"/>
    <w:pPr>
      <w:widowControl/>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rFonts w:ascii="宋体" w:hAnsi="宋体" w:cs="宋体"/>
      <w:kern w:val="0"/>
      <w:sz w:val="18"/>
      <w:szCs w:val="18"/>
    </w:rPr>
  </w:style>
  <w:style w:type="paragraph" w:customStyle="1" w:styleId="71">
    <w:name w:val=" Char Char1 Char Char"/>
    <w:basedOn w:val="1"/>
    <w:qFormat/>
    <w:uiPriority w:val="0"/>
    <w:pPr>
      <w:tabs>
        <w:tab w:val="left" w:pos="360"/>
      </w:tabs>
    </w:pPr>
  </w:style>
  <w:style w:type="paragraph" w:customStyle="1" w:styleId="72">
    <w:name w:val="Absatz2AL"/>
    <w:basedOn w:val="8"/>
    <w:next w:val="1"/>
    <w:qFormat/>
    <w:uiPriority w:val="0"/>
    <w:pPr>
      <w:widowControl/>
      <w:overflowPunct w:val="0"/>
      <w:autoSpaceDE w:val="0"/>
      <w:autoSpaceDN w:val="0"/>
      <w:adjustRightInd w:val="0"/>
      <w:spacing w:after="0" w:afterLines="0" w:afterAutospacing="0"/>
      <w:textAlignment w:val="baseline"/>
    </w:pPr>
    <w:rPr>
      <w:rFonts w:eastAsia="楷体_GB2312"/>
      <w:kern w:val="0"/>
      <w:sz w:val="24"/>
      <w:lang w:val="de-DE" w:eastAsia="de-DE"/>
    </w:rPr>
  </w:style>
  <w:style w:type="paragraph" w:customStyle="1" w:styleId="73">
    <w:name w:val="WPSOffice手动目录 2"/>
    <w:qFormat/>
    <w:uiPriority w:val="0"/>
    <w:pPr>
      <w:ind w:leftChars="200"/>
    </w:pPr>
    <w:rPr>
      <w:rFonts w:ascii="Times New Roman" w:hAnsi="Times New Roman" w:eastAsia="宋体" w:cs="Times New Roman"/>
      <w:sz w:val="20"/>
      <w:szCs w:val="20"/>
      <w:lang w:val="en-US" w:eastAsia="en-US" w:bidi="ar-SA"/>
    </w:rPr>
  </w:style>
  <w:style w:type="paragraph" w:customStyle="1" w:styleId="74">
    <w:name w:val="Char"/>
    <w:basedOn w:val="1"/>
    <w:qFormat/>
    <w:uiPriority w:val="0"/>
  </w:style>
  <w:style w:type="paragraph" w:customStyle="1" w:styleId="75">
    <w:name w:val="WPSOffice手动目录 1"/>
    <w:qFormat/>
    <w:uiPriority w:val="0"/>
    <w:pPr>
      <w:ind w:leftChars="0"/>
    </w:pPr>
    <w:rPr>
      <w:rFonts w:ascii="Times New Roman" w:hAnsi="Times New Roman" w:eastAsia="宋体" w:cs="Times New Roman"/>
      <w:sz w:val="20"/>
      <w:szCs w:val="20"/>
      <w:lang w:val="en-US" w:eastAsia="en-US" w:bidi="ar-SA"/>
    </w:rPr>
  </w:style>
  <w:style w:type="paragraph" w:customStyle="1" w:styleId="76">
    <w:name w:val="font521813"/>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77">
    <w:name w:val=" Char"/>
    <w:basedOn w:val="1"/>
    <w:qFormat/>
    <w:uiPriority w:val="0"/>
    <w:pPr>
      <w:ind w:firstLine="200" w:firstLineChars="200"/>
    </w:pPr>
    <w:rPr>
      <w:kern w:val="2"/>
      <w:sz w:val="21"/>
    </w:rPr>
  </w:style>
  <w:style w:type="paragraph" w:customStyle="1" w:styleId="78">
    <w:name w:val="List Paragraph1"/>
    <w:basedOn w:val="1"/>
    <w:qFormat/>
    <w:uiPriority w:val="0"/>
    <w:pPr>
      <w:ind w:firstLine="420" w:firstLineChars="200"/>
    </w:pPr>
  </w:style>
  <w:style w:type="paragraph" w:customStyle="1" w:styleId="79">
    <w:name w:val=" Char Char Char"/>
    <w:basedOn w:val="1"/>
    <w:qFormat/>
    <w:uiPriority w:val="0"/>
    <w:pPr>
      <w:ind w:firstLine="200" w:firstLineChars="200"/>
    </w:pPr>
    <w:rPr>
      <w:sz w:val="24"/>
    </w:rPr>
  </w:style>
  <w:style w:type="paragraph" w:customStyle="1" w:styleId="80">
    <w:name w:val="样式 首行缩进:  2 字符"/>
    <w:basedOn w:val="1"/>
    <w:qFormat/>
    <w:uiPriority w:val="0"/>
    <w:rPr>
      <w:rFonts w:hAnsi="宋体"/>
      <w:sz w:val="28"/>
      <w:szCs w:val="20"/>
    </w:rPr>
  </w:style>
  <w:style w:type="paragraph" w:customStyle="1" w:styleId="81">
    <w:name w:val="抬头"/>
    <w:basedOn w:val="1"/>
    <w:qFormat/>
    <w:uiPriority w:val="0"/>
    <w:pPr>
      <w:spacing w:before="156" w:beforeLines="50" w:beforeAutospacing="0" w:line="360" w:lineRule="auto"/>
    </w:pPr>
    <w:rPr>
      <w:rFonts w:ascii="宋体"/>
      <w:sz w:val="24"/>
    </w:rPr>
  </w:style>
  <w:style w:type="paragraph" w:customStyle="1" w:styleId="82">
    <w:name w:val="xl23"/>
    <w:next w:val="25"/>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83">
    <w:name w:val="xl6821813"/>
    <w:basedOn w:val="1"/>
    <w:qFormat/>
    <w:uiPriority w:val="0"/>
    <w:pPr>
      <w:widowControl/>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rFonts w:ascii="宋体" w:hAnsi="宋体" w:cs="宋体"/>
      <w:kern w:val="0"/>
      <w:sz w:val="18"/>
      <w:szCs w:val="18"/>
    </w:rPr>
  </w:style>
  <w:style w:type="paragraph" w:customStyle="1" w:styleId="84">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5">
    <w:name w:val="正文五号"/>
    <w:basedOn w:val="1"/>
    <w:qFormat/>
    <w:uiPriority w:val="0"/>
    <w:rPr>
      <w:rFonts w:hint="eastAsia" w:ascii="宋体" w:eastAsia="仿宋_GB2312"/>
    </w:rPr>
  </w:style>
  <w:style w:type="paragraph" w:customStyle="1" w:styleId="86">
    <w:name w:val="正文_2"/>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87">
    <w:name w:val="样式 样式 首行缩进:  2 字符 + 首行缩进:  2 字符"/>
    <w:basedOn w:val="80"/>
    <w:qFormat/>
    <w:uiPriority w:val="0"/>
    <w:pPr>
      <w:autoSpaceDE w:val="0"/>
      <w:autoSpaceDN w:val="0"/>
      <w:adjustRightInd w:val="0"/>
      <w:ind w:firstLine="560"/>
      <w:jc w:val="center"/>
    </w:pPr>
    <w:rPr>
      <w:rFonts w:cs="宋体"/>
      <w:bCs/>
      <w:color w:val="000000"/>
      <w:sz w:val="21"/>
      <w:lang w:val="zh-CN"/>
    </w:rPr>
  </w:style>
  <w:style w:type="paragraph" w:customStyle="1" w:styleId="88">
    <w:name w:val=" Char13"/>
    <w:basedOn w:val="1"/>
    <w:qFormat/>
    <w:uiPriority w:val="0"/>
  </w:style>
  <w:style w:type="paragraph" w:customStyle="1" w:styleId="89">
    <w:name w:val="xl6621813"/>
    <w:basedOn w:val="1"/>
    <w:qFormat/>
    <w:uiPriority w:val="0"/>
    <w:pPr>
      <w:widowControl/>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rFonts w:ascii="宋体" w:hAnsi="宋体" w:cs="宋体"/>
      <w:kern w:val="0"/>
      <w:sz w:val="18"/>
      <w:szCs w:val="18"/>
    </w:rPr>
  </w:style>
  <w:style w:type="paragraph" w:customStyle="1" w:styleId="90">
    <w:name w:val="List Paragraph"/>
    <w:basedOn w:val="1"/>
    <w:qFormat/>
    <w:uiPriority w:val="99"/>
    <w:pPr>
      <w:ind w:firstLine="420" w:firstLineChars="200"/>
    </w:pPr>
  </w:style>
  <w:style w:type="paragraph" w:customStyle="1" w:styleId="91">
    <w:name w:val="xl1521813"/>
    <w:basedOn w:val="1"/>
    <w:qFormat/>
    <w:uiPriority w:val="0"/>
    <w:pPr>
      <w:widowControl/>
      <w:spacing w:before="100" w:beforeAutospacing="1" w:after="100" w:afterAutospacing="1"/>
      <w:jc w:val="left"/>
      <w:textAlignment w:val="bottom"/>
    </w:pPr>
    <w:rPr>
      <w:rFonts w:ascii="宋体" w:hAnsi="宋体" w:cs="宋体"/>
      <w:kern w:val="0"/>
      <w:sz w:val="24"/>
      <w:szCs w:val="24"/>
    </w:rPr>
  </w:style>
  <w:style w:type="paragraph" w:customStyle="1" w:styleId="92">
    <w:name w:val="Default"/>
    <w:basedOn w:val="30"/>
    <w:next w:val="2"/>
    <w:qFormat/>
    <w:uiPriority w:val="0"/>
    <w:pPr>
      <w:widowControl w:val="0"/>
      <w:autoSpaceDE w:val="0"/>
      <w:autoSpaceDN w:val="0"/>
      <w:adjustRightInd w:val="0"/>
    </w:pPr>
    <w:rPr>
      <w:rFonts w:ascii="宋体"/>
      <w:color w:val="000000"/>
      <w:sz w:val="24"/>
      <w:lang w:val="en-US" w:eastAsia="zh-CN" w:bidi="ar-SA"/>
    </w:rPr>
  </w:style>
  <w:style w:type="paragraph" w:customStyle="1" w:styleId="93">
    <w:name w:val="表格"/>
    <w:basedOn w:val="1"/>
    <w:qFormat/>
    <w:uiPriority w:val="0"/>
    <w:pPr>
      <w:tabs>
        <w:tab w:val="left" w:pos="1200"/>
      </w:tabs>
      <w:spacing w:line="500" w:lineRule="exact"/>
      <w:jc w:val="center"/>
    </w:pPr>
    <w:rPr>
      <w:rFonts w:ascii="宋体"/>
      <w:sz w:val="24"/>
    </w:rPr>
  </w:style>
  <w:style w:type="paragraph" w:customStyle="1" w:styleId="94">
    <w:name w:val="Table Paragraph"/>
    <w:basedOn w:val="1"/>
    <w:qFormat/>
    <w:uiPriority w:val="1"/>
    <w:rPr>
      <w:rFonts w:ascii="宋体" w:hAnsi="宋体" w:eastAsia="宋体" w:cs="宋体"/>
      <w:lang w:val="zh-CN" w:eastAsia="zh-CN" w:bidi="zh-CN"/>
    </w:rPr>
  </w:style>
  <w:style w:type="paragraph" w:customStyle="1" w:styleId="95">
    <w:name w:val="列出段落1"/>
    <w:basedOn w:val="1"/>
    <w:qFormat/>
    <w:uiPriority w:val="34"/>
    <w:pPr>
      <w:ind w:firstLine="420" w:firstLineChars="200"/>
    </w:pPr>
    <w:rPr>
      <w:rFonts w:ascii="Times New Roman" w:hAnsi="Times New Roman" w:eastAsia="宋体" w:cs="Times New Roman"/>
    </w:rPr>
  </w:style>
  <w:style w:type="table" w:customStyle="1" w:styleId="96">
    <w:name w:val="Table Normal_0"/>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3" Type="http://schemas.microsoft.com/office/2011/relationships/people" Target="people.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4.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20257f5c-c429-4ae1-a048-c378dd7c717f</errorID>
      <errorWord>双江</errorWord>
      <group>L1_AI</group>
      <groupName>深度校对</groupName>
      <ability>L2_AI_Punc</ability>
      <abilityName>标点纠错</abilityName>
      <candidateList>
        <item>《双江</item>
      </candidateList>
      <explain/>
      <paraID> 7362FA4</paraID>
      <start>50</start>
      <end>52</end>
      <status>unmodified</status>
      <modifiedWord/>
      <trackRevisions>false</trackRevisions>
    </reviewItem>
    <reviewItem>
      <errorID>f72119a8-71fa-4998-a0db-60656c7a91e2</errorID>
      <errorWord>发布</errorWord>
      <group>L1_AI</group>
      <groupName>深度校对</groupName>
      <ability>L2_AI_Grammar</ability>
      <abilityName>语法纠错</abilityName>
      <candidateList>
        <item>关于发布</item>
      </candidateList>
      <explain/>
      <paraID> 7362FA4</paraID>
      <start>61</start>
      <end>63</end>
      <status>unmodified</status>
      <modifiedWord/>
      <trackRevisions>false</trackRevisions>
    </reviewItem>
    <reviewItem>
      <errorID>b5257e35-d0b4-4dc8-afbd-4ac9da53cbdd</errorID>
      <errorWord>请示</errorWord>
      <group>L1_AI</group>
      <groupName>深度校对</groupName>
      <ability>L2_AI_Word</ability>
      <abilityName>字词纠错</abilityName>
      <candidateList>
        <item>的请示</item>
      </candidateList>
      <explain/>
      <paraID> 7362FA4</paraID>
      <start>84</start>
      <end>86</end>
      <status>unmodified</status>
      <modifiedWord/>
      <trackRevisions>false</trackRevisions>
    </reviewItem>
    <reviewItem>
      <errorID>928c53df-f5c1-4ba1-8896-39643776ce49</errorID>
      <errorWord>的</errorWord>
      <group>L1_AI</group>
      <groupName>深度校对</groupName>
      <ability>L2_AI_Punc</ability>
      <abilityName>标点纠错</abilityName>
      <candidateList>
        <item>》的</item>
      </candidateList>
      <explain/>
      <paraID> 7362FA4</paraID>
      <start>86</start>
      <end>87</end>
      <status>unmodified</status>
      <modifiedWord/>
      <trackRevisions>false</trackRevisions>
    </reviewItem>
    <reviewItem>
      <errorID>9e6795ee-e9a6-4837-9cb0-206b9d263943</errorID>
      <errorWord>2.5</errorWord>
      <group>L1_AI</group>
      <groupName>深度校对</groupName>
      <ability>L2_AI_Title</ability>
      <abilityName>标题检查</abilityName>
      <candidateList>
        <item>2.6</item>
      </candidateList>
      <explain>标题顺序错误，请检查标题顺序是否合理。</explain>
      <paraID>5091056F</paraID>
      <start>0</start>
      <end>3</end>
      <status>modified</status>
      <modifiedWord>2.6</modifiedWord>
      <trackRevisions>false</trackRevisions>
    </reviewItem>
    <reviewItem>
      <errorID>4d28095b-af4e-40a5-a743-45c6f568bbf9</errorID>
      <errorWord>本</errorWord>
      <group>L1_AI</group>
      <groupName>深度校对</groupName>
      <ability>L2_AI_Punc</ability>
      <abilityName>标点纠错</abilityName>
      <candidateList>
        <item>.本</item>
      </candidateList>
      <explain/>
      <paraID>5091056F</paraID>
      <start>3</start>
      <end>4</end>
      <status>unmodified</status>
      <modifiedWord/>
      <trackRevisions>false</trackRevisions>
    </reviewItem>
    <reviewItem>
      <errorID>83e431b2-be72-43c1-ab18-d4d87c9bf325</errorID>
      <errorWord>提供</errorWord>
      <group>L1_AI</group>
      <groupName>深度校对</groupName>
      <ability>L2_AI_Word</ability>
      <abilityName>字词纠错</abilityName>
      <candidateList>
        <item>需提供</item>
      </candidateList>
      <explain/>
      <paraID>28FC2F58</paraID>
      <start>39</start>
      <end>41</end>
      <status>unmodified</status>
      <modifiedWord/>
      <trackRevisions>false</trackRevisions>
    </reviewItem>
    <reviewItem>
      <errorID>2b4e3e68-5dd6-4cb6-980e-6775f5b669c5</errorID>
      <errorWord>通过并</errorWord>
      <group>L1_AI</group>
      <groupName>深度校对</groupName>
      <ability>L2_AI_Word</ability>
      <abilityName>字词纠错</abilityName>
      <candidateList>
        <item>并通过</item>
      </candidateList>
      <explain/>
      <paraID>52C47DD9</paraID>
      <start>145</start>
      <end>148</end>
      <status>unmodified</status>
      <modifiedWord/>
      <trackRevisions>false</trackRevisions>
    </reviewItem>
    <reviewItem>
      <errorID>735f97ce-a8e9-44bf-8fca-55e2a41b462d</errorID>
      <errorWord>。</errorWord>
      <group>L1_AI</group>
      <groupName>深度校对</groupName>
      <ability>L2_AI_Grammar</ability>
      <abilityName>语法纠错</abilityName>
      <candidateList>
        <item>交易平台。</item>
      </candidateList>
      <explain/>
      <paraID>59571E6F</paraID>
      <start>103</start>
      <end>104</end>
      <status>unmodified</status>
      <modifiedWord/>
      <trackRevisions>false</trackRevisions>
    </reviewItem>
    <reviewItem>
      <errorID>46856df4-acfc-4cac-9531-2ade95422aa0</errorID>
      <errorWord>:</errorWord>
      <group>L1_Format</group>
      <groupName>格式问题</groupName>
      <ability>L2_HalfPunc</ability>
      <abilityName>全半角检查</abilityName>
      <candidateList>
        <item>：</item>
      </candidateList>
      <explain>文本全半角错误。</explain>
      <paraID>59571E6F</paraID>
      <start>202</start>
      <end>203</end>
      <status>unmodified</status>
      <modifiedWord/>
      <trackRevisions>false</trackRevisions>
    </reviewItem>
    <reviewItem>
      <errorID>98a83c3c-b5cc-41ae-8b7c-f3041545c3c9</errorID>
      <errorWord>远程</errorWord>
      <group>L1_AI</group>
      <groupName>深度校对</groupName>
      <ability>L2_AI_Punc</ability>
      <abilityName>标点纠错</abilityName>
      <candidateList>
        <item>，远程</item>
      </candidateList>
      <explain/>
      <paraID>5258669B</paraID>
      <start>32</start>
      <end>35</end>
      <status>modified</status>
      <modifiedWord>，远程</modifiedWord>
      <trackRevisions>false</trackRevisions>
    </reviewItem>
    <reviewItem>
      <errorID>c8b2e7d2-7ec9-4f8d-84b1-6e03115a4c12</errorID>
      <errorWord>，且</errorWord>
      <group>L1_AI</group>
      <groupName>深度校对</groupName>
      <ability>L2_AI_Word</ability>
      <abilityName>字词纠错</abilityName>
      <candidateList>
        <item>，</item>
      </candidateList>
      <explain/>
      <paraID>6F51E017</paraID>
      <start>25</start>
      <end>27</end>
      <status>unmodified</status>
      <modifiedWord/>
      <trackRevisions>false</trackRevisions>
    </reviewItem>
    <reviewItem>
      <errorID>05968a7e-b5af-4572-9582-98e219865b2a</errorID>
      <errorWord>010—86483801</errorWord>
      <group>L1_Punc</group>
      <groupName>标点问题</groupName>
      <ability>L2_Punc</ability>
      <abilityName>标点符号检查</abilityName>
      <candidateList>
        <item>010-86483801</item>
      </candidateList>
      <explain>电话号码使用短横线。</explain>
      <paraID>6F51E017</paraID>
      <start>152</start>
      <end>164</end>
      <status>unmodified</status>
      <modifiedWord/>
      <trackRevisions>false</trackRevisions>
    </reviewItem>
    <reviewItem>
      <errorID>ceb4f030-e643-4165-a13f-11844d9ad9ae</errorID>
      <errorWord>—</errorWord>
      <group>L1_AI</group>
      <groupName>深度校对</groupName>
      <ability>L2_AI_Punc</ability>
      <abilityName>标点纠错</abilityName>
      <candidateList>
        <item/>
      </candidateList>
      <explain/>
      <paraID>7A1CF7A1</paraID>
      <start>56</start>
      <end>57</end>
      <status>unmodified</status>
      <modifiedWord/>
      <trackRevisions>false</trackRevisions>
    </reviewItem>
    <reviewItem>
      <errorID>8cb2a13d-7ea2-4528-8108-ef12b6cf687c</errorID>
      <errorWord>是投标人/</errorWord>
      <group>L1_AI</group>
      <groupName>深度校对</groupName>
      <ability>L2_AI_Grammar</ability>
      <abilityName>语法纠错</abilityName>
      <candidateList>
        <item>是</item>
      </candidateList>
      <explain/>
      <paraID>7A1CF7A1</paraID>
      <start>60</start>
      <end>65</end>
      <status>unmodified</status>
      <modifiedWord/>
      <trackRevisions>false</trackRevisions>
    </reviewItem>
    <reviewItem>
      <errorID>e05c6ee5-941e-4e2c-82ea-78f4f6ceb4da</errorID>
      <errorWord>云南省</errorWord>
      <group>L1_AI</group>
      <groupName>深度校对</groupName>
      <ability>L2_AI_Word</ability>
      <abilityName>字词纠错</abilityName>
      <candidateList>
        <item>至云南省</item>
      </candidateList>
      <explain/>
      <paraID>59533E32</paraID>
      <start>13</start>
      <end>17</end>
      <status>modified</status>
      <modifiedWord>至云南省</modifiedWord>
      <trackRevisions>false</trackRevisions>
    </reviewItem>
    <reviewItem>
      <errorID>fc1d1e40-460d-455c-9c57-ca25dea067ca</errorID>
      <errorWord>“</errorWord>
      <group>L1_AI</group>
      <groupName>深度校对</groupName>
      <ability>L2_AI_Punc</ability>
      <abilityName>标点纠错</abilityName>
      <candidateList>
        <item/>
      </candidateList>
      <explain/>
      <paraID>184B6651</paraID>
      <start>8</start>
      <end>9</end>
      <status>unmodified</status>
      <modifiedWord/>
      <trackRevisions>false</trackRevisions>
    </reviewItem>
    <reviewItem>
      <errorID>47ded25a-d156-4cc9-9f75-1a55a9a691d4</errorID>
      <errorWord>间</errorWord>
      <group>L1_Word</group>
      <groupName>字词问题</groupName>
      <ability>L2_Typo</ability>
      <abilityName>字词错误</abilityName>
      <candidateList>
        <item>间为</item>
      </candidateList>
      <explain/>
      <paraID>   C5301</paraID>
      <start>5</start>
      <end>6</end>
      <status>unmodified</status>
      <modifiedWord/>
      <trackRevisions>false</trackRevisions>
    </reviewItem>
    <reviewItem>
      <errorID>117ffab4-72e2-48c1-a459-f51bad2ef03b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F5A9C88</paraID>
      <start>10</start>
      <end>11</end>
      <status>unmodified</status>
      <modifiedWord/>
      <trackRevisions>false</trackRevisions>
    </reviewItem>
    <reviewItem>
      <errorID>e6777606-2f7e-4b46-baed-38d694d03fdb</errorID>
      <errorWord>（</errorWord>
      <group>L1_Format</group>
      <groupName>格式问题</groupName>
      <ability>L2_HalfPunc</ability>
      <abilityName>全半角检查</abilityName>
      <candidateList>
        <item>(</item>
      </candidateList>
      <explain>文本全半角错误。</explain>
      <paraID>609D968B</paraID>
      <start>2</start>
      <end>3</end>
      <status>unmodified</status>
      <modifiedWord/>
      <trackRevisions>false</trackRevisions>
    </reviewItem>
    <reviewItem>
      <errorID>ece46599-51ac-492b-8665-8a44694474e5</errorID>
      <errorWord>－</errorWord>
      <group>L1_Format</group>
      <groupName>格式问题</groupName>
      <ability>L2_HalfPunc</ability>
      <abilityName>全半角检查</abilityName>
      <candidateList>
        <item>-</item>
      </candidateList>
      <explain>文本全半角错误。</explain>
      <paraID>609D968B</paraID>
      <start>19</start>
      <end>20</end>
      <status>unmodified</status>
      <modifiedWord/>
      <trackRevisions>false</trackRevisions>
    </reviewItem>
    <reviewItem>
      <errorID>e66dc37f-ee80-458d-b259-b916cd8ecbe1</errorID>
      <errorWord>）</errorWord>
      <group>L1_Format</group>
      <groupName>格式问题</groupName>
      <ability>L2_HalfPunc</ability>
      <abilityName>全半角检查</abilityName>
      <candidateList>
        <item>)</item>
      </candidateList>
      <explain>文本全半角错误。</explain>
      <paraID>609D968B</paraID>
      <start>21</start>
      <end>22</end>
      <status>unmodified</status>
      <modifiedWord/>
      <trackRevisions>false</trackRevisions>
    </reviewItem>
    <reviewItem>
      <errorID>f36783ca-79fa-4321-a820-58324efaff57</errorID>
      <errorWord>（</errorWord>
      <group>L1_Format</group>
      <groupName>格式问题</groupName>
      <ability>L2_HalfPunc</ability>
      <abilityName>全半角检查</abilityName>
      <candidateList>
        <item>(</item>
      </candidateList>
      <explain>文本全半角错误。</explain>
      <paraID>609D968B</paraID>
      <start>23</start>
      <end>24</end>
      <status>unmodified</status>
      <modifiedWord/>
      <trackRevisions>false</trackRevisions>
    </reviewItem>
    <reviewItem>
      <errorID>09b45d56-1f82-4c91-bc37-755811732f5c</errorID>
      <errorWord>－</errorWord>
      <group>L1_Format</group>
      <groupName>格式问题</groupName>
      <ability>L2_HalfPunc</ability>
      <abilityName>全半角检查</abilityName>
      <candidateList>
        <item>-</item>
      </candidateList>
      <explain>文本全半角错误。</explain>
      <paraID>609D968B</paraID>
      <start>25</start>
      <end>26</end>
      <status>unmodified</status>
      <modifiedWord/>
      <trackRevisions>false</trackRevisions>
    </reviewItem>
    <reviewItem>
      <errorID>6371dc2e-d6f3-41b7-b48f-3f9e3dfceed6</errorID>
      <errorWord>）</errorWord>
      <group>L1_Format</group>
      <groupName>格式问题</groupName>
      <ability>L2_HalfPunc</ability>
      <abilityName>全半角检查</abilityName>
      <candidateList>
        <item>)</item>
      </candidateList>
      <explain>文本全半角错误。</explain>
      <paraID>609D968B</paraID>
      <start>27</start>
      <end>28</end>
      <status>unmodified</status>
      <modifiedWord/>
      <trackRevisions>false</trackRevisions>
    </reviewItem>
    <reviewItem>
      <errorID>f3d5b929-7797-4b49-91c2-5cdb8839fbcb</errorID>
      <errorWord>、…、</errorWord>
      <group>L1_Punc</group>
      <groupName>标点问题</groupName>
      <ability>L2_Punc</ability>
      <abilityName>标点符号检查</abilityName>
      <candidateList>
        <item>、</item>
      </candidateList>
      <explain/>
      <paraID>1885E39C</paraID>
      <start>8</start>
      <end>11</end>
      <status>unmodified</status>
      <modifiedWord/>
      <trackRevisions>false</trackRevisions>
    </reviewItem>
    <reviewItem>
      <errorID>375267a0-5350-4480-b911-70fe849937b4</errorID>
      <errorWord>（</errorWord>
      <group>L1_Format</group>
      <groupName>格式问题</groupName>
      <ability>L2_HalfPunc</ability>
      <abilityName>全半角检查</abilityName>
      <candidateList>
        <item>(</item>
      </candidateList>
      <explain>文本全半角错误。</explain>
      <paraID>5D2C359C</paraID>
      <start>2</start>
      <end>3</end>
      <status>unmodified</status>
      <modifiedWord/>
      <trackRevisions>false</trackRevisions>
    </reviewItem>
    <reviewItem>
      <errorID>297d35bb-1bc8-4120-8674-703054c15e7f</errorID>
      <errorWord>）</errorWord>
      <group>L1_Format</group>
      <groupName>格式问题</groupName>
      <ability>L2_HalfPunc</ability>
      <abilityName>全半角检查</abilityName>
      <candidateList>
        <item>)</item>
      </candidateList>
      <explain>文本全半角错误。</explain>
      <paraID>5D2C359C</paraID>
      <start>19</start>
      <end>20</end>
      <status>unmodified</status>
      <modifiedWord/>
      <trackRevisions>false</trackRevisions>
    </reviewItem>
    <reviewItem>
      <errorID>31c4a82b-1c74-4457-b4e5-8b2bb44f2cfd</errorID>
      <errorWord>、…、</errorWord>
      <group>L1_Punc</group>
      <groupName>标点问题</groupName>
      <ability>L2_Punc</ability>
      <abilityName>标点符号检查</abilityName>
      <candidateList>
        <item>、</item>
      </candidateList>
      <explain/>
      <paraID>3CFAD3C8</paraID>
      <start>8</start>
      <end>11</end>
      <status>unmodified</status>
      <modifiedWord/>
      <trackRevisions>false</trackRevisions>
    </reviewItem>
    <reviewItem>
      <errorID>5f16b572-2c66-493b-b69e-f5e3fa68fecb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7A2957FD</paraID>
      <start>7</start>
      <end>8</end>
      <status>unmodified</status>
      <modifiedWord/>
      <trackRevisions>false</trackRevisions>
    </reviewItem>
    <reviewItem>
      <errorID>2f06d453-ec30-45bd-990b-c21d6de99f98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D60C9F2</paraID>
      <start>7</start>
      <end>8</end>
      <status>unmodified</status>
      <modifiedWord/>
      <trackRevisions>false</trackRevisions>
    </reviewItem>
    <reviewItem>
      <errorID>79dc0b78-0fca-48f0-875f-8369dcfe8bb7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3151F217</paraID>
      <start>6</start>
      <end>7</end>
      <status>unmodified</status>
      <modifiedWord/>
      <trackRevisions>false</trackRevisions>
    </reviewItem>
    <reviewItem>
      <errorID>e2826c30-66b3-4751-9ecd-c8a0b9aac486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5BFB8AD0</paraID>
      <start>6</start>
      <end>7</end>
      <status>unmodified</status>
      <modifiedWord/>
      <trackRevisions>false</trackRevisions>
    </reviewItem>
    <reviewItem>
      <errorID>9243d9eb-4b08-4c6d-bf26-10bfe59e5b10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3C1C61FF</paraID>
      <start>6</start>
      <end>7</end>
      <status>unmodified</status>
      <modifiedWord/>
      <trackRevisions>false</trackRevisions>
    </reviewItem>
    <reviewItem>
      <errorID>e8b3d555-569f-4268-ba45-223e60948c73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5538ECD5</paraID>
      <start>6</start>
      <end>7</end>
      <status>unmodified</status>
      <modifiedWord/>
      <trackRevisions>false</trackRevisions>
    </reviewItem>
    <reviewItem>
      <errorID>f9e55702-5393-4503-ae62-00c1951df6fd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3949E820</paraID>
      <start>6</start>
      <end>7</end>
      <status>unmodified</status>
      <modifiedWord/>
      <trackRevisions>false</trackRevisions>
    </reviewItem>
    <reviewItem>
      <errorID>2c18fbdd-2dad-4e3b-a698-f36d93ac2bd9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25DB1961</paraID>
      <start>6</start>
      <end>7</end>
      <status>unmodified</status>
      <modifiedWord/>
      <trackRevisions>false</trackRevisions>
    </reviewItem>
    <reviewItem>
      <errorID>bd3367c7-065d-4570-82a6-3377337faaa9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53C8DABD</paraID>
      <start>6</start>
      <end>7</end>
      <status>unmodified</status>
      <modifiedWord/>
      <trackRevisions>false</trackRevisions>
    </reviewItem>
    <reviewItem>
      <errorID>68b45e7c-b633-4d7d-977c-393f0449bc5a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4B80238B</paraID>
      <start>6</start>
      <end>7</end>
      <status>unmodified</status>
      <modifiedWord/>
      <trackRevisions>false</trackRevisions>
    </reviewItem>
    <reviewItem>
      <errorID>98adf7d4-1794-44ef-a3d0-99a764515dd6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74B6B33E</paraID>
      <start>7</start>
      <end>8</end>
      <status>unmodified</status>
      <modifiedWord/>
      <trackRevisions>false</trackRevisions>
    </reviewItem>
    <reviewItem>
      <errorID>140d7c61-46ee-4117-bf84-fee804596064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62473D9F</paraID>
      <start>6</start>
      <end>7</end>
      <status>unmodified</status>
      <modifiedWord/>
      <trackRevisions>false</trackRevisions>
    </reviewItem>
    <reviewItem>
      <errorID>daf7d817-f8b4-4c6d-ac69-83e59cd594bf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2E5BD379</paraID>
      <start>6</start>
      <end>7</end>
      <status>unmodified</status>
      <modifiedWord/>
      <trackRevisions>false</trackRevisions>
    </reviewItem>
    <reviewItem>
      <errorID>5f39b391-b629-4673-b014-a320da2902be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10BF3A68</paraID>
      <start>6</start>
      <end>7</end>
      <status>unmodified</status>
      <modifiedWord/>
      <trackRevisions>false</trackRevisions>
    </reviewItem>
    <reviewItem>
      <errorID>800f9cd4-8eb4-45eb-9abe-135329ce7e74</errorID>
      <errorWord>，</errorWord>
      <group>L1_Word</group>
      <groupName>字词问题</groupName>
      <ability>L2_Typo</ability>
      <abilityName>字词错误</abilityName>
      <candidateList>
        <item>，具</item>
      </candidateList>
      <explain/>
      <paraID>10BF3A68</paraID>
      <start>54</start>
      <end>55</end>
      <status>unmodified</status>
      <modifiedWord/>
      <trackRevisions>false</trackRevisions>
    </reviewItem>
    <reviewItem>
      <errorID>022d7256-e302-40f7-ac7b-902193bc28d6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11CD3A9F</paraID>
      <start>6</start>
      <end>7</end>
      <status>unmodified</status>
      <modifiedWord/>
      <trackRevisions>false</trackRevisions>
    </reviewItem>
    <reviewItem>
      <errorID>03d5eb05-03b9-49f4-b402-3deb4508a5fc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692151A9</paraID>
      <start>6</start>
      <end>7</end>
      <status>unmodified</status>
      <modifiedWord/>
      <trackRevisions>false</trackRevisions>
    </reviewItem>
    <reviewItem>
      <errorID>d265dc2e-adc0-4177-944f-40fc669fe235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5B1F106C</paraID>
      <start>0</start>
      <end>2</end>
      <status>unmodified</status>
      <modifiedWord/>
      <trackRevisions>false</trackRevisions>
    </reviewItem>
    <reviewItem>
      <errorID>fddcd7f1-987c-4939-ae92-c4c35fd87b74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7D7AAAC3</paraID>
      <start>0</start>
      <end>2</end>
      <status>unmodified</status>
      <modifiedWord/>
      <trackRevisions>false</trackRevisions>
    </reviewItem>
    <reviewItem>
      <errorID>2cd166b1-959c-4079-adc9-f97029fb77f5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25506B04</paraID>
      <start>0</start>
      <end>2</end>
      <status>unmodified</status>
      <modifiedWord/>
      <trackRevisions>false</trackRevisions>
    </reviewItem>
    <reviewItem>
      <errorID>297719bb-f2bf-4898-89a3-680630689f64</errorID>
      <errorWord>”</errorWord>
      <group>L1_Punc</group>
      <groupName>标点问题</groupName>
      <ability>L2_Punc</ability>
      <abilityName>标点符号检查</abilityName>
      <candidateList>
        <item>“</item>
      </candidateList>
      <explain>注意检查双引号的方向是否正确。</explain>
      <paraID>67DE7938</paraID>
      <start>68</start>
      <end>69</end>
      <status>unmodified</status>
      <modifiedWord/>
      <trackRevisions>false</trackRevisions>
    </reviewItem>
    <reviewItem>
      <errorID>acaa0cb1-107d-4181-9cf8-8a04af55fb9c</errorID>
      <errorWord>，</errorWord>
      <group>L1_Word</group>
      <groupName>字词问题</groupName>
      <ability>L2_Typo</ability>
      <abilityName>字词错误</abilityName>
      <candidateList>
        <item>，对</item>
      </candidateList>
      <explain/>
      <paraID>1E7BFA98</paraID>
      <start>38</start>
      <end>39</end>
      <status>unmodified</status>
      <modifiedWord/>
      <trackRevisions>false</trackRevisions>
    </reviewItem>
    <reviewItem>
      <errorID>9bf37f75-fddd-4dfa-857a-30e67c234109</errorID>
      <errorWord>提出的</errorWord>
      <group>L1_Word</group>
      <groupName>字词问题</groupName>
      <ability>L2_Typo</ability>
      <abilityName>字词错误</abilityName>
      <candidateList>
        <item>提出</item>
      </candidateList>
      <explain/>
      <paraID>75817DF7</paraID>
      <start>7</start>
      <end>9</end>
      <status>modified</status>
      <modifiedWord>提出</modifiedWord>
      <trackRevisions>false</trackRevisions>
    </reviewItem>
    <reviewItem>
      <errorID>84ca6144-a0bf-4e86-a166-3cab42f85289</errorID>
      <errorWord>)</errorWord>
      <group>L1_Format</group>
      <groupName>格式问题</groupName>
      <ability>L2_HalfPunc</ability>
      <abilityName>全半角检查</abilityName>
      <candidateList>
        <item>）</item>
      </candidateList>
      <explain>文本全半角错误。</explain>
      <paraID>6EA7F29F</paraID>
      <start>35</start>
      <end>36</end>
      <status>unmodified</status>
      <modifiedWord/>
      <trackRevisions>false</trackRevisions>
    </reviewItem>
    <reviewItem>
      <errorID>6da993b4-c621-4328-b724-17d0500a0768</errorID>
      <errorWord>,</errorWord>
      <group>L1_Format</group>
      <groupName>格式问题</groupName>
      <ability>L2_HalfPunc</ability>
      <abilityName>全半角检查</abilityName>
      <candidateList>
        <item>，</item>
      </candidateList>
      <explain>文本全半角错误。</explain>
      <paraID>464983C9</paraID>
      <start>46</start>
      <end>47</end>
      <status>unmodified</status>
      <modifiedWord/>
      <trackRevisions>false</trackRevisions>
    </reviewItem>
    <reviewItem>
      <errorID>b9fadde2-0e99-478b-bbd3-18d0e802c64e</errorID>
      <errorWord>(</errorWord>
      <group>L1_Format</group>
      <groupName>格式问题</groupName>
      <ability>L2_HalfPunc</ability>
      <abilityName>全半角检查</abilityName>
      <candidateList>
        <item>（</item>
      </candidateList>
      <explain>文本全半角错误。</explain>
      <paraID>2CD4CFAE</paraID>
      <start>42</start>
      <end>43</end>
      <status>unmodified</status>
      <modifiedWord/>
      <trackRevisions>false</trackRevisions>
    </reviewItem>
    <reviewItem>
      <errorID>3cf9e094-cccb-4aa2-b7d3-86d619f30d57</errorID>
      <errorWord>)</errorWord>
      <group>L1_Format</group>
      <groupName>格式问题</groupName>
      <ability>L2_HalfPunc</ability>
      <abilityName>全半角检查</abilityName>
      <candidateList>
        <item>）</item>
      </candidateList>
      <explain>文本全半角错误。</explain>
      <paraID>2CD4CFAE</paraID>
      <start>47</start>
      <end>48</end>
      <status>unmodified</status>
      <modifiedWord/>
      <trackRevisions>false</trackRevisions>
    </reviewItem>
    <reviewItem>
      <errorID>68cf04b9-bfcd-4ebf-b8b4-fac97d2cb87b</errorID>
      <errorWord>(</errorWord>
      <group>L1_Format</group>
      <groupName>格式问题</groupName>
      <ability>L2_HalfPunc</ability>
      <abilityName>全半角检查</abilityName>
      <candidateList>
        <item>（</item>
      </candidateList>
      <explain>文本全半角错误。</explain>
      <paraID> 6158BFA</paraID>
      <start>38</start>
      <end>39</end>
      <status>unmodified</status>
      <modifiedWord/>
      <trackRevisions>false</trackRevisions>
    </reviewItem>
    <reviewItem>
      <errorID>80240d10-7508-462c-a3d2-c2e48456f8f0</errorID>
      <errorWord>)</errorWord>
      <group>L1_Format</group>
      <groupName>格式问题</groupName>
      <ability>L2_HalfPunc</ability>
      <abilityName>全半角检查</abilityName>
      <candidateList>
        <item>）</item>
      </candidateList>
      <explain>文本全半角错误。</explain>
      <paraID> 6158BFA</paraID>
      <start>43</start>
      <end>44</end>
      <status>unmodified</status>
      <modifiedWord/>
      <trackRevisions>false</trackRevisions>
    </reviewItem>
    <reviewItem>
      <errorID>52322d9c-eb00-4ddd-8eba-9eed0d5bc9fc</errorID>
      <errorWord>(</errorWord>
      <group>L1_Format</group>
      <groupName>格式问题</groupName>
      <ability>L2_HalfPunc</ability>
      <abilityName>全半角检查</abilityName>
      <candidateList>
        <item>（</item>
      </candidateList>
      <explain>文本全半角错误。</explain>
      <paraID>4C8F60DC</paraID>
      <start>38</start>
      <end>39</end>
      <status>unmodified</status>
      <modifiedWord/>
      <trackRevisions>false</trackRevisions>
    </reviewItem>
    <reviewItem>
      <errorID>ea62c288-8fa4-4c04-865d-4d294255b3e1</errorID>
      <errorWord>)</errorWord>
      <group>L1_Format</group>
      <groupName>格式问题</groupName>
      <ability>L2_HalfPunc</ability>
      <abilityName>全半角检查</abilityName>
      <candidateList>
        <item>）</item>
      </candidateList>
      <explain>文本全半角错误。</explain>
      <paraID>4C8F60DC</paraID>
      <start>43</start>
      <end>44</end>
      <status>unmodified</status>
      <modifiedWord/>
      <trackRevisions>false</trackRevisions>
    </reviewItem>
    <reviewItem>
      <errorID>51ac67bd-8f76-4342-8f2d-55682ad84c10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36F8479A</paraID>
      <start>109</start>
      <end>110</end>
      <status>unmodified</status>
      <modifiedWord/>
      <trackRevisions>false</trackRevisions>
    </reviewItem>
    <reviewItem>
      <errorID>276f64bb-2388-4891-b68e-a868ed679d75</errorID>
      <errorWord>(</errorWord>
      <group>L1_Format</group>
      <groupName>格式问题</groupName>
      <ability>L2_HalfPunc</ability>
      <abilityName>全半角检查</abilityName>
      <candidateList>
        <item>（</item>
      </candidateList>
      <explain>文本全半角错误。</explain>
      <paraID>4C2965E4</paraID>
      <start>38</start>
      <end>39</end>
      <status>unmodified</status>
      <modifiedWord/>
      <trackRevisions>false</trackRevisions>
    </reviewItem>
    <reviewItem>
      <errorID>a2541f65-6e48-49f5-8e7a-8e22173b83cf</errorID>
      <errorWord>)</errorWord>
      <group>L1_Format</group>
      <groupName>格式问题</groupName>
      <ability>L2_HalfPunc</ability>
      <abilityName>全半角检查</abilityName>
      <candidateList>
        <item>）</item>
      </candidateList>
      <explain>文本全半角错误。</explain>
      <paraID>4C2965E4</paraID>
      <start>43</start>
      <end>44</end>
      <status>unmodified</status>
      <modifiedWord/>
      <trackRevisions>false</trackRevisions>
    </reviewItem>
    <reviewItem>
      <errorID>82e72ec8-f2a1-4edb-b448-6121267c65a5</errorID>
      <errorWord>(</errorWord>
      <group>L1_Format</group>
      <groupName>格式问题</groupName>
      <ability>L2_HalfPunc</ability>
      <abilityName>全半角检查</abilityName>
      <candidateList>
        <item>（</item>
      </candidateList>
      <explain>文本全半角错误。</explain>
      <paraID>2D4EAEA6</paraID>
      <start>38</start>
      <end>39</end>
      <status>unmodified</status>
      <modifiedWord/>
      <trackRevisions>false</trackRevisions>
    </reviewItem>
    <reviewItem>
      <errorID>7347d89e-8b36-4ac9-8cf7-be022b9c58b4</errorID>
      <errorWord>)</errorWord>
      <group>L1_Format</group>
      <groupName>格式问题</groupName>
      <ability>L2_HalfPunc</ability>
      <abilityName>全半角检查</abilityName>
      <candidateList>
        <item>）</item>
      </candidateList>
      <explain>文本全半角错误。</explain>
      <paraID>2D4EAEA6</paraID>
      <start>43</start>
      <end>44</end>
      <status>unmodified</status>
      <modifiedWord/>
      <trackRevisions>false</trackRevisions>
    </reviewItem>
    <reviewItem>
      <errorID>13e13645-6a30-45c9-ba0e-a4c31767ae54</errorID>
      <errorWord>(</errorWord>
      <group>L1_Format</group>
      <groupName>格式问题</groupName>
      <ability>L2_HalfPunc</ability>
      <abilityName>全半角检查</abilityName>
      <candidateList>
        <item>（</item>
      </candidateList>
      <explain>文本全半角错误。</explain>
      <paraID> A97C13E</paraID>
      <start>0</start>
      <end>1</end>
      <status>unmodified</status>
      <modifiedWord/>
      <trackRevisions>false</trackRevisions>
    </reviewItem>
    <reviewItem>
      <errorID>dc412d12-055f-43a2-9e0c-d8990fcd593c</errorID>
      <errorWord>)</errorWord>
      <group>L1_Format</group>
      <groupName>格式问题</groupName>
      <ability>L2_HalfPunc</ability>
      <abilityName>全半角检查</abilityName>
      <candidateList>
        <item>）</item>
      </candidateList>
      <explain>文本全半角错误。</explain>
      <paraID> A97C13E</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362c9b-7b57-4552-9114-42440a7b56a0}">
  <ds:schemaRefs/>
</ds:datastoreItem>
</file>

<file path=docProps/app.xml><?xml version="1.0" encoding="utf-8"?>
<Properties xmlns="http://schemas.openxmlformats.org/officeDocument/2006/extended-properties" xmlns:vt="http://schemas.openxmlformats.org/officeDocument/2006/docPropsVTypes">
  <Template>Normal.dotm</Template>
  <Company>WWW.YlmF.CoM</Company>
  <Pages>67</Pages>
  <Words>767</Words>
  <Characters>870</Characters>
  <Lines>235</Lines>
  <Paragraphs>66</Paragraphs>
  <TotalTime>37</TotalTime>
  <ScaleCrop>false</ScaleCrop>
  <LinksUpToDate>false</LinksUpToDate>
  <CharactersWithSpaces>965</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2017-09-24T07:29:00Z</dcterms:created>
  <dc:creator>User</dc:creator>
  <cp:lastModifiedBy>DELL</cp:lastModifiedBy>
  <cp:lastPrinted>2026-03-02T08:35:00Z</cp:lastPrinted>
  <dcterms:modified xsi:type="dcterms:W3CDTF">2026-03-24T07:53:46Z</dcterms:modified>
  <dc:title>云南省肿瘤医院</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40F2E16D0D074CABA5A2BEBA51AB936E_13</vt:lpwstr>
  </property>
  <property fmtid="{D5CDD505-2E9C-101B-9397-08002B2CF9AE}" pid="3" name="KSOProductBuildVer">
    <vt:lpwstr>2052-10.8.2.6613</vt:lpwstr>
  </property>
  <property fmtid="{D5CDD505-2E9C-101B-9397-08002B2CF9AE}" pid="4" name="KSOTemplateDocerSaveRecord">
    <vt:lpwstr>eyJoZGlkIjoiMTk3YjY4ZTc0ZDZiYzMxNmUzOTc0M2RkM2I5M2EyMmUiLCJ1c2VySWQiOiI0MjUxMTAyMDIifQ==</vt:lpwstr>
  </property>
</Properties>
</file>